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2B7AE" w14:textId="23C3D5D1" w:rsidR="00936A44" w:rsidRDefault="00936A44" w:rsidP="00E43449">
      <w:pPr>
        <w:spacing w:before="0" w:after="0"/>
        <w:jc w:val="center"/>
      </w:pPr>
      <w:bookmarkStart w:id="0" w:name="_GoBack"/>
      <w:bookmarkEnd w:id="0"/>
    </w:p>
    <w:p w14:paraId="38CD5099" w14:textId="77777777" w:rsidR="00E43449" w:rsidRPr="00321B46" w:rsidRDefault="00E43449" w:rsidP="00E43449">
      <w:pPr>
        <w:spacing w:before="0" w:after="0"/>
        <w:jc w:val="center"/>
      </w:pPr>
      <w:r w:rsidRPr="00321B46">
        <w:t>Ministerio de Minas y Energía</w:t>
      </w:r>
    </w:p>
    <w:p w14:paraId="3799D4E0" w14:textId="77777777" w:rsidR="00E43449" w:rsidRPr="00321B46" w:rsidRDefault="00E43449" w:rsidP="00E43449">
      <w:pPr>
        <w:spacing w:before="0" w:after="0"/>
        <w:jc w:val="center"/>
      </w:pPr>
    </w:p>
    <w:p w14:paraId="2388604E" w14:textId="77777777" w:rsidR="00E43449" w:rsidRPr="00321B46" w:rsidRDefault="00E43449" w:rsidP="00E43449">
      <w:pPr>
        <w:spacing w:before="0" w:after="0"/>
        <w:jc w:val="center"/>
        <w:rPr>
          <w:b/>
        </w:rPr>
      </w:pPr>
      <w:r w:rsidRPr="00321B46">
        <w:rPr>
          <w:b/>
        </w:rPr>
        <w:t>COMISIÓN DE REGULACIÓN DE ENERGÍA Y GAS</w:t>
      </w:r>
    </w:p>
    <w:p w14:paraId="41E35C63" w14:textId="77777777" w:rsidR="00E43449" w:rsidRPr="00321B46" w:rsidRDefault="00E43449" w:rsidP="00E43449">
      <w:pPr>
        <w:spacing w:before="0" w:after="0"/>
        <w:jc w:val="center"/>
        <w:rPr>
          <w:b/>
          <w:lang w:val="es-ES_tradnl"/>
        </w:rPr>
      </w:pPr>
    </w:p>
    <w:p w14:paraId="4A5C29D1" w14:textId="77777777" w:rsidR="00E43449" w:rsidRPr="00321B46" w:rsidRDefault="00E43449" w:rsidP="00E43449">
      <w:pPr>
        <w:spacing w:before="0" w:after="0"/>
        <w:jc w:val="center"/>
        <w:rPr>
          <w:b/>
          <w:lang w:val="es-ES_tradnl"/>
        </w:rPr>
      </w:pPr>
    </w:p>
    <w:p w14:paraId="4CBD0753" w14:textId="77777777" w:rsidR="00E43449" w:rsidRPr="00321B46" w:rsidRDefault="00E43449" w:rsidP="00E43449">
      <w:pPr>
        <w:spacing w:before="0" w:after="0"/>
        <w:jc w:val="center"/>
        <w:rPr>
          <w:b/>
        </w:rPr>
      </w:pPr>
      <w:r w:rsidRPr="00321B46">
        <w:rPr>
          <w:b/>
        </w:rPr>
        <w:t xml:space="preserve">RESOLUCIÓN No.         </w:t>
      </w:r>
      <w:r w:rsidR="00936A44" w:rsidRPr="00321B46">
        <w:rPr>
          <w:b/>
        </w:rPr>
        <w:t xml:space="preserve"> </w:t>
      </w:r>
      <w:r w:rsidRPr="00321B46">
        <w:rPr>
          <w:b/>
        </w:rPr>
        <w:t xml:space="preserve">          DE 201</w:t>
      </w:r>
      <w:r w:rsidR="00F6127E" w:rsidRPr="00321B46">
        <w:rPr>
          <w:b/>
        </w:rPr>
        <w:t>6</w:t>
      </w:r>
    </w:p>
    <w:p w14:paraId="0ACED12C" w14:textId="77777777" w:rsidR="00E43449" w:rsidRPr="00321B46" w:rsidRDefault="00E43449" w:rsidP="00E43449">
      <w:pPr>
        <w:tabs>
          <w:tab w:val="right" w:leader="dot" w:pos="9356"/>
        </w:tabs>
        <w:jc w:val="center"/>
      </w:pPr>
      <w:r w:rsidRPr="00321B46">
        <w:t xml:space="preserve">(       </w:t>
      </w:r>
      <w:r w:rsidR="00936A44" w:rsidRPr="00321B46">
        <w:t xml:space="preserve">           </w:t>
      </w:r>
      <w:r w:rsidRPr="00321B46">
        <w:t xml:space="preserve">             )</w:t>
      </w:r>
    </w:p>
    <w:p w14:paraId="3B3B4C8B" w14:textId="77777777" w:rsidR="002A6B9A" w:rsidRPr="00321B46" w:rsidRDefault="002A6B9A" w:rsidP="009A7C14">
      <w:pPr>
        <w:spacing w:before="0" w:after="0"/>
        <w:jc w:val="center"/>
      </w:pPr>
    </w:p>
    <w:p w14:paraId="73AB7A83" w14:textId="77777777" w:rsidR="008A3B2C" w:rsidRPr="00321B46" w:rsidRDefault="008A3B2C" w:rsidP="008A3B2C">
      <w:pPr>
        <w:spacing w:before="0"/>
        <w:jc w:val="center"/>
        <w:rPr>
          <w:rFonts w:cs="Arial"/>
        </w:rPr>
      </w:pPr>
      <w:bookmarkStart w:id="1" w:name="_Ref208741538"/>
      <w:bookmarkStart w:id="2" w:name="_Ref208800103"/>
      <w:bookmarkStart w:id="3" w:name="_Ref208800198"/>
      <w:bookmarkStart w:id="4" w:name="_Ref208801482"/>
      <w:bookmarkStart w:id="5" w:name="_Ref208801521"/>
      <w:bookmarkStart w:id="6" w:name="_Ref208804214"/>
      <w:bookmarkStart w:id="7" w:name="_Ref208806182"/>
      <w:bookmarkStart w:id="8" w:name="_Ref209855218"/>
      <w:bookmarkStart w:id="9" w:name="_Ref209855264"/>
      <w:bookmarkStart w:id="10" w:name="_Toc210616028"/>
      <w:r w:rsidRPr="00321B46">
        <w:t>Por la cual se ordena hacer público el proyecto de resolución “Por la cual se establece la metodología para la remuneración de la actividad de transmisión de energía eléctrica en el sistema interconectado nacional”</w:t>
      </w:r>
    </w:p>
    <w:p w14:paraId="1487F5D1" w14:textId="77777777" w:rsidR="008A3B2C" w:rsidRPr="00321B46" w:rsidRDefault="008A3B2C" w:rsidP="008A3B2C">
      <w:pPr>
        <w:jc w:val="center"/>
        <w:rPr>
          <w:b/>
        </w:rPr>
      </w:pPr>
    </w:p>
    <w:p w14:paraId="3EEE2114" w14:textId="77777777" w:rsidR="008A3B2C" w:rsidRPr="00321B46" w:rsidRDefault="008A3B2C" w:rsidP="008A3B2C">
      <w:pPr>
        <w:jc w:val="center"/>
        <w:rPr>
          <w:b/>
        </w:rPr>
      </w:pPr>
      <w:r w:rsidRPr="00321B46">
        <w:rPr>
          <w:b/>
        </w:rPr>
        <w:t>LA COMISIÓN DE REGULACIÓN DE ENERGÍA Y GAS</w:t>
      </w:r>
    </w:p>
    <w:p w14:paraId="5077C10D" w14:textId="77777777" w:rsidR="008A3B2C" w:rsidRPr="00321B46" w:rsidRDefault="008A3B2C" w:rsidP="008A3B2C">
      <w:r w:rsidRPr="00321B46">
        <w:t xml:space="preserve">En ejercicio de sus atribuciones constitucionales y legales, en especial las conferidas por las Leyes 142 y 143 de 1994, y en desarrollo de los Decretos 1524, 2253 de 1994 </w:t>
      </w:r>
      <w:r w:rsidRPr="00321B46">
        <w:rPr>
          <w:rFonts w:cs="Arial"/>
        </w:rPr>
        <w:t>y 1260 de 2013</w:t>
      </w:r>
    </w:p>
    <w:p w14:paraId="1D35DFD3" w14:textId="77777777" w:rsidR="008A3B2C" w:rsidRPr="00321B46" w:rsidRDefault="008A3B2C" w:rsidP="008A3B2C">
      <w:pPr>
        <w:spacing w:before="360" w:after="360"/>
        <w:jc w:val="center"/>
        <w:rPr>
          <w:rFonts w:cs="Arial"/>
          <w:b/>
        </w:rPr>
      </w:pPr>
      <w:r w:rsidRPr="00321B46">
        <w:rPr>
          <w:rFonts w:cs="Arial"/>
          <w:b/>
        </w:rPr>
        <w:t>CONSIDERANDO QUE:</w:t>
      </w:r>
    </w:p>
    <w:p w14:paraId="36D85BCC" w14:textId="77777777" w:rsidR="008A3B2C" w:rsidRPr="00321B46" w:rsidRDefault="008A3B2C" w:rsidP="008A3B2C">
      <w:r w:rsidRPr="00321B46">
        <w:t>Mediante la Resolución CREG 042 de 2013, la Comisión puso en conocimiento de las entidades prestadoras del servicio público domiciliario de energía eléctrica, los usuarios y demás interesados las bases sobre las cuales la Comisión efectuará el estudio para determinar los principios generales, la metodología y fórmulas para el establecimiento de los cargos por uso que remunerarán la actividad de transmisión de energía eléctrica en el sistema interconectado nacional durante el siguiente periodo tarifario. Lo anterior en cumplimiento de lo previsto en los numerales 11.1 y 11.2 del artículo 11 del Decreto 2696 de 2004. La publicación se realizó en la página web de la CREG el 10 de mayo de 2013.</w:t>
      </w:r>
    </w:p>
    <w:p w14:paraId="25467927" w14:textId="77777777" w:rsidR="008A3B2C" w:rsidRPr="00321B46" w:rsidRDefault="008A3B2C" w:rsidP="008A3B2C">
      <w:r w:rsidRPr="00321B46">
        <w:rPr>
          <w:spacing w:val="-3"/>
          <w:lang w:val="es-CO"/>
        </w:rPr>
        <w:t>Los estudios que se adelantaron por parte de la CREG en los temas de metodologías de remuneración de la actividad de transmisión de energía y  unidades constructivas, fueron publicados mediante las Circulares CREG 034 y 038 de 2014</w:t>
      </w:r>
      <w:r w:rsidRPr="00321B46">
        <w:t>, en cumplimiento de lo previsto en el numeral  11.3 del el artículo 11 del Decreto 2696 de 2004.</w:t>
      </w:r>
    </w:p>
    <w:p w14:paraId="1BA2910E" w14:textId="77777777" w:rsidR="008A3B2C" w:rsidRPr="00321B46" w:rsidRDefault="008A3B2C" w:rsidP="008A3B2C">
      <w:r w:rsidRPr="00321B46">
        <w:rPr>
          <w:spacing w:val="-3"/>
        </w:rPr>
        <w:t>Los propósitos y lineamientos para la remuneración de la actividad de transmisión de energía eléctrica para el periodo tarifario 2015 – 2019 se hicieron públicos con la expedición de la Resolución CREG 078 de 2014, publicada en la página web de la Comisión el 12 de junio de 2014.</w:t>
      </w:r>
    </w:p>
    <w:p w14:paraId="46A38F4A" w14:textId="4D9C3381" w:rsidR="008A3B2C" w:rsidRPr="00321B46" w:rsidRDefault="008A3B2C" w:rsidP="008A3B2C">
      <w:r w:rsidRPr="00321B46">
        <w:t xml:space="preserve">Conforme a lo dispuesto por el numeral  11.4 del artículo 11 del Decreto 2696 de 2004, que establece “tres (3) meses antes de la fecha prevista para que inicie el periodo de vigencia de las fórmulas tarifarias, se deberán hacer públicos en la página web de la Comisión correspondiente los proyectos de metodologías y de fórmulas, los estudios respectivos y los textos de los proyectos de resoluciones”, la Comisión expidió para comentarios la resolución CREG </w:t>
      </w:r>
      <w:r w:rsidR="00CD4D82" w:rsidRPr="00321B46">
        <w:t xml:space="preserve">178 </w:t>
      </w:r>
      <w:r w:rsidRPr="00321B46">
        <w:t xml:space="preserve">de 2014, en la </w:t>
      </w:r>
      <w:r w:rsidRPr="00321B46">
        <w:lastRenderedPageBreak/>
        <w:t>cual se propone la metodología para la remuneración de la actividad de transmisión de energía eléctrica en el sistema interconectado nacional.</w:t>
      </w:r>
    </w:p>
    <w:p w14:paraId="0BBCF57C" w14:textId="123D67D7" w:rsidR="008A3B2C" w:rsidRPr="00321B46" w:rsidRDefault="008A3B2C" w:rsidP="008A3B2C">
      <w:r w:rsidRPr="00321B46">
        <w:t>Mediante las circulares CREG 053 y 064 del año 2015 se publicaron los estudios realizados por la Comisión sobre calidad del servicio</w:t>
      </w:r>
      <w:r w:rsidR="00600834" w:rsidRPr="00321B46">
        <w:t xml:space="preserve"> y</w:t>
      </w:r>
      <w:r w:rsidRPr="00321B46">
        <w:t xml:space="preserve"> en la Circular CREG 052 de 2015 sobre AOM.</w:t>
      </w:r>
    </w:p>
    <w:p w14:paraId="709FD189" w14:textId="2325BAA3" w:rsidR="007D0916" w:rsidRPr="00321B46" w:rsidRDefault="007D0916" w:rsidP="007D0916">
      <w:r w:rsidRPr="00321B46">
        <w:t xml:space="preserve">El presente proyecto de resolución ha sido sometido a consulta en dos ocasiones, a saber: </w:t>
      </w:r>
    </w:p>
    <w:p w14:paraId="3E366E0B" w14:textId="33153A41" w:rsidR="007D0916" w:rsidRPr="00321B46" w:rsidRDefault="007D0916" w:rsidP="007D0916">
      <w:r w:rsidRPr="00321B46">
        <w:t xml:space="preserve">La primera a través de la Resolución CREG 178 de 2014, la cual fue publicada tanto en el </w:t>
      </w:r>
      <w:r w:rsidR="00CD4D82" w:rsidRPr="00321B46">
        <w:rPr>
          <w:i/>
        </w:rPr>
        <w:t>Diario Oficial</w:t>
      </w:r>
      <w:r w:rsidR="00CD4D82" w:rsidRPr="00321B46">
        <w:t xml:space="preserve"> </w:t>
      </w:r>
      <w:r w:rsidRPr="00321B46">
        <w:t xml:space="preserve">como en la página web de la CREG el 19 de febrero de 2015, teniendo como plazo final para la presentación de comentarios el día 20 de mayo de ese mismo año. </w:t>
      </w:r>
    </w:p>
    <w:p w14:paraId="49286234" w14:textId="77777777" w:rsidR="007D0916" w:rsidRPr="00321B46" w:rsidRDefault="007D0916" w:rsidP="007D0916">
      <w:r w:rsidRPr="00321B46">
        <w:t xml:space="preserve">La segunda, a través de la Resolución CREG 023 de 2016 la cual fue publicada tanto en el diario oficial el 8 de abril de 2016 y en la página web de la CREG el 7 de abril de 2016, teniendo como plazo final para la presentación de comentarios el día 29 de abril de ese mismo año. </w:t>
      </w:r>
    </w:p>
    <w:p w14:paraId="2D4C464D" w14:textId="056A9C4B" w:rsidR="007D0916" w:rsidRPr="00321B46" w:rsidRDefault="007D0916" w:rsidP="007D0916">
      <w:r w:rsidRPr="00321B46">
        <w:t xml:space="preserve">No obstante, habiéndose dado cumplimiento por parte de esta Comisión a lo establecido en el Decreto 2696 de 2004, compilado mediante el Decreto 1078 de 2015, en relación con la obligación que tiene la Comisión de publicar los proyectos de metodologías y de fórmulas, los estudios respectivos y los textos de los proyectos de resoluciones para comentarios, se publica nuevamente para consulta la resolución </w:t>
      </w:r>
      <w:r w:rsidRPr="00321B46">
        <w:rPr>
          <w:i/>
        </w:rPr>
        <w:t xml:space="preserve">“Por la cual se establece la metodología para la remuneración de la actividad de transmisión de energía eléctrica en el </w:t>
      </w:r>
      <w:r w:rsidR="0026344B" w:rsidRPr="00321B46">
        <w:rPr>
          <w:i/>
        </w:rPr>
        <w:t>sistema interconectado nacional</w:t>
      </w:r>
      <w:r w:rsidRPr="00321B46">
        <w:rPr>
          <w:i/>
        </w:rPr>
        <w:t>”</w:t>
      </w:r>
      <w:r w:rsidRPr="00321B46">
        <w:t xml:space="preserve"> la cual incorpora los resultados del análisis de los comentarios recibidos sobre la propuesta publicada mediante la Resolución CREG 023 de 2016.</w:t>
      </w:r>
    </w:p>
    <w:p w14:paraId="0DE7766C" w14:textId="4D8334CC" w:rsidR="008A3B2C" w:rsidRPr="00321B46" w:rsidRDefault="008A3B2C" w:rsidP="008A3B2C">
      <w:pPr>
        <w:rPr>
          <w:rFonts w:cs="Arial"/>
          <w:b/>
        </w:rPr>
      </w:pPr>
      <w:r w:rsidRPr="00321B46">
        <w:t xml:space="preserve">La Comisión de Regulación de Energía y Gas, en su sesión </w:t>
      </w:r>
      <w:r w:rsidR="0026344B" w:rsidRPr="00321B46">
        <w:rPr>
          <w:spacing w:val="-3"/>
          <w:sz w:val="25"/>
          <w:szCs w:val="25"/>
        </w:rPr>
        <w:t xml:space="preserve">741 </w:t>
      </w:r>
      <w:r w:rsidRPr="00321B46">
        <w:rPr>
          <w:spacing w:val="-3"/>
          <w:sz w:val="25"/>
          <w:szCs w:val="25"/>
        </w:rPr>
        <w:t xml:space="preserve">del </w:t>
      </w:r>
      <w:r w:rsidR="0026344B" w:rsidRPr="00321B46">
        <w:rPr>
          <w:spacing w:val="-3"/>
          <w:sz w:val="25"/>
          <w:szCs w:val="25"/>
        </w:rPr>
        <w:t>3</w:t>
      </w:r>
      <w:r w:rsidRPr="00321B46">
        <w:rPr>
          <w:spacing w:val="-3"/>
          <w:sz w:val="25"/>
          <w:szCs w:val="25"/>
        </w:rPr>
        <w:t xml:space="preserve"> de noviembre de 2016</w:t>
      </w:r>
      <w:r w:rsidRPr="00321B46">
        <w:t>, acordó expedir esta resolución</w:t>
      </w:r>
      <w:r w:rsidRPr="00321B46">
        <w:rPr>
          <w:spacing w:val="-3"/>
        </w:rPr>
        <w:t>.</w:t>
      </w:r>
    </w:p>
    <w:p w14:paraId="03B6C9EE" w14:textId="77777777" w:rsidR="008A3B2C" w:rsidRPr="00321B46" w:rsidRDefault="008A3B2C" w:rsidP="008A3B2C">
      <w:pPr>
        <w:keepNext/>
        <w:spacing w:before="360" w:after="360"/>
        <w:jc w:val="center"/>
        <w:rPr>
          <w:b/>
          <w:spacing w:val="40"/>
        </w:rPr>
      </w:pPr>
      <w:r w:rsidRPr="00321B46">
        <w:rPr>
          <w:b/>
        </w:rPr>
        <w:t xml:space="preserve">R E S U E L V </w:t>
      </w:r>
      <w:r w:rsidRPr="00321B46">
        <w:rPr>
          <w:b/>
          <w:spacing w:val="40"/>
        </w:rPr>
        <w:t>E:</w:t>
      </w:r>
    </w:p>
    <w:p w14:paraId="166D67E3" w14:textId="77777777" w:rsidR="008A3B2C" w:rsidRPr="00321B46" w:rsidRDefault="008A3B2C" w:rsidP="008A3B2C">
      <w:bookmarkStart w:id="11" w:name="_Toc259626851"/>
      <w:r w:rsidRPr="00321B46">
        <w:rPr>
          <w:b/>
        </w:rPr>
        <w:t>Artículo 1. Objeto.</w:t>
      </w:r>
      <w:r w:rsidRPr="00321B46">
        <w:t xml:space="preserve">  Hágase público el proyecto de resolución “Por la cual se establece la metodología para la remuneración de la actividad de transmisión de energía eléctrica en el sistema interconectado nacional”.</w:t>
      </w:r>
    </w:p>
    <w:p w14:paraId="7E371A52" w14:textId="58074A31" w:rsidR="008A3B2C" w:rsidRPr="00321B46" w:rsidRDefault="008A3B2C" w:rsidP="008A3B2C">
      <w:r w:rsidRPr="00321B46">
        <w:rPr>
          <w:b/>
        </w:rPr>
        <w:t>Artículo 2. Presentación de comentarios, observaciones y sugerencias.</w:t>
      </w:r>
      <w:r w:rsidRPr="00321B46">
        <w:t xml:space="preserve"> Se invita a los usuarios, a los agentes, a las autoridades locales, municipales y departamentales, a las entidades  y a los demás interesados para que, dentro de los diez (10) días siguientes a la publicación de la presente resolución, remitan sus observaciones o sugerencias sobre las propuestas contenidas en el proyecto de resolución adjunto.</w:t>
      </w:r>
    </w:p>
    <w:p w14:paraId="22F9B819" w14:textId="77777777" w:rsidR="008A3B2C" w:rsidRPr="00321B46" w:rsidRDefault="008A3B2C" w:rsidP="008A3B2C">
      <w:r w:rsidRPr="00321B46">
        <w:t>Las observaciones y sugerencias sobre el proyecto deberán dirigirse al director ejecutivo de la Comisión, a la dirección: calle 116 No. 7-15, interior 2 oficina 901 en Bogotá D.C. o al correo electrónico creg@creg.gov.co.</w:t>
      </w:r>
    </w:p>
    <w:p w14:paraId="611857BE" w14:textId="77777777" w:rsidR="008A3B2C" w:rsidRPr="00321B46" w:rsidRDefault="008A3B2C" w:rsidP="008A3B2C">
      <w:r w:rsidRPr="00321B46">
        <w:rPr>
          <w:b/>
        </w:rPr>
        <w:lastRenderedPageBreak/>
        <w:t>Artículo 3. Vigencia.</w:t>
      </w:r>
      <w:r w:rsidRPr="00321B46">
        <w:t xml:space="preserve">  La presente resolución rige a partir de su publicación en el </w:t>
      </w:r>
      <w:r w:rsidRPr="00321B46">
        <w:rPr>
          <w:i/>
        </w:rPr>
        <w:t>Diario Oficial</w:t>
      </w:r>
      <w:r w:rsidRPr="00321B46">
        <w:t xml:space="preserve"> y no deroga ni modifica disposiciones vigentes por tratarse de un acto de trámite.</w:t>
      </w:r>
    </w:p>
    <w:bookmarkEnd w:id="11"/>
    <w:p w14:paraId="7DEB0ADB" w14:textId="77777777" w:rsidR="008A3B2C" w:rsidRPr="00321B46" w:rsidRDefault="008A3B2C" w:rsidP="008A3B2C">
      <w:pPr>
        <w:spacing w:before="0" w:after="0"/>
        <w:jc w:val="center"/>
        <w:rPr>
          <w:b/>
        </w:rPr>
      </w:pPr>
      <w:r w:rsidRPr="00321B46">
        <w:rPr>
          <w:b/>
        </w:rPr>
        <w:t>PUBLÍQUESE Y CÚMPLASE</w:t>
      </w:r>
    </w:p>
    <w:p w14:paraId="3D0C76E9" w14:textId="77777777" w:rsidR="008A3B2C" w:rsidRPr="00321B46" w:rsidRDefault="008A3B2C" w:rsidP="008A3B2C">
      <w:r w:rsidRPr="00321B46">
        <w:t>Dado en Bogotá, D. C.</w:t>
      </w:r>
    </w:p>
    <w:p w14:paraId="223A8C28" w14:textId="77777777" w:rsidR="008A3B2C" w:rsidRPr="00321B46" w:rsidRDefault="008A3B2C" w:rsidP="008A3B2C">
      <w:pPr>
        <w:spacing w:after="120"/>
      </w:pPr>
    </w:p>
    <w:p w14:paraId="3B1FA742" w14:textId="77777777" w:rsidR="008A3B2C" w:rsidRPr="00321B46" w:rsidRDefault="008A3B2C" w:rsidP="008A3B2C">
      <w:pPr>
        <w:spacing w:after="120"/>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253"/>
      </w:tblGrid>
      <w:tr w:rsidR="008A3B2C" w:rsidRPr="00321B46" w14:paraId="1FD825F9" w14:textId="77777777" w:rsidTr="008A3B2C">
        <w:trPr>
          <w:tblCellSpacing w:w="0" w:type="dxa"/>
        </w:trPr>
        <w:tc>
          <w:tcPr>
            <w:tcW w:w="5245" w:type="dxa"/>
            <w:shd w:val="clear" w:color="auto" w:fill="FFFFFF"/>
            <w:hideMark/>
          </w:tcPr>
          <w:p w14:paraId="486068D1" w14:textId="6EB093BD" w:rsidR="008A3B2C" w:rsidRPr="00321B46" w:rsidRDefault="008A3B2C" w:rsidP="008A3B2C">
            <w:pPr>
              <w:spacing w:before="0" w:after="0"/>
              <w:jc w:val="center"/>
              <w:rPr>
                <w:rFonts w:cs="Arial"/>
                <w:b/>
                <w:lang w:val="es-CO" w:eastAsia="es-CO"/>
              </w:rPr>
            </w:pPr>
            <w:r w:rsidRPr="00321B46">
              <w:rPr>
                <w:rFonts w:cs="Arial"/>
                <w:b/>
                <w:bCs/>
                <w:lang w:val="es-CO" w:eastAsia="es-CO"/>
              </w:rPr>
              <w:t xml:space="preserve">RUTTY PAOLA </w:t>
            </w:r>
            <w:r w:rsidR="00365F76" w:rsidRPr="00321B46">
              <w:rPr>
                <w:b/>
              </w:rPr>
              <w:t>ORTIZ JARA</w:t>
            </w:r>
          </w:p>
        </w:tc>
        <w:tc>
          <w:tcPr>
            <w:tcW w:w="4253" w:type="dxa"/>
            <w:shd w:val="clear" w:color="auto" w:fill="FFFFFF"/>
            <w:hideMark/>
          </w:tcPr>
          <w:p w14:paraId="35A1EB99" w14:textId="3E4AC605" w:rsidR="008A3B2C" w:rsidRPr="00321B46" w:rsidRDefault="00365F76" w:rsidP="008A3B2C">
            <w:pPr>
              <w:spacing w:before="0" w:after="0"/>
              <w:jc w:val="center"/>
              <w:rPr>
                <w:rFonts w:cs="Arial"/>
                <w:lang w:val="es-CO" w:eastAsia="es-CO"/>
              </w:rPr>
            </w:pPr>
            <w:r w:rsidRPr="00321B46">
              <w:rPr>
                <w:rFonts w:cs="Arial"/>
                <w:b/>
                <w:bCs/>
                <w:lang w:val="es-CO" w:eastAsia="es-CO"/>
              </w:rPr>
              <w:t>GERMÁN CASTRO FERREIRA</w:t>
            </w:r>
          </w:p>
        </w:tc>
      </w:tr>
      <w:tr w:rsidR="008A3B2C" w:rsidRPr="00321B46" w14:paraId="7AA47A7D" w14:textId="77777777" w:rsidTr="008A3B2C">
        <w:trPr>
          <w:tblCellSpacing w:w="0" w:type="dxa"/>
        </w:trPr>
        <w:tc>
          <w:tcPr>
            <w:tcW w:w="5245" w:type="dxa"/>
            <w:shd w:val="clear" w:color="auto" w:fill="FFFFFF"/>
            <w:hideMark/>
          </w:tcPr>
          <w:p w14:paraId="4CCC7164" w14:textId="77777777" w:rsidR="00365F76" w:rsidRPr="00321B46" w:rsidRDefault="008A3B2C" w:rsidP="008A3B2C">
            <w:pPr>
              <w:spacing w:before="0" w:after="0"/>
              <w:jc w:val="center"/>
              <w:rPr>
                <w:rFonts w:cs="Arial"/>
                <w:lang w:val="es-CO" w:eastAsia="es-CO"/>
              </w:rPr>
            </w:pPr>
            <w:r w:rsidRPr="00321B46">
              <w:rPr>
                <w:rFonts w:cs="Arial"/>
                <w:lang w:val="es-CO" w:eastAsia="es-CO"/>
              </w:rPr>
              <w:t>Viceministra de Energía</w:t>
            </w:r>
          </w:p>
          <w:p w14:paraId="42358FAF" w14:textId="37DFA418" w:rsidR="008A3B2C" w:rsidRPr="00321B46" w:rsidRDefault="00365F76" w:rsidP="008A3B2C">
            <w:pPr>
              <w:spacing w:before="0" w:after="0"/>
              <w:jc w:val="center"/>
              <w:rPr>
                <w:rFonts w:cs="Arial"/>
                <w:lang w:val="es-CO" w:eastAsia="es-CO"/>
              </w:rPr>
            </w:pPr>
            <w:r w:rsidRPr="00321B46">
              <w:rPr>
                <w:rFonts w:cs="Arial"/>
                <w:lang w:val="es-CO" w:eastAsia="es-CO"/>
              </w:rPr>
              <w:t xml:space="preserve">Delegada del </w:t>
            </w:r>
            <w:r w:rsidR="008A3B2C" w:rsidRPr="00321B46">
              <w:rPr>
                <w:rFonts w:cs="Arial"/>
                <w:lang w:val="es-CO" w:eastAsia="es-CO"/>
              </w:rPr>
              <w:t>Ministro de Minas y Energía</w:t>
            </w:r>
          </w:p>
        </w:tc>
        <w:tc>
          <w:tcPr>
            <w:tcW w:w="4253" w:type="dxa"/>
            <w:shd w:val="clear" w:color="auto" w:fill="FFFFFF"/>
            <w:hideMark/>
          </w:tcPr>
          <w:p w14:paraId="1BD5F854" w14:textId="77777777" w:rsidR="008A3B2C" w:rsidRPr="00321B46" w:rsidRDefault="008A3B2C" w:rsidP="008A3B2C">
            <w:pPr>
              <w:spacing w:before="0" w:after="0"/>
              <w:jc w:val="center"/>
              <w:rPr>
                <w:rFonts w:cs="Arial"/>
                <w:lang w:val="es-CO" w:eastAsia="es-CO"/>
              </w:rPr>
            </w:pPr>
            <w:r w:rsidRPr="00321B46">
              <w:rPr>
                <w:rFonts w:cs="Arial"/>
                <w:lang w:val="es-CO" w:eastAsia="es-CO"/>
              </w:rPr>
              <w:t>Director Ejecutivo</w:t>
            </w:r>
          </w:p>
        </w:tc>
      </w:tr>
      <w:tr w:rsidR="008A3B2C" w:rsidRPr="00321B46" w14:paraId="0AC8E7BD" w14:textId="77777777" w:rsidTr="008A3B2C">
        <w:trPr>
          <w:tblCellSpacing w:w="0" w:type="dxa"/>
        </w:trPr>
        <w:tc>
          <w:tcPr>
            <w:tcW w:w="5245" w:type="dxa"/>
            <w:shd w:val="clear" w:color="auto" w:fill="FFFFFF"/>
            <w:hideMark/>
          </w:tcPr>
          <w:p w14:paraId="12FC14A9" w14:textId="77777777" w:rsidR="008A3B2C" w:rsidRPr="00321B46" w:rsidRDefault="008A3B2C" w:rsidP="008A3B2C">
            <w:pPr>
              <w:spacing w:before="0" w:after="0"/>
              <w:jc w:val="center"/>
              <w:rPr>
                <w:rFonts w:cs="Arial"/>
                <w:lang w:val="es-CO" w:eastAsia="es-CO"/>
              </w:rPr>
            </w:pPr>
            <w:r w:rsidRPr="00321B46">
              <w:rPr>
                <w:rFonts w:cs="Arial"/>
                <w:lang w:val="es-CO" w:eastAsia="es-CO"/>
              </w:rPr>
              <w:t>Presidente</w:t>
            </w:r>
          </w:p>
        </w:tc>
        <w:tc>
          <w:tcPr>
            <w:tcW w:w="4253" w:type="dxa"/>
            <w:shd w:val="clear" w:color="auto" w:fill="FFFFFF"/>
            <w:hideMark/>
          </w:tcPr>
          <w:p w14:paraId="6BB1459F" w14:textId="77777777" w:rsidR="008A3B2C" w:rsidRPr="00321B46" w:rsidRDefault="008A3B2C" w:rsidP="008A3B2C">
            <w:pPr>
              <w:spacing w:before="0" w:after="0"/>
              <w:jc w:val="left"/>
              <w:rPr>
                <w:rFonts w:cs="Arial"/>
                <w:lang w:val="es-CO" w:eastAsia="es-CO"/>
              </w:rPr>
            </w:pPr>
            <w:r w:rsidRPr="00321B46">
              <w:rPr>
                <w:rFonts w:cs="Arial"/>
                <w:noProof/>
                <w:lang w:val="es-CO" w:eastAsia="es-CO"/>
              </w:rPr>
              <w:drawing>
                <wp:inline distT="0" distB="0" distL="0" distR="0" wp14:anchorId="449743ED" wp14:editId="7A15BE00">
                  <wp:extent cx="9525" cy="9525"/>
                  <wp:effectExtent l="0" t="0" r="0" b="0"/>
                  <wp:docPr id="4" name="Imagen 4"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586F049E" w14:textId="77777777" w:rsidR="008A3B2C" w:rsidRPr="00321B46" w:rsidRDefault="008A3B2C" w:rsidP="008A3B2C">
      <w:pPr>
        <w:spacing w:before="0" w:after="0"/>
        <w:jc w:val="left"/>
        <w:rPr>
          <w:b/>
        </w:rPr>
      </w:pPr>
      <w:r w:rsidRPr="00321B46">
        <w:rPr>
          <w:b/>
        </w:rPr>
        <w:br w:type="page"/>
      </w:r>
    </w:p>
    <w:p w14:paraId="3610FBC3" w14:textId="77777777" w:rsidR="008A3B2C" w:rsidRPr="00321B46" w:rsidRDefault="008A3B2C" w:rsidP="008A3B2C">
      <w:pPr>
        <w:spacing w:before="0" w:after="0"/>
        <w:jc w:val="center"/>
        <w:rPr>
          <w:b/>
        </w:rPr>
      </w:pPr>
      <w:r w:rsidRPr="00321B46">
        <w:rPr>
          <w:b/>
        </w:rPr>
        <w:lastRenderedPageBreak/>
        <w:t>PROYECTO DE RESOLUCIÓN</w:t>
      </w:r>
    </w:p>
    <w:p w14:paraId="0C9C268C" w14:textId="77777777" w:rsidR="00E43449" w:rsidRPr="00321B46" w:rsidRDefault="00E43449" w:rsidP="00E43449">
      <w:pPr>
        <w:jc w:val="center"/>
        <w:rPr>
          <w:rFonts w:cs="Arial"/>
        </w:rPr>
      </w:pPr>
      <w:r w:rsidRPr="00321B46">
        <w:t xml:space="preserve">Por la cual se establece la metodología para la remuneración de la actividad de transmisión de energía eléctrica en el sistema </w:t>
      </w:r>
      <w:r w:rsidR="00672208" w:rsidRPr="00321B46">
        <w:t xml:space="preserve">interconectado </w:t>
      </w:r>
      <w:r w:rsidRPr="00321B46">
        <w:t>nacional</w:t>
      </w:r>
    </w:p>
    <w:p w14:paraId="5D7F7238" w14:textId="77777777" w:rsidR="00E43449" w:rsidRPr="00321B46" w:rsidRDefault="00E43449" w:rsidP="00E43449">
      <w:pPr>
        <w:spacing w:before="480" w:after="480"/>
        <w:jc w:val="center"/>
        <w:rPr>
          <w:rFonts w:cs="Arial"/>
          <w:b/>
        </w:rPr>
      </w:pPr>
      <w:r w:rsidRPr="00321B46">
        <w:rPr>
          <w:rFonts w:cs="Arial"/>
          <w:b/>
        </w:rPr>
        <w:t>LA COMISIÓN DE REGULACIÓN DE ENERGÍA Y GAS</w:t>
      </w:r>
    </w:p>
    <w:p w14:paraId="7D4DB25F" w14:textId="77777777" w:rsidR="00E43449" w:rsidRPr="00321B46" w:rsidRDefault="00E43449" w:rsidP="00E43449">
      <w:pPr>
        <w:rPr>
          <w:rFonts w:cs="Arial"/>
        </w:rPr>
      </w:pPr>
      <w:r w:rsidRPr="00321B46">
        <w:rPr>
          <w:rFonts w:cs="Arial"/>
        </w:rPr>
        <w:t>En ejercicio de las atribuciones legales, en especial las conferidas por las Leyes 142 y 143 de 1994, y los decretos 1524 y 2253 de 1994</w:t>
      </w:r>
      <w:r w:rsidR="00AB1B90" w:rsidRPr="00321B46">
        <w:rPr>
          <w:rFonts w:cs="Arial"/>
        </w:rPr>
        <w:t xml:space="preserve"> y 1260 de 2013</w:t>
      </w:r>
    </w:p>
    <w:p w14:paraId="28C0D329" w14:textId="77777777" w:rsidR="00E43449" w:rsidRPr="00321B46" w:rsidRDefault="00E43449" w:rsidP="00E43449">
      <w:pPr>
        <w:spacing w:before="480" w:after="480"/>
        <w:jc w:val="center"/>
        <w:rPr>
          <w:rFonts w:cs="Arial"/>
          <w:b/>
        </w:rPr>
      </w:pPr>
      <w:r w:rsidRPr="00321B46">
        <w:rPr>
          <w:rFonts w:cs="Arial"/>
          <w:b/>
        </w:rPr>
        <w:t>CONSIDERANDO QUE:</w:t>
      </w:r>
    </w:p>
    <w:p w14:paraId="36C9B7C5" w14:textId="77777777" w:rsidR="00981465" w:rsidRPr="00321B46" w:rsidRDefault="00981465" w:rsidP="003276B5">
      <w:pPr>
        <w:rPr>
          <w:rFonts w:cs="Arial"/>
        </w:rPr>
      </w:pPr>
      <w:r w:rsidRPr="00321B46">
        <w:rPr>
          <w:rFonts w:cs="Arial"/>
        </w:rPr>
        <w:t xml:space="preserve">Las características que tienen los servicios públicos, de acuerdo con lo establecido en la Constitución Nacional se enmarcan dentro de una connotación eminentemente social, ya que lo que busca es el bienestar y mejoramiento de la calidad de vida de las personas,  y por ello deben ser prestados en forma eficiente; constituyen un asunto de Estado, al estar ubicados dentro de la órbita de lo público, por lo que se deben prestar a todos los habitantes; el régimen tarifario debe estar basado en los criterios de costos, solidaridad y redistribución del ingreso; el Estado frente a ellos es soberano y busca el interés social, tanto es así que sí un particular los está prestando, puede reversarse ese hecho previa indemnización a quienes queden privados del ejercicio de esta actividad: su prestación es descentralizada y la prestación que se haga de los mismos a los estratos pobres, involucra a la Nación y sus recursos junto con los de las entidades territoriales a través de subsidios. </w:t>
      </w:r>
    </w:p>
    <w:p w14:paraId="3908E824" w14:textId="77777777" w:rsidR="00981465" w:rsidRPr="00321B46" w:rsidRDefault="00981465" w:rsidP="003276B5">
      <w:pPr>
        <w:rPr>
          <w:rFonts w:cs="Arial"/>
        </w:rPr>
      </w:pPr>
      <w:r w:rsidRPr="00321B46">
        <w:rPr>
          <w:rFonts w:cs="Arial"/>
        </w:rPr>
        <w:t>La misma Constitución Nacional establece que los servicios públicos, son inherentes a la finalidad social del Estado y determina su prestación eficiente a todos los habitantes del país, según un régimen legal especial para regulación, control y vigilancia de su prestación eficiente por parte del Estado o de particulares.</w:t>
      </w:r>
    </w:p>
    <w:p w14:paraId="17F7864E" w14:textId="77777777" w:rsidR="00981465" w:rsidRPr="00321B46" w:rsidRDefault="00981465" w:rsidP="003276B5">
      <w:pPr>
        <w:rPr>
          <w:rFonts w:cs="Arial"/>
        </w:rPr>
      </w:pPr>
      <w:r w:rsidRPr="00321B46">
        <w:rPr>
          <w:rFonts w:cs="Arial"/>
        </w:rPr>
        <w:t xml:space="preserve">Igualmente señaló con respecto a los servicios públicos domiciliarios, que la ley determinará su cobertura, atributos de calidad, financiación, y sus regímenes tarifarios especiales los cuales reflejan los costos eficientes y criterios de solidaridad y redistribución de ingresos, mediante entidades competentes. </w:t>
      </w:r>
    </w:p>
    <w:p w14:paraId="1ED17E44" w14:textId="3F9B0BAC" w:rsidR="00981465" w:rsidRPr="00321B46" w:rsidRDefault="00981465" w:rsidP="003276B5">
      <w:pPr>
        <w:rPr>
          <w:rFonts w:cs="Arial"/>
        </w:rPr>
      </w:pPr>
      <w:r w:rsidRPr="00321B46">
        <w:rPr>
          <w:rFonts w:cs="Arial"/>
        </w:rPr>
        <w:t xml:space="preserve">El artículo 334 de la Constitución Nacional, dispone que la dirección general de la economía estará a cargo del Estado, quien es el llamado a intervenir por mandato legal en diferentes áreas de la economía dentro de los servicios públicos. </w:t>
      </w:r>
    </w:p>
    <w:p w14:paraId="396A999B" w14:textId="4D91694B" w:rsidR="00981465" w:rsidRPr="00321B46" w:rsidRDefault="00981465" w:rsidP="003276B5">
      <w:pPr>
        <w:rPr>
          <w:rFonts w:cs="Arial"/>
        </w:rPr>
      </w:pPr>
      <w:r w:rsidRPr="00321B46">
        <w:rPr>
          <w:rFonts w:cs="Arial"/>
        </w:rPr>
        <w:t xml:space="preserve">El artículo 333 de la Constitución garantiza el libre ejercicio de la actividad económica y de la iniciativa privada dentro de los límites del bien común, asegurando la libre competencia económica como derecho de todos que supone responsabilidades. </w:t>
      </w:r>
    </w:p>
    <w:p w14:paraId="3D7A0EC2" w14:textId="48B7AEFC" w:rsidR="00981465" w:rsidRPr="00321B46" w:rsidRDefault="00981465" w:rsidP="003276B5">
      <w:pPr>
        <w:rPr>
          <w:rFonts w:cs="Arial"/>
        </w:rPr>
      </w:pPr>
      <w:r w:rsidRPr="00321B46">
        <w:rPr>
          <w:rFonts w:cs="Arial"/>
        </w:rPr>
        <w:t xml:space="preserve">El Estado, por mandato constitucional tiene la obligación de impedir que se  restrinja u obstruya la libertad económica y evita o controla cualquier abuso que </w:t>
      </w:r>
      <w:r w:rsidRPr="00321B46">
        <w:rPr>
          <w:rFonts w:cs="Arial"/>
        </w:rPr>
        <w:lastRenderedPageBreak/>
        <w:t>personas o empresas hagan de su posición dominante en el mercado nacional, correspondiéndole a la ley delimitar el alcance de dicha libertad económica cuando lo exijan el interés social, el ambiente y el patrimonio cultural de la Nación. </w:t>
      </w:r>
    </w:p>
    <w:p w14:paraId="044A7D54" w14:textId="77777777" w:rsidR="00981465" w:rsidRPr="00321B46" w:rsidRDefault="00981465" w:rsidP="003276B5">
      <w:pPr>
        <w:rPr>
          <w:rFonts w:cs="Arial"/>
        </w:rPr>
      </w:pPr>
      <w:r w:rsidRPr="00321B46">
        <w:rPr>
          <w:rFonts w:cs="Arial"/>
        </w:rPr>
        <w:t xml:space="preserve">Respecto a las competencias  regulatorias sobre la prestación de los servicios públicos domiciliarios al Presidente de la República se las otorgó en relación con las políticas generales de administración y control de eficiencia de la prestación de los mismos, en todo caso estando siempre sujeto a las disposiciones legales expedidas sobre esta materia. </w:t>
      </w:r>
    </w:p>
    <w:p w14:paraId="52DE18E1" w14:textId="77777777" w:rsidR="00981465" w:rsidRPr="00321B46" w:rsidRDefault="00981465" w:rsidP="003276B5">
      <w:pPr>
        <w:rPr>
          <w:rFonts w:cs="Arial"/>
        </w:rPr>
      </w:pPr>
      <w:r w:rsidRPr="00321B46">
        <w:rPr>
          <w:rFonts w:cs="Arial"/>
        </w:rPr>
        <w:t>Por su parte y en desarrollo de lo anterior, se expidió la Ley 142 de 1994, mediante la cual el Congreso Nacional estableció el régimen especial referente a la prestación de los servicios públicos domiciliarios.</w:t>
      </w:r>
    </w:p>
    <w:p w14:paraId="531FD649" w14:textId="2088D70B" w:rsidR="00981465" w:rsidRPr="00321B46" w:rsidRDefault="00981465" w:rsidP="003276B5">
      <w:pPr>
        <w:rPr>
          <w:rFonts w:cs="Arial"/>
        </w:rPr>
      </w:pPr>
      <w:r w:rsidRPr="00321B46">
        <w:rPr>
          <w:rFonts w:cs="Arial"/>
        </w:rPr>
        <w:t xml:space="preserve">Dentro de ley en mención, debemos tener en cuenta lo dispuesto por el artículo 126 de la Ley 142 de 1994, en donde se establece lo siguiente: </w:t>
      </w:r>
    </w:p>
    <w:p w14:paraId="68A40F82" w14:textId="77777777" w:rsidR="00981465" w:rsidRPr="00321B46" w:rsidRDefault="00981465" w:rsidP="00981465">
      <w:pPr>
        <w:spacing w:before="0" w:after="0"/>
        <w:ind w:left="426" w:right="425"/>
        <w:rPr>
          <w:rFonts w:cs="Arial"/>
          <w:i/>
          <w:sz w:val="22"/>
          <w:szCs w:val="20"/>
          <w:lang w:eastAsia="es-CO"/>
        </w:rPr>
      </w:pPr>
      <w:r w:rsidRPr="00321B46">
        <w:rPr>
          <w:rFonts w:cs="Arial"/>
          <w:bCs/>
          <w:i/>
          <w:sz w:val="22"/>
          <w:szCs w:val="20"/>
          <w:lang w:eastAsia="es-CO"/>
        </w:rPr>
        <w:t xml:space="preserve">Artículo 126.- </w:t>
      </w:r>
      <w:r w:rsidRPr="00321B46">
        <w:rPr>
          <w:rFonts w:cs="Arial"/>
          <w:i/>
          <w:sz w:val="22"/>
          <w:szCs w:val="20"/>
          <w:lang w:eastAsia="es-CO"/>
        </w:rPr>
        <w:t xml:space="preserve">Vigencia de las fórmulas de tarifas. 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 </w:t>
      </w:r>
    </w:p>
    <w:p w14:paraId="78F3D39A" w14:textId="77777777" w:rsidR="00981465" w:rsidRPr="00321B46" w:rsidRDefault="00981465" w:rsidP="00981465">
      <w:pPr>
        <w:spacing w:before="0" w:after="0"/>
        <w:ind w:left="426" w:right="425"/>
        <w:rPr>
          <w:rFonts w:cs="Arial"/>
          <w:i/>
          <w:sz w:val="22"/>
          <w:szCs w:val="20"/>
          <w:lang w:eastAsia="es-CO"/>
        </w:rPr>
      </w:pPr>
    </w:p>
    <w:p w14:paraId="3D09B1EF" w14:textId="77777777" w:rsidR="00981465" w:rsidRPr="00321B46" w:rsidRDefault="00981465" w:rsidP="00981465">
      <w:pPr>
        <w:spacing w:before="0" w:after="0"/>
        <w:ind w:left="426" w:right="425"/>
        <w:rPr>
          <w:rFonts w:cs="Arial"/>
          <w:i/>
          <w:sz w:val="22"/>
          <w:szCs w:val="20"/>
          <w:lang w:eastAsia="es-CO"/>
        </w:rPr>
      </w:pPr>
      <w:r w:rsidRPr="00321B46">
        <w:rPr>
          <w:rFonts w:cs="Arial"/>
          <w:i/>
          <w:sz w:val="22"/>
          <w:szCs w:val="20"/>
          <w:lang w:eastAsia="es-CO"/>
        </w:rPr>
        <w:t xml:space="preserve">Vencido el período de vigencia de las fórmulas tarifarias, continuarán rigiendo mientras la comisión no fije las nuevas. </w:t>
      </w:r>
    </w:p>
    <w:p w14:paraId="5528AB28" w14:textId="3D8D514C" w:rsidR="00981465" w:rsidRPr="00321B46" w:rsidRDefault="00981465" w:rsidP="003276B5">
      <w:pPr>
        <w:rPr>
          <w:rFonts w:cs="Arial"/>
        </w:rPr>
      </w:pPr>
      <w:r w:rsidRPr="00321B46">
        <w:rPr>
          <w:rFonts w:cs="Arial"/>
        </w:rPr>
        <w:t xml:space="preserve">Por otra parte, la regulación que </w:t>
      </w:r>
      <w:r w:rsidR="0026344B" w:rsidRPr="00321B46">
        <w:t xml:space="preserve">establezcan </w:t>
      </w:r>
      <w:r w:rsidRPr="00321B46">
        <w:rPr>
          <w:rFonts w:cs="Arial"/>
        </w:rPr>
        <w:t>las comisiones sobre políticas generales de administración y control de eficiencia de los servicios públicos domiciliarios, conlleva la facultad para dictar normas administrativas de carácter general o particular, destinadas a  personas que prestan servicios públicos domiciliarios para lograr su prestación eficiente.</w:t>
      </w:r>
    </w:p>
    <w:p w14:paraId="6C356259" w14:textId="77777777" w:rsidR="00981465" w:rsidRPr="00321B46" w:rsidRDefault="00981465" w:rsidP="00981465">
      <w:pPr>
        <w:rPr>
          <w:rFonts w:cs="Arial"/>
        </w:rPr>
      </w:pPr>
      <w:r w:rsidRPr="00321B46">
        <w:rPr>
          <w:rFonts w:cs="Arial"/>
        </w:rPr>
        <w:t>Así mismo, se expidió la Ley 143 de 1994, la cual establece el régimen de las actividades de generación, interconexión, transmisión, distribución y comercialización de electricidad, que en lo sucesivo se denominarán actividades del sector, en concordancia con las funciones constitucionales y legales que le corresponden al Ministerio de Minas y Energía.</w:t>
      </w:r>
    </w:p>
    <w:p w14:paraId="08718E0F" w14:textId="570AD0C3" w:rsidR="00E43449" w:rsidRPr="00321B46" w:rsidRDefault="00E43449" w:rsidP="00981465">
      <w:pPr>
        <w:rPr>
          <w:rFonts w:cs="Arial"/>
        </w:rPr>
      </w:pPr>
      <w:r w:rsidRPr="00321B46">
        <w:rPr>
          <w:rFonts w:cs="Arial"/>
        </w:rPr>
        <w:t xml:space="preserve">De acuerdo con lo previsto en los </w:t>
      </w:r>
      <w:r w:rsidR="00A376C6" w:rsidRPr="00321B46">
        <w:rPr>
          <w:rFonts w:cs="Arial"/>
        </w:rPr>
        <w:t xml:space="preserve">literales c) y d) del </w:t>
      </w:r>
      <w:r w:rsidRPr="00321B46">
        <w:rPr>
          <w:rFonts w:cs="Arial"/>
        </w:rPr>
        <w:t xml:space="preserve">artículo 23 y </w:t>
      </w:r>
      <w:r w:rsidR="00A376C6" w:rsidRPr="00321B46">
        <w:rPr>
          <w:rFonts w:cs="Arial"/>
        </w:rPr>
        <w:t xml:space="preserve">en el artículo </w:t>
      </w:r>
      <w:r w:rsidRPr="00321B46">
        <w:rPr>
          <w:rFonts w:cs="Arial"/>
        </w:rPr>
        <w:t>41 de la Ley 143 de 1994, es función de la Comisión de Regulación de Energía y Gas definir la metodología para el cálculo y fijar las tarifas por el acceso y uso de las redes eléctricas, así como el procedimiento para hacer efectivo su pago</w:t>
      </w:r>
      <w:r w:rsidR="00936A44" w:rsidRPr="00321B46">
        <w:rPr>
          <w:rFonts w:cs="Arial"/>
        </w:rPr>
        <w:t>.</w:t>
      </w:r>
    </w:p>
    <w:p w14:paraId="076397D7" w14:textId="77777777" w:rsidR="00E43449" w:rsidRPr="00321B46" w:rsidRDefault="00E43449" w:rsidP="00E43449">
      <w:pPr>
        <w:rPr>
          <w:rFonts w:cs="Arial"/>
        </w:rPr>
      </w:pPr>
      <w:r w:rsidRPr="00321B46">
        <w:rPr>
          <w:rFonts w:cs="Arial"/>
        </w:rPr>
        <w:t>Según lo previsto en la Ley 143 de 1994, artículo 6, la actividad de transmisión de energía eléctrica se rige por los principios de eficiencia, calidad, continuidad, adaptabilidad, neu</w:t>
      </w:r>
      <w:r w:rsidR="00936A44" w:rsidRPr="00321B46">
        <w:rPr>
          <w:rFonts w:cs="Arial"/>
        </w:rPr>
        <w:t>tralidad, solidaridad y equidad.</w:t>
      </w:r>
    </w:p>
    <w:p w14:paraId="12C4C409" w14:textId="77777777" w:rsidR="00E43449" w:rsidRPr="00321B46" w:rsidRDefault="00E43449" w:rsidP="00E43449">
      <w:pPr>
        <w:rPr>
          <w:rFonts w:cs="Arial"/>
        </w:rPr>
      </w:pPr>
      <w:r w:rsidRPr="00321B46">
        <w:rPr>
          <w:rFonts w:cs="Arial"/>
        </w:rPr>
        <w:lastRenderedPageBreak/>
        <w:t>El artículo 23, literal n), de la Ley 143 de 1994 establece que la Comisión de Regulación de Energía y Gas tiene dentro de sus funciones generales la de definir y hacer operativos los criterios técnicos de calidad, confiabilidad y seguridad del servicio de energía</w:t>
      </w:r>
      <w:r w:rsidR="00936A44" w:rsidRPr="00321B46">
        <w:rPr>
          <w:rFonts w:cs="Arial"/>
        </w:rPr>
        <w:t>.</w:t>
      </w:r>
    </w:p>
    <w:p w14:paraId="21A15833" w14:textId="10D1808F" w:rsidR="00E43449" w:rsidRPr="00321B46" w:rsidRDefault="00E43449" w:rsidP="00E43449">
      <w:pPr>
        <w:rPr>
          <w:rFonts w:cs="Arial"/>
        </w:rPr>
      </w:pPr>
      <w:r w:rsidRPr="00321B46">
        <w:rPr>
          <w:rFonts w:cs="Arial"/>
        </w:rPr>
        <w:t xml:space="preserve">La Ley 143 de 1994, </w:t>
      </w:r>
      <w:r w:rsidR="00B35A79" w:rsidRPr="00321B46">
        <w:rPr>
          <w:rFonts w:cs="Arial"/>
        </w:rPr>
        <w:t xml:space="preserve">en su </w:t>
      </w:r>
      <w:r w:rsidRPr="00321B46">
        <w:rPr>
          <w:rFonts w:cs="Arial"/>
        </w:rPr>
        <w:t>artículo 39, establece que “los cargos asociados con el acceso y uso de las redes del sistema interconectado nacional cubrirán, en condiciones óptimas de gestión, los costos de inversión de las redes de interconexión, transmisión y distribución, según los diferentes niveles de tensión, incluido el costo de oportunidad de capital, de administración, operación y mantenimiento, en condiciones adecuadas de calidad y confiabilidad y de desarrollo sostenible. Estos cargos tendrán en cuenta crit</w:t>
      </w:r>
      <w:r w:rsidR="00936A44" w:rsidRPr="00321B46">
        <w:rPr>
          <w:rFonts w:cs="Arial"/>
        </w:rPr>
        <w:t>erios de viabilidad financiera”.</w:t>
      </w:r>
    </w:p>
    <w:p w14:paraId="45C16894" w14:textId="77777777" w:rsidR="00E43449" w:rsidRPr="00321B46" w:rsidRDefault="00E43449" w:rsidP="00E43449">
      <w:r w:rsidRPr="00321B46">
        <w:t xml:space="preserve">Según lo dispuesto en los artículos </w:t>
      </w:r>
      <w:r w:rsidR="00A376C6" w:rsidRPr="00321B46">
        <w:t>87 de la Ley 142</w:t>
      </w:r>
      <w:r w:rsidRPr="00321B46">
        <w:t xml:space="preserve"> de 1994 y </w:t>
      </w:r>
      <w:r w:rsidR="00A376C6" w:rsidRPr="00321B46">
        <w:t>44 de la Ley 143</w:t>
      </w:r>
      <w:r w:rsidRPr="00321B46">
        <w:t xml:space="preserve"> del mismo año, el régimen tarifario para usuarios finales regulados de una misma empresa estará orientado por los criterios de eficiencia económica, suficiencia financiera, neutralidad, solidaridad y redistribución del ingre</w:t>
      </w:r>
      <w:r w:rsidR="00936A44" w:rsidRPr="00321B46">
        <w:t>so, simplicidad y transparencia.</w:t>
      </w:r>
    </w:p>
    <w:p w14:paraId="27D5DD9E" w14:textId="77777777" w:rsidR="00E43449" w:rsidRPr="00321B46" w:rsidRDefault="00E43449" w:rsidP="00E43449">
      <w:r w:rsidRPr="00321B46">
        <w:t xml:space="preserve">En virtud del principio de eficiencia económica definido por los </w:t>
      </w:r>
      <w:r w:rsidR="00A376C6" w:rsidRPr="00321B46">
        <w:t xml:space="preserve">mismos </w:t>
      </w:r>
      <w:r w:rsidRPr="00321B46">
        <w:t>artículos, el régimen de tarifas procurará que éstas se aproximen a lo que serían los precios de un mercado competitivo, garantizándose una asignación eficie</w:t>
      </w:r>
      <w:r w:rsidR="00936A44" w:rsidRPr="00321B46">
        <w:t>nte de recursos en la economía.</w:t>
      </w:r>
    </w:p>
    <w:p w14:paraId="52A3C6CC" w14:textId="77777777" w:rsidR="00E43449" w:rsidRPr="00321B46" w:rsidRDefault="00E43449" w:rsidP="00E43449">
      <w:r w:rsidRPr="00321B46">
        <w:t xml:space="preserve">En particular, el </w:t>
      </w:r>
      <w:r w:rsidR="00914591" w:rsidRPr="00321B46">
        <w:t xml:space="preserve">numeral </w:t>
      </w:r>
      <w:r w:rsidRPr="00321B46">
        <w:t>87.1 de</w:t>
      </w:r>
      <w:r w:rsidR="00914591" w:rsidRPr="00321B46">
        <w:t>l</w:t>
      </w:r>
      <w:r w:rsidRPr="00321B46">
        <w:t xml:space="preserve"> </w:t>
      </w:r>
      <w:r w:rsidR="00914591" w:rsidRPr="00321B46">
        <w:t xml:space="preserve">artículo 87 de </w:t>
      </w:r>
      <w:r w:rsidRPr="00321B46">
        <w:t>la Ley 142 de 1994 establece que se deben tener en cuenta “los aumentos de productividad esperados, y que éstos deben distribuirse entre la empresa y los usuarios, tal como ocurri</w:t>
      </w:r>
      <w:r w:rsidR="00936A44" w:rsidRPr="00321B46">
        <w:t>ría en un mercado competitivo”.</w:t>
      </w:r>
    </w:p>
    <w:p w14:paraId="700E5620" w14:textId="77777777" w:rsidR="00E43449" w:rsidRPr="00321B46" w:rsidRDefault="00E43449" w:rsidP="00E43449">
      <w:r w:rsidRPr="00321B46">
        <w:t xml:space="preserve">De acuerdo con el </w:t>
      </w:r>
      <w:r w:rsidR="00914591" w:rsidRPr="00321B46">
        <w:t xml:space="preserve">numeral </w:t>
      </w:r>
      <w:r w:rsidRPr="00321B46">
        <w:t>87.8 de</w:t>
      </w:r>
      <w:r w:rsidR="00914591" w:rsidRPr="00321B46">
        <w:t>l</w:t>
      </w:r>
      <w:r w:rsidRPr="00321B46">
        <w:t xml:space="preserve"> </w:t>
      </w:r>
      <w:r w:rsidR="00914591" w:rsidRPr="00321B46">
        <w:t xml:space="preserve">artículo 87 de </w:t>
      </w:r>
      <w:r w:rsidRPr="00321B46">
        <w:t>la Ley 142 de 1994, “toda tarifa tendrá un carácter integral, en el sentido de que supondrá una calidad y grado de cobertura del servicio, cuyas características definirán las comisiones reguladoras. Un cambio en estas características se considera</w:t>
      </w:r>
      <w:r w:rsidR="00936A44" w:rsidRPr="00321B46">
        <w:t>rá como un cambio en la tarifa”.</w:t>
      </w:r>
    </w:p>
    <w:p w14:paraId="710AF78B" w14:textId="77777777" w:rsidR="00E43449" w:rsidRPr="00321B46" w:rsidRDefault="00E43449" w:rsidP="00E43449">
      <w:r w:rsidRPr="00321B46">
        <w:t xml:space="preserve">Según lo dispuesto en el artículo 92 de la Ley 142 de 1994, las comisiones pueden corregir en las fórmulas, “los índices de precios aplicables a los costos y gastos de la empresa con un factor que mida los aumentos de productividad que se esperan en ella, y permitir que la fórmula distribuya entre la empresa y el usuario los beneficios </w:t>
      </w:r>
      <w:r w:rsidR="00936A44" w:rsidRPr="00321B46">
        <w:t>de tales aumentos”.</w:t>
      </w:r>
    </w:p>
    <w:p w14:paraId="4CC77B51" w14:textId="503DA1B9" w:rsidR="00E43449" w:rsidRPr="00321B46" w:rsidRDefault="00E43449" w:rsidP="00E43449">
      <w:r w:rsidRPr="00321B46">
        <w:t>En virtud del principio de suficiencia financiera</w:t>
      </w:r>
      <w:r w:rsidR="00B35A79" w:rsidRPr="00321B46">
        <w:t>,</w:t>
      </w:r>
      <w:r w:rsidRPr="00321B46">
        <w:t xml:space="preserve"> definido en los artículos </w:t>
      </w:r>
      <w:r w:rsidR="00A376C6" w:rsidRPr="00321B46">
        <w:t xml:space="preserve">87 de la Ley 142 de 1994 y 44 de la Ley 143 </w:t>
      </w:r>
      <w:r w:rsidRPr="00321B46">
        <w:t>del mismo año,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w:t>
      </w:r>
      <w:r w:rsidR="00936A44" w:rsidRPr="00321B46">
        <w:t xml:space="preserve"> un sector de riesgo comparable.</w:t>
      </w:r>
    </w:p>
    <w:p w14:paraId="1BD2BAF4" w14:textId="77777777" w:rsidR="00E43449" w:rsidRPr="00321B46" w:rsidRDefault="00E43449" w:rsidP="00E43449">
      <w:r w:rsidRPr="00321B46">
        <w:t xml:space="preserve">De conformidad con lo previsto en el artículo 11 de la Ley 143 de 1994, bajo el régimen tarifario de libertad regulada le corresponde a la Comisión de Regulación de Energía y Gas fijar “los criterios y la metodología con arreglo a los cuales las </w:t>
      </w:r>
      <w:r w:rsidRPr="00321B46">
        <w:lastRenderedPageBreak/>
        <w:t>empresas de electricidad podrán determinar o modificar los precios máximo</w:t>
      </w:r>
      <w:r w:rsidR="00936A44" w:rsidRPr="00321B46">
        <w:t>s para los servicios ofrecidos”.</w:t>
      </w:r>
    </w:p>
    <w:p w14:paraId="7E5AE506" w14:textId="77777777" w:rsidR="00E43449" w:rsidRPr="00321B46" w:rsidRDefault="00E43449" w:rsidP="00E43449">
      <w:r w:rsidRPr="00321B46">
        <w:t>De acuerdo con la Ley 142 de 1994, artículo 18, todas las personas jurídicas están facultadas para hacer inversiones en</w:t>
      </w:r>
      <w:r w:rsidR="00936A44" w:rsidRPr="00321B46">
        <w:t xml:space="preserve"> empresas de servicios públicos.</w:t>
      </w:r>
    </w:p>
    <w:p w14:paraId="001114D7" w14:textId="77777777" w:rsidR="00E43449" w:rsidRPr="00321B46" w:rsidRDefault="00E43449" w:rsidP="00E43449">
      <w:r w:rsidRPr="00321B46">
        <w:t>Según lo dispuesto en el artículo 85 de la Ley 143 de 1994, las decisiones de inversión en transmisión de energía eléctrica constituyen responsabilidad de aquellos que las acometan, quienes asumen en su integridad los riesgos inherentes a la ejecución</w:t>
      </w:r>
      <w:r w:rsidR="00936A44" w:rsidRPr="00321B46">
        <w:t xml:space="preserve"> y explotación de los proyectos.</w:t>
      </w:r>
    </w:p>
    <w:p w14:paraId="2A5920BF" w14:textId="77777777" w:rsidR="00E43449" w:rsidRPr="00321B46" w:rsidRDefault="00565739" w:rsidP="00E43449">
      <w:pPr>
        <w:rPr>
          <w:lang w:eastAsia="es-CO"/>
        </w:rPr>
      </w:pPr>
      <w:r w:rsidRPr="00321B46">
        <w:t>El numeral 87.9 del artículo 87 de la Ley 142 de 1994 modificado por el artículo 99 de la Ley 1450 de 2011</w:t>
      </w:r>
      <w:r w:rsidR="00E43449" w:rsidRPr="00321B46">
        <w:t>, establece que “</w:t>
      </w:r>
      <w:r w:rsidR="00E43449" w:rsidRPr="00321B46">
        <w:rPr>
          <w:lang w:eastAsia="es-CO"/>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respecto de dichos bienes o derechos”</w:t>
      </w:r>
      <w:r w:rsidR="00936A44" w:rsidRPr="00321B46">
        <w:rPr>
          <w:lang w:eastAsia="es-CO"/>
        </w:rPr>
        <w:t>.</w:t>
      </w:r>
    </w:p>
    <w:p w14:paraId="384A1269" w14:textId="77777777" w:rsidR="00E43449" w:rsidRPr="00321B46" w:rsidRDefault="00E43449" w:rsidP="00E43449">
      <w:r w:rsidRPr="00321B46">
        <w:t xml:space="preserve">Según lo establecido </w:t>
      </w:r>
      <w:r w:rsidR="00565739" w:rsidRPr="00321B46">
        <w:t>en el artículo 18 de la Ley 143 de 1994</w:t>
      </w:r>
      <w:r w:rsidRPr="00321B46">
        <w:t>, modificado por el artículo 67 de la Ley 1151 de 2007, “compete al Ministerio de Minas y Energía definir los planes de expansión de la generación y de la red de interconexión y fijar criterios para orientar el planeamiento de la transmisión y la distribución” y de acuerdo con esta misma norma “los planes de generación y de interconexión serán de referencia y buscarán optimizar el balance de los recursos energéticos para la satisfacción de la demanda nacional de electricidad en concordancia con el Plan Nacional de Desarrollo</w:t>
      </w:r>
      <w:r w:rsidR="00936A44" w:rsidRPr="00321B46">
        <w:t xml:space="preserve"> y el Plan Energético Nacional”.</w:t>
      </w:r>
    </w:p>
    <w:p w14:paraId="0CB11127" w14:textId="77777777" w:rsidR="00E43449" w:rsidRPr="00321B46" w:rsidRDefault="00E43449" w:rsidP="00E43449">
      <w:pPr>
        <w:rPr>
          <w:lang w:val="es-ES_tradnl"/>
        </w:rPr>
      </w:pPr>
      <w:r w:rsidRPr="00321B46">
        <w:rPr>
          <w:lang w:val="es-ES_tradnl"/>
        </w:rPr>
        <w:t xml:space="preserve">La Resolución CREG 008 de 2003 estableció las reglas para la liquidación y administración de cuentas por uso de las redes del sistema interconectado nacional asignadas al liquidador y administrador de cuentas, la cual fue modificada por la Resolución CREG 157 </w:t>
      </w:r>
      <w:r w:rsidR="00936A44" w:rsidRPr="00321B46">
        <w:rPr>
          <w:lang w:val="es-ES_tradnl"/>
        </w:rPr>
        <w:t>de 2011.</w:t>
      </w:r>
    </w:p>
    <w:p w14:paraId="7FEBB1D2" w14:textId="77777777" w:rsidR="00E43449" w:rsidRPr="00321B46" w:rsidRDefault="00E43449" w:rsidP="00E43449">
      <w:r w:rsidRPr="00321B46">
        <w:t>Mediante la Resolución CREG 011 de 2009 la Comisión de Regulación de Energía y Gas estableció la metodología y fórmulas tarifarias para la remuneración de la actividad de transmisión de energía eléctrica en el sistema de transmisión nacional, la c</w:t>
      </w:r>
      <w:r w:rsidR="00936A44" w:rsidRPr="00321B46">
        <w:t>ual se encuentra vigente.</w:t>
      </w:r>
    </w:p>
    <w:p w14:paraId="1011CF63" w14:textId="77777777" w:rsidR="00E43449" w:rsidRPr="00321B46" w:rsidRDefault="00E43449" w:rsidP="00E43449">
      <w:r w:rsidRPr="00321B46">
        <w:t xml:space="preserve">Para la expedición de la metodología de remuneración de la actividad de transmisión de energía eléctrica para el </w:t>
      </w:r>
      <w:r w:rsidR="009D1909" w:rsidRPr="00321B46">
        <w:t xml:space="preserve">siguiente </w:t>
      </w:r>
      <w:r w:rsidRPr="00321B46">
        <w:t>periodo tarifario, se ha seguido el procedimiento establecido en el artíc</w:t>
      </w:r>
      <w:r w:rsidR="00936A44" w:rsidRPr="00321B46">
        <w:t>ulo 11 del Decreto 2696 de 2004.</w:t>
      </w:r>
    </w:p>
    <w:p w14:paraId="164DB374" w14:textId="7174AC9E" w:rsidR="00E43449" w:rsidRPr="00321B46" w:rsidRDefault="00E43449" w:rsidP="00E43449">
      <w:r w:rsidRPr="00321B46">
        <w:t xml:space="preserve">Mediante la Resolución CREG 042 de 2013, </w:t>
      </w:r>
      <w:r w:rsidR="00167F2E" w:rsidRPr="00321B46">
        <w:t xml:space="preserve">la cual se publicó en la página web de la CREG, el 10 de mayo de 2013, </w:t>
      </w:r>
      <w:r w:rsidRPr="00321B46">
        <w:t xml:space="preserve">la Comisión puso en conocimiento de las entidades prestadoras del servicio público domiciliario de energía eléctrica, los usuarios y demás interesados las bases sobre las cuales </w:t>
      </w:r>
      <w:r w:rsidR="00B35A79" w:rsidRPr="00321B46">
        <w:t xml:space="preserve">se efectuaría </w:t>
      </w:r>
      <w:r w:rsidRPr="00321B46">
        <w:t xml:space="preserve">el estudio para determinar los principios generales, la metodología y fórmulas para el establecimiento de los cargos por uso que remunerarán la actividad de transmisión de energía eléctrica en el sistema interconectado nacional durante </w:t>
      </w:r>
      <w:r w:rsidRPr="00321B46">
        <w:lastRenderedPageBreak/>
        <w:t>el siguiente periodo tarifario</w:t>
      </w:r>
      <w:r w:rsidR="00315ABF" w:rsidRPr="00321B46">
        <w:t>. Lo anterior</w:t>
      </w:r>
      <w:r w:rsidRPr="00321B46">
        <w:t xml:space="preserve"> </w:t>
      </w:r>
      <w:r w:rsidR="00EB59CA" w:rsidRPr="00321B46">
        <w:t>para dar</w:t>
      </w:r>
      <w:r w:rsidRPr="00321B46">
        <w:t xml:space="preserve"> cumplimiento </w:t>
      </w:r>
      <w:r w:rsidR="00EB59CA" w:rsidRPr="00321B46">
        <w:t xml:space="preserve">a </w:t>
      </w:r>
      <w:r w:rsidRPr="00321B46">
        <w:t xml:space="preserve">lo previsto en los </w:t>
      </w:r>
      <w:r w:rsidR="0051173D" w:rsidRPr="00321B46">
        <w:t xml:space="preserve">numerales </w:t>
      </w:r>
      <w:r w:rsidRPr="00321B46">
        <w:t xml:space="preserve">11.1 y 11.2 del </w:t>
      </w:r>
      <w:r w:rsidR="0051173D" w:rsidRPr="00321B46">
        <w:t xml:space="preserve">artículo 11 del </w:t>
      </w:r>
      <w:r w:rsidRPr="00321B46">
        <w:t>Decreto 2696 de 2004</w:t>
      </w:r>
      <w:r w:rsidR="00315ABF" w:rsidRPr="00321B46">
        <w:t>.</w:t>
      </w:r>
    </w:p>
    <w:p w14:paraId="3DEA1C3E" w14:textId="77777777" w:rsidR="00E43449" w:rsidRPr="00321B46" w:rsidRDefault="00E43449" w:rsidP="00E43449">
      <w:pPr>
        <w:rPr>
          <w:spacing w:val="-3"/>
          <w:lang w:val="es-CO"/>
        </w:rPr>
      </w:pPr>
      <w:r w:rsidRPr="00321B46">
        <w:rPr>
          <w:spacing w:val="-3"/>
        </w:rPr>
        <w:t xml:space="preserve">Respecto de lo expuesto con </w:t>
      </w:r>
      <w:r w:rsidRPr="00321B46">
        <w:rPr>
          <w:spacing w:val="-3"/>
          <w:lang w:val="es-CO"/>
        </w:rPr>
        <w:t>la Resolución CREG 042 de 2013 se recibieron comentarios de las siguientes empresas: Andesco E-2013-005835, EEB E 2013-005822, Isagen E-2013-005767, Transelca E-2013-005866, CAPT E-2013-005879, CNO E-2013-005877, Epsa E-2013-005811, EPM, E-2013-005950, ISA E-2013-005909</w:t>
      </w:r>
      <w:r w:rsidR="00BB4DA8" w:rsidRPr="00321B46">
        <w:rPr>
          <w:spacing w:val="-3"/>
          <w:lang w:val="es-CO"/>
        </w:rPr>
        <w:t>.</w:t>
      </w:r>
    </w:p>
    <w:p w14:paraId="594A4BB7" w14:textId="77777777" w:rsidR="00E43449" w:rsidRPr="00321B46" w:rsidRDefault="00E43449" w:rsidP="00E43449">
      <w:r w:rsidRPr="00321B46">
        <w:t>Posteriormente, en la Resolución CREG 078 de 2014 se hicieron públicos los propósitos y lineamientos para la remuneración de la actividad de transmisión de energía eléctrica para e</w:t>
      </w:r>
      <w:r w:rsidR="00936A44" w:rsidRPr="00321B46">
        <w:t>l periodo tarifario 2015 – 2019.</w:t>
      </w:r>
    </w:p>
    <w:p w14:paraId="1247997A" w14:textId="77777777" w:rsidR="00E43449" w:rsidRPr="00321B46" w:rsidRDefault="00E43449" w:rsidP="00E43449">
      <w:pPr>
        <w:rPr>
          <w:spacing w:val="-3"/>
        </w:rPr>
      </w:pPr>
      <w:r w:rsidRPr="00321B46">
        <w:rPr>
          <w:spacing w:val="-3"/>
        </w:rPr>
        <w:t>Sobre el contenido de la Resolución CREG 078 de 2014 se recibieron comentarios por parte de: Isagen E-2014-006673, EPSA E-2014-006683, EEB E</w:t>
      </w:r>
      <w:r w:rsidRPr="00321B46">
        <w:rPr>
          <w:spacing w:val="-3"/>
        </w:rPr>
        <w:noBreakHyphen/>
        <w:t>2014-006687, Andesco E</w:t>
      </w:r>
      <w:r w:rsidRPr="00321B46">
        <w:rPr>
          <w:spacing w:val="-3"/>
        </w:rPr>
        <w:noBreakHyphen/>
        <w:t>2014-006693, EPM E-2014-006694, ISA E-2014-006726, Distasa E</w:t>
      </w:r>
      <w:r w:rsidRPr="00321B46">
        <w:rPr>
          <w:spacing w:val="-3"/>
        </w:rPr>
        <w:noBreakHyphen/>
        <w:t>2014</w:t>
      </w:r>
      <w:r w:rsidRPr="00321B46">
        <w:rPr>
          <w:spacing w:val="-3"/>
        </w:rPr>
        <w:noBreakHyphen/>
        <w:t>006917, Transelca E-2014-007034, XM E-2014-007038.</w:t>
      </w:r>
    </w:p>
    <w:p w14:paraId="2F1AF681" w14:textId="77777777" w:rsidR="00202449" w:rsidRPr="00321B46" w:rsidRDefault="00202449" w:rsidP="00202449">
      <w:r w:rsidRPr="00321B46">
        <w:t>En cumplimiento de lo previsto en el numeral 11.3 del artículo 11 del Decreto 2696 de 2004, compilado por el Decreto 1078 de 2015 y mediante las circulares CREG 034, 036, 038 y 063 del año 2014 se publicaron los estudios realizados por la Comisión sobre metodología de remuneración, unidades constructivas, calidad del servicio y energía reactiva, algunos de los cuales fueron presentados en un taller el 9 de septiembre de 2014.</w:t>
      </w:r>
    </w:p>
    <w:p w14:paraId="5FD7A9AC" w14:textId="77777777" w:rsidR="00DC09C1" w:rsidRPr="00321B46" w:rsidRDefault="00DC09C1" w:rsidP="00E43449">
      <w:pPr>
        <w:rPr>
          <w:spacing w:val="-3"/>
        </w:rPr>
      </w:pPr>
      <w:r w:rsidRPr="00321B46">
        <w:rPr>
          <w:spacing w:val="-3"/>
        </w:rPr>
        <w:t xml:space="preserve">Mediante la Resolución CREG 178 de 2014 se publicó para comentarios una propuesta para </w:t>
      </w:r>
      <w:r w:rsidRPr="00321B46">
        <w:rPr>
          <w:rFonts w:cs="Arial"/>
        </w:rPr>
        <w:t>establecer la metodología para la remuneración de la actividad de transmisión de energía eléctrica en el sistema de transmisión nacional</w:t>
      </w:r>
      <w:r w:rsidR="00BB4DA8" w:rsidRPr="00321B46">
        <w:rPr>
          <w:rFonts w:cs="Arial"/>
        </w:rPr>
        <w:t>.</w:t>
      </w:r>
    </w:p>
    <w:p w14:paraId="6F9508D8" w14:textId="77777777" w:rsidR="00F90885" w:rsidRPr="00321B46" w:rsidRDefault="00DC09C1" w:rsidP="00F90885">
      <w:pPr>
        <w:rPr>
          <w:lang w:val="es-CO"/>
        </w:rPr>
      </w:pPr>
      <w:r w:rsidRPr="00321B46">
        <w:rPr>
          <w:spacing w:val="-3"/>
        </w:rPr>
        <w:t xml:space="preserve">A la propuesta se recibieron comentarios </w:t>
      </w:r>
      <w:r w:rsidR="00F90885" w:rsidRPr="00321B46">
        <w:rPr>
          <w:spacing w:val="-3"/>
        </w:rPr>
        <w:t>con los siguientes radicados</w:t>
      </w:r>
      <w:r w:rsidRPr="00321B46">
        <w:rPr>
          <w:spacing w:val="-3"/>
        </w:rPr>
        <w:t>:</w:t>
      </w:r>
      <w:r w:rsidR="00F90885" w:rsidRPr="00321B46">
        <w:rPr>
          <w:spacing w:val="-3"/>
        </w:rPr>
        <w:t xml:space="preserve"> </w:t>
      </w:r>
      <w:r w:rsidR="00F90885" w:rsidRPr="00321B46">
        <w:rPr>
          <w:lang w:val="es-CO"/>
        </w:rPr>
        <w:t>Groupe Seb Colombia, E-2015-005346; Productos Familia, E-2015-005348 y E-2013-005361; Ingredion Colombia, E-2015-005355; Diaco, E-2015-005356; Linde Colombia, E-2015-005358; Empresa de Energía de Bogotá, E-2015-005359; Papeles y Cartones, E-2015-005362; Cristaleria Peldar, E-2015-005363; Crystal, E-2015-005364; Organización Carvajal, E-2015-005366; Productora de Cables Procables, E-2015-005368; Andesco, E-2015-005373 y E-2016-000195; C.I. Sociedad Industrial De Grasas Vegetales, E-2015-005376; Postobón, E-2015-005378; Asoenergia, E-2015-005379; Corona Industrial, E-2015-005381; Alfagres, E-2015-005382; Cerro Matoso, E-2015-005383; Gyptec, E-2015-005384; Colsubsidio, E-2015-005386; Empresas Publicas de Medellin, E-2015-005391; Carvajal Pulpa y Papel, E-2015-005392; Interconexión Eléctrica , E-2015-005394, E-2015-005396, E-2015-005397 y E-2015-005864; Consejo Nacional de Operación, E-2015-005395;; Isagen, E-2015-005400; Emma y Cia, E-2015-005402; XM Compañía de Expertos en Mercados, E-2015-005233, E-2015-005421, E-2015-006453 y E-2015-011908; Seatech International, E-2015-005435; Aluminio Nacional Alumina, E-2015-005483; Goodyear de Colombia, E-2015-005604 y Cementos Tequendama, E-2015-005915.</w:t>
      </w:r>
    </w:p>
    <w:p w14:paraId="10B80D46" w14:textId="750C4711" w:rsidR="00202449" w:rsidRPr="00321B46" w:rsidRDefault="00202449" w:rsidP="00202449">
      <w:r w:rsidRPr="00321B46">
        <w:t>Mediante las circulares CREG 053 y 064 del año 2015 se publicaron los estudios realizados por la Comisión sobre calidad del servicio</w:t>
      </w:r>
      <w:r w:rsidR="00600834" w:rsidRPr="00321B46">
        <w:t xml:space="preserve"> y</w:t>
      </w:r>
      <w:r w:rsidRPr="00321B46">
        <w:t xml:space="preserve"> en la Circular CREG 052 de 2015 sobre AOM.</w:t>
      </w:r>
    </w:p>
    <w:p w14:paraId="63AD6BAD" w14:textId="6C4B0E78" w:rsidR="008A7A70" w:rsidRPr="00321B46" w:rsidRDefault="008A7A70" w:rsidP="008A7A70">
      <w:r w:rsidRPr="00321B46">
        <w:lastRenderedPageBreak/>
        <w:t xml:space="preserve">Los agentes solicitaron publicar para comentarios una nueva propuesta con la metodología de remuneración de la actividad de transmisión de energía eléctrica, la cual fue puesta en consulta mediante la Resolución CREG 023 de </w:t>
      </w:r>
      <w:r w:rsidR="00962BF8" w:rsidRPr="00321B46">
        <w:t>2016</w:t>
      </w:r>
      <w:r w:rsidRPr="00321B46">
        <w:t>. A esta propuesta se recibieron los siguientes comentarios con los números de radicados CREG que los identifican: XM, E-2016-005052; ISA, E-2016-005128, E-2016-005662 y E-2016-006656; Isagen, E-2016-005183; Asoenergía, E-2016-005368, E-2016-005688 y E-2016-005692; SSPD, E-2016-005645; CNO, E</w:t>
      </w:r>
      <w:r w:rsidRPr="00321B46">
        <w:noBreakHyphen/>
        <w:t>2016-005666; EPM, E-2016-005673; EEB, E-2016-005676; Andesco, E</w:t>
      </w:r>
      <w:r w:rsidRPr="00321B46">
        <w:noBreakHyphen/>
        <w:t>2016-005687 y E-2016-005742; Transelca, E-2016-005689; Seatech International, E-2016-005693; Celsia, E-2016-005695; South32 Energy, E</w:t>
      </w:r>
      <w:r w:rsidRPr="00321B46">
        <w:noBreakHyphen/>
        <w:t>2016-005696; Codensa, E-2016-005697; Cristaleria Peldar, E-2016-005724; Carvajal Pulpa y Papel, E-2016-005726; Crystal, E-2016-005735; Postobon, E</w:t>
      </w:r>
      <w:r w:rsidRPr="00321B46">
        <w:noBreakHyphen/>
        <w:t>2016-005740; EBSA, E-2016-005752; Iberplast, E-2016-005755; Carvajal Tecnología y Servicios, E-2016-005936; y Codensa, E-2016-006447.</w:t>
      </w:r>
    </w:p>
    <w:p w14:paraId="28E5FBD5" w14:textId="0F14A840" w:rsidR="00CF3AA9" w:rsidRPr="00321B46" w:rsidRDefault="00CF3AA9" w:rsidP="00CF3AA9">
      <w:pPr>
        <w:rPr>
          <w:spacing w:val="-3"/>
        </w:rPr>
      </w:pPr>
      <w:r w:rsidRPr="00321B46">
        <w:rPr>
          <w:spacing w:val="-3"/>
        </w:rPr>
        <w:t xml:space="preserve">Los comentarios recibidos en la CREG a las bases regulatorias, a los propósitos y lineamientos para la remuneración de la actividad de transmisión, </w:t>
      </w:r>
      <w:r w:rsidRPr="00321B46">
        <w:rPr>
          <w:spacing w:val="-3"/>
          <w:sz w:val="25"/>
          <w:szCs w:val="25"/>
        </w:rPr>
        <w:t>a los estudios publicados</w:t>
      </w:r>
      <w:r w:rsidRPr="00321B46">
        <w:rPr>
          <w:spacing w:val="-3"/>
        </w:rPr>
        <w:t xml:space="preserve"> y a la R</w:t>
      </w:r>
      <w:r w:rsidRPr="00321B46">
        <w:rPr>
          <w:spacing w:val="-3"/>
          <w:sz w:val="25"/>
          <w:szCs w:val="25"/>
        </w:rPr>
        <w:t xml:space="preserve">esolución CREG 023 de 2016 </w:t>
      </w:r>
      <w:r w:rsidRPr="00321B46">
        <w:rPr>
          <w:spacing w:val="-3"/>
        </w:rPr>
        <w:t xml:space="preserve">fueron considerados para la expedición de la presente resolución. </w:t>
      </w:r>
    </w:p>
    <w:p w14:paraId="2DC5BF4B" w14:textId="77777777" w:rsidR="00CF3AA9" w:rsidRPr="00321B46" w:rsidRDefault="00E43449" w:rsidP="00CF3AA9">
      <w:r w:rsidRPr="00321B46">
        <w:t xml:space="preserve">Mediante la </w:t>
      </w:r>
      <w:r w:rsidR="00474D06" w:rsidRPr="00321B46">
        <w:t xml:space="preserve">Resolución </w:t>
      </w:r>
      <w:r w:rsidRPr="00321B46">
        <w:t xml:space="preserve">CREG </w:t>
      </w:r>
      <w:r w:rsidR="00474D06" w:rsidRPr="00321B46">
        <w:t xml:space="preserve">095 </w:t>
      </w:r>
      <w:r w:rsidRPr="00321B46">
        <w:t xml:space="preserve">de </w:t>
      </w:r>
      <w:r w:rsidR="00474D06" w:rsidRPr="00321B46">
        <w:t xml:space="preserve">2015 </w:t>
      </w:r>
      <w:r w:rsidRPr="00321B46">
        <w:t xml:space="preserve">se </w:t>
      </w:r>
      <w:r w:rsidR="00474D06" w:rsidRPr="00321B46">
        <w:rPr>
          <w:sz w:val="25"/>
          <w:szCs w:val="25"/>
        </w:rPr>
        <w:t>definió la metodología general para el cálculo de</w:t>
      </w:r>
      <w:r w:rsidR="00474D06" w:rsidRPr="00321B46" w:rsidDel="00474D06">
        <w:t xml:space="preserve"> </w:t>
      </w:r>
      <w:r w:rsidRPr="00321B46">
        <w:t xml:space="preserve">la tasa de </w:t>
      </w:r>
      <w:r w:rsidR="00474D06" w:rsidRPr="00321B46">
        <w:t xml:space="preserve">descuento </w:t>
      </w:r>
      <w:r w:rsidRPr="00321B46">
        <w:t>a utilizar en la actividad de t</w:t>
      </w:r>
      <w:r w:rsidR="00936A44" w:rsidRPr="00321B46">
        <w:t>ransmisión de energía eléctrica.</w:t>
      </w:r>
    </w:p>
    <w:p w14:paraId="6FD000B1" w14:textId="77777777" w:rsidR="00936A44" w:rsidRPr="00321B46" w:rsidRDefault="00936A44" w:rsidP="00936A44">
      <w:pPr>
        <w:spacing w:before="0" w:after="0"/>
        <w:jc w:val="center"/>
        <w:rPr>
          <w:b/>
          <w:spacing w:val="100"/>
        </w:rPr>
      </w:pPr>
    </w:p>
    <w:p w14:paraId="19B76FA7" w14:textId="77777777" w:rsidR="00E43449" w:rsidRPr="00321B46" w:rsidRDefault="00E43449" w:rsidP="003276B5">
      <w:pPr>
        <w:keepNext/>
        <w:spacing w:before="0" w:after="0"/>
        <w:jc w:val="center"/>
        <w:rPr>
          <w:b/>
          <w:spacing w:val="40"/>
        </w:rPr>
      </w:pPr>
      <w:r w:rsidRPr="00321B46">
        <w:rPr>
          <w:b/>
          <w:spacing w:val="100"/>
        </w:rPr>
        <w:t>RESUELV</w:t>
      </w:r>
      <w:r w:rsidRPr="00321B46">
        <w:rPr>
          <w:b/>
          <w:spacing w:val="40"/>
        </w:rPr>
        <w:t>E:</w:t>
      </w:r>
    </w:p>
    <w:p w14:paraId="2D431C21" w14:textId="0BA789D1" w:rsidR="001C3369" w:rsidRPr="00321B46" w:rsidRDefault="00E43449" w:rsidP="00B37A6A">
      <w:pPr>
        <w:pStyle w:val="Artculo"/>
        <w:ind w:left="0" w:firstLine="0"/>
      </w:pPr>
      <w:bookmarkStart w:id="12" w:name="_Ref207937090"/>
      <w:r w:rsidRPr="00321B46">
        <w:t xml:space="preserve">Objeto. </w:t>
      </w:r>
      <w:r w:rsidRPr="00321B46">
        <w:rPr>
          <w:b w:val="0"/>
        </w:rPr>
        <w:t xml:space="preserve">Mediante esta resolución se adopta la metodología, fórmulas tarifarias y otras disposiciones para la remuneración de la actividad de transmisión de energía eléctrica en el sistema </w:t>
      </w:r>
      <w:r w:rsidR="00672208" w:rsidRPr="00321B46">
        <w:rPr>
          <w:b w:val="0"/>
        </w:rPr>
        <w:t>interconectado</w:t>
      </w:r>
      <w:r w:rsidRPr="00321B46">
        <w:rPr>
          <w:b w:val="0"/>
        </w:rPr>
        <w:t xml:space="preserve"> nacional, </w:t>
      </w:r>
      <w:r w:rsidR="00202449" w:rsidRPr="00321B46">
        <w:rPr>
          <w:b w:val="0"/>
        </w:rPr>
        <w:t>SIN</w:t>
      </w:r>
      <w:r w:rsidRPr="00321B46">
        <w:rPr>
          <w:b w:val="0"/>
        </w:rPr>
        <w:t>.</w:t>
      </w:r>
      <w:bookmarkEnd w:id="12"/>
    </w:p>
    <w:p w14:paraId="029AFC41" w14:textId="77777777" w:rsidR="00E43449" w:rsidRPr="00321B46" w:rsidRDefault="00E43449" w:rsidP="00B37A6A">
      <w:pPr>
        <w:pStyle w:val="Artculo"/>
        <w:ind w:left="0" w:firstLine="0"/>
        <w:rPr>
          <w:b w:val="0"/>
        </w:rPr>
      </w:pPr>
      <w:r w:rsidRPr="00321B46">
        <w:t xml:space="preserve">Ámbito de Aplicación. </w:t>
      </w:r>
      <w:r w:rsidRPr="00321B46">
        <w:rPr>
          <w:b w:val="0"/>
        </w:rPr>
        <w:t>Esta resolución aplica a todos los agentes económicos que prestan el servicio de transmisión de energía eléctrica en el SIN y a los usuarios que utilizan el servicio.</w:t>
      </w:r>
    </w:p>
    <w:p w14:paraId="0ECBEA10" w14:textId="77777777" w:rsidR="00E43449" w:rsidRPr="00321B46" w:rsidRDefault="00E43449" w:rsidP="00B37A6A">
      <w:pPr>
        <w:pStyle w:val="Artculo"/>
        <w:spacing w:before="0" w:after="0"/>
        <w:ind w:left="0" w:firstLine="0"/>
        <w:rPr>
          <w:b w:val="0"/>
        </w:rPr>
      </w:pPr>
      <w:bookmarkStart w:id="13" w:name="_Ref465869579"/>
      <w:r w:rsidRPr="00321B46">
        <w:t>Definiciones.</w:t>
      </w:r>
      <w:r w:rsidRPr="00321B46">
        <w:rPr>
          <w:b w:val="0"/>
        </w:rPr>
        <w:t xml:space="preserve"> Para la interpretación y aplicación de esta resolución se tendrán en cuenta, además de las definiciones establecidas en las leyes 142 y 143 de 1994 y en las resoluciones vigentes de la CREG, las siguientes:</w:t>
      </w:r>
      <w:bookmarkEnd w:id="13"/>
    </w:p>
    <w:p w14:paraId="3FDF0DE1" w14:textId="77777777" w:rsidR="001C3369" w:rsidRPr="00321B46" w:rsidRDefault="001C3369" w:rsidP="001C3369">
      <w:pPr>
        <w:spacing w:before="0" w:after="0"/>
        <w:rPr>
          <w:b/>
        </w:rPr>
      </w:pPr>
    </w:p>
    <w:p w14:paraId="6B2445B4" w14:textId="77777777" w:rsidR="00E43449" w:rsidRPr="00321B46" w:rsidRDefault="00E43449" w:rsidP="001C3369">
      <w:pPr>
        <w:spacing w:before="0" w:after="0"/>
      </w:pPr>
      <w:r w:rsidRPr="00321B46">
        <w:rPr>
          <w:b/>
        </w:rPr>
        <w:t xml:space="preserve">Activo de conexión al STN: </w:t>
      </w:r>
      <w:r w:rsidRPr="00321B46">
        <w:t>es el que se requiere para que un generador o un usuario no regulado, UNR, se conecte físicamente al STN. Un activo de conexión al STN se remunerará a través de contratos entre el propietario y el usuario respectivo del activo de conexión.</w:t>
      </w:r>
    </w:p>
    <w:p w14:paraId="699309D7" w14:textId="77777777" w:rsidR="001C3369" w:rsidRPr="00321B46" w:rsidRDefault="001C3369" w:rsidP="001C3369">
      <w:pPr>
        <w:spacing w:before="0" w:after="0"/>
      </w:pPr>
    </w:p>
    <w:p w14:paraId="48ED7C42" w14:textId="77777777" w:rsidR="00E43449" w:rsidRPr="00321B46" w:rsidRDefault="00E43449" w:rsidP="001C3369">
      <w:pPr>
        <w:spacing w:before="0" w:after="0"/>
      </w:pPr>
      <w:r w:rsidRPr="00321B46">
        <w:rPr>
          <w:b/>
        </w:rPr>
        <w:t>Activo de uso del STN:</w:t>
      </w:r>
      <w:r w:rsidRPr="00321B46">
        <w:t xml:space="preserve"> es aquel activo de transporte de electricidad que opera a tensiones iguales o superiores a 220 kV, es remunerado mediante cargos por uso del STN y puede estar constituido por una o varias UC.</w:t>
      </w:r>
    </w:p>
    <w:p w14:paraId="59C4D32E" w14:textId="77777777" w:rsidR="001C3369" w:rsidRPr="00321B46" w:rsidRDefault="001C3369" w:rsidP="001C3369">
      <w:pPr>
        <w:spacing w:before="0" w:after="0"/>
      </w:pPr>
    </w:p>
    <w:p w14:paraId="6EE6786E" w14:textId="77777777" w:rsidR="00E43449" w:rsidRPr="00321B46" w:rsidRDefault="00E43449" w:rsidP="001C3369">
      <w:pPr>
        <w:spacing w:before="0" w:after="0"/>
      </w:pPr>
      <w:r w:rsidRPr="00321B46">
        <w:t xml:space="preserve">Las bahías de transformador con tensión mayor o igual a 220 kV que utiliza un OR para conectarse a subestaciones del STN, con configuración de anillo o de </w:t>
      </w:r>
      <w:r w:rsidRPr="00321B46">
        <w:lastRenderedPageBreak/>
        <w:t>interruptor y medio, se remunerarán a través de cargos por uso de la actividad de transmisión. Los demás activos que usa un OR para conectarse al STN se remunerarán a través de cargos por uso de la actividad de distribución.</w:t>
      </w:r>
    </w:p>
    <w:p w14:paraId="1AA7034F" w14:textId="77777777" w:rsidR="00E43449" w:rsidRPr="00321B46" w:rsidRDefault="00E43449" w:rsidP="00E43449">
      <w:r w:rsidRPr="00321B46">
        <w:rPr>
          <w:b/>
        </w:rPr>
        <w:t>Activo en operación</w:t>
      </w:r>
      <w:r w:rsidRPr="00321B46">
        <w:t>: es aquel activo eléctrico que forma parte de un sistema utilizado de forma permanente en la actividad de transmisión de energía eléctrica.</w:t>
      </w:r>
    </w:p>
    <w:p w14:paraId="14369E2E" w14:textId="77777777" w:rsidR="00E43449" w:rsidRPr="00321B46" w:rsidRDefault="00E43449" w:rsidP="00E43449">
      <w:r w:rsidRPr="00321B46">
        <w:rPr>
          <w:b/>
          <w:bCs/>
        </w:rPr>
        <w:t>Activo no eléctrico:</w:t>
      </w:r>
      <w:r w:rsidRPr="00321B46">
        <w:rPr>
          <w:bCs/>
        </w:rPr>
        <w:t xml:space="preserve"> es </w:t>
      </w:r>
      <w:r w:rsidRPr="00321B46">
        <w:t>aquel activo que no hace parte de la infraestructura de transporte de energía eléctrica de los transmisores nacionales, TN, pero que es requerido para cumplir con su objeto social. Hacen parte de estos activos, entre otros, los siguientes: edificios (sedes administrativas, bodegas, talleres, etc.) maquinaria y equipos (grúas, vehículos, herramientas, etc.) equipos de cómputo y equipos de comunicaciones.</w:t>
      </w:r>
    </w:p>
    <w:p w14:paraId="0E5F1232" w14:textId="2B5408F2" w:rsidR="00E43449" w:rsidRPr="00321B46" w:rsidRDefault="00E43449" w:rsidP="00E43449">
      <w:r w:rsidRPr="00321B46">
        <w:rPr>
          <w:b/>
        </w:rPr>
        <w:t>Activo no operativo:</w:t>
      </w:r>
      <w:r w:rsidRPr="00321B46">
        <w:t xml:space="preserve"> activo que estando </w:t>
      </w:r>
      <w:r w:rsidR="000436C2" w:rsidRPr="00321B46">
        <w:t xml:space="preserve">en las condiciones necesarias para operar </w:t>
      </w:r>
      <w:r w:rsidRPr="00321B46">
        <w:t xml:space="preserve">no puede </w:t>
      </w:r>
      <w:r w:rsidR="000436C2" w:rsidRPr="00321B46">
        <w:t xml:space="preserve">hacerlo </w:t>
      </w:r>
      <w:r w:rsidRPr="00321B46">
        <w:t>debido a la indisponibilidad de otro activo diferente a los que conforman su grupo de activos.</w:t>
      </w:r>
    </w:p>
    <w:p w14:paraId="7049C694" w14:textId="77777777" w:rsidR="00E43449" w:rsidRPr="00321B46" w:rsidRDefault="00E43449" w:rsidP="00E43449">
      <w:pPr>
        <w:rPr>
          <w:spacing w:val="-2"/>
        </w:rPr>
      </w:pPr>
      <w:r w:rsidRPr="00321B46">
        <w:rPr>
          <w:b/>
          <w:spacing w:val="-3"/>
        </w:rPr>
        <w:t>Administrador del sistema de intercambios comerciales, ASIC:</w:t>
      </w:r>
      <w:r w:rsidRPr="00321B46">
        <w:rPr>
          <w:spacing w:val="-3"/>
        </w:rPr>
        <w:t xml:space="preserve"> </w:t>
      </w:r>
      <w:r w:rsidRPr="00321B46">
        <w:t>dependencia del Centro Nacional de Despacho de que tratan las leyes 142 y 143 de 1994, encargada del registro de fronteras comerciales, de los contratos de energía a largo plazo; de la liquidación, facturación, cobro y pago del valor de los actos, contratos, transacciones y en general de todas las obligaciones que resulten por el intercambio de energía en la bolsa, para generadores y comerciali</w:t>
      </w:r>
      <w:r w:rsidRPr="00321B46">
        <w:softHyphen/>
        <w:t>zadores; de las subastas de obligaciones de energía firme; del mantenimiento de los sistemas de información y programas de computación requeridos; y del cumplimiento de las demás tareas que sean necesarias para el funcionamiento adecuado del sistema de intercambios comerciales, SIC</w:t>
      </w:r>
      <w:r w:rsidRPr="00321B46">
        <w:rPr>
          <w:spacing w:val="-3"/>
        </w:rPr>
        <w:t>.</w:t>
      </w:r>
    </w:p>
    <w:p w14:paraId="5954015E" w14:textId="77777777" w:rsidR="00E43449" w:rsidRPr="00321B46" w:rsidRDefault="00E43449" w:rsidP="00E43449">
      <w:r w:rsidRPr="00321B46">
        <w:rPr>
          <w:b/>
        </w:rPr>
        <w:t>AOM:</w:t>
      </w:r>
      <w:r w:rsidRPr="00321B46">
        <w:t xml:space="preserve"> valor de los gastos de administración, operación y mantenimiento correspondientes a la actividad de </w:t>
      </w:r>
      <w:r w:rsidRPr="00321B46">
        <w:rPr>
          <w:spacing w:val="-3"/>
        </w:rPr>
        <w:t xml:space="preserve">transmisión de energía eléctrica en el sistema </w:t>
      </w:r>
      <w:r w:rsidR="00A05818" w:rsidRPr="00321B46">
        <w:rPr>
          <w:spacing w:val="-3"/>
        </w:rPr>
        <w:t>interconectado</w:t>
      </w:r>
      <w:r w:rsidRPr="00321B46">
        <w:rPr>
          <w:spacing w:val="-3"/>
        </w:rPr>
        <w:t xml:space="preserve"> nacional</w:t>
      </w:r>
      <w:r w:rsidRPr="00321B46">
        <w:t xml:space="preserve">. </w:t>
      </w:r>
    </w:p>
    <w:p w14:paraId="06C558AE" w14:textId="77777777" w:rsidR="00E43449" w:rsidRPr="00321B46" w:rsidRDefault="00E43449" w:rsidP="00E43449">
      <w:r w:rsidRPr="00321B46">
        <w:rPr>
          <w:b/>
        </w:rPr>
        <w:t>Bahía:</w:t>
      </w:r>
      <w:r w:rsidRPr="00321B46">
        <w:t xml:space="preserve"> conjunto conformado por los equipos que se utilizan para conectar una línea de transmisión, o equipo de compensación, o un transformador, o un autotransformador al barraje de una subestación, y los equipos que se utilizan para seccionar o acoplar barrajes, o para transferir la carga de un barraje a otro.</w:t>
      </w:r>
    </w:p>
    <w:p w14:paraId="5BE7C368" w14:textId="5644FC50" w:rsidR="00E43449" w:rsidRPr="00321B46" w:rsidRDefault="00E43449" w:rsidP="00E43449">
      <w:pPr>
        <w:rPr>
          <w:bCs/>
        </w:rPr>
      </w:pPr>
      <w:r w:rsidRPr="00321B46">
        <w:rPr>
          <w:b/>
          <w:bCs/>
        </w:rPr>
        <w:t>Base regulatoria de activos</w:t>
      </w:r>
      <w:r w:rsidR="00BC3DFB" w:rsidRPr="00321B46">
        <w:rPr>
          <w:b/>
          <w:bCs/>
        </w:rPr>
        <w:t>, BRA</w:t>
      </w:r>
      <w:r w:rsidRPr="00321B46">
        <w:rPr>
          <w:b/>
          <w:bCs/>
        </w:rPr>
        <w:t xml:space="preserve">: </w:t>
      </w:r>
      <w:r w:rsidRPr="00321B46">
        <w:rPr>
          <w:bCs/>
        </w:rPr>
        <w:t>corresponde al valor de los activos utilizados para la prestación del servicio por parte del TN</w:t>
      </w:r>
      <w:r w:rsidR="00BC3DFB" w:rsidRPr="00321B46">
        <w:rPr>
          <w:bCs/>
        </w:rPr>
        <w:t xml:space="preserve">; </w:t>
      </w:r>
      <w:r w:rsidRPr="00321B46">
        <w:rPr>
          <w:bCs/>
        </w:rPr>
        <w:t>está compuesta por activos eléctricos, activos no eléctricos y terrenos.</w:t>
      </w:r>
    </w:p>
    <w:p w14:paraId="65404F76" w14:textId="2D08F987" w:rsidR="00E43449" w:rsidRPr="00321B46" w:rsidRDefault="00E43449" w:rsidP="00E43449">
      <w:r w:rsidRPr="00321B46">
        <w:rPr>
          <w:b/>
        </w:rPr>
        <w:t>Capacidad disponible del activo:</w:t>
      </w:r>
      <w:r w:rsidRPr="00321B46">
        <w:rPr>
          <w:rFonts w:cs="Arial"/>
          <w:spacing w:val="-3"/>
        </w:rPr>
        <w:t xml:space="preserve"> </w:t>
      </w:r>
      <w:r w:rsidR="00E15DC5" w:rsidRPr="00321B46">
        <w:rPr>
          <w:rFonts w:cs="Arial"/>
          <w:spacing w:val="-3"/>
        </w:rPr>
        <w:t>es el porcentaje de la capacidad que se encuentra en servicio de un activo, con respecto a la capacidad que este puede suministrar en condiciones normales de operación</w:t>
      </w:r>
      <w:r w:rsidRPr="00321B46">
        <w:rPr>
          <w:rFonts w:cs="Arial"/>
          <w:spacing w:val="-3"/>
        </w:rPr>
        <w:t>.</w:t>
      </w:r>
      <w:r w:rsidRPr="00321B46">
        <w:t xml:space="preserve"> </w:t>
      </w:r>
    </w:p>
    <w:p w14:paraId="6F35442C" w14:textId="77777777" w:rsidR="00E43449" w:rsidRPr="00321B46" w:rsidRDefault="00E43449" w:rsidP="00E43449">
      <w:r w:rsidRPr="00321B46">
        <w:rPr>
          <w:b/>
        </w:rPr>
        <w:t>Capacidad nominal de activos de uso del STN:</w:t>
      </w:r>
      <w:r w:rsidRPr="00321B46">
        <w:t xml:space="preserve"> para los activos de uso del STN la capacidad nominal será igual a la capacidad que se encuentre declarada ante el CND al momento de entrar en vigencia la presente resolución. Para activos de uso del STN que con posterioridad a esta fecha resulten de ampliaciones o de procesos de libre concurrencia, esta capacidad deberá ser declarada por el </w:t>
      </w:r>
      <w:r w:rsidRPr="00321B46">
        <w:lastRenderedPageBreak/>
        <w:t>transmisor al CND con anterioridad a la entrada en operación comercial de los mismos y deberá ser mayor o igual a la establecida por la UPME.</w:t>
      </w:r>
    </w:p>
    <w:p w14:paraId="698531CF" w14:textId="77777777" w:rsidR="00E43449" w:rsidRPr="00321B46" w:rsidRDefault="00E43449" w:rsidP="00E43449">
      <w:r w:rsidRPr="00321B46">
        <w:rPr>
          <w:b/>
        </w:rPr>
        <w:t>Cargo por uso monomio:</w:t>
      </w:r>
      <w:r w:rsidRPr="00321B46">
        <w:t xml:space="preserve"> cargo monomio por unidad de energía, expresado en $/kWh.</w:t>
      </w:r>
    </w:p>
    <w:p w14:paraId="35D4CCB5" w14:textId="77777777" w:rsidR="00E43449" w:rsidRPr="00321B46" w:rsidRDefault="00E43449" w:rsidP="00E43449">
      <w:r w:rsidRPr="00321B46">
        <w:rPr>
          <w:b/>
        </w:rPr>
        <w:t>Cargo por uso monomio horario:</w:t>
      </w:r>
      <w:r w:rsidRPr="00321B46">
        <w:t xml:space="preserve"> cargo por uso, por unidad de energía, expresado en $/kWh y diferenciado para cada uno de los períodos de carga.</w:t>
      </w:r>
    </w:p>
    <w:p w14:paraId="3FBE14EB" w14:textId="77777777" w:rsidR="00E43449" w:rsidRPr="00321B46" w:rsidRDefault="00E43449" w:rsidP="00E43449">
      <w:r w:rsidRPr="00321B46">
        <w:rPr>
          <w:b/>
        </w:rPr>
        <w:t>Centro de supervisión y maniobra:</w:t>
      </w:r>
      <w:r w:rsidRPr="00321B46">
        <w:t xml:space="preserve"> centro a través del cual se supervisa la operación y las maniobras en las redes y subestaciones de propiedad del transmisor nacional, con sujeción a las instrucciones impartidas por el CND y teniendo como objetivo una operación segura y confiable del SIN, con sujeción a la reglamentación vigente y los </w:t>
      </w:r>
      <w:r w:rsidRPr="00321B46">
        <w:rPr>
          <w:spacing w:val="-3"/>
        </w:rPr>
        <w:t>acuerdos del Consejo Nacional de Operación, CNO</w:t>
      </w:r>
      <w:r w:rsidRPr="00321B46">
        <w:t>.</w:t>
      </w:r>
    </w:p>
    <w:p w14:paraId="7A355B0D" w14:textId="77777777" w:rsidR="00E43449" w:rsidRPr="00321B46" w:rsidRDefault="00E43449" w:rsidP="00E43449">
      <w:r w:rsidRPr="00321B46">
        <w:rPr>
          <w:b/>
        </w:rPr>
        <w:t xml:space="preserve">Centro </w:t>
      </w:r>
      <w:r w:rsidR="00BC3DFB" w:rsidRPr="00321B46">
        <w:rPr>
          <w:b/>
        </w:rPr>
        <w:t xml:space="preserve">nacional </w:t>
      </w:r>
      <w:r w:rsidRPr="00321B46">
        <w:rPr>
          <w:b/>
        </w:rPr>
        <w:t xml:space="preserve">de </w:t>
      </w:r>
      <w:r w:rsidR="00BC3DFB" w:rsidRPr="00321B46">
        <w:rPr>
          <w:b/>
        </w:rPr>
        <w:t>despacho</w:t>
      </w:r>
      <w:r w:rsidRPr="00321B46">
        <w:rPr>
          <w:b/>
        </w:rPr>
        <w:t>, CND</w:t>
      </w:r>
      <w:r w:rsidRPr="00321B46">
        <w:t>: entidad encargada de la planeación, supervisión y control de la operación integrada de los recursos de generación, interconexión y transmisión del sistema interconectado nacional, SIN, teniendo como objetivo una operación segura, confiable y económica, con sujeción a la reglamentación vigente y a los acuerdos del CNO</w:t>
      </w:r>
      <w:r w:rsidRPr="00321B46">
        <w:rPr>
          <w:color w:val="0000FF"/>
        </w:rPr>
        <w:t>.</w:t>
      </w:r>
    </w:p>
    <w:p w14:paraId="6BF30033" w14:textId="77777777" w:rsidR="00E43449" w:rsidRPr="00321B46" w:rsidRDefault="00E43449" w:rsidP="00E43449">
      <w:pPr>
        <w:rPr>
          <w:b/>
        </w:rPr>
      </w:pPr>
      <w:r w:rsidRPr="00321B46">
        <w:rPr>
          <w:b/>
        </w:rPr>
        <w:t>Compensación:</w:t>
      </w:r>
      <w:r w:rsidRPr="00321B46">
        <w:t xml:space="preserve"> es el valor en el que se reduce el ingreso regulado de cada TN por variaciones que excedan o superen los límites establecidos para las características de calidad a las que está asociado dicho ingreso.</w:t>
      </w:r>
    </w:p>
    <w:p w14:paraId="645B95BE" w14:textId="77777777" w:rsidR="00E43449" w:rsidRPr="00321B46" w:rsidRDefault="00E43449" w:rsidP="00E43449">
      <w:pPr>
        <w:rPr>
          <w:b/>
        </w:rPr>
      </w:pPr>
      <w:r w:rsidRPr="00321B46">
        <w:rPr>
          <w:b/>
        </w:rPr>
        <w:t>Compensación por energía no suministrada, CNE:</w:t>
      </w:r>
      <w:r w:rsidRPr="00321B46">
        <w:t xml:space="preserve"> compensación por ocasionar energía no suministrada o por dejar no operativos otros activos.</w:t>
      </w:r>
    </w:p>
    <w:p w14:paraId="288C858C" w14:textId="77777777" w:rsidR="00E43449" w:rsidRPr="00321B46" w:rsidRDefault="00E43449" w:rsidP="00E43449">
      <w:pPr>
        <w:rPr>
          <w:b/>
        </w:rPr>
      </w:pPr>
      <w:r w:rsidRPr="00321B46">
        <w:rPr>
          <w:b/>
        </w:rPr>
        <w:t xml:space="preserve">Conexión profunda: </w:t>
      </w:r>
      <w:r w:rsidRPr="00321B46">
        <w:t>activos de uso del STN cuya construcción se requiere para responder positivamente a una solicitud de conexión de un generador o de un usuario no regulado.</w:t>
      </w:r>
    </w:p>
    <w:p w14:paraId="31EC1870" w14:textId="77777777" w:rsidR="00E43449" w:rsidRPr="00321B46" w:rsidRDefault="00E43449" w:rsidP="00E43449">
      <w:r w:rsidRPr="00321B46">
        <w:rPr>
          <w:b/>
        </w:rPr>
        <w:t>Conexión y acceso a redes:</w:t>
      </w:r>
      <w:r w:rsidRPr="00321B46">
        <w:t xml:space="preserve"> es el derecho que tiene todo usuario a utilizar las redes del sistema de transmisión nacional, de un sistema de transmisión regional o un sistema de distribución local, previo el cumplimiento de las normas que rijan el servicio, el pago de las retribuciones que correspondan y el principio de eficiencia consignado en la Ley.</w:t>
      </w:r>
    </w:p>
    <w:p w14:paraId="49724C97" w14:textId="77777777" w:rsidR="00BC3DFB" w:rsidRPr="00321B46" w:rsidRDefault="00BC3DFB" w:rsidP="00BC3DFB">
      <w:r w:rsidRPr="00321B46">
        <w:rPr>
          <w:b/>
        </w:rPr>
        <w:t>Consignación:</w:t>
      </w:r>
      <w:r w:rsidRPr="00321B46">
        <w:t xml:space="preserve"> es el procedimiento mediante el cual un transmisor solicita, y el CND estudia y autoriza la intervención de un equipo, de una instalación o de parte de ella.</w:t>
      </w:r>
    </w:p>
    <w:p w14:paraId="40F116C5" w14:textId="4C596E15" w:rsidR="00E43449" w:rsidRPr="00321B46" w:rsidRDefault="00E43449" w:rsidP="00E43449">
      <w:r w:rsidRPr="00321B46">
        <w:rPr>
          <w:b/>
        </w:rPr>
        <w:t>Consignación de emergencia:</w:t>
      </w:r>
      <w:r w:rsidRPr="00321B46">
        <w:t xml:space="preserve"> es el procedimiento mediante el cual se autoriza, previa declaración del agente responsable, la realización de un mantenimiento y/o desconexión de un equipo o activo del S</w:t>
      </w:r>
      <w:r w:rsidR="003219CD" w:rsidRPr="00321B46">
        <w:t>I</w:t>
      </w:r>
      <w:r w:rsidRPr="00321B46">
        <w:t>N, de una instalación o de parte de ella, cuando su estado ponga en peligro la seguridad de personas, de equipos o de instalaciones de tal forma que no es posible cumplir con el procedimiento de programación del mantenimiento respectivo.</w:t>
      </w:r>
    </w:p>
    <w:p w14:paraId="7C035C34" w14:textId="3D5341CA" w:rsidR="00E43449" w:rsidRPr="00321B46" w:rsidRDefault="00E43449" w:rsidP="00E43449">
      <w:pPr>
        <w:rPr>
          <w:rFonts w:cs="Arial"/>
        </w:rPr>
      </w:pPr>
      <w:r w:rsidRPr="00321B46">
        <w:rPr>
          <w:rFonts w:cs="Arial"/>
          <w:b/>
        </w:rPr>
        <w:t>Disponibilidad:</w:t>
      </w:r>
      <w:r w:rsidRPr="00321B46">
        <w:rPr>
          <w:rFonts w:cs="Arial"/>
        </w:rPr>
        <w:t xml:space="preserve"> se define como el tiempo total sobre un período dado, durante el cual un activo de uso estuvo en servicio o </w:t>
      </w:r>
      <w:r w:rsidR="00F65433" w:rsidRPr="00321B46">
        <w:rPr>
          <w:rFonts w:cs="Arial"/>
        </w:rPr>
        <w:t xml:space="preserve">cuando, sin estar en servicio, el </w:t>
      </w:r>
      <w:r w:rsidR="00F65433" w:rsidRPr="00321B46">
        <w:rPr>
          <w:rFonts w:cs="Arial"/>
        </w:rPr>
        <w:lastRenderedPageBreak/>
        <w:t xml:space="preserve">agente lo declara disponible y el CND </w:t>
      </w:r>
      <w:r w:rsidR="006405E4" w:rsidRPr="00321B46">
        <w:rPr>
          <w:rFonts w:cs="Arial"/>
        </w:rPr>
        <w:t xml:space="preserve">no instruye su conexión </w:t>
      </w:r>
      <w:r w:rsidR="00F65433" w:rsidRPr="00321B46">
        <w:rPr>
          <w:rFonts w:cs="Arial"/>
        </w:rPr>
        <w:t>por condiciones de topología, seguridad, confiabilidad o calidad del SIN</w:t>
      </w:r>
      <w:r w:rsidRPr="00321B46">
        <w:rPr>
          <w:rFonts w:cs="Arial"/>
        </w:rPr>
        <w:t xml:space="preserve">. </w:t>
      </w:r>
    </w:p>
    <w:p w14:paraId="27F53286" w14:textId="77777777" w:rsidR="00E43449" w:rsidRPr="00321B46" w:rsidRDefault="00E43449" w:rsidP="00E43449">
      <w:r w:rsidRPr="00321B46">
        <w:rPr>
          <w:b/>
        </w:rPr>
        <w:t>Elementos técnicos:</w:t>
      </w:r>
      <w:r w:rsidRPr="00321B46">
        <w:t xml:space="preserve"> son los equipos o materiales que conforman las unidades constructivas.</w:t>
      </w:r>
    </w:p>
    <w:p w14:paraId="04A00D6F" w14:textId="7DA7E44D" w:rsidR="00E43449" w:rsidRPr="00321B46" w:rsidRDefault="00E43449" w:rsidP="00E43449">
      <w:pPr>
        <w:rPr>
          <w:spacing w:val="-3"/>
        </w:rPr>
      </w:pPr>
      <w:r w:rsidRPr="00321B46">
        <w:rPr>
          <w:b/>
          <w:spacing w:val="-3"/>
        </w:rPr>
        <w:t xml:space="preserve">Energía no suministrada: </w:t>
      </w:r>
      <w:r w:rsidR="00F62E5A" w:rsidRPr="00321B46">
        <w:rPr>
          <w:spacing w:val="-3"/>
        </w:rPr>
        <w:t>e</w:t>
      </w:r>
      <w:r w:rsidR="007A02A0" w:rsidRPr="00321B46">
        <w:rPr>
          <w:spacing w:val="-3"/>
        </w:rPr>
        <w:t>stimación de</w:t>
      </w:r>
      <w:r w:rsidR="003219CD" w:rsidRPr="00321B46">
        <w:rPr>
          <w:spacing w:val="-3"/>
        </w:rPr>
        <w:t xml:space="preserve"> la cantidad de energía que no puede ser entregada cuando se presentan eventos en el sistema,</w:t>
      </w:r>
      <w:r w:rsidR="007A02A0" w:rsidRPr="00321B46">
        <w:rPr>
          <w:spacing w:val="-3"/>
        </w:rPr>
        <w:t xml:space="preserve"> realiza</w:t>
      </w:r>
      <w:r w:rsidR="003219CD" w:rsidRPr="00321B46">
        <w:rPr>
          <w:spacing w:val="-3"/>
        </w:rPr>
        <w:t>da</w:t>
      </w:r>
      <w:r w:rsidR="007A02A0" w:rsidRPr="00321B46">
        <w:rPr>
          <w:spacing w:val="-3"/>
        </w:rPr>
        <w:t xml:space="preserve"> con base en las disposiciones que para tal fin se establecen en la regulación</w:t>
      </w:r>
      <w:r w:rsidR="0073395E" w:rsidRPr="00321B46">
        <w:rPr>
          <w:spacing w:val="-3"/>
        </w:rPr>
        <w:t xml:space="preserve"> vigente</w:t>
      </w:r>
      <w:r w:rsidRPr="00321B46">
        <w:t>.</w:t>
      </w:r>
    </w:p>
    <w:p w14:paraId="0B300B22" w14:textId="77777777" w:rsidR="00E43449" w:rsidRPr="00321B46" w:rsidRDefault="00E43449" w:rsidP="00E43449">
      <w:pPr>
        <w:rPr>
          <w:bCs/>
        </w:rPr>
      </w:pPr>
      <w:r w:rsidRPr="00321B46">
        <w:rPr>
          <w:b/>
          <w:bCs/>
        </w:rPr>
        <w:t>Evento:</w:t>
      </w:r>
      <w:r w:rsidRPr="00321B46">
        <w:rPr>
          <w:bCs/>
        </w:rPr>
        <w:t xml:space="preserve"> situación que causa la indisponibilidad parcial o total de un activo de uso y que ocurre de manera programada o no programada.</w:t>
      </w:r>
    </w:p>
    <w:p w14:paraId="4D27C67B" w14:textId="77777777" w:rsidR="00E43449" w:rsidRPr="00321B46" w:rsidRDefault="00E43449" w:rsidP="00E43449">
      <w:pPr>
        <w:pStyle w:val="Continuarlista"/>
        <w:spacing w:after="0"/>
        <w:ind w:left="0"/>
      </w:pPr>
      <w:r w:rsidRPr="00321B46">
        <w:rPr>
          <w:b/>
          <w:bCs/>
        </w:rPr>
        <w:t>Fecha de corte:</w:t>
      </w:r>
      <w:r w:rsidRPr="00321B46">
        <w:t xml:space="preserve"> es el 31 de diciembre del año inmediatamente anterior al de la fecha de presentación de la solicitud de aprobación de la base de activos y del ingreso. </w:t>
      </w:r>
    </w:p>
    <w:p w14:paraId="09F64031" w14:textId="77777777" w:rsidR="00E43449" w:rsidRPr="00321B46" w:rsidRDefault="00E43449" w:rsidP="00E43449">
      <w:pPr>
        <w:rPr>
          <w:bCs/>
        </w:rPr>
      </w:pPr>
      <w:r w:rsidRPr="00321B46">
        <w:rPr>
          <w:b/>
          <w:bCs/>
        </w:rPr>
        <w:t>Grupo de activos:</w:t>
      </w:r>
      <w:r w:rsidRPr="00321B46">
        <w:rPr>
          <w:bCs/>
        </w:rPr>
        <w:t xml:space="preserve"> grupo conformado por activos cuyas funcionalidades se encuentran interrelacionadas entre sí. </w:t>
      </w:r>
    </w:p>
    <w:p w14:paraId="470953AB" w14:textId="6D355922" w:rsidR="00E43449" w:rsidRPr="00321B46" w:rsidRDefault="00E43449" w:rsidP="00E43449">
      <w:r w:rsidRPr="00321B46">
        <w:rPr>
          <w:b/>
        </w:rPr>
        <w:t>Indisponibilidad:</w:t>
      </w:r>
      <w:r w:rsidRPr="00321B46">
        <w:t xml:space="preserve"> se define como el tiempo sobre un período dado, durante el cual un activo de uso del STN no estuvo en servicio </w:t>
      </w:r>
      <w:r w:rsidR="00AF5565" w:rsidRPr="00321B46">
        <w:t>total o parcialmente</w:t>
      </w:r>
      <w:r w:rsidRPr="00321B46">
        <w:t>. Un activo indisponible</w:t>
      </w:r>
      <w:r w:rsidR="006405E4" w:rsidRPr="00321B46">
        <w:t xml:space="preserve"> se seguirá considerando en esta condición aunque</w:t>
      </w:r>
      <w:r w:rsidRPr="00321B46">
        <w:t xml:space="preserve"> su función esté siendo suplida por otro activo del SIN.</w:t>
      </w:r>
    </w:p>
    <w:p w14:paraId="4BDBA5FB" w14:textId="77777777" w:rsidR="00E43449" w:rsidRPr="00321B46" w:rsidRDefault="00E43449" w:rsidP="00E43449">
      <w:pPr>
        <w:suppressAutoHyphens/>
        <w:rPr>
          <w:rFonts w:cs="Arial"/>
          <w:lang w:val="es-CO" w:eastAsia="ar-SA"/>
        </w:rPr>
      </w:pPr>
      <w:r w:rsidRPr="00321B46">
        <w:rPr>
          <w:rFonts w:cs="Arial"/>
          <w:b/>
          <w:bCs/>
          <w:lang w:val="es-CO" w:eastAsia="ar-SA"/>
        </w:rPr>
        <w:t>Liquidador y Administrador de Cuentas, LAC:</w:t>
      </w:r>
      <w:r w:rsidRPr="00321B46">
        <w:rPr>
          <w:rFonts w:cs="Arial"/>
          <w:b/>
          <w:lang w:val="es-CO" w:eastAsia="ar-SA"/>
        </w:rPr>
        <w:t xml:space="preserve"> </w:t>
      </w:r>
      <w:r w:rsidRPr="00321B46">
        <w:rPr>
          <w:rFonts w:cs="Arial"/>
          <w:lang w:val="es-CO" w:eastAsia="ar-SA"/>
        </w:rPr>
        <w:t>entidad encargada de la liquidación y administración de cuentas de los cargos por uso de las redes del sistema interconectado nacional que le sean asignadas y de calcular el ingreso regulado de los transportadores, de acuerdo con las disposiciones contenidas en la regulación vigente.</w:t>
      </w:r>
    </w:p>
    <w:p w14:paraId="447B6660" w14:textId="77777777" w:rsidR="00E43449" w:rsidRPr="00321B46" w:rsidRDefault="00E43449" w:rsidP="00E43449">
      <w:pPr>
        <w:rPr>
          <w:rFonts w:cs="Arial"/>
        </w:rPr>
      </w:pPr>
      <w:r w:rsidRPr="00321B46">
        <w:rPr>
          <w:rFonts w:cs="Arial"/>
          <w:b/>
        </w:rPr>
        <w:t>Mantenimiento mayor:</w:t>
      </w:r>
      <w:r w:rsidRPr="00321B46">
        <w:rPr>
          <w:rFonts w:cs="Arial"/>
        </w:rPr>
        <w:t xml:space="preserve"> mantenimiento de activos de uso que requiere un tiempo mayor a las máximas horas anuales de indisponibilidad fijadas para </w:t>
      </w:r>
      <w:r w:rsidR="007A02A0" w:rsidRPr="00321B46">
        <w:rPr>
          <w:rFonts w:cs="Arial"/>
        </w:rPr>
        <w:t>el grupo de activos al que pertenece ese activo</w:t>
      </w:r>
      <w:r w:rsidRPr="00321B46">
        <w:rPr>
          <w:rFonts w:cs="Arial"/>
        </w:rPr>
        <w:t>.</w:t>
      </w:r>
    </w:p>
    <w:p w14:paraId="4D1342B2" w14:textId="77777777" w:rsidR="00E43449" w:rsidRPr="00321B46" w:rsidRDefault="00E43449" w:rsidP="00E43449">
      <w:r w:rsidRPr="00321B46">
        <w:rPr>
          <w:b/>
        </w:rPr>
        <w:t>Mercado de comercialización:</w:t>
      </w:r>
      <w:r w:rsidRPr="00321B46">
        <w:t xml:space="preserve"> conjunto de usuarios regulados y no regulados conectados a un mismo sistema de transmisión regional o de distribución local, servido por un mismo OR. También hacen parte del mercado de comercialización los usuarios conectados directamente al STN del área de influencia del respectivo OR.</w:t>
      </w:r>
    </w:p>
    <w:p w14:paraId="76F28DFD" w14:textId="77777777" w:rsidR="00E43449" w:rsidRPr="00321B46" w:rsidRDefault="00E43449" w:rsidP="00E43449">
      <w:r w:rsidRPr="00321B46">
        <w:rPr>
          <w:b/>
        </w:rPr>
        <w:t>Mes, mes calendario o mes completo:</w:t>
      </w:r>
      <w:r w:rsidRPr="00321B46">
        <w:t xml:space="preserve"> para los efectos de esta resolución, se entiende por mes</w:t>
      </w:r>
      <w:r w:rsidR="00EB59CA" w:rsidRPr="00321B46">
        <w:t>,</w:t>
      </w:r>
      <w:r w:rsidRPr="00321B46">
        <w:t xml:space="preserve"> mes calendario o mes completo cada uno de los doce meses del año, con su totalidad de días. La remuneración de la actividad de transmisión se liquidará por mes completo y no por fracción de mes.</w:t>
      </w:r>
    </w:p>
    <w:p w14:paraId="523E0F41" w14:textId="77777777" w:rsidR="00E43449" w:rsidRPr="00321B46" w:rsidRDefault="00E43449" w:rsidP="00E43449">
      <w:r w:rsidRPr="00321B46">
        <w:rPr>
          <w:b/>
          <w:bCs/>
        </w:rPr>
        <w:t>Operador de red de STR y SDL, OR:</w:t>
      </w:r>
      <w:r w:rsidRPr="00321B46">
        <w:t xml:space="preserve"> persona encargada de la planeación de la expansión, las inversiones, la operación y el mantenimiento de todo o parte de un STR o SDL, incluidas sus conexiones al STN. Los activos pueden ser de su propiedad o de terceros. Para todos los propósitos son las empresas que tienen cargos por uso de los STR o SDL aprobados por la CREG. El OR siempre debe ser una empresa de servicios públicos domiciliarios. La unidad mínima de un </w:t>
      </w:r>
      <w:r w:rsidRPr="00321B46">
        <w:lastRenderedPageBreak/>
        <w:t xml:space="preserve">SDL para que un OR pueda solicitar a la CREG aprobación de costos corresponde a las redes que atiendan la totalidad de los usuarios de un municipio. </w:t>
      </w:r>
    </w:p>
    <w:p w14:paraId="31DC23A1" w14:textId="77777777" w:rsidR="00E43449" w:rsidRPr="00321B46" w:rsidRDefault="00E43449" w:rsidP="00E43449">
      <w:r w:rsidRPr="00321B46">
        <w:rPr>
          <w:b/>
        </w:rPr>
        <w:t xml:space="preserve">Pérdidas eficientes de energía: </w:t>
      </w:r>
      <w:r w:rsidRPr="00321B46">
        <w:t>corresponden a</w:t>
      </w:r>
      <w:r w:rsidRPr="00321B46">
        <w:rPr>
          <w:b/>
        </w:rPr>
        <w:t xml:space="preserve"> </w:t>
      </w:r>
      <w:r w:rsidR="008D1E6E" w:rsidRPr="00321B46">
        <w:t>la energía que se pierde en el STN a causa del transporte y la transformación de la energía eléctrica</w:t>
      </w:r>
      <w:r w:rsidRPr="00321B46">
        <w:t xml:space="preserve">.  </w:t>
      </w:r>
    </w:p>
    <w:p w14:paraId="654FAA5B" w14:textId="77777777" w:rsidR="00E43449" w:rsidRPr="00321B46" w:rsidRDefault="00E43449" w:rsidP="00E43449">
      <w:r w:rsidRPr="00321B46">
        <w:rPr>
          <w:b/>
        </w:rPr>
        <w:t>Período de carga máxima:</w:t>
      </w:r>
      <w:r w:rsidRPr="00321B46">
        <w:t xml:space="preserve"> corresponde a las horas comprendidas entre las 9:00 y las 12:00 horas y entre las 18:00 y las 21:00 horas del día.</w:t>
      </w:r>
    </w:p>
    <w:p w14:paraId="3C476137" w14:textId="77777777" w:rsidR="00E43449" w:rsidRPr="00321B46" w:rsidRDefault="00E43449" w:rsidP="00E43449">
      <w:r w:rsidRPr="00321B46">
        <w:rPr>
          <w:b/>
        </w:rPr>
        <w:t>Período de carga media:</w:t>
      </w:r>
      <w:r w:rsidRPr="00321B46">
        <w:t xml:space="preserve"> corresponde a las horas comprendidas entre las 4:00 y las 9:00 horas, entre las 12:00 y las 18:00 horas, y entre las 21:00 y las 23:00 horas del día.</w:t>
      </w:r>
    </w:p>
    <w:p w14:paraId="196953FF" w14:textId="77777777" w:rsidR="00E43449" w:rsidRPr="00321B46" w:rsidRDefault="00E43449" w:rsidP="00E43449">
      <w:r w:rsidRPr="00321B46">
        <w:rPr>
          <w:b/>
        </w:rPr>
        <w:t>Período de carga mínima:</w:t>
      </w:r>
      <w:r w:rsidRPr="00321B46">
        <w:t xml:space="preserve"> corresponde a las horas comprendidas entre las 00:00 y las 4:00 horas y las 23:00 y las 24:00 horas.</w:t>
      </w:r>
    </w:p>
    <w:p w14:paraId="78C82F61" w14:textId="77777777" w:rsidR="00E43449" w:rsidRPr="00321B46" w:rsidRDefault="00E43449" w:rsidP="00E43449">
      <w:r w:rsidRPr="00321B46">
        <w:rPr>
          <w:b/>
          <w:bCs/>
        </w:rPr>
        <w:t xml:space="preserve">Sistema de distribución local, SDL: </w:t>
      </w:r>
      <w:r w:rsidRPr="00321B46">
        <w:t>sistema de transporte de energía eléctrica compuesto por el conjunto de líneas y subestaciones, con sus equipos asociados, que operan en los niveles de tensión 1, 2 y 3 y son utilizados para la prestación del servicio en un mercado de comercialización.</w:t>
      </w:r>
    </w:p>
    <w:p w14:paraId="32CEA2F6" w14:textId="77777777" w:rsidR="00E43449" w:rsidRPr="00321B46" w:rsidRDefault="00E43449" w:rsidP="00E43449">
      <w:r w:rsidRPr="00321B46">
        <w:rPr>
          <w:b/>
        </w:rPr>
        <w:t>Sistema de transmisión nacional, STN:</w:t>
      </w:r>
      <w:r w:rsidRPr="00321B46">
        <w:t xml:space="preserve"> es el sistema interconectado de transmisión de energía eléctrica compuesto por el conjunto de líneas, equipos de compensación y subestaciones que operan a tensiones iguales o superiores a 220 kV, los transformadores con este nivel de tensión en el lado de baja y los correspondientes módulos de conexión.</w:t>
      </w:r>
    </w:p>
    <w:p w14:paraId="3C4E819F" w14:textId="77777777" w:rsidR="00E43449" w:rsidRPr="00321B46" w:rsidRDefault="00E43449" w:rsidP="00E43449">
      <w:r w:rsidRPr="00321B46">
        <w:rPr>
          <w:b/>
          <w:bCs/>
        </w:rPr>
        <w:t>Sistema de transmisión regional, STR:</w:t>
      </w:r>
      <w:r w:rsidRPr="00321B46">
        <w:t xml:space="preserve"> sistema de transporte de energía eléctrica compuesto por los activos de conexión del OR al STN y el conjunto de líneas, equipos y subestaciones, con sus equipos asociados, que operan en el nivel de tensión 4. Los STR pueden estar conformados por los activos de uno o más operadores de red.</w:t>
      </w:r>
    </w:p>
    <w:p w14:paraId="2ACF8AD4" w14:textId="77777777" w:rsidR="00E43449" w:rsidRPr="00321B46" w:rsidRDefault="00E43449" w:rsidP="00E43449">
      <w:r w:rsidRPr="00321B46">
        <w:rPr>
          <w:b/>
        </w:rPr>
        <w:t>Sistema interconectado nacional, SIN:</w:t>
      </w:r>
      <w:r w:rsidRPr="00321B46">
        <w:t xml:space="preserve"> es el sistema compuesto por los siguientes elementos conectados entre sí: las plantas y equipos de generación, la red de interconexión, las redes regionales e interregionales de transmisión, las redes de distribución, y las cargas eléctricas de los usuarios.</w:t>
      </w:r>
    </w:p>
    <w:p w14:paraId="770DA73A" w14:textId="77755B04" w:rsidR="00E43449" w:rsidRPr="00321B46" w:rsidRDefault="000E4CFE" w:rsidP="00E43449">
      <w:r w:rsidRPr="00321B46">
        <w:rPr>
          <w:b/>
        </w:rPr>
        <w:t>Tasa de descuento</w:t>
      </w:r>
      <w:r w:rsidR="00E43449" w:rsidRPr="00321B46">
        <w:rPr>
          <w:b/>
        </w:rPr>
        <w:t xml:space="preserve">: </w:t>
      </w:r>
      <w:r w:rsidR="00E43449" w:rsidRPr="00321B46">
        <w:t xml:space="preserve">tasa </w:t>
      </w:r>
      <w:r w:rsidR="004B1D8F" w:rsidRPr="00321B46">
        <w:t xml:space="preserve">establecida </w:t>
      </w:r>
      <w:r w:rsidR="00E43449" w:rsidRPr="00321B46">
        <w:t xml:space="preserve">para la actividad de transmisión de energía eléctrica. </w:t>
      </w:r>
    </w:p>
    <w:p w14:paraId="61D54F75" w14:textId="32A96B75" w:rsidR="00E43449" w:rsidRPr="00321B46" w:rsidRDefault="007A02A0" w:rsidP="00E43449">
      <w:r w:rsidRPr="00321B46">
        <w:rPr>
          <w:b/>
        </w:rPr>
        <w:t xml:space="preserve">Trabajos </w:t>
      </w:r>
      <w:r w:rsidR="0049233E" w:rsidRPr="00321B46">
        <w:rPr>
          <w:b/>
        </w:rPr>
        <w:t>de expansión o reposición en la red</w:t>
      </w:r>
      <w:r w:rsidRPr="00321B46">
        <w:rPr>
          <w:b/>
        </w:rPr>
        <w:t xml:space="preserve">: </w:t>
      </w:r>
      <w:r w:rsidRPr="00321B46">
        <w:t>son las actividades necesarias para la entrada en operación comercial de un generador, de los activos que componen los proyectos de expansión y demás que hagan parte del plan de inversiones que la CREG le haya aprobado al TN</w:t>
      </w:r>
      <w:r w:rsidR="0049233E" w:rsidRPr="00321B46">
        <w:t xml:space="preserve"> o de las expansiones del STN que se ejecuten a través de los procesos de selección que realiza la UPME</w:t>
      </w:r>
      <w:r w:rsidR="00E43449" w:rsidRPr="00321B46">
        <w:t>.</w:t>
      </w:r>
    </w:p>
    <w:p w14:paraId="4F563137" w14:textId="77777777" w:rsidR="00E43449" w:rsidRPr="00321B46" w:rsidRDefault="00E43449" w:rsidP="00E43449">
      <w:r w:rsidRPr="00321B46">
        <w:rPr>
          <w:b/>
        </w:rPr>
        <w:t>Transmisión de energía eléctrica:</w:t>
      </w:r>
      <w:r w:rsidRPr="00321B46">
        <w:t xml:space="preserve"> es la actividad consistente en el transporte de energía eléctrica por sistemas de transmisión y la operación, mantenimiento y expansión del sistema de transmisión nacional. </w:t>
      </w:r>
    </w:p>
    <w:p w14:paraId="38AAF288" w14:textId="77777777" w:rsidR="00E43449" w:rsidRPr="00321B46" w:rsidRDefault="00E43449" w:rsidP="00E43449">
      <w:r w:rsidRPr="00321B46">
        <w:rPr>
          <w:b/>
        </w:rPr>
        <w:lastRenderedPageBreak/>
        <w:t>Transmisor nacional, TN:</w:t>
      </w:r>
      <w:r w:rsidRPr="00321B46">
        <w:t xml:space="preserve"> persona jurídica que realiza la actividad de transmisión de energía eléctrica en el STN o que ha constituido una empresa cuyo objeto es el desarrollo de dichas actividades. El TN siempre debe ser una empresa de servicios públicos domiciliarios.</w:t>
      </w:r>
    </w:p>
    <w:p w14:paraId="1127264C" w14:textId="222BEB04" w:rsidR="00E43449" w:rsidRPr="00321B46" w:rsidRDefault="00E43449" w:rsidP="00E43449">
      <w:r w:rsidRPr="00321B46">
        <w:rPr>
          <w:b/>
        </w:rPr>
        <w:t xml:space="preserve">Unidad constructiva especial: </w:t>
      </w:r>
      <w:r w:rsidRPr="00321B46">
        <w:t xml:space="preserve">es aquella que </w:t>
      </w:r>
      <w:r w:rsidR="004B1D8F" w:rsidRPr="00321B46">
        <w:t>contiene elementos con</w:t>
      </w:r>
      <w:r w:rsidRPr="00321B46">
        <w:t xml:space="preserve"> características técnicas </w:t>
      </w:r>
      <w:r w:rsidR="004B1D8F" w:rsidRPr="00321B46">
        <w:t xml:space="preserve">que no la hace asimilable </w:t>
      </w:r>
      <w:r w:rsidR="005C07AF" w:rsidRPr="00321B46">
        <w:t>a</w:t>
      </w:r>
      <w:r w:rsidRPr="00321B46">
        <w:t xml:space="preserve"> las UC definidas.</w:t>
      </w:r>
    </w:p>
    <w:p w14:paraId="25F4F1C0" w14:textId="77777777" w:rsidR="00E43449" w:rsidRPr="00321B46" w:rsidRDefault="00E43449" w:rsidP="00E43449">
      <w:r w:rsidRPr="00321B46">
        <w:rPr>
          <w:b/>
        </w:rPr>
        <w:t>Unidad constructiva, UC:</w:t>
      </w:r>
      <w:r w:rsidRPr="00321B46">
        <w:t xml:space="preserve"> conjunto de elementos que conforman una unidad típica de un sistema eléctrico, orientada a la conexión de otros elementos de una red, al transporte o a la transformación de la energía eléctrica, o a la supervisión o al control de la operación de activos del STN.</w:t>
      </w:r>
    </w:p>
    <w:p w14:paraId="40EB18CF" w14:textId="77777777" w:rsidR="00E43449" w:rsidRPr="00321B46" w:rsidRDefault="00E43449" w:rsidP="00E43449">
      <w:pPr>
        <w:shd w:val="clear" w:color="auto" w:fill="FFFFFF"/>
      </w:pPr>
      <w:r w:rsidRPr="00321B46">
        <w:rPr>
          <w:b/>
        </w:rPr>
        <w:t>Usuario conectado directamente al STN:</w:t>
      </w:r>
      <w:r w:rsidRPr="00321B46">
        <w:t xml:space="preserve"> es el usuario final del servicio de energía eléctrica conectado al STN mediante equipos destinados en un 100% a su uso exclusivo. También lo es el usuario que a la fecha de entrada en vigencia de la Resolución CREG 097 de 2008 estaba reconocido como usuario conectado directamente al STN.  </w:t>
      </w:r>
    </w:p>
    <w:p w14:paraId="162390AC" w14:textId="77777777" w:rsidR="00E43449" w:rsidRPr="00321B46" w:rsidRDefault="00E43449" w:rsidP="00E43449">
      <w:r w:rsidRPr="00321B46">
        <w:t>Un usuario conectado directamente al STN pertenece al mercado de comercialización del OR que atiende la mayor cantidad de usuarios en el municipio donde se encuentre ubicado. Cuando el usuario conectado directamente al STN está ubicado en un municipio donde no existan usuarios conectados a ningún OR del SIN, pertenecerá al mercado de comercialización del OR que atienda la mayor cantidad de usuarios en el departamento donde se encuentre ubicado.</w:t>
      </w:r>
    </w:p>
    <w:p w14:paraId="6D71D74B" w14:textId="77777777" w:rsidR="00E43449" w:rsidRPr="00321B46" w:rsidRDefault="00E43449" w:rsidP="00E43449">
      <w:r w:rsidRPr="00321B46">
        <w:rPr>
          <w:b/>
          <w:bCs/>
        </w:rPr>
        <w:t>Usuario del STR o SDL</w:t>
      </w:r>
      <w:r w:rsidRPr="00321B46">
        <w:t xml:space="preserve">: </w:t>
      </w:r>
      <w:r w:rsidR="005C07AF" w:rsidRPr="00321B46">
        <w:t>es el usuario final del servicio de energía eléctrica, OR, generador, cogenerador o autogenerador conectado a un STR o a un SDL</w:t>
      </w:r>
      <w:r w:rsidRPr="00321B46">
        <w:t>.</w:t>
      </w:r>
    </w:p>
    <w:p w14:paraId="435D5D05" w14:textId="77777777" w:rsidR="00E43449" w:rsidRPr="00321B46" w:rsidRDefault="00E43449" w:rsidP="00E43449">
      <w:r w:rsidRPr="00321B46">
        <w:rPr>
          <w:b/>
        </w:rPr>
        <w:t>Usuario del STN:</w:t>
      </w:r>
      <w:r w:rsidRPr="00321B46">
        <w:t xml:space="preserve"> es el usuario no regulado, UNR, el OR</w:t>
      </w:r>
      <w:r w:rsidR="000D24CB" w:rsidRPr="00321B46">
        <w:t>,</w:t>
      </w:r>
      <w:r w:rsidRPr="00321B46">
        <w:t xml:space="preserve"> </w:t>
      </w:r>
      <w:r w:rsidR="000D24CB" w:rsidRPr="00321B46">
        <w:t>generador, cogenerador o autogenerador</w:t>
      </w:r>
      <w:r w:rsidR="000D24CB" w:rsidRPr="00321B46" w:rsidDel="000D24CB">
        <w:t xml:space="preserve"> </w:t>
      </w:r>
      <w:r w:rsidRPr="00321B46">
        <w:t xml:space="preserve">conectado al STN. </w:t>
      </w:r>
    </w:p>
    <w:p w14:paraId="6FC65D8F" w14:textId="77777777" w:rsidR="00E43449" w:rsidRPr="00321B46" w:rsidRDefault="00E43449" w:rsidP="00E43449">
      <w:r w:rsidRPr="00321B46">
        <w:rPr>
          <w:b/>
        </w:rPr>
        <w:t>Usuario no regulado, UNR:</w:t>
      </w:r>
      <w:r w:rsidRPr="00321B46">
        <w:t xml:space="preserve"> es el usuario final que cumple con las condiciones para acordar libremente sus precios de compra de energía eléctrica, establecidas en las resoluciones CREG 131 de 1998 y 183 de 2009 o aquella que las modifique</w:t>
      </w:r>
      <w:r w:rsidR="000D24CB" w:rsidRPr="00321B46">
        <w:t>n</w:t>
      </w:r>
      <w:r w:rsidRPr="00321B46">
        <w:t xml:space="preserve"> o sustituya</w:t>
      </w:r>
      <w:r w:rsidR="000D24CB" w:rsidRPr="00321B46">
        <w:t>n</w:t>
      </w:r>
      <w:r w:rsidRPr="00321B46">
        <w:t>.</w:t>
      </w:r>
    </w:p>
    <w:p w14:paraId="28002180" w14:textId="77777777" w:rsidR="00E43449" w:rsidRPr="00321B46" w:rsidRDefault="00E43449" w:rsidP="00E43449">
      <w:r w:rsidRPr="00321B46">
        <w:rPr>
          <w:b/>
          <w:bCs/>
        </w:rPr>
        <w:t>Usuario:</w:t>
      </w:r>
      <w:r w:rsidRPr="00321B46">
        <w:t xml:space="preserve"> persona natural o jurídica que se beneficia con la prestación de un servicio público, bien como propietario del inmueble en donde éste se presta, o como receptor directo del servicio. A este último usuario se le denomina también consumidor. Para los efectos de esta resolución se denominará usuario final.</w:t>
      </w:r>
    </w:p>
    <w:p w14:paraId="2811EA5E" w14:textId="77777777" w:rsidR="00E43449" w:rsidRPr="00321B46" w:rsidRDefault="00E43449" w:rsidP="00B37A6A">
      <w:pPr>
        <w:pStyle w:val="Artculo"/>
        <w:ind w:left="0" w:firstLine="0"/>
        <w:rPr>
          <w:b w:val="0"/>
        </w:rPr>
      </w:pPr>
      <w:r w:rsidRPr="00321B46">
        <w:t>Criterios generales.</w:t>
      </w:r>
      <w:r w:rsidRPr="00321B46">
        <w:rPr>
          <w:b w:val="0"/>
        </w:rPr>
        <w:t xml:space="preserve"> La metodología que se aplicará para el cálculo de los ingresos de los TN y del cargo por uso del STN tendrá en cuenta los siguientes criterios generales:</w:t>
      </w:r>
    </w:p>
    <w:p w14:paraId="5258DAD5" w14:textId="77777777" w:rsidR="00E43449" w:rsidRPr="00321B46" w:rsidRDefault="00E43449" w:rsidP="00E43449">
      <w:pPr>
        <w:pStyle w:val="Prrafodelista"/>
        <w:numPr>
          <w:ilvl w:val="0"/>
          <w:numId w:val="8"/>
        </w:numPr>
        <w:rPr>
          <w:szCs w:val="24"/>
        </w:rPr>
      </w:pPr>
      <w:bookmarkStart w:id="14" w:name="_Ref195412735"/>
      <w:r w:rsidRPr="00321B46">
        <w:rPr>
          <w:szCs w:val="24"/>
        </w:rPr>
        <w:t>Los ingresos dependen de la ejecución de los planes de inversión del TN, representados principalmente en reposición de activos.</w:t>
      </w:r>
    </w:p>
    <w:p w14:paraId="35D0108B" w14:textId="038A5899" w:rsidR="00E43449" w:rsidRPr="00321B46" w:rsidRDefault="00E43449" w:rsidP="00E43449">
      <w:pPr>
        <w:pStyle w:val="Prrafodelista"/>
        <w:numPr>
          <w:ilvl w:val="0"/>
          <w:numId w:val="8"/>
        </w:numPr>
        <w:rPr>
          <w:szCs w:val="24"/>
        </w:rPr>
      </w:pPr>
      <w:r w:rsidRPr="00321B46">
        <w:rPr>
          <w:szCs w:val="24"/>
        </w:rPr>
        <w:t xml:space="preserve">La base regulatoria de activos del TN se determinará a partir del costo de reposición de los activos </w:t>
      </w:r>
      <w:r w:rsidR="000D24CB" w:rsidRPr="00321B46">
        <w:rPr>
          <w:szCs w:val="24"/>
        </w:rPr>
        <w:t xml:space="preserve">que hacen parte de la base de activos aprobada </w:t>
      </w:r>
      <w:r w:rsidRPr="00321B46">
        <w:rPr>
          <w:szCs w:val="24"/>
        </w:rPr>
        <w:t xml:space="preserve">y la </w:t>
      </w:r>
      <w:r w:rsidRPr="00321B46">
        <w:rPr>
          <w:szCs w:val="24"/>
        </w:rPr>
        <w:lastRenderedPageBreak/>
        <w:t xml:space="preserve">asimilación de los nuevos activos mediante las UC que </w:t>
      </w:r>
      <w:r w:rsidR="00C61763" w:rsidRPr="00321B46">
        <w:rPr>
          <w:szCs w:val="24"/>
        </w:rPr>
        <w:t xml:space="preserve">se definen en el capítulo </w:t>
      </w:r>
      <w:r w:rsidR="008C5B89" w:rsidRPr="00321B46">
        <w:rPr>
          <w:rFonts w:cs="Arial"/>
        </w:rPr>
        <w:fldChar w:fldCharType="begin"/>
      </w:r>
      <w:r w:rsidR="008C5B89" w:rsidRPr="00321B46">
        <w:rPr>
          <w:rFonts w:cs="Arial"/>
        </w:rPr>
        <w:instrText xml:space="preserve"> REF _Ref404776490 \r \h \t \* MERGEFORMAT </w:instrText>
      </w:r>
      <w:r w:rsidR="008C5B89" w:rsidRPr="00321B46">
        <w:rPr>
          <w:rFonts w:cs="Arial"/>
        </w:rPr>
      </w:r>
      <w:r w:rsidR="008C5B89" w:rsidRPr="00321B46">
        <w:rPr>
          <w:rFonts w:cs="Arial"/>
        </w:rPr>
        <w:fldChar w:fldCharType="separate"/>
      </w:r>
      <w:r w:rsidR="000F355F">
        <w:rPr>
          <w:rFonts w:cs="Arial"/>
        </w:rPr>
        <w:t>7</w:t>
      </w:r>
      <w:r w:rsidR="008C5B89" w:rsidRPr="00321B46">
        <w:rPr>
          <w:rFonts w:cs="Arial"/>
        </w:rPr>
        <w:fldChar w:fldCharType="end"/>
      </w:r>
      <w:r w:rsidR="00C61763" w:rsidRPr="00321B46">
        <w:rPr>
          <w:szCs w:val="24"/>
        </w:rPr>
        <w:t xml:space="preserve"> de</w:t>
      </w:r>
      <w:r w:rsidR="00457F1A" w:rsidRPr="00321B46">
        <w:rPr>
          <w:szCs w:val="24"/>
        </w:rPr>
        <w:t xml:space="preserve">l anexo </w:t>
      </w:r>
      <w:r w:rsidR="00C61763" w:rsidRPr="00321B46">
        <w:rPr>
          <w:szCs w:val="24"/>
        </w:rPr>
        <w:t>o</w:t>
      </w:r>
      <w:r w:rsidRPr="00321B46">
        <w:rPr>
          <w:szCs w:val="24"/>
        </w:rPr>
        <w:t xml:space="preserve"> </w:t>
      </w:r>
      <w:r w:rsidR="00C61763" w:rsidRPr="00321B46">
        <w:rPr>
          <w:szCs w:val="24"/>
        </w:rPr>
        <w:t>mediante</w:t>
      </w:r>
      <w:r w:rsidRPr="00321B46">
        <w:rPr>
          <w:szCs w:val="24"/>
        </w:rPr>
        <w:t xml:space="preserve"> UC especiales</w:t>
      </w:r>
      <w:r w:rsidR="00C61763" w:rsidRPr="00321B46">
        <w:rPr>
          <w:szCs w:val="24"/>
        </w:rPr>
        <w:t>. En caso de utilizar UC especiales los TN</w:t>
      </w:r>
      <w:r w:rsidRPr="00321B46">
        <w:rPr>
          <w:szCs w:val="24"/>
        </w:rPr>
        <w:t xml:space="preserve"> deberán suministrar la información correspondiente dentro de la respectiva actuación administrativa.</w:t>
      </w:r>
    </w:p>
    <w:p w14:paraId="54CB1566" w14:textId="5230351F" w:rsidR="00F30C55" w:rsidRPr="00321B46" w:rsidRDefault="00F30C55" w:rsidP="00F30C55">
      <w:pPr>
        <w:pStyle w:val="Prrafodelista"/>
        <w:numPr>
          <w:ilvl w:val="0"/>
          <w:numId w:val="8"/>
        </w:numPr>
        <w:rPr>
          <w:szCs w:val="24"/>
        </w:rPr>
      </w:pPr>
      <w:r w:rsidRPr="00321B46">
        <w:t>Para la determinación de la base regulatoria de activos inicial se excluirá el valor de los activos que estén fuera de operación a la fecha de corte y que están incluidos en la base de activos reconocida</w:t>
      </w:r>
      <w:r w:rsidR="0050246D" w:rsidRPr="00321B46">
        <w:t>. E</w:t>
      </w:r>
      <w:r w:rsidRPr="00321B46">
        <w:t>s responsabilidad del TN reportar esta información dentro de la solicitud de ingresos</w:t>
      </w:r>
    </w:p>
    <w:p w14:paraId="0A17854F" w14:textId="1CA03C58" w:rsidR="00E43449" w:rsidRPr="00321B46" w:rsidRDefault="00E43449" w:rsidP="0050246D">
      <w:pPr>
        <w:pStyle w:val="Prrafodelista"/>
        <w:numPr>
          <w:ilvl w:val="0"/>
          <w:numId w:val="8"/>
        </w:numPr>
        <w:rPr>
          <w:szCs w:val="24"/>
        </w:rPr>
      </w:pPr>
      <w:r w:rsidRPr="00321B46">
        <w:rPr>
          <w:szCs w:val="24"/>
        </w:rPr>
        <w:t>El cargo por uso resultante de aplicar la metodología contenida en esta resolución remunerará el uso de la infraestructura y los gastos de AOM asociados al sistema de transmisión nacional.</w:t>
      </w:r>
      <w:r w:rsidR="0050246D" w:rsidRPr="00321B46">
        <w:t xml:space="preserve"> </w:t>
      </w:r>
      <w:r w:rsidR="0050246D" w:rsidRPr="00321B46">
        <w:rPr>
          <w:szCs w:val="24"/>
        </w:rPr>
        <w:t>Estos cargos por uso no incluyen los costos de conexión de un usuario al respectivo sistema.</w:t>
      </w:r>
    </w:p>
    <w:p w14:paraId="24BD7C03" w14:textId="3AF689EC" w:rsidR="0050246D" w:rsidRPr="00321B46" w:rsidRDefault="0050246D" w:rsidP="0050246D">
      <w:pPr>
        <w:pStyle w:val="Prrafodelista"/>
        <w:numPr>
          <w:ilvl w:val="0"/>
          <w:numId w:val="8"/>
        </w:numPr>
        <w:rPr>
          <w:szCs w:val="24"/>
        </w:rPr>
      </w:pPr>
      <w:r w:rsidRPr="00321B46">
        <w:rPr>
          <w:szCs w:val="24"/>
        </w:rPr>
        <w:t xml:space="preserve">Los costos anuales del STN se determinarán a partir de los activos de uso </w:t>
      </w:r>
      <w:r w:rsidR="00B77D33" w:rsidRPr="00321B46">
        <w:rPr>
          <w:szCs w:val="24"/>
        </w:rPr>
        <w:t>que pertenecen a este sistema</w:t>
      </w:r>
      <w:r w:rsidRPr="00321B46">
        <w:rPr>
          <w:szCs w:val="24"/>
        </w:rPr>
        <w:t>,</w:t>
      </w:r>
      <w:r w:rsidR="00B77D33" w:rsidRPr="00321B46">
        <w:rPr>
          <w:szCs w:val="24"/>
        </w:rPr>
        <w:t xml:space="preserve"> incluyendo algunos que sirven de conexión </w:t>
      </w:r>
      <w:r w:rsidR="00D25ABE" w:rsidRPr="00321B46">
        <w:rPr>
          <w:szCs w:val="24"/>
        </w:rPr>
        <w:t>d</w:t>
      </w:r>
      <w:r w:rsidR="00B77D33" w:rsidRPr="00321B46">
        <w:rPr>
          <w:szCs w:val="24"/>
        </w:rPr>
        <w:t xml:space="preserve">el STR y comparten la operación con el STN, </w:t>
      </w:r>
      <w:r w:rsidR="008C5B89" w:rsidRPr="00321B46">
        <w:rPr>
          <w:szCs w:val="24"/>
        </w:rPr>
        <w:t xml:space="preserve">los </w:t>
      </w:r>
      <w:r w:rsidR="00B77D33" w:rsidRPr="00321B46">
        <w:rPr>
          <w:szCs w:val="24"/>
        </w:rPr>
        <w:t xml:space="preserve">que operan a otros niveles de tensión pero </w:t>
      </w:r>
      <w:r w:rsidR="008C5B89" w:rsidRPr="00321B46">
        <w:rPr>
          <w:szCs w:val="24"/>
        </w:rPr>
        <w:t>se usan</w:t>
      </w:r>
      <w:r w:rsidR="00B77D33" w:rsidRPr="00321B46">
        <w:rPr>
          <w:szCs w:val="24"/>
        </w:rPr>
        <w:t xml:space="preserve"> de manera exclusiva para atender ne</w:t>
      </w:r>
      <w:r w:rsidR="00B00FD2" w:rsidRPr="00321B46">
        <w:rPr>
          <w:szCs w:val="24"/>
        </w:rPr>
        <w:t>cesidades del STN</w:t>
      </w:r>
      <w:r w:rsidR="00D25ABE" w:rsidRPr="00321B46">
        <w:rPr>
          <w:szCs w:val="24"/>
        </w:rPr>
        <w:t>,</w:t>
      </w:r>
      <w:r w:rsidR="00B00FD2" w:rsidRPr="00321B46">
        <w:rPr>
          <w:szCs w:val="24"/>
        </w:rPr>
        <w:t xml:space="preserve"> </w:t>
      </w:r>
      <w:r w:rsidR="008C5B89" w:rsidRPr="00321B46">
        <w:rPr>
          <w:szCs w:val="24"/>
        </w:rPr>
        <w:t>los que</w:t>
      </w:r>
      <w:r w:rsidR="00B00FD2" w:rsidRPr="00321B46">
        <w:rPr>
          <w:szCs w:val="24"/>
        </w:rPr>
        <w:t xml:space="preserve"> interconectan el SIN con otros países</w:t>
      </w:r>
      <w:r w:rsidR="00D25ABE" w:rsidRPr="00321B46">
        <w:rPr>
          <w:szCs w:val="24"/>
        </w:rPr>
        <w:t xml:space="preserve"> y los demás que la regulación establezca que deben ser remunerados en la actividad de transmisión</w:t>
      </w:r>
      <w:r w:rsidR="00B00FD2" w:rsidRPr="00321B46">
        <w:rPr>
          <w:szCs w:val="24"/>
        </w:rPr>
        <w:t>.</w:t>
      </w:r>
      <w:r w:rsidR="00B77D33" w:rsidRPr="00321B46">
        <w:rPr>
          <w:szCs w:val="24"/>
        </w:rPr>
        <w:t xml:space="preserve"> </w:t>
      </w:r>
    </w:p>
    <w:p w14:paraId="4361CEE3" w14:textId="77777777" w:rsidR="00E43449" w:rsidRPr="00321B46" w:rsidRDefault="00E43449" w:rsidP="00E43449">
      <w:pPr>
        <w:pStyle w:val="Prrafodelista"/>
        <w:numPr>
          <w:ilvl w:val="0"/>
          <w:numId w:val="8"/>
        </w:numPr>
        <w:rPr>
          <w:szCs w:val="24"/>
        </w:rPr>
      </w:pPr>
      <w:r w:rsidRPr="00321B46">
        <w:rPr>
          <w:szCs w:val="24"/>
        </w:rPr>
        <w:t>En virtud del principio de integralidad de la tarifa establecido en la Ley, el ingreso del TN y el cargo del STN variarán según los índices de calidad del servicio prestado.</w:t>
      </w:r>
    </w:p>
    <w:p w14:paraId="1A4AB43B" w14:textId="77777777" w:rsidR="00E43449" w:rsidRPr="00321B46" w:rsidRDefault="00E43449" w:rsidP="00E43449">
      <w:pPr>
        <w:pStyle w:val="Prrafodelista"/>
        <w:numPr>
          <w:ilvl w:val="0"/>
          <w:numId w:val="8"/>
        </w:numPr>
        <w:rPr>
          <w:szCs w:val="24"/>
        </w:rPr>
      </w:pPr>
      <w:r w:rsidRPr="00321B46">
        <w:rPr>
          <w:szCs w:val="24"/>
        </w:rPr>
        <w:t>Para compartir las mejoras de productividad de la red con los usuarios, el cargo por uso se disminuirá teniendo en cuenta los ingresos recibidos por el TN por la prestación de servicios distintos al de transmisión de electricidad</w:t>
      </w:r>
      <w:r w:rsidR="00EB59CA" w:rsidRPr="00321B46">
        <w:rPr>
          <w:szCs w:val="24"/>
        </w:rPr>
        <w:t>.</w:t>
      </w:r>
    </w:p>
    <w:p w14:paraId="3EF10623" w14:textId="77777777" w:rsidR="00E43449" w:rsidRPr="00321B46" w:rsidRDefault="00E43449" w:rsidP="00E43449">
      <w:pPr>
        <w:pStyle w:val="Prrafodelista"/>
        <w:numPr>
          <w:ilvl w:val="0"/>
          <w:numId w:val="8"/>
        </w:numPr>
        <w:rPr>
          <w:szCs w:val="24"/>
        </w:rPr>
      </w:pPr>
      <w:r w:rsidRPr="00321B46">
        <w:rPr>
          <w:szCs w:val="24"/>
        </w:rPr>
        <w:t xml:space="preserve">Un TN será remunerado mediante cargos por uso por la totalidad de los activos de uso que </w:t>
      </w:r>
      <w:r w:rsidR="00004531" w:rsidRPr="00321B46">
        <w:rPr>
          <w:szCs w:val="24"/>
        </w:rPr>
        <w:t>representa</w:t>
      </w:r>
      <w:r w:rsidRPr="00321B46">
        <w:rPr>
          <w:szCs w:val="24"/>
        </w:rPr>
        <w:t xml:space="preserve">, independientemente de que sea o no propietario de los mismos y sin perjuicio de la remuneración que deberá pagar al propietario por su inversión, con excepción de los bienes o derechos que no deban incluirse en el cálculo de las tarifas en los términos del artículo 87, numeral 87.9, de la Ley 142 de 1994, </w:t>
      </w:r>
      <w:r w:rsidR="00EB59CA" w:rsidRPr="00321B46">
        <w:t>modificado por el artículo 99 de la Ley 1450 de 2011</w:t>
      </w:r>
      <w:r w:rsidR="00004531" w:rsidRPr="00321B46">
        <w:t>. Es obligación de los TN reportar estos activos que no deben incluirse en la tarifa</w:t>
      </w:r>
      <w:r w:rsidRPr="00321B46">
        <w:rPr>
          <w:szCs w:val="24"/>
        </w:rPr>
        <w:t>.</w:t>
      </w:r>
      <w:bookmarkStart w:id="15" w:name="_Ref209833384"/>
    </w:p>
    <w:p w14:paraId="3F854A3A" w14:textId="77777777" w:rsidR="00004531" w:rsidRPr="00321B46" w:rsidRDefault="00004531" w:rsidP="00004531">
      <w:pPr>
        <w:pStyle w:val="Prrafodelista"/>
        <w:numPr>
          <w:ilvl w:val="0"/>
          <w:numId w:val="8"/>
        </w:numPr>
      </w:pPr>
      <w:r w:rsidRPr="00321B46">
        <w:t>El cargo por uso del STN será facturado por el LAC a los comercializadores, con base en su demanda y distribuido entre los TN que representan activos en ese sistema, así hayan sido activos ejecutados directamente por los TN o como resultado de un proceso de selección.</w:t>
      </w:r>
    </w:p>
    <w:p w14:paraId="777D60EB" w14:textId="77777777" w:rsidR="00004531" w:rsidRPr="00321B46" w:rsidRDefault="00004531" w:rsidP="00004531">
      <w:pPr>
        <w:pStyle w:val="Prrafodelista"/>
        <w:numPr>
          <w:ilvl w:val="0"/>
          <w:numId w:val="8"/>
        </w:numPr>
        <w:rPr>
          <w:szCs w:val="24"/>
        </w:rPr>
      </w:pPr>
      <w:r w:rsidRPr="00321B46">
        <w:rPr>
          <w:szCs w:val="24"/>
        </w:rPr>
        <w:t xml:space="preserve">El comercializador cobrará el cargo por uso del STN a los usuarios que atiende. </w:t>
      </w:r>
    </w:p>
    <w:p w14:paraId="1FFC0D03" w14:textId="77777777" w:rsidR="00004531" w:rsidRPr="00321B46" w:rsidRDefault="00321BDD" w:rsidP="00321BDD">
      <w:pPr>
        <w:pStyle w:val="Prrafodelista"/>
        <w:numPr>
          <w:ilvl w:val="0"/>
          <w:numId w:val="8"/>
        </w:numPr>
      </w:pPr>
      <w:r w:rsidRPr="00321B46">
        <w:t>La elaboración del plan de inversiones y la identificación, priorización y ejecución de las inversiones que lo conforman es de entera responsabilidad del TN.</w:t>
      </w:r>
    </w:p>
    <w:p w14:paraId="11921A45" w14:textId="1566D43C" w:rsidR="00A76EC5" w:rsidRPr="00321B46" w:rsidRDefault="00A76EC5" w:rsidP="00A76EC5">
      <w:pPr>
        <w:pStyle w:val="Prrafodelista"/>
        <w:numPr>
          <w:ilvl w:val="0"/>
          <w:numId w:val="8"/>
        </w:numPr>
        <w:spacing w:before="200" w:after="200" w:line="216" w:lineRule="auto"/>
        <w:ind w:left="357" w:hanging="357"/>
      </w:pPr>
      <w:bookmarkStart w:id="16" w:name="_Ref188082874"/>
      <w:r w:rsidRPr="00321B46">
        <w:lastRenderedPageBreak/>
        <w:t>Los activos de uso del STN que se encuentren dentro del alcance del sistema de gestión de activos podrán tener una remuneración adicional una vez cumplida su vida útil y la recuperación de capital se haya completado en los términos de la presente resolución. La remuneración adicional podrá darse hasta por un periodo tarifario, siempre y cuando la operación de estos activos no afecten la seguridad, confiabilidad y calidad en la prestación del servicio. Se exceptúan los activos de comunicaciones y control, así como los activos correspondientes a centros de control.</w:t>
      </w:r>
    </w:p>
    <w:p w14:paraId="238BE676" w14:textId="77777777" w:rsidR="00E43449" w:rsidRPr="00321B46" w:rsidRDefault="00E43449" w:rsidP="00B37A6A">
      <w:pPr>
        <w:pStyle w:val="Artculo"/>
        <w:ind w:left="0" w:firstLine="0"/>
        <w:rPr>
          <w:b w:val="0"/>
        </w:rPr>
      </w:pPr>
      <w:r w:rsidRPr="00321B46">
        <w:t>Metodología de remuneración.</w:t>
      </w:r>
      <w:r w:rsidRPr="00321B46">
        <w:rPr>
          <w:b w:val="0"/>
        </w:rPr>
        <w:t xml:space="preserve"> La actividad de transmisión de energía eléctrica en el STN se remunerará con la metodología de ingreso máximo, conforme a lo establecido en esta resolución. Los activos de uso del STN existentes a la fecha de entrada en vigencia de esta resolución que no hayan sido construidos por inversionistas seleccionados a través de los procesos de libre concurrencia regulados por la CREG, y los activos correspondientes a las ampliaciones que se construyan en cumplimiento de lo establecido en el artículo 6 de la Resolución CREG 022 de 2001 y aquellas que la modifiquen o sustituyan, se remunerarán de acuerdo con lo establecido en la presente resolución.</w:t>
      </w:r>
      <w:bookmarkEnd w:id="16"/>
    </w:p>
    <w:p w14:paraId="49150373" w14:textId="77777777" w:rsidR="00E43449" w:rsidRPr="00321B46" w:rsidRDefault="00E43449" w:rsidP="00E43449">
      <w:r w:rsidRPr="00321B46">
        <w:rPr>
          <w:b/>
        </w:rPr>
        <w:t xml:space="preserve">Parágrafo. </w:t>
      </w:r>
      <w:r w:rsidRPr="00321B46">
        <w:t>La CREG incluirá los ajustes o modificaciones a la metodología de remuneración establecida en esta resolución que por la entrada en vigencia de un nuevo esquema de intercambios internacionales de energía eléctrica se requieran para que la formación de precios sea en condiciones de eficiencia frente a la demanda nacional.</w:t>
      </w:r>
    </w:p>
    <w:p w14:paraId="463230AA" w14:textId="288C35F5" w:rsidR="00E43449" w:rsidRPr="00321B46" w:rsidRDefault="00E43449" w:rsidP="00B37A6A">
      <w:pPr>
        <w:pStyle w:val="Artculo"/>
        <w:ind w:left="0" w:firstLine="0"/>
        <w:rPr>
          <w:b w:val="0"/>
        </w:rPr>
      </w:pPr>
      <w:bookmarkStart w:id="17" w:name="_Ref403985443"/>
      <w:r w:rsidRPr="00321B46">
        <w:t>Base de activos e ingreso anual.</w:t>
      </w:r>
      <w:r w:rsidRPr="00321B46">
        <w:rPr>
          <w:b w:val="0"/>
        </w:rPr>
        <w:t xml:space="preserve"> La CREG aprobará mediante resolución particular la base de activos a remunerar a cada uno de los TN. El ingreso correspondiente a estos activos se calculará de acuerdo con lo establecido en el capítulo </w:t>
      </w:r>
      <w:r w:rsidRPr="00321B46">
        <w:rPr>
          <w:b w:val="0"/>
        </w:rPr>
        <w:fldChar w:fldCharType="begin"/>
      </w:r>
      <w:r w:rsidRPr="00321B46">
        <w:rPr>
          <w:b w:val="0"/>
        </w:rPr>
        <w:instrText xml:space="preserve"> REF _Ref406683016 \r \h \t</w:instrText>
      </w:r>
      <w:r w:rsidR="003276B5" w:rsidRPr="00321B46">
        <w:rPr>
          <w:b w:val="0"/>
        </w:rPr>
        <w:instrText xml:space="preserve"> \* MERGEFORMAT </w:instrText>
      </w:r>
      <w:r w:rsidRPr="00321B46">
        <w:rPr>
          <w:b w:val="0"/>
        </w:rPr>
      </w:r>
      <w:r w:rsidRPr="00321B46">
        <w:rPr>
          <w:b w:val="0"/>
        </w:rPr>
        <w:fldChar w:fldCharType="separate"/>
      </w:r>
      <w:r w:rsidR="000F355F">
        <w:rPr>
          <w:b w:val="0"/>
        </w:rPr>
        <w:t>2</w:t>
      </w:r>
      <w:r w:rsidRPr="00321B46">
        <w:rPr>
          <w:b w:val="0"/>
        </w:rPr>
        <w:fldChar w:fldCharType="end"/>
      </w:r>
      <w:r w:rsidRPr="00321B46">
        <w:rPr>
          <w:b w:val="0"/>
        </w:rPr>
        <w:t xml:space="preserve"> del anexo.</w:t>
      </w:r>
      <w:bookmarkEnd w:id="17"/>
      <w:r w:rsidRPr="00321B46">
        <w:rPr>
          <w:b w:val="0"/>
        </w:rPr>
        <w:t xml:space="preserve"> </w:t>
      </w:r>
    </w:p>
    <w:p w14:paraId="0E81B417" w14:textId="77777777" w:rsidR="00E43449" w:rsidRPr="00321B46" w:rsidRDefault="00E43449" w:rsidP="00E43449">
      <w:r w:rsidRPr="00321B46">
        <w:t>La CREG podrá modificar la base de activos de un TN, y a su vez el ingreso aprobado, cuando la autoridad competente determine que alguno de sus activos limita la operación adecuada del sistema o incumple con la regulación. También se podrán hacer modificaciones cuando el TN incluya en su plan de inversiones los  nuevos proyectos en el STN identificados por la UPME para ser ejecutados como ampliaciones, de acuerdo con lo señalado en la Resolución CREG 022 de 2001</w:t>
      </w:r>
      <w:r w:rsidR="0078001B" w:rsidRPr="00321B46">
        <w:t xml:space="preserve"> o aquella que la modifique</w:t>
      </w:r>
      <w:r w:rsidR="00EB59CA" w:rsidRPr="00321B46">
        <w:t>, adicione</w:t>
      </w:r>
      <w:r w:rsidR="0078001B" w:rsidRPr="00321B46">
        <w:t xml:space="preserve"> o sustituya</w:t>
      </w:r>
      <w:r w:rsidRPr="00321B46">
        <w:t>.</w:t>
      </w:r>
    </w:p>
    <w:p w14:paraId="20E69107" w14:textId="77777777" w:rsidR="00E43449" w:rsidRPr="00321B46" w:rsidRDefault="00667D9B" w:rsidP="00E43449">
      <w:r w:rsidRPr="00321B46">
        <w:t xml:space="preserve">Una </w:t>
      </w:r>
      <w:r w:rsidR="00E43449" w:rsidRPr="00321B46">
        <w:t xml:space="preserve">vez se haya finalizado el periodo de pagos </w:t>
      </w:r>
      <w:r w:rsidRPr="00321B46">
        <w:t xml:space="preserve">de los activos que se hayan ejecutado mediante procesos de selección </w:t>
      </w:r>
      <w:r w:rsidR="00E43449" w:rsidRPr="00321B46">
        <w:t xml:space="preserve">y </w:t>
      </w:r>
      <w:r w:rsidRPr="00321B46">
        <w:t xml:space="preserve">cuando se </w:t>
      </w:r>
      <w:r w:rsidR="00E43449" w:rsidRPr="00321B46">
        <w:t xml:space="preserve">cumplan las condiciones establecidas en la regulación </w:t>
      </w:r>
      <w:r w:rsidRPr="00321B46">
        <w:t>el TN deberá solicitar a la CREG la inclusión de estos activos en su base de activos reconocida</w:t>
      </w:r>
      <w:r w:rsidR="00E43449" w:rsidRPr="00321B46">
        <w:t xml:space="preserve">. También deberá incluir los activos que deban ser remunerados mediante cargos por uso de la actividad de transmisión, de acuerdo con </w:t>
      </w:r>
      <w:r w:rsidR="006544E3" w:rsidRPr="00321B46">
        <w:t xml:space="preserve">la </w:t>
      </w:r>
      <w:r w:rsidR="00E43449" w:rsidRPr="00321B46">
        <w:t>regulación vigente.</w:t>
      </w:r>
    </w:p>
    <w:p w14:paraId="485675A3" w14:textId="77777777" w:rsidR="00E43449" w:rsidRPr="00321B46" w:rsidRDefault="00E43449" w:rsidP="00E43449">
      <w:r w:rsidRPr="00321B46">
        <w:rPr>
          <w:b/>
        </w:rPr>
        <w:t>Parágrafo 1.</w:t>
      </w:r>
      <w:r w:rsidRPr="00321B46">
        <w:t xml:space="preserve"> El valor a remunerar a cada TN por concepto</w:t>
      </w:r>
      <w:r w:rsidR="00760141" w:rsidRPr="00321B46">
        <w:t>s</w:t>
      </w:r>
      <w:r w:rsidRPr="00321B46">
        <w:t xml:space="preserve"> de servidumbre de nuevas líneas </w:t>
      </w:r>
      <w:r w:rsidR="00760141" w:rsidRPr="00321B46">
        <w:t xml:space="preserve">y de costos relacionados con permisos y licencias ambientales </w:t>
      </w:r>
      <w:r w:rsidRPr="00321B46">
        <w:t>será el valor anual que éste demuestre con la información entregada al momento del reporte del inventario de sus activos.</w:t>
      </w:r>
    </w:p>
    <w:p w14:paraId="37EBBB9E" w14:textId="77777777" w:rsidR="00E43449" w:rsidRPr="00321B46" w:rsidRDefault="00E43449" w:rsidP="00E43449">
      <w:pPr>
        <w:rPr>
          <w:lang w:val="es-ES_tradnl"/>
        </w:rPr>
      </w:pPr>
      <w:r w:rsidRPr="00321B46">
        <w:rPr>
          <w:b/>
          <w:lang w:val="es-ES_tradnl"/>
        </w:rPr>
        <w:lastRenderedPageBreak/>
        <w:t>Parágrafo 2.</w:t>
      </w:r>
      <w:r w:rsidRPr="00321B46">
        <w:rPr>
          <w:lang w:val="es-ES_tradnl"/>
        </w:rPr>
        <w:t xml:space="preserve"> Para la remuneración de los terrenos que hacen parte de nuevas unidades constructivas de subestaciones se tendrá en cuenta el valor catastral del metro cuadrado (m</w:t>
      </w:r>
      <w:r w:rsidRPr="00321B46">
        <w:rPr>
          <w:vertAlign w:val="superscript"/>
          <w:lang w:val="es-ES_tradnl"/>
        </w:rPr>
        <w:t>2</w:t>
      </w:r>
      <w:r w:rsidRPr="00321B46">
        <w:rPr>
          <w:lang w:val="es-ES_tradnl"/>
        </w:rPr>
        <w:t>) del terreno donde está ubicada cada subestación.</w:t>
      </w:r>
    </w:p>
    <w:p w14:paraId="69896839" w14:textId="77777777" w:rsidR="00E43449" w:rsidRPr="00321B46" w:rsidRDefault="00E43449" w:rsidP="00B37A6A">
      <w:pPr>
        <w:pStyle w:val="Artculo"/>
        <w:ind w:left="0" w:firstLine="0"/>
        <w:rPr>
          <w:b w:val="0"/>
        </w:rPr>
      </w:pPr>
      <w:bookmarkStart w:id="18" w:name="_Ref187206230"/>
      <w:r w:rsidRPr="00321B46">
        <w:t>Remuneración de nuevos activos de uso que sustituyan otros.</w:t>
      </w:r>
      <w:r w:rsidRPr="00321B46">
        <w:rPr>
          <w:b w:val="0"/>
        </w:rPr>
        <w:t xml:space="preserve"> Para la remuneración de un nuevo activo de uso que sustituya a otro que se estaba remunerando con una unidad constructiva diferente, se debe cumplir lo siguiente:</w:t>
      </w:r>
    </w:p>
    <w:p w14:paraId="57704C04" w14:textId="77777777" w:rsidR="00E43449" w:rsidRPr="00321B46" w:rsidRDefault="00E43449" w:rsidP="00E43449">
      <w:pPr>
        <w:pStyle w:val="Prrafodelista"/>
        <w:numPr>
          <w:ilvl w:val="0"/>
          <w:numId w:val="38"/>
        </w:numPr>
        <w:rPr>
          <w:szCs w:val="24"/>
        </w:rPr>
      </w:pPr>
      <w:r w:rsidRPr="00321B46">
        <w:rPr>
          <w:szCs w:val="24"/>
        </w:rPr>
        <w:t>Que el TN que represente dicho activo presente a la UPME la evaluación técnica y económica que justifica la ampliación o su sustitución.</w:t>
      </w:r>
    </w:p>
    <w:p w14:paraId="0A211238" w14:textId="77777777" w:rsidR="00E43449" w:rsidRPr="00321B46" w:rsidRDefault="00E43449" w:rsidP="00E43449">
      <w:pPr>
        <w:pStyle w:val="Prrafodelista"/>
        <w:numPr>
          <w:ilvl w:val="0"/>
          <w:numId w:val="38"/>
        </w:numPr>
        <w:rPr>
          <w:szCs w:val="24"/>
        </w:rPr>
      </w:pPr>
      <w:r w:rsidRPr="00321B46">
        <w:rPr>
          <w:szCs w:val="24"/>
        </w:rPr>
        <w:t xml:space="preserve">Que la UPME, una vez aplicados los criterios establecidos en la normativa vigente, recomiende </w:t>
      </w:r>
      <w:r w:rsidR="00AC4E8F" w:rsidRPr="00321B46">
        <w:rPr>
          <w:szCs w:val="24"/>
        </w:rPr>
        <w:t xml:space="preserve">la ampliación o sustitución de dicho activo </w:t>
      </w:r>
      <w:r w:rsidRPr="00321B46">
        <w:rPr>
          <w:szCs w:val="24"/>
        </w:rPr>
        <w:t>en el plan de expansión</w:t>
      </w:r>
      <w:r w:rsidR="00AC4E8F" w:rsidRPr="00321B46">
        <w:rPr>
          <w:szCs w:val="24"/>
        </w:rPr>
        <w:t xml:space="preserve"> que se adopte</w:t>
      </w:r>
      <w:r w:rsidRPr="00321B46">
        <w:rPr>
          <w:szCs w:val="24"/>
        </w:rPr>
        <w:t>.</w:t>
      </w:r>
    </w:p>
    <w:p w14:paraId="31C49CE0" w14:textId="77777777" w:rsidR="00E43449" w:rsidRPr="00321B46" w:rsidRDefault="00E43449" w:rsidP="00E43449">
      <w:pPr>
        <w:pStyle w:val="Prrafodelista"/>
        <w:numPr>
          <w:ilvl w:val="0"/>
          <w:numId w:val="38"/>
        </w:numPr>
        <w:rPr>
          <w:szCs w:val="24"/>
        </w:rPr>
      </w:pPr>
      <w:r w:rsidRPr="00321B46">
        <w:rPr>
          <w:szCs w:val="24"/>
        </w:rPr>
        <w:t>Que el TN incluya este activo dentro de su plan de inversiones que reporte a la CREG.</w:t>
      </w:r>
    </w:p>
    <w:bookmarkEnd w:id="18"/>
    <w:p w14:paraId="5EC30F7F" w14:textId="77777777" w:rsidR="00E43449" w:rsidRPr="00321B46" w:rsidRDefault="00E43449" w:rsidP="00E43449">
      <w:r w:rsidRPr="00321B46">
        <w:rPr>
          <w:b/>
        </w:rPr>
        <w:t>Parágrafo:</w:t>
      </w:r>
      <w:r w:rsidRPr="00321B46">
        <w:t xml:space="preserve"> La reposición de los activos es responsabilidad de los TN que los </w:t>
      </w:r>
      <w:r w:rsidR="008C5BD5" w:rsidRPr="00321B46">
        <w:t>representan</w:t>
      </w:r>
      <w:r w:rsidRPr="00321B46">
        <w:t>. Con este propósito, además de la entrega a la CREG del plan de inversiones en reposición, el TN deberá presentar a la UPME, dentro de los tres meses siguientes a la entrada en vigencia de esta resolución, un plan de reposición acorde con un diagnóstico técnico del estado de sus activos, que cubra un periodo de cinco años. En ningún caso el incumplimiento de las normas técnicas establecidas por la autoridad competente o las limitaciones técnicas de equipos o elementos de una unidad constructiva podrán limitar la operación adecuada del sistema y le corresponderá al TN ajustar dicho activo y solicitar a la CREG la reclasificación de la unidad constructiva, si fuere el caso.</w:t>
      </w:r>
    </w:p>
    <w:p w14:paraId="7C3657F8" w14:textId="77777777" w:rsidR="00E43449" w:rsidRPr="00321B46" w:rsidRDefault="00E43449" w:rsidP="00B37A6A">
      <w:pPr>
        <w:pStyle w:val="Artculo"/>
        <w:ind w:left="0" w:firstLine="0"/>
        <w:rPr>
          <w:b w:val="0"/>
        </w:rPr>
      </w:pPr>
      <w:r w:rsidRPr="00321B46">
        <w:t>Representación ante el LAC.</w:t>
      </w:r>
      <w:r w:rsidRPr="00321B46">
        <w:rPr>
          <w:b w:val="0"/>
        </w:rPr>
        <w:t xml:space="preserve"> Cada activo de uso deberá estar representado ante el LAC por </w:t>
      </w:r>
      <w:r w:rsidR="0078001B" w:rsidRPr="00321B46">
        <w:rPr>
          <w:b w:val="0"/>
        </w:rPr>
        <w:t>un</w:t>
      </w:r>
      <w:r w:rsidRPr="00321B46">
        <w:rPr>
          <w:b w:val="0"/>
        </w:rPr>
        <w:t xml:space="preserve"> TN. En el caso de que exista multipropiedad del activo entre varios TN, éstos podrán optar por encargar a uno de ellos la operación y representación del activo ante el LAC o informar los porcentajes de participación en dicho activo, los cuales también se aplicarán al ingreso correspondiente al activo. </w:t>
      </w:r>
    </w:p>
    <w:p w14:paraId="4BD9C752" w14:textId="77777777" w:rsidR="000950DA" w:rsidRPr="00321B46" w:rsidRDefault="00E43449" w:rsidP="000950DA">
      <w:r w:rsidRPr="00321B46">
        <w:t>En todo caso</w:t>
      </w:r>
      <w:r w:rsidR="008C5BD5" w:rsidRPr="00321B46">
        <w:t>,</w:t>
      </w:r>
      <w:r w:rsidRPr="00321B46">
        <w:t xml:space="preserve"> el responsable de la operación del activo, así no la efectúe directamente, será el TN que representa el activo ante el LAC.</w:t>
      </w:r>
      <w:r w:rsidR="000950DA" w:rsidRPr="00321B46">
        <w:t xml:space="preserve"> </w:t>
      </w:r>
    </w:p>
    <w:p w14:paraId="7CC062F0" w14:textId="77777777" w:rsidR="00E43449" w:rsidRPr="00321B46" w:rsidRDefault="000950DA" w:rsidP="000950DA">
      <w:r w:rsidRPr="00321B46">
        <w:t xml:space="preserve">La modificación de la representación de los activos ante el LAC, parcial o total, debe ser </w:t>
      </w:r>
      <w:r w:rsidR="00EF6167" w:rsidRPr="00321B46">
        <w:t>solicitada</w:t>
      </w:r>
      <w:r w:rsidRPr="00321B46">
        <w:t xml:space="preserve"> a la CREG para su aprobación.</w:t>
      </w:r>
    </w:p>
    <w:p w14:paraId="7BA07C55" w14:textId="77777777" w:rsidR="000950DA" w:rsidRPr="00321B46" w:rsidRDefault="00E43449" w:rsidP="000950DA">
      <w:r w:rsidRPr="00321B46">
        <w:rPr>
          <w:b/>
        </w:rPr>
        <w:t>Parágrafo</w:t>
      </w:r>
      <w:r w:rsidR="000950DA" w:rsidRPr="00321B46">
        <w:rPr>
          <w:b/>
        </w:rPr>
        <w:t xml:space="preserve"> 1</w:t>
      </w:r>
      <w:r w:rsidRPr="00321B46">
        <w:rPr>
          <w:b/>
        </w:rPr>
        <w:t>.</w:t>
      </w:r>
      <w:r w:rsidRPr="00321B46">
        <w:t xml:space="preserve"> Un TN que represente un activo de uso mantendrá esta condición hasta que haya sido aprobada la resolución de la CREG donde se modifique tal representación.</w:t>
      </w:r>
      <w:r w:rsidR="000950DA" w:rsidRPr="00321B46">
        <w:t xml:space="preserve"> </w:t>
      </w:r>
    </w:p>
    <w:p w14:paraId="56CEBF7D" w14:textId="5D7E16F8" w:rsidR="00E43449" w:rsidRPr="00321B46" w:rsidRDefault="000950DA" w:rsidP="00E43449">
      <w:r w:rsidRPr="00321B46">
        <w:rPr>
          <w:b/>
        </w:rPr>
        <w:t>Parágrafo 2.</w:t>
      </w:r>
      <w:r w:rsidRPr="00321B46">
        <w:t xml:space="preserve"> Si</w:t>
      </w:r>
      <w:r w:rsidR="006B6FFF" w:rsidRPr="00321B46">
        <w:t xml:space="preserve"> </w:t>
      </w:r>
      <w:r w:rsidRPr="00321B46">
        <w:t xml:space="preserve">en el STN hay activos </w:t>
      </w:r>
      <w:r w:rsidR="008C5BD5" w:rsidRPr="00321B46">
        <w:t xml:space="preserve">que están siendo utilizados en la prestación del servicio de trasmisión y no </w:t>
      </w:r>
      <w:r w:rsidRPr="00321B46">
        <w:t xml:space="preserve"> est</w:t>
      </w:r>
      <w:r w:rsidR="008C5BD5" w:rsidRPr="00321B46">
        <w:t>á</w:t>
      </w:r>
      <w:r w:rsidRPr="00321B46">
        <w:t xml:space="preserve">n representados ante el LAC, deberán ser reportados a la CREG </w:t>
      </w:r>
      <w:r w:rsidR="00683FE4" w:rsidRPr="00321B46">
        <w:t xml:space="preserve">por el CND </w:t>
      </w:r>
      <w:r w:rsidR="008C5BD5" w:rsidRPr="00321B46">
        <w:t>dentro del mes siguiente a la entrada en vigencia de esta resolución</w:t>
      </w:r>
      <w:r w:rsidR="00683FE4" w:rsidRPr="00321B46">
        <w:t>. Con esta información la CREG definirá en resolución particular el valor de la</w:t>
      </w:r>
      <w:r w:rsidRPr="00321B46">
        <w:t xml:space="preserve"> remuneración </w:t>
      </w:r>
      <w:r w:rsidR="00683FE4" w:rsidRPr="00321B46">
        <w:t xml:space="preserve">para que </w:t>
      </w:r>
      <w:r w:rsidRPr="00321B46">
        <w:t xml:space="preserve">se incluya dentro de los cargos </w:t>
      </w:r>
      <w:r w:rsidRPr="00321B46">
        <w:lastRenderedPageBreak/>
        <w:t xml:space="preserve">por uso y se recauden los respectivos ingresos que posteriormente serán entregados a quien </w:t>
      </w:r>
      <w:r w:rsidR="006B6FFF" w:rsidRPr="00321B46">
        <w:t>asuma su representación</w:t>
      </w:r>
      <w:r w:rsidR="00005762" w:rsidRPr="00321B46">
        <w:t xml:space="preserve">, considerando lo establecido en el numeral </w:t>
      </w:r>
      <w:r w:rsidR="00005762" w:rsidRPr="00321B46">
        <w:fldChar w:fldCharType="begin"/>
      </w:r>
      <w:r w:rsidR="00005762" w:rsidRPr="00321B46">
        <w:instrText xml:space="preserve"> REF _Ref441132014 \r \h </w:instrText>
      </w:r>
      <w:r w:rsidR="00321B46">
        <w:instrText xml:space="preserve"> \* MERGEFORMAT </w:instrText>
      </w:r>
      <w:r w:rsidR="00005762" w:rsidRPr="00321B46">
        <w:fldChar w:fldCharType="separate"/>
      </w:r>
      <w:r w:rsidR="000F355F">
        <w:t>1.3</w:t>
      </w:r>
      <w:r w:rsidR="00005762" w:rsidRPr="00321B46">
        <w:fldChar w:fldCharType="end"/>
      </w:r>
      <w:r w:rsidR="00005762" w:rsidRPr="00321B46">
        <w:t xml:space="preserve"> del anexo.</w:t>
      </w:r>
    </w:p>
    <w:p w14:paraId="114A145B" w14:textId="3730881A" w:rsidR="005C0126" w:rsidRPr="00321B46" w:rsidRDefault="005C0126" w:rsidP="005C0126">
      <w:pPr>
        <w:pStyle w:val="Artculo"/>
        <w:tabs>
          <w:tab w:val="clear" w:pos="1701"/>
        </w:tabs>
        <w:ind w:left="0" w:firstLine="0"/>
        <w:rPr>
          <w:b w:val="0"/>
        </w:rPr>
      </w:pPr>
      <w:bookmarkStart w:id="19" w:name="_Ref465887772"/>
      <w:r w:rsidRPr="00321B46">
        <w:t xml:space="preserve">Activos puestos en operación después de la fecha de corte.  </w:t>
      </w:r>
      <w:r w:rsidRPr="00321B46">
        <w:rPr>
          <w:b w:val="0"/>
        </w:rPr>
        <w:t>Los activos puestos en operación después de la fecha de corte y antes de la entrada en vigencia de los ingresos aprobados como resultado de la aplicación de la metodología definida en esta resolución, se incorporar</w:t>
      </w:r>
      <w:r w:rsidR="00ED4B5D" w:rsidRPr="00321B46">
        <w:rPr>
          <w:b w:val="0"/>
        </w:rPr>
        <w:t>á</w:t>
      </w:r>
      <w:r w:rsidRPr="00321B46">
        <w:rPr>
          <w:b w:val="0"/>
        </w:rPr>
        <w:t>n en la base inicial de activos durante el primer año de aplicación de los ingresos aprobados.</w:t>
      </w:r>
      <w:bookmarkEnd w:id="19"/>
      <w:r w:rsidRPr="00321B46">
        <w:rPr>
          <w:b w:val="0"/>
        </w:rPr>
        <w:t xml:space="preserve"> </w:t>
      </w:r>
    </w:p>
    <w:p w14:paraId="61FBA10D" w14:textId="494401DC" w:rsidR="005C0126" w:rsidRPr="00321B46" w:rsidRDefault="005C0126" w:rsidP="005C0126">
      <w:r w:rsidRPr="00321B46">
        <w:t xml:space="preserve">Estos activos se incluirán mediante un ajuste de la variable </w:t>
      </w:r>
      <w:r w:rsidR="009C5CF6" w:rsidRPr="00321B46">
        <w:rPr>
          <w:i/>
        </w:rPr>
        <w:t>BRAE</w:t>
      </w:r>
      <w:r w:rsidRPr="00321B46">
        <w:rPr>
          <w:i/>
          <w:vertAlign w:val="subscript"/>
        </w:rPr>
        <w:t>j,</w:t>
      </w:r>
      <w:r w:rsidR="009C5CF6" w:rsidRPr="00321B46">
        <w:rPr>
          <w:i/>
          <w:vertAlign w:val="subscript"/>
        </w:rPr>
        <w:t>0</w:t>
      </w:r>
      <w:r w:rsidRPr="00321B46">
        <w:t xml:space="preserve"> aprobada en la resolución de ingresos de cada </w:t>
      </w:r>
      <w:r w:rsidR="00ED4B5D" w:rsidRPr="00321B46">
        <w:t>TN</w:t>
      </w:r>
      <w:r w:rsidRPr="00321B46">
        <w:t xml:space="preserve"> y su valor se determinará según lo establecido en el numeral</w:t>
      </w:r>
      <w:r w:rsidR="009C5CF6" w:rsidRPr="00321B46">
        <w:t xml:space="preserve"> </w:t>
      </w:r>
      <w:r w:rsidR="009C5CF6" w:rsidRPr="00321B46">
        <w:fldChar w:fldCharType="begin"/>
      </w:r>
      <w:r w:rsidR="009C5CF6" w:rsidRPr="00321B46">
        <w:instrText xml:space="preserve"> REF _Ref465904209 \r \h </w:instrText>
      </w:r>
      <w:r w:rsidR="00321B46">
        <w:instrText xml:space="preserve"> \* MERGEFORMAT </w:instrText>
      </w:r>
      <w:r w:rsidR="009C5CF6" w:rsidRPr="00321B46">
        <w:fldChar w:fldCharType="separate"/>
      </w:r>
      <w:r w:rsidR="000F355F">
        <w:t>2.2.1.1</w:t>
      </w:r>
      <w:r w:rsidR="009C5CF6" w:rsidRPr="00321B46">
        <w:fldChar w:fldCharType="end"/>
      </w:r>
      <w:r w:rsidR="00005762" w:rsidRPr="00321B46">
        <w:t xml:space="preserve"> del anexo</w:t>
      </w:r>
      <w:r w:rsidRPr="00321B46">
        <w:t>.</w:t>
      </w:r>
    </w:p>
    <w:p w14:paraId="0D5E6032" w14:textId="2B9C7B47" w:rsidR="005C0126" w:rsidRPr="00321B46" w:rsidRDefault="005C0126" w:rsidP="005C0126">
      <w:r w:rsidRPr="00321B46">
        <w:t xml:space="preserve">El TN deberá suministrar la información necesaria para determinar este valor dentro de los tres (3) meses siguientes a la aprobación de los ingresos con base en esta metodología. </w:t>
      </w:r>
    </w:p>
    <w:p w14:paraId="54950CEE" w14:textId="795FC477" w:rsidR="00E43449" w:rsidRPr="00321B46" w:rsidRDefault="00E43449" w:rsidP="00A05818">
      <w:pPr>
        <w:pStyle w:val="Artculo"/>
        <w:ind w:left="0" w:firstLine="0"/>
        <w:rPr>
          <w:b w:val="0"/>
        </w:rPr>
      </w:pPr>
      <w:r w:rsidRPr="00321B46">
        <w:t>Gastos de administración, operación y mantenimiento.</w:t>
      </w:r>
      <w:r w:rsidRPr="00321B46">
        <w:rPr>
          <w:b w:val="0"/>
        </w:rPr>
        <w:t xml:space="preserve"> El reconocimiento de AOM se hará de acuerdo </w:t>
      </w:r>
      <w:r w:rsidR="00667D9B" w:rsidRPr="00321B46">
        <w:rPr>
          <w:b w:val="0"/>
        </w:rPr>
        <w:t xml:space="preserve">con lo establecido en el capítulo </w:t>
      </w:r>
      <w:r w:rsidR="00667D9B" w:rsidRPr="00321B46">
        <w:rPr>
          <w:b w:val="0"/>
        </w:rPr>
        <w:fldChar w:fldCharType="begin"/>
      </w:r>
      <w:r w:rsidR="00667D9B" w:rsidRPr="00321B46">
        <w:rPr>
          <w:b w:val="0"/>
        </w:rPr>
        <w:instrText xml:space="preserve"> REF _Ref406683085 \r \h \t</w:instrText>
      </w:r>
      <w:r w:rsidR="003276B5" w:rsidRPr="00321B46">
        <w:rPr>
          <w:b w:val="0"/>
        </w:rPr>
        <w:instrText xml:space="preserve"> \* MERGEFORMAT </w:instrText>
      </w:r>
      <w:r w:rsidR="00667D9B" w:rsidRPr="00321B46">
        <w:rPr>
          <w:b w:val="0"/>
        </w:rPr>
      </w:r>
      <w:r w:rsidR="00667D9B" w:rsidRPr="00321B46">
        <w:rPr>
          <w:b w:val="0"/>
        </w:rPr>
        <w:fldChar w:fldCharType="separate"/>
      </w:r>
      <w:r w:rsidR="000F355F">
        <w:rPr>
          <w:b w:val="0"/>
        </w:rPr>
        <w:t>3</w:t>
      </w:r>
      <w:r w:rsidR="00667D9B" w:rsidRPr="00321B46">
        <w:rPr>
          <w:b w:val="0"/>
        </w:rPr>
        <w:fldChar w:fldCharType="end"/>
      </w:r>
      <w:r w:rsidR="00667D9B" w:rsidRPr="00321B46">
        <w:rPr>
          <w:b w:val="0"/>
        </w:rPr>
        <w:t xml:space="preserve"> del anexo, </w:t>
      </w:r>
      <w:r w:rsidRPr="00321B46">
        <w:rPr>
          <w:b w:val="0"/>
        </w:rPr>
        <w:t xml:space="preserve">con </w:t>
      </w:r>
      <w:r w:rsidR="00667D9B" w:rsidRPr="00321B46">
        <w:rPr>
          <w:b w:val="0"/>
        </w:rPr>
        <w:t xml:space="preserve">base en </w:t>
      </w:r>
      <w:r w:rsidRPr="00321B46">
        <w:rPr>
          <w:b w:val="0"/>
        </w:rPr>
        <w:t xml:space="preserve">la información que reporte cada </w:t>
      </w:r>
      <w:r w:rsidR="00667D9B" w:rsidRPr="00321B46">
        <w:rPr>
          <w:b w:val="0"/>
        </w:rPr>
        <w:t>TN</w:t>
      </w:r>
      <w:r w:rsidRPr="00321B46">
        <w:rPr>
          <w:b w:val="0"/>
        </w:rPr>
        <w:t>.</w:t>
      </w:r>
    </w:p>
    <w:p w14:paraId="751DDD3A" w14:textId="77777777" w:rsidR="00E43449" w:rsidRPr="00321B46" w:rsidRDefault="00E43449" w:rsidP="00A05818">
      <w:pPr>
        <w:pStyle w:val="Artculo"/>
        <w:ind w:left="0" w:firstLine="0"/>
        <w:rPr>
          <w:b w:val="0"/>
        </w:rPr>
      </w:pPr>
      <w:r w:rsidRPr="00321B46">
        <w:t>Cargo por uso del STN.</w:t>
      </w:r>
      <w:r w:rsidRPr="00321B46">
        <w:rPr>
          <w:b w:val="0"/>
        </w:rPr>
        <w:t xml:space="preserve"> El cargo por uso del STN será calculado por el LAC de acuerdo con lo establecido en el capítulo </w:t>
      </w:r>
      <w:r w:rsidRPr="00321B46">
        <w:rPr>
          <w:b w:val="0"/>
        </w:rPr>
        <w:fldChar w:fldCharType="begin"/>
      </w:r>
      <w:r w:rsidRPr="00321B46">
        <w:rPr>
          <w:b w:val="0"/>
        </w:rPr>
        <w:instrText xml:space="preserve"> REF _Ref403033921 \r \h \t \* MERGEFORMAT </w:instrText>
      </w:r>
      <w:r w:rsidRPr="00321B46">
        <w:rPr>
          <w:b w:val="0"/>
        </w:rPr>
      </w:r>
      <w:r w:rsidRPr="00321B46">
        <w:rPr>
          <w:b w:val="0"/>
        </w:rPr>
        <w:fldChar w:fldCharType="separate"/>
      </w:r>
      <w:r w:rsidR="000F355F">
        <w:rPr>
          <w:b w:val="0"/>
        </w:rPr>
        <w:t>1</w:t>
      </w:r>
      <w:r w:rsidRPr="00321B46">
        <w:rPr>
          <w:b w:val="0"/>
        </w:rPr>
        <w:fldChar w:fldCharType="end"/>
      </w:r>
      <w:r w:rsidRPr="00321B46">
        <w:rPr>
          <w:b w:val="0"/>
        </w:rPr>
        <w:t xml:space="preserve"> del anexo.</w:t>
      </w:r>
    </w:p>
    <w:p w14:paraId="15BCE0F3" w14:textId="77777777" w:rsidR="00E43449" w:rsidRPr="00321B46" w:rsidRDefault="00E43449" w:rsidP="00E43449">
      <w:r w:rsidRPr="00321B46">
        <w:t>La publicación del cargo estimado para que los comercializadores lo utilicen en el cálculo del costo unitario de prestación del servicio, la facturación de la actividad de transmisión y el recaudo los hará el LAC de acuerdo con la regulación vigente.</w:t>
      </w:r>
    </w:p>
    <w:p w14:paraId="0A0E8CE4" w14:textId="77777777" w:rsidR="00E43449" w:rsidRPr="00321B46" w:rsidRDefault="00E43449" w:rsidP="00B37A6A">
      <w:pPr>
        <w:pStyle w:val="Artculo"/>
        <w:ind w:left="0" w:firstLine="0"/>
        <w:rPr>
          <w:b w:val="0"/>
        </w:rPr>
      </w:pPr>
      <w:bookmarkStart w:id="20" w:name="_Ref403989958"/>
      <w:bookmarkStart w:id="21" w:name="_Ref221082901"/>
      <w:r w:rsidRPr="00321B46">
        <w:t>Procedimiento en caso de una conexión profunda.</w:t>
      </w:r>
      <w:r w:rsidRPr="00321B46">
        <w:rPr>
          <w:b w:val="0"/>
        </w:rPr>
        <w:t xml:space="preserve"> De acuerdo con el procedimiento para la asignación de puntos de conexión de generadores al STN, establecido en la Resolución CREG 106 de 2006 o la que la modifique</w:t>
      </w:r>
      <w:r w:rsidR="00EB59CA" w:rsidRPr="00321B46">
        <w:rPr>
          <w:b w:val="0"/>
        </w:rPr>
        <w:t>, adicione</w:t>
      </w:r>
      <w:r w:rsidR="008B127E" w:rsidRPr="00321B46">
        <w:rPr>
          <w:b w:val="0"/>
        </w:rPr>
        <w:t xml:space="preserve"> </w:t>
      </w:r>
      <w:r w:rsidRPr="00321B46">
        <w:rPr>
          <w:b w:val="0"/>
        </w:rPr>
        <w:t xml:space="preserve">o sustituya, y del establecido por la UPME para asignar puntos de conexión a </w:t>
      </w:r>
      <w:r w:rsidR="008B127E" w:rsidRPr="00321B46">
        <w:rPr>
          <w:b w:val="0"/>
        </w:rPr>
        <w:t xml:space="preserve">un </w:t>
      </w:r>
      <w:r w:rsidRPr="00321B46">
        <w:rPr>
          <w:b w:val="0"/>
        </w:rPr>
        <w:t>UNR, cuando sea necesario ejecutar proyectos de expansión de activos remunerados a través de cargos por uso del STN y la UPME encuentre que, según los criterios establecidos en la normativa vigente, los beneficios del proyecto de expansión son inferiores a los costos, podrá recomendar la ejecución del proyecto asociado con los activos de uso del STN. Dando cumplimiento a la regulación vigente, el proyecto se ejecutará como ampliación o mediante proceso de selección.</w:t>
      </w:r>
      <w:bookmarkEnd w:id="20"/>
      <w:r w:rsidR="00AC4E8F" w:rsidRPr="00321B46">
        <w:rPr>
          <w:b w:val="0"/>
          <w:lang w:val="es-CO"/>
        </w:rPr>
        <w:t xml:space="preserve"> </w:t>
      </w:r>
    </w:p>
    <w:p w14:paraId="6B3FCCA9" w14:textId="77777777" w:rsidR="00E43449" w:rsidRPr="00321B46" w:rsidRDefault="00E43449" w:rsidP="00E43449">
      <w:r w:rsidRPr="00321B46">
        <w:t>En estos casos, el agente solicitante debe asumir el porcentaje del costo del proyecto que permite que la relación beneficio/costo sea igual a uno (1) y cumplir con los requisitos de garantías y demás que se establezcan en la regulación.</w:t>
      </w:r>
      <w:bookmarkEnd w:id="21"/>
    </w:p>
    <w:p w14:paraId="099B5454" w14:textId="77777777" w:rsidR="00E43449" w:rsidRPr="00321B46" w:rsidRDefault="00E43449" w:rsidP="00B37A6A">
      <w:pPr>
        <w:pStyle w:val="Artculo"/>
        <w:ind w:left="0" w:firstLine="0"/>
        <w:rPr>
          <w:b w:val="0"/>
        </w:rPr>
      </w:pPr>
      <w:r w:rsidRPr="00321B46">
        <w:t>Responsabilidad por la calidad de la potencia en el STN.</w:t>
      </w:r>
      <w:r w:rsidRPr="00321B46">
        <w:rPr>
          <w:b w:val="0"/>
        </w:rPr>
        <w:t xml:space="preserve"> El CND será el responsable de mantener la calidad del suministro de electricidad en términos de la frecuencia a nivel del SIN y de la tensión a nivel del STN, conservando estas variables dentro de los límites definidos en el código de redes adoptado mediante la Resolución CREG 025 de 1995, y aquellas que la adicionen, modifiquen</w:t>
      </w:r>
      <w:r w:rsidR="00EB59CA" w:rsidRPr="00321B46">
        <w:rPr>
          <w:b w:val="0"/>
        </w:rPr>
        <w:t>, adicionen</w:t>
      </w:r>
      <w:r w:rsidRPr="00321B46">
        <w:rPr>
          <w:b w:val="0"/>
        </w:rPr>
        <w:t xml:space="preserve"> o sustituyan.</w:t>
      </w:r>
    </w:p>
    <w:p w14:paraId="26FEC168" w14:textId="77777777" w:rsidR="00E43449" w:rsidRPr="00321B46" w:rsidRDefault="00E43449" w:rsidP="00E43449">
      <w:pPr>
        <w:rPr>
          <w:rFonts w:cs="Arial"/>
        </w:rPr>
      </w:pPr>
      <w:r w:rsidRPr="00321B46">
        <w:rPr>
          <w:rFonts w:cs="Arial"/>
        </w:rPr>
        <w:lastRenderedPageBreak/>
        <w:t>Los TN y los usuarios del STN serán los responsables de mantener la calidad de la forma de onda y el balance de las tensiones de fase, de acuerdo con las normas establecidas en el numeral 7 del código de conexión que hace parte del código de redes, contenidos en la Resolución CREG 025 de 1995</w:t>
      </w:r>
      <w:r w:rsidRPr="00321B46">
        <w:t>, y aquellas que la modifiquen o sustituyan</w:t>
      </w:r>
      <w:r w:rsidRPr="00321B46">
        <w:rPr>
          <w:rFonts w:cs="Arial"/>
        </w:rPr>
        <w:t>.</w:t>
      </w:r>
    </w:p>
    <w:p w14:paraId="164E70AD" w14:textId="77777777" w:rsidR="00E43449" w:rsidRPr="00321B46" w:rsidRDefault="00E43449" w:rsidP="00E43449">
      <w:pPr>
        <w:rPr>
          <w:rFonts w:cs="Arial"/>
        </w:rPr>
      </w:pPr>
      <w:r w:rsidRPr="00321B46">
        <w:rPr>
          <w:rFonts w:cs="Arial"/>
        </w:rPr>
        <w:t>Identificado el equipo o equipos causantes de una deficiencia en la forma de onda, o de un desbalance en las tensiones de fase, el CND deberá establecer conjuntamente con el TN y los involucrados, un plazo máximo, razonable de acuerdo con las buenas prácticas de ingeniería, para la corrección de la deficiencia identificada. El CND deberá informar al Consejo Nacional de Operación, CNO, el plazo acordado. Si transcurrido el plazo fijado no se ha efectuado la corrección pertinente, el TN deberá proceder a la desconexión del equipo causante de la deficiencia o, si no es posible identificar este equipo, de la carga del respectivo usuario del STN.</w:t>
      </w:r>
    </w:p>
    <w:p w14:paraId="5A4551AC" w14:textId="77777777" w:rsidR="00E43449" w:rsidRPr="00321B46" w:rsidRDefault="00E43449" w:rsidP="00E43449">
      <w:pPr>
        <w:rPr>
          <w:rFonts w:cs="Arial"/>
        </w:rPr>
      </w:pPr>
      <w:r w:rsidRPr="00321B46">
        <w:rPr>
          <w:rFonts w:cs="Arial"/>
        </w:rPr>
        <w:t>El TN debe garantizar que las deficiencias en la calidad de la potencia que se presenten en los activos que opera, durante el plazo previsto para su corrección, no generen riesgos para la seguridad de las personas, la vida animal y vegetal o la preservación del medio ambiente. De concluirse la inminencia de un peligro, a partir de razones objetivas claramente identificadas, el TN deberá proceder inmediatamente a la desconexión del equipo causante de la deficiencia o, si no es posible identificar este equipo, la desconexión de la carga del respectivo usuario del STN.</w:t>
      </w:r>
    </w:p>
    <w:p w14:paraId="305B0F7F" w14:textId="77777777" w:rsidR="00E43449" w:rsidRPr="00321B46" w:rsidRDefault="00E43449" w:rsidP="00E43449">
      <w:pPr>
        <w:rPr>
          <w:rFonts w:cs="Arial"/>
        </w:rPr>
      </w:pPr>
      <w:r w:rsidRPr="00321B46">
        <w:rPr>
          <w:rFonts w:cs="Arial"/>
        </w:rPr>
        <w:t xml:space="preserve">En todo caso, los plazos mencionados no exonerarán al TN de su responsabilidad por los perjuicios que se causen por las deficiencias en la calidad de potencia suministrada a través de los activos que opera. </w:t>
      </w:r>
    </w:p>
    <w:p w14:paraId="306E5713" w14:textId="77777777" w:rsidR="00E43449" w:rsidRPr="00321B46" w:rsidRDefault="00E43449" w:rsidP="00E43449">
      <w:pPr>
        <w:rPr>
          <w:rFonts w:cs="Arial"/>
        </w:rPr>
      </w:pPr>
      <w:r w:rsidRPr="00321B46">
        <w:rPr>
          <w:rFonts w:cs="Arial"/>
        </w:rPr>
        <w:t>Para efectos de determinar la fuente de las distorsiones o fluctuaciones, el CND podrá solicitar al TN y este al usuario del STN la instalación de los equipos que consideren necesarios en la red o en las fronteras o equipos de medición del usuario, para registrar variables de corrientes y tensiones, y podrán exigir el diseño de medidas remediales que técnicamente sigan las normas y buenas prácticas de ingeniería.</w:t>
      </w:r>
    </w:p>
    <w:p w14:paraId="140F48E0" w14:textId="77777777" w:rsidR="00667D9B" w:rsidRPr="00321B46" w:rsidRDefault="00667D9B" w:rsidP="00E43449">
      <w:pPr>
        <w:rPr>
          <w:rFonts w:cs="Arial"/>
        </w:rPr>
      </w:pPr>
      <w:r w:rsidRPr="00321B46">
        <w:rPr>
          <w:rFonts w:cs="Arial"/>
          <w:b/>
        </w:rPr>
        <w:t>Parágrafo.</w:t>
      </w:r>
      <w:r w:rsidRPr="00321B46">
        <w:rPr>
          <w:rFonts w:cs="Arial"/>
        </w:rPr>
        <w:t xml:space="preserve"> </w:t>
      </w:r>
      <w:r w:rsidR="00F56851" w:rsidRPr="00321B46">
        <w:rPr>
          <w:rFonts w:cs="Arial"/>
        </w:rPr>
        <w:t xml:space="preserve">Lo establecido en este artículo se mantendrá vigente hasta que la CREG defina una nueva regulación para la calidad de la potencia </w:t>
      </w:r>
      <w:r w:rsidRPr="00321B46">
        <w:rPr>
          <w:rFonts w:cs="Arial"/>
        </w:rPr>
        <w:t>en resolución aparte</w:t>
      </w:r>
      <w:r w:rsidR="00F56851" w:rsidRPr="00321B46">
        <w:rPr>
          <w:rFonts w:cs="Arial"/>
        </w:rPr>
        <w:t>.</w:t>
      </w:r>
    </w:p>
    <w:p w14:paraId="296B6C1A" w14:textId="6A00F799" w:rsidR="00E43449" w:rsidRPr="00321B46" w:rsidRDefault="00E43449" w:rsidP="00B37A6A">
      <w:pPr>
        <w:pStyle w:val="Artculo"/>
        <w:ind w:left="0" w:firstLine="0"/>
        <w:rPr>
          <w:b w:val="0"/>
        </w:rPr>
      </w:pPr>
      <w:r w:rsidRPr="00321B46">
        <w:t>Calidad del servicio en el STN.</w:t>
      </w:r>
      <w:r w:rsidRPr="00321B46">
        <w:rPr>
          <w:b w:val="0"/>
        </w:rPr>
        <w:t xml:space="preserve"> Será responsabilidad de los TN prestar el servicio de transmisión de energía eléctrica dentro de los niveles de calidad y con las características establecidas en el capítulo </w:t>
      </w:r>
      <w:r w:rsidR="009553AD" w:rsidRPr="00321B46">
        <w:rPr>
          <w:b w:val="0"/>
        </w:rPr>
        <w:fldChar w:fldCharType="begin"/>
      </w:r>
      <w:r w:rsidR="009553AD" w:rsidRPr="00321B46">
        <w:rPr>
          <w:b w:val="0"/>
        </w:rPr>
        <w:instrText xml:space="preserve"> REF _Ref449974893 \r \h \t</w:instrText>
      </w:r>
      <w:r w:rsidR="003276B5" w:rsidRPr="00321B46">
        <w:rPr>
          <w:b w:val="0"/>
        </w:rPr>
        <w:instrText xml:space="preserve"> \* MERGEFORMAT </w:instrText>
      </w:r>
      <w:r w:rsidR="009553AD" w:rsidRPr="00321B46">
        <w:rPr>
          <w:b w:val="0"/>
        </w:rPr>
      </w:r>
      <w:r w:rsidR="009553AD" w:rsidRPr="00321B46">
        <w:rPr>
          <w:b w:val="0"/>
        </w:rPr>
        <w:fldChar w:fldCharType="separate"/>
      </w:r>
      <w:r w:rsidR="000F355F">
        <w:rPr>
          <w:b w:val="0"/>
        </w:rPr>
        <w:t>5</w:t>
      </w:r>
      <w:r w:rsidR="009553AD" w:rsidRPr="00321B46">
        <w:rPr>
          <w:b w:val="0"/>
        </w:rPr>
        <w:fldChar w:fldCharType="end"/>
      </w:r>
      <w:r w:rsidRPr="00321B46">
        <w:rPr>
          <w:b w:val="0"/>
        </w:rPr>
        <w:t xml:space="preserve"> del anexo</w:t>
      </w:r>
      <w:bookmarkStart w:id="22" w:name="_Ref188349014"/>
      <w:r w:rsidRPr="00321B46">
        <w:rPr>
          <w:b w:val="0"/>
        </w:rPr>
        <w:t xml:space="preserve">. </w:t>
      </w:r>
      <w:r w:rsidRPr="00321B46">
        <w:rPr>
          <w:b w:val="0"/>
          <w:spacing w:val="-2"/>
        </w:rPr>
        <w:t>Las variaciones que superen los límites allí definidos darán lugar a las compensa</w:t>
      </w:r>
      <w:r w:rsidR="007852FE" w:rsidRPr="00321B46">
        <w:rPr>
          <w:b w:val="0"/>
          <w:spacing w:val="-2"/>
        </w:rPr>
        <w:softHyphen/>
      </w:r>
      <w:r w:rsidRPr="00321B46">
        <w:rPr>
          <w:b w:val="0"/>
          <w:spacing w:val="-2"/>
        </w:rPr>
        <w:t xml:space="preserve">ciones que se calcularán conforme a lo dispuesto en dicho capítulo. Lo anterior, </w:t>
      </w:r>
      <w:r w:rsidRPr="00321B46">
        <w:rPr>
          <w:b w:val="0"/>
        </w:rPr>
        <w:t>sin perjuicio de la responsabilidad que pueda tener el TN por los daños y perjuicios causados a usuarios o terceros.</w:t>
      </w:r>
      <w:bookmarkEnd w:id="22"/>
    </w:p>
    <w:p w14:paraId="191EFA2A" w14:textId="1F15FB27" w:rsidR="00E43449" w:rsidRPr="00321B46" w:rsidRDefault="00E43449" w:rsidP="00E43449">
      <w:pPr>
        <w:rPr>
          <w:rFonts w:cs="Arial"/>
        </w:rPr>
      </w:pPr>
      <w:r w:rsidRPr="00321B46">
        <w:rPr>
          <w:rFonts w:cs="Arial"/>
          <w:szCs w:val="22"/>
        </w:rPr>
        <w:t>La compensación</w:t>
      </w:r>
      <w:r w:rsidRPr="00321B46">
        <w:rPr>
          <w:rFonts w:cs="Arial"/>
          <w:spacing w:val="-2"/>
        </w:rPr>
        <w:t xml:space="preserve"> se aplicará disminuyendo el ingreso que le corresponde a cada TN en un valor igual al que resulte de aplicar lo dispuesto en el </w:t>
      </w:r>
      <w:r w:rsidRPr="00321B46">
        <w:t xml:space="preserve">capítulo </w:t>
      </w:r>
      <w:r w:rsidR="009553AD" w:rsidRPr="00321B46">
        <w:fldChar w:fldCharType="begin"/>
      </w:r>
      <w:r w:rsidR="009553AD" w:rsidRPr="00321B46">
        <w:instrText xml:space="preserve"> REF _Ref449974893 \r \h \t \* MERGEFORMAT </w:instrText>
      </w:r>
      <w:r w:rsidR="009553AD" w:rsidRPr="00321B46">
        <w:fldChar w:fldCharType="separate"/>
      </w:r>
      <w:r w:rsidR="000F355F">
        <w:t>5</w:t>
      </w:r>
      <w:r w:rsidR="009553AD" w:rsidRPr="00321B46">
        <w:fldChar w:fldCharType="end"/>
      </w:r>
      <w:r w:rsidRPr="00321B46">
        <w:rPr>
          <w:rFonts w:cs="Arial"/>
          <w:spacing w:val="-2"/>
        </w:rPr>
        <w:t xml:space="preserve"> del anexo. Para tal efecto, el LAC calculará las c</w:t>
      </w:r>
      <w:r w:rsidRPr="00321B46">
        <w:rPr>
          <w:rFonts w:cs="Arial"/>
        </w:rPr>
        <w:t xml:space="preserve">ompensaciones aplicables a cada TN que represente los activos. </w:t>
      </w:r>
    </w:p>
    <w:p w14:paraId="546FD321" w14:textId="77777777" w:rsidR="00E43449" w:rsidRPr="00321B46" w:rsidRDefault="00E43449" w:rsidP="00E43449">
      <w:r w:rsidRPr="00321B46">
        <w:lastRenderedPageBreak/>
        <w:t>El componente T de la fórmula tarifaria general del costo de prestación del servicio, que aplican los comercializadores a los usuarios, tendrá en cuenta el cargo por uso del STN al cual se le han aplicado las respectivas compensaciones.</w:t>
      </w:r>
    </w:p>
    <w:p w14:paraId="610389D4" w14:textId="20A7CB2F" w:rsidR="00E43449" w:rsidRPr="00321B46" w:rsidRDefault="00E43449" w:rsidP="00E43449">
      <w:pPr>
        <w:rPr>
          <w:rFonts w:cs="Arial"/>
        </w:rPr>
      </w:pPr>
      <w:r w:rsidRPr="00321B46">
        <w:rPr>
          <w:rFonts w:cs="Arial"/>
          <w:b/>
        </w:rPr>
        <w:t>Parágrafo 1.</w:t>
      </w:r>
      <w:r w:rsidRPr="00321B46">
        <w:rPr>
          <w:rFonts w:cs="Arial"/>
        </w:rPr>
        <w:t xml:space="preserve"> Los propietarios de los proyectos de expansión ejecutados como resultado de procesos de selección regulados por la CREG, al momento de declarar su entrada en operación comercial deberán reportar al LAC el inventario de las unidades constructivas que componen dicho proyecto. De no existir la correspondiente unidad constructiva se asociará con aquella más parecida. Las compensaciones serán calculadas con base en lo definido en el capítulo </w:t>
      </w:r>
      <w:r w:rsidR="009553AD" w:rsidRPr="00321B46">
        <w:fldChar w:fldCharType="begin"/>
      </w:r>
      <w:r w:rsidR="009553AD" w:rsidRPr="00321B46">
        <w:instrText xml:space="preserve"> REF _Ref449974893 \r \h \t \* MERGEFORMAT </w:instrText>
      </w:r>
      <w:r w:rsidR="009553AD" w:rsidRPr="00321B46">
        <w:fldChar w:fldCharType="separate"/>
      </w:r>
      <w:r w:rsidR="000F355F">
        <w:t>5</w:t>
      </w:r>
      <w:r w:rsidR="009553AD" w:rsidRPr="00321B46">
        <w:fldChar w:fldCharType="end"/>
      </w:r>
      <w:r w:rsidRPr="00321B46">
        <w:rPr>
          <w:rFonts w:cs="Arial"/>
        </w:rPr>
        <w:t xml:space="preserve"> del anexo y se descontarán del ingreso mensual del TN.</w:t>
      </w:r>
    </w:p>
    <w:p w14:paraId="069FF1FD" w14:textId="63F78A7E" w:rsidR="002F5DBB" w:rsidRPr="00321B46" w:rsidRDefault="002F5DBB" w:rsidP="00E43449">
      <w:pPr>
        <w:rPr>
          <w:rFonts w:cs="Arial"/>
        </w:rPr>
      </w:pPr>
      <w:r w:rsidRPr="00321B46">
        <w:rPr>
          <w:rFonts w:cs="Arial"/>
        </w:rPr>
        <w:t xml:space="preserve">Cuando se trate de activos instalados en un nivel de tensión inferior a 220 kV, que prestan el servicio en la actividad de transmisión, se </w:t>
      </w:r>
      <w:r w:rsidR="00985AB1" w:rsidRPr="00321B46">
        <w:rPr>
          <w:rFonts w:cs="Arial"/>
        </w:rPr>
        <w:t>deb</w:t>
      </w:r>
      <w:r w:rsidRPr="00321B46">
        <w:rPr>
          <w:rFonts w:cs="Arial"/>
        </w:rPr>
        <w:t>erán asociar con las unidades constructivas asimilables de la actividad de distribución de energía eléctrica</w:t>
      </w:r>
      <w:r w:rsidR="00985AB1" w:rsidRPr="00321B46">
        <w:rPr>
          <w:rFonts w:cs="Arial"/>
        </w:rPr>
        <w:t>.</w:t>
      </w:r>
    </w:p>
    <w:p w14:paraId="5FCB78FC" w14:textId="77777777" w:rsidR="00E43449" w:rsidRPr="00321B46" w:rsidRDefault="00E43449" w:rsidP="00E43449">
      <w:pPr>
        <w:rPr>
          <w:rFonts w:cs="Arial"/>
        </w:rPr>
      </w:pPr>
      <w:r w:rsidRPr="00321B46">
        <w:rPr>
          <w:rFonts w:cs="Arial"/>
          <w:b/>
        </w:rPr>
        <w:t xml:space="preserve">Parágrafo 2. </w:t>
      </w:r>
      <w:r w:rsidRPr="00321B46">
        <w:rPr>
          <w:rFonts w:cs="Arial"/>
        </w:rPr>
        <w:t>Cuando la Superintendencia de Servicios Públicos Domiciliarios</w:t>
      </w:r>
      <w:r w:rsidR="007852FE" w:rsidRPr="00321B46">
        <w:rPr>
          <w:rFonts w:cs="Arial"/>
        </w:rPr>
        <w:t>, SSPD,</w:t>
      </w:r>
      <w:r w:rsidRPr="00321B46">
        <w:rPr>
          <w:rFonts w:cs="Arial"/>
        </w:rPr>
        <w:t xml:space="preserve"> tome posesión de un TN no se aplicarán, durante los doce (12) meses siguientes a la toma, las compensaciones por calidad del servicio reguladas en esta resolución. Una vez vencido este plazo, se continuarán aplicando las reducciones del ingreso o compensaciones aquí dispuestas.</w:t>
      </w:r>
    </w:p>
    <w:p w14:paraId="1BED35C3" w14:textId="77777777" w:rsidR="00E43449" w:rsidRPr="00321B46" w:rsidRDefault="00E43449" w:rsidP="00B37A6A">
      <w:pPr>
        <w:pStyle w:val="Artculo"/>
        <w:ind w:left="0" w:firstLine="0"/>
        <w:rPr>
          <w:b w:val="0"/>
        </w:rPr>
      </w:pPr>
      <w:bookmarkStart w:id="23" w:name="_Ref404101847"/>
      <w:r w:rsidRPr="00321B46">
        <w:t>Obligación de reportar eventos.</w:t>
      </w:r>
      <w:r w:rsidRPr="00321B46">
        <w:rPr>
          <w:b w:val="0"/>
        </w:rPr>
        <w:t xml:space="preserve"> Los agentes que presten servicios de transmisión de energía eléctrica en el STN deberán informar al CND la ocurrencia de cualquier evento, dentro de los quince (15) minutos siguientes a la ocurrencia del mismo, y la finalización de la ejecución de maniobras dentro de los cinco (5) minutos siguientes.</w:t>
      </w:r>
      <w:bookmarkEnd w:id="23"/>
    </w:p>
    <w:p w14:paraId="763447FD" w14:textId="77777777" w:rsidR="00E43449" w:rsidRPr="00321B46" w:rsidRDefault="00E43449" w:rsidP="00B37A6A">
      <w:pPr>
        <w:pStyle w:val="Artculo"/>
        <w:ind w:left="0" w:firstLine="0"/>
        <w:rPr>
          <w:b w:val="0"/>
        </w:rPr>
      </w:pPr>
      <w:r w:rsidRPr="00321B46">
        <w:t>Información base para la aprobación de la base de activos y del ingreso anual.</w:t>
      </w:r>
      <w:r w:rsidRPr="00321B46">
        <w:rPr>
          <w:b w:val="0"/>
        </w:rPr>
        <w:t xml:space="preserve"> Para la aprobación se tendrá en cuenta, principalmente, la siguiente información:</w:t>
      </w:r>
      <w:bookmarkEnd w:id="14"/>
      <w:bookmarkEnd w:id="15"/>
    </w:p>
    <w:p w14:paraId="4EBAA00F" w14:textId="77777777" w:rsidR="00E43449" w:rsidRPr="00321B46" w:rsidRDefault="00E43449" w:rsidP="00E43449">
      <w:pPr>
        <w:pStyle w:val="Prrafodelista"/>
        <w:numPr>
          <w:ilvl w:val="0"/>
          <w:numId w:val="9"/>
        </w:numPr>
        <w:rPr>
          <w:szCs w:val="24"/>
        </w:rPr>
      </w:pPr>
      <w:r w:rsidRPr="00321B46">
        <w:rPr>
          <w:szCs w:val="24"/>
        </w:rPr>
        <w:t>Inventarios de activos de uso representados por el TN que deban ser remunerados mediante cargos por uso.</w:t>
      </w:r>
    </w:p>
    <w:p w14:paraId="689B2FB2" w14:textId="77777777" w:rsidR="00E43449" w:rsidRPr="00321B46" w:rsidRDefault="00E43449" w:rsidP="00E43449">
      <w:pPr>
        <w:pStyle w:val="Prrafodelista"/>
        <w:numPr>
          <w:ilvl w:val="0"/>
          <w:numId w:val="9"/>
        </w:numPr>
        <w:rPr>
          <w:szCs w:val="24"/>
        </w:rPr>
      </w:pPr>
      <w:r w:rsidRPr="00321B46">
        <w:t>Reporte de activos de enlaces internacionales con nivel de tensión inferior a 220 kV que deben ser remunerados mediante cargos por uso de la actividad de transmisión.</w:t>
      </w:r>
    </w:p>
    <w:p w14:paraId="2481AE1C" w14:textId="77777777" w:rsidR="00E43449" w:rsidRPr="00321B46" w:rsidRDefault="00E43449" w:rsidP="00E43449">
      <w:pPr>
        <w:pStyle w:val="Prrafodelista"/>
        <w:numPr>
          <w:ilvl w:val="0"/>
          <w:numId w:val="9"/>
        </w:numPr>
        <w:rPr>
          <w:szCs w:val="24"/>
        </w:rPr>
      </w:pPr>
      <w:bookmarkStart w:id="24" w:name="_Ref194754334"/>
      <w:r w:rsidRPr="00321B46">
        <w:rPr>
          <w:szCs w:val="24"/>
        </w:rPr>
        <w:t xml:space="preserve">Identificación de las UC representadas por el TN cuyo valor no debe incluirse en el cálculo de los cargos en los términos del artículo 87 numeral 87.9 de la Ley 142 de 1994, </w:t>
      </w:r>
      <w:r w:rsidR="00EB59CA" w:rsidRPr="00321B46">
        <w:t>modificado por el artículo 99 de la Ley 1450 de 2011</w:t>
      </w:r>
      <w:r w:rsidRPr="00321B46">
        <w:rPr>
          <w:szCs w:val="24"/>
        </w:rPr>
        <w:t>.</w:t>
      </w:r>
    </w:p>
    <w:p w14:paraId="1E0137F9" w14:textId="77777777" w:rsidR="00E43449" w:rsidRPr="00321B46" w:rsidRDefault="00E43449" w:rsidP="00E43449">
      <w:pPr>
        <w:pStyle w:val="Prrafodelista"/>
        <w:numPr>
          <w:ilvl w:val="0"/>
          <w:numId w:val="9"/>
        </w:numPr>
        <w:rPr>
          <w:szCs w:val="24"/>
        </w:rPr>
      </w:pPr>
      <w:r w:rsidRPr="00321B46">
        <w:rPr>
          <w:szCs w:val="24"/>
        </w:rPr>
        <w:t>Áreas de los terrenos donde están ubicadas las subestaciones junto con su valor catastral.</w:t>
      </w:r>
    </w:p>
    <w:p w14:paraId="2FCD1018" w14:textId="28858F66" w:rsidR="00E43449" w:rsidRPr="00321B46" w:rsidRDefault="00E43449" w:rsidP="00E43449">
      <w:pPr>
        <w:pStyle w:val="Prrafodelista"/>
        <w:numPr>
          <w:ilvl w:val="0"/>
          <w:numId w:val="9"/>
        </w:numPr>
        <w:rPr>
          <w:szCs w:val="24"/>
        </w:rPr>
      </w:pPr>
      <w:r w:rsidRPr="00321B46">
        <w:rPr>
          <w:szCs w:val="24"/>
        </w:rPr>
        <w:t>Información contable reportada al SUI</w:t>
      </w:r>
      <w:r w:rsidR="002F5DBB" w:rsidRPr="00321B46">
        <w:rPr>
          <w:szCs w:val="24"/>
        </w:rPr>
        <w:t>, o directamente a la CREG</w:t>
      </w:r>
      <w:r w:rsidRPr="00321B46">
        <w:rPr>
          <w:szCs w:val="24"/>
        </w:rPr>
        <w:t>.</w:t>
      </w:r>
    </w:p>
    <w:p w14:paraId="68EF2AE1" w14:textId="37B9ED82" w:rsidR="00E43449" w:rsidRPr="00321B46" w:rsidRDefault="00E43449" w:rsidP="00E43449">
      <w:pPr>
        <w:pStyle w:val="Prrafodelista"/>
        <w:numPr>
          <w:ilvl w:val="0"/>
          <w:numId w:val="9"/>
        </w:numPr>
        <w:rPr>
          <w:szCs w:val="24"/>
        </w:rPr>
      </w:pPr>
      <w:r w:rsidRPr="00321B46">
        <w:rPr>
          <w:szCs w:val="24"/>
        </w:rPr>
        <w:t>Ingresos por la explotación de la infraestructura remunerada a través de cargos por uso</w:t>
      </w:r>
      <w:r w:rsidR="001C7D1D" w:rsidRPr="00321B46">
        <w:rPr>
          <w:szCs w:val="24"/>
        </w:rPr>
        <w:t>,</w:t>
      </w:r>
      <w:r w:rsidRPr="00321B46">
        <w:rPr>
          <w:szCs w:val="24"/>
        </w:rPr>
        <w:t xml:space="preserve"> por concepto de otras actividades diferentes a la de </w:t>
      </w:r>
      <w:r w:rsidRPr="00321B46">
        <w:rPr>
          <w:szCs w:val="24"/>
        </w:rPr>
        <w:lastRenderedPageBreak/>
        <w:t>transmisión de energía eléctrica, durante los siete años que finalizan en la fecha de corte.</w:t>
      </w:r>
    </w:p>
    <w:p w14:paraId="3A4CE27D" w14:textId="77777777" w:rsidR="00E43449" w:rsidRPr="00321B46" w:rsidRDefault="00E43449" w:rsidP="00E43449">
      <w:pPr>
        <w:pStyle w:val="Prrafodelista"/>
        <w:numPr>
          <w:ilvl w:val="0"/>
          <w:numId w:val="9"/>
        </w:numPr>
        <w:rPr>
          <w:szCs w:val="24"/>
        </w:rPr>
      </w:pPr>
      <w:r w:rsidRPr="00321B46">
        <w:rPr>
          <w:szCs w:val="24"/>
        </w:rPr>
        <w:t>Información de planes de inversión.</w:t>
      </w:r>
    </w:p>
    <w:p w14:paraId="3299ACB4" w14:textId="77777777" w:rsidR="00E43449" w:rsidRPr="00321B46" w:rsidRDefault="00E43449" w:rsidP="00E43449">
      <w:pPr>
        <w:pStyle w:val="Continuarlista"/>
        <w:spacing w:after="0"/>
        <w:ind w:left="0"/>
      </w:pPr>
      <w:r w:rsidRPr="00321B46">
        <w:rPr>
          <w:b/>
        </w:rPr>
        <w:t>Parágrafo.</w:t>
      </w:r>
      <w:r w:rsidRPr="00321B46">
        <w:t xml:space="preserve"> Para las empresas resultantes de fusiones o desintegraciones la información base, según la antigüedad con que sea requerida en esta resolución, comprenderá la de las empresas que dieron lugar a la fusión o a la desintegración.</w:t>
      </w:r>
    </w:p>
    <w:p w14:paraId="4C834052" w14:textId="77777777" w:rsidR="00E43449" w:rsidRPr="00321B46" w:rsidRDefault="00E43449" w:rsidP="00B37A6A">
      <w:pPr>
        <w:pStyle w:val="Artculo"/>
        <w:ind w:left="0" w:firstLine="0"/>
        <w:rPr>
          <w:b w:val="0"/>
        </w:rPr>
      </w:pPr>
      <w:bookmarkStart w:id="25" w:name="_Ref208046480"/>
      <w:r w:rsidRPr="00321B46">
        <w:t>Solicitud de aprobación de ingresos.</w:t>
      </w:r>
      <w:r w:rsidRPr="00321B46">
        <w:rPr>
          <w:b w:val="0"/>
        </w:rPr>
        <w:t xml:space="preserve"> Dentro de los noventa (90) días calendario siguientes a la fecha de entrada en vigencia de la presente resolución los TN deberán someter a aprobación de la CREG, lo siguiente:</w:t>
      </w:r>
      <w:bookmarkEnd w:id="24"/>
      <w:bookmarkEnd w:id="25"/>
    </w:p>
    <w:p w14:paraId="624755D7" w14:textId="77777777" w:rsidR="00E43449" w:rsidRPr="00321B46" w:rsidRDefault="00E43449" w:rsidP="00E43449">
      <w:pPr>
        <w:pStyle w:val="Prrafodelista"/>
        <w:numPr>
          <w:ilvl w:val="0"/>
          <w:numId w:val="10"/>
        </w:numPr>
        <w:rPr>
          <w:szCs w:val="24"/>
        </w:rPr>
      </w:pPr>
      <w:r w:rsidRPr="00321B46">
        <w:rPr>
          <w:szCs w:val="24"/>
        </w:rPr>
        <w:t>Inventario de las unidades constructivas que componen su base de activos.</w:t>
      </w:r>
    </w:p>
    <w:p w14:paraId="65B500F4" w14:textId="422797DA" w:rsidR="00E43449" w:rsidRPr="00321B46" w:rsidRDefault="00E43449" w:rsidP="00E43449">
      <w:pPr>
        <w:pStyle w:val="Prrafodelista"/>
        <w:numPr>
          <w:ilvl w:val="0"/>
          <w:numId w:val="10"/>
        </w:numPr>
        <w:rPr>
          <w:szCs w:val="24"/>
        </w:rPr>
      </w:pPr>
      <w:r w:rsidRPr="00321B46">
        <w:rPr>
          <w:szCs w:val="24"/>
        </w:rPr>
        <w:t>C</w:t>
      </w:r>
      <w:r w:rsidR="0078001B" w:rsidRPr="00321B46">
        <w:rPr>
          <w:szCs w:val="24"/>
        </w:rPr>
        <w:t>á</w:t>
      </w:r>
      <w:r w:rsidRPr="00321B46">
        <w:rPr>
          <w:szCs w:val="24"/>
        </w:rPr>
        <w:t xml:space="preserve">lculo de ingresos anuales por el uso de los activos, los cuales, deberán calcularse de conformidad con la metodología descrita en el capítulo </w:t>
      </w:r>
      <w:r w:rsidRPr="00321B46">
        <w:rPr>
          <w:szCs w:val="24"/>
        </w:rPr>
        <w:fldChar w:fldCharType="begin"/>
      </w:r>
      <w:r w:rsidRPr="00321B46">
        <w:rPr>
          <w:szCs w:val="24"/>
        </w:rPr>
        <w:instrText xml:space="preserve"> REF _Ref406683194 \r \h \t</w:instrText>
      </w:r>
      <w:r w:rsidR="003276B5" w:rsidRPr="00321B46">
        <w:rPr>
          <w:szCs w:val="24"/>
        </w:rPr>
        <w:instrText xml:space="preserve"> \* MERGEFORMAT </w:instrText>
      </w:r>
      <w:r w:rsidRPr="00321B46">
        <w:rPr>
          <w:szCs w:val="24"/>
        </w:rPr>
      </w:r>
      <w:r w:rsidRPr="00321B46">
        <w:rPr>
          <w:szCs w:val="24"/>
        </w:rPr>
        <w:fldChar w:fldCharType="separate"/>
      </w:r>
      <w:r w:rsidR="000F355F">
        <w:rPr>
          <w:szCs w:val="24"/>
        </w:rPr>
        <w:t>2</w:t>
      </w:r>
      <w:r w:rsidRPr="00321B46">
        <w:rPr>
          <w:szCs w:val="24"/>
        </w:rPr>
        <w:fldChar w:fldCharType="end"/>
      </w:r>
      <w:r w:rsidR="009D1909" w:rsidRPr="00321B46">
        <w:rPr>
          <w:szCs w:val="24"/>
        </w:rPr>
        <w:t xml:space="preserve"> del anexo</w:t>
      </w:r>
      <w:r w:rsidRPr="00321B46">
        <w:rPr>
          <w:szCs w:val="24"/>
        </w:rPr>
        <w:t>.</w:t>
      </w:r>
    </w:p>
    <w:p w14:paraId="6BF28766" w14:textId="77777777" w:rsidR="00E43449" w:rsidRPr="00321B46" w:rsidRDefault="00E43449" w:rsidP="00E43449">
      <w:pPr>
        <w:pStyle w:val="Prrafodelista"/>
        <w:numPr>
          <w:ilvl w:val="0"/>
          <w:numId w:val="10"/>
        </w:numPr>
        <w:rPr>
          <w:szCs w:val="24"/>
        </w:rPr>
      </w:pPr>
      <w:r w:rsidRPr="00321B46">
        <w:rPr>
          <w:szCs w:val="24"/>
        </w:rPr>
        <w:t>Memorias de cálculo con la totalidad de las variables utilizadas para la solicitud de aprobación ingresos, en los formatos definidos por la Comisión.</w:t>
      </w:r>
    </w:p>
    <w:p w14:paraId="5241506F" w14:textId="77777777" w:rsidR="00E43449" w:rsidRPr="00321B46" w:rsidRDefault="00E43449" w:rsidP="00E43449">
      <w:pPr>
        <w:pStyle w:val="Prrafodelista"/>
        <w:numPr>
          <w:ilvl w:val="0"/>
          <w:numId w:val="10"/>
        </w:numPr>
        <w:rPr>
          <w:szCs w:val="24"/>
        </w:rPr>
      </w:pPr>
      <w:r w:rsidRPr="00321B46">
        <w:rPr>
          <w:szCs w:val="24"/>
        </w:rPr>
        <w:t xml:space="preserve">Planes de inversión.  </w:t>
      </w:r>
    </w:p>
    <w:p w14:paraId="2EB7A03F" w14:textId="77777777" w:rsidR="00E43449" w:rsidRPr="00321B46" w:rsidRDefault="00E43449" w:rsidP="00E43449">
      <w:r w:rsidRPr="00321B46">
        <w:t>Los TN deberán suministrar el diagrama unifilar de las redes y subestaciones, incluyendo toda la información necesaria para la aprobación de ingresos y que sea de su responsabilidad en los términos de esta resolución.</w:t>
      </w:r>
    </w:p>
    <w:p w14:paraId="558B5645" w14:textId="77777777" w:rsidR="00E43449" w:rsidRPr="00321B46" w:rsidRDefault="00E43449" w:rsidP="00B37A6A">
      <w:pPr>
        <w:pStyle w:val="Artculo"/>
        <w:ind w:left="0" w:firstLine="0"/>
        <w:rPr>
          <w:b w:val="0"/>
        </w:rPr>
      </w:pPr>
      <w:r w:rsidRPr="00321B46">
        <w:t>Decisión sobre aprobación de los ingresos de cada TN.</w:t>
      </w:r>
      <w:r w:rsidRPr="00321B46">
        <w:rPr>
          <w:b w:val="0"/>
        </w:rPr>
        <w:t xml:space="preserve"> Una vez presentada la información por los TN, y llevado a cabo la correspondiente actuación administrativa que garantice el derecho al debido proceso de los interesados, de conformidad con los procedimientos establecidos en la Ley, la Comisión procederá a aprobar los ingresos de que trata la presente resolución.</w:t>
      </w:r>
    </w:p>
    <w:p w14:paraId="5D79768C" w14:textId="77777777" w:rsidR="00E43449" w:rsidRPr="00321B46" w:rsidRDefault="00E43449" w:rsidP="00E43449">
      <w:r w:rsidRPr="00321B46">
        <w:rPr>
          <w:b/>
          <w:bCs/>
        </w:rPr>
        <w:t>Parágrafo.</w:t>
      </w:r>
      <w:r w:rsidRPr="00321B46">
        <w:t xml:space="preserve"> Cuando el TN no someta a aprobación de la CREG la solicitud de ingresos en el plazo previsto, la Comisión fijará los ingresos anuales con la información disponible, sin perjuicio de las sanciones y demás medidas a que haya lugar. Estos ingresos estarán vigentes hasta que el TN formule la respectiva solicitud</w:t>
      </w:r>
      <w:r w:rsidR="00C47A00" w:rsidRPr="00321B46">
        <w:t xml:space="preserve"> de actualización</w:t>
      </w:r>
      <w:r w:rsidRPr="00321B46">
        <w:t xml:space="preserve"> y los nuevos le sean aprobados.</w:t>
      </w:r>
    </w:p>
    <w:p w14:paraId="17C5BEC4" w14:textId="77777777" w:rsidR="00E43449" w:rsidRPr="00321B46" w:rsidRDefault="00E43449" w:rsidP="00B37A6A">
      <w:pPr>
        <w:pStyle w:val="Artculo"/>
        <w:ind w:left="0" w:firstLine="0"/>
        <w:rPr>
          <w:b w:val="0"/>
        </w:rPr>
      </w:pPr>
      <w:r w:rsidRPr="00321B46">
        <w:t>Tratamiento de activos de conexión y activos de uso.</w:t>
      </w:r>
      <w:r w:rsidRPr="00321B46">
        <w:rPr>
          <w:b w:val="0"/>
        </w:rPr>
        <w:t xml:space="preserve"> Los activos que sean declarados para ser remunerados mediante cargos por uso por parte del TN mantendrán este tipo de remuneración durante todo el período tarifario. Los activos de conexión mantendrán tal condición durante todo el período tarifario.</w:t>
      </w:r>
    </w:p>
    <w:p w14:paraId="183419E1" w14:textId="77777777" w:rsidR="00E43449" w:rsidRPr="00321B46" w:rsidRDefault="00E43449" w:rsidP="00E43449">
      <w:r w:rsidRPr="00321B46">
        <w:rPr>
          <w:b/>
          <w:bCs/>
        </w:rPr>
        <w:t>Parágrafo.</w:t>
      </w:r>
      <w:r w:rsidRPr="00321B46">
        <w:t xml:space="preserve"> Durante el período tarifario, los TN no podrán exigir remuneración adicional por activos que hayan sido reportados para ser remunerados mediante cargos por uso.</w:t>
      </w:r>
    </w:p>
    <w:p w14:paraId="21D19AD1" w14:textId="77777777" w:rsidR="00E43449" w:rsidRPr="00321B46" w:rsidRDefault="00E43449" w:rsidP="00B37A6A">
      <w:pPr>
        <w:pStyle w:val="Artculo"/>
        <w:ind w:left="0" w:firstLine="0"/>
        <w:rPr>
          <w:b w:val="0"/>
        </w:rPr>
      </w:pPr>
      <w:r w:rsidRPr="00321B46">
        <w:t>Vigencia de los ingresos.</w:t>
      </w:r>
      <w:r w:rsidRPr="00321B46">
        <w:rPr>
          <w:b w:val="0"/>
        </w:rPr>
        <w:t xml:space="preserve"> Los ingresos de los TN que defina la Comisión estarán vigentes desde la fecha en que quede en firme la resolución </w:t>
      </w:r>
      <w:r w:rsidRPr="00321B46">
        <w:rPr>
          <w:b w:val="0"/>
        </w:rPr>
        <w:lastRenderedPageBreak/>
        <w:t>que los apruebe y hasta cuando se cumplan cinco años contados desde la entrada en vigencia de la presente resolución, sin perjuicio de las actualizaciones a que haya lugar.</w:t>
      </w:r>
    </w:p>
    <w:p w14:paraId="012D01BF" w14:textId="77777777" w:rsidR="00E43449" w:rsidRPr="00321B46" w:rsidRDefault="00E43449" w:rsidP="00E43449">
      <w:r w:rsidRPr="00321B46">
        <w:rPr>
          <w:b/>
          <w:bCs/>
        </w:rPr>
        <w:t xml:space="preserve">Parágrafo. </w:t>
      </w:r>
      <w:r w:rsidRPr="00321B46">
        <w:t xml:space="preserve">Vencido el período de vigencia de los </w:t>
      </w:r>
      <w:r w:rsidR="00CD2803" w:rsidRPr="00321B46">
        <w:t xml:space="preserve">ingresos aprobados, </w:t>
      </w:r>
      <w:r w:rsidRPr="00321B46">
        <w:t>continuarán rigiendo hasta que la Comisión apruebe los nuevos.</w:t>
      </w:r>
    </w:p>
    <w:p w14:paraId="36A8AA3E" w14:textId="77777777" w:rsidR="00E43449" w:rsidRPr="00321B46" w:rsidRDefault="00E43449" w:rsidP="00B37A6A">
      <w:pPr>
        <w:pStyle w:val="Artculo"/>
        <w:ind w:left="0" w:firstLine="0"/>
        <w:rPr>
          <w:b w:val="0"/>
        </w:rPr>
      </w:pPr>
      <w:r w:rsidRPr="00321B46">
        <w:t>Derogatorias.</w:t>
      </w:r>
      <w:r w:rsidRPr="00321B46">
        <w:rPr>
          <w:b w:val="0"/>
        </w:rPr>
        <w:t xml:space="preserve"> La presente resolución deroga los artículos 4 y 5 de la Resolución CREG 039 de 1999</w:t>
      </w:r>
      <w:r w:rsidR="008575E4" w:rsidRPr="00321B46">
        <w:rPr>
          <w:b w:val="0"/>
        </w:rPr>
        <w:t>,</w:t>
      </w:r>
      <w:r w:rsidRPr="00321B46">
        <w:rPr>
          <w:b w:val="0"/>
        </w:rPr>
        <w:t xml:space="preserve"> la Resolución CREG 011 de 2009</w:t>
      </w:r>
      <w:r w:rsidR="008575E4" w:rsidRPr="00321B46">
        <w:rPr>
          <w:b w:val="0"/>
        </w:rPr>
        <w:t xml:space="preserve">, la Resolución CREG 093 de 2012 excepto el capítulo 3 del anexo general de esa resolución, </w:t>
      </w:r>
      <w:r w:rsidRPr="00321B46">
        <w:rPr>
          <w:b w:val="0"/>
        </w:rPr>
        <w:t xml:space="preserve">y las demás disposiciones que le sean contrarias. </w:t>
      </w:r>
    </w:p>
    <w:p w14:paraId="7F97ECA7" w14:textId="77777777" w:rsidR="00D03BEB" w:rsidRPr="00321B46" w:rsidRDefault="00D03BEB" w:rsidP="00D03BEB">
      <w:pPr>
        <w:spacing w:before="0" w:after="0"/>
        <w:jc w:val="center"/>
        <w:rPr>
          <w:b/>
        </w:rPr>
      </w:pPr>
      <w:r w:rsidRPr="00321B46">
        <w:rPr>
          <w:b/>
        </w:rPr>
        <w:t>PUBLÍQUESE Y CÚMPLASE</w:t>
      </w:r>
    </w:p>
    <w:p w14:paraId="025ED010" w14:textId="6985C5DF" w:rsidR="00D03BEB" w:rsidRPr="00321B46" w:rsidRDefault="00D477A9" w:rsidP="00D03BEB">
      <w:r w:rsidRPr="00321B46">
        <w:t>Firma del proyecto,</w:t>
      </w:r>
    </w:p>
    <w:p w14:paraId="3EF8C588" w14:textId="77777777" w:rsidR="00E11F2B" w:rsidRPr="00321B46" w:rsidRDefault="00E11F2B" w:rsidP="00E11F2B">
      <w:pPr>
        <w:spacing w:after="120"/>
      </w:pPr>
    </w:p>
    <w:p w14:paraId="1F8F7E1F" w14:textId="77777777" w:rsidR="00D477A9" w:rsidRPr="00321B46" w:rsidRDefault="00D477A9" w:rsidP="00E11F2B">
      <w:pPr>
        <w:spacing w:after="120"/>
      </w:pPr>
    </w:p>
    <w:p w14:paraId="5EE639C9" w14:textId="77777777" w:rsidR="00D477A9" w:rsidRPr="00321B46" w:rsidRDefault="00D477A9" w:rsidP="00E11F2B">
      <w:pPr>
        <w:spacing w:after="120"/>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253"/>
      </w:tblGrid>
      <w:tr w:rsidR="00E11F2B" w:rsidRPr="00321B46" w14:paraId="067585C4" w14:textId="77777777" w:rsidTr="00E268E2">
        <w:trPr>
          <w:tblCellSpacing w:w="0" w:type="dxa"/>
        </w:trPr>
        <w:tc>
          <w:tcPr>
            <w:tcW w:w="5245" w:type="dxa"/>
            <w:shd w:val="clear" w:color="auto" w:fill="FFFFFF"/>
            <w:hideMark/>
          </w:tcPr>
          <w:p w14:paraId="68BED011" w14:textId="77777777" w:rsidR="00E11F2B" w:rsidRPr="00321B46" w:rsidRDefault="00E11F2B" w:rsidP="00E268E2">
            <w:pPr>
              <w:spacing w:before="0" w:after="0"/>
              <w:jc w:val="center"/>
              <w:rPr>
                <w:rFonts w:cs="Arial"/>
                <w:b/>
                <w:lang w:val="es-CO" w:eastAsia="es-CO"/>
              </w:rPr>
            </w:pPr>
            <w:r w:rsidRPr="00321B46">
              <w:rPr>
                <w:rFonts w:cs="Arial"/>
                <w:b/>
                <w:bCs/>
                <w:lang w:val="es-CO" w:eastAsia="es-CO"/>
              </w:rPr>
              <w:t xml:space="preserve">RUTTY PAOLA </w:t>
            </w:r>
            <w:r w:rsidRPr="00321B46">
              <w:rPr>
                <w:b/>
              </w:rPr>
              <w:t>ORTIZ JARA</w:t>
            </w:r>
          </w:p>
        </w:tc>
        <w:tc>
          <w:tcPr>
            <w:tcW w:w="4253" w:type="dxa"/>
            <w:shd w:val="clear" w:color="auto" w:fill="FFFFFF"/>
            <w:hideMark/>
          </w:tcPr>
          <w:p w14:paraId="7B40F7F6" w14:textId="77777777" w:rsidR="00E11F2B" w:rsidRPr="00321B46" w:rsidRDefault="00E11F2B" w:rsidP="00E268E2">
            <w:pPr>
              <w:spacing w:before="0" w:after="0"/>
              <w:jc w:val="center"/>
              <w:rPr>
                <w:rFonts w:cs="Arial"/>
                <w:lang w:val="es-CO" w:eastAsia="es-CO"/>
              </w:rPr>
            </w:pPr>
            <w:r w:rsidRPr="00321B46">
              <w:rPr>
                <w:rFonts w:cs="Arial"/>
                <w:b/>
                <w:bCs/>
                <w:lang w:val="es-CO" w:eastAsia="es-CO"/>
              </w:rPr>
              <w:t>GERMÁN CASTRO FERREIRA</w:t>
            </w:r>
          </w:p>
        </w:tc>
      </w:tr>
      <w:tr w:rsidR="00E11F2B" w:rsidRPr="00321B46" w14:paraId="42457247" w14:textId="77777777" w:rsidTr="00E268E2">
        <w:trPr>
          <w:tblCellSpacing w:w="0" w:type="dxa"/>
        </w:trPr>
        <w:tc>
          <w:tcPr>
            <w:tcW w:w="5245" w:type="dxa"/>
            <w:shd w:val="clear" w:color="auto" w:fill="FFFFFF"/>
            <w:hideMark/>
          </w:tcPr>
          <w:p w14:paraId="65996B2B" w14:textId="77777777" w:rsidR="00E11F2B" w:rsidRPr="00321B46" w:rsidRDefault="00E11F2B" w:rsidP="00E268E2">
            <w:pPr>
              <w:spacing w:before="0" w:after="0"/>
              <w:jc w:val="center"/>
              <w:rPr>
                <w:rFonts w:cs="Arial"/>
                <w:lang w:val="es-CO" w:eastAsia="es-CO"/>
              </w:rPr>
            </w:pPr>
            <w:r w:rsidRPr="00321B46">
              <w:rPr>
                <w:rFonts w:cs="Arial"/>
                <w:lang w:val="es-CO" w:eastAsia="es-CO"/>
              </w:rPr>
              <w:t>Viceministra de Energía</w:t>
            </w:r>
          </w:p>
          <w:p w14:paraId="49B14EF3" w14:textId="77777777" w:rsidR="00E11F2B" w:rsidRPr="00321B46" w:rsidRDefault="00E11F2B" w:rsidP="00E268E2">
            <w:pPr>
              <w:spacing w:before="0" w:after="0"/>
              <w:jc w:val="center"/>
              <w:rPr>
                <w:rFonts w:cs="Arial"/>
                <w:lang w:val="es-CO" w:eastAsia="es-CO"/>
              </w:rPr>
            </w:pPr>
            <w:r w:rsidRPr="00321B46">
              <w:rPr>
                <w:rFonts w:cs="Arial"/>
                <w:lang w:val="es-CO" w:eastAsia="es-CO"/>
              </w:rPr>
              <w:t>Delegada del Ministro de Minas y Energía</w:t>
            </w:r>
          </w:p>
        </w:tc>
        <w:tc>
          <w:tcPr>
            <w:tcW w:w="4253" w:type="dxa"/>
            <w:shd w:val="clear" w:color="auto" w:fill="FFFFFF"/>
            <w:hideMark/>
          </w:tcPr>
          <w:p w14:paraId="322EA38F" w14:textId="77777777" w:rsidR="00E11F2B" w:rsidRPr="00321B46" w:rsidRDefault="00E11F2B" w:rsidP="00E268E2">
            <w:pPr>
              <w:spacing w:before="0" w:after="0"/>
              <w:jc w:val="center"/>
              <w:rPr>
                <w:rFonts w:cs="Arial"/>
                <w:lang w:val="es-CO" w:eastAsia="es-CO"/>
              </w:rPr>
            </w:pPr>
            <w:r w:rsidRPr="00321B46">
              <w:rPr>
                <w:rFonts w:cs="Arial"/>
                <w:lang w:val="es-CO" w:eastAsia="es-CO"/>
              </w:rPr>
              <w:t>Director Ejecutivo</w:t>
            </w:r>
          </w:p>
        </w:tc>
      </w:tr>
      <w:tr w:rsidR="00E11F2B" w:rsidRPr="00321B46" w14:paraId="3E4C33D5" w14:textId="77777777" w:rsidTr="00E268E2">
        <w:trPr>
          <w:tblCellSpacing w:w="0" w:type="dxa"/>
        </w:trPr>
        <w:tc>
          <w:tcPr>
            <w:tcW w:w="5245" w:type="dxa"/>
            <w:shd w:val="clear" w:color="auto" w:fill="FFFFFF"/>
            <w:hideMark/>
          </w:tcPr>
          <w:p w14:paraId="7D3DD2A6" w14:textId="77777777" w:rsidR="00E11F2B" w:rsidRPr="00321B46" w:rsidRDefault="00E11F2B" w:rsidP="00E268E2">
            <w:pPr>
              <w:spacing w:before="0" w:after="0"/>
              <w:jc w:val="center"/>
              <w:rPr>
                <w:rFonts w:cs="Arial"/>
                <w:lang w:val="es-CO" w:eastAsia="es-CO"/>
              </w:rPr>
            </w:pPr>
            <w:r w:rsidRPr="00321B46">
              <w:rPr>
                <w:rFonts w:cs="Arial"/>
                <w:lang w:val="es-CO" w:eastAsia="es-CO"/>
              </w:rPr>
              <w:t>Presidente</w:t>
            </w:r>
          </w:p>
        </w:tc>
        <w:tc>
          <w:tcPr>
            <w:tcW w:w="4253" w:type="dxa"/>
            <w:shd w:val="clear" w:color="auto" w:fill="FFFFFF"/>
            <w:hideMark/>
          </w:tcPr>
          <w:p w14:paraId="47C727BC" w14:textId="77777777" w:rsidR="00E11F2B" w:rsidRPr="00321B46" w:rsidRDefault="00E11F2B" w:rsidP="00E268E2">
            <w:pPr>
              <w:spacing w:before="0" w:after="0"/>
              <w:jc w:val="left"/>
              <w:rPr>
                <w:rFonts w:cs="Arial"/>
                <w:lang w:val="es-CO" w:eastAsia="es-CO"/>
              </w:rPr>
            </w:pPr>
            <w:r w:rsidRPr="00321B46">
              <w:rPr>
                <w:rFonts w:cs="Arial"/>
                <w:noProof/>
                <w:lang w:val="es-CO" w:eastAsia="es-CO"/>
              </w:rPr>
              <w:drawing>
                <wp:inline distT="0" distB="0" distL="0" distR="0" wp14:anchorId="0C6D58BC" wp14:editId="59F1DC6B">
                  <wp:extent cx="9525" cy="9525"/>
                  <wp:effectExtent l="0" t="0" r="0" b="0"/>
                  <wp:docPr id="10" name="Imagen 10"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050D779B" w14:textId="77777777" w:rsidR="00693DA9" w:rsidRPr="00321B46" w:rsidRDefault="00693DA9">
      <w:pPr>
        <w:spacing w:before="0" w:after="0"/>
        <w:jc w:val="left"/>
      </w:pPr>
      <w:r w:rsidRPr="00321B46">
        <w:br w:type="page"/>
      </w:r>
    </w:p>
    <w:p w14:paraId="70B22C3A" w14:textId="77777777" w:rsidR="00E43449" w:rsidRPr="00321B46" w:rsidRDefault="00E43449" w:rsidP="00E43449">
      <w:pPr>
        <w:spacing w:before="0" w:after="0"/>
        <w:jc w:val="left"/>
      </w:pPr>
    </w:p>
    <w:p w14:paraId="7E57B2BD" w14:textId="77777777" w:rsidR="00E43449" w:rsidRPr="00321B46" w:rsidRDefault="00E43449" w:rsidP="00E43449">
      <w:pPr>
        <w:spacing w:before="0" w:after="0"/>
        <w:jc w:val="center"/>
        <w:rPr>
          <w:b/>
        </w:rPr>
      </w:pPr>
      <w:r w:rsidRPr="00321B46">
        <w:rPr>
          <w:b/>
        </w:rPr>
        <w:t>ANEXO GENERAL</w:t>
      </w:r>
    </w:p>
    <w:sdt>
      <w:sdtPr>
        <w:id w:val="1761104665"/>
        <w:docPartObj>
          <w:docPartGallery w:val="Table of Contents"/>
          <w:docPartUnique/>
        </w:docPartObj>
      </w:sdtPr>
      <w:sdtEndPr>
        <w:rPr>
          <w:b/>
          <w:bCs/>
        </w:rPr>
      </w:sdtEndPr>
      <w:sdtContent>
        <w:p w14:paraId="0570FEAA" w14:textId="0C2D18A2" w:rsidR="00E43449" w:rsidRPr="00321B46" w:rsidRDefault="00E43449" w:rsidP="00E43449">
          <w:pPr>
            <w:jc w:val="center"/>
          </w:pPr>
        </w:p>
        <w:p w14:paraId="6F79B5D8" w14:textId="77777777" w:rsidR="005C12AD" w:rsidRDefault="00E43449">
          <w:pPr>
            <w:pStyle w:val="TDC1"/>
            <w:rPr>
              <w:rFonts w:asciiTheme="minorHAnsi" w:eastAsiaTheme="minorEastAsia" w:hAnsiTheme="minorHAnsi" w:cstheme="minorBidi"/>
              <w:b w:val="0"/>
              <w:sz w:val="22"/>
              <w:szCs w:val="22"/>
              <w:lang w:val="es-CO" w:eastAsia="es-CO"/>
            </w:rPr>
          </w:pPr>
          <w:r w:rsidRPr="00321B46">
            <w:fldChar w:fldCharType="begin"/>
          </w:r>
          <w:r w:rsidRPr="00321B46">
            <w:instrText xml:space="preserve"> TOC \o "1-3" \h \z \u </w:instrText>
          </w:r>
          <w:r w:rsidRPr="00321B46">
            <w:fldChar w:fldCharType="separate"/>
          </w:r>
          <w:hyperlink w:anchor="_Toc466392615" w:history="1">
            <w:r w:rsidR="005C12AD" w:rsidRPr="00C47080">
              <w:rPr>
                <w:rStyle w:val="Hipervnculo"/>
              </w:rPr>
              <w:t>CAPÍTULO 1.</w:t>
            </w:r>
            <w:r w:rsidR="005C12AD">
              <w:rPr>
                <w:rFonts w:asciiTheme="minorHAnsi" w:eastAsiaTheme="minorEastAsia" w:hAnsiTheme="minorHAnsi" w:cstheme="minorBidi"/>
                <w:b w:val="0"/>
                <w:sz w:val="22"/>
                <w:szCs w:val="22"/>
                <w:lang w:val="es-CO" w:eastAsia="es-CO"/>
              </w:rPr>
              <w:tab/>
            </w:r>
            <w:r w:rsidR="005C12AD" w:rsidRPr="00C47080">
              <w:rPr>
                <w:rStyle w:val="Hipervnculo"/>
              </w:rPr>
              <w:t>CÁLCULO DEL CARGO POR USO DEL STN</w:t>
            </w:r>
            <w:r w:rsidR="005C12AD">
              <w:rPr>
                <w:webHidden/>
              </w:rPr>
              <w:tab/>
            </w:r>
            <w:r w:rsidR="005C12AD">
              <w:rPr>
                <w:webHidden/>
              </w:rPr>
              <w:fldChar w:fldCharType="begin"/>
            </w:r>
            <w:r w:rsidR="005C12AD">
              <w:rPr>
                <w:webHidden/>
              </w:rPr>
              <w:instrText xml:space="preserve"> PAGEREF _Toc466392615 \h </w:instrText>
            </w:r>
            <w:r w:rsidR="005C12AD">
              <w:rPr>
                <w:webHidden/>
              </w:rPr>
            </w:r>
            <w:r w:rsidR="005C12AD">
              <w:rPr>
                <w:webHidden/>
              </w:rPr>
              <w:fldChar w:fldCharType="separate"/>
            </w:r>
            <w:r w:rsidR="000F355F">
              <w:rPr>
                <w:webHidden/>
              </w:rPr>
              <w:t>26</w:t>
            </w:r>
            <w:r w:rsidR="005C12AD">
              <w:rPr>
                <w:webHidden/>
              </w:rPr>
              <w:fldChar w:fldCharType="end"/>
            </w:r>
          </w:hyperlink>
        </w:p>
        <w:p w14:paraId="2B42225F" w14:textId="77777777" w:rsidR="005C12AD" w:rsidRDefault="00651802">
          <w:pPr>
            <w:pStyle w:val="TDC2"/>
            <w:rPr>
              <w:rFonts w:asciiTheme="minorHAnsi" w:eastAsiaTheme="minorEastAsia" w:hAnsiTheme="minorHAnsi" w:cstheme="minorBidi"/>
              <w:bCs w:val="0"/>
              <w:sz w:val="22"/>
              <w:szCs w:val="22"/>
              <w:lang w:eastAsia="es-CO"/>
            </w:rPr>
          </w:pPr>
          <w:hyperlink w:anchor="_Toc466392616" w:history="1">
            <w:r w:rsidR="005C12AD" w:rsidRPr="00C47080">
              <w:rPr>
                <w:rStyle w:val="Hipervnculo"/>
              </w:rPr>
              <w:t>1.1</w:t>
            </w:r>
            <w:r w:rsidR="005C12AD">
              <w:rPr>
                <w:rFonts w:asciiTheme="minorHAnsi" w:eastAsiaTheme="minorEastAsia" w:hAnsiTheme="minorHAnsi" w:cstheme="minorBidi"/>
                <w:bCs w:val="0"/>
                <w:sz w:val="22"/>
                <w:szCs w:val="22"/>
                <w:lang w:eastAsia="es-CO"/>
              </w:rPr>
              <w:tab/>
            </w:r>
            <w:r w:rsidR="005C12AD" w:rsidRPr="00C47080">
              <w:rPr>
                <w:rStyle w:val="Hipervnculo"/>
              </w:rPr>
              <w:t>Cargo por uso</w:t>
            </w:r>
            <w:r w:rsidR="005C12AD">
              <w:rPr>
                <w:webHidden/>
              </w:rPr>
              <w:tab/>
            </w:r>
            <w:r w:rsidR="005C12AD">
              <w:rPr>
                <w:webHidden/>
              </w:rPr>
              <w:fldChar w:fldCharType="begin"/>
            </w:r>
            <w:r w:rsidR="005C12AD">
              <w:rPr>
                <w:webHidden/>
              </w:rPr>
              <w:instrText xml:space="preserve"> PAGEREF _Toc466392616 \h </w:instrText>
            </w:r>
            <w:r w:rsidR="005C12AD">
              <w:rPr>
                <w:webHidden/>
              </w:rPr>
            </w:r>
            <w:r w:rsidR="005C12AD">
              <w:rPr>
                <w:webHidden/>
              </w:rPr>
              <w:fldChar w:fldCharType="separate"/>
            </w:r>
            <w:r w:rsidR="000F355F">
              <w:rPr>
                <w:webHidden/>
              </w:rPr>
              <w:t>26</w:t>
            </w:r>
            <w:r w:rsidR="005C12AD">
              <w:rPr>
                <w:webHidden/>
              </w:rPr>
              <w:fldChar w:fldCharType="end"/>
            </w:r>
          </w:hyperlink>
        </w:p>
        <w:p w14:paraId="232D5694" w14:textId="77777777" w:rsidR="005C12AD" w:rsidRDefault="00651802">
          <w:pPr>
            <w:pStyle w:val="TDC2"/>
            <w:rPr>
              <w:rFonts w:asciiTheme="minorHAnsi" w:eastAsiaTheme="minorEastAsia" w:hAnsiTheme="minorHAnsi" w:cstheme="minorBidi"/>
              <w:bCs w:val="0"/>
              <w:sz w:val="22"/>
              <w:szCs w:val="22"/>
              <w:lang w:eastAsia="es-CO"/>
            </w:rPr>
          </w:pPr>
          <w:hyperlink w:anchor="_Toc466392617" w:history="1">
            <w:r w:rsidR="005C12AD" w:rsidRPr="00C47080">
              <w:rPr>
                <w:rStyle w:val="Hipervnculo"/>
              </w:rPr>
              <w:t>1.2</w:t>
            </w:r>
            <w:r w:rsidR="005C12AD">
              <w:rPr>
                <w:rFonts w:asciiTheme="minorHAnsi" w:eastAsiaTheme="minorEastAsia" w:hAnsiTheme="minorHAnsi" w:cstheme="minorBidi"/>
                <w:bCs w:val="0"/>
                <w:sz w:val="22"/>
                <w:szCs w:val="22"/>
                <w:lang w:eastAsia="es-CO"/>
              </w:rPr>
              <w:tab/>
            </w:r>
            <w:r w:rsidR="005C12AD" w:rsidRPr="00C47080">
              <w:rPr>
                <w:rStyle w:val="Hipervnculo"/>
              </w:rPr>
              <w:t>Ingreso mensual de los TN</w:t>
            </w:r>
            <w:r w:rsidR="005C12AD">
              <w:rPr>
                <w:webHidden/>
              </w:rPr>
              <w:tab/>
            </w:r>
            <w:r w:rsidR="005C12AD">
              <w:rPr>
                <w:webHidden/>
              </w:rPr>
              <w:fldChar w:fldCharType="begin"/>
            </w:r>
            <w:r w:rsidR="005C12AD">
              <w:rPr>
                <w:webHidden/>
              </w:rPr>
              <w:instrText xml:space="preserve"> PAGEREF _Toc466392617 \h </w:instrText>
            </w:r>
            <w:r w:rsidR="005C12AD">
              <w:rPr>
                <w:webHidden/>
              </w:rPr>
            </w:r>
            <w:r w:rsidR="005C12AD">
              <w:rPr>
                <w:webHidden/>
              </w:rPr>
              <w:fldChar w:fldCharType="separate"/>
            </w:r>
            <w:r w:rsidR="000F355F">
              <w:rPr>
                <w:webHidden/>
              </w:rPr>
              <w:t>27</w:t>
            </w:r>
            <w:r w:rsidR="005C12AD">
              <w:rPr>
                <w:webHidden/>
              </w:rPr>
              <w:fldChar w:fldCharType="end"/>
            </w:r>
          </w:hyperlink>
        </w:p>
        <w:p w14:paraId="1D5F2ADC" w14:textId="77777777" w:rsidR="005C12AD" w:rsidRDefault="00651802">
          <w:pPr>
            <w:pStyle w:val="TDC2"/>
            <w:rPr>
              <w:rFonts w:asciiTheme="minorHAnsi" w:eastAsiaTheme="minorEastAsia" w:hAnsiTheme="minorHAnsi" w:cstheme="minorBidi"/>
              <w:bCs w:val="0"/>
              <w:sz w:val="22"/>
              <w:szCs w:val="22"/>
              <w:lang w:eastAsia="es-CO"/>
            </w:rPr>
          </w:pPr>
          <w:hyperlink w:anchor="_Toc466392618" w:history="1">
            <w:r w:rsidR="005C12AD" w:rsidRPr="00C47080">
              <w:rPr>
                <w:rStyle w:val="Hipervnculo"/>
              </w:rPr>
              <w:t>1.3</w:t>
            </w:r>
            <w:r w:rsidR="005C12AD">
              <w:rPr>
                <w:rFonts w:asciiTheme="minorHAnsi" w:eastAsiaTheme="minorEastAsia" w:hAnsiTheme="minorHAnsi" w:cstheme="minorBidi"/>
                <w:bCs w:val="0"/>
                <w:sz w:val="22"/>
                <w:szCs w:val="22"/>
                <w:lang w:eastAsia="es-CO"/>
              </w:rPr>
              <w:tab/>
            </w:r>
            <w:r w:rsidR="005C12AD" w:rsidRPr="00C47080">
              <w:rPr>
                <w:rStyle w:val="Hipervnculo"/>
              </w:rPr>
              <w:t>Ingreso mensual de activos sin representación</w:t>
            </w:r>
            <w:r w:rsidR="005C12AD">
              <w:rPr>
                <w:webHidden/>
              </w:rPr>
              <w:tab/>
            </w:r>
            <w:r w:rsidR="005C12AD">
              <w:rPr>
                <w:webHidden/>
              </w:rPr>
              <w:fldChar w:fldCharType="begin"/>
            </w:r>
            <w:r w:rsidR="005C12AD">
              <w:rPr>
                <w:webHidden/>
              </w:rPr>
              <w:instrText xml:space="preserve"> PAGEREF _Toc466392618 \h </w:instrText>
            </w:r>
            <w:r w:rsidR="005C12AD">
              <w:rPr>
                <w:webHidden/>
              </w:rPr>
            </w:r>
            <w:r w:rsidR="005C12AD">
              <w:rPr>
                <w:webHidden/>
              </w:rPr>
              <w:fldChar w:fldCharType="separate"/>
            </w:r>
            <w:r w:rsidR="000F355F">
              <w:rPr>
                <w:webHidden/>
              </w:rPr>
              <w:t>28</w:t>
            </w:r>
            <w:r w:rsidR="005C12AD">
              <w:rPr>
                <w:webHidden/>
              </w:rPr>
              <w:fldChar w:fldCharType="end"/>
            </w:r>
          </w:hyperlink>
        </w:p>
        <w:p w14:paraId="66FBEB26" w14:textId="77777777" w:rsidR="005C12AD" w:rsidRDefault="00651802">
          <w:pPr>
            <w:pStyle w:val="TDC1"/>
            <w:rPr>
              <w:rFonts w:asciiTheme="minorHAnsi" w:eastAsiaTheme="minorEastAsia" w:hAnsiTheme="minorHAnsi" w:cstheme="minorBidi"/>
              <w:b w:val="0"/>
              <w:sz w:val="22"/>
              <w:szCs w:val="22"/>
              <w:lang w:val="es-CO" w:eastAsia="es-CO"/>
            </w:rPr>
          </w:pPr>
          <w:hyperlink w:anchor="_Toc466392619" w:history="1">
            <w:r w:rsidR="005C12AD" w:rsidRPr="00C47080">
              <w:rPr>
                <w:rStyle w:val="Hipervnculo"/>
              </w:rPr>
              <w:t>CAPÍTULO 2.</w:t>
            </w:r>
            <w:r w:rsidR="005C12AD">
              <w:rPr>
                <w:rFonts w:asciiTheme="minorHAnsi" w:eastAsiaTheme="minorEastAsia" w:hAnsiTheme="minorHAnsi" w:cstheme="minorBidi"/>
                <w:b w:val="0"/>
                <w:sz w:val="22"/>
                <w:szCs w:val="22"/>
                <w:lang w:val="es-CO" w:eastAsia="es-CO"/>
              </w:rPr>
              <w:tab/>
            </w:r>
            <w:r w:rsidR="005C12AD" w:rsidRPr="00C47080">
              <w:rPr>
                <w:rStyle w:val="Hipervnculo"/>
              </w:rPr>
              <w:t>CÁLCULO DE LOS INGRESOS ANUALES</w:t>
            </w:r>
            <w:r w:rsidR="005C12AD">
              <w:rPr>
                <w:webHidden/>
              </w:rPr>
              <w:tab/>
            </w:r>
            <w:r w:rsidR="005C12AD">
              <w:rPr>
                <w:webHidden/>
              </w:rPr>
              <w:fldChar w:fldCharType="begin"/>
            </w:r>
            <w:r w:rsidR="005C12AD">
              <w:rPr>
                <w:webHidden/>
              </w:rPr>
              <w:instrText xml:space="preserve"> PAGEREF _Toc466392619 \h </w:instrText>
            </w:r>
            <w:r w:rsidR="005C12AD">
              <w:rPr>
                <w:webHidden/>
              </w:rPr>
            </w:r>
            <w:r w:rsidR="005C12AD">
              <w:rPr>
                <w:webHidden/>
              </w:rPr>
              <w:fldChar w:fldCharType="separate"/>
            </w:r>
            <w:r w:rsidR="000F355F">
              <w:rPr>
                <w:webHidden/>
              </w:rPr>
              <w:t>30</w:t>
            </w:r>
            <w:r w:rsidR="005C12AD">
              <w:rPr>
                <w:webHidden/>
              </w:rPr>
              <w:fldChar w:fldCharType="end"/>
            </w:r>
          </w:hyperlink>
        </w:p>
        <w:p w14:paraId="6978F79B" w14:textId="77777777" w:rsidR="005C12AD" w:rsidRDefault="00651802">
          <w:pPr>
            <w:pStyle w:val="TDC2"/>
            <w:rPr>
              <w:rFonts w:asciiTheme="minorHAnsi" w:eastAsiaTheme="minorEastAsia" w:hAnsiTheme="minorHAnsi" w:cstheme="minorBidi"/>
              <w:bCs w:val="0"/>
              <w:sz w:val="22"/>
              <w:szCs w:val="22"/>
              <w:lang w:eastAsia="es-CO"/>
            </w:rPr>
          </w:pPr>
          <w:hyperlink w:anchor="_Toc466392620" w:history="1">
            <w:r w:rsidR="005C12AD" w:rsidRPr="00C47080">
              <w:rPr>
                <w:rStyle w:val="Hipervnculo"/>
              </w:rPr>
              <w:t>2.1</w:t>
            </w:r>
            <w:r w:rsidR="005C12AD">
              <w:rPr>
                <w:rFonts w:asciiTheme="minorHAnsi" w:eastAsiaTheme="minorEastAsia" w:hAnsiTheme="minorHAnsi" w:cstheme="minorBidi"/>
                <w:bCs w:val="0"/>
                <w:sz w:val="22"/>
                <w:szCs w:val="22"/>
                <w:lang w:eastAsia="es-CO"/>
              </w:rPr>
              <w:tab/>
            </w:r>
            <w:r w:rsidR="005C12AD" w:rsidRPr="00C47080">
              <w:rPr>
                <w:rStyle w:val="Hipervnculo"/>
              </w:rPr>
              <w:t>Ingreso anual por inversión en activos</w:t>
            </w:r>
            <w:r w:rsidR="005C12AD">
              <w:rPr>
                <w:webHidden/>
              </w:rPr>
              <w:tab/>
            </w:r>
            <w:r w:rsidR="005C12AD">
              <w:rPr>
                <w:webHidden/>
              </w:rPr>
              <w:fldChar w:fldCharType="begin"/>
            </w:r>
            <w:r w:rsidR="005C12AD">
              <w:rPr>
                <w:webHidden/>
              </w:rPr>
              <w:instrText xml:space="preserve"> PAGEREF _Toc466392620 \h </w:instrText>
            </w:r>
            <w:r w:rsidR="005C12AD">
              <w:rPr>
                <w:webHidden/>
              </w:rPr>
            </w:r>
            <w:r w:rsidR="005C12AD">
              <w:rPr>
                <w:webHidden/>
              </w:rPr>
              <w:fldChar w:fldCharType="separate"/>
            </w:r>
            <w:r w:rsidR="000F355F">
              <w:rPr>
                <w:webHidden/>
              </w:rPr>
              <w:t>30</w:t>
            </w:r>
            <w:r w:rsidR="005C12AD">
              <w:rPr>
                <w:webHidden/>
              </w:rPr>
              <w:fldChar w:fldCharType="end"/>
            </w:r>
          </w:hyperlink>
        </w:p>
        <w:p w14:paraId="60BFD73D" w14:textId="77777777" w:rsidR="005C12AD" w:rsidRDefault="00651802">
          <w:pPr>
            <w:pStyle w:val="TDC3"/>
            <w:rPr>
              <w:rFonts w:asciiTheme="minorHAnsi" w:eastAsiaTheme="minorEastAsia" w:hAnsiTheme="minorHAnsi" w:cstheme="minorBidi"/>
              <w:sz w:val="22"/>
              <w:szCs w:val="22"/>
              <w:lang w:eastAsia="es-CO"/>
            </w:rPr>
          </w:pPr>
          <w:hyperlink w:anchor="_Toc466392621" w:history="1">
            <w:r w:rsidR="005C12AD" w:rsidRPr="00C47080">
              <w:rPr>
                <w:rStyle w:val="Hipervnculo"/>
              </w:rPr>
              <w:t>2.1.1</w:t>
            </w:r>
            <w:r w:rsidR="005C12AD">
              <w:rPr>
                <w:rFonts w:asciiTheme="minorHAnsi" w:eastAsiaTheme="minorEastAsia" w:hAnsiTheme="minorHAnsi" w:cstheme="minorBidi"/>
                <w:sz w:val="22"/>
                <w:szCs w:val="22"/>
                <w:lang w:eastAsia="es-CO"/>
              </w:rPr>
              <w:tab/>
            </w:r>
            <w:r w:rsidR="005C12AD" w:rsidRPr="00C47080">
              <w:rPr>
                <w:rStyle w:val="Hipervnculo"/>
              </w:rPr>
              <w:t>Servidumbres de activos existentes</w:t>
            </w:r>
            <w:r w:rsidR="005C12AD">
              <w:rPr>
                <w:webHidden/>
              </w:rPr>
              <w:tab/>
            </w:r>
            <w:r w:rsidR="005C12AD">
              <w:rPr>
                <w:webHidden/>
              </w:rPr>
              <w:fldChar w:fldCharType="begin"/>
            </w:r>
            <w:r w:rsidR="005C12AD">
              <w:rPr>
                <w:webHidden/>
              </w:rPr>
              <w:instrText xml:space="preserve"> PAGEREF _Toc466392621 \h </w:instrText>
            </w:r>
            <w:r w:rsidR="005C12AD">
              <w:rPr>
                <w:webHidden/>
              </w:rPr>
            </w:r>
            <w:r w:rsidR="005C12AD">
              <w:rPr>
                <w:webHidden/>
              </w:rPr>
              <w:fldChar w:fldCharType="separate"/>
            </w:r>
            <w:r w:rsidR="000F355F">
              <w:rPr>
                <w:webHidden/>
              </w:rPr>
              <w:t>31</w:t>
            </w:r>
            <w:r w:rsidR="005C12AD">
              <w:rPr>
                <w:webHidden/>
              </w:rPr>
              <w:fldChar w:fldCharType="end"/>
            </w:r>
          </w:hyperlink>
        </w:p>
        <w:p w14:paraId="3AB12883" w14:textId="77777777" w:rsidR="005C12AD" w:rsidRDefault="00651802">
          <w:pPr>
            <w:pStyle w:val="TDC2"/>
            <w:rPr>
              <w:rFonts w:asciiTheme="minorHAnsi" w:eastAsiaTheme="minorEastAsia" w:hAnsiTheme="minorHAnsi" w:cstheme="minorBidi"/>
              <w:bCs w:val="0"/>
              <w:sz w:val="22"/>
              <w:szCs w:val="22"/>
              <w:lang w:eastAsia="es-CO"/>
            </w:rPr>
          </w:pPr>
          <w:hyperlink w:anchor="_Toc466392622" w:history="1">
            <w:r w:rsidR="005C12AD" w:rsidRPr="00C47080">
              <w:rPr>
                <w:rStyle w:val="Hipervnculo"/>
              </w:rPr>
              <w:t>2.2</w:t>
            </w:r>
            <w:r w:rsidR="005C12AD">
              <w:rPr>
                <w:rFonts w:asciiTheme="minorHAnsi" w:eastAsiaTheme="minorEastAsia" w:hAnsiTheme="minorHAnsi" w:cstheme="minorBidi"/>
                <w:bCs w:val="0"/>
                <w:sz w:val="22"/>
                <w:szCs w:val="22"/>
                <w:lang w:eastAsia="es-CO"/>
              </w:rPr>
              <w:tab/>
            </w:r>
            <w:r w:rsidR="005C12AD" w:rsidRPr="00C47080">
              <w:rPr>
                <w:rStyle w:val="Hipervnculo"/>
              </w:rPr>
              <w:t>Base regulatoria de activos</w:t>
            </w:r>
            <w:r w:rsidR="005C12AD">
              <w:rPr>
                <w:webHidden/>
              </w:rPr>
              <w:tab/>
            </w:r>
            <w:r w:rsidR="005C12AD">
              <w:rPr>
                <w:webHidden/>
              </w:rPr>
              <w:fldChar w:fldCharType="begin"/>
            </w:r>
            <w:r w:rsidR="005C12AD">
              <w:rPr>
                <w:webHidden/>
              </w:rPr>
              <w:instrText xml:space="preserve"> PAGEREF _Toc466392622 \h </w:instrText>
            </w:r>
            <w:r w:rsidR="005C12AD">
              <w:rPr>
                <w:webHidden/>
              </w:rPr>
            </w:r>
            <w:r w:rsidR="005C12AD">
              <w:rPr>
                <w:webHidden/>
              </w:rPr>
              <w:fldChar w:fldCharType="separate"/>
            </w:r>
            <w:r w:rsidR="000F355F">
              <w:rPr>
                <w:webHidden/>
              </w:rPr>
              <w:t>31</w:t>
            </w:r>
            <w:r w:rsidR="005C12AD">
              <w:rPr>
                <w:webHidden/>
              </w:rPr>
              <w:fldChar w:fldCharType="end"/>
            </w:r>
          </w:hyperlink>
        </w:p>
        <w:p w14:paraId="396BEBE7" w14:textId="77777777" w:rsidR="005C12AD" w:rsidRDefault="00651802">
          <w:pPr>
            <w:pStyle w:val="TDC3"/>
            <w:rPr>
              <w:rFonts w:asciiTheme="minorHAnsi" w:eastAsiaTheme="minorEastAsia" w:hAnsiTheme="minorHAnsi" w:cstheme="minorBidi"/>
              <w:sz w:val="22"/>
              <w:szCs w:val="22"/>
              <w:lang w:eastAsia="es-CO"/>
            </w:rPr>
          </w:pPr>
          <w:hyperlink w:anchor="_Toc466392623" w:history="1">
            <w:r w:rsidR="005C12AD" w:rsidRPr="00C47080">
              <w:rPr>
                <w:rStyle w:val="Hipervnculo"/>
              </w:rPr>
              <w:t>2.2.1</w:t>
            </w:r>
            <w:r w:rsidR="005C12AD">
              <w:rPr>
                <w:rFonts w:asciiTheme="minorHAnsi" w:eastAsiaTheme="minorEastAsia" w:hAnsiTheme="minorHAnsi" w:cstheme="minorBidi"/>
                <w:sz w:val="22"/>
                <w:szCs w:val="22"/>
                <w:lang w:eastAsia="es-CO"/>
              </w:rPr>
              <w:tab/>
            </w:r>
            <w:r w:rsidR="005C12AD" w:rsidRPr="00C47080">
              <w:rPr>
                <w:rStyle w:val="Hipervnculo"/>
              </w:rPr>
              <w:t>Base regulatoria de activos eléctricos</w:t>
            </w:r>
            <w:r w:rsidR="005C12AD">
              <w:rPr>
                <w:webHidden/>
              </w:rPr>
              <w:tab/>
            </w:r>
            <w:r w:rsidR="005C12AD">
              <w:rPr>
                <w:webHidden/>
              </w:rPr>
              <w:fldChar w:fldCharType="begin"/>
            </w:r>
            <w:r w:rsidR="005C12AD">
              <w:rPr>
                <w:webHidden/>
              </w:rPr>
              <w:instrText xml:space="preserve"> PAGEREF _Toc466392623 \h </w:instrText>
            </w:r>
            <w:r w:rsidR="005C12AD">
              <w:rPr>
                <w:webHidden/>
              </w:rPr>
            </w:r>
            <w:r w:rsidR="005C12AD">
              <w:rPr>
                <w:webHidden/>
              </w:rPr>
              <w:fldChar w:fldCharType="separate"/>
            </w:r>
            <w:r w:rsidR="000F355F">
              <w:rPr>
                <w:webHidden/>
              </w:rPr>
              <w:t>31</w:t>
            </w:r>
            <w:r w:rsidR="005C12AD">
              <w:rPr>
                <w:webHidden/>
              </w:rPr>
              <w:fldChar w:fldCharType="end"/>
            </w:r>
          </w:hyperlink>
        </w:p>
        <w:p w14:paraId="7C45CD3D" w14:textId="77777777" w:rsidR="005C12AD" w:rsidRDefault="00651802">
          <w:pPr>
            <w:pStyle w:val="TDC3"/>
            <w:rPr>
              <w:rFonts w:asciiTheme="minorHAnsi" w:eastAsiaTheme="minorEastAsia" w:hAnsiTheme="minorHAnsi" w:cstheme="minorBidi"/>
              <w:sz w:val="22"/>
              <w:szCs w:val="22"/>
              <w:lang w:eastAsia="es-CO"/>
            </w:rPr>
          </w:pPr>
          <w:hyperlink w:anchor="_Toc466392624" w:history="1">
            <w:r w:rsidR="005C12AD" w:rsidRPr="00C47080">
              <w:rPr>
                <w:rStyle w:val="Hipervnculo"/>
              </w:rPr>
              <w:t>2.2.2</w:t>
            </w:r>
            <w:r w:rsidR="005C12AD">
              <w:rPr>
                <w:rFonts w:asciiTheme="minorHAnsi" w:eastAsiaTheme="minorEastAsia" w:hAnsiTheme="minorHAnsi" w:cstheme="minorBidi"/>
                <w:sz w:val="22"/>
                <w:szCs w:val="22"/>
                <w:lang w:eastAsia="es-CO"/>
              </w:rPr>
              <w:tab/>
            </w:r>
            <w:r w:rsidR="005C12AD" w:rsidRPr="00C47080">
              <w:rPr>
                <w:rStyle w:val="Hipervnculo"/>
              </w:rPr>
              <w:t>Base regulatoria de activos no eléctricos</w:t>
            </w:r>
            <w:r w:rsidR="005C12AD">
              <w:rPr>
                <w:webHidden/>
              </w:rPr>
              <w:tab/>
            </w:r>
            <w:r w:rsidR="005C12AD">
              <w:rPr>
                <w:webHidden/>
              </w:rPr>
              <w:fldChar w:fldCharType="begin"/>
            </w:r>
            <w:r w:rsidR="005C12AD">
              <w:rPr>
                <w:webHidden/>
              </w:rPr>
              <w:instrText xml:space="preserve"> PAGEREF _Toc466392624 \h </w:instrText>
            </w:r>
            <w:r w:rsidR="005C12AD">
              <w:rPr>
                <w:webHidden/>
              </w:rPr>
            </w:r>
            <w:r w:rsidR="005C12AD">
              <w:rPr>
                <w:webHidden/>
              </w:rPr>
              <w:fldChar w:fldCharType="separate"/>
            </w:r>
            <w:r w:rsidR="000F355F">
              <w:rPr>
                <w:webHidden/>
              </w:rPr>
              <w:t>40</w:t>
            </w:r>
            <w:r w:rsidR="005C12AD">
              <w:rPr>
                <w:webHidden/>
              </w:rPr>
              <w:fldChar w:fldCharType="end"/>
            </w:r>
          </w:hyperlink>
        </w:p>
        <w:p w14:paraId="1CDF9293" w14:textId="77777777" w:rsidR="005C12AD" w:rsidRDefault="00651802">
          <w:pPr>
            <w:pStyle w:val="TDC2"/>
            <w:rPr>
              <w:rFonts w:asciiTheme="minorHAnsi" w:eastAsiaTheme="minorEastAsia" w:hAnsiTheme="minorHAnsi" w:cstheme="minorBidi"/>
              <w:bCs w:val="0"/>
              <w:sz w:val="22"/>
              <w:szCs w:val="22"/>
              <w:lang w:eastAsia="es-CO"/>
            </w:rPr>
          </w:pPr>
          <w:hyperlink w:anchor="_Toc466392625" w:history="1">
            <w:r w:rsidR="005C12AD" w:rsidRPr="00C47080">
              <w:rPr>
                <w:rStyle w:val="Hipervnculo"/>
              </w:rPr>
              <w:t>2.3</w:t>
            </w:r>
            <w:r w:rsidR="005C12AD">
              <w:rPr>
                <w:rFonts w:asciiTheme="minorHAnsi" w:eastAsiaTheme="minorEastAsia" w:hAnsiTheme="minorHAnsi" w:cstheme="minorBidi"/>
                <w:bCs w:val="0"/>
                <w:sz w:val="22"/>
                <w:szCs w:val="22"/>
                <w:lang w:eastAsia="es-CO"/>
              </w:rPr>
              <w:tab/>
            </w:r>
            <w:r w:rsidR="005C12AD" w:rsidRPr="00C47080">
              <w:rPr>
                <w:rStyle w:val="Hipervnculo"/>
              </w:rPr>
              <w:t>Recuperación de capital reconocida</w:t>
            </w:r>
            <w:r w:rsidR="005C12AD">
              <w:rPr>
                <w:webHidden/>
              </w:rPr>
              <w:tab/>
            </w:r>
            <w:r w:rsidR="005C12AD">
              <w:rPr>
                <w:webHidden/>
              </w:rPr>
              <w:fldChar w:fldCharType="begin"/>
            </w:r>
            <w:r w:rsidR="005C12AD">
              <w:rPr>
                <w:webHidden/>
              </w:rPr>
              <w:instrText xml:space="preserve"> PAGEREF _Toc466392625 \h </w:instrText>
            </w:r>
            <w:r w:rsidR="005C12AD">
              <w:rPr>
                <w:webHidden/>
              </w:rPr>
            </w:r>
            <w:r w:rsidR="005C12AD">
              <w:rPr>
                <w:webHidden/>
              </w:rPr>
              <w:fldChar w:fldCharType="separate"/>
            </w:r>
            <w:r w:rsidR="000F355F">
              <w:rPr>
                <w:webHidden/>
              </w:rPr>
              <w:t>40</w:t>
            </w:r>
            <w:r w:rsidR="005C12AD">
              <w:rPr>
                <w:webHidden/>
              </w:rPr>
              <w:fldChar w:fldCharType="end"/>
            </w:r>
          </w:hyperlink>
        </w:p>
        <w:p w14:paraId="4806DD28" w14:textId="77777777" w:rsidR="005C12AD" w:rsidRDefault="00651802">
          <w:pPr>
            <w:pStyle w:val="TDC3"/>
            <w:rPr>
              <w:rFonts w:asciiTheme="minorHAnsi" w:eastAsiaTheme="minorEastAsia" w:hAnsiTheme="minorHAnsi" w:cstheme="minorBidi"/>
              <w:sz w:val="22"/>
              <w:szCs w:val="22"/>
              <w:lang w:eastAsia="es-CO"/>
            </w:rPr>
          </w:pPr>
          <w:hyperlink w:anchor="_Toc466392626" w:history="1">
            <w:r w:rsidR="005C12AD" w:rsidRPr="00C47080">
              <w:rPr>
                <w:rStyle w:val="Hipervnculo"/>
              </w:rPr>
              <w:t>2.3.1</w:t>
            </w:r>
            <w:r w:rsidR="005C12AD">
              <w:rPr>
                <w:rFonts w:asciiTheme="minorHAnsi" w:eastAsiaTheme="minorEastAsia" w:hAnsiTheme="minorHAnsi" w:cstheme="minorBidi"/>
                <w:sz w:val="22"/>
                <w:szCs w:val="22"/>
                <w:lang w:eastAsia="es-CO"/>
              </w:rPr>
              <w:tab/>
            </w:r>
            <w:r w:rsidR="005C12AD" w:rsidRPr="00C47080">
              <w:rPr>
                <w:rStyle w:val="Hipervnculo"/>
              </w:rPr>
              <w:t>Recuperación de capital de activos de la BRA inicial</w:t>
            </w:r>
            <w:r w:rsidR="005C12AD">
              <w:rPr>
                <w:webHidden/>
              </w:rPr>
              <w:tab/>
            </w:r>
            <w:r w:rsidR="005C12AD">
              <w:rPr>
                <w:webHidden/>
              </w:rPr>
              <w:fldChar w:fldCharType="begin"/>
            </w:r>
            <w:r w:rsidR="005C12AD">
              <w:rPr>
                <w:webHidden/>
              </w:rPr>
              <w:instrText xml:space="preserve"> PAGEREF _Toc466392626 \h </w:instrText>
            </w:r>
            <w:r w:rsidR="005C12AD">
              <w:rPr>
                <w:webHidden/>
              </w:rPr>
            </w:r>
            <w:r w:rsidR="005C12AD">
              <w:rPr>
                <w:webHidden/>
              </w:rPr>
              <w:fldChar w:fldCharType="separate"/>
            </w:r>
            <w:r w:rsidR="000F355F">
              <w:rPr>
                <w:webHidden/>
              </w:rPr>
              <w:t>40</w:t>
            </w:r>
            <w:r w:rsidR="005C12AD">
              <w:rPr>
                <w:webHidden/>
              </w:rPr>
              <w:fldChar w:fldCharType="end"/>
            </w:r>
          </w:hyperlink>
        </w:p>
        <w:p w14:paraId="4A5F1382" w14:textId="77777777" w:rsidR="005C12AD" w:rsidRDefault="00651802">
          <w:pPr>
            <w:pStyle w:val="TDC3"/>
            <w:rPr>
              <w:rFonts w:asciiTheme="minorHAnsi" w:eastAsiaTheme="minorEastAsia" w:hAnsiTheme="minorHAnsi" w:cstheme="minorBidi"/>
              <w:sz w:val="22"/>
              <w:szCs w:val="22"/>
              <w:lang w:eastAsia="es-CO"/>
            </w:rPr>
          </w:pPr>
          <w:hyperlink w:anchor="_Toc466392627" w:history="1">
            <w:r w:rsidR="005C12AD" w:rsidRPr="00C47080">
              <w:rPr>
                <w:rStyle w:val="Hipervnculo"/>
              </w:rPr>
              <w:t>2.3.2</w:t>
            </w:r>
            <w:r w:rsidR="005C12AD">
              <w:rPr>
                <w:rFonts w:asciiTheme="minorHAnsi" w:eastAsiaTheme="minorEastAsia" w:hAnsiTheme="minorHAnsi" w:cstheme="minorBidi"/>
                <w:sz w:val="22"/>
                <w:szCs w:val="22"/>
                <w:lang w:eastAsia="es-CO"/>
              </w:rPr>
              <w:tab/>
            </w:r>
            <w:r w:rsidR="005C12AD" w:rsidRPr="00C47080">
              <w:rPr>
                <w:rStyle w:val="Hipervnculo"/>
              </w:rPr>
              <w:t>Recuperación de capital de activos nuevos</w:t>
            </w:r>
            <w:r w:rsidR="005C12AD">
              <w:rPr>
                <w:webHidden/>
              </w:rPr>
              <w:tab/>
            </w:r>
            <w:r w:rsidR="005C12AD">
              <w:rPr>
                <w:webHidden/>
              </w:rPr>
              <w:fldChar w:fldCharType="begin"/>
            </w:r>
            <w:r w:rsidR="005C12AD">
              <w:rPr>
                <w:webHidden/>
              </w:rPr>
              <w:instrText xml:space="preserve"> PAGEREF _Toc466392627 \h </w:instrText>
            </w:r>
            <w:r w:rsidR="005C12AD">
              <w:rPr>
                <w:webHidden/>
              </w:rPr>
            </w:r>
            <w:r w:rsidR="005C12AD">
              <w:rPr>
                <w:webHidden/>
              </w:rPr>
              <w:fldChar w:fldCharType="separate"/>
            </w:r>
            <w:r w:rsidR="000F355F">
              <w:rPr>
                <w:webHidden/>
              </w:rPr>
              <w:t>41</w:t>
            </w:r>
            <w:r w:rsidR="005C12AD">
              <w:rPr>
                <w:webHidden/>
              </w:rPr>
              <w:fldChar w:fldCharType="end"/>
            </w:r>
          </w:hyperlink>
        </w:p>
        <w:p w14:paraId="3C7C431C" w14:textId="77777777" w:rsidR="005C12AD" w:rsidRDefault="00651802">
          <w:pPr>
            <w:pStyle w:val="TDC3"/>
            <w:rPr>
              <w:rFonts w:asciiTheme="minorHAnsi" w:eastAsiaTheme="minorEastAsia" w:hAnsiTheme="minorHAnsi" w:cstheme="minorBidi"/>
              <w:sz w:val="22"/>
              <w:szCs w:val="22"/>
              <w:lang w:eastAsia="es-CO"/>
            </w:rPr>
          </w:pPr>
          <w:hyperlink w:anchor="_Toc466392628" w:history="1">
            <w:r w:rsidR="005C12AD" w:rsidRPr="00C47080">
              <w:rPr>
                <w:rStyle w:val="Hipervnculo"/>
              </w:rPr>
              <w:t>2.3.3</w:t>
            </w:r>
            <w:r w:rsidR="005C12AD">
              <w:rPr>
                <w:rFonts w:asciiTheme="minorHAnsi" w:eastAsiaTheme="minorEastAsia" w:hAnsiTheme="minorHAnsi" w:cstheme="minorBidi"/>
                <w:sz w:val="22"/>
                <w:szCs w:val="22"/>
                <w:lang w:eastAsia="es-CO"/>
              </w:rPr>
              <w:tab/>
            </w:r>
            <w:r w:rsidR="005C12AD" w:rsidRPr="00C47080">
              <w:rPr>
                <w:rStyle w:val="Hipervnculo"/>
              </w:rPr>
              <w:t>Ajuste de la variable recuperación de capital al final del periodo tarifario</w:t>
            </w:r>
            <w:r w:rsidR="005C12AD">
              <w:rPr>
                <w:webHidden/>
              </w:rPr>
              <w:tab/>
            </w:r>
            <w:r w:rsidR="005C12AD">
              <w:rPr>
                <w:webHidden/>
              </w:rPr>
              <w:fldChar w:fldCharType="begin"/>
            </w:r>
            <w:r w:rsidR="005C12AD">
              <w:rPr>
                <w:webHidden/>
              </w:rPr>
              <w:instrText xml:space="preserve"> PAGEREF _Toc466392628 \h </w:instrText>
            </w:r>
            <w:r w:rsidR="005C12AD">
              <w:rPr>
                <w:webHidden/>
              </w:rPr>
            </w:r>
            <w:r w:rsidR="005C12AD">
              <w:rPr>
                <w:webHidden/>
              </w:rPr>
              <w:fldChar w:fldCharType="separate"/>
            </w:r>
            <w:r w:rsidR="000F355F">
              <w:rPr>
                <w:webHidden/>
              </w:rPr>
              <w:t>42</w:t>
            </w:r>
            <w:r w:rsidR="005C12AD">
              <w:rPr>
                <w:webHidden/>
              </w:rPr>
              <w:fldChar w:fldCharType="end"/>
            </w:r>
          </w:hyperlink>
        </w:p>
        <w:p w14:paraId="06275DB2" w14:textId="77777777" w:rsidR="005C12AD" w:rsidRDefault="00651802">
          <w:pPr>
            <w:pStyle w:val="TDC2"/>
            <w:rPr>
              <w:rFonts w:asciiTheme="minorHAnsi" w:eastAsiaTheme="minorEastAsia" w:hAnsiTheme="minorHAnsi" w:cstheme="minorBidi"/>
              <w:bCs w:val="0"/>
              <w:sz w:val="22"/>
              <w:szCs w:val="22"/>
              <w:lang w:eastAsia="es-CO"/>
            </w:rPr>
          </w:pPr>
          <w:hyperlink w:anchor="_Toc466392629" w:history="1">
            <w:r w:rsidR="005C12AD" w:rsidRPr="00C47080">
              <w:rPr>
                <w:rStyle w:val="Hipervnculo"/>
              </w:rPr>
              <w:t>2.4</w:t>
            </w:r>
            <w:r w:rsidR="005C12AD">
              <w:rPr>
                <w:rFonts w:asciiTheme="minorHAnsi" w:eastAsiaTheme="minorEastAsia" w:hAnsiTheme="minorHAnsi" w:cstheme="minorBidi"/>
                <w:bCs w:val="0"/>
                <w:sz w:val="22"/>
                <w:szCs w:val="22"/>
                <w:lang w:eastAsia="es-CO"/>
              </w:rPr>
              <w:tab/>
            </w:r>
            <w:r w:rsidR="005C12AD" w:rsidRPr="00C47080">
              <w:rPr>
                <w:rStyle w:val="Hipervnculo"/>
              </w:rPr>
              <w:t>Base regulatoria de terrenos</w:t>
            </w:r>
            <w:r w:rsidR="005C12AD">
              <w:rPr>
                <w:webHidden/>
              </w:rPr>
              <w:tab/>
            </w:r>
            <w:r w:rsidR="005C12AD">
              <w:rPr>
                <w:webHidden/>
              </w:rPr>
              <w:fldChar w:fldCharType="begin"/>
            </w:r>
            <w:r w:rsidR="005C12AD">
              <w:rPr>
                <w:webHidden/>
              </w:rPr>
              <w:instrText xml:space="preserve"> PAGEREF _Toc466392629 \h </w:instrText>
            </w:r>
            <w:r w:rsidR="005C12AD">
              <w:rPr>
                <w:webHidden/>
              </w:rPr>
            </w:r>
            <w:r w:rsidR="005C12AD">
              <w:rPr>
                <w:webHidden/>
              </w:rPr>
              <w:fldChar w:fldCharType="separate"/>
            </w:r>
            <w:r w:rsidR="000F355F">
              <w:rPr>
                <w:webHidden/>
              </w:rPr>
              <w:t>42</w:t>
            </w:r>
            <w:r w:rsidR="005C12AD">
              <w:rPr>
                <w:webHidden/>
              </w:rPr>
              <w:fldChar w:fldCharType="end"/>
            </w:r>
          </w:hyperlink>
        </w:p>
        <w:p w14:paraId="2F4224F2" w14:textId="77777777" w:rsidR="005C12AD" w:rsidRDefault="00651802">
          <w:pPr>
            <w:pStyle w:val="TDC1"/>
            <w:rPr>
              <w:rFonts w:asciiTheme="minorHAnsi" w:eastAsiaTheme="minorEastAsia" w:hAnsiTheme="minorHAnsi" w:cstheme="minorBidi"/>
              <w:b w:val="0"/>
              <w:sz w:val="22"/>
              <w:szCs w:val="22"/>
              <w:lang w:val="es-CO" w:eastAsia="es-CO"/>
            </w:rPr>
          </w:pPr>
          <w:hyperlink w:anchor="_Toc466392630" w:history="1">
            <w:r w:rsidR="005C12AD" w:rsidRPr="00C47080">
              <w:rPr>
                <w:rStyle w:val="Hipervnculo"/>
              </w:rPr>
              <w:t>CAPÍTULO 3.</w:t>
            </w:r>
            <w:r w:rsidR="005C12AD">
              <w:rPr>
                <w:rFonts w:asciiTheme="minorHAnsi" w:eastAsiaTheme="minorEastAsia" w:hAnsiTheme="minorHAnsi" w:cstheme="minorBidi"/>
                <w:b w:val="0"/>
                <w:sz w:val="22"/>
                <w:szCs w:val="22"/>
                <w:lang w:val="es-CO" w:eastAsia="es-CO"/>
              </w:rPr>
              <w:tab/>
            </w:r>
            <w:r w:rsidR="005C12AD" w:rsidRPr="00C47080">
              <w:rPr>
                <w:rStyle w:val="Hipervnculo"/>
              </w:rPr>
              <w:t>GASTOS DE ADMINISTRACIÓN, OPERACIÓN Y MANTENIMIENTO</w:t>
            </w:r>
            <w:r w:rsidR="005C12AD">
              <w:rPr>
                <w:webHidden/>
              </w:rPr>
              <w:tab/>
            </w:r>
            <w:r w:rsidR="005C12AD">
              <w:rPr>
                <w:webHidden/>
              </w:rPr>
              <w:fldChar w:fldCharType="begin"/>
            </w:r>
            <w:r w:rsidR="005C12AD">
              <w:rPr>
                <w:webHidden/>
              </w:rPr>
              <w:instrText xml:space="preserve"> PAGEREF _Toc466392630 \h </w:instrText>
            </w:r>
            <w:r w:rsidR="005C12AD">
              <w:rPr>
                <w:webHidden/>
              </w:rPr>
            </w:r>
            <w:r w:rsidR="005C12AD">
              <w:rPr>
                <w:webHidden/>
              </w:rPr>
              <w:fldChar w:fldCharType="separate"/>
            </w:r>
            <w:r w:rsidR="000F355F">
              <w:rPr>
                <w:webHidden/>
              </w:rPr>
              <w:t>44</w:t>
            </w:r>
            <w:r w:rsidR="005C12AD">
              <w:rPr>
                <w:webHidden/>
              </w:rPr>
              <w:fldChar w:fldCharType="end"/>
            </w:r>
          </w:hyperlink>
        </w:p>
        <w:p w14:paraId="179022FF" w14:textId="77777777" w:rsidR="005C12AD" w:rsidRDefault="00651802">
          <w:pPr>
            <w:pStyle w:val="TDC2"/>
            <w:rPr>
              <w:rFonts w:asciiTheme="minorHAnsi" w:eastAsiaTheme="minorEastAsia" w:hAnsiTheme="minorHAnsi" w:cstheme="minorBidi"/>
              <w:bCs w:val="0"/>
              <w:sz w:val="22"/>
              <w:szCs w:val="22"/>
              <w:lang w:eastAsia="es-CO"/>
            </w:rPr>
          </w:pPr>
          <w:hyperlink w:anchor="_Toc466392631" w:history="1">
            <w:r w:rsidR="005C12AD" w:rsidRPr="00C47080">
              <w:rPr>
                <w:rStyle w:val="Hipervnculo"/>
              </w:rPr>
              <w:t>3.1</w:t>
            </w:r>
            <w:r w:rsidR="005C12AD">
              <w:rPr>
                <w:rFonts w:asciiTheme="minorHAnsi" w:eastAsiaTheme="minorEastAsia" w:hAnsiTheme="minorHAnsi" w:cstheme="minorBidi"/>
                <w:bCs w:val="0"/>
                <w:sz w:val="22"/>
                <w:szCs w:val="22"/>
                <w:lang w:eastAsia="es-CO"/>
              </w:rPr>
              <w:tab/>
            </w:r>
            <w:r w:rsidR="005C12AD" w:rsidRPr="00C47080">
              <w:rPr>
                <w:rStyle w:val="Hipervnculo"/>
              </w:rPr>
              <w:t>Ingreso anual por AOM</w:t>
            </w:r>
            <w:r w:rsidR="005C12AD">
              <w:rPr>
                <w:webHidden/>
              </w:rPr>
              <w:tab/>
            </w:r>
            <w:r w:rsidR="005C12AD">
              <w:rPr>
                <w:webHidden/>
              </w:rPr>
              <w:fldChar w:fldCharType="begin"/>
            </w:r>
            <w:r w:rsidR="005C12AD">
              <w:rPr>
                <w:webHidden/>
              </w:rPr>
              <w:instrText xml:space="preserve"> PAGEREF _Toc466392631 \h </w:instrText>
            </w:r>
            <w:r w:rsidR="005C12AD">
              <w:rPr>
                <w:webHidden/>
              </w:rPr>
            </w:r>
            <w:r w:rsidR="005C12AD">
              <w:rPr>
                <w:webHidden/>
              </w:rPr>
              <w:fldChar w:fldCharType="separate"/>
            </w:r>
            <w:r w:rsidR="000F355F">
              <w:rPr>
                <w:webHidden/>
              </w:rPr>
              <w:t>44</w:t>
            </w:r>
            <w:r w:rsidR="005C12AD">
              <w:rPr>
                <w:webHidden/>
              </w:rPr>
              <w:fldChar w:fldCharType="end"/>
            </w:r>
          </w:hyperlink>
        </w:p>
        <w:p w14:paraId="0F9B4444" w14:textId="77777777" w:rsidR="005C12AD" w:rsidRDefault="00651802">
          <w:pPr>
            <w:pStyle w:val="TDC2"/>
            <w:rPr>
              <w:rFonts w:asciiTheme="minorHAnsi" w:eastAsiaTheme="minorEastAsia" w:hAnsiTheme="minorHAnsi" w:cstheme="minorBidi"/>
              <w:bCs w:val="0"/>
              <w:sz w:val="22"/>
              <w:szCs w:val="22"/>
              <w:lang w:eastAsia="es-CO"/>
            </w:rPr>
          </w:pPr>
          <w:hyperlink w:anchor="_Toc466392632" w:history="1">
            <w:r w:rsidR="005C12AD" w:rsidRPr="00C47080">
              <w:rPr>
                <w:rStyle w:val="Hipervnculo"/>
              </w:rPr>
              <w:t>3.2</w:t>
            </w:r>
            <w:r w:rsidR="005C12AD">
              <w:rPr>
                <w:rFonts w:asciiTheme="minorHAnsi" w:eastAsiaTheme="minorEastAsia" w:hAnsiTheme="minorHAnsi" w:cstheme="minorBidi"/>
                <w:bCs w:val="0"/>
                <w:sz w:val="22"/>
                <w:szCs w:val="22"/>
                <w:lang w:eastAsia="es-CO"/>
              </w:rPr>
              <w:tab/>
            </w:r>
            <w:r w:rsidR="005C12AD" w:rsidRPr="00C47080">
              <w:rPr>
                <w:rStyle w:val="Hipervnculo"/>
              </w:rPr>
              <w:t>AOM base a reconocer</w:t>
            </w:r>
            <w:r w:rsidR="005C12AD">
              <w:rPr>
                <w:webHidden/>
              </w:rPr>
              <w:tab/>
            </w:r>
            <w:r w:rsidR="005C12AD">
              <w:rPr>
                <w:webHidden/>
              </w:rPr>
              <w:fldChar w:fldCharType="begin"/>
            </w:r>
            <w:r w:rsidR="005C12AD">
              <w:rPr>
                <w:webHidden/>
              </w:rPr>
              <w:instrText xml:space="preserve"> PAGEREF _Toc466392632 \h </w:instrText>
            </w:r>
            <w:r w:rsidR="005C12AD">
              <w:rPr>
                <w:webHidden/>
              </w:rPr>
            </w:r>
            <w:r w:rsidR="005C12AD">
              <w:rPr>
                <w:webHidden/>
              </w:rPr>
              <w:fldChar w:fldCharType="separate"/>
            </w:r>
            <w:r w:rsidR="000F355F">
              <w:rPr>
                <w:webHidden/>
              </w:rPr>
              <w:t>44</w:t>
            </w:r>
            <w:r w:rsidR="005C12AD">
              <w:rPr>
                <w:webHidden/>
              </w:rPr>
              <w:fldChar w:fldCharType="end"/>
            </w:r>
          </w:hyperlink>
        </w:p>
        <w:p w14:paraId="52969DF3" w14:textId="77777777" w:rsidR="005C12AD" w:rsidRDefault="00651802">
          <w:pPr>
            <w:pStyle w:val="TDC3"/>
            <w:rPr>
              <w:rFonts w:asciiTheme="minorHAnsi" w:eastAsiaTheme="minorEastAsia" w:hAnsiTheme="minorHAnsi" w:cstheme="minorBidi"/>
              <w:sz w:val="22"/>
              <w:szCs w:val="22"/>
              <w:lang w:eastAsia="es-CO"/>
            </w:rPr>
          </w:pPr>
          <w:hyperlink w:anchor="_Toc466392633" w:history="1">
            <w:r w:rsidR="005C12AD" w:rsidRPr="00C47080">
              <w:rPr>
                <w:rStyle w:val="Hipervnculo"/>
              </w:rPr>
              <w:t>3.2.1</w:t>
            </w:r>
            <w:r w:rsidR="005C12AD">
              <w:rPr>
                <w:rFonts w:asciiTheme="minorHAnsi" w:eastAsiaTheme="minorEastAsia" w:hAnsiTheme="minorHAnsi" w:cstheme="minorBidi"/>
                <w:sz w:val="22"/>
                <w:szCs w:val="22"/>
                <w:lang w:eastAsia="es-CO"/>
              </w:rPr>
              <w:tab/>
            </w:r>
            <w:r w:rsidR="005C12AD" w:rsidRPr="00C47080">
              <w:rPr>
                <w:rStyle w:val="Hipervnculo"/>
              </w:rPr>
              <w:t>AOM demostrado</w:t>
            </w:r>
            <w:r w:rsidR="005C12AD">
              <w:rPr>
                <w:webHidden/>
              </w:rPr>
              <w:tab/>
            </w:r>
            <w:r w:rsidR="005C12AD">
              <w:rPr>
                <w:webHidden/>
              </w:rPr>
              <w:fldChar w:fldCharType="begin"/>
            </w:r>
            <w:r w:rsidR="005C12AD">
              <w:rPr>
                <w:webHidden/>
              </w:rPr>
              <w:instrText xml:space="preserve"> PAGEREF _Toc466392633 \h </w:instrText>
            </w:r>
            <w:r w:rsidR="005C12AD">
              <w:rPr>
                <w:webHidden/>
              </w:rPr>
            </w:r>
            <w:r w:rsidR="005C12AD">
              <w:rPr>
                <w:webHidden/>
              </w:rPr>
              <w:fldChar w:fldCharType="separate"/>
            </w:r>
            <w:r w:rsidR="000F355F">
              <w:rPr>
                <w:webHidden/>
              </w:rPr>
              <w:t>45</w:t>
            </w:r>
            <w:r w:rsidR="005C12AD">
              <w:rPr>
                <w:webHidden/>
              </w:rPr>
              <w:fldChar w:fldCharType="end"/>
            </w:r>
          </w:hyperlink>
        </w:p>
        <w:p w14:paraId="7736446C" w14:textId="77777777" w:rsidR="005C12AD" w:rsidRDefault="00651802">
          <w:pPr>
            <w:pStyle w:val="TDC3"/>
            <w:rPr>
              <w:rFonts w:asciiTheme="minorHAnsi" w:eastAsiaTheme="minorEastAsia" w:hAnsiTheme="minorHAnsi" w:cstheme="minorBidi"/>
              <w:sz w:val="22"/>
              <w:szCs w:val="22"/>
              <w:lang w:eastAsia="es-CO"/>
            </w:rPr>
          </w:pPr>
          <w:hyperlink w:anchor="_Toc466392634" w:history="1">
            <w:r w:rsidR="005C12AD" w:rsidRPr="00C47080">
              <w:rPr>
                <w:rStyle w:val="Hipervnculo"/>
              </w:rPr>
              <w:t>3.2.2</w:t>
            </w:r>
            <w:r w:rsidR="005C12AD">
              <w:rPr>
                <w:rFonts w:asciiTheme="minorHAnsi" w:eastAsiaTheme="minorEastAsia" w:hAnsiTheme="minorHAnsi" w:cstheme="minorBidi"/>
                <w:sz w:val="22"/>
                <w:szCs w:val="22"/>
                <w:lang w:eastAsia="es-CO"/>
              </w:rPr>
              <w:tab/>
            </w:r>
            <w:r w:rsidR="005C12AD" w:rsidRPr="00C47080">
              <w:rPr>
                <w:rStyle w:val="Hipervnculo"/>
              </w:rPr>
              <w:t>AOM remunerado</w:t>
            </w:r>
            <w:r w:rsidR="005C12AD">
              <w:rPr>
                <w:webHidden/>
              </w:rPr>
              <w:tab/>
            </w:r>
            <w:r w:rsidR="005C12AD">
              <w:rPr>
                <w:webHidden/>
              </w:rPr>
              <w:fldChar w:fldCharType="begin"/>
            </w:r>
            <w:r w:rsidR="005C12AD">
              <w:rPr>
                <w:webHidden/>
              </w:rPr>
              <w:instrText xml:space="preserve"> PAGEREF _Toc466392634 \h </w:instrText>
            </w:r>
            <w:r w:rsidR="005C12AD">
              <w:rPr>
                <w:webHidden/>
              </w:rPr>
            </w:r>
            <w:r w:rsidR="005C12AD">
              <w:rPr>
                <w:webHidden/>
              </w:rPr>
              <w:fldChar w:fldCharType="separate"/>
            </w:r>
            <w:r w:rsidR="000F355F">
              <w:rPr>
                <w:webHidden/>
              </w:rPr>
              <w:t>45</w:t>
            </w:r>
            <w:r w:rsidR="005C12AD">
              <w:rPr>
                <w:webHidden/>
              </w:rPr>
              <w:fldChar w:fldCharType="end"/>
            </w:r>
          </w:hyperlink>
        </w:p>
        <w:p w14:paraId="77EBD892" w14:textId="77777777" w:rsidR="005C12AD" w:rsidRDefault="00651802">
          <w:pPr>
            <w:pStyle w:val="TDC3"/>
            <w:rPr>
              <w:rFonts w:asciiTheme="minorHAnsi" w:eastAsiaTheme="minorEastAsia" w:hAnsiTheme="minorHAnsi" w:cstheme="minorBidi"/>
              <w:sz w:val="22"/>
              <w:szCs w:val="22"/>
              <w:lang w:eastAsia="es-CO"/>
            </w:rPr>
          </w:pPr>
          <w:hyperlink w:anchor="_Toc466392635" w:history="1">
            <w:r w:rsidR="005C12AD" w:rsidRPr="00C47080">
              <w:rPr>
                <w:rStyle w:val="Hipervnculo"/>
              </w:rPr>
              <w:t>3.2.3</w:t>
            </w:r>
            <w:r w:rsidR="005C12AD">
              <w:rPr>
                <w:rFonts w:asciiTheme="minorHAnsi" w:eastAsiaTheme="minorEastAsia" w:hAnsiTheme="minorHAnsi" w:cstheme="minorBidi"/>
                <w:sz w:val="22"/>
                <w:szCs w:val="22"/>
                <w:lang w:eastAsia="es-CO"/>
              </w:rPr>
              <w:tab/>
            </w:r>
            <w:r w:rsidR="005C12AD" w:rsidRPr="00C47080">
              <w:rPr>
                <w:rStyle w:val="Hipervnculo"/>
              </w:rPr>
              <w:t>Porcentaje adicional de AOM</w:t>
            </w:r>
            <w:r w:rsidR="005C12AD">
              <w:rPr>
                <w:webHidden/>
              </w:rPr>
              <w:tab/>
            </w:r>
            <w:r w:rsidR="005C12AD">
              <w:rPr>
                <w:webHidden/>
              </w:rPr>
              <w:fldChar w:fldCharType="begin"/>
            </w:r>
            <w:r w:rsidR="005C12AD">
              <w:rPr>
                <w:webHidden/>
              </w:rPr>
              <w:instrText xml:space="preserve"> PAGEREF _Toc466392635 \h </w:instrText>
            </w:r>
            <w:r w:rsidR="005C12AD">
              <w:rPr>
                <w:webHidden/>
              </w:rPr>
            </w:r>
            <w:r w:rsidR="005C12AD">
              <w:rPr>
                <w:webHidden/>
              </w:rPr>
              <w:fldChar w:fldCharType="separate"/>
            </w:r>
            <w:r w:rsidR="000F355F">
              <w:rPr>
                <w:webHidden/>
              </w:rPr>
              <w:t>46</w:t>
            </w:r>
            <w:r w:rsidR="005C12AD">
              <w:rPr>
                <w:webHidden/>
              </w:rPr>
              <w:fldChar w:fldCharType="end"/>
            </w:r>
          </w:hyperlink>
        </w:p>
        <w:p w14:paraId="2DE04443" w14:textId="77777777" w:rsidR="005C12AD" w:rsidRDefault="00651802">
          <w:pPr>
            <w:pStyle w:val="TDC3"/>
            <w:rPr>
              <w:rFonts w:asciiTheme="minorHAnsi" w:eastAsiaTheme="minorEastAsia" w:hAnsiTheme="minorHAnsi" w:cstheme="minorBidi"/>
              <w:sz w:val="22"/>
              <w:szCs w:val="22"/>
              <w:lang w:eastAsia="es-CO"/>
            </w:rPr>
          </w:pPr>
          <w:hyperlink w:anchor="_Toc466392636" w:history="1">
            <w:r w:rsidR="005C12AD" w:rsidRPr="00C47080">
              <w:rPr>
                <w:rStyle w:val="Hipervnculo"/>
              </w:rPr>
              <w:t>3.2.4</w:t>
            </w:r>
            <w:r w:rsidR="005C12AD">
              <w:rPr>
                <w:rFonts w:asciiTheme="minorHAnsi" w:eastAsiaTheme="minorEastAsia" w:hAnsiTheme="minorHAnsi" w:cstheme="minorBidi"/>
                <w:sz w:val="22"/>
                <w:szCs w:val="22"/>
                <w:lang w:eastAsia="es-CO"/>
              </w:rPr>
              <w:tab/>
            </w:r>
            <w:r w:rsidR="005C12AD" w:rsidRPr="00C47080">
              <w:rPr>
                <w:rStyle w:val="Hipervnculo"/>
              </w:rPr>
              <w:t>Valor de AOM para nuevas inversiones</w:t>
            </w:r>
            <w:r w:rsidR="005C12AD">
              <w:rPr>
                <w:webHidden/>
              </w:rPr>
              <w:tab/>
            </w:r>
            <w:r w:rsidR="005C12AD">
              <w:rPr>
                <w:webHidden/>
              </w:rPr>
              <w:fldChar w:fldCharType="begin"/>
            </w:r>
            <w:r w:rsidR="005C12AD">
              <w:rPr>
                <w:webHidden/>
              </w:rPr>
              <w:instrText xml:space="preserve"> PAGEREF _Toc466392636 \h </w:instrText>
            </w:r>
            <w:r w:rsidR="005C12AD">
              <w:rPr>
                <w:webHidden/>
              </w:rPr>
            </w:r>
            <w:r w:rsidR="005C12AD">
              <w:rPr>
                <w:webHidden/>
              </w:rPr>
              <w:fldChar w:fldCharType="separate"/>
            </w:r>
            <w:r w:rsidR="000F355F">
              <w:rPr>
                <w:webHidden/>
              </w:rPr>
              <w:t>47</w:t>
            </w:r>
            <w:r w:rsidR="005C12AD">
              <w:rPr>
                <w:webHidden/>
              </w:rPr>
              <w:fldChar w:fldCharType="end"/>
            </w:r>
          </w:hyperlink>
        </w:p>
        <w:p w14:paraId="0FA7957C" w14:textId="77777777" w:rsidR="005C12AD" w:rsidRDefault="00651802">
          <w:pPr>
            <w:pStyle w:val="TDC2"/>
            <w:rPr>
              <w:rFonts w:asciiTheme="minorHAnsi" w:eastAsiaTheme="minorEastAsia" w:hAnsiTheme="minorHAnsi" w:cstheme="minorBidi"/>
              <w:bCs w:val="0"/>
              <w:sz w:val="22"/>
              <w:szCs w:val="22"/>
              <w:lang w:eastAsia="es-CO"/>
            </w:rPr>
          </w:pPr>
          <w:hyperlink w:anchor="_Toc466392637" w:history="1">
            <w:r w:rsidR="005C12AD" w:rsidRPr="00C47080">
              <w:rPr>
                <w:rStyle w:val="Hipervnculo"/>
              </w:rPr>
              <w:t>3.3</w:t>
            </w:r>
            <w:r w:rsidR="005C12AD">
              <w:rPr>
                <w:rFonts w:asciiTheme="minorHAnsi" w:eastAsiaTheme="minorEastAsia" w:hAnsiTheme="minorHAnsi" w:cstheme="minorBidi"/>
                <w:bCs w:val="0"/>
                <w:sz w:val="22"/>
                <w:szCs w:val="22"/>
                <w:lang w:eastAsia="es-CO"/>
              </w:rPr>
              <w:tab/>
            </w:r>
            <w:r w:rsidR="005C12AD" w:rsidRPr="00C47080">
              <w:rPr>
                <w:rStyle w:val="Hipervnculo"/>
              </w:rPr>
              <w:t>Verificación del valor anual de AOM</w:t>
            </w:r>
            <w:r w:rsidR="005C12AD">
              <w:rPr>
                <w:webHidden/>
              </w:rPr>
              <w:tab/>
            </w:r>
            <w:r w:rsidR="005C12AD">
              <w:rPr>
                <w:webHidden/>
              </w:rPr>
              <w:fldChar w:fldCharType="begin"/>
            </w:r>
            <w:r w:rsidR="005C12AD">
              <w:rPr>
                <w:webHidden/>
              </w:rPr>
              <w:instrText xml:space="preserve"> PAGEREF _Toc466392637 \h </w:instrText>
            </w:r>
            <w:r w:rsidR="005C12AD">
              <w:rPr>
                <w:webHidden/>
              </w:rPr>
            </w:r>
            <w:r w:rsidR="005C12AD">
              <w:rPr>
                <w:webHidden/>
              </w:rPr>
              <w:fldChar w:fldCharType="separate"/>
            </w:r>
            <w:r w:rsidR="000F355F">
              <w:rPr>
                <w:webHidden/>
              </w:rPr>
              <w:t>47</w:t>
            </w:r>
            <w:r w:rsidR="005C12AD">
              <w:rPr>
                <w:webHidden/>
              </w:rPr>
              <w:fldChar w:fldCharType="end"/>
            </w:r>
          </w:hyperlink>
        </w:p>
        <w:p w14:paraId="2B1E730A" w14:textId="77777777" w:rsidR="005C12AD" w:rsidRDefault="00651802">
          <w:pPr>
            <w:pStyle w:val="TDC1"/>
            <w:rPr>
              <w:rFonts w:asciiTheme="minorHAnsi" w:eastAsiaTheme="minorEastAsia" w:hAnsiTheme="minorHAnsi" w:cstheme="minorBidi"/>
              <w:b w:val="0"/>
              <w:sz w:val="22"/>
              <w:szCs w:val="22"/>
              <w:lang w:val="es-CO" w:eastAsia="es-CO"/>
            </w:rPr>
          </w:pPr>
          <w:hyperlink w:anchor="_Toc466392638" w:history="1">
            <w:r w:rsidR="005C12AD" w:rsidRPr="00C47080">
              <w:rPr>
                <w:rStyle w:val="Hipervnculo"/>
              </w:rPr>
              <w:t>CAPÍTULO 4.</w:t>
            </w:r>
            <w:r w:rsidR="005C12AD">
              <w:rPr>
                <w:rFonts w:asciiTheme="minorHAnsi" w:eastAsiaTheme="minorEastAsia" w:hAnsiTheme="minorHAnsi" w:cstheme="minorBidi"/>
                <w:b w:val="0"/>
                <w:sz w:val="22"/>
                <w:szCs w:val="22"/>
                <w:lang w:val="es-CO" w:eastAsia="es-CO"/>
              </w:rPr>
              <w:tab/>
            </w:r>
            <w:r w:rsidR="005C12AD" w:rsidRPr="00C47080">
              <w:rPr>
                <w:rStyle w:val="Hipervnculo"/>
              </w:rPr>
              <w:t>INGRESO ANUAL POR INCENTIVOS</w:t>
            </w:r>
            <w:r w:rsidR="005C12AD">
              <w:rPr>
                <w:webHidden/>
              </w:rPr>
              <w:tab/>
            </w:r>
            <w:r w:rsidR="005C12AD">
              <w:rPr>
                <w:webHidden/>
              </w:rPr>
              <w:fldChar w:fldCharType="begin"/>
            </w:r>
            <w:r w:rsidR="005C12AD">
              <w:rPr>
                <w:webHidden/>
              </w:rPr>
              <w:instrText xml:space="preserve"> PAGEREF _Toc466392638 \h </w:instrText>
            </w:r>
            <w:r w:rsidR="005C12AD">
              <w:rPr>
                <w:webHidden/>
              </w:rPr>
            </w:r>
            <w:r w:rsidR="005C12AD">
              <w:rPr>
                <w:webHidden/>
              </w:rPr>
              <w:fldChar w:fldCharType="separate"/>
            </w:r>
            <w:r w:rsidR="000F355F">
              <w:rPr>
                <w:webHidden/>
              </w:rPr>
              <w:t>48</w:t>
            </w:r>
            <w:r w:rsidR="005C12AD">
              <w:rPr>
                <w:webHidden/>
              </w:rPr>
              <w:fldChar w:fldCharType="end"/>
            </w:r>
          </w:hyperlink>
        </w:p>
        <w:p w14:paraId="4A301AED" w14:textId="77777777" w:rsidR="005C12AD" w:rsidRDefault="00651802">
          <w:pPr>
            <w:pStyle w:val="TDC2"/>
            <w:rPr>
              <w:rFonts w:asciiTheme="minorHAnsi" w:eastAsiaTheme="minorEastAsia" w:hAnsiTheme="minorHAnsi" w:cstheme="minorBidi"/>
              <w:bCs w:val="0"/>
              <w:sz w:val="22"/>
              <w:szCs w:val="22"/>
              <w:lang w:eastAsia="es-CO"/>
            </w:rPr>
          </w:pPr>
          <w:hyperlink w:anchor="_Toc466392639" w:history="1">
            <w:r w:rsidR="005C12AD" w:rsidRPr="00C47080">
              <w:rPr>
                <w:rStyle w:val="Hipervnculo"/>
              </w:rPr>
              <w:t>4.1</w:t>
            </w:r>
            <w:r w:rsidR="005C12AD">
              <w:rPr>
                <w:rFonts w:asciiTheme="minorHAnsi" w:eastAsiaTheme="minorEastAsia" w:hAnsiTheme="minorHAnsi" w:cstheme="minorBidi"/>
                <w:bCs w:val="0"/>
                <w:sz w:val="22"/>
                <w:szCs w:val="22"/>
                <w:lang w:eastAsia="es-CO"/>
              </w:rPr>
              <w:tab/>
            </w:r>
            <w:r w:rsidR="005C12AD" w:rsidRPr="00C47080">
              <w:rPr>
                <w:rStyle w:val="Hipervnculo"/>
              </w:rPr>
              <w:t>Incentivos por eficiencia en inversiones</w:t>
            </w:r>
            <w:r w:rsidR="005C12AD">
              <w:rPr>
                <w:webHidden/>
              </w:rPr>
              <w:tab/>
            </w:r>
            <w:r w:rsidR="005C12AD">
              <w:rPr>
                <w:webHidden/>
              </w:rPr>
              <w:fldChar w:fldCharType="begin"/>
            </w:r>
            <w:r w:rsidR="005C12AD">
              <w:rPr>
                <w:webHidden/>
              </w:rPr>
              <w:instrText xml:space="preserve"> PAGEREF _Toc466392639 \h </w:instrText>
            </w:r>
            <w:r w:rsidR="005C12AD">
              <w:rPr>
                <w:webHidden/>
              </w:rPr>
            </w:r>
            <w:r w:rsidR="005C12AD">
              <w:rPr>
                <w:webHidden/>
              </w:rPr>
              <w:fldChar w:fldCharType="separate"/>
            </w:r>
            <w:r w:rsidR="000F355F">
              <w:rPr>
                <w:webHidden/>
              </w:rPr>
              <w:t>49</w:t>
            </w:r>
            <w:r w:rsidR="005C12AD">
              <w:rPr>
                <w:webHidden/>
              </w:rPr>
              <w:fldChar w:fldCharType="end"/>
            </w:r>
          </w:hyperlink>
        </w:p>
        <w:p w14:paraId="3285DD33" w14:textId="77777777" w:rsidR="005C12AD" w:rsidRDefault="00651802">
          <w:pPr>
            <w:pStyle w:val="TDC2"/>
            <w:rPr>
              <w:rFonts w:asciiTheme="minorHAnsi" w:eastAsiaTheme="minorEastAsia" w:hAnsiTheme="minorHAnsi" w:cstheme="minorBidi"/>
              <w:bCs w:val="0"/>
              <w:sz w:val="22"/>
              <w:szCs w:val="22"/>
              <w:lang w:eastAsia="es-CO"/>
            </w:rPr>
          </w:pPr>
          <w:hyperlink w:anchor="_Toc466392640" w:history="1">
            <w:r w:rsidR="005C12AD" w:rsidRPr="00C47080">
              <w:rPr>
                <w:rStyle w:val="Hipervnculo"/>
              </w:rPr>
              <w:t>4.2</w:t>
            </w:r>
            <w:r w:rsidR="005C12AD">
              <w:rPr>
                <w:rFonts w:asciiTheme="minorHAnsi" w:eastAsiaTheme="minorEastAsia" w:hAnsiTheme="minorHAnsi" w:cstheme="minorBidi"/>
                <w:bCs w:val="0"/>
                <w:sz w:val="22"/>
                <w:szCs w:val="22"/>
                <w:lang w:eastAsia="es-CO"/>
              </w:rPr>
              <w:tab/>
            </w:r>
            <w:r w:rsidR="005C12AD" w:rsidRPr="00C47080">
              <w:rPr>
                <w:rStyle w:val="Hipervnculo"/>
              </w:rPr>
              <w:t>Incentivos por eficiencia en AOM</w:t>
            </w:r>
            <w:r w:rsidR="005C12AD">
              <w:rPr>
                <w:webHidden/>
              </w:rPr>
              <w:tab/>
            </w:r>
            <w:r w:rsidR="005C12AD">
              <w:rPr>
                <w:webHidden/>
              </w:rPr>
              <w:fldChar w:fldCharType="begin"/>
            </w:r>
            <w:r w:rsidR="005C12AD">
              <w:rPr>
                <w:webHidden/>
              </w:rPr>
              <w:instrText xml:space="preserve"> PAGEREF _Toc466392640 \h </w:instrText>
            </w:r>
            <w:r w:rsidR="005C12AD">
              <w:rPr>
                <w:webHidden/>
              </w:rPr>
            </w:r>
            <w:r w:rsidR="005C12AD">
              <w:rPr>
                <w:webHidden/>
              </w:rPr>
              <w:fldChar w:fldCharType="separate"/>
            </w:r>
            <w:r w:rsidR="000F355F">
              <w:rPr>
                <w:webHidden/>
              </w:rPr>
              <w:t>49</w:t>
            </w:r>
            <w:r w:rsidR="005C12AD">
              <w:rPr>
                <w:webHidden/>
              </w:rPr>
              <w:fldChar w:fldCharType="end"/>
            </w:r>
          </w:hyperlink>
        </w:p>
        <w:p w14:paraId="5483C4F8" w14:textId="77777777" w:rsidR="005C12AD" w:rsidRDefault="00651802">
          <w:pPr>
            <w:pStyle w:val="TDC2"/>
            <w:rPr>
              <w:rFonts w:asciiTheme="minorHAnsi" w:eastAsiaTheme="minorEastAsia" w:hAnsiTheme="minorHAnsi" w:cstheme="minorBidi"/>
              <w:bCs w:val="0"/>
              <w:sz w:val="22"/>
              <w:szCs w:val="22"/>
              <w:lang w:eastAsia="es-CO"/>
            </w:rPr>
          </w:pPr>
          <w:hyperlink w:anchor="_Toc466392641" w:history="1">
            <w:r w:rsidR="005C12AD" w:rsidRPr="00C47080">
              <w:rPr>
                <w:rStyle w:val="Hipervnculo"/>
              </w:rPr>
              <w:t>4.3</w:t>
            </w:r>
            <w:r w:rsidR="005C12AD">
              <w:rPr>
                <w:rFonts w:asciiTheme="minorHAnsi" w:eastAsiaTheme="minorEastAsia" w:hAnsiTheme="minorHAnsi" w:cstheme="minorBidi"/>
                <w:bCs w:val="0"/>
                <w:sz w:val="22"/>
                <w:szCs w:val="22"/>
                <w:lang w:eastAsia="es-CO"/>
              </w:rPr>
              <w:tab/>
            </w:r>
            <w:r w:rsidR="005C12AD" w:rsidRPr="00C47080">
              <w:rPr>
                <w:rStyle w:val="Hipervnculo"/>
              </w:rPr>
              <w:t>Ajuste por incentivo alcanzado</w:t>
            </w:r>
            <w:r w:rsidR="005C12AD">
              <w:rPr>
                <w:webHidden/>
              </w:rPr>
              <w:tab/>
            </w:r>
            <w:r w:rsidR="005C12AD">
              <w:rPr>
                <w:webHidden/>
              </w:rPr>
              <w:fldChar w:fldCharType="begin"/>
            </w:r>
            <w:r w:rsidR="005C12AD">
              <w:rPr>
                <w:webHidden/>
              </w:rPr>
              <w:instrText xml:space="preserve"> PAGEREF _Toc466392641 \h </w:instrText>
            </w:r>
            <w:r w:rsidR="005C12AD">
              <w:rPr>
                <w:webHidden/>
              </w:rPr>
            </w:r>
            <w:r w:rsidR="005C12AD">
              <w:rPr>
                <w:webHidden/>
              </w:rPr>
              <w:fldChar w:fldCharType="separate"/>
            </w:r>
            <w:r w:rsidR="000F355F">
              <w:rPr>
                <w:webHidden/>
              </w:rPr>
              <w:t>49</w:t>
            </w:r>
            <w:r w:rsidR="005C12AD">
              <w:rPr>
                <w:webHidden/>
              </w:rPr>
              <w:fldChar w:fldCharType="end"/>
            </w:r>
          </w:hyperlink>
        </w:p>
        <w:p w14:paraId="5E2836F5" w14:textId="77777777" w:rsidR="005C12AD" w:rsidRDefault="00651802">
          <w:pPr>
            <w:pStyle w:val="TDC3"/>
            <w:rPr>
              <w:rFonts w:asciiTheme="minorHAnsi" w:eastAsiaTheme="minorEastAsia" w:hAnsiTheme="minorHAnsi" w:cstheme="minorBidi"/>
              <w:sz w:val="22"/>
              <w:szCs w:val="22"/>
              <w:lang w:eastAsia="es-CO"/>
            </w:rPr>
          </w:pPr>
          <w:hyperlink w:anchor="_Toc466392642" w:history="1">
            <w:r w:rsidR="005C12AD" w:rsidRPr="00C47080">
              <w:rPr>
                <w:rStyle w:val="Hipervnculo"/>
              </w:rPr>
              <w:t>4.3.1</w:t>
            </w:r>
            <w:r w:rsidR="005C12AD">
              <w:rPr>
                <w:rFonts w:asciiTheme="minorHAnsi" w:eastAsiaTheme="minorEastAsia" w:hAnsiTheme="minorHAnsi" w:cstheme="minorBidi"/>
                <w:sz w:val="22"/>
                <w:szCs w:val="22"/>
                <w:lang w:eastAsia="es-CO"/>
              </w:rPr>
              <w:tab/>
            </w:r>
            <w:r w:rsidR="005C12AD" w:rsidRPr="00C47080">
              <w:rPr>
                <w:rStyle w:val="Hipervnculo"/>
              </w:rPr>
              <w:t>Ajuste por ingresos de inversiones</w:t>
            </w:r>
            <w:r w:rsidR="005C12AD">
              <w:rPr>
                <w:webHidden/>
              </w:rPr>
              <w:tab/>
            </w:r>
            <w:r w:rsidR="005C12AD">
              <w:rPr>
                <w:webHidden/>
              </w:rPr>
              <w:fldChar w:fldCharType="begin"/>
            </w:r>
            <w:r w:rsidR="005C12AD">
              <w:rPr>
                <w:webHidden/>
              </w:rPr>
              <w:instrText xml:space="preserve"> PAGEREF _Toc466392642 \h </w:instrText>
            </w:r>
            <w:r w:rsidR="005C12AD">
              <w:rPr>
                <w:webHidden/>
              </w:rPr>
            </w:r>
            <w:r w:rsidR="005C12AD">
              <w:rPr>
                <w:webHidden/>
              </w:rPr>
              <w:fldChar w:fldCharType="separate"/>
            </w:r>
            <w:r w:rsidR="000F355F">
              <w:rPr>
                <w:webHidden/>
              </w:rPr>
              <w:t>50</w:t>
            </w:r>
            <w:r w:rsidR="005C12AD">
              <w:rPr>
                <w:webHidden/>
              </w:rPr>
              <w:fldChar w:fldCharType="end"/>
            </w:r>
          </w:hyperlink>
        </w:p>
        <w:p w14:paraId="47D13F2D" w14:textId="77777777" w:rsidR="005C12AD" w:rsidRDefault="00651802">
          <w:pPr>
            <w:pStyle w:val="TDC3"/>
            <w:rPr>
              <w:rFonts w:asciiTheme="minorHAnsi" w:eastAsiaTheme="minorEastAsia" w:hAnsiTheme="minorHAnsi" w:cstheme="minorBidi"/>
              <w:sz w:val="22"/>
              <w:szCs w:val="22"/>
              <w:lang w:eastAsia="es-CO"/>
            </w:rPr>
          </w:pPr>
          <w:hyperlink w:anchor="_Toc466392643" w:history="1">
            <w:r w:rsidR="005C12AD" w:rsidRPr="00C47080">
              <w:rPr>
                <w:rStyle w:val="Hipervnculo"/>
              </w:rPr>
              <w:t>4.3.2</w:t>
            </w:r>
            <w:r w:rsidR="005C12AD">
              <w:rPr>
                <w:rFonts w:asciiTheme="minorHAnsi" w:eastAsiaTheme="minorEastAsia" w:hAnsiTheme="minorHAnsi" w:cstheme="minorBidi"/>
                <w:sz w:val="22"/>
                <w:szCs w:val="22"/>
                <w:lang w:eastAsia="es-CO"/>
              </w:rPr>
              <w:tab/>
            </w:r>
            <w:r w:rsidR="005C12AD" w:rsidRPr="00C47080">
              <w:rPr>
                <w:rStyle w:val="Hipervnculo"/>
              </w:rPr>
              <w:t>Ajuste por ingresos de gastos</w:t>
            </w:r>
            <w:r w:rsidR="005C12AD">
              <w:rPr>
                <w:webHidden/>
              </w:rPr>
              <w:tab/>
            </w:r>
            <w:r w:rsidR="005C12AD">
              <w:rPr>
                <w:webHidden/>
              </w:rPr>
              <w:fldChar w:fldCharType="begin"/>
            </w:r>
            <w:r w:rsidR="005C12AD">
              <w:rPr>
                <w:webHidden/>
              </w:rPr>
              <w:instrText xml:space="preserve"> PAGEREF _Toc466392643 \h </w:instrText>
            </w:r>
            <w:r w:rsidR="005C12AD">
              <w:rPr>
                <w:webHidden/>
              </w:rPr>
            </w:r>
            <w:r w:rsidR="005C12AD">
              <w:rPr>
                <w:webHidden/>
              </w:rPr>
              <w:fldChar w:fldCharType="separate"/>
            </w:r>
            <w:r w:rsidR="000F355F">
              <w:rPr>
                <w:webHidden/>
              </w:rPr>
              <w:t>53</w:t>
            </w:r>
            <w:r w:rsidR="005C12AD">
              <w:rPr>
                <w:webHidden/>
              </w:rPr>
              <w:fldChar w:fldCharType="end"/>
            </w:r>
          </w:hyperlink>
        </w:p>
        <w:p w14:paraId="417189F3" w14:textId="77777777" w:rsidR="005C12AD" w:rsidRDefault="00651802">
          <w:pPr>
            <w:pStyle w:val="TDC2"/>
            <w:rPr>
              <w:rFonts w:asciiTheme="minorHAnsi" w:eastAsiaTheme="minorEastAsia" w:hAnsiTheme="minorHAnsi" w:cstheme="minorBidi"/>
              <w:bCs w:val="0"/>
              <w:sz w:val="22"/>
              <w:szCs w:val="22"/>
              <w:lang w:eastAsia="es-CO"/>
            </w:rPr>
          </w:pPr>
          <w:hyperlink w:anchor="_Toc466392644" w:history="1">
            <w:r w:rsidR="005C12AD" w:rsidRPr="00C47080">
              <w:rPr>
                <w:rStyle w:val="Hipervnculo"/>
              </w:rPr>
              <w:t>4.4</w:t>
            </w:r>
            <w:r w:rsidR="005C12AD">
              <w:rPr>
                <w:rFonts w:asciiTheme="minorHAnsi" w:eastAsiaTheme="minorEastAsia" w:hAnsiTheme="minorHAnsi" w:cstheme="minorBidi"/>
                <w:bCs w:val="0"/>
                <w:sz w:val="22"/>
                <w:szCs w:val="22"/>
                <w:lang w:eastAsia="es-CO"/>
              </w:rPr>
              <w:tab/>
            </w:r>
            <w:r w:rsidR="005C12AD" w:rsidRPr="00C47080">
              <w:rPr>
                <w:rStyle w:val="Hipervnculo"/>
              </w:rPr>
              <w:t>Ajuste del incentivo alcanzado al final del periodo tarifario</w:t>
            </w:r>
            <w:r w:rsidR="005C12AD">
              <w:rPr>
                <w:webHidden/>
              </w:rPr>
              <w:tab/>
            </w:r>
            <w:r w:rsidR="005C12AD">
              <w:rPr>
                <w:webHidden/>
              </w:rPr>
              <w:fldChar w:fldCharType="begin"/>
            </w:r>
            <w:r w:rsidR="005C12AD">
              <w:rPr>
                <w:webHidden/>
              </w:rPr>
              <w:instrText xml:space="preserve"> PAGEREF _Toc466392644 \h </w:instrText>
            </w:r>
            <w:r w:rsidR="005C12AD">
              <w:rPr>
                <w:webHidden/>
              </w:rPr>
            </w:r>
            <w:r w:rsidR="005C12AD">
              <w:rPr>
                <w:webHidden/>
              </w:rPr>
              <w:fldChar w:fldCharType="separate"/>
            </w:r>
            <w:r w:rsidR="000F355F">
              <w:rPr>
                <w:webHidden/>
              </w:rPr>
              <w:t>54</w:t>
            </w:r>
            <w:r w:rsidR="005C12AD">
              <w:rPr>
                <w:webHidden/>
              </w:rPr>
              <w:fldChar w:fldCharType="end"/>
            </w:r>
          </w:hyperlink>
        </w:p>
        <w:p w14:paraId="3BC5F8A2" w14:textId="77777777" w:rsidR="005C12AD" w:rsidRDefault="00651802">
          <w:pPr>
            <w:pStyle w:val="TDC1"/>
            <w:rPr>
              <w:rFonts w:asciiTheme="minorHAnsi" w:eastAsiaTheme="minorEastAsia" w:hAnsiTheme="minorHAnsi" w:cstheme="minorBidi"/>
              <w:b w:val="0"/>
              <w:sz w:val="22"/>
              <w:szCs w:val="22"/>
              <w:lang w:val="es-CO" w:eastAsia="es-CO"/>
            </w:rPr>
          </w:pPr>
          <w:hyperlink w:anchor="_Toc466392645" w:history="1">
            <w:r w:rsidR="005C12AD" w:rsidRPr="00C47080">
              <w:rPr>
                <w:rStyle w:val="Hipervnculo"/>
              </w:rPr>
              <w:t>CAPÍTULO 5.</w:t>
            </w:r>
            <w:r w:rsidR="005C12AD">
              <w:rPr>
                <w:rFonts w:asciiTheme="minorHAnsi" w:eastAsiaTheme="minorEastAsia" w:hAnsiTheme="minorHAnsi" w:cstheme="minorBidi"/>
                <w:b w:val="0"/>
                <w:sz w:val="22"/>
                <w:szCs w:val="22"/>
                <w:lang w:val="es-CO" w:eastAsia="es-CO"/>
              </w:rPr>
              <w:tab/>
            </w:r>
            <w:r w:rsidR="005C12AD" w:rsidRPr="00C47080">
              <w:rPr>
                <w:rStyle w:val="Hipervnculo"/>
              </w:rPr>
              <w:t>CALIDAD DEL SERVICIO</w:t>
            </w:r>
            <w:r w:rsidR="005C12AD">
              <w:rPr>
                <w:webHidden/>
              </w:rPr>
              <w:tab/>
            </w:r>
            <w:r w:rsidR="005C12AD">
              <w:rPr>
                <w:webHidden/>
              </w:rPr>
              <w:fldChar w:fldCharType="begin"/>
            </w:r>
            <w:r w:rsidR="005C12AD">
              <w:rPr>
                <w:webHidden/>
              </w:rPr>
              <w:instrText xml:space="preserve"> PAGEREF _Toc466392645 \h </w:instrText>
            </w:r>
            <w:r w:rsidR="005C12AD">
              <w:rPr>
                <w:webHidden/>
              </w:rPr>
            </w:r>
            <w:r w:rsidR="005C12AD">
              <w:rPr>
                <w:webHidden/>
              </w:rPr>
              <w:fldChar w:fldCharType="separate"/>
            </w:r>
            <w:r w:rsidR="000F355F">
              <w:rPr>
                <w:webHidden/>
              </w:rPr>
              <w:t>55</w:t>
            </w:r>
            <w:r w:rsidR="005C12AD">
              <w:rPr>
                <w:webHidden/>
              </w:rPr>
              <w:fldChar w:fldCharType="end"/>
            </w:r>
          </w:hyperlink>
        </w:p>
        <w:p w14:paraId="34E03206" w14:textId="77777777" w:rsidR="005C12AD" w:rsidRDefault="00651802">
          <w:pPr>
            <w:pStyle w:val="TDC2"/>
            <w:rPr>
              <w:rFonts w:asciiTheme="minorHAnsi" w:eastAsiaTheme="minorEastAsia" w:hAnsiTheme="minorHAnsi" w:cstheme="minorBidi"/>
              <w:bCs w:val="0"/>
              <w:sz w:val="22"/>
              <w:szCs w:val="22"/>
              <w:lang w:eastAsia="es-CO"/>
            </w:rPr>
          </w:pPr>
          <w:hyperlink w:anchor="_Toc466392646" w:history="1">
            <w:r w:rsidR="005C12AD" w:rsidRPr="00C47080">
              <w:rPr>
                <w:rStyle w:val="Hipervnculo"/>
                <w:rFonts w:cs="Arial"/>
              </w:rPr>
              <w:t>5.1</w:t>
            </w:r>
            <w:r w:rsidR="005C12AD">
              <w:rPr>
                <w:rFonts w:asciiTheme="minorHAnsi" w:eastAsiaTheme="minorEastAsia" w:hAnsiTheme="minorHAnsi" w:cstheme="minorBidi"/>
                <w:bCs w:val="0"/>
                <w:sz w:val="22"/>
                <w:szCs w:val="22"/>
                <w:lang w:eastAsia="es-CO"/>
              </w:rPr>
              <w:tab/>
            </w:r>
            <w:r w:rsidR="005C12AD" w:rsidRPr="00C47080">
              <w:rPr>
                <w:rStyle w:val="Hipervnculo"/>
              </w:rPr>
              <w:t>Características de calidad a la que está asociado el ingreso</w:t>
            </w:r>
            <w:r w:rsidR="005C12AD">
              <w:rPr>
                <w:webHidden/>
              </w:rPr>
              <w:tab/>
            </w:r>
            <w:r w:rsidR="005C12AD">
              <w:rPr>
                <w:webHidden/>
              </w:rPr>
              <w:fldChar w:fldCharType="begin"/>
            </w:r>
            <w:r w:rsidR="005C12AD">
              <w:rPr>
                <w:webHidden/>
              </w:rPr>
              <w:instrText xml:space="preserve"> PAGEREF _Toc466392646 \h </w:instrText>
            </w:r>
            <w:r w:rsidR="005C12AD">
              <w:rPr>
                <w:webHidden/>
              </w:rPr>
            </w:r>
            <w:r w:rsidR="005C12AD">
              <w:rPr>
                <w:webHidden/>
              </w:rPr>
              <w:fldChar w:fldCharType="separate"/>
            </w:r>
            <w:r w:rsidR="000F355F">
              <w:rPr>
                <w:webHidden/>
              </w:rPr>
              <w:t>55</w:t>
            </w:r>
            <w:r w:rsidR="005C12AD">
              <w:rPr>
                <w:webHidden/>
              </w:rPr>
              <w:fldChar w:fldCharType="end"/>
            </w:r>
          </w:hyperlink>
        </w:p>
        <w:p w14:paraId="17EBDB7C" w14:textId="77777777" w:rsidR="005C12AD" w:rsidRDefault="00651802">
          <w:pPr>
            <w:pStyle w:val="TDC2"/>
            <w:rPr>
              <w:rFonts w:asciiTheme="minorHAnsi" w:eastAsiaTheme="minorEastAsia" w:hAnsiTheme="minorHAnsi" w:cstheme="minorBidi"/>
              <w:bCs w:val="0"/>
              <w:sz w:val="22"/>
              <w:szCs w:val="22"/>
              <w:lang w:eastAsia="es-CO"/>
            </w:rPr>
          </w:pPr>
          <w:hyperlink w:anchor="_Toc466392647" w:history="1">
            <w:r w:rsidR="005C12AD" w:rsidRPr="00C47080">
              <w:rPr>
                <w:rStyle w:val="Hipervnculo"/>
              </w:rPr>
              <w:t>5.2</w:t>
            </w:r>
            <w:r w:rsidR="005C12AD">
              <w:rPr>
                <w:rFonts w:asciiTheme="minorHAnsi" w:eastAsiaTheme="minorEastAsia" w:hAnsiTheme="minorHAnsi" w:cstheme="minorBidi"/>
                <w:bCs w:val="0"/>
                <w:sz w:val="22"/>
                <w:szCs w:val="22"/>
                <w:lang w:eastAsia="es-CO"/>
              </w:rPr>
              <w:tab/>
            </w:r>
            <w:r w:rsidR="005C12AD" w:rsidRPr="00C47080">
              <w:rPr>
                <w:rStyle w:val="Hipervnculo"/>
              </w:rPr>
              <w:t>Activos sujetos al esquema de calidad</w:t>
            </w:r>
            <w:r w:rsidR="005C12AD">
              <w:rPr>
                <w:webHidden/>
              </w:rPr>
              <w:tab/>
            </w:r>
            <w:r w:rsidR="005C12AD">
              <w:rPr>
                <w:webHidden/>
              </w:rPr>
              <w:fldChar w:fldCharType="begin"/>
            </w:r>
            <w:r w:rsidR="005C12AD">
              <w:rPr>
                <w:webHidden/>
              </w:rPr>
              <w:instrText xml:space="preserve"> PAGEREF _Toc466392647 \h </w:instrText>
            </w:r>
            <w:r w:rsidR="005C12AD">
              <w:rPr>
                <w:webHidden/>
              </w:rPr>
            </w:r>
            <w:r w:rsidR="005C12AD">
              <w:rPr>
                <w:webHidden/>
              </w:rPr>
              <w:fldChar w:fldCharType="separate"/>
            </w:r>
            <w:r w:rsidR="000F355F">
              <w:rPr>
                <w:webHidden/>
              </w:rPr>
              <w:t>55</w:t>
            </w:r>
            <w:r w:rsidR="005C12AD">
              <w:rPr>
                <w:webHidden/>
              </w:rPr>
              <w:fldChar w:fldCharType="end"/>
            </w:r>
          </w:hyperlink>
        </w:p>
        <w:p w14:paraId="4E4FEC94" w14:textId="77777777" w:rsidR="005C12AD" w:rsidRDefault="00651802">
          <w:pPr>
            <w:pStyle w:val="TDC2"/>
            <w:rPr>
              <w:rFonts w:asciiTheme="minorHAnsi" w:eastAsiaTheme="minorEastAsia" w:hAnsiTheme="minorHAnsi" w:cstheme="minorBidi"/>
              <w:bCs w:val="0"/>
              <w:sz w:val="22"/>
              <w:szCs w:val="22"/>
              <w:lang w:eastAsia="es-CO"/>
            </w:rPr>
          </w:pPr>
          <w:hyperlink w:anchor="_Toc466392648" w:history="1">
            <w:r w:rsidR="005C12AD" w:rsidRPr="00C47080">
              <w:rPr>
                <w:rStyle w:val="Hipervnculo"/>
              </w:rPr>
              <w:t>5.3</w:t>
            </w:r>
            <w:r w:rsidR="005C12AD">
              <w:rPr>
                <w:rFonts w:asciiTheme="minorHAnsi" w:eastAsiaTheme="minorEastAsia" w:hAnsiTheme="minorHAnsi" w:cstheme="minorBidi"/>
                <w:bCs w:val="0"/>
                <w:sz w:val="22"/>
                <w:szCs w:val="22"/>
                <w:lang w:eastAsia="es-CO"/>
              </w:rPr>
              <w:tab/>
            </w:r>
            <w:r w:rsidR="005C12AD" w:rsidRPr="00C47080">
              <w:rPr>
                <w:rStyle w:val="Hipervnculo"/>
              </w:rPr>
              <w:t>Bases de datos</w:t>
            </w:r>
            <w:r w:rsidR="005C12AD">
              <w:rPr>
                <w:webHidden/>
              </w:rPr>
              <w:tab/>
            </w:r>
            <w:r w:rsidR="005C12AD">
              <w:rPr>
                <w:webHidden/>
              </w:rPr>
              <w:fldChar w:fldCharType="begin"/>
            </w:r>
            <w:r w:rsidR="005C12AD">
              <w:rPr>
                <w:webHidden/>
              </w:rPr>
              <w:instrText xml:space="preserve"> PAGEREF _Toc466392648 \h </w:instrText>
            </w:r>
            <w:r w:rsidR="005C12AD">
              <w:rPr>
                <w:webHidden/>
              </w:rPr>
            </w:r>
            <w:r w:rsidR="005C12AD">
              <w:rPr>
                <w:webHidden/>
              </w:rPr>
              <w:fldChar w:fldCharType="separate"/>
            </w:r>
            <w:r w:rsidR="000F355F">
              <w:rPr>
                <w:webHidden/>
              </w:rPr>
              <w:t>56</w:t>
            </w:r>
            <w:r w:rsidR="005C12AD">
              <w:rPr>
                <w:webHidden/>
              </w:rPr>
              <w:fldChar w:fldCharType="end"/>
            </w:r>
          </w:hyperlink>
        </w:p>
        <w:p w14:paraId="6B33BD02" w14:textId="77777777" w:rsidR="005C12AD" w:rsidRDefault="00651802">
          <w:pPr>
            <w:pStyle w:val="TDC2"/>
            <w:rPr>
              <w:rFonts w:asciiTheme="minorHAnsi" w:eastAsiaTheme="minorEastAsia" w:hAnsiTheme="minorHAnsi" w:cstheme="minorBidi"/>
              <w:bCs w:val="0"/>
              <w:sz w:val="22"/>
              <w:szCs w:val="22"/>
              <w:lang w:eastAsia="es-CO"/>
            </w:rPr>
          </w:pPr>
          <w:hyperlink w:anchor="_Toc466392649" w:history="1">
            <w:r w:rsidR="005C12AD" w:rsidRPr="00C47080">
              <w:rPr>
                <w:rStyle w:val="Hipervnculo"/>
              </w:rPr>
              <w:t>5.4</w:t>
            </w:r>
            <w:r w:rsidR="005C12AD">
              <w:rPr>
                <w:rFonts w:asciiTheme="minorHAnsi" w:eastAsiaTheme="minorEastAsia" w:hAnsiTheme="minorHAnsi" w:cstheme="minorBidi"/>
                <w:bCs w:val="0"/>
                <w:sz w:val="22"/>
                <w:szCs w:val="22"/>
                <w:lang w:eastAsia="es-CO"/>
              </w:rPr>
              <w:tab/>
            </w:r>
            <w:r w:rsidR="005C12AD" w:rsidRPr="00C47080">
              <w:rPr>
                <w:rStyle w:val="Hipervnculo"/>
              </w:rPr>
              <w:t>Reglamento para el reporte de eventos</w:t>
            </w:r>
            <w:r w:rsidR="005C12AD">
              <w:rPr>
                <w:webHidden/>
              </w:rPr>
              <w:tab/>
            </w:r>
            <w:r w:rsidR="005C12AD">
              <w:rPr>
                <w:webHidden/>
              </w:rPr>
              <w:fldChar w:fldCharType="begin"/>
            </w:r>
            <w:r w:rsidR="005C12AD">
              <w:rPr>
                <w:webHidden/>
              </w:rPr>
              <w:instrText xml:space="preserve"> PAGEREF _Toc466392649 \h </w:instrText>
            </w:r>
            <w:r w:rsidR="005C12AD">
              <w:rPr>
                <w:webHidden/>
              </w:rPr>
            </w:r>
            <w:r w:rsidR="005C12AD">
              <w:rPr>
                <w:webHidden/>
              </w:rPr>
              <w:fldChar w:fldCharType="separate"/>
            </w:r>
            <w:r w:rsidR="000F355F">
              <w:rPr>
                <w:webHidden/>
              </w:rPr>
              <w:t>56</w:t>
            </w:r>
            <w:r w:rsidR="005C12AD">
              <w:rPr>
                <w:webHidden/>
              </w:rPr>
              <w:fldChar w:fldCharType="end"/>
            </w:r>
          </w:hyperlink>
        </w:p>
        <w:p w14:paraId="3AE6EE5D" w14:textId="77777777" w:rsidR="005C12AD" w:rsidRDefault="00651802">
          <w:pPr>
            <w:pStyle w:val="TDC3"/>
            <w:rPr>
              <w:rFonts w:asciiTheme="minorHAnsi" w:eastAsiaTheme="minorEastAsia" w:hAnsiTheme="minorHAnsi" w:cstheme="minorBidi"/>
              <w:sz w:val="22"/>
              <w:szCs w:val="22"/>
              <w:lang w:eastAsia="es-CO"/>
            </w:rPr>
          </w:pPr>
          <w:hyperlink w:anchor="_Toc466392650" w:history="1">
            <w:r w:rsidR="005C12AD" w:rsidRPr="00C47080">
              <w:rPr>
                <w:rStyle w:val="Hipervnculo"/>
              </w:rPr>
              <w:t>5.4.1</w:t>
            </w:r>
            <w:r w:rsidR="005C12AD">
              <w:rPr>
                <w:rFonts w:asciiTheme="minorHAnsi" w:eastAsiaTheme="minorEastAsia" w:hAnsiTheme="minorHAnsi" w:cstheme="minorBidi"/>
                <w:sz w:val="22"/>
                <w:szCs w:val="22"/>
                <w:lang w:eastAsia="es-CO"/>
              </w:rPr>
              <w:tab/>
            </w:r>
            <w:r w:rsidR="005C12AD" w:rsidRPr="00C47080">
              <w:rPr>
                <w:rStyle w:val="Hipervnculo"/>
              </w:rPr>
              <w:t>Responsabilidad del reporte de información</w:t>
            </w:r>
            <w:r w:rsidR="005C12AD">
              <w:rPr>
                <w:webHidden/>
              </w:rPr>
              <w:tab/>
            </w:r>
            <w:r w:rsidR="005C12AD">
              <w:rPr>
                <w:webHidden/>
              </w:rPr>
              <w:fldChar w:fldCharType="begin"/>
            </w:r>
            <w:r w:rsidR="005C12AD">
              <w:rPr>
                <w:webHidden/>
              </w:rPr>
              <w:instrText xml:space="preserve"> PAGEREF _Toc466392650 \h </w:instrText>
            </w:r>
            <w:r w:rsidR="005C12AD">
              <w:rPr>
                <w:webHidden/>
              </w:rPr>
            </w:r>
            <w:r w:rsidR="005C12AD">
              <w:rPr>
                <w:webHidden/>
              </w:rPr>
              <w:fldChar w:fldCharType="separate"/>
            </w:r>
            <w:r w:rsidR="000F355F">
              <w:rPr>
                <w:webHidden/>
              </w:rPr>
              <w:t>56</w:t>
            </w:r>
            <w:r w:rsidR="005C12AD">
              <w:rPr>
                <w:webHidden/>
              </w:rPr>
              <w:fldChar w:fldCharType="end"/>
            </w:r>
          </w:hyperlink>
        </w:p>
        <w:p w14:paraId="48532A58" w14:textId="77777777" w:rsidR="005C12AD" w:rsidRDefault="00651802">
          <w:pPr>
            <w:pStyle w:val="TDC3"/>
            <w:rPr>
              <w:rFonts w:asciiTheme="minorHAnsi" w:eastAsiaTheme="minorEastAsia" w:hAnsiTheme="minorHAnsi" w:cstheme="minorBidi"/>
              <w:sz w:val="22"/>
              <w:szCs w:val="22"/>
              <w:lang w:eastAsia="es-CO"/>
            </w:rPr>
          </w:pPr>
          <w:hyperlink w:anchor="_Toc466392651" w:history="1">
            <w:r w:rsidR="005C12AD" w:rsidRPr="00C47080">
              <w:rPr>
                <w:rStyle w:val="Hipervnculo"/>
              </w:rPr>
              <w:t>5.4.2</w:t>
            </w:r>
            <w:r w:rsidR="005C12AD">
              <w:rPr>
                <w:rFonts w:asciiTheme="minorHAnsi" w:eastAsiaTheme="minorEastAsia" w:hAnsiTheme="minorHAnsi" w:cstheme="minorBidi"/>
                <w:sz w:val="22"/>
                <w:szCs w:val="22"/>
                <w:lang w:eastAsia="es-CO"/>
              </w:rPr>
              <w:tab/>
            </w:r>
            <w:r w:rsidR="005C12AD" w:rsidRPr="00C47080">
              <w:rPr>
                <w:rStyle w:val="Hipervnculo"/>
              </w:rPr>
              <w:t>Activos del STN a reportar</w:t>
            </w:r>
            <w:r w:rsidR="005C12AD">
              <w:rPr>
                <w:webHidden/>
              </w:rPr>
              <w:tab/>
            </w:r>
            <w:r w:rsidR="005C12AD">
              <w:rPr>
                <w:webHidden/>
              </w:rPr>
              <w:fldChar w:fldCharType="begin"/>
            </w:r>
            <w:r w:rsidR="005C12AD">
              <w:rPr>
                <w:webHidden/>
              </w:rPr>
              <w:instrText xml:space="preserve"> PAGEREF _Toc466392651 \h </w:instrText>
            </w:r>
            <w:r w:rsidR="005C12AD">
              <w:rPr>
                <w:webHidden/>
              </w:rPr>
            </w:r>
            <w:r w:rsidR="005C12AD">
              <w:rPr>
                <w:webHidden/>
              </w:rPr>
              <w:fldChar w:fldCharType="separate"/>
            </w:r>
            <w:r w:rsidR="000F355F">
              <w:rPr>
                <w:webHidden/>
              </w:rPr>
              <w:t>57</w:t>
            </w:r>
            <w:r w:rsidR="005C12AD">
              <w:rPr>
                <w:webHidden/>
              </w:rPr>
              <w:fldChar w:fldCharType="end"/>
            </w:r>
          </w:hyperlink>
        </w:p>
        <w:p w14:paraId="398C5387" w14:textId="77777777" w:rsidR="005C12AD" w:rsidRDefault="00651802">
          <w:pPr>
            <w:pStyle w:val="TDC3"/>
            <w:rPr>
              <w:rFonts w:asciiTheme="minorHAnsi" w:eastAsiaTheme="minorEastAsia" w:hAnsiTheme="minorHAnsi" w:cstheme="minorBidi"/>
              <w:sz w:val="22"/>
              <w:szCs w:val="22"/>
              <w:lang w:eastAsia="es-CO"/>
            </w:rPr>
          </w:pPr>
          <w:hyperlink w:anchor="_Toc466392652" w:history="1">
            <w:r w:rsidR="005C12AD" w:rsidRPr="00C47080">
              <w:rPr>
                <w:rStyle w:val="Hipervnculo"/>
              </w:rPr>
              <w:t>5.4.3</w:t>
            </w:r>
            <w:r w:rsidR="005C12AD">
              <w:rPr>
                <w:rFonts w:asciiTheme="minorHAnsi" w:eastAsiaTheme="minorEastAsia" w:hAnsiTheme="minorHAnsi" w:cstheme="minorBidi"/>
                <w:sz w:val="22"/>
                <w:szCs w:val="22"/>
                <w:lang w:eastAsia="es-CO"/>
              </w:rPr>
              <w:tab/>
            </w:r>
            <w:r w:rsidR="005C12AD" w:rsidRPr="00C47080">
              <w:rPr>
                <w:rStyle w:val="Hipervnculo"/>
              </w:rPr>
              <w:t>Información del reporte de eventos</w:t>
            </w:r>
            <w:r w:rsidR="005C12AD">
              <w:rPr>
                <w:webHidden/>
              </w:rPr>
              <w:tab/>
            </w:r>
            <w:r w:rsidR="005C12AD">
              <w:rPr>
                <w:webHidden/>
              </w:rPr>
              <w:fldChar w:fldCharType="begin"/>
            </w:r>
            <w:r w:rsidR="005C12AD">
              <w:rPr>
                <w:webHidden/>
              </w:rPr>
              <w:instrText xml:space="preserve"> PAGEREF _Toc466392652 \h </w:instrText>
            </w:r>
            <w:r w:rsidR="005C12AD">
              <w:rPr>
                <w:webHidden/>
              </w:rPr>
            </w:r>
            <w:r w:rsidR="005C12AD">
              <w:rPr>
                <w:webHidden/>
              </w:rPr>
              <w:fldChar w:fldCharType="separate"/>
            </w:r>
            <w:r w:rsidR="000F355F">
              <w:rPr>
                <w:webHidden/>
              </w:rPr>
              <w:t>57</w:t>
            </w:r>
            <w:r w:rsidR="005C12AD">
              <w:rPr>
                <w:webHidden/>
              </w:rPr>
              <w:fldChar w:fldCharType="end"/>
            </w:r>
          </w:hyperlink>
        </w:p>
        <w:p w14:paraId="576D288D" w14:textId="77777777" w:rsidR="005C12AD" w:rsidRDefault="00651802">
          <w:pPr>
            <w:pStyle w:val="TDC3"/>
            <w:rPr>
              <w:rFonts w:asciiTheme="minorHAnsi" w:eastAsiaTheme="minorEastAsia" w:hAnsiTheme="minorHAnsi" w:cstheme="minorBidi"/>
              <w:sz w:val="22"/>
              <w:szCs w:val="22"/>
              <w:lang w:eastAsia="es-CO"/>
            </w:rPr>
          </w:pPr>
          <w:hyperlink w:anchor="_Toc466392653" w:history="1">
            <w:r w:rsidR="005C12AD" w:rsidRPr="00C47080">
              <w:rPr>
                <w:rStyle w:val="Hipervnculo"/>
              </w:rPr>
              <w:t>5.4.4</w:t>
            </w:r>
            <w:r w:rsidR="005C12AD">
              <w:rPr>
                <w:rFonts w:asciiTheme="minorHAnsi" w:eastAsiaTheme="minorEastAsia" w:hAnsiTheme="minorHAnsi" w:cstheme="minorBidi"/>
                <w:sz w:val="22"/>
                <w:szCs w:val="22"/>
                <w:lang w:eastAsia="es-CO"/>
              </w:rPr>
              <w:tab/>
            </w:r>
            <w:r w:rsidR="005C12AD" w:rsidRPr="00C47080">
              <w:rPr>
                <w:rStyle w:val="Hipervnculo"/>
              </w:rPr>
              <w:t>Validación de la información</w:t>
            </w:r>
            <w:r w:rsidR="005C12AD">
              <w:rPr>
                <w:webHidden/>
              </w:rPr>
              <w:tab/>
            </w:r>
            <w:r w:rsidR="005C12AD">
              <w:rPr>
                <w:webHidden/>
              </w:rPr>
              <w:fldChar w:fldCharType="begin"/>
            </w:r>
            <w:r w:rsidR="005C12AD">
              <w:rPr>
                <w:webHidden/>
              </w:rPr>
              <w:instrText xml:space="preserve"> PAGEREF _Toc466392653 \h </w:instrText>
            </w:r>
            <w:r w:rsidR="005C12AD">
              <w:rPr>
                <w:webHidden/>
              </w:rPr>
            </w:r>
            <w:r w:rsidR="005C12AD">
              <w:rPr>
                <w:webHidden/>
              </w:rPr>
              <w:fldChar w:fldCharType="separate"/>
            </w:r>
            <w:r w:rsidR="000F355F">
              <w:rPr>
                <w:webHidden/>
              </w:rPr>
              <w:t>58</w:t>
            </w:r>
            <w:r w:rsidR="005C12AD">
              <w:rPr>
                <w:webHidden/>
              </w:rPr>
              <w:fldChar w:fldCharType="end"/>
            </w:r>
          </w:hyperlink>
        </w:p>
        <w:p w14:paraId="11B98025" w14:textId="77777777" w:rsidR="005C12AD" w:rsidRDefault="00651802">
          <w:pPr>
            <w:pStyle w:val="TDC3"/>
            <w:rPr>
              <w:rFonts w:asciiTheme="minorHAnsi" w:eastAsiaTheme="minorEastAsia" w:hAnsiTheme="minorHAnsi" w:cstheme="minorBidi"/>
              <w:sz w:val="22"/>
              <w:szCs w:val="22"/>
              <w:lang w:eastAsia="es-CO"/>
            </w:rPr>
          </w:pPr>
          <w:hyperlink w:anchor="_Toc466392654" w:history="1">
            <w:r w:rsidR="005C12AD" w:rsidRPr="00C47080">
              <w:rPr>
                <w:rStyle w:val="Hipervnculo"/>
              </w:rPr>
              <w:t>5.4.5</w:t>
            </w:r>
            <w:r w:rsidR="005C12AD">
              <w:rPr>
                <w:rFonts w:asciiTheme="minorHAnsi" w:eastAsiaTheme="minorEastAsia" w:hAnsiTheme="minorHAnsi" w:cstheme="minorBidi"/>
                <w:sz w:val="22"/>
                <w:szCs w:val="22"/>
                <w:lang w:eastAsia="es-CO"/>
              </w:rPr>
              <w:tab/>
            </w:r>
            <w:r w:rsidR="005C12AD" w:rsidRPr="00C47080">
              <w:rPr>
                <w:rStyle w:val="Hipervnculo"/>
              </w:rPr>
              <w:t>Plazos</w:t>
            </w:r>
            <w:r w:rsidR="005C12AD">
              <w:rPr>
                <w:webHidden/>
              </w:rPr>
              <w:tab/>
            </w:r>
            <w:r w:rsidR="005C12AD">
              <w:rPr>
                <w:webHidden/>
              </w:rPr>
              <w:fldChar w:fldCharType="begin"/>
            </w:r>
            <w:r w:rsidR="005C12AD">
              <w:rPr>
                <w:webHidden/>
              </w:rPr>
              <w:instrText xml:space="preserve"> PAGEREF _Toc466392654 \h </w:instrText>
            </w:r>
            <w:r w:rsidR="005C12AD">
              <w:rPr>
                <w:webHidden/>
              </w:rPr>
            </w:r>
            <w:r w:rsidR="005C12AD">
              <w:rPr>
                <w:webHidden/>
              </w:rPr>
              <w:fldChar w:fldCharType="separate"/>
            </w:r>
            <w:r w:rsidR="000F355F">
              <w:rPr>
                <w:webHidden/>
              </w:rPr>
              <w:t>59</w:t>
            </w:r>
            <w:r w:rsidR="005C12AD">
              <w:rPr>
                <w:webHidden/>
              </w:rPr>
              <w:fldChar w:fldCharType="end"/>
            </w:r>
          </w:hyperlink>
        </w:p>
        <w:p w14:paraId="1475B388" w14:textId="77777777" w:rsidR="005C12AD" w:rsidRDefault="00651802">
          <w:pPr>
            <w:pStyle w:val="TDC2"/>
            <w:rPr>
              <w:rFonts w:asciiTheme="minorHAnsi" w:eastAsiaTheme="minorEastAsia" w:hAnsiTheme="minorHAnsi" w:cstheme="minorBidi"/>
              <w:bCs w:val="0"/>
              <w:sz w:val="22"/>
              <w:szCs w:val="22"/>
              <w:lang w:eastAsia="es-CO"/>
            </w:rPr>
          </w:pPr>
          <w:hyperlink w:anchor="_Toc466392655" w:history="1">
            <w:r w:rsidR="005C12AD" w:rsidRPr="00C47080">
              <w:rPr>
                <w:rStyle w:val="Hipervnculo"/>
              </w:rPr>
              <w:t>5.5</w:t>
            </w:r>
            <w:r w:rsidR="005C12AD">
              <w:rPr>
                <w:rFonts w:asciiTheme="minorHAnsi" w:eastAsiaTheme="minorEastAsia" w:hAnsiTheme="minorHAnsi" w:cstheme="minorBidi"/>
                <w:bCs w:val="0"/>
                <w:sz w:val="22"/>
                <w:szCs w:val="22"/>
                <w:lang w:eastAsia="es-CO"/>
              </w:rPr>
              <w:tab/>
            </w:r>
            <w:r w:rsidR="005C12AD" w:rsidRPr="00C47080">
              <w:rPr>
                <w:rStyle w:val="Hipervnculo"/>
              </w:rPr>
              <w:t>Máximas horas anuales de indisponibilidad</w:t>
            </w:r>
            <w:r w:rsidR="005C12AD">
              <w:rPr>
                <w:webHidden/>
              </w:rPr>
              <w:tab/>
            </w:r>
            <w:r w:rsidR="005C12AD">
              <w:rPr>
                <w:webHidden/>
              </w:rPr>
              <w:fldChar w:fldCharType="begin"/>
            </w:r>
            <w:r w:rsidR="005C12AD">
              <w:rPr>
                <w:webHidden/>
              </w:rPr>
              <w:instrText xml:space="preserve"> PAGEREF _Toc466392655 \h </w:instrText>
            </w:r>
            <w:r w:rsidR="005C12AD">
              <w:rPr>
                <w:webHidden/>
              </w:rPr>
            </w:r>
            <w:r w:rsidR="005C12AD">
              <w:rPr>
                <w:webHidden/>
              </w:rPr>
              <w:fldChar w:fldCharType="separate"/>
            </w:r>
            <w:r w:rsidR="000F355F">
              <w:rPr>
                <w:webHidden/>
              </w:rPr>
              <w:t>59</w:t>
            </w:r>
            <w:r w:rsidR="005C12AD">
              <w:rPr>
                <w:webHidden/>
              </w:rPr>
              <w:fldChar w:fldCharType="end"/>
            </w:r>
          </w:hyperlink>
        </w:p>
        <w:p w14:paraId="027522B4" w14:textId="77777777" w:rsidR="005C12AD" w:rsidRDefault="00651802">
          <w:pPr>
            <w:pStyle w:val="TDC2"/>
            <w:rPr>
              <w:rFonts w:asciiTheme="minorHAnsi" w:eastAsiaTheme="minorEastAsia" w:hAnsiTheme="minorHAnsi" w:cstheme="minorBidi"/>
              <w:bCs w:val="0"/>
              <w:sz w:val="22"/>
              <w:szCs w:val="22"/>
              <w:lang w:eastAsia="es-CO"/>
            </w:rPr>
          </w:pPr>
          <w:hyperlink w:anchor="_Toc466392656" w:history="1">
            <w:r w:rsidR="005C12AD" w:rsidRPr="00C47080">
              <w:rPr>
                <w:rStyle w:val="Hipervnculo"/>
              </w:rPr>
              <w:t>5.6</w:t>
            </w:r>
            <w:r w:rsidR="005C12AD">
              <w:rPr>
                <w:rFonts w:asciiTheme="minorHAnsi" w:eastAsiaTheme="minorEastAsia" w:hAnsiTheme="minorHAnsi" w:cstheme="minorBidi"/>
                <w:bCs w:val="0"/>
                <w:sz w:val="22"/>
                <w:szCs w:val="22"/>
                <w:lang w:eastAsia="es-CO"/>
              </w:rPr>
              <w:tab/>
            </w:r>
            <w:r w:rsidR="005C12AD" w:rsidRPr="00C47080">
              <w:rPr>
                <w:rStyle w:val="Hipervnculo"/>
              </w:rPr>
              <w:t>Ajuste de máximas horas de indisponibilidad</w:t>
            </w:r>
            <w:r w:rsidR="005C12AD">
              <w:rPr>
                <w:webHidden/>
              </w:rPr>
              <w:tab/>
            </w:r>
            <w:r w:rsidR="005C12AD">
              <w:rPr>
                <w:webHidden/>
              </w:rPr>
              <w:fldChar w:fldCharType="begin"/>
            </w:r>
            <w:r w:rsidR="005C12AD">
              <w:rPr>
                <w:webHidden/>
              </w:rPr>
              <w:instrText xml:space="preserve"> PAGEREF _Toc466392656 \h </w:instrText>
            </w:r>
            <w:r w:rsidR="005C12AD">
              <w:rPr>
                <w:webHidden/>
              </w:rPr>
            </w:r>
            <w:r w:rsidR="005C12AD">
              <w:rPr>
                <w:webHidden/>
              </w:rPr>
              <w:fldChar w:fldCharType="separate"/>
            </w:r>
            <w:r w:rsidR="000F355F">
              <w:rPr>
                <w:webHidden/>
              </w:rPr>
              <w:t>60</w:t>
            </w:r>
            <w:r w:rsidR="005C12AD">
              <w:rPr>
                <w:webHidden/>
              </w:rPr>
              <w:fldChar w:fldCharType="end"/>
            </w:r>
          </w:hyperlink>
        </w:p>
        <w:p w14:paraId="62C11301" w14:textId="77777777" w:rsidR="005C12AD" w:rsidRDefault="00651802">
          <w:pPr>
            <w:pStyle w:val="TDC2"/>
            <w:rPr>
              <w:rFonts w:asciiTheme="minorHAnsi" w:eastAsiaTheme="minorEastAsia" w:hAnsiTheme="minorHAnsi" w:cstheme="minorBidi"/>
              <w:bCs w:val="0"/>
              <w:sz w:val="22"/>
              <w:szCs w:val="22"/>
              <w:lang w:eastAsia="es-CO"/>
            </w:rPr>
          </w:pPr>
          <w:hyperlink w:anchor="_Toc466392657" w:history="1">
            <w:r w:rsidR="005C12AD" w:rsidRPr="00C47080">
              <w:rPr>
                <w:rStyle w:val="Hipervnculo"/>
              </w:rPr>
              <w:t>5.7</w:t>
            </w:r>
            <w:r w:rsidR="005C12AD">
              <w:rPr>
                <w:rFonts w:asciiTheme="minorHAnsi" w:eastAsiaTheme="minorEastAsia" w:hAnsiTheme="minorHAnsi" w:cstheme="minorBidi"/>
                <w:bCs w:val="0"/>
                <w:sz w:val="22"/>
                <w:szCs w:val="22"/>
                <w:lang w:eastAsia="es-CO"/>
              </w:rPr>
              <w:tab/>
            </w:r>
            <w:r w:rsidR="005C12AD" w:rsidRPr="00C47080">
              <w:rPr>
                <w:rStyle w:val="Hipervnculo"/>
              </w:rPr>
              <w:t>Indisponibilidad de los activos de uso del STN</w:t>
            </w:r>
            <w:r w:rsidR="005C12AD">
              <w:rPr>
                <w:webHidden/>
              </w:rPr>
              <w:tab/>
            </w:r>
            <w:r w:rsidR="005C12AD">
              <w:rPr>
                <w:webHidden/>
              </w:rPr>
              <w:fldChar w:fldCharType="begin"/>
            </w:r>
            <w:r w:rsidR="005C12AD">
              <w:rPr>
                <w:webHidden/>
              </w:rPr>
              <w:instrText xml:space="preserve"> PAGEREF _Toc466392657 \h </w:instrText>
            </w:r>
            <w:r w:rsidR="005C12AD">
              <w:rPr>
                <w:webHidden/>
              </w:rPr>
            </w:r>
            <w:r w:rsidR="005C12AD">
              <w:rPr>
                <w:webHidden/>
              </w:rPr>
              <w:fldChar w:fldCharType="separate"/>
            </w:r>
            <w:r w:rsidR="000F355F">
              <w:rPr>
                <w:webHidden/>
              </w:rPr>
              <w:t>61</w:t>
            </w:r>
            <w:r w:rsidR="005C12AD">
              <w:rPr>
                <w:webHidden/>
              </w:rPr>
              <w:fldChar w:fldCharType="end"/>
            </w:r>
          </w:hyperlink>
        </w:p>
        <w:p w14:paraId="2402EF60" w14:textId="77777777" w:rsidR="005C12AD" w:rsidRDefault="00651802">
          <w:pPr>
            <w:pStyle w:val="TDC2"/>
            <w:rPr>
              <w:rFonts w:asciiTheme="minorHAnsi" w:eastAsiaTheme="minorEastAsia" w:hAnsiTheme="minorHAnsi" w:cstheme="minorBidi"/>
              <w:bCs w:val="0"/>
              <w:sz w:val="22"/>
              <w:szCs w:val="22"/>
              <w:lang w:eastAsia="es-CO"/>
            </w:rPr>
          </w:pPr>
          <w:hyperlink w:anchor="_Toc466392658" w:history="1">
            <w:r w:rsidR="005C12AD" w:rsidRPr="00C47080">
              <w:rPr>
                <w:rStyle w:val="Hipervnculo"/>
              </w:rPr>
              <w:t>5.8</w:t>
            </w:r>
            <w:r w:rsidR="005C12AD">
              <w:rPr>
                <w:rFonts w:asciiTheme="minorHAnsi" w:eastAsiaTheme="minorEastAsia" w:hAnsiTheme="minorHAnsi" w:cstheme="minorBidi"/>
                <w:bCs w:val="0"/>
                <w:sz w:val="22"/>
                <w:szCs w:val="22"/>
                <w:lang w:eastAsia="es-CO"/>
              </w:rPr>
              <w:tab/>
            </w:r>
            <w:r w:rsidR="005C12AD" w:rsidRPr="00C47080">
              <w:rPr>
                <w:rStyle w:val="Hipervnculo"/>
              </w:rPr>
              <w:t>Estimación de la capacidad disponible por un evento</w:t>
            </w:r>
            <w:r w:rsidR="005C12AD">
              <w:rPr>
                <w:webHidden/>
              </w:rPr>
              <w:tab/>
            </w:r>
            <w:r w:rsidR="005C12AD">
              <w:rPr>
                <w:webHidden/>
              </w:rPr>
              <w:fldChar w:fldCharType="begin"/>
            </w:r>
            <w:r w:rsidR="005C12AD">
              <w:rPr>
                <w:webHidden/>
              </w:rPr>
              <w:instrText xml:space="preserve"> PAGEREF _Toc466392658 \h </w:instrText>
            </w:r>
            <w:r w:rsidR="005C12AD">
              <w:rPr>
                <w:webHidden/>
              </w:rPr>
            </w:r>
            <w:r w:rsidR="005C12AD">
              <w:rPr>
                <w:webHidden/>
              </w:rPr>
              <w:fldChar w:fldCharType="separate"/>
            </w:r>
            <w:r w:rsidR="000F355F">
              <w:rPr>
                <w:webHidden/>
              </w:rPr>
              <w:t>62</w:t>
            </w:r>
            <w:r w:rsidR="005C12AD">
              <w:rPr>
                <w:webHidden/>
              </w:rPr>
              <w:fldChar w:fldCharType="end"/>
            </w:r>
          </w:hyperlink>
        </w:p>
        <w:p w14:paraId="1FA5F079" w14:textId="77777777" w:rsidR="005C12AD" w:rsidRDefault="00651802">
          <w:pPr>
            <w:pStyle w:val="TDC2"/>
            <w:rPr>
              <w:rFonts w:asciiTheme="minorHAnsi" w:eastAsiaTheme="minorEastAsia" w:hAnsiTheme="minorHAnsi" w:cstheme="minorBidi"/>
              <w:bCs w:val="0"/>
              <w:sz w:val="22"/>
              <w:szCs w:val="22"/>
              <w:lang w:eastAsia="es-CO"/>
            </w:rPr>
          </w:pPr>
          <w:hyperlink w:anchor="_Toc466392659" w:history="1">
            <w:r w:rsidR="005C12AD" w:rsidRPr="00C47080">
              <w:rPr>
                <w:rStyle w:val="Hipervnculo"/>
              </w:rPr>
              <w:t>5.9</w:t>
            </w:r>
            <w:r w:rsidR="005C12AD">
              <w:rPr>
                <w:rFonts w:asciiTheme="minorHAnsi" w:eastAsiaTheme="minorEastAsia" w:hAnsiTheme="minorHAnsi" w:cstheme="minorBidi"/>
                <w:bCs w:val="0"/>
                <w:sz w:val="22"/>
                <w:szCs w:val="22"/>
                <w:lang w:eastAsia="es-CO"/>
              </w:rPr>
              <w:tab/>
            </w:r>
            <w:r w:rsidR="005C12AD" w:rsidRPr="00C47080">
              <w:rPr>
                <w:rStyle w:val="Hipervnculo"/>
              </w:rPr>
              <w:t>Eventos excluidos</w:t>
            </w:r>
            <w:r w:rsidR="005C12AD">
              <w:rPr>
                <w:webHidden/>
              </w:rPr>
              <w:tab/>
            </w:r>
            <w:r w:rsidR="005C12AD">
              <w:rPr>
                <w:webHidden/>
              </w:rPr>
              <w:fldChar w:fldCharType="begin"/>
            </w:r>
            <w:r w:rsidR="005C12AD">
              <w:rPr>
                <w:webHidden/>
              </w:rPr>
              <w:instrText xml:space="preserve"> PAGEREF _Toc466392659 \h </w:instrText>
            </w:r>
            <w:r w:rsidR="005C12AD">
              <w:rPr>
                <w:webHidden/>
              </w:rPr>
            </w:r>
            <w:r w:rsidR="005C12AD">
              <w:rPr>
                <w:webHidden/>
              </w:rPr>
              <w:fldChar w:fldCharType="separate"/>
            </w:r>
            <w:r w:rsidR="000F355F">
              <w:rPr>
                <w:webHidden/>
              </w:rPr>
              <w:t>62</w:t>
            </w:r>
            <w:r w:rsidR="005C12AD">
              <w:rPr>
                <w:webHidden/>
              </w:rPr>
              <w:fldChar w:fldCharType="end"/>
            </w:r>
          </w:hyperlink>
        </w:p>
        <w:p w14:paraId="3C070715" w14:textId="77777777" w:rsidR="005C12AD" w:rsidRDefault="00651802">
          <w:pPr>
            <w:pStyle w:val="TDC2"/>
            <w:rPr>
              <w:rFonts w:asciiTheme="minorHAnsi" w:eastAsiaTheme="minorEastAsia" w:hAnsiTheme="minorHAnsi" w:cstheme="minorBidi"/>
              <w:bCs w:val="0"/>
              <w:sz w:val="22"/>
              <w:szCs w:val="22"/>
              <w:lang w:eastAsia="es-CO"/>
            </w:rPr>
          </w:pPr>
          <w:hyperlink w:anchor="_Toc466392660" w:history="1">
            <w:r w:rsidR="005C12AD" w:rsidRPr="00C47080">
              <w:rPr>
                <w:rStyle w:val="Hipervnculo"/>
              </w:rPr>
              <w:t>5.10</w:t>
            </w:r>
            <w:r w:rsidR="005C12AD">
              <w:rPr>
                <w:rFonts w:asciiTheme="minorHAnsi" w:eastAsiaTheme="minorEastAsia" w:hAnsiTheme="minorHAnsi" w:cstheme="minorBidi"/>
                <w:bCs w:val="0"/>
                <w:sz w:val="22"/>
                <w:szCs w:val="22"/>
                <w:lang w:eastAsia="es-CO"/>
              </w:rPr>
              <w:tab/>
            </w:r>
            <w:r w:rsidR="005C12AD" w:rsidRPr="00C47080">
              <w:rPr>
                <w:rStyle w:val="Hipervnculo"/>
              </w:rPr>
              <w:t>Procedimiento para los mantenimientos mayores</w:t>
            </w:r>
            <w:r w:rsidR="005C12AD">
              <w:rPr>
                <w:webHidden/>
              </w:rPr>
              <w:tab/>
            </w:r>
            <w:r w:rsidR="005C12AD">
              <w:rPr>
                <w:webHidden/>
              </w:rPr>
              <w:fldChar w:fldCharType="begin"/>
            </w:r>
            <w:r w:rsidR="005C12AD">
              <w:rPr>
                <w:webHidden/>
              </w:rPr>
              <w:instrText xml:space="preserve"> PAGEREF _Toc466392660 \h </w:instrText>
            </w:r>
            <w:r w:rsidR="005C12AD">
              <w:rPr>
                <w:webHidden/>
              </w:rPr>
            </w:r>
            <w:r w:rsidR="005C12AD">
              <w:rPr>
                <w:webHidden/>
              </w:rPr>
              <w:fldChar w:fldCharType="separate"/>
            </w:r>
            <w:r w:rsidR="000F355F">
              <w:rPr>
                <w:webHidden/>
              </w:rPr>
              <w:t>64</w:t>
            </w:r>
            <w:r w:rsidR="005C12AD">
              <w:rPr>
                <w:webHidden/>
              </w:rPr>
              <w:fldChar w:fldCharType="end"/>
            </w:r>
          </w:hyperlink>
        </w:p>
        <w:p w14:paraId="74A78226" w14:textId="77777777" w:rsidR="005C12AD" w:rsidRDefault="00651802">
          <w:pPr>
            <w:pStyle w:val="TDC2"/>
            <w:rPr>
              <w:rFonts w:asciiTheme="minorHAnsi" w:eastAsiaTheme="minorEastAsia" w:hAnsiTheme="minorHAnsi" w:cstheme="minorBidi"/>
              <w:bCs w:val="0"/>
              <w:sz w:val="22"/>
              <w:szCs w:val="22"/>
              <w:lang w:eastAsia="es-CO"/>
            </w:rPr>
          </w:pPr>
          <w:hyperlink w:anchor="_Toc466392661" w:history="1">
            <w:r w:rsidR="005C12AD" w:rsidRPr="00C47080">
              <w:rPr>
                <w:rStyle w:val="Hipervnculo"/>
              </w:rPr>
              <w:t>5.11</w:t>
            </w:r>
            <w:r w:rsidR="005C12AD">
              <w:rPr>
                <w:rFonts w:asciiTheme="minorHAnsi" w:eastAsiaTheme="minorEastAsia" w:hAnsiTheme="minorHAnsi" w:cstheme="minorBidi"/>
                <w:bCs w:val="0"/>
                <w:sz w:val="22"/>
                <w:szCs w:val="22"/>
                <w:lang w:eastAsia="es-CO"/>
              </w:rPr>
              <w:tab/>
            </w:r>
            <w:r w:rsidR="005C12AD" w:rsidRPr="00C47080">
              <w:rPr>
                <w:rStyle w:val="Hipervnculo"/>
              </w:rPr>
              <w:t>Activos que entran en operación comercial</w:t>
            </w:r>
            <w:r w:rsidR="005C12AD">
              <w:rPr>
                <w:webHidden/>
              </w:rPr>
              <w:tab/>
            </w:r>
            <w:r w:rsidR="005C12AD">
              <w:rPr>
                <w:webHidden/>
              </w:rPr>
              <w:fldChar w:fldCharType="begin"/>
            </w:r>
            <w:r w:rsidR="005C12AD">
              <w:rPr>
                <w:webHidden/>
              </w:rPr>
              <w:instrText xml:space="preserve"> PAGEREF _Toc466392661 \h </w:instrText>
            </w:r>
            <w:r w:rsidR="005C12AD">
              <w:rPr>
                <w:webHidden/>
              </w:rPr>
            </w:r>
            <w:r w:rsidR="005C12AD">
              <w:rPr>
                <w:webHidden/>
              </w:rPr>
              <w:fldChar w:fldCharType="separate"/>
            </w:r>
            <w:r w:rsidR="000F355F">
              <w:rPr>
                <w:webHidden/>
              </w:rPr>
              <w:t>65</w:t>
            </w:r>
            <w:r w:rsidR="005C12AD">
              <w:rPr>
                <w:webHidden/>
              </w:rPr>
              <w:fldChar w:fldCharType="end"/>
            </w:r>
          </w:hyperlink>
        </w:p>
        <w:p w14:paraId="5938DD9F" w14:textId="77777777" w:rsidR="005C12AD" w:rsidRDefault="00651802">
          <w:pPr>
            <w:pStyle w:val="TDC2"/>
            <w:rPr>
              <w:rFonts w:asciiTheme="minorHAnsi" w:eastAsiaTheme="minorEastAsia" w:hAnsiTheme="minorHAnsi" w:cstheme="minorBidi"/>
              <w:bCs w:val="0"/>
              <w:sz w:val="22"/>
              <w:szCs w:val="22"/>
              <w:lang w:eastAsia="es-CO"/>
            </w:rPr>
          </w:pPr>
          <w:hyperlink w:anchor="_Toc466392662" w:history="1">
            <w:r w:rsidR="005C12AD" w:rsidRPr="00C47080">
              <w:rPr>
                <w:rStyle w:val="Hipervnculo"/>
              </w:rPr>
              <w:t>5.12</w:t>
            </w:r>
            <w:r w:rsidR="005C12AD">
              <w:rPr>
                <w:rFonts w:asciiTheme="minorHAnsi" w:eastAsiaTheme="minorEastAsia" w:hAnsiTheme="minorHAnsi" w:cstheme="minorBidi"/>
                <w:bCs w:val="0"/>
                <w:sz w:val="22"/>
                <w:szCs w:val="22"/>
                <w:lang w:eastAsia="es-CO"/>
              </w:rPr>
              <w:tab/>
            </w:r>
            <w:r w:rsidR="005C12AD" w:rsidRPr="00C47080">
              <w:rPr>
                <w:rStyle w:val="Hipervnculo"/>
              </w:rPr>
              <w:t>Valor de referencia para compensación</w:t>
            </w:r>
            <w:r w:rsidR="005C12AD">
              <w:rPr>
                <w:webHidden/>
              </w:rPr>
              <w:tab/>
            </w:r>
            <w:r w:rsidR="005C12AD">
              <w:rPr>
                <w:webHidden/>
              </w:rPr>
              <w:fldChar w:fldCharType="begin"/>
            </w:r>
            <w:r w:rsidR="005C12AD">
              <w:rPr>
                <w:webHidden/>
              </w:rPr>
              <w:instrText xml:space="preserve"> PAGEREF _Toc466392662 \h </w:instrText>
            </w:r>
            <w:r w:rsidR="005C12AD">
              <w:rPr>
                <w:webHidden/>
              </w:rPr>
            </w:r>
            <w:r w:rsidR="005C12AD">
              <w:rPr>
                <w:webHidden/>
              </w:rPr>
              <w:fldChar w:fldCharType="separate"/>
            </w:r>
            <w:r w:rsidR="000F355F">
              <w:rPr>
                <w:webHidden/>
              </w:rPr>
              <w:t>65</w:t>
            </w:r>
            <w:r w:rsidR="005C12AD">
              <w:rPr>
                <w:webHidden/>
              </w:rPr>
              <w:fldChar w:fldCharType="end"/>
            </w:r>
          </w:hyperlink>
        </w:p>
        <w:p w14:paraId="759AF34D" w14:textId="77777777" w:rsidR="005C12AD" w:rsidRDefault="00651802">
          <w:pPr>
            <w:pStyle w:val="TDC2"/>
            <w:rPr>
              <w:rFonts w:asciiTheme="minorHAnsi" w:eastAsiaTheme="minorEastAsia" w:hAnsiTheme="minorHAnsi" w:cstheme="minorBidi"/>
              <w:bCs w:val="0"/>
              <w:sz w:val="22"/>
              <w:szCs w:val="22"/>
              <w:lang w:eastAsia="es-CO"/>
            </w:rPr>
          </w:pPr>
          <w:hyperlink w:anchor="_Toc466392663" w:history="1">
            <w:r w:rsidR="005C12AD" w:rsidRPr="00C47080">
              <w:rPr>
                <w:rStyle w:val="Hipervnculo"/>
              </w:rPr>
              <w:t>5.13</w:t>
            </w:r>
            <w:r w:rsidR="005C12AD">
              <w:rPr>
                <w:rFonts w:asciiTheme="minorHAnsi" w:eastAsiaTheme="minorEastAsia" w:hAnsiTheme="minorHAnsi" w:cstheme="minorBidi"/>
                <w:bCs w:val="0"/>
                <w:sz w:val="22"/>
                <w:szCs w:val="22"/>
                <w:lang w:eastAsia="es-CO"/>
              </w:rPr>
              <w:tab/>
            </w:r>
            <w:r w:rsidR="005C12AD" w:rsidRPr="00C47080">
              <w:rPr>
                <w:rStyle w:val="Hipervnculo"/>
              </w:rPr>
              <w:t>Remuneración en algunos casos de indisponibilidad</w:t>
            </w:r>
            <w:r w:rsidR="005C12AD">
              <w:rPr>
                <w:webHidden/>
              </w:rPr>
              <w:tab/>
            </w:r>
            <w:r w:rsidR="005C12AD">
              <w:rPr>
                <w:webHidden/>
              </w:rPr>
              <w:fldChar w:fldCharType="begin"/>
            </w:r>
            <w:r w:rsidR="005C12AD">
              <w:rPr>
                <w:webHidden/>
              </w:rPr>
              <w:instrText xml:space="preserve"> PAGEREF _Toc466392663 \h </w:instrText>
            </w:r>
            <w:r w:rsidR="005C12AD">
              <w:rPr>
                <w:webHidden/>
              </w:rPr>
            </w:r>
            <w:r w:rsidR="005C12AD">
              <w:rPr>
                <w:webHidden/>
              </w:rPr>
              <w:fldChar w:fldCharType="separate"/>
            </w:r>
            <w:r w:rsidR="000F355F">
              <w:rPr>
                <w:webHidden/>
              </w:rPr>
              <w:t>66</w:t>
            </w:r>
            <w:r w:rsidR="005C12AD">
              <w:rPr>
                <w:webHidden/>
              </w:rPr>
              <w:fldChar w:fldCharType="end"/>
            </w:r>
          </w:hyperlink>
        </w:p>
        <w:p w14:paraId="5474C94E" w14:textId="77777777" w:rsidR="005C12AD" w:rsidRDefault="00651802">
          <w:pPr>
            <w:pStyle w:val="TDC2"/>
            <w:rPr>
              <w:rFonts w:asciiTheme="minorHAnsi" w:eastAsiaTheme="minorEastAsia" w:hAnsiTheme="minorHAnsi" w:cstheme="minorBidi"/>
              <w:bCs w:val="0"/>
              <w:sz w:val="22"/>
              <w:szCs w:val="22"/>
              <w:lang w:eastAsia="es-CO"/>
            </w:rPr>
          </w:pPr>
          <w:hyperlink w:anchor="_Toc466392664" w:history="1">
            <w:r w:rsidR="005C12AD" w:rsidRPr="00C47080">
              <w:rPr>
                <w:rStyle w:val="Hipervnculo"/>
              </w:rPr>
              <w:t>5.14</w:t>
            </w:r>
            <w:r w:rsidR="005C12AD">
              <w:rPr>
                <w:rFonts w:asciiTheme="minorHAnsi" w:eastAsiaTheme="minorEastAsia" w:hAnsiTheme="minorHAnsi" w:cstheme="minorBidi"/>
                <w:bCs w:val="0"/>
                <w:sz w:val="22"/>
                <w:szCs w:val="22"/>
                <w:lang w:eastAsia="es-CO"/>
              </w:rPr>
              <w:tab/>
            </w:r>
            <w:r w:rsidR="005C12AD" w:rsidRPr="00C47080">
              <w:rPr>
                <w:rStyle w:val="Hipervnculo"/>
              </w:rPr>
              <w:t>Compensaciones</w:t>
            </w:r>
            <w:r w:rsidR="005C12AD">
              <w:rPr>
                <w:webHidden/>
              </w:rPr>
              <w:tab/>
            </w:r>
            <w:r w:rsidR="005C12AD">
              <w:rPr>
                <w:webHidden/>
              </w:rPr>
              <w:fldChar w:fldCharType="begin"/>
            </w:r>
            <w:r w:rsidR="005C12AD">
              <w:rPr>
                <w:webHidden/>
              </w:rPr>
              <w:instrText xml:space="preserve"> PAGEREF _Toc466392664 \h </w:instrText>
            </w:r>
            <w:r w:rsidR="005C12AD">
              <w:rPr>
                <w:webHidden/>
              </w:rPr>
            </w:r>
            <w:r w:rsidR="005C12AD">
              <w:rPr>
                <w:webHidden/>
              </w:rPr>
              <w:fldChar w:fldCharType="separate"/>
            </w:r>
            <w:r w:rsidR="000F355F">
              <w:rPr>
                <w:webHidden/>
              </w:rPr>
              <w:t>66</w:t>
            </w:r>
            <w:r w:rsidR="005C12AD">
              <w:rPr>
                <w:webHidden/>
              </w:rPr>
              <w:fldChar w:fldCharType="end"/>
            </w:r>
          </w:hyperlink>
        </w:p>
        <w:p w14:paraId="1F5BAAC0" w14:textId="77777777" w:rsidR="005C12AD" w:rsidRDefault="00651802">
          <w:pPr>
            <w:pStyle w:val="TDC3"/>
            <w:rPr>
              <w:rFonts w:asciiTheme="minorHAnsi" w:eastAsiaTheme="minorEastAsia" w:hAnsiTheme="minorHAnsi" w:cstheme="minorBidi"/>
              <w:sz w:val="22"/>
              <w:szCs w:val="22"/>
              <w:lang w:eastAsia="es-CO"/>
            </w:rPr>
          </w:pPr>
          <w:hyperlink w:anchor="_Toc466392665" w:history="1">
            <w:r w:rsidR="005C12AD" w:rsidRPr="00C47080">
              <w:rPr>
                <w:rStyle w:val="Hipervnculo"/>
              </w:rPr>
              <w:t>5.14.1</w:t>
            </w:r>
            <w:r w:rsidR="005C12AD">
              <w:rPr>
                <w:rFonts w:asciiTheme="minorHAnsi" w:eastAsiaTheme="minorEastAsia" w:hAnsiTheme="minorHAnsi" w:cstheme="minorBidi"/>
                <w:sz w:val="22"/>
                <w:szCs w:val="22"/>
                <w:lang w:eastAsia="es-CO"/>
              </w:rPr>
              <w:tab/>
            </w:r>
            <w:r w:rsidR="005C12AD" w:rsidRPr="00C47080">
              <w:rPr>
                <w:rStyle w:val="Hipervnculo"/>
              </w:rPr>
              <w:t>Compensaciones por incumplimiento de las metas</w:t>
            </w:r>
            <w:r w:rsidR="005C12AD">
              <w:rPr>
                <w:webHidden/>
              </w:rPr>
              <w:tab/>
            </w:r>
            <w:r w:rsidR="005C12AD">
              <w:rPr>
                <w:webHidden/>
              </w:rPr>
              <w:fldChar w:fldCharType="begin"/>
            </w:r>
            <w:r w:rsidR="005C12AD">
              <w:rPr>
                <w:webHidden/>
              </w:rPr>
              <w:instrText xml:space="preserve"> PAGEREF _Toc466392665 \h </w:instrText>
            </w:r>
            <w:r w:rsidR="005C12AD">
              <w:rPr>
                <w:webHidden/>
              </w:rPr>
            </w:r>
            <w:r w:rsidR="005C12AD">
              <w:rPr>
                <w:webHidden/>
              </w:rPr>
              <w:fldChar w:fldCharType="separate"/>
            </w:r>
            <w:r w:rsidR="000F355F">
              <w:rPr>
                <w:webHidden/>
              </w:rPr>
              <w:t>66</w:t>
            </w:r>
            <w:r w:rsidR="005C12AD">
              <w:rPr>
                <w:webHidden/>
              </w:rPr>
              <w:fldChar w:fldCharType="end"/>
            </w:r>
          </w:hyperlink>
        </w:p>
        <w:p w14:paraId="1AB2536E" w14:textId="77777777" w:rsidR="005C12AD" w:rsidRDefault="00651802">
          <w:pPr>
            <w:pStyle w:val="TDC3"/>
            <w:rPr>
              <w:rFonts w:asciiTheme="minorHAnsi" w:eastAsiaTheme="minorEastAsia" w:hAnsiTheme="minorHAnsi" w:cstheme="minorBidi"/>
              <w:sz w:val="22"/>
              <w:szCs w:val="22"/>
              <w:lang w:eastAsia="es-CO"/>
            </w:rPr>
          </w:pPr>
          <w:hyperlink w:anchor="_Toc466392666" w:history="1">
            <w:r w:rsidR="005C12AD" w:rsidRPr="00C47080">
              <w:rPr>
                <w:rStyle w:val="Hipervnculo"/>
              </w:rPr>
              <w:t>5.14.2</w:t>
            </w:r>
            <w:r w:rsidR="005C12AD">
              <w:rPr>
                <w:rFonts w:asciiTheme="minorHAnsi" w:eastAsiaTheme="minorEastAsia" w:hAnsiTheme="minorHAnsi" w:cstheme="minorBidi"/>
                <w:sz w:val="22"/>
                <w:szCs w:val="22"/>
                <w:lang w:eastAsia="es-CO"/>
              </w:rPr>
              <w:tab/>
            </w:r>
            <w:r w:rsidR="005C12AD" w:rsidRPr="00C47080">
              <w:rPr>
                <w:rStyle w:val="Hipervnculo"/>
              </w:rPr>
              <w:t>Compensaciones por dejar no operativos otros activos o por energía no suministrada</w:t>
            </w:r>
            <w:r w:rsidR="005C12AD">
              <w:rPr>
                <w:webHidden/>
              </w:rPr>
              <w:tab/>
            </w:r>
            <w:r w:rsidR="005C12AD">
              <w:rPr>
                <w:webHidden/>
              </w:rPr>
              <w:fldChar w:fldCharType="begin"/>
            </w:r>
            <w:r w:rsidR="005C12AD">
              <w:rPr>
                <w:webHidden/>
              </w:rPr>
              <w:instrText xml:space="preserve"> PAGEREF _Toc466392666 \h </w:instrText>
            </w:r>
            <w:r w:rsidR="005C12AD">
              <w:rPr>
                <w:webHidden/>
              </w:rPr>
            </w:r>
            <w:r w:rsidR="005C12AD">
              <w:rPr>
                <w:webHidden/>
              </w:rPr>
              <w:fldChar w:fldCharType="separate"/>
            </w:r>
            <w:r w:rsidR="000F355F">
              <w:rPr>
                <w:webHidden/>
              </w:rPr>
              <w:t>67</w:t>
            </w:r>
            <w:r w:rsidR="005C12AD">
              <w:rPr>
                <w:webHidden/>
              </w:rPr>
              <w:fldChar w:fldCharType="end"/>
            </w:r>
          </w:hyperlink>
        </w:p>
        <w:p w14:paraId="463767F8" w14:textId="77777777" w:rsidR="005C12AD" w:rsidRDefault="00651802">
          <w:pPr>
            <w:pStyle w:val="TDC3"/>
            <w:rPr>
              <w:rFonts w:asciiTheme="minorHAnsi" w:eastAsiaTheme="minorEastAsia" w:hAnsiTheme="minorHAnsi" w:cstheme="minorBidi"/>
              <w:sz w:val="22"/>
              <w:szCs w:val="22"/>
              <w:lang w:eastAsia="es-CO"/>
            </w:rPr>
          </w:pPr>
          <w:hyperlink w:anchor="_Toc466392667" w:history="1">
            <w:r w:rsidR="005C12AD" w:rsidRPr="00C47080">
              <w:rPr>
                <w:rStyle w:val="Hipervnculo"/>
              </w:rPr>
              <w:t>5.14.3</w:t>
            </w:r>
            <w:r w:rsidR="005C12AD">
              <w:rPr>
                <w:rFonts w:asciiTheme="minorHAnsi" w:eastAsiaTheme="minorEastAsia" w:hAnsiTheme="minorHAnsi" w:cstheme="minorBidi"/>
                <w:sz w:val="22"/>
                <w:szCs w:val="22"/>
                <w:lang w:eastAsia="es-CO"/>
              </w:rPr>
              <w:tab/>
            </w:r>
            <w:r w:rsidR="005C12AD" w:rsidRPr="00C47080">
              <w:rPr>
                <w:rStyle w:val="Hipervnculo"/>
              </w:rPr>
              <w:t>Valor total a compensar</w:t>
            </w:r>
            <w:r w:rsidR="005C12AD">
              <w:rPr>
                <w:webHidden/>
              </w:rPr>
              <w:tab/>
            </w:r>
            <w:r w:rsidR="005C12AD">
              <w:rPr>
                <w:webHidden/>
              </w:rPr>
              <w:fldChar w:fldCharType="begin"/>
            </w:r>
            <w:r w:rsidR="005C12AD">
              <w:rPr>
                <w:webHidden/>
              </w:rPr>
              <w:instrText xml:space="preserve"> PAGEREF _Toc466392667 \h </w:instrText>
            </w:r>
            <w:r w:rsidR="005C12AD">
              <w:rPr>
                <w:webHidden/>
              </w:rPr>
            </w:r>
            <w:r w:rsidR="005C12AD">
              <w:rPr>
                <w:webHidden/>
              </w:rPr>
              <w:fldChar w:fldCharType="separate"/>
            </w:r>
            <w:r w:rsidR="000F355F">
              <w:rPr>
                <w:webHidden/>
              </w:rPr>
              <w:t>69</w:t>
            </w:r>
            <w:r w:rsidR="005C12AD">
              <w:rPr>
                <w:webHidden/>
              </w:rPr>
              <w:fldChar w:fldCharType="end"/>
            </w:r>
          </w:hyperlink>
        </w:p>
        <w:p w14:paraId="569C7A19" w14:textId="77777777" w:rsidR="005C12AD" w:rsidRDefault="00651802">
          <w:pPr>
            <w:pStyle w:val="TDC2"/>
            <w:rPr>
              <w:rFonts w:asciiTheme="minorHAnsi" w:eastAsiaTheme="minorEastAsia" w:hAnsiTheme="minorHAnsi" w:cstheme="minorBidi"/>
              <w:bCs w:val="0"/>
              <w:sz w:val="22"/>
              <w:szCs w:val="22"/>
              <w:lang w:eastAsia="es-CO"/>
            </w:rPr>
          </w:pPr>
          <w:hyperlink w:anchor="_Toc466392668" w:history="1">
            <w:r w:rsidR="005C12AD" w:rsidRPr="00C47080">
              <w:rPr>
                <w:rStyle w:val="Hipervnculo"/>
              </w:rPr>
              <w:t>5.15</w:t>
            </w:r>
            <w:r w:rsidR="005C12AD">
              <w:rPr>
                <w:rFonts w:asciiTheme="minorHAnsi" w:eastAsiaTheme="minorEastAsia" w:hAnsiTheme="minorHAnsi" w:cstheme="minorBidi"/>
                <w:bCs w:val="0"/>
                <w:sz w:val="22"/>
                <w:szCs w:val="22"/>
                <w:lang w:eastAsia="es-CO"/>
              </w:rPr>
              <w:tab/>
            </w:r>
            <w:r w:rsidR="005C12AD" w:rsidRPr="00C47080">
              <w:rPr>
                <w:rStyle w:val="Hipervnculo"/>
              </w:rPr>
              <w:t>Informe sobre ENS</w:t>
            </w:r>
            <w:r w:rsidR="005C12AD">
              <w:rPr>
                <w:webHidden/>
              </w:rPr>
              <w:tab/>
            </w:r>
            <w:r w:rsidR="005C12AD">
              <w:rPr>
                <w:webHidden/>
              </w:rPr>
              <w:fldChar w:fldCharType="begin"/>
            </w:r>
            <w:r w:rsidR="005C12AD">
              <w:rPr>
                <w:webHidden/>
              </w:rPr>
              <w:instrText xml:space="preserve"> PAGEREF _Toc466392668 \h </w:instrText>
            </w:r>
            <w:r w:rsidR="005C12AD">
              <w:rPr>
                <w:webHidden/>
              </w:rPr>
            </w:r>
            <w:r w:rsidR="005C12AD">
              <w:rPr>
                <w:webHidden/>
              </w:rPr>
              <w:fldChar w:fldCharType="separate"/>
            </w:r>
            <w:r w:rsidR="000F355F">
              <w:rPr>
                <w:webHidden/>
              </w:rPr>
              <w:t>70</w:t>
            </w:r>
            <w:r w:rsidR="005C12AD">
              <w:rPr>
                <w:webHidden/>
              </w:rPr>
              <w:fldChar w:fldCharType="end"/>
            </w:r>
          </w:hyperlink>
        </w:p>
        <w:p w14:paraId="4C04E53A" w14:textId="77777777" w:rsidR="005C12AD" w:rsidRDefault="00651802">
          <w:pPr>
            <w:pStyle w:val="TDC2"/>
            <w:rPr>
              <w:rFonts w:asciiTheme="minorHAnsi" w:eastAsiaTheme="minorEastAsia" w:hAnsiTheme="minorHAnsi" w:cstheme="minorBidi"/>
              <w:bCs w:val="0"/>
              <w:sz w:val="22"/>
              <w:szCs w:val="22"/>
              <w:lang w:eastAsia="es-CO"/>
            </w:rPr>
          </w:pPr>
          <w:hyperlink w:anchor="_Toc466392669" w:history="1">
            <w:r w:rsidR="005C12AD" w:rsidRPr="00C47080">
              <w:rPr>
                <w:rStyle w:val="Hipervnculo"/>
              </w:rPr>
              <w:t>5.16</w:t>
            </w:r>
            <w:r w:rsidR="005C12AD">
              <w:rPr>
                <w:rFonts w:asciiTheme="minorHAnsi" w:eastAsiaTheme="minorEastAsia" w:hAnsiTheme="minorHAnsi" w:cstheme="minorBidi"/>
                <w:bCs w:val="0"/>
                <w:sz w:val="22"/>
                <w:szCs w:val="22"/>
                <w:lang w:eastAsia="es-CO"/>
              </w:rPr>
              <w:tab/>
            </w:r>
            <w:r w:rsidR="005C12AD" w:rsidRPr="00C47080">
              <w:rPr>
                <w:rStyle w:val="Hipervnculo"/>
              </w:rPr>
              <w:t>Zona excluida de CNE</w:t>
            </w:r>
            <w:r w:rsidR="005C12AD">
              <w:rPr>
                <w:webHidden/>
              </w:rPr>
              <w:tab/>
            </w:r>
            <w:r w:rsidR="005C12AD">
              <w:rPr>
                <w:webHidden/>
              </w:rPr>
              <w:fldChar w:fldCharType="begin"/>
            </w:r>
            <w:r w:rsidR="005C12AD">
              <w:rPr>
                <w:webHidden/>
              </w:rPr>
              <w:instrText xml:space="preserve"> PAGEREF _Toc466392669 \h </w:instrText>
            </w:r>
            <w:r w:rsidR="005C12AD">
              <w:rPr>
                <w:webHidden/>
              </w:rPr>
            </w:r>
            <w:r w:rsidR="005C12AD">
              <w:rPr>
                <w:webHidden/>
              </w:rPr>
              <w:fldChar w:fldCharType="separate"/>
            </w:r>
            <w:r w:rsidR="000F355F">
              <w:rPr>
                <w:webHidden/>
              </w:rPr>
              <w:t>70</w:t>
            </w:r>
            <w:r w:rsidR="005C12AD">
              <w:rPr>
                <w:webHidden/>
              </w:rPr>
              <w:fldChar w:fldCharType="end"/>
            </w:r>
          </w:hyperlink>
        </w:p>
        <w:p w14:paraId="72DABB3B" w14:textId="77777777" w:rsidR="005C12AD" w:rsidRDefault="00651802">
          <w:pPr>
            <w:pStyle w:val="TDC3"/>
            <w:rPr>
              <w:rFonts w:asciiTheme="minorHAnsi" w:eastAsiaTheme="minorEastAsia" w:hAnsiTheme="minorHAnsi" w:cstheme="minorBidi"/>
              <w:sz w:val="22"/>
              <w:szCs w:val="22"/>
              <w:lang w:eastAsia="es-CO"/>
            </w:rPr>
          </w:pPr>
          <w:hyperlink w:anchor="_Toc466392670" w:history="1">
            <w:r w:rsidR="005C12AD" w:rsidRPr="00C47080">
              <w:rPr>
                <w:rStyle w:val="Hipervnculo"/>
              </w:rPr>
              <w:t>5.16.1</w:t>
            </w:r>
            <w:r w:rsidR="005C12AD">
              <w:rPr>
                <w:rFonts w:asciiTheme="minorHAnsi" w:eastAsiaTheme="minorEastAsia" w:hAnsiTheme="minorHAnsi" w:cstheme="minorBidi"/>
                <w:sz w:val="22"/>
                <w:szCs w:val="22"/>
                <w:lang w:eastAsia="es-CO"/>
              </w:rPr>
              <w:tab/>
            </w:r>
            <w:r w:rsidR="005C12AD" w:rsidRPr="00C47080">
              <w:rPr>
                <w:rStyle w:val="Hipervnculo"/>
              </w:rPr>
              <w:t>Lista de zonas excluidas de CNE</w:t>
            </w:r>
            <w:r w:rsidR="005C12AD">
              <w:rPr>
                <w:webHidden/>
              </w:rPr>
              <w:tab/>
            </w:r>
            <w:r w:rsidR="005C12AD">
              <w:rPr>
                <w:webHidden/>
              </w:rPr>
              <w:fldChar w:fldCharType="begin"/>
            </w:r>
            <w:r w:rsidR="005C12AD">
              <w:rPr>
                <w:webHidden/>
              </w:rPr>
              <w:instrText xml:space="preserve"> PAGEREF _Toc466392670 \h </w:instrText>
            </w:r>
            <w:r w:rsidR="005C12AD">
              <w:rPr>
                <w:webHidden/>
              </w:rPr>
            </w:r>
            <w:r w:rsidR="005C12AD">
              <w:rPr>
                <w:webHidden/>
              </w:rPr>
              <w:fldChar w:fldCharType="separate"/>
            </w:r>
            <w:r w:rsidR="000F355F">
              <w:rPr>
                <w:webHidden/>
              </w:rPr>
              <w:t>71</w:t>
            </w:r>
            <w:r w:rsidR="005C12AD">
              <w:rPr>
                <w:webHidden/>
              </w:rPr>
              <w:fldChar w:fldCharType="end"/>
            </w:r>
          </w:hyperlink>
        </w:p>
        <w:p w14:paraId="4C4DCC7B" w14:textId="77777777" w:rsidR="005C12AD" w:rsidRDefault="00651802">
          <w:pPr>
            <w:pStyle w:val="TDC3"/>
            <w:rPr>
              <w:rFonts w:asciiTheme="minorHAnsi" w:eastAsiaTheme="minorEastAsia" w:hAnsiTheme="minorHAnsi" w:cstheme="minorBidi"/>
              <w:sz w:val="22"/>
              <w:szCs w:val="22"/>
              <w:lang w:eastAsia="es-CO"/>
            </w:rPr>
          </w:pPr>
          <w:hyperlink w:anchor="_Toc466392671" w:history="1">
            <w:r w:rsidR="005C12AD" w:rsidRPr="00C47080">
              <w:rPr>
                <w:rStyle w:val="Hipervnculo"/>
              </w:rPr>
              <w:t>5.16.2</w:t>
            </w:r>
            <w:r w:rsidR="005C12AD">
              <w:rPr>
                <w:rFonts w:asciiTheme="minorHAnsi" w:eastAsiaTheme="minorEastAsia" w:hAnsiTheme="minorHAnsi" w:cstheme="minorBidi"/>
                <w:sz w:val="22"/>
                <w:szCs w:val="22"/>
                <w:lang w:eastAsia="es-CO"/>
              </w:rPr>
              <w:tab/>
            </w:r>
            <w:r w:rsidR="005C12AD" w:rsidRPr="00C47080">
              <w:rPr>
                <w:rStyle w:val="Hipervnculo"/>
              </w:rPr>
              <w:t>Procedimiento para establecer zonas excluidas de CNE</w:t>
            </w:r>
            <w:r w:rsidR="005C12AD">
              <w:rPr>
                <w:webHidden/>
              </w:rPr>
              <w:tab/>
            </w:r>
            <w:r w:rsidR="005C12AD">
              <w:rPr>
                <w:webHidden/>
              </w:rPr>
              <w:fldChar w:fldCharType="begin"/>
            </w:r>
            <w:r w:rsidR="005C12AD">
              <w:rPr>
                <w:webHidden/>
              </w:rPr>
              <w:instrText xml:space="preserve"> PAGEREF _Toc466392671 \h </w:instrText>
            </w:r>
            <w:r w:rsidR="005C12AD">
              <w:rPr>
                <w:webHidden/>
              </w:rPr>
            </w:r>
            <w:r w:rsidR="005C12AD">
              <w:rPr>
                <w:webHidden/>
              </w:rPr>
              <w:fldChar w:fldCharType="separate"/>
            </w:r>
            <w:r w:rsidR="000F355F">
              <w:rPr>
                <w:webHidden/>
              </w:rPr>
              <w:t>71</w:t>
            </w:r>
            <w:r w:rsidR="005C12AD">
              <w:rPr>
                <w:webHidden/>
              </w:rPr>
              <w:fldChar w:fldCharType="end"/>
            </w:r>
          </w:hyperlink>
        </w:p>
        <w:p w14:paraId="5FAA62DF" w14:textId="77777777" w:rsidR="005C12AD" w:rsidRDefault="00651802">
          <w:pPr>
            <w:pStyle w:val="TDC2"/>
            <w:rPr>
              <w:rFonts w:asciiTheme="minorHAnsi" w:eastAsiaTheme="minorEastAsia" w:hAnsiTheme="minorHAnsi" w:cstheme="minorBidi"/>
              <w:bCs w:val="0"/>
              <w:sz w:val="22"/>
              <w:szCs w:val="22"/>
              <w:lang w:eastAsia="es-CO"/>
            </w:rPr>
          </w:pPr>
          <w:hyperlink w:anchor="_Toc466392672" w:history="1">
            <w:r w:rsidR="005C12AD" w:rsidRPr="00C47080">
              <w:rPr>
                <w:rStyle w:val="Hipervnculo"/>
              </w:rPr>
              <w:t>5.17</w:t>
            </w:r>
            <w:r w:rsidR="005C12AD">
              <w:rPr>
                <w:rFonts w:asciiTheme="minorHAnsi" w:eastAsiaTheme="minorEastAsia" w:hAnsiTheme="minorHAnsi" w:cstheme="minorBidi"/>
                <w:bCs w:val="0"/>
                <w:sz w:val="22"/>
                <w:szCs w:val="22"/>
                <w:lang w:eastAsia="es-CO"/>
              </w:rPr>
              <w:tab/>
            </w:r>
            <w:r w:rsidR="005C12AD" w:rsidRPr="00C47080">
              <w:rPr>
                <w:rStyle w:val="Hipervnculo"/>
              </w:rPr>
              <w:t>Límite de los valores a compensar</w:t>
            </w:r>
            <w:r w:rsidR="005C12AD">
              <w:rPr>
                <w:webHidden/>
              </w:rPr>
              <w:tab/>
            </w:r>
            <w:r w:rsidR="005C12AD">
              <w:rPr>
                <w:webHidden/>
              </w:rPr>
              <w:fldChar w:fldCharType="begin"/>
            </w:r>
            <w:r w:rsidR="005C12AD">
              <w:rPr>
                <w:webHidden/>
              </w:rPr>
              <w:instrText xml:space="preserve"> PAGEREF _Toc466392672 \h </w:instrText>
            </w:r>
            <w:r w:rsidR="005C12AD">
              <w:rPr>
                <w:webHidden/>
              </w:rPr>
            </w:r>
            <w:r w:rsidR="005C12AD">
              <w:rPr>
                <w:webHidden/>
              </w:rPr>
              <w:fldChar w:fldCharType="separate"/>
            </w:r>
            <w:r w:rsidR="000F355F">
              <w:rPr>
                <w:webHidden/>
              </w:rPr>
              <w:t>71</w:t>
            </w:r>
            <w:r w:rsidR="005C12AD">
              <w:rPr>
                <w:webHidden/>
              </w:rPr>
              <w:fldChar w:fldCharType="end"/>
            </w:r>
          </w:hyperlink>
        </w:p>
        <w:p w14:paraId="269FFD33" w14:textId="77777777" w:rsidR="005C12AD" w:rsidRDefault="00651802">
          <w:pPr>
            <w:pStyle w:val="TDC1"/>
            <w:rPr>
              <w:rFonts w:asciiTheme="minorHAnsi" w:eastAsiaTheme="minorEastAsia" w:hAnsiTheme="minorHAnsi" w:cstheme="minorBidi"/>
              <w:b w:val="0"/>
              <w:sz w:val="22"/>
              <w:szCs w:val="22"/>
              <w:lang w:val="es-CO" w:eastAsia="es-CO"/>
            </w:rPr>
          </w:pPr>
          <w:hyperlink w:anchor="_Toc466392673" w:history="1">
            <w:r w:rsidR="005C12AD" w:rsidRPr="00C47080">
              <w:rPr>
                <w:rStyle w:val="Hipervnculo"/>
              </w:rPr>
              <w:t>CAPÍTULO 6.</w:t>
            </w:r>
            <w:r w:rsidR="005C12AD">
              <w:rPr>
                <w:rFonts w:asciiTheme="minorHAnsi" w:eastAsiaTheme="minorEastAsia" w:hAnsiTheme="minorHAnsi" w:cstheme="minorBidi"/>
                <w:b w:val="0"/>
                <w:sz w:val="22"/>
                <w:szCs w:val="22"/>
                <w:lang w:val="es-CO" w:eastAsia="es-CO"/>
              </w:rPr>
              <w:tab/>
            </w:r>
            <w:r w:rsidR="005C12AD" w:rsidRPr="00C47080">
              <w:rPr>
                <w:rStyle w:val="Hipervnculo"/>
              </w:rPr>
              <w:t>PLANES DE INVERSIÓN</w:t>
            </w:r>
            <w:r w:rsidR="005C12AD">
              <w:rPr>
                <w:webHidden/>
              </w:rPr>
              <w:tab/>
            </w:r>
            <w:r w:rsidR="005C12AD">
              <w:rPr>
                <w:webHidden/>
              </w:rPr>
              <w:fldChar w:fldCharType="begin"/>
            </w:r>
            <w:r w:rsidR="005C12AD">
              <w:rPr>
                <w:webHidden/>
              </w:rPr>
              <w:instrText xml:space="preserve"> PAGEREF _Toc466392673 \h </w:instrText>
            </w:r>
            <w:r w:rsidR="005C12AD">
              <w:rPr>
                <w:webHidden/>
              </w:rPr>
            </w:r>
            <w:r w:rsidR="005C12AD">
              <w:rPr>
                <w:webHidden/>
              </w:rPr>
              <w:fldChar w:fldCharType="separate"/>
            </w:r>
            <w:r w:rsidR="000F355F">
              <w:rPr>
                <w:webHidden/>
              </w:rPr>
              <w:t>73</w:t>
            </w:r>
            <w:r w:rsidR="005C12AD">
              <w:rPr>
                <w:webHidden/>
              </w:rPr>
              <w:fldChar w:fldCharType="end"/>
            </w:r>
          </w:hyperlink>
        </w:p>
        <w:p w14:paraId="62C14E7D" w14:textId="77777777" w:rsidR="005C12AD" w:rsidRDefault="00651802">
          <w:pPr>
            <w:pStyle w:val="TDC2"/>
            <w:rPr>
              <w:rFonts w:asciiTheme="minorHAnsi" w:eastAsiaTheme="minorEastAsia" w:hAnsiTheme="minorHAnsi" w:cstheme="minorBidi"/>
              <w:bCs w:val="0"/>
              <w:sz w:val="22"/>
              <w:szCs w:val="22"/>
              <w:lang w:eastAsia="es-CO"/>
            </w:rPr>
          </w:pPr>
          <w:hyperlink w:anchor="_Toc466392674" w:history="1">
            <w:r w:rsidR="005C12AD" w:rsidRPr="00C47080">
              <w:rPr>
                <w:rStyle w:val="Hipervnculo"/>
              </w:rPr>
              <w:t>6.1</w:t>
            </w:r>
            <w:r w:rsidR="005C12AD">
              <w:rPr>
                <w:rFonts w:asciiTheme="minorHAnsi" w:eastAsiaTheme="minorEastAsia" w:hAnsiTheme="minorHAnsi" w:cstheme="minorBidi"/>
                <w:bCs w:val="0"/>
                <w:sz w:val="22"/>
                <w:szCs w:val="22"/>
                <w:lang w:eastAsia="es-CO"/>
              </w:rPr>
              <w:tab/>
            </w:r>
            <w:r w:rsidR="005C12AD" w:rsidRPr="00C47080">
              <w:rPr>
                <w:rStyle w:val="Hipervnculo"/>
              </w:rPr>
              <w:t>Criterios de generales</w:t>
            </w:r>
            <w:r w:rsidR="005C12AD">
              <w:rPr>
                <w:webHidden/>
              </w:rPr>
              <w:tab/>
            </w:r>
            <w:r w:rsidR="005C12AD">
              <w:rPr>
                <w:webHidden/>
              </w:rPr>
              <w:fldChar w:fldCharType="begin"/>
            </w:r>
            <w:r w:rsidR="005C12AD">
              <w:rPr>
                <w:webHidden/>
              </w:rPr>
              <w:instrText xml:space="preserve"> PAGEREF _Toc466392674 \h </w:instrText>
            </w:r>
            <w:r w:rsidR="005C12AD">
              <w:rPr>
                <w:webHidden/>
              </w:rPr>
            </w:r>
            <w:r w:rsidR="005C12AD">
              <w:rPr>
                <w:webHidden/>
              </w:rPr>
              <w:fldChar w:fldCharType="separate"/>
            </w:r>
            <w:r w:rsidR="000F355F">
              <w:rPr>
                <w:webHidden/>
              </w:rPr>
              <w:t>73</w:t>
            </w:r>
            <w:r w:rsidR="005C12AD">
              <w:rPr>
                <w:webHidden/>
              </w:rPr>
              <w:fldChar w:fldCharType="end"/>
            </w:r>
          </w:hyperlink>
        </w:p>
        <w:p w14:paraId="2CECFDC2" w14:textId="77777777" w:rsidR="005C12AD" w:rsidRDefault="00651802">
          <w:pPr>
            <w:pStyle w:val="TDC2"/>
            <w:rPr>
              <w:rFonts w:asciiTheme="minorHAnsi" w:eastAsiaTheme="minorEastAsia" w:hAnsiTheme="minorHAnsi" w:cstheme="minorBidi"/>
              <w:bCs w:val="0"/>
              <w:sz w:val="22"/>
              <w:szCs w:val="22"/>
              <w:lang w:eastAsia="es-CO"/>
            </w:rPr>
          </w:pPr>
          <w:hyperlink w:anchor="_Toc466392675" w:history="1">
            <w:r w:rsidR="005C12AD" w:rsidRPr="00C47080">
              <w:rPr>
                <w:rStyle w:val="Hipervnculo"/>
              </w:rPr>
              <w:t>6.2</w:t>
            </w:r>
            <w:r w:rsidR="005C12AD">
              <w:rPr>
                <w:rFonts w:asciiTheme="minorHAnsi" w:eastAsiaTheme="minorEastAsia" w:hAnsiTheme="minorHAnsi" w:cstheme="minorBidi"/>
                <w:bCs w:val="0"/>
                <w:sz w:val="22"/>
                <w:szCs w:val="22"/>
                <w:lang w:eastAsia="es-CO"/>
              </w:rPr>
              <w:tab/>
            </w:r>
            <w:r w:rsidR="005C12AD" w:rsidRPr="00C47080">
              <w:rPr>
                <w:rStyle w:val="Hipervnculo"/>
              </w:rPr>
              <w:t>Presentación de los planes de inversión</w:t>
            </w:r>
            <w:r w:rsidR="005C12AD">
              <w:rPr>
                <w:webHidden/>
              </w:rPr>
              <w:tab/>
            </w:r>
            <w:r w:rsidR="005C12AD">
              <w:rPr>
                <w:webHidden/>
              </w:rPr>
              <w:fldChar w:fldCharType="begin"/>
            </w:r>
            <w:r w:rsidR="005C12AD">
              <w:rPr>
                <w:webHidden/>
              </w:rPr>
              <w:instrText xml:space="preserve"> PAGEREF _Toc466392675 \h </w:instrText>
            </w:r>
            <w:r w:rsidR="005C12AD">
              <w:rPr>
                <w:webHidden/>
              </w:rPr>
            </w:r>
            <w:r w:rsidR="005C12AD">
              <w:rPr>
                <w:webHidden/>
              </w:rPr>
              <w:fldChar w:fldCharType="separate"/>
            </w:r>
            <w:r w:rsidR="000F355F">
              <w:rPr>
                <w:webHidden/>
              </w:rPr>
              <w:t>74</w:t>
            </w:r>
            <w:r w:rsidR="005C12AD">
              <w:rPr>
                <w:webHidden/>
              </w:rPr>
              <w:fldChar w:fldCharType="end"/>
            </w:r>
          </w:hyperlink>
        </w:p>
        <w:p w14:paraId="1ACFC7FB" w14:textId="77777777" w:rsidR="005C12AD" w:rsidRDefault="00651802">
          <w:pPr>
            <w:pStyle w:val="TDC2"/>
            <w:rPr>
              <w:rFonts w:asciiTheme="minorHAnsi" w:eastAsiaTheme="minorEastAsia" w:hAnsiTheme="minorHAnsi" w:cstheme="minorBidi"/>
              <w:bCs w:val="0"/>
              <w:sz w:val="22"/>
              <w:szCs w:val="22"/>
              <w:lang w:eastAsia="es-CO"/>
            </w:rPr>
          </w:pPr>
          <w:hyperlink w:anchor="_Toc466392676" w:history="1">
            <w:r w:rsidR="005C12AD" w:rsidRPr="00C47080">
              <w:rPr>
                <w:rStyle w:val="Hipervnculo"/>
              </w:rPr>
              <w:t>6.3</w:t>
            </w:r>
            <w:r w:rsidR="005C12AD">
              <w:rPr>
                <w:rFonts w:asciiTheme="minorHAnsi" w:eastAsiaTheme="minorEastAsia" w:hAnsiTheme="minorHAnsi" w:cstheme="minorBidi"/>
                <w:bCs w:val="0"/>
                <w:sz w:val="22"/>
                <w:szCs w:val="22"/>
                <w:lang w:eastAsia="es-CO"/>
              </w:rPr>
              <w:tab/>
            </w:r>
            <w:r w:rsidR="005C12AD" w:rsidRPr="00C47080">
              <w:rPr>
                <w:rStyle w:val="Hipervnculo"/>
              </w:rPr>
              <w:t>Contenido de los planes de inversión</w:t>
            </w:r>
            <w:r w:rsidR="005C12AD">
              <w:rPr>
                <w:webHidden/>
              </w:rPr>
              <w:tab/>
            </w:r>
            <w:r w:rsidR="005C12AD">
              <w:rPr>
                <w:webHidden/>
              </w:rPr>
              <w:fldChar w:fldCharType="begin"/>
            </w:r>
            <w:r w:rsidR="005C12AD">
              <w:rPr>
                <w:webHidden/>
              </w:rPr>
              <w:instrText xml:space="preserve"> PAGEREF _Toc466392676 \h </w:instrText>
            </w:r>
            <w:r w:rsidR="005C12AD">
              <w:rPr>
                <w:webHidden/>
              </w:rPr>
            </w:r>
            <w:r w:rsidR="005C12AD">
              <w:rPr>
                <w:webHidden/>
              </w:rPr>
              <w:fldChar w:fldCharType="separate"/>
            </w:r>
            <w:r w:rsidR="000F355F">
              <w:rPr>
                <w:webHidden/>
              </w:rPr>
              <w:t>74</w:t>
            </w:r>
            <w:r w:rsidR="005C12AD">
              <w:rPr>
                <w:webHidden/>
              </w:rPr>
              <w:fldChar w:fldCharType="end"/>
            </w:r>
          </w:hyperlink>
        </w:p>
        <w:p w14:paraId="3037AD1E" w14:textId="77777777" w:rsidR="005C12AD" w:rsidRDefault="00651802">
          <w:pPr>
            <w:pStyle w:val="TDC3"/>
            <w:rPr>
              <w:rFonts w:asciiTheme="minorHAnsi" w:eastAsiaTheme="minorEastAsia" w:hAnsiTheme="minorHAnsi" w:cstheme="minorBidi"/>
              <w:sz w:val="22"/>
              <w:szCs w:val="22"/>
              <w:lang w:eastAsia="es-CO"/>
            </w:rPr>
          </w:pPr>
          <w:hyperlink w:anchor="_Toc466392677" w:history="1">
            <w:r w:rsidR="005C12AD" w:rsidRPr="00C47080">
              <w:rPr>
                <w:rStyle w:val="Hipervnculo"/>
              </w:rPr>
              <w:t>6.3.1</w:t>
            </w:r>
            <w:r w:rsidR="005C12AD">
              <w:rPr>
                <w:rFonts w:asciiTheme="minorHAnsi" w:eastAsiaTheme="minorEastAsia" w:hAnsiTheme="minorHAnsi" w:cstheme="minorBidi"/>
                <w:sz w:val="22"/>
                <w:szCs w:val="22"/>
                <w:lang w:eastAsia="es-CO"/>
              </w:rPr>
              <w:tab/>
            </w:r>
            <w:r w:rsidR="005C12AD" w:rsidRPr="00C47080">
              <w:rPr>
                <w:rStyle w:val="Hipervnculo"/>
              </w:rPr>
              <w:t>Diagnóstico</w:t>
            </w:r>
            <w:r w:rsidR="005C12AD">
              <w:rPr>
                <w:webHidden/>
              </w:rPr>
              <w:tab/>
            </w:r>
            <w:r w:rsidR="005C12AD">
              <w:rPr>
                <w:webHidden/>
              </w:rPr>
              <w:fldChar w:fldCharType="begin"/>
            </w:r>
            <w:r w:rsidR="005C12AD">
              <w:rPr>
                <w:webHidden/>
              </w:rPr>
              <w:instrText xml:space="preserve"> PAGEREF _Toc466392677 \h </w:instrText>
            </w:r>
            <w:r w:rsidR="005C12AD">
              <w:rPr>
                <w:webHidden/>
              </w:rPr>
            </w:r>
            <w:r w:rsidR="005C12AD">
              <w:rPr>
                <w:webHidden/>
              </w:rPr>
              <w:fldChar w:fldCharType="separate"/>
            </w:r>
            <w:r w:rsidR="000F355F">
              <w:rPr>
                <w:webHidden/>
              </w:rPr>
              <w:t>74</w:t>
            </w:r>
            <w:r w:rsidR="005C12AD">
              <w:rPr>
                <w:webHidden/>
              </w:rPr>
              <w:fldChar w:fldCharType="end"/>
            </w:r>
          </w:hyperlink>
        </w:p>
        <w:p w14:paraId="62F935EE" w14:textId="77777777" w:rsidR="005C12AD" w:rsidRDefault="00651802">
          <w:pPr>
            <w:pStyle w:val="TDC3"/>
            <w:rPr>
              <w:rFonts w:asciiTheme="minorHAnsi" w:eastAsiaTheme="minorEastAsia" w:hAnsiTheme="minorHAnsi" w:cstheme="minorBidi"/>
              <w:sz w:val="22"/>
              <w:szCs w:val="22"/>
              <w:lang w:eastAsia="es-CO"/>
            </w:rPr>
          </w:pPr>
          <w:hyperlink w:anchor="_Toc466392678" w:history="1">
            <w:r w:rsidR="005C12AD" w:rsidRPr="00C47080">
              <w:rPr>
                <w:rStyle w:val="Hipervnculo"/>
              </w:rPr>
              <w:t>6.3.2</w:t>
            </w:r>
            <w:r w:rsidR="005C12AD">
              <w:rPr>
                <w:rFonts w:asciiTheme="minorHAnsi" w:eastAsiaTheme="minorEastAsia" w:hAnsiTheme="minorHAnsi" w:cstheme="minorBidi"/>
                <w:sz w:val="22"/>
                <w:szCs w:val="22"/>
                <w:lang w:eastAsia="es-CO"/>
              </w:rPr>
              <w:tab/>
            </w:r>
            <w:r w:rsidR="005C12AD" w:rsidRPr="00C47080">
              <w:rPr>
                <w:rStyle w:val="Hipervnculo"/>
                <w:rFonts w:cs="Arial"/>
              </w:rPr>
              <w:t>Criterios y lineamientos de proyectos Tipo I</w:t>
            </w:r>
            <w:r w:rsidR="005C12AD">
              <w:rPr>
                <w:webHidden/>
              </w:rPr>
              <w:tab/>
            </w:r>
            <w:r w:rsidR="005C12AD">
              <w:rPr>
                <w:webHidden/>
              </w:rPr>
              <w:fldChar w:fldCharType="begin"/>
            </w:r>
            <w:r w:rsidR="005C12AD">
              <w:rPr>
                <w:webHidden/>
              </w:rPr>
              <w:instrText xml:space="preserve"> PAGEREF _Toc466392678 \h </w:instrText>
            </w:r>
            <w:r w:rsidR="005C12AD">
              <w:rPr>
                <w:webHidden/>
              </w:rPr>
            </w:r>
            <w:r w:rsidR="005C12AD">
              <w:rPr>
                <w:webHidden/>
              </w:rPr>
              <w:fldChar w:fldCharType="separate"/>
            </w:r>
            <w:r w:rsidR="000F355F">
              <w:rPr>
                <w:webHidden/>
              </w:rPr>
              <w:t>75</w:t>
            </w:r>
            <w:r w:rsidR="005C12AD">
              <w:rPr>
                <w:webHidden/>
              </w:rPr>
              <w:fldChar w:fldCharType="end"/>
            </w:r>
          </w:hyperlink>
        </w:p>
        <w:p w14:paraId="0D96EA18" w14:textId="77777777" w:rsidR="005C12AD" w:rsidRDefault="00651802">
          <w:pPr>
            <w:pStyle w:val="TDC3"/>
            <w:rPr>
              <w:rFonts w:asciiTheme="minorHAnsi" w:eastAsiaTheme="minorEastAsia" w:hAnsiTheme="minorHAnsi" w:cstheme="minorBidi"/>
              <w:sz w:val="22"/>
              <w:szCs w:val="22"/>
              <w:lang w:eastAsia="es-CO"/>
            </w:rPr>
          </w:pPr>
          <w:hyperlink w:anchor="_Toc466392679" w:history="1">
            <w:r w:rsidR="005C12AD" w:rsidRPr="00C47080">
              <w:rPr>
                <w:rStyle w:val="Hipervnculo"/>
              </w:rPr>
              <w:t>6.3.3</w:t>
            </w:r>
            <w:r w:rsidR="005C12AD">
              <w:rPr>
                <w:rFonts w:asciiTheme="minorHAnsi" w:eastAsiaTheme="minorEastAsia" w:hAnsiTheme="minorHAnsi" w:cstheme="minorBidi"/>
                <w:sz w:val="22"/>
                <w:szCs w:val="22"/>
                <w:lang w:eastAsia="es-CO"/>
              </w:rPr>
              <w:tab/>
            </w:r>
            <w:r w:rsidR="005C12AD" w:rsidRPr="00C47080">
              <w:rPr>
                <w:rStyle w:val="Hipervnculo"/>
              </w:rPr>
              <w:t>Criterios y lineamientos de proyectos Tipo II</w:t>
            </w:r>
            <w:r w:rsidR="005C12AD">
              <w:rPr>
                <w:webHidden/>
              </w:rPr>
              <w:tab/>
            </w:r>
            <w:r w:rsidR="005C12AD">
              <w:rPr>
                <w:webHidden/>
              </w:rPr>
              <w:fldChar w:fldCharType="begin"/>
            </w:r>
            <w:r w:rsidR="005C12AD">
              <w:rPr>
                <w:webHidden/>
              </w:rPr>
              <w:instrText xml:space="preserve"> PAGEREF _Toc466392679 \h </w:instrText>
            </w:r>
            <w:r w:rsidR="005C12AD">
              <w:rPr>
                <w:webHidden/>
              </w:rPr>
            </w:r>
            <w:r w:rsidR="005C12AD">
              <w:rPr>
                <w:webHidden/>
              </w:rPr>
              <w:fldChar w:fldCharType="separate"/>
            </w:r>
            <w:r w:rsidR="000F355F">
              <w:rPr>
                <w:webHidden/>
              </w:rPr>
              <w:t>75</w:t>
            </w:r>
            <w:r w:rsidR="005C12AD">
              <w:rPr>
                <w:webHidden/>
              </w:rPr>
              <w:fldChar w:fldCharType="end"/>
            </w:r>
          </w:hyperlink>
        </w:p>
        <w:p w14:paraId="719F4D25" w14:textId="77777777" w:rsidR="005C12AD" w:rsidRDefault="00651802">
          <w:pPr>
            <w:pStyle w:val="TDC3"/>
            <w:rPr>
              <w:rFonts w:asciiTheme="minorHAnsi" w:eastAsiaTheme="minorEastAsia" w:hAnsiTheme="minorHAnsi" w:cstheme="minorBidi"/>
              <w:sz w:val="22"/>
              <w:szCs w:val="22"/>
              <w:lang w:eastAsia="es-CO"/>
            </w:rPr>
          </w:pPr>
          <w:hyperlink w:anchor="_Toc466392680" w:history="1">
            <w:r w:rsidR="005C12AD" w:rsidRPr="00C47080">
              <w:rPr>
                <w:rStyle w:val="Hipervnculo"/>
              </w:rPr>
              <w:t>6.3.4</w:t>
            </w:r>
            <w:r w:rsidR="005C12AD">
              <w:rPr>
                <w:rFonts w:asciiTheme="minorHAnsi" w:eastAsiaTheme="minorEastAsia" w:hAnsiTheme="minorHAnsi" w:cstheme="minorBidi"/>
                <w:sz w:val="22"/>
                <w:szCs w:val="22"/>
                <w:lang w:eastAsia="es-CO"/>
              </w:rPr>
              <w:tab/>
            </w:r>
            <w:r w:rsidR="005C12AD" w:rsidRPr="00C47080">
              <w:rPr>
                <w:rStyle w:val="Hipervnculo"/>
              </w:rPr>
              <w:t>Criterios y lineamientos de proyectos Tipo III</w:t>
            </w:r>
            <w:r w:rsidR="005C12AD">
              <w:rPr>
                <w:webHidden/>
              </w:rPr>
              <w:tab/>
            </w:r>
            <w:r w:rsidR="005C12AD">
              <w:rPr>
                <w:webHidden/>
              </w:rPr>
              <w:fldChar w:fldCharType="begin"/>
            </w:r>
            <w:r w:rsidR="005C12AD">
              <w:rPr>
                <w:webHidden/>
              </w:rPr>
              <w:instrText xml:space="preserve"> PAGEREF _Toc466392680 \h </w:instrText>
            </w:r>
            <w:r w:rsidR="005C12AD">
              <w:rPr>
                <w:webHidden/>
              </w:rPr>
            </w:r>
            <w:r w:rsidR="005C12AD">
              <w:rPr>
                <w:webHidden/>
              </w:rPr>
              <w:fldChar w:fldCharType="separate"/>
            </w:r>
            <w:r w:rsidR="000F355F">
              <w:rPr>
                <w:webHidden/>
              </w:rPr>
              <w:t>76</w:t>
            </w:r>
            <w:r w:rsidR="005C12AD">
              <w:rPr>
                <w:webHidden/>
              </w:rPr>
              <w:fldChar w:fldCharType="end"/>
            </w:r>
          </w:hyperlink>
        </w:p>
        <w:p w14:paraId="075F67A6" w14:textId="77777777" w:rsidR="005C12AD" w:rsidRDefault="00651802">
          <w:pPr>
            <w:pStyle w:val="TDC3"/>
            <w:rPr>
              <w:rFonts w:asciiTheme="minorHAnsi" w:eastAsiaTheme="minorEastAsia" w:hAnsiTheme="minorHAnsi" w:cstheme="minorBidi"/>
              <w:sz w:val="22"/>
              <w:szCs w:val="22"/>
              <w:lang w:eastAsia="es-CO"/>
            </w:rPr>
          </w:pPr>
          <w:hyperlink w:anchor="_Toc466392681" w:history="1">
            <w:r w:rsidR="005C12AD" w:rsidRPr="00C47080">
              <w:rPr>
                <w:rStyle w:val="Hipervnculo"/>
              </w:rPr>
              <w:t>6.3.5</w:t>
            </w:r>
            <w:r w:rsidR="005C12AD">
              <w:rPr>
                <w:rFonts w:asciiTheme="minorHAnsi" w:eastAsiaTheme="minorEastAsia" w:hAnsiTheme="minorHAnsi" w:cstheme="minorBidi"/>
                <w:sz w:val="22"/>
                <w:szCs w:val="22"/>
                <w:lang w:eastAsia="es-CO"/>
              </w:rPr>
              <w:tab/>
            </w:r>
            <w:r w:rsidR="005C12AD" w:rsidRPr="00C47080">
              <w:rPr>
                <w:rStyle w:val="Hipervnculo"/>
              </w:rPr>
              <w:t>Valoración del plan de inversiones</w:t>
            </w:r>
            <w:r w:rsidR="005C12AD">
              <w:rPr>
                <w:webHidden/>
              </w:rPr>
              <w:tab/>
            </w:r>
            <w:r w:rsidR="005C12AD">
              <w:rPr>
                <w:webHidden/>
              </w:rPr>
              <w:fldChar w:fldCharType="begin"/>
            </w:r>
            <w:r w:rsidR="005C12AD">
              <w:rPr>
                <w:webHidden/>
              </w:rPr>
              <w:instrText xml:space="preserve"> PAGEREF _Toc466392681 \h </w:instrText>
            </w:r>
            <w:r w:rsidR="005C12AD">
              <w:rPr>
                <w:webHidden/>
              </w:rPr>
            </w:r>
            <w:r w:rsidR="005C12AD">
              <w:rPr>
                <w:webHidden/>
              </w:rPr>
              <w:fldChar w:fldCharType="separate"/>
            </w:r>
            <w:r w:rsidR="000F355F">
              <w:rPr>
                <w:webHidden/>
              </w:rPr>
              <w:t>76</w:t>
            </w:r>
            <w:r w:rsidR="005C12AD">
              <w:rPr>
                <w:webHidden/>
              </w:rPr>
              <w:fldChar w:fldCharType="end"/>
            </w:r>
          </w:hyperlink>
        </w:p>
        <w:p w14:paraId="721811A9" w14:textId="77777777" w:rsidR="005C12AD" w:rsidRDefault="00651802">
          <w:pPr>
            <w:pStyle w:val="TDC3"/>
            <w:rPr>
              <w:rFonts w:asciiTheme="minorHAnsi" w:eastAsiaTheme="minorEastAsia" w:hAnsiTheme="minorHAnsi" w:cstheme="minorBidi"/>
              <w:sz w:val="22"/>
              <w:szCs w:val="22"/>
              <w:lang w:eastAsia="es-CO"/>
            </w:rPr>
          </w:pPr>
          <w:hyperlink w:anchor="_Toc466392682" w:history="1">
            <w:r w:rsidR="005C12AD" w:rsidRPr="00C47080">
              <w:rPr>
                <w:rStyle w:val="Hipervnculo"/>
              </w:rPr>
              <w:t>6.3.6</w:t>
            </w:r>
            <w:r w:rsidR="005C12AD">
              <w:rPr>
                <w:rFonts w:asciiTheme="minorHAnsi" w:eastAsiaTheme="minorEastAsia" w:hAnsiTheme="minorHAnsi" w:cstheme="minorBidi"/>
                <w:sz w:val="22"/>
                <w:szCs w:val="22"/>
                <w:lang w:eastAsia="es-CO"/>
              </w:rPr>
              <w:tab/>
            </w:r>
            <w:r w:rsidR="005C12AD" w:rsidRPr="00C47080">
              <w:rPr>
                <w:rStyle w:val="Hipervnculo"/>
              </w:rPr>
              <w:t>Sistema de gestión de activos</w:t>
            </w:r>
            <w:r w:rsidR="005C12AD">
              <w:rPr>
                <w:webHidden/>
              </w:rPr>
              <w:tab/>
            </w:r>
            <w:r w:rsidR="005C12AD">
              <w:rPr>
                <w:webHidden/>
              </w:rPr>
              <w:fldChar w:fldCharType="begin"/>
            </w:r>
            <w:r w:rsidR="005C12AD">
              <w:rPr>
                <w:webHidden/>
              </w:rPr>
              <w:instrText xml:space="preserve"> PAGEREF _Toc466392682 \h </w:instrText>
            </w:r>
            <w:r w:rsidR="005C12AD">
              <w:rPr>
                <w:webHidden/>
              </w:rPr>
            </w:r>
            <w:r w:rsidR="005C12AD">
              <w:rPr>
                <w:webHidden/>
              </w:rPr>
              <w:fldChar w:fldCharType="separate"/>
            </w:r>
            <w:r w:rsidR="000F355F">
              <w:rPr>
                <w:webHidden/>
              </w:rPr>
              <w:t>77</w:t>
            </w:r>
            <w:r w:rsidR="005C12AD">
              <w:rPr>
                <w:webHidden/>
              </w:rPr>
              <w:fldChar w:fldCharType="end"/>
            </w:r>
          </w:hyperlink>
        </w:p>
        <w:p w14:paraId="206A6FBE" w14:textId="77777777" w:rsidR="005C12AD" w:rsidRDefault="00651802">
          <w:pPr>
            <w:pStyle w:val="TDC2"/>
            <w:rPr>
              <w:rFonts w:asciiTheme="minorHAnsi" w:eastAsiaTheme="minorEastAsia" w:hAnsiTheme="minorHAnsi" w:cstheme="minorBidi"/>
              <w:bCs w:val="0"/>
              <w:sz w:val="22"/>
              <w:szCs w:val="22"/>
              <w:lang w:eastAsia="es-CO"/>
            </w:rPr>
          </w:pPr>
          <w:hyperlink w:anchor="_Toc466392683" w:history="1">
            <w:r w:rsidR="005C12AD" w:rsidRPr="00C47080">
              <w:rPr>
                <w:rStyle w:val="Hipervnculo"/>
                <w:lang w:val="es-ES_tradnl"/>
              </w:rPr>
              <w:t>6.4</w:t>
            </w:r>
            <w:r w:rsidR="005C12AD">
              <w:rPr>
                <w:rFonts w:asciiTheme="minorHAnsi" w:eastAsiaTheme="minorEastAsia" w:hAnsiTheme="minorHAnsi" w:cstheme="minorBidi"/>
                <w:bCs w:val="0"/>
                <w:sz w:val="22"/>
                <w:szCs w:val="22"/>
                <w:lang w:eastAsia="es-CO"/>
              </w:rPr>
              <w:tab/>
            </w:r>
            <w:r w:rsidR="005C12AD" w:rsidRPr="00C47080">
              <w:rPr>
                <w:rStyle w:val="Hipervnculo"/>
                <w:lang w:val="es-ES_tradnl"/>
              </w:rPr>
              <w:t>Aprobación de los planes de inversión</w:t>
            </w:r>
            <w:r w:rsidR="005C12AD">
              <w:rPr>
                <w:webHidden/>
              </w:rPr>
              <w:tab/>
            </w:r>
            <w:r w:rsidR="005C12AD">
              <w:rPr>
                <w:webHidden/>
              </w:rPr>
              <w:fldChar w:fldCharType="begin"/>
            </w:r>
            <w:r w:rsidR="005C12AD">
              <w:rPr>
                <w:webHidden/>
              </w:rPr>
              <w:instrText xml:space="preserve"> PAGEREF _Toc466392683 \h </w:instrText>
            </w:r>
            <w:r w:rsidR="005C12AD">
              <w:rPr>
                <w:webHidden/>
              </w:rPr>
            </w:r>
            <w:r w:rsidR="005C12AD">
              <w:rPr>
                <w:webHidden/>
              </w:rPr>
              <w:fldChar w:fldCharType="separate"/>
            </w:r>
            <w:r w:rsidR="000F355F">
              <w:rPr>
                <w:webHidden/>
              </w:rPr>
              <w:t>77</w:t>
            </w:r>
            <w:r w:rsidR="005C12AD">
              <w:rPr>
                <w:webHidden/>
              </w:rPr>
              <w:fldChar w:fldCharType="end"/>
            </w:r>
          </w:hyperlink>
        </w:p>
        <w:p w14:paraId="2E4D7C81" w14:textId="77777777" w:rsidR="005C12AD" w:rsidRDefault="00651802">
          <w:pPr>
            <w:pStyle w:val="TDC2"/>
            <w:rPr>
              <w:rFonts w:asciiTheme="minorHAnsi" w:eastAsiaTheme="minorEastAsia" w:hAnsiTheme="minorHAnsi" w:cstheme="minorBidi"/>
              <w:bCs w:val="0"/>
              <w:sz w:val="22"/>
              <w:szCs w:val="22"/>
              <w:lang w:eastAsia="es-CO"/>
            </w:rPr>
          </w:pPr>
          <w:hyperlink w:anchor="_Toc466392684" w:history="1">
            <w:r w:rsidR="005C12AD" w:rsidRPr="00C47080">
              <w:rPr>
                <w:rStyle w:val="Hipervnculo"/>
                <w:lang w:val="es-ES_tradnl"/>
              </w:rPr>
              <w:t>6.5</w:t>
            </w:r>
            <w:r w:rsidR="005C12AD">
              <w:rPr>
                <w:rFonts w:asciiTheme="minorHAnsi" w:eastAsiaTheme="minorEastAsia" w:hAnsiTheme="minorHAnsi" w:cstheme="minorBidi"/>
                <w:bCs w:val="0"/>
                <w:sz w:val="22"/>
                <w:szCs w:val="22"/>
                <w:lang w:eastAsia="es-CO"/>
              </w:rPr>
              <w:tab/>
            </w:r>
            <w:r w:rsidR="005C12AD" w:rsidRPr="00C47080">
              <w:rPr>
                <w:rStyle w:val="Hipervnculo"/>
                <w:lang w:val="es-ES_tradnl"/>
              </w:rPr>
              <w:t>Seguimiento de los planes de inversión</w:t>
            </w:r>
            <w:r w:rsidR="005C12AD">
              <w:rPr>
                <w:webHidden/>
              </w:rPr>
              <w:tab/>
            </w:r>
            <w:r w:rsidR="005C12AD">
              <w:rPr>
                <w:webHidden/>
              </w:rPr>
              <w:fldChar w:fldCharType="begin"/>
            </w:r>
            <w:r w:rsidR="005C12AD">
              <w:rPr>
                <w:webHidden/>
              </w:rPr>
              <w:instrText xml:space="preserve"> PAGEREF _Toc466392684 \h </w:instrText>
            </w:r>
            <w:r w:rsidR="005C12AD">
              <w:rPr>
                <w:webHidden/>
              </w:rPr>
            </w:r>
            <w:r w:rsidR="005C12AD">
              <w:rPr>
                <w:webHidden/>
              </w:rPr>
              <w:fldChar w:fldCharType="separate"/>
            </w:r>
            <w:r w:rsidR="000F355F">
              <w:rPr>
                <w:webHidden/>
              </w:rPr>
              <w:t>78</w:t>
            </w:r>
            <w:r w:rsidR="005C12AD">
              <w:rPr>
                <w:webHidden/>
              </w:rPr>
              <w:fldChar w:fldCharType="end"/>
            </w:r>
          </w:hyperlink>
        </w:p>
        <w:p w14:paraId="6DAE2858" w14:textId="77777777" w:rsidR="005C12AD" w:rsidRDefault="00651802">
          <w:pPr>
            <w:pStyle w:val="TDC2"/>
            <w:rPr>
              <w:rFonts w:asciiTheme="minorHAnsi" w:eastAsiaTheme="minorEastAsia" w:hAnsiTheme="minorHAnsi" w:cstheme="minorBidi"/>
              <w:bCs w:val="0"/>
              <w:sz w:val="22"/>
              <w:szCs w:val="22"/>
              <w:lang w:eastAsia="es-CO"/>
            </w:rPr>
          </w:pPr>
          <w:hyperlink w:anchor="_Toc466392685" w:history="1">
            <w:r w:rsidR="005C12AD" w:rsidRPr="00C47080">
              <w:rPr>
                <w:rStyle w:val="Hipervnculo"/>
              </w:rPr>
              <w:t>6.6</w:t>
            </w:r>
            <w:r w:rsidR="005C12AD">
              <w:rPr>
                <w:rFonts w:asciiTheme="minorHAnsi" w:eastAsiaTheme="minorEastAsia" w:hAnsiTheme="minorHAnsi" w:cstheme="minorBidi"/>
                <w:bCs w:val="0"/>
                <w:sz w:val="22"/>
                <w:szCs w:val="22"/>
                <w:lang w:eastAsia="es-CO"/>
              </w:rPr>
              <w:tab/>
            </w:r>
            <w:r w:rsidR="005C12AD" w:rsidRPr="00C47080">
              <w:rPr>
                <w:rStyle w:val="Hipervnculo"/>
              </w:rPr>
              <w:t>Ajuste de los planes de inversión</w:t>
            </w:r>
            <w:r w:rsidR="005C12AD">
              <w:rPr>
                <w:webHidden/>
              </w:rPr>
              <w:tab/>
            </w:r>
            <w:r w:rsidR="005C12AD">
              <w:rPr>
                <w:webHidden/>
              </w:rPr>
              <w:fldChar w:fldCharType="begin"/>
            </w:r>
            <w:r w:rsidR="005C12AD">
              <w:rPr>
                <w:webHidden/>
              </w:rPr>
              <w:instrText xml:space="preserve"> PAGEREF _Toc466392685 \h </w:instrText>
            </w:r>
            <w:r w:rsidR="005C12AD">
              <w:rPr>
                <w:webHidden/>
              </w:rPr>
            </w:r>
            <w:r w:rsidR="005C12AD">
              <w:rPr>
                <w:webHidden/>
              </w:rPr>
              <w:fldChar w:fldCharType="separate"/>
            </w:r>
            <w:r w:rsidR="000F355F">
              <w:rPr>
                <w:webHidden/>
              </w:rPr>
              <w:t>79</w:t>
            </w:r>
            <w:r w:rsidR="005C12AD">
              <w:rPr>
                <w:webHidden/>
              </w:rPr>
              <w:fldChar w:fldCharType="end"/>
            </w:r>
          </w:hyperlink>
        </w:p>
        <w:p w14:paraId="4D4E9CBF" w14:textId="77777777" w:rsidR="005C12AD" w:rsidRDefault="00651802">
          <w:pPr>
            <w:pStyle w:val="TDC2"/>
            <w:rPr>
              <w:rFonts w:asciiTheme="minorHAnsi" w:eastAsiaTheme="minorEastAsia" w:hAnsiTheme="minorHAnsi" w:cstheme="minorBidi"/>
              <w:bCs w:val="0"/>
              <w:sz w:val="22"/>
              <w:szCs w:val="22"/>
              <w:lang w:eastAsia="es-CO"/>
            </w:rPr>
          </w:pPr>
          <w:hyperlink w:anchor="_Toc466392686" w:history="1">
            <w:r w:rsidR="005C12AD" w:rsidRPr="00C47080">
              <w:rPr>
                <w:rStyle w:val="Hipervnculo"/>
              </w:rPr>
              <w:t>6.7</w:t>
            </w:r>
            <w:r w:rsidR="005C12AD">
              <w:rPr>
                <w:rFonts w:asciiTheme="minorHAnsi" w:eastAsiaTheme="minorEastAsia" w:hAnsiTheme="minorHAnsi" w:cstheme="minorBidi"/>
                <w:bCs w:val="0"/>
                <w:sz w:val="22"/>
                <w:szCs w:val="22"/>
                <w:lang w:eastAsia="es-CO"/>
              </w:rPr>
              <w:tab/>
            </w:r>
            <w:r w:rsidR="005C12AD" w:rsidRPr="00C47080">
              <w:rPr>
                <w:rStyle w:val="Hipervnculo"/>
              </w:rPr>
              <w:t>Publicidad y difusión de los planes de inversión</w:t>
            </w:r>
            <w:r w:rsidR="005C12AD">
              <w:rPr>
                <w:webHidden/>
              </w:rPr>
              <w:tab/>
            </w:r>
            <w:r w:rsidR="005C12AD">
              <w:rPr>
                <w:webHidden/>
              </w:rPr>
              <w:fldChar w:fldCharType="begin"/>
            </w:r>
            <w:r w:rsidR="005C12AD">
              <w:rPr>
                <w:webHidden/>
              </w:rPr>
              <w:instrText xml:space="preserve"> PAGEREF _Toc466392686 \h </w:instrText>
            </w:r>
            <w:r w:rsidR="005C12AD">
              <w:rPr>
                <w:webHidden/>
              </w:rPr>
            </w:r>
            <w:r w:rsidR="005C12AD">
              <w:rPr>
                <w:webHidden/>
              </w:rPr>
              <w:fldChar w:fldCharType="separate"/>
            </w:r>
            <w:r w:rsidR="000F355F">
              <w:rPr>
                <w:webHidden/>
              </w:rPr>
              <w:t>79</w:t>
            </w:r>
            <w:r w:rsidR="005C12AD">
              <w:rPr>
                <w:webHidden/>
              </w:rPr>
              <w:fldChar w:fldCharType="end"/>
            </w:r>
          </w:hyperlink>
        </w:p>
        <w:p w14:paraId="5BE03110" w14:textId="77777777" w:rsidR="005C12AD" w:rsidRDefault="00651802">
          <w:pPr>
            <w:pStyle w:val="TDC1"/>
            <w:rPr>
              <w:rFonts w:asciiTheme="minorHAnsi" w:eastAsiaTheme="minorEastAsia" w:hAnsiTheme="minorHAnsi" w:cstheme="minorBidi"/>
              <w:b w:val="0"/>
              <w:sz w:val="22"/>
              <w:szCs w:val="22"/>
              <w:lang w:val="es-CO" w:eastAsia="es-CO"/>
            </w:rPr>
          </w:pPr>
          <w:hyperlink w:anchor="_Toc466392687" w:history="1">
            <w:r w:rsidR="005C12AD" w:rsidRPr="00C47080">
              <w:rPr>
                <w:rStyle w:val="Hipervnculo"/>
              </w:rPr>
              <w:t>CAPÍTULO 7.</w:t>
            </w:r>
            <w:r w:rsidR="005C12AD">
              <w:rPr>
                <w:rFonts w:asciiTheme="minorHAnsi" w:eastAsiaTheme="minorEastAsia" w:hAnsiTheme="minorHAnsi" w:cstheme="minorBidi"/>
                <w:b w:val="0"/>
                <w:sz w:val="22"/>
                <w:szCs w:val="22"/>
                <w:lang w:val="es-CO" w:eastAsia="es-CO"/>
              </w:rPr>
              <w:tab/>
            </w:r>
            <w:r w:rsidR="005C12AD" w:rsidRPr="00C47080">
              <w:rPr>
                <w:rStyle w:val="Hipervnculo"/>
              </w:rPr>
              <w:t>UNIDADES CONSTRUCTIVAS</w:t>
            </w:r>
            <w:r w:rsidR="005C12AD">
              <w:rPr>
                <w:webHidden/>
              </w:rPr>
              <w:tab/>
            </w:r>
            <w:r w:rsidR="005C12AD">
              <w:rPr>
                <w:webHidden/>
              </w:rPr>
              <w:fldChar w:fldCharType="begin"/>
            </w:r>
            <w:r w:rsidR="005C12AD">
              <w:rPr>
                <w:webHidden/>
              </w:rPr>
              <w:instrText xml:space="preserve"> PAGEREF _Toc466392687 \h </w:instrText>
            </w:r>
            <w:r w:rsidR="005C12AD">
              <w:rPr>
                <w:webHidden/>
              </w:rPr>
            </w:r>
            <w:r w:rsidR="005C12AD">
              <w:rPr>
                <w:webHidden/>
              </w:rPr>
              <w:fldChar w:fldCharType="separate"/>
            </w:r>
            <w:r w:rsidR="000F355F">
              <w:rPr>
                <w:webHidden/>
              </w:rPr>
              <w:t>81</w:t>
            </w:r>
            <w:r w:rsidR="005C12AD">
              <w:rPr>
                <w:webHidden/>
              </w:rPr>
              <w:fldChar w:fldCharType="end"/>
            </w:r>
          </w:hyperlink>
        </w:p>
        <w:p w14:paraId="42C71F4F" w14:textId="77777777" w:rsidR="005C12AD" w:rsidRDefault="00651802">
          <w:pPr>
            <w:pStyle w:val="TDC2"/>
            <w:rPr>
              <w:rFonts w:asciiTheme="minorHAnsi" w:eastAsiaTheme="minorEastAsia" w:hAnsiTheme="minorHAnsi" w:cstheme="minorBidi"/>
              <w:bCs w:val="0"/>
              <w:sz w:val="22"/>
              <w:szCs w:val="22"/>
              <w:lang w:eastAsia="es-CO"/>
            </w:rPr>
          </w:pPr>
          <w:hyperlink w:anchor="_Toc466392688" w:history="1">
            <w:r w:rsidR="005C12AD" w:rsidRPr="00C47080">
              <w:rPr>
                <w:rStyle w:val="Hipervnculo"/>
              </w:rPr>
              <w:t>7.1</w:t>
            </w:r>
            <w:r w:rsidR="005C12AD">
              <w:rPr>
                <w:rFonts w:asciiTheme="minorHAnsi" w:eastAsiaTheme="minorEastAsia" w:hAnsiTheme="minorHAnsi" w:cstheme="minorBidi"/>
                <w:bCs w:val="0"/>
                <w:sz w:val="22"/>
                <w:szCs w:val="22"/>
                <w:lang w:eastAsia="es-CO"/>
              </w:rPr>
              <w:tab/>
            </w:r>
            <w:r w:rsidR="005C12AD" w:rsidRPr="00C47080">
              <w:rPr>
                <w:rStyle w:val="Hipervnculo"/>
              </w:rPr>
              <w:t>UC asociadas a subestaciones</w:t>
            </w:r>
            <w:r w:rsidR="005C12AD">
              <w:rPr>
                <w:webHidden/>
              </w:rPr>
              <w:tab/>
            </w:r>
            <w:r w:rsidR="005C12AD">
              <w:rPr>
                <w:webHidden/>
              </w:rPr>
              <w:fldChar w:fldCharType="begin"/>
            </w:r>
            <w:r w:rsidR="005C12AD">
              <w:rPr>
                <w:webHidden/>
              </w:rPr>
              <w:instrText xml:space="preserve"> PAGEREF _Toc466392688 \h </w:instrText>
            </w:r>
            <w:r w:rsidR="005C12AD">
              <w:rPr>
                <w:webHidden/>
              </w:rPr>
            </w:r>
            <w:r w:rsidR="005C12AD">
              <w:rPr>
                <w:webHidden/>
              </w:rPr>
              <w:fldChar w:fldCharType="separate"/>
            </w:r>
            <w:r w:rsidR="000F355F">
              <w:rPr>
                <w:webHidden/>
              </w:rPr>
              <w:t>81</w:t>
            </w:r>
            <w:r w:rsidR="005C12AD">
              <w:rPr>
                <w:webHidden/>
              </w:rPr>
              <w:fldChar w:fldCharType="end"/>
            </w:r>
          </w:hyperlink>
        </w:p>
        <w:p w14:paraId="6C08F423" w14:textId="77777777" w:rsidR="005C12AD" w:rsidRDefault="00651802">
          <w:pPr>
            <w:pStyle w:val="TDC2"/>
            <w:rPr>
              <w:rFonts w:asciiTheme="minorHAnsi" w:eastAsiaTheme="minorEastAsia" w:hAnsiTheme="minorHAnsi" w:cstheme="minorBidi"/>
              <w:bCs w:val="0"/>
              <w:sz w:val="22"/>
              <w:szCs w:val="22"/>
              <w:lang w:eastAsia="es-CO"/>
            </w:rPr>
          </w:pPr>
          <w:hyperlink w:anchor="_Toc466392689" w:history="1">
            <w:r w:rsidR="005C12AD" w:rsidRPr="00C47080">
              <w:rPr>
                <w:rStyle w:val="Hipervnculo"/>
              </w:rPr>
              <w:t>7.2</w:t>
            </w:r>
            <w:r w:rsidR="005C12AD">
              <w:rPr>
                <w:rFonts w:asciiTheme="minorHAnsi" w:eastAsiaTheme="minorEastAsia" w:hAnsiTheme="minorHAnsi" w:cstheme="minorBidi"/>
                <w:bCs w:val="0"/>
                <w:sz w:val="22"/>
                <w:szCs w:val="22"/>
                <w:lang w:eastAsia="es-CO"/>
              </w:rPr>
              <w:tab/>
            </w:r>
            <w:r w:rsidR="005C12AD" w:rsidRPr="00C47080">
              <w:rPr>
                <w:rStyle w:val="Hipervnculo"/>
              </w:rPr>
              <w:t>UC asociadas a líneas</w:t>
            </w:r>
            <w:r w:rsidR="005C12AD">
              <w:rPr>
                <w:webHidden/>
              </w:rPr>
              <w:tab/>
            </w:r>
            <w:r w:rsidR="005C12AD">
              <w:rPr>
                <w:webHidden/>
              </w:rPr>
              <w:fldChar w:fldCharType="begin"/>
            </w:r>
            <w:r w:rsidR="005C12AD">
              <w:rPr>
                <w:webHidden/>
              </w:rPr>
              <w:instrText xml:space="preserve"> PAGEREF _Toc466392689 \h </w:instrText>
            </w:r>
            <w:r w:rsidR="005C12AD">
              <w:rPr>
                <w:webHidden/>
              </w:rPr>
            </w:r>
            <w:r w:rsidR="005C12AD">
              <w:rPr>
                <w:webHidden/>
              </w:rPr>
              <w:fldChar w:fldCharType="separate"/>
            </w:r>
            <w:r w:rsidR="000F355F">
              <w:rPr>
                <w:webHidden/>
              </w:rPr>
              <w:t>86</w:t>
            </w:r>
            <w:r w:rsidR="005C12AD">
              <w:rPr>
                <w:webHidden/>
              </w:rPr>
              <w:fldChar w:fldCharType="end"/>
            </w:r>
          </w:hyperlink>
        </w:p>
        <w:p w14:paraId="2E8AC5C5" w14:textId="77777777" w:rsidR="005C12AD" w:rsidRDefault="00651802">
          <w:pPr>
            <w:pStyle w:val="TDC2"/>
            <w:rPr>
              <w:rFonts w:asciiTheme="minorHAnsi" w:eastAsiaTheme="minorEastAsia" w:hAnsiTheme="minorHAnsi" w:cstheme="minorBidi"/>
              <w:bCs w:val="0"/>
              <w:sz w:val="22"/>
              <w:szCs w:val="22"/>
              <w:lang w:eastAsia="es-CO"/>
            </w:rPr>
          </w:pPr>
          <w:hyperlink w:anchor="_Toc466392690" w:history="1">
            <w:r w:rsidR="005C12AD" w:rsidRPr="00C47080">
              <w:rPr>
                <w:rStyle w:val="Hipervnculo"/>
              </w:rPr>
              <w:t>7.3</w:t>
            </w:r>
            <w:r w:rsidR="005C12AD">
              <w:rPr>
                <w:rFonts w:asciiTheme="minorHAnsi" w:eastAsiaTheme="minorEastAsia" w:hAnsiTheme="minorHAnsi" w:cstheme="minorBidi"/>
                <w:bCs w:val="0"/>
                <w:sz w:val="22"/>
                <w:szCs w:val="22"/>
                <w:lang w:eastAsia="es-CO"/>
              </w:rPr>
              <w:tab/>
            </w:r>
            <w:r w:rsidR="005C12AD" w:rsidRPr="00C47080">
              <w:rPr>
                <w:rStyle w:val="Hipervnculo"/>
              </w:rPr>
              <w:t>UC asociadas a sistemas de control</w:t>
            </w:r>
            <w:r w:rsidR="005C12AD">
              <w:rPr>
                <w:webHidden/>
              </w:rPr>
              <w:tab/>
            </w:r>
            <w:r w:rsidR="005C12AD">
              <w:rPr>
                <w:webHidden/>
              </w:rPr>
              <w:fldChar w:fldCharType="begin"/>
            </w:r>
            <w:r w:rsidR="005C12AD">
              <w:rPr>
                <w:webHidden/>
              </w:rPr>
              <w:instrText xml:space="preserve"> PAGEREF _Toc466392690 \h </w:instrText>
            </w:r>
            <w:r w:rsidR="005C12AD">
              <w:rPr>
                <w:webHidden/>
              </w:rPr>
            </w:r>
            <w:r w:rsidR="005C12AD">
              <w:rPr>
                <w:webHidden/>
              </w:rPr>
              <w:fldChar w:fldCharType="separate"/>
            </w:r>
            <w:r w:rsidR="000F355F">
              <w:rPr>
                <w:webHidden/>
              </w:rPr>
              <w:t>88</w:t>
            </w:r>
            <w:r w:rsidR="005C12AD">
              <w:rPr>
                <w:webHidden/>
              </w:rPr>
              <w:fldChar w:fldCharType="end"/>
            </w:r>
          </w:hyperlink>
        </w:p>
        <w:p w14:paraId="1CD1F581" w14:textId="77777777" w:rsidR="005C12AD" w:rsidRDefault="00651802">
          <w:pPr>
            <w:pStyle w:val="TDC2"/>
            <w:rPr>
              <w:rFonts w:asciiTheme="minorHAnsi" w:eastAsiaTheme="minorEastAsia" w:hAnsiTheme="minorHAnsi" w:cstheme="minorBidi"/>
              <w:bCs w:val="0"/>
              <w:sz w:val="22"/>
              <w:szCs w:val="22"/>
              <w:lang w:eastAsia="es-CO"/>
            </w:rPr>
          </w:pPr>
          <w:hyperlink w:anchor="_Toc466392691" w:history="1">
            <w:r w:rsidR="005C12AD" w:rsidRPr="00C47080">
              <w:rPr>
                <w:rStyle w:val="Hipervnculo"/>
              </w:rPr>
              <w:t>7.4</w:t>
            </w:r>
            <w:r w:rsidR="005C12AD">
              <w:rPr>
                <w:rFonts w:asciiTheme="minorHAnsi" w:eastAsiaTheme="minorEastAsia" w:hAnsiTheme="minorHAnsi" w:cstheme="minorBidi"/>
                <w:bCs w:val="0"/>
                <w:sz w:val="22"/>
                <w:szCs w:val="22"/>
                <w:lang w:eastAsia="es-CO"/>
              </w:rPr>
              <w:tab/>
            </w:r>
            <w:r w:rsidR="005C12AD" w:rsidRPr="00C47080">
              <w:rPr>
                <w:rStyle w:val="Hipervnculo"/>
              </w:rPr>
              <w:t>Áreas reconocidas</w:t>
            </w:r>
            <w:r w:rsidR="005C12AD">
              <w:rPr>
                <w:webHidden/>
              </w:rPr>
              <w:tab/>
            </w:r>
            <w:r w:rsidR="005C12AD">
              <w:rPr>
                <w:webHidden/>
              </w:rPr>
              <w:fldChar w:fldCharType="begin"/>
            </w:r>
            <w:r w:rsidR="005C12AD">
              <w:rPr>
                <w:webHidden/>
              </w:rPr>
              <w:instrText xml:space="preserve"> PAGEREF _Toc466392691 \h </w:instrText>
            </w:r>
            <w:r w:rsidR="005C12AD">
              <w:rPr>
                <w:webHidden/>
              </w:rPr>
            </w:r>
            <w:r w:rsidR="005C12AD">
              <w:rPr>
                <w:webHidden/>
              </w:rPr>
              <w:fldChar w:fldCharType="separate"/>
            </w:r>
            <w:r w:rsidR="000F355F">
              <w:rPr>
                <w:webHidden/>
              </w:rPr>
              <w:t>89</w:t>
            </w:r>
            <w:r w:rsidR="005C12AD">
              <w:rPr>
                <w:webHidden/>
              </w:rPr>
              <w:fldChar w:fldCharType="end"/>
            </w:r>
          </w:hyperlink>
        </w:p>
        <w:p w14:paraId="3DC40EA9" w14:textId="77777777" w:rsidR="005C12AD" w:rsidRDefault="00651802">
          <w:pPr>
            <w:pStyle w:val="TDC2"/>
            <w:rPr>
              <w:rFonts w:asciiTheme="minorHAnsi" w:eastAsiaTheme="minorEastAsia" w:hAnsiTheme="minorHAnsi" w:cstheme="minorBidi"/>
              <w:bCs w:val="0"/>
              <w:sz w:val="22"/>
              <w:szCs w:val="22"/>
              <w:lang w:eastAsia="es-CO"/>
            </w:rPr>
          </w:pPr>
          <w:hyperlink w:anchor="_Toc466392692" w:history="1">
            <w:r w:rsidR="005C12AD" w:rsidRPr="00C47080">
              <w:rPr>
                <w:rStyle w:val="Hipervnculo"/>
              </w:rPr>
              <w:t>7.5</w:t>
            </w:r>
            <w:r w:rsidR="005C12AD">
              <w:rPr>
                <w:rFonts w:asciiTheme="minorHAnsi" w:eastAsiaTheme="minorEastAsia" w:hAnsiTheme="minorHAnsi" w:cstheme="minorBidi"/>
                <w:bCs w:val="0"/>
                <w:sz w:val="22"/>
                <w:szCs w:val="22"/>
                <w:lang w:eastAsia="es-CO"/>
              </w:rPr>
              <w:tab/>
            </w:r>
            <w:r w:rsidR="005C12AD" w:rsidRPr="00C47080">
              <w:rPr>
                <w:rStyle w:val="Hipervnculo"/>
              </w:rPr>
              <w:t>Categorías de unidades constructivas</w:t>
            </w:r>
            <w:r w:rsidR="005C12AD">
              <w:rPr>
                <w:webHidden/>
              </w:rPr>
              <w:tab/>
            </w:r>
            <w:r w:rsidR="005C12AD">
              <w:rPr>
                <w:webHidden/>
              </w:rPr>
              <w:fldChar w:fldCharType="begin"/>
            </w:r>
            <w:r w:rsidR="005C12AD">
              <w:rPr>
                <w:webHidden/>
              </w:rPr>
              <w:instrText xml:space="preserve"> PAGEREF _Toc466392692 \h </w:instrText>
            </w:r>
            <w:r w:rsidR="005C12AD">
              <w:rPr>
                <w:webHidden/>
              </w:rPr>
            </w:r>
            <w:r w:rsidR="005C12AD">
              <w:rPr>
                <w:webHidden/>
              </w:rPr>
              <w:fldChar w:fldCharType="separate"/>
            </w:r>
            <w:r w:rsidR="000F355F">
              <w:rPr>
                <w:webHidden/>
              </w:rPr>
              <w:t>90</w:t>
            </w:r>
            <w:r w:rsidR="005C12AD">
              <w:rPr>
                <w:webHidden/>
              </w:rPr>
              <w:fldChar w:fldCharType="end"/>
            </w:r>
          </w:hyperlink>
        </w:p>
        <w:p w14:paraId="25733719" w14:textId="77777777" w:rsidR="005C12AD" w:rsidRDefault="00651802">
          <w:pPr>
            <w:pStyle w:val="TDC1"/>
            <w:rPr>
              <w:rFonts w:asciiTheme="minorHAnsi" w:eastAsiaTheme="minorEastAsia" w:hAnsiTheme="minorHAnsi" w:cstheme="minorBidi"/>
              <w:b w:val="0"/>
              <w:sz w:val="22"/>
              <w:szCs w:val="22"/>
              <w:lang w:val="es-CO" w:eastAsia="es-CO"/>
            </w:rPr>
          </w:pPr>
          <w:hyperlink w:anchor="_Toc466392693" w:history="1">
            <w:r w:rsidR="005C12AD" w:rsidRPr="00C47080">
              <w:rPr>
                <w:rStyle w:val="Hipervnculo"/>
              </w:rPr>
              <w:t>CAPÍTULO 8.</w:t>
            </w:r>
            <w:r w:rsidR="005C12AD">
              <w:rPr>
                <w:rFonts w:asciiTheme="minorHAnsi" w:eastAsiaTheme="minorEastAsia" w:hAnsiTheme="minorHAnsi" w:cstheme="minorBidi"/>
                <w:b w:val="0"/>
                <w:sz w:val="22"/>
                <w:szCs w:val="22"/>
                <w:lang w:val="es-CO" w:eastAsia="es-CO"/>
              </w:rPr>
              <w:tab/>
            </w:r>
            <w:r w:rsidR="005C12AD" w:rsidRPr="00C47080">
              <w:rPr>
                <w:rStyle w:val="Hipervnculo"/>
              </w:rPr>
              <w:t>VALORACIÓN DE ACTIVOS EXISTENTES</w:t>
            </w:r>
            <w:r w:rsidR="005C12AD">
              <w:rPr>
                <w:webHidden/>
              </w:rPr>
              <w:tab/>
            </w:r>
            <w:r w:rsidR="005C12AD">
              <w:rPr>
                <w:webHidden/>
              </w:rPr>
              <w:fldChar w:fldCharType="begin"/>
            </w:r>
            <w:r w:rsidR="005C12AD">
              <w:rPr>
                <w:webHidden/>
              </w:rPr>
              <w:instrText xml:space="preserve"> PAGEREF _Toc466392693 \h </w:instrText>
            </w:r>
            <w:r w:rsidR="005C12AD">
              <w:rPr>
                <w:webHidden/>
              </w:rPr>
            </w:r>
            <w:r w:rsidR="005C12AD">
              <w:rPr>
                <w:webHidden/>
              </w:rPr>
              <w:fldChar w:fldCharType="separate"/>
            </w:r>
            <w:r w:rsidR="000F355F">
              <w:rPr>
                <w:webHidden/>
              </w:rPr>
              <w:t>92</w:t>
            </w:r>
            <w:r w:rsidR="005C12AD">
              <w:rPr>
                <w:webHidden/>
              </w:rPr>
              <w:fldChar w:fldCharType="end"/>
            </w:r>
          </w:hyperlink>
        </w:p>
        <w:p w14:paraId="50157B6B" w14:textId="77777777" w:rsidR="005C12AD" w:rsidRDefault="00651802">
          <w:pPr>
            <w:pStyle w:val="TDC2"/>
            <w:rPr>
              <w:rFonts w:asciiTheme="minorHAnsi" w:eastAsiaTheme="minorEastAsia" w:hAnsiTheme="minorHAnsi" w:cstheme="minorBidi"/>
              <w:bCs w:val="0"/>
              <w:sz w:val="22"/>
              <w:szCs w:val="22"/>
              <w:lang w:eastAsia="es-CO"/>
            </w:rPr>
          </w:pPr>
          <w:hyperlink w:anchor="_Toc466392694" w:history="1">
            <w:r w:rsidR="005C12AD" w:rsidRPr="00C47080">
              <w:rPr>
                <w:rStyle w:val="Hipervnculo"/>
              </w:rPr>
              <w:t>8.1</w:t>
            </w:r>
            <w:r w:rsidR="005C12AD">
              <w:rPr>
                <w:rFonts w:asciiTheme="minorHAnsi" w:eastAsiaTheme="minorEastAsia" w:hAnsiTheme="minorHAnsi" w:cstheme="minorBidi"/>
                <w:bCs w:val="0"/>
                <w:sz w:val="22"/>
                <w:szCs w:val="22"/>
                <w:lang w:eastAsia="es-CO"/>
              </w:rPr>
              <w:tab/>
            </w:r>
            <w:r w:rsidR="005C12AD" w:rsidRPr="00C47080">
              <w:rPr>
                <w:rStyle w:val="Hipervnculo"/>
              </w:rPr>
              <w:t>Valor de las UC</w:t>
            </w:r>
            <w:r w:rsidR="005C12AD">
              <w:rPr>
                <w:webHidden/>
              </w:rPr>
              <w:tab/>
            </w:r>
            <w:r w:rsidR="005C12AD">
              <w:rPr>
                <w:webHidden/>
              </w:rPr>
              <w:fldChar w:fldCharType="begin"/>
            </w:r>
            <w:r w:rsidR="005C12AD">
              <w:rPr>
                <w:webHidden/>
              </w:rPr>
              <w:instrText xml:space="preserve"> PAGEREF _Toc466392694 \h </w:instrText>
            </w:r>
            <w:r w:rsidR="005C12AD">
              <w:rPr>
                <w:webHidden/>
              </w:rPr>
            </w:r>
            <w:r w:rsidR="005C12AD">
              <w:rPr>
                <w:webHidden/>
              </w:rPr>
              <w:fldChar w:fldCharType="separate"/>
            </w:r>
            <w:r w:rsidR="000F355F">
              <w:rPr>
                <w:webHidden/>
              </w:rPr>
              <w:t>92</w:t>
            </w:r>
            <w:r w:rsidR="005C12AD">
              <w:rPr>
                <w:webHidden/>
              </w:rPr>
              <w:fldChar w:fldCharType="end"/>
            </w:r>
          </w:hyperlink>
        </w:p>
        <w:p w14:paraId="632CA0B2" w14:textId="77777777" w:rsidR="005C12AD" w:rsidRDefault="00651802">
          <w:pPr>
            <w:pStyle w:val="TDC3"/>
            <w:rPr>
              <w:rFonts w:asciiTheme="minorHAnsi" w:eastAsiaTheme="minorEastAsia" w:hAnsiTheme="minorHAnsi" w:cstheme="minorBidi"/>
              <w:sz w:val="22"/>
              <w:szCs w:val="22"/>
              <w:lang w:eastAsia="es-CO"/>
            </w:rPr>
          </w:pPr>
          <w:hyperlink w:anchor="_Toc466392695" w:history="1">
            <w:r w:rsidR="005C12AD" w:rsidRPr="00C47080">
              <w:rPr>
                <w:rStyle w:val="Hipervnculo"/>
              </w:rPr>
              <w:t>8.1.1</w:t>
            </w:r>
            <w:r w:rsidR="005C12AD">
              <w:rPr>
                <w:rFonts w:asciiTheme="minorHAnsi" w:eastAsiaTheme="minorEastAsia" w:hAnsiTheme="minorHAnsi" w:cstheme="minorBidi"/>
                <w:sz w:val="22"/>
                <w:szCs w:val="22"/>
                <w:lang w:eastAsia="es-CO"/>
              </w:rPr>
              <w:tab/>
            </w:r>
            <w:r w:rsidR="005C12AD" w:rsidRPr="00C47080">
              <w:rPr>
                <w:rStyle w:val="Hipervnculo"/>
              </w:rPr>
              <w:t>Subestaciones</w:t>
            </w:r>
            <w:r w:rsidR="005C12AD">
              <w:rPr>
                <w:webHidden/>
              </w:rPr>
              <w:tab/>
            </w:r>
            <w:r w:rsidR="005C12AD">
              <w:rPr>
                <w:webHidden/>
              </w:rPr>
              <w:fldChar w:fldCharType="begin"/>
            </w:r>
            <w:r w:rsidR="005C12AD">
              <w:rPr>
                <w:webHidden/>
              </w:rPr>
              <w:instrText xml:space="preserve"> PAGEREF _Toc466392695 \h </w:instrText>
            </w:r>
            <w:r w:rsidR="005C12AD">
              <w:rPr>
                <w:webHidden/>
              </w:rPr>
            </w:r>
            <w:r w:rsidR="005C12AD">
              <w:rPr>
                <w:webHidden/>
              </w:rPr>
              <w:fldChar w:fldCharType="separate"/>
            </w:r>
            <w:r w:rsidR="000F355F">
              <w:rPr>
                <w:webHidden/>
              </w:rPr>
              <w:t>92</w:t>
            </w:r>
            <w:r w:rsidR="005C12AD">
              <w:rPr>
                <w:webHidden/>
              </w:rPr>
              <w:fldChar w:fldCharType="end"/>
            </w:r>
          </w:hyperlink>
        </w:p>
        <w:p w14:paraId="421DAAED" w14:textId="77777777" w:rsidR="005C12AD" w:rsidRDefault="00651802">
          <w:pPr>
            <w:pStyle w:val="TDC3"/>
            <w:rPr>
              <w:rFonts w:asciiTheme="minorHAnsi" w:eastAsiaTheme="minorEastAsia" w:hAnsiTheme="minorHAnsi" w:cstheme="minorBidi"/>
              <w:sz w:val="22"/>
              <w:szCs w:val="22"/>
              <w:lang w:eastAsia="es-CO"/>
            </w:rPr>
          </w:pPr>
          <w:hyperlink w:anchor="_Toc466392696" w:history="1">
            <w:r w:rsidR="005C12AD" w:rsidRPr="00C47080">
              <w:rPr>
                <w:rStyle w:val="Hipervnculo"/>
              </w:rPr>
              <w:t>8.1.2</w:t>
            </w:r>
            <w:r w:rsidR="005C12AD">
              <w:rPr>
                <w:rFonts w:asciiTheme="minorHAnsi" w:eastAsiaTheme="minorEastAsia" w:hAnsiTheme="minorHAnsi" w:cstheme="minorBidi"/>
                <w:sz w:val="22"/>
                <w:szCs w:val="22"/>
                <w:lang w:eastAsia="es-CO"/>
              </w:rPr>
              <w:tab/>
            </w:r>
            <w:r w:rsidR="005C12AD" w:rsidRPr="00C47080">
              <w:rPr>
                <w:rStyle w:val="Hipervnculo"/>
              </w:rPr>
              <w:t>UC de compensación</w:t>
            </w:r>
            <w:r w:rsidR="005C12AD">
              <w:rPr>
                <w:webHidden/>
              </w:rPr>
              <w:tab/>
            </w:r>
            <w:r w:rsidR="005C12AD">
              <w:rPr>
                <w:webHidden/>
              </w:rPr>
              <w:fldChar w:fldCharType="begin"/>
            </w:r>
            <w:r w:rsidR="005C12AD">
              <w:rPr>
                <w:webHidden/>
              </w:rPr>
              <w:instrText xml:space="preserve"> PAGEREF _Toc466392696 \h </w:instrText>
            </w:r>
            <w:r w:rsidR="005C12AD">
              <w:rPr>
                <w:webHidden/>
              </w:rPr>
            </w:r>
            <w:r w:rsidR="005C12AD">
              <w:rPr>
                <w:webHidden/>
              </w:rPr>
              <w:fldChar w:fldCharType="separate"/>
            </w:r>
            <w:r w:rsidR="000F355F">
              <w:rPr>
                <w:webHidden/>
              </w:rPr>
              <w:t>94</w:t>
            </w:r>
            <w:r w:rsidR="005C12AD">
              <w:rPr>
                <w:webHidden/>
              </w:rPr>
              <w:fldChar w:fldCharType="end"/>
            </w:r>
          </w:hyperlink>
        </w:p>
        <w:p w14:paraId="07330CE9" w14:textId="77777777" w:rsidR="005C12AD" w:rsidRDefault="00651802">
          <w:pPr>
            <w:pStyle w:val="TDC3"/>
            <w:rPr>
              <w:rFonts w:asciiTheme="minorHAnsi" w:eastAsiaTheme="minorEastAsia" w:hAnsiTheme="minorHAnsi" w:cstheme="minorBidi"/>
              <w:sz w:val="22"/>
              <w:szCs w:val="22"/>
              <w:lang w:eastAsia="es-CO"/>
            </w:rPr>
          </w:pPr>
          <w:hyperlink w:anchor="_Toc466392697" w:history="1">
            <w:r w:rsidR="005C12AD" w:rsidRPr="00C47080">
              <w:rPr>
                <w:rStyle w:val="Hipervnculo"/>
              </w:rPr>
              <w:t>8.1.3</w:t>
            </w:r>
            <w:r w:rsidR="005C12AD">
              <w:rPr>
                <w:rFonts w:asciiTheme="minorHAnsi" w:eastAsiaTheme="minorEastAsia" w:hAnsiTheme="minorHAnsi" w:cstheme="minorBidi"/>
                <w:sz w:val="22"/>
                <w:szCs w:val="22"/>
                <w:lang w:eastAsia="es-CO"/>
              </w:rPr>
              <w:tab/>
            </w:r>
            <w:r w:rsidR="005C12AD" w:rsidRPr="00C47080">
              <w:rPr>
                <w:rStyle w:val="Hipervnculo"/>
              </w:rPr>
              <w:t>Centros de supervisión y maniobra</w:t>
            </w:r>
            <w:r w:rsidR="005C12AD">
              <w:rPr>
                <w:webHidden/>
              </w:rPr>
              <w:tab/>
            </w:r>
            <w:r w:rsidR="005C12AD">
              <w:rPr>
                <w:webHidden/>
              </w:rPr>
              <w:fldChar w:fldCharType="begin"/>
            </w:r>
            <w:r w:rsidR="005C12AD">
              <w:rPr>
                <w:webHidden/>
              </w:rPr>
              <w:instrText xml:space="preserve"> PAGEREF _Toc466392697 \h </w:instrText>
            </w:r>
            <w:r w:rsidR="005C12AD">
              <w:rPr>
                <w:webHidden/>
              </w:rPr>
            </w:r>
            <w:r w:rsidR="005C12AD">
              <w:rPr>
                <w:webHidden/>
              </w:rPr>
              <w:fldChar w:fldCharType="separate"/>
            </w:r>
            <w:r w:rsidR="000F355F">
              <w:rPr>
                <w:webHidden/>
              </w:rPr>
              <w:t>95</w:t>
            </w:r>
            <w:r w:rsidR="005C12AD">
              <w:rPr>
                <w:webHidden/>
              </w:rPr>
              <w:fldChar w:fldCharType="end"/>
            </w:r>
          </w:hyperlink>
        </w:p>
        <w:p w14:paraId="4C82ECB5" w14:textId="77777777" w:rsidR="005C12AD" w:rsidRDefault="00651802">
          <w:pPr>
            <w:pStyle w:val="TDC3"/>
            <w:rPr>
              <w:rFonts w:asciiTheme="minorHAnsi" w:eastAsiaTheme="minorEastAsia" w:hAnsiTheme="minorHAnsi" w:cstheme="minorBidi"/>
              <w:sz w:val="22"/>
              <w:szCs w:val="22"/>
              <w:lang w:eastAsia="es-CO"/>
            </w:rPr>
          </w:pPr>
          <w:hyperlink w:anchor="_Toc466392698" w:history="1">
            <w:r w:rsidR="005C12AD" w:rsidRPr="00C47080">
              <w:rPr>
                <w:rStyle w:val="Hipervnculo"/>
              </w:rPr>
              <w:t>8.1.4</w:t>
            </w:r>
            <w:r w:rsidR="005C12AD">
              <w:rPr>
                <w:rFonts w:asciiTheme="minorHAnsi" w:eastAsiaTheme="minorEastAsia" w:hAnsiTheme="minorHAnsi" w:cstheme="minorBidi"/>
                <w:sz w:val="22"/>
                <w:szCs w:val="22"/>
                <w:lang w:eastAsia="es-CO"/>
              </w:rPr>
              <w:tab/>
            </w:r>
            <w:r w:rsidR="005C12AD" w:rsidRPr="00C47080">
              <w:rPr>
                <w:rStyle w:val="Hipervnculo"/>
              </w:rPr>
              <w:t>Líneas de transmisión</w:t>
            </w:r>
            <w:r w:rsidR="005C12AD">
              <w:rPr>
                <w:webHidden/>
              </w:rPr>
              <w:tab/>
            </w:r>
            <w:r w:rsidR="005C12AD">
              <w:rPr>
                <w:webHidden/>
              </w:rPr>
              <w:fldChar w:fldCharType="begin"/>
            </w:r>
            <w:r w:rsidR="005C12AD">
              <w:rPr>
                <w:webHidden/>
              </w:rPr>
              <w:instrText xml:space="preserve"> PAGEREF _Toc466392698 \h </w:instrText>
            </w:r>
            <w:r w:rsidR="005C12AD">
              <w:rPr>
                <w:webHidden/>
              </w:rPr>
            </w:r>
            <w:r w:rsidR="005C12AD">
              <w:rPr>
                <w:webHidden/>
              </w:rPr>
              <w:fldChar w:fldCharType="separate"/>
            </w:r>
            <w:r w:rsidR="000F355F">
              <w:rPr>
                <w:webHidden/>
              </w:rPr>
              <w:t>96</w:t>
            </w:r>
            <w:r w:rsidR="005C12AD">
              <w:rPr>
                <w:webHidden/>
              </w:rPr>
              <w:fldChar w:fldCharType="end"/>
            </w:r>
          </w:hyperlink>
        </w:p>
        <w:p w14:paraId="55BFC015" w14:textId="77777777" w:rsidR="005C12AD" w:rsidRDefault="00651802">
          <w:pPr>
            <w:pStyle w:val="TDC2"/>
            <w:rPr>
              <w:rFonts w:asciiTheme="minorHAnsi" w:eastAsiaTheme="minorEastAsia" w:hAnsiTheme="minorHAnsi" w:cstheme="minorBidi"/>
              <w:bCs w:val="0"/>
              <w:sz w:val="22"/>
              <w:szCs w:val="22"/>
              <w:lang w:eastAsia="es-CO"/>
            </w:rPr>
          </w:pPr>
          <w:hyperlink w:anchor="_Toc466392699" w:history="1">
            <w:r w:rsidR="005C12AD" w:rsidRPr="00C47080">
              <w:rPr>
                <w:rStyle w:val="Hipervnculo"/>
              </w:rPr>
              <w:t>8.2</w:t>
            </w:r>
            <w:r w:rsidR="005C12AD">
              <w:rPr>
                <w:rFonts w:asciiTheme="minorHAnsi" w:eastAsiaTheme="minorEastAsia" w:hAnsiTheme="minorHAnsi" w:cstheme="minorBidi"/>
                <w:bCs w:val="0"/>
                <w:sz w:val="22"/>
                <w:szCs w:val="22"/>
                <w:lang w:eastAsia="es-CO"/>
              </w:rPr>
              <w:tab/>
            </w:r>
            <w:r w:rsidR="005C12AD" w:rsidRPr="00C47080">
              <w:rPr>
                <w:rStyle w:val="Hipervnculo"/>
              </w:rPr>
              <w:t>Áreas típicas de las UC de subestaciones</w:t>
            </w:r>
            <w:r w:rsidR="005C12AD">
              <w:rPr>
                <w:webHidden/>
              </w:rPr>
              <w:tab/>
            </w:r>
            <w:r w:rsidR="005C12AD">
              <w:rPr>
                <w:webHidden/>
              </w:rPr>
              <w:fldChar w:fldCharType="begin"/>
            </w:r>
            <w:r w:rsidR="005C12AD">
              <w:rPr>
                <w:webHidden/>
              </w:rPr>
              <w:instrText xml:space="preserve"> PAGEREF _Toc466392699 \h </w:instrText>
            </w:r>
            <w:r w:rsidR="005C12AD">
              <w:rPr>
                <w:webHidden/>
              </w:rPr>
            </w:r>
            <w:r w:rsidR="005C12AD">
              <w:rPr>
                <w:webHidden/>
              </w:rPr>
              <w:fldChar w:fldCharType="separate"/>
            </w:r>
            <w:r w:rsidR="000F355F">
              <w:rPr>
                <w:webHidden/>
              </w:rPr>
              <w:t>97</w:t>
            </w:r>
            <w:r w:rsidR="005C12AD">
              <w:rPr>
                <w:webHidden/>
              </w:rPr>
              <w:fldChar w:fldCharType="end"/>
            </w:r>
          </w:hyperlink>
        </w:p>
        <w:p w14:paraId="3838C7C9" w14:textId="77777777" w:rsidR="005C12AD" w:rsidRDefault="00651802">
          <w:pPr>
            <w:pStyle w:val="TDC2"/>
            <w:rPr>
              <w:rFonts w:asciiTheme="minorHAnsi" w:eastAsiaTheme="minorEastAsia" w:hAnsiTheme="minorHAnsi" w:cstheme="minorBidi"/>
              <w:bCs w:val="0"/>
              <w:sz w:val="22"/>
              <w:szCs w:val="22"/>
              <w:lang w:eastAsia="es-CO"/>
            </w:rPr>
          </w:pPr>
          <w:hyperlink w:anchor="_Toc466392700" w:history="1">
            <w:r w:rsidR="005C12AD" w:rsidRPr="00C47080">
              <w:rPr>
                <w:rStyle w:val="Hipervnculo"/>
              </w:rPr>
              <w:t>8.3</w:t>
            </w:r>
            <w:r w:rsidR="005C12AD">
              <w:rPr>
                <w:rFonts w:asciiTheme="minorHAnsi" w:eastAsiaTheme="minorEastAsia" w:hAnsiTheme="minorHAnsi" w:cstheme="minorBidi"/>
                <w:bCs w:val="0"/>
                <w:sz w:val="22"/>
                <w:szCs w:val="22"/>
                <w:lang w:eastAsia="es-CO"/>
              </w:rPr>
              <w:tab/>
            </w:r>
            <w:r w:rsidR="005C12AD" w:rsidRPr="00C47080">
              <w:rPr>
                <w:rStyle w:val="Hipervnculo"/>
              </w:rPr>
              <w:t>Categorías de unidades constructivas</w:t>
            </w:r>
            <w:r w:rsidR="005C12AD">
              <w:rPr>
                <w:webHidden/>
              </w:rPr>
              <w:tab/>
            </w:r>
            <w:r w:rsidR="005C12AD">
              <w:rPr>
                <w:webHidden/>
              </w:rPr>
              <w:fldChar w:fldCharType="begin"/>
            </w:r>
            <w:r w:rsidR="005C12AD">
              <w:rPr>
                <w:webHidden/>
              </w:rPr>
              <w:instrText xml:space="preserve"> PAGEREF _Toc466392700 \h </w:instrText>
            </w:r>
            <w:r w:rsidR="005C12AD">
              <w:rPr>
                <w:webHidden/>
              </w:rPr>
            </w:r>
            <w:r w:rsidR="005C12AD">
              <w:rPr>
                <w:webHidden/>
              </w:rPr>
              <w:fldChar w:fldCharType="separate"/>
            </w:r>
            <w:r w:rsidR="000F355F">
              <w:rPr>
                <w:webHidden/>
              </w:rPr>
              <w:t>98</w:t>
            </w:r>
            <w:r w:rsidR="005C12AD">
              <w:rPr>
                <w:webHidden/>
              </w:rPr>
              <w:fldChar w:fldCharType="end"/>
            </w:r>
          </w:hyperlink>
        </w:p>
        <w:p w14:paraId="755541E8" w14:textId="77777777" w:rsidR="005C12AD" w:rsidRDefault="00651802">
          <w:pPr>
            <w:pStyle w:val="TDC1"/>
            <w:rPr>
              <w:rFonts w:asciiTheme="minorHAnsi" w:eastAsiaTheme="minorEastAsia" w:hAnsiTheme="minorHAnsi" w:cstheme="minorBidi"/>
              <w:b w:val="0"/>
              <w:sz w:val="22"/>
              <w:szCs w:val="22"/>
              <w:lang w:val="es-CO" w:eastAsia="es-CO"/>
            </w:rPr>
          </w:pPr>
          <w:hyperlink w:anchor="_Toc466392701" w:history="1">
            <w:r w:rsidR="005C12AD" w:rsidRPr="00C47080">
              <w:rPr>
                <w:rStyle w:val="Hipervnculo"/>
              </w:rPr>
              <w:t>CAPÍTULO 9.</w:t>
            </w:r>
            <w:r w:rsidR="005C12AD">
              <w:rPr>
                <w:rFonts w:asciiTheme="minorHAnsi" w:eastAsiaTheme="minorEastAsia" w:hAnsiTheme="minorHAnsi" w:cstheme="minorBidi"/>
                <w:b w:val="0"/>
                <w:sz w:val="22"/>
                <w:szCs w:val="22"/>
                <w:lang w:val="es-CO" w:eastAsia="es-CO"/>
              </w:rPr>
              <w:tab/>
            </w:r>
            <w:r w:rsidR="005C12AD" w:rsidRPr="00C47080">
              <w:rPr>
                <w:rStyle w:val="Hipervnculo"/>
              </w:rPr>
              <w:t>CARGOS HORARIOS</w:t>
            </w:r>
            <w:r w:rsidR="005C12AD">
              <w:rPr>
                <w:webHidden/>
              </w:rPr>
              <w:tab/>
            </w:r>
            <w:r w:rsidR="005C12AD">
              <w:rPr>
                <w:webHidden/>
              </w:rPr>
              <w:fldChar w:fldCharType="begin"/>
            </w:r>
            <w:r w:rsidR="005C12AD">
              <w:rPr>
                <w:webHidden/>
              </w:rPr>
              <w:instrText xml:space="preserve"> PAGEREF _Toc466392701 \h </w:instrText>
            </w:r>
            <w:r w:rsidR="005C12AD">
              <w:rPr>
                <w:webHidden/>
              </w:rPr>
            </w:r>
            <w:r w:rsidR="005C12AD">
              <w:rPr>
                <w:webHidden/>
              </w:rPr>
              <w:fldChar w:fldCharType="separate"/>
            </w:r>
            <w:r w:rsidR="000F355F">
              <w:rPr>
                <w:webHidden/>
              </w:rPr>
              <w:t>99</w:t>
            </w:r>
            <w:r w:rsidR="005C12AD">
              <w:rPr>
                <w:webHidden/>
              </w:rPr>
              <w:fldChar w:fldCharType="end"/>
            </w:r>
          </w:hyperlink>
        </w:p>
        <w:p w14:paraId="5CEB181A" w14:textId="77777777" w:rsidR="00172371" w:rsidRPr="00321B46" w:rsidRDefault="00E43449" w:rsidP="00172371">
          <w:pPr>
            <w:rPr>
              <w:b/>
              <w:bCs/>
            </w:rPr>
          </w:pPr>
          <w:r w:rsidRPr="00321B46">
            <w:rPr>
              <w:b/>
              <w:bCs/>
            </w:rPr>
            <w:fldChar w:fldCharType="end"/>
          </w:r>
        </w:p>
      </w:sdtContent>
    </w:sdt>
    <w:p w14:paraId="42089628" w14:textId="77777777" w:rsidR="00E43449" w:rsidRPr="00321B46" w:rsidRDefault="00172371" w:rsidP="00172371">
      <w:r w:rsidRPr="00321B46">
        <w:rPr>
          <w:b/>
          <w:bCs/>
        </w:rPr>
        <w:br w:type="column"/>
      </w:r>
    </w:p>
    <w:p w14:paraId="5E7547E8" w14:textId="77777777" w:rsidR="00E43449" w:rsidRPr="00321B46" w:rsidRDefault="00E43449" w:rsidP="00E43449">
      <w:pPr>
        <w:spacing w:before="0" w:after="0"/>
        <w:jc w:val="center"/>
        <w:rPr>
          <w:b/>
        </w:rPr>
      </w:pPr>
      <w:r w:rsidRPr="00321B46">
        <w:rPr>
          <w:b/>
        </w:rPr>
        <w:t>ANEXO GENERAL</w:t>
      </w:r>
    </w:p>
    <w:p w14:paraId="54548524" w14:textId="77777777" w:rsidR="00E43449" w:rsidRPr="00321B46" w:rsidRDefault="00E43449">
      <w:pPr>
        <w:pStyle w:val="Ttulo1"/>
      </w:pPr>
      <w:bookmarkStart w:id="26" w:name="_Toc191987516"/>
      <w:bookmarkStart w:id="27" w:name="_Toc191987519"/>
      <w:bookmarkStart w:id="28" w:name="_Toc191987520"/>
      <w:bookmarkStart w:id="29" w:name="_Toc191987521"/>
      <w:bookmarkStart w:id="30" w:name="_Toc191987522"/>
      <w:bookmarkStart w:id="31" w:name="_Ref403641580"/>
      <w:bookmarkStart w:id="32" w:name="_Toc466392615"/>
      <w:bookmarkStart w:id="33" w:name="_Ref403033921"/>
      <w:bookmarkEnd w:id="1"/>
      <w:bookmarkEnd w:id="2"/>
      <w:bookmarkEnd w:id="3"/>
      <w:bookmarkEnd w:id="4"/>
      <w:bookmarkEnd w:id="5"/>
      <w:bookmarkEnd w:id="6"/>
      <w:bookmarkEnd w:id="7"/>
      <w:bookmarkEnd w:id="8"/>
      <w:bookmarkEnd w:id="9"/>
      <w:bookmarkEnd w:id="10"/>
      <w:bookmarkEnd w:id="26"/>
      <w:bookmarkEnd w:id="27"/>
      <w:bookmarkEnd w:id="28"/>
      <w:bookmarkEnd w:id="29"/>
      <w:bookmarkEnd w:id="30"/>
      <w:r w:rsidRPr="00321B46">
        <w:t>CÁLCULO DEL CARGO</w:t>
      </w:r>
      <w:bookmarkEnd w:id="31"/>
      <w:r w:rsidRPr="00321B46">
        <w:t xml:space="preserve"> POR USO DEL STN</w:t>
      </w:r>
      <w:bookmarkEnd w:id="32"/>
    </w:p>
    <w:p w14:paraId="4984AB91" w14:textId="77777777" w:rsidR="00E43449" w:rsidRPr="00321B46" w:rsidRDefault="00E43449" w:rsidP="00E43449">
      <w:r w:rsidRPr="00321B46">
        <w:t>El cargo por uso del STN se calculará de acuerdo con lo establecido a continuación.</w:t>
      </w:r>
    </w:p>
    <w:p w14:paraId="01B6AC53" w14:textId="77777777" w:rsidR="00E43449" w:rsidRPr="00321B46" w:rsidRDefault="009954EA" w:rsidP="00BF7220">
      <w:pPr>
        <w:pStyle w:val="Ttulo2"/>
      </w:pPr>
      <w:bookmarkStart w:id="34" w:name="_Toc466392616"/>
      <w:r w:rsidRPr="00321B46">
        <w:t>Cargo por uso</w:t>
      </w:r>
      <w:bookmarkEnd w:id="34"/>
    </w:p>
    <w:p w14:paraId="57FDAD0A" w14:textId="77777777" w:rsidR="00E43449" w:rsidRPr="00321B46" w:rsidRDefault="00E43449" w:rsidP="00E43449">
      <w:r w:rsidRPr="00321B46">
        <w:t>El cargo por uso monomio del STN se calculará aplicando la siguiente expresión:</w:t>
      </w:r>
    </w:p>
    <w:p w14:paraId="39E43E04" w14:textId="77777777" w:rsidR="00E43449" w:rsidRPr="00321B46" w:rsidRDefault="00651802" w:rsidP="00E43449">
      <m:oMathPara>
        <m:oMath>
          <m:sSub>
            <m:sSubPr>
              <m:ctrlPr>
                <w:rPr>
                  <w:rFonts w:ascii="Cambria Math" w:hAnsi="Cambria Math"/>
                  <w:i/>
                </w:rPr>
              </m:ctrlPr>
            </m:sSubPr>
            <m:e>
              <m:r>
                <w:rPr>
                  <w:rFonts w:ascii="Cambria Math" w:hAnsi="Cambria Math"/>
                </w:rPr>
                <m:t>T</m:t>
              </m:r>
            </m:e>
            <m:sub>
              <m:r>
                <w:rPr>
                  <w:rFonts w:ascii="Cambria Math" w:hAnsi="Cambria Math"/>
                </w:rPr>
                <m:t>m</m:t>
              </m:r>
            </m:sub>
          </m:sSub>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j=1</m:t>
                  </m:r>
                </m:sub>
                <m:sup>
                  <m:sSub>
                    <m:sSubPr>
                      <m:ctrlPr>
                        <w:rPr>
                          <w:rFonts w:ascii="Cambria Math" w:hAnsi="Cambria Math"/>
                          <w:i/>
                        </w:rPr>
                      </m:ctrlPr>
                    </m:sSubPr>
                    <m:e>
                      <m:r>
                        <w:rPr>
                          <w:rFonts w:ascii="Cambria Math" w:hAnsi="Cambria Math"/>
                        </w:rPr>
                        <m:t>n</m:t>
                      </m:r>
                    </m:e>
                    <m:sub/>
                  </m:sSub>
                </m:sup>
                <m:e>
                  <m:sSub>
                    <m:sSubPr>
                      <m:ctrlPr>
                        <w:rPr>
                          <w:rFonts w:ascii="Cambria Math" w:hAnsi="Cambria Math"/>
                          <w:i/>
                        </w:rPr>
                      </m:ctrlPr>
                    </m:sSubPr>
                    <m:e>
                      <m:r>
                        <w:rPr>
                          <w:rFonts w:ascii="Cambria Math" w:hAnsi="Cambria Math"/>
                        </w:rPr>
                        <m:t>IMT</m:t>
                      </m:r>
                    </m:e>
                    <m:sub>
                      <m:r>
                        <w:rPr>
                          <w:rFonts w:ascii="Cambria Math" w:hAnsi="Cambria Math"/>
                        </w:rPr>
                        <m:t>j,m</m:t>
                      </m:r>
                    </m:sub>
                  </m:sSub>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nnr</m:t>
                      </m:r>
                    </m:e>
                    <m:sub/>
                  </m:sSub>
                </m:sup>
                <m:e>
                  <m:sSub>
                    <m:sSubPr>
                      <m:ctrlPr>
                        <w:rPr>
                          <w:rFonts w:ascii="Cambria Math" w:hAnsi="Cambria Math"/>
                          <w:i/>
                        </w:rPr>
                      </m:ctrlPr>
                    </m:sSubPr>
                    <m:e>
                      <m:r>
                        <w:rPr>
                          <w:rFonts w:ascii="Cambria Math" w:hAnsi="Cambria Math"/>
                        </w:rPr>
                        <m:t>IMNR</m:t>
                      </m:r>
                    </m:e>
                    <m:sub>
                      <m:r>
                        <w:rPr>
                          <w:rFonts w:ascii="Cambria Math" w:hAnsi="Cambria Math"/>
                        </w:rPr>
                        <m:t>i,m</m:t>
                      </m:r>
                    </m:sub>
                  </m:sSub>
                </m:e>
              </m:nary>
              <m:r>
                <w:rPr>
                  <w:rFonts w:ascii="Cambria Math" w:hAnsi="Cambria Math"/>
                </w:rPr>
                <m:t>-</m:t>
              </m:r>
              <m:nary>
                <m:naryPr>
                  <m:chr m:val="∑"/>
                  <m:limLoc m:val="subSup"/>
                  <m:ctrlPr>
                    <w:rPr>
                      <w:rFonts w:ascii="Cambria Math" w:hAnsi="Cambria Math"/>
                      <w:i/>
                    </w:rPr>
                  </m:ctrlPr>
                </m:naryPr>
                <m:sub>
                  <m:r>
                    <w:rPr>
                      <w:rFonts w:ascii="Cambria Math" w:hAnsi="Cambria Math"/>
                    </w:rPr>
                    <m:t>g=1</m:t>
                  </m:r>
                </m:sub>
                <m:sup>
                  <m:sSub>
                    <m:sSubPr>
                      <m:ctrlPr>
                        <w:rPr>
                          <w:rFonts w:ascii="Cambria Math" w:hAnsi="Cambria Math"/>
                          <w:i/>
                        </w:rPr>
                      </m:ctrlPr>
                    </m:sSubPr>
                    <m:e>
                      <m:r>
                        <w:rPr>
                          <w:rFonts w:ascii="Cambria Math" w:hAnsi="Cambria Math"/>
                        </w:rPr>
                        <m:t>ncp</m:t>
                      </m:r>
                    </m:e>
                    <m:sub/>
                  </m:sSub>
                </m:sup>
                <m:e>
                  <m:sSub>
                    <m:sSubPr>
                      <m:ctrlPr>
                        <w:rPr>
                          <w:rFonts w:ascii="Cambria Math" w:hAnsi="Cambria Math"/>
                          <w:i/>
                        </w:rPr>
                      </m:ctrlPr>
                    </m:sSubPr>
                    <m:e>
                      <m:r>
                        <w:rPr>
                          <w:rFonts w:ascii="Cambria Math" w:hAnsi="Cambria Math"/>
                        </w:rPr>
                        <m:t>PCP</m:t>
                      </m:r>
                    </m:e>
                    <m:sub>
                      <m:r>
                        <w:rPr>
                          <w:rFonts w:ascii="Cambria Math" w:hAnsi="Cambria Math"/>
                        </w:rPr>
                        <m:t>g,m-1</m:t>
                      </m:r>
                    </m:sub>
                  </m:sSub>
                </m:e>
              </m:nary>
              <m:r>
                <w:rPr>
                  <w:rFonts w:ascii="Cambria Math" w:hAnsi="Cambria Math"/>
                </w:rPr>
                <m:t>-</m:t>
              </m:r>
              <m:nary>
                <m:naryPr>
                  <m:chr m:val="∑"/>
                  <m:limLoc m:val="subSup"/>
                  <m:ctrlPr>
                    <w:rPr>
                      <w:rFonts w:ascii="Cambria Math" w:hAnsi="Cambria Math"/>
                      <w:i/>
                    </w:rPr>
                  </m:ctrlPr>
                </m:naryPr>
                <m:sub>
                  <m:r>
                    <w:rPr>
                      <w:rFonts w:ascii="Cambria Math" w:hAnsi="Cambria Math"/>
                    </w:rPr>
                    <m:t>p=1</m:t>
                  </m:r>
                </m:sub>
                <m:sup>
                  <m:sSub>
                    <m:sSubPr>
                      <m:ctrlPr>
                        <w:rPr>
                          <w:rFonts w:ascii="Cambria Math" w:hAnsi="Cambria Math"/>
                          <w:i/>
                        </w:rPr>
                      </m:ctrlPr>
                    </m:sSubPr>
                    <m:e>
                      <m:r>
                        <w:rPr>
                          <w:rFonts w:ascii="Cambria Math" w:hAnsi="Cambria Math"/>
                        </w:rPr>
                        <m:t>npe</m:t>
                      </m:r>
                    </m:e>
                    <m:sub/>
                  </m:sSub>
                </m:sup>
                <m:e>
                  <m:sSub>
                    <m:sSubPr>
                      <m:ctrlPr>
                        <w:rPr>
                          <w:rFonts w:ascii="Cambria Math" w:hAnsi="Cambria Math"/>
                          <w:i/>
                        </w:rPr>
                      </m:ctrlPr>
                    </m:sSubPr>
                    <m:e>
                      <m:r>
                        <w:rPr>
                          <w:rFonts w:ascii="Cambria Math" w:hAnsi="Cambria Math"/>
                        </w:rPr>
                        <m:t>VTG</m:t>
                      </m:r>
                    </m:e>
                    <m:sub>
                      <m:r>
                        <w:rPr>
                          <w:rFonts w:ascii="Cambria Math" w:hAnsi="Cambria Math"/>
                        </w:rPr>
                        <m:t>p,m-1</m:t>
                      </m:r>
                    </m:sub>
                  </m:sSub>
                </m:e>
              </m:nary>
            </m:num>
            <m:den>
              <m:sSub>
                <m:sSubPr>
                  <m:ctrlPr>
                    <w:rPr>
                      <w:rFonts w:ascii="Cambria Math" w:hAnsi="Cambria Math"/>
                      <w:i/>
                    </w:rPr>
                  </m:ctrlPr>
                </m:sSubPr>
                <m:e>
                  <m:r>
                    <w:rPr>
                      <w:rFonts w:ascii="Cambria Math" w:hAnsi="Cambria Math"/>
                    </w:rPr>
                    <m:t>DTC</m:t>
                  </m:r>
                </m:e>
                <m:sub>
                  <m:r>
                    <w:rPr>
                      <w:rFonts w:ascii="Cambria Math" w:hAnsi="Cambria Math"/>
                    </w:rPr>
                    <m:t>m</m:t>
                  </m:r>
                </m:sub>
              </m:sSub>
            </m:den>
          </m:f>
        </m:oMath>
      </m:oMathPara>
    </w:p>
    <w:p w14:paraId="042BE0B8" w14:textId="77777777" w:rsidR="00E43449" w:rsidRPr="00321B46" w:rsidRDefault="00E43449" w:rsidP="00E43449">
      <w:r w:rsidRPr="00321B46">
        <w:t>Donde:</w:t>
      </w:r>
    </w:p>
    <w:p w14:paraId="2258AE57" w14:textId="77777777" w:rsidR="00E43449" w:rsidRPr="00321B46" w:rsidRDefault="00E43449" w:rsidP="00E43449">
      <w:pPr>
        <w:spacing w:before="120"/>
        <w:ind w:left="1135" w:hanging="1135"/>
      </w:pPr>
      <w:r w:rsidRPr="00321B46">
        <w:rPr>
          <w:i/>
        </w:rPr>
        <w:t>T</w:t>
      </w:r>
      <w:r w:rsidRPr="00321B46">
        <w:rPr>
          <w:i/>
          <w:vertAlign w:val="subscript"/>
        </w:rPr>
        <w:t>m</w:t>
      </w:r>
      <w:r w:rsidRPr="00321B46">
        <w:t>:</w:t>
      </w:r>
      <w:r w:rsidRPr="00321B46">
        <w:tab/>
        <w:t xml:space="preserve">Cargo por uso del STN para el mes </w:t>
      </w:r>
      <w:r w:rsidRPr="00321B46">
        <w:rPr>
          <w:i/>
        </w:rPr>
        <w:t>m</w:t>
      </w:r>
      <w:r w:rsidRPr="00321B46">
        <w:t>. ($/kWh)</w:t>
      </w:r>
    </w:p>
    <w:p w14:paraId="3F24FBA0" w14:textId="77777777" w:rsidR="000950DA" w:rsidRPr="00321B46" w:rsidRDefault="00E43449" w:rsidP="000950DA">
      <w:pPr>
        <w:spacing w:before="120"/>
        <w:ind w:left="1135" w:hanging="1135"/>
        <w:rPr>
          <w:rFonts w:cs="Arial"/>
        </w:rPr>
      </w:pPr>
      <w:r w:rsidRPr="00321B46">
        <w:rPr>
          <w:rFonts w:cs="Arial"/>
          <w:i/>
        </w:rPr>
        <w:t>IMT</w:t>
      </w:r>
      <w:r w:rsidRPr="00321B46">
        <w:rPr>
          <w:rFonts w:cs="Arial"/>
          <w:i/>
          <w:vertAlign w:val="subscript"/>
        </w:rPr>
        <w:t>j,m</w:t>
      </w:r>
      <w:r w:rsidRPr="00321B46">
        <w:rPr>
          <w:rFonts w:cs="Arial"/>
        </w:rPr>
        <w:t xml:space="preserve"> : </w:t>
      </w:r>
      <w:r w:rsidRPr="00321B46">
        <w:rPr>
          <w:rFonts w:cs="Arial"/>
        </w:rPr>
        <w:tab/>
        <w:t xml:space="preserve">Ingreso mensual del TN </w:t>
      </w:r>
      <w:r w:rsidRPr="00321B46">
        <w:rPr>
          <w:rFonts w:cs="Arial"/>
          <w:i/>
        </w:rPr>
        <w:t>j</w:t>
      </w:r>
      <w:r w:rsidRPr="00321B46">
        <w:rPr>
          <w:rFonts w:cs="Arial"/>
        </w:rPr>
        <w:t xml:space="preserve">, para el mes </w:t>
      </w:r>
      <w:r w:rsidRPr="00321B46">
        <w:rPr>
          <w:rFonts w:cs="Arial"/>
          <w:i/>
        </w:rPr>
        <w:t>m</w:t>
      </w:r>
      <w:r w:rsidRPr="00321B46">
        <w:rPr>
          <w:rFonts w:cs="Arial"/>
        </w:rPr>
        <w:t xml:space="preserve">, calculado de acuerdo con lo dispuesto en el numeral </w:t>
      </w:r>
      <w:r w:rsidRPr="00321B46">
        <w:fldChar w:fldCharType="begin"/>
      </w:r>
      <w:r w:rsidRPr="00321B46">
        <w:rPr>
          <w:rFonts w:cs="Arial"/>
        </w:rPr>
        <w:instrText xml:space="preserve"> REF _Ref403989102 \r \h </w:instrText>
      </w:r>
      <w:r w:rsidRPr="00321B46">
        <w:instrText xml:space="preserve"> \* MERGEFORMAT </w:instrText>
      </w:r>
      <w:r w:rsidRPr="00321B46">
        <w:fldChar w:fldCharType="separate"/>
      </w:r>
      <w:r w:rsidR="000F355F">
        <w:rPr>
          <w:rFonts w:cs="Arial"/>
        </w:rPr>
        <w:t>1.2</w:t>
      </w:r>
      <w:r w:rsidRPr="00321B46">
        <w:fldChar w:fldCharType="end"/>
      </w:r>
      <w:r w:rsidRPr="00321B46">
        <w:rPr>
          <w:rFonts w:cs="Arial"/>
        </w:rPr>
        <w:t>. ($)</w:t>
      </w:r>
    </w:p>
    <w:p w14:paraId="08D5EF90" w14:textId="03F955EC" w:rsidR="00E43449" w:rsidRPr="00321B46" w:rsidRDefault="000950DA" w:rsidP="000950DA">
      <w:pPr>
        <w:spacing w:before="120"/>
        <w:ind w:left="1135" w:hanging="1135"/>
        <w:rPr>
          <w:rFonts w:cs="Arial"/>
        </w:rPr>
      </w:pPr>
      <w:r w:rsidRPr="00321B46">
        <w:rPr>
          <w:rFonts w:cs="Arial"/>
          <w:i/>
        </w:rPr>
        <w:t>IM</w:t>
      </w:r>
      <w:r w:rsidR="006B6FFF" w:rsidRPr="00321B46">
        <w:rPr>
          <w:rFonts w:cs="Arial"/>
          <w:i/>
        </w:rPr>
        <w:t>N</w:t>
      </w:r>
      <w:r w:rsidRPr="00321B46">
        <w:rPr>
          <w:rFonts w:cs="Arial"/>
          <w:i/>
        </w:rPr>
        <w:t>R</w:t>
      </w:r>
      <w:r w:rsidRPr="00321B46">
        <w:rPr>
          <w:rFonts w:cs="Arial"/>
          <w:i/>
          <w:vertAlign w:val="subscript"/>
        </w:rPr>
        <w:t>i,m</w:t>
      </w:r>
      <w:r w:rsidRPr="00321B46">
        <w:rPr>
          <w:rFonts w:cs="Arial"/>
        </w:rPr>
        <w:t xml:space="preserve"> : </w:t>
      </w:r>
      <w:r w:rsidRPr="00321B46">
        <w:rPr>
          <w:rFonts w:cs="Arial"/>
        </w:rPr>
        <w:tab/>
        <w:t xml:space="preserve">Ingreso mensual del activo de uso </w:t>
      </w:r>
      <w:r w:rsidRPr="00321B46">
        <w:rPr>
          <w:rFonts w:cs="Arial"/>
          <w:i/>
        </w:rPr>
        <w:t>i</w:t>
      </w:r>
      <w:r w:rsidRPr="00321B46">
        <w:rPr>
          <w:rFonts w:cs="Arial"/>
        </w:rPr>
        <w:t xml:space="preserve">, que no está representado ante el LAC, para el mes </w:t>
      </w:r>
      <w:r w:rsidRPr="00321B46">
        <w:rPr>
          <w:rFonts w:cs="Arial"/>
          <w:i/>
        </w:rPr>
        <w:t>m</w:t>
      </w:r>
      <w:r w:rsidRPr="00321B46">
        <w:rPr>
          <w:rFonts w:cs="Arial"/>
        </w:rPr>
        <w:t xml:space="preserve">, calculado de acuerdo con lo dispuesto en el numeral </w:t>
      </w:r>
      <w:r w:rsidR="006B6FFF" w:rsidRPr="00321B46">
        <w:fldChar w:fldCharType="begin"/>
      </w:r>
      <w:r w:rsidR="006B6FFF" w:rsidRPr="00321B46">
        <w:rPr>
          <w:rFonts w:cs="Arial"/>
        </w:rPr>
        <w:instrText xml:space="preserve"> REF _Ref441132014 \r \h </w:instrText>
      </w:r>
      <w:r w:rsidR="003276B5" w:rsidRPr="00321B46">
        <w:instrText xml:space="preserve"> \* MERGEFORMAT </w:instrText>
      </w:r>
      <w:r w:rsidR="006B6FFF" w:rsidRPr="00321B46">
        <w:fldChar w:fldCharType="separate"/>
      </w:r>
      <w:r w:rsidR="000F355F">
        <w:rPr>
          <w:rFonts w:cs="Arial"/>
        </w:rPr>
        <w:t>1.3</w:t>
      </w:r>
      <w:r w:rsidR="006B6FFF" w:rsidRPr="00321B46">
        <w:fldChar w:fldCharType="end"/>
      </w:r>
      <w:r w:rsidRPr="00321B46">
        <w:rPr>
          <w:rFonts w:cs="Arial"/>
        </w:rPr>
        <w:t>. ($)</w:t>
      </w:r>
    </w:p>
    <w:p w14:paraId="125410E7" w14:textId="77777777" w:rsidR="00E43449" w:rsidRPr="00321B46" w:rsidRDefault="00E43449" w:rsidP="00E43449">
      <w:pPr>
        <w:spacing w:before="120"/>
        <w:ind w:left="1135" w:hanging="1135"/>
      </w:pPr>
      <w:r w:rsidRPr="00321B46">
        <w:rPr>
          <w:i/>
        </w:rPr>
        <w:t>PCP</w:t>
      </w:r>
      <w:r w:rsidRPr="00321B46">
        <w:rPr>
          <w:i/>
          <w:vertAlign w:val="subscript"/>
        </w:rPr>
        <w:t>g,m-1</w:t>
      </w:r>
      <w:r w:rsidRPr="00321B46">
        <w:t>:</w:t>
      </w:r>
      <w:r w:rsidRPr="00321B46">
        <w:tab/>
        <w:t xml:space="preserve">Pago por concepto de conexión profunda que realiza el agente </w:t>
      </w:r>
      <w:r w:rsidRPr="00321B46">
        <w:rPr>
          <w:i/>
        </w:rPr>
        <w:t>g</w:t>
      </w:r>
      <w:r w:rsidRPr="00321B46">
        <w:t>, en el mes </w:t>
      </w:r>
      <w:r w:rsidRPr="00321B46">
        <w:rPr>
          <w:i/>
        </w:rPr>
        <w:t>m-1</w:t>
      </w:r>
      <w:r w:rsidRPr="00321B46">
        <w:t>. ($)</w:t>
      </w:r>
    </w:p>
    <w:p w14:paraId="3E191A20" w14:textId="77777777" w:rsidR="00E43449" w:rsidRPr="00321B46" w:rsidRDefault="00E43449" w:rsidP="00E43449">
      <w:pPr>
        <w:spacing w:before="120"/>
        <w:ind w:left="1135" w:hanging="1135"/>
      </w:pPr>
      <w:r w:rsidRPr="00321B46">
        <w:rPr>
          <w:i/>
        </w:rPr>
        <w:t>VTG</w:t>
      </w:r>
      <w:r w:rsidRPr="00321B46">
        <w:rPr>
          <w:i/>
          <w:vertAlign w:val="subscript"/>
        </w:rPr>
        <w:t>p,m-1</w:t>
      </w:r>
      <w:r w:rsidRPr="00321B46">
        <w:t>:</w:t>
      </w:r>
      <w:r w:rsidRPr="00321B46">
        <w:tab/>
        <w:t xml:space="preserve">Valor total garantizado por la póliza o garantía </w:t>
      </w:r>
      <w:r w:rsidRPr="00321B46">
        <w:rPr>
          <w:i/>
        </w:rPr>
        <w:t>p</w:t>
      </w:r>
      <w:r w:rsidRPr="00321B46">
        <w:t>, que se hace efectiva en el mes </w:t>
      </w:r>
      <w:r w:rsidRPr="00321B46">
        <w:rPr>
          <w:i/>
        </w:rPr>
        <w:t>m-1</w:t>
      </w:r>
      <w:r w:rsidRPr="00321B46">
        <w:t>. ($)</w:t>
      </w:r>
    </w:p>
    <w:p w14:paraId="640C1DE8" w14:textId="77777777" w:rsidR="00E43449" w:rsidRPr="00321B46" w:rsidRDefault="00E43449" w:rsidP="00E43449">
      <w:pPr>
        <w:spacing w:before="120"/>
        <w:ind w:left="1135" w:hanging="1135"/>
      </w:pPr>
      <w:r w:rsidRPr="00321B46">
        <w:rPr>
          <w:i/>
        </w:rPr>
        <w:t>DTC</w:t>
      </w:r>
      <w:r w:rsidRPr="00321B46">
        <w:rPr>
          <w:i/>
          <w:vertAlign w:val="subscript"/>
        </w:rPr>
        <w:t>m</w:t>
      </w:r>
      <w:r w:rsidRPr="00321B46">
        <w:t>:</w:t>
      </w:r>
      <w:r w:rsidRPr="00321B46">
        <w:tab/>
        <w:t xml:space="preserve">Demanda total registrada por los comercializadores del SIN en el mes </w:t>
      </w:r>
      <w:r w:rsidRPr="00321B46">
        <w:rPr>
          <w:i/>
        </w:rPr>
        <w:t>m</w:t>
      </w:r>
      <w:r w:rsidRPr="00321B46">
        <w:t>, en cada una de sus fronteras comerciales, referida a</w:t>
      </w:r>
      <w:r w:rsidR="00E603D7" w:rsidRPr="00321B46">
        <w:t>l STN</w:t>
      </w:r>
      <w:r w:rsidRPr="00321B46">
        <w:t>. (kWh)</w:t>
      </w:r>
    </w:p>
    <w:p w14:paraId="3FE436C8" w14:textId="77777777" w:rsidR="00E43449" w:rsidRPr="00321B46" w:rsidRDefault="00E43449" w:rsidP="00E43449">
      <w:pPr>
        <w:spacing w:before="120"/>
        <w:ind w:left="1135" w:hanging="1135"/>
      </w:pPr>
      <w:r w:rsidRPr="00321B46">
        <w:rPr>
          <w:i/>
        </w:rPr>
        <w:t>n</w:t>
      </w:r>
      <w:r w:rsidRPr="00321B46">
        <w:t>:</w:t>
      </w:r>
      <w:r w:rsidRPr="00321B46">
        <w:tab/>
        <w:t>Número de TN en el STN.</w:t>
      </w:r>
    </w:p>
    <w:p w14:paraId="311666E8" w14:textId="77777777" w:rsidR="00521A80" w:rsidRPr="00321B46" w:rsidRDefault="00521A80" w:rsidP="00521A80">
      <w:pPr>
        <w:spacing w:before="120"/>
        <w:ind w:left="1135" w:hanging="1135"/>
      </w:pPr>
      <w:r w:rsidRPr="00321B46">
        <w:rPr>
          <w:i/>
        </w:rPr>
        <w:t>nnr</w:t>
      </w:r>
      <w:r w:rsidRPr="00321B46">
        <w:t>:</w:t>
      </w:r>
      <w:r w:rsidRPr="00321B46">
        <w:tab/>
        <w:t>Número de unidades constructivas utilizadas en el STN que no cuentan con representación ante el LAC.</w:t>
      </w:r>
    </w:p>
    <w:p w14:paraId="43769A5D" w14:textId="77777777" w:rsidR="00521A80" w:rsidRPr="00321B46" w:rsidRDefault="00E43449" w:rsidP="00521A80">
      <w:pPr>
        <w:spacing w:before="120"/>
        <w:ind w:left="1135" w:hanging="1135"/>
      </w:pPr>
      <w:r w:rsidRPr="00321B46">
        <w:rPr>
          <w:i/>
        </w:rPr>
        <w:t>ncp</w:t>
      </w:r>
      <w:r w:rsidRPr="00321B46">
        <w:t>:</w:t>
      </w:r>
      <w:r w:rsidRPr="00321B46">
        <w:tab/>
        <w:t>Número de agentes que realizan pagos por concepto de conexión profunda.</w:t>
      </w:r>
    </w:p>
    <w:p w14:paraId="380CB196" w14:textId="77777777" w:rsidR="00E43449" w:rsidRPr="00321B46" w:rsidRDefault="00E43449" w:rsidP="00E43449">
      <w:pPr>
        <w:spacing w:before="120"/>
        <w:ind w:left="1135" w:hanging="1135"/>
      </w:pPr>
      <w:r w:rsidRPr="00321B46">
        <w:rPr>
          <w:i/>
        </w:rPr>
        <w:t>npe</w:t>
      </w:r>
      <w:r w:rsidRPr="00321B46">
        <w:t>:</w:t>
      </w:r>
      <w:r w:rsidRPr="00321B46">
        <w:tab/>
        <w:t>Número de pólizas o garantías que se hacen efectivas de acuerdo con los eventos de incumplimiento establecidos en la Resolución CREG 022 de 2001 y aquellas que la modifiquen, complementen o sustituyan.</w:t>
      </w:r>
    </w:p>
    <w:p w14:paraId="5A058C20" w14:textId="77777777" w:rsidR="00E43449" w:rsidRPr="00321B46" w:rsidRDefault="00E43449" w:rsidP="00E43449">
      <w:r w:rsidRPr="00321B46">
        <w:t xml:space="preserve">Si para algún mes </w:t>
      </w:r>
      <w:r w:rsidRPr="00321B46">
        <w:rPr>
          <w:i/>
        </w:rPr>
        <w:t>m</w:t>
      </w:r>
      <w:r w:rsidRPr="00321B46">
        <w:t xml:space="preserve">, el valor de los saldos por las garantías ejecutadas supera la diferencia entre el ingreso mensual y los pagos por concepto de conexiones profundas, solo se tomará del saldo de garantías un valor que no disminuya el numerador más allá del 50% del valor calculado para el mismo numerador en el mes </w:t>
      </w:r>
      <w:r w:rsidRPr="00321B46">
        <w:rPr>
          <w:i/>
        </w:rPr>
        <w:t>m-1</w:t>
      </w:r>
      <w:r w:rsidRPr="00321B46">
        <w:t xml:space="preserve">. Los saldos pendientes de las garantías ejecutadas, junto con los ingresos </w:t>
      </w:r>
      <w:r w:rsidR="0091598B" w:rsidRPr="00321B46">
        <w:t xml:space="preserve">y </w:t>
      </w:r>
      <w:r w:rsidRPr="00321B46">
        <w:t>gastos financieros, se tendrán en cuenta para incluirlos en el cálculo del cargo por uso de</w:t>
      </w:r>
      <w:r w:rsidR="0091598B" w:rsidRPr="00321B46">
        <w:t xml:space="preserve"> </w:t>
      </w:r>
      <w:r w:rsidRPr="00321B46">
        <w:t>l</w:t>
      </w:r>
      <w:r w:rsidR="0091598B" w:rsidRPr="00321B46">
        <w:t>os</w:t>
      </w:r>
      <w:r w:rsidRPr="00321B46">
        <w:t xml:space="preserve"> mes</w:t>
      </w:r>
      <w:r w:rsidR="0091598B" w:rsidRPr="00321B46">
        <w:t>es</w:t>
      </w:r>
      <w:r w:rsidRPr="00321B46">
        <w:t xml:space="preserve"> siguiente</w:t>
      </w:r>
      <w:r w:rsidR="0091598B" w:rsidRPr="00321B46">
        <w:t>s</w:t>
      </w:r>
      <w:r w:rsidRPr="00321B46">
        <w:t>.</w:t>
      </w:r>
    </w:p>
    <w:p w14:paraId="21DD9027" w14:textId="77777777" w:rsidR="00E43449" w:rsidRPr="00321B46" w:rsidRDefault="009954EA" w:rsidP="00BF7220">
      <w:pPr>
        <w:pStyle w:val="Ttulo2"/>
      </w:pPr>
      <w:bookmarkStart w:id="35" w:name="_Ref403989102"/>
      <w:bookmarkStart w:id="36" w:name="_Toc466392617"/>
      <w:r w:rsidRPr="00321B46">
        <w:t>Ingreso mensual</w:t>
      </w:r>
      <w:bookmarkEnd w:id="35"/>
      <w:r w:rsidRPr="00321B46">
        <w:t xml:space="preserve"> de los TN</w:t>
      </w:r>
      <w:bookmarkEnd w:id="36"/>
    </w:p>
    <w:p w14:paraId="4BEFEA8E" w14:textId="77777777" w:rsidR="00E43449" w:rsidRPr="00321B46" w:rsidRDefault="00E43449" w:rsidP="00E43449">
      <w:r w:rsidRPr="00321B46">
        <w:t>Para la liquidación del ingreso mensual de cada TN se tendrá en cuenta:</w:t>
      </w:r>
    </w:p>
    <w:p w14:paraId="4E0620E0" w14:textId="420C8732" w:rsidR="00E43449" w:rsidRPr="00321B46" w:rsidRDefault="00E43449" w:rsidP="00E43449">
      <w:pPr>
        <w:pStyle w:val="Prrafodelista"/>
        <w:numPr>
          <w:ilvl w:val="0"/>
          <w:numId w:val="39"/>
        </w:numPr>
      </w:pPr>
      <w:r w:rsidRPr="00321B46">
        <w:rPr>
          <w:szCs w:val="24"/>
        </w:rPr>
        <w:t xml:space="preserve">El ingreso mensual causado por unidades constructivas no construidas en desarrollo de los procesos de selección regulados por la CREG, el cual se calculará a partir del ingreso anual definido en el capítulo </w:t>
      </w:r>
      <w:r w:rsidRPr="00321B46">
        <w:fldChar w:fldCharType="begin"/>
      </w:r>
      <w:r w:rsidRPr="00321B46">
        <w:rPr>
          <w:szCs w:val="24"/>
        </w:rPr>
        <w:instrText xml:space="preserve"> REF _Ref406662935 \r \h \t</w:instrText>
      </w:r>
      <w:r w:rsidR="003276B5" w:rsidRPr="00321B46">
        <w:instrText xml:space="preserve"> \* MERGEFORMAT </w:instrText>
      </w:r>
      <w:r w:rsidRPr="00321B46">
        <w:fldChar w:fldCharType="separate"/>
      </w:r>
      <w:r w:rsidR="000F355F">
        <w:rPr>
          <w:szCs w:val="24"/>
        </w:rPr>
        <w:t>2</w:t>
      </w:r>
      <w:r w:rsidRPr="00321B46">
        <w:fldChar w:fldCharType="end"/>
      </w:r>
      <w:r w:rsidR="00457F1A" w:rsidRPr="00321B46">
        <w:t xml:space="preserve"> de este anexo</w:t>
      </w:r>
      <w:r w:rsidRPr="00321B46">
        <w:rPr>
          <w:szCs w:val="24"/>
        </w:rPr>
        <w:t xml:space="preserve">. </w:t>
      </w:r>
    </w:p>
    <w:p w14:paraId="5C2822AA" w14:textId="77777777" w:rsidR="00E43449" w:rsidRPr="00321B46" w:rsidRDefault="00E43449" w:rsidP="00E43449">
      <w:pPr>
        <w:pStyle w:val="Prrafodelista"/>
        <w:numPr>
          <w:ilvl w:val="0"/>
          <w:numId w:val="39"/>
        </w:numPr>
        <w:rPr>
          <w:szCs w:val="24"/>
        </w:rPr>
      </w:pPr>
      <w:bookmarkStart w:id="37" w:name="_Ref185845026"/>
      <w:r w:rsidRPr="00321B46">
        <w:rPr>
          <w:szCs w:val="24"/>
        </w:rPr>
        <w:t>El ingreso mensual causado por unidades constructivas asociadas con proyectos ejecutados como resultado de los procesos de selección de que trata</w:t>
      </w:r>
      <w:r w:rsidR="00CD2803" w:rsidRPr="00321B46">
        <w:rPr>
          <w:szCs w:val="24"/>
        </w:rPr>
        <w:t>n</w:t>
      </w:r>
      <w:r w:rsidRPr="00321B46">
        <w:rPr>
          <w:szCs w:val="24"/>
        </w:rPr>
        <w:t xml:space="preserve"> la</w:t>
      </w:r>
      <w:r w:rsidR="00CD2803" w:rsidRPr="00321B46">
        <w:rPr>
          <w:szCs w:val="24"/>
        </w:rPr>
        <w:t>s</w:t>
      </w:r>
      <w:r w:rsidRPr="00321B46">
        <w:rPr>
          <w:szCs w:val="24"/>
        </w:rPr>
        <w:t xml:space="preserve"> </w:t>
      </w:r>
      <w:r w:rsidR="00CD2803" w:rsidRPr="00321B46">
        <w:rPr>
          <w:szCs w:val="24"/>
        </w:rPr>
        <w:t>r</w:t>
      </w:r>
      <w:r w:rsidRPr="00321B46">
        <w:rPr>
          <w:szCs w:val="24"/>
        </w:rPr>
        <w:t>esoluci</w:t>
      </w:r>
      <w:r w:rsidR="00CD2803" w:rsidRPr="00321B46">
        <w:rPr>
          <w:szCs w:val="24"/>
        </w:rPr>
        <w:t>ones</w:t>
      </w:r>
      <w:r w:rsidRPr="00321B46">
        <w:rPr>
          <w:szCs w:val="24"/>
        </w:rPr>
        <w:t xml:space="preserve"> CREG 022 de 2001</w:t>
      </w:r>
      <w:r w:rsidR="00CD2803" w:rsidRPr="00321B46">
        <w:rPr>
          <w:szCs w:val="24"/>
        </w:rPr>
        <w:t xml:space="preserve"> y 092 de 2002</w:t>
      </w:r>
      <w:r w:rsidRPr="00321B46">
        <w:rPr>
          <w:szCs w:val="24"/>
        </w:rPr>
        <w:t>, o aquellas que la</w:t>
      </w:r>
      <w:r w:rsidR="00CD2803" w:rsidRPr="00321B46">
        <w:rPr>
          <w:szCs w:val="24"/>
        </w:rPr>
        <w:t>s</w:t>
      </w:r>
      <w:r w:rsidRPr="00321B46">
        <w:rPr>
          <w:szCs w:val="24"/>
        </w:rPr>
        <w:t xml:space="preserve"> modifiquen o sustituyan.</w:t>
      </w:r>
      <w:bookmarkEnd w:id="37"/>
    </w:p>
    <w:p w14:paraId="0AC6C62D" w14:textId="77777777" w:rsidR="00E43449" w:rsidRPr="00321B46" w:rsidRDefault="00E43449" w:rsidP="00E43449">
      <w:pPr>
        <w:pStyle w:val="Prrafodelista"/>
        <w:numPr>
          <w:ilvl w:val="0"/>
          <w:numId w:val="39"/>
        </w:numPr>
        <w:rPr>
          <w:szCs w:val="24"/>
        </w:rPr>
      </w:pPr>
      <w:r w:rsidRPr="00321B46">
        <w:rPr>
          <w:szCs w:val="24"/>
        </w:rPr>
        <w:t>Las compensaciones por variaciones en las características de calidad del servicio que excedan o superen los límites, en la forma definida en esta resolución.</w:t>
      </w:r>
    </w:p>
    <w:p w14:paraId="06AD6DD7" w14:textId="77777777" w:rsidR="00D710A1" w:rsidRPr="00321B46" w:rsidRDefault="00D710A1" w:rsidP="00325991">
      <w:r w:rsidRPr="00321B46">
        <w:t>El ingreso mensual de cada TN se calcula con:</w:t>
      </w:r>
    </w:p>
    <w:p w14:paraId="465B7B24" w14:textId="2F3373BA" w:rsidR="00E43449" w:rsidRPr="00321B46" w:rsidRDefault="00651802" w:rsidP="00E43449">
      <m:oMathPara>
        <m:oMath>
          <m:sSub>
            <m:sSubPr>
              <m:ctrlPr>
                <w:rPr>
                  <w:rFonts w:ascii="Cambria Math" w:hAnsi="Cambria Math"/>
                  <w:i/>
                </w:rPr>
              </m:ctrlPr>
            </m:sSubPr>
            <m:e>
              <m:r>
                <w:rPr>
                  <w:rFonts w:ascii="Cambria Math" w:hAnsi="Cambria Math"/>
                </w:rPr>
                <m:t>IMT</m:t>
              </m:r>
            </m:e>
            <m:sub>
              <m:r>
                <w:rPr>
                  <w:rFonts w:ascii="Cambria Math" w:hAnsi="Cambria Math"/>
                </w:rPr>
                <m:t>j,m</m:t>
              </m:r>
            </m:sub>
          </m:sSub>
          <m:r>
            <w:rPr>
              <w:rFonts w:ascii="Cambria Math" w:hAnsi="Cambria Math"/>
            </w:rPr>
            <m:t>=</m:t>
          </m:r>
          <m:d>
            <m:dPr>
              <m:ctrlPr>
                <w:rPr>
                  <w:rFonts w:ascii="Cambria Math" w:hAnsi="Cambria Math"/>
                  <w:i/>
                </w:rPr>
              </m:ctrlPr>
            </m:dPr>
            <m:e>
              <m:r>
                <w:rPr>
                  <w:rFonts w:ascii="Cambria Math" w:hAnsi="Cambria Math"/>
                </w:rPr>
                <m:t>fM*</m:t>
              </m:r>
              <m:sSub>
                <m:sSubPr>
                  <m:ctrlPr>
                    <w:rPr>
                      <w:rFonts w:ascii="Cambria Math" w:hAnsi="Cambria Math"/>
                      <w:i/>
                    </w:rPr>
                  </m:ctrlPr>
                </m:sSubPr>
                <m:e>
                  <m:r>
                    <w:rPr>
                      <w:rFonts w:ascii="Cambria Math" w:hAnsi="Cambria Math"/>
                    </w:rPr>
                    <m:t>IAA</m:t>
                  </m:r>
                </m:e>
                <m:sub>
                  <m:r>
                    <w:rPr>
                      <w:rFonts w:ascii="Cambria Math" w:hAnsi="Cambria Math"/>
                    </w:rPr>
                    <m:t>j,t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12</m:t>
                  </m:r>
                </m:den>
              </m:f>
              <m:d>
                <m:dPr>
                  <m:ctrlPr>
                    <w:rPr>
                      <w:rFonts w:ascii="Cambria Math" w:hAnsi="Cambria Math"/>
                      <w:i/>
                    </w:rPr>
                  </m:ctrlPr>
                </m:dPr>
                <m:e>
                  <m:sSub>
                    <m:sSubPr>
                      <m:ctrlPr>
                        <w:rPr>
                          <w:rFonts w:ascii="Cambria Math" w:hAnsi="Cambria Math"/>
                        </w:rPr>
                      </m:ctrlPr>
                    </m:sSubPr>
                    <m:e>
                      <m:r>
                        <w:rPr>
                          <w:rFonts w:ascii="Cambria Math" w:hAnsi="Cambria Math"/>
                        </w:rPr>
                        <m:t>IAAOM</m:t>
                      </m:r>
                    </m:e>
                    <m:sub>
                      <m:r>
                        <w:rPr>
                          <w:rFonts w:ascii="Cambria Math" w:hAnsi="Cambria Math"/>
                        </w:rPr>
                        <m:t>j</m:t>
                      </m:r>
                      <m:r>
                        <m:rPr>
                          <m:sty m:val="p"/>
                        </m:rP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OI</m:t>
                      </m:r>
                    </m:e>
                    <m:sub>
                      <m:r>
                        <w:rPr>
                          <w:rFonts w:ascii="Cambria Math" w:hAnsi="Cambria Math"/>
                        </w:rPr>
                        <m:t>j</m:t>
                      </m:r>
                    </m:sub>
                  </m:sSub>
                </m:e>
              </m:d>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IPP</m:t>
                  </m:r>
                </m:e>
                <m:sub>
                  <m:r>
                    <w:rPr>
                      <w:rFonts w:ascii="Cambria Math" w:hAnsi="Cambria Math"/>
                    </w:rPr>
                    <m:t>m-1</m:t>
                  </m:r>
                </m:sub>
              </m:sSub>
            </m:num>
            <m:den>
              <m:sSub>
                <m:sSubPr>
                  <m:ctrlPr>
                    <w:rPr>
                      <w:rFonts w:ascii="Cambria Math" w:hAnsi="Cambria Math"/>
                      <w:i/>
                    </w:rPr>
                  </m:ctrlPr>
                </m:sSubPr>
                <m:e>
                  <m:r>
                    <w:rPr>
                      <w:rFonts w:ascii="Cambria Math" w:hAnsi="Cambria Math"/>
                    </w:rPr>
                    <m:t>IPP</m:t>
                  </m:r>
                </m:e>
                <m:sub>
                  <m:r>
                    <w:rPr>
                      <w:rFonts w:ascii="Cambria Math" w:hAnsi="Cambria Math"/>
                    </w:rPr>
                    <m:t>FC</m:t>
                  </m:r>
                </m:sub>
              </m:sSub>
            </m:den>
          </m:f>
          <m:r>
            <w:rPr>
              <w:rFonts w:ascii="Cambria Math" w:hAnsi="Cambria Math"/>
            </w:rPr>
            <m:t>+</m:t>
          </m:r>
          <m:sSub>
            <m:sSubPr>
              <m:ctrlPr>
                <w:rPr>
                  <w:rFonts w:ascii="Cambria Math" w:hAnsi="Cambria Math"/>
                  <w:i/>
                </w:rPr>
              </m:ctrlPr>
            </m:sSubPr>
            <m:e>
              <m:r>
                <w:rPr>
                  <w:rFonts w:ascii="Cambria Math" w:hAnsi="Cambria Math"/>
                </w:rPr>
                <m:t>IE</m:t>
              </m:r>
            </m:e>
            <m:sub>
              <m:r>
                <w:rPr>
                  <w:rFonts w:ascii="Cambria Math" w:hAnsi="Cambria Math"/>
                </w:rPr>
                <m:t>j,m</m:t>
              </m:r>
            </m:sub>
          </m:sSub>
          <m:r>
            <w:rPr>
              <w:rFonts w:ascii="Cambria Math" w:hAnsi="Cambria Math"/>
            </w:rPr>
            <m:t>-</m:t>
          </m:r>
          <m:sSub>
            <m:sSubPr>
              <m:ctrlPr>
                <w:rPr>
                  <w:rFonts w:ascii="Cambria Math" w:hAnsi="Cambria Math"/>
                  <w:i/>
                </w:rPr>
              </m:ctrlPr>
            </m:sSubPr>
            <m:e>
              <m:r>
                <w:rPr>
                  <w:rFonts w:ascii="Cambria Math" w:hAnsi="Cambria Math"/>
                </w:rPr>
                <m:t>VMC</m:t>
              </m:r>
            </m:e>
            <m:sub>
              <m:r>
                <w:rPr>
                  <w:rFonts w:ascii="Cambria Math" w:hAnsi="Cambria Math"/>
                </w:rPr>
                <m:t>j,m</m:t>
              </m:r>
            </m:sub>
          </m:sSub>
        </m:oMath>
      </m:oMathPara>
    </w:p>
    <w:p w14:paraId="3E8FEA19" w14:textId="77777777" w:rsidR="00E43449" w:rsidRPr="00321B46" w:rsidRDefault="00E43449" w:rsidP="00E43449">
      <w:r w:rsidRPr="00321B46">
        <w:t>Donde:</w:t>
      </w:r>
    </w:p>
    <w:p w14:paraId="321488A4" w14:textId="77777777" w:rsidR="00E43449" w:rsidRPr="00321B46" w:rsidRDefault="00E43449" w:rsidP="00E43449">
      <w:pPr>
        <w:spacing w:before="120"/>
        <w:ind w:left="1134" w:hanging="1134"/>
      </w:pPr>
      <w:r w:rsidRPr="00321B46">
        <w:rPr>
          <w:i/>
        </w:rPr>
        <w:t>IMT</w:t>
      </w:r>
      <w:r w:rsidRPr="00321B46">
        <w:rPr>
          <w:i/>
          <w:vertAlign w:val="subscript"/>
        </w:rPr>
        <w:t>j,m</w:t>
      </w:r>
      <w:r w:rsidRPr="00321B46">
        <w:t>:</w:t>
      </w:r>
      <w:r w:rsidRPr="00321B46">
        <w:tab/>
        <w:t xml:space="preserve">Ingreso mensual del TN </w:t>
      </w:r>
      <w:r w:rsidRPr="00321B46">
        <w:rPr>
          <w:i/>
        </w:rPr>
        <w:t>j</w:t>
      </w:r>
      <w:r w:rsidRPr="00321B46">
        <w:t xml:space="preserve">, para el mes </w:t>
      </w:r>
      <w:r w:rsidRPr="00321B46">
        <w:rPr>
          <w:i/>
        </w:rPr>
        <w:t>m</w:t>
      </w:r>
      <w:r w:rsidRPr="00321B46">
        <w:t>. ($)</w:t>
      </w:r>
    </w:p>
    <w:p w14:paraId="58CAC0F6" w14:textId="77777777" w:rsidR="00373F50" w:rsidRPr="00321B46" w:rsidRDefault="00D710A1" w:rsidP="00325991">
      <w:pPr>
        <w:ind w:left="1134" w:hanging="1134"/>
        <w:rPr>
          <w:bCs/>
          <w:szCs w:val="22"/>
        </w:rPr>
      </w:pPr>
      <w:r w:rsidRPr="00321B46">
        <w:t>fM:</w:t>
      </w:r>
      <w:r w:rsidRPr="00321B46">
        <w:tab/>
        <w:t xml:space="preserve">Factor para convertir valores anuales en mensuales </w:t>
      </w:r>
      <w:r w:rsidR="00373F50" w:rsidRPr="00321B46">
        <w:rPr>
          <w:bCs/>
          <w:szCs w:val="22"/>
        </w:rPr>
        <w:t>que se obtiene con la siguiente fórmula:</w:t>
      </w:r>
    </w:p>
    <w:p w14:paraId="75597ED9" w14:textId="77777777" w:rsidR="008F278E" w:rsidRPr="00321B46" w:rsidRDefault="008F278E" w:rsidP="008F278E">
      <w:pPr>
        <w:jc w:val="center"/>
        <w:rPr>
          <w:bCs/>
        </w:rPr>
      </w:pPr>
      <m:oMathPara>
        <m:oMath>
          <m:r>
            <w:rPr>
              <w:rFonts w:ascii="Cambria Math" w:hAnsi="Cambria Math"/>
            </w:rPr>
            <m:t>fM</m:t>
          </m:r>
          <m:r>
            <m:rPr>
              <m:sty m:val="p"/>
            </m:rPr>
            <w:rPr>
              <w:rFonts w:ascii="Cambria Math" w:hAnsi="Cambria Math"/>
            </w:rPr>
            <m:t>=</m:t>
          </m:r>
          <m:f>
            <m:fPr>
              <m:ctrlPr>
                <w:rPr>
                  <w:rFonts w:ascii="Cambria Math" w:hAnsi="Cambria Math"/>
                  <w:bCs/>
                </w:rPr>
              </m:ctrlPr>
            </m:fPr>
            <m:num>
              <m:sSup>
                <m:sSupPr>
                  <m:ctrlPr>
                    <w:rPr>
                      <w:rFonts w:ascii="Cambria Math" w:hAnsi="Cambria Math"/>
                      <w:bCs/>
                    </w:rPr>
                  </m:ctrlPr>
                </m:sSupPr>
                <m:e>
                  <m:d>
                    <m:dPr>
                      <m:ctrlPr>
                        <w:rPr>
                          <w:rFonts w:ascii="Cambria Math" w:hAnsi="Cambria Math"/>
                          <w:bCs/>
                        </w:rPr>
                      </m:ctrlPr>
                    </m:dPr>
                    <m:e>
                      <m:r>
                        <m:rPr>
                          <m:sty m:val="p"/>
                        </m:rPr>
                        <w:rPr>
                          <w:rFonts w:ascii="Cambria Math" w:hAnsi="Cambria Math"/>
                        </w:rPr>
                        <m:t>1+</m:t>
                      </m:r>
                      <m:r>
                        <w:rPr>
                          <w:rFonts w:ascii="Cambria Math" w:hAnsi="Cambria Math"/>
                        </w:rPr>
                        <m:t>r</m:t>
                      </m:r>
                    </m:e>
                  </m:d>
                </m:e>
                <m:sup>
                  <m:f>
                    <m:fPr>
                      <m:type m:val="skw"/>
                      <m:ctrlPr>
                        <w:rPr>
                          <w:rFonts w:ascii="Cambria Math" w:hAnsi="Cambria Math"/>
                          <w:bCs/>
                        </w:rPr>
                      </m:ctrlPr>
                    </m:fPr>
                    <m:num>
                      <m:r>
                        <m:rPr>
                          <m:sty m:val="p"/>
                        </m:rPr>
                        <w:rPr>
                          <w:rFonts w:ascii="Cambria Math" w:hAnsi="Cambria Math"/>
                        </w:rPr>
                        <m:t>1</m:t>
                      </m:r>
                    </m:num>
                    <m:den>
                      <m:r>
                        <m:rPr>
                          <m:sty m:val="p"/>
                        </m:rPr>
                        <w:rPr>
                          <w:rFonts w:ascii="Cambria Math" w:hAnsi="Cambria Math"/>
                        </w:rPr>
                        <m:t>12</m:t>
                      </m:r>
                    </m:den>
                  </m:f>
                </m:sup>
              </m:sSup>
              <m:r>
                <m:rPr>
                  <m:sty m:val="p"/>
                </m:rPr>
                <w:rPr>
                  <w:rFonts w:ascii="Cambria Math" w:hAnsi="Cambria Math"/>
                </w:rPr>
                <m:t>-1</m:t>
              </m:r>
            </m:num>
            <m:den>
              <m:r>
                <w:rPr>
                  <w:rFonts w:ascii="Cambria Math" w:hAnsi="Cambria Math"/>
                </w:rPr>
                <m:t>r</m:t>
              </m:r>
            </m:den>
          </m:f>
        </m:oMath>
      </m:oMathPara>
    </w:p>
    <w:p w14:paraId="056430BD" w14:textId="602A7DFF" w:rsidR="008F278E" w:rsidRPr="00321B46" w:rsidRDefault="008F278E" w:rsidP="008F278E">
      <w:pPr>
        <w:ind w:left="1843" w:hanging="709"/>
      </w:pPr>
      <w:r w:rsidRPr="00321B46">
        <w:rPr>
          <w:i/>
        </w:rPr>
        <w:t>r</w:t>
      </w:r>
      <w:r w:rsidRPr="00321B46">
        <w:t xml:space="preserve">: </w:t>
      </w:r>
      <w:r w:rsidRPr="00321B46">
        <w:tab/>
      </w:r>
      <w:r w:rsidR="000E4CFE" w:rsidRPr="00321B46">
        <w:t>Tasa de descuento</w:t>
      </w:r>
      <w:r w:rsidRPr="00321B46">
        <w:t xml:space="preserve"> reconocida para la actividad de </w:t>
      </w:r>
      <w:r w:rsidR="002B40FE" w:rsidRPr="00321B46">
        <w:t>transmisi</w:t>
      </w:r>
      <w:r w:rsidRPr="00321B46">
        <w:t>ón de energía eléctrica.</w:t>
      </w:r>
    </w:p>
    <w:p w14:paraId="7F8C8F67" w14:textId="51081FA0" w:rsidR="00581248" w:rsidRPr="00321B46" w:rsidRDefault="00581248" w:rsidP="00581248">
      <w:pPr>
        <w:ind w:left="1134" w:hanging="1134"/>
      </w:pPr>
      <w:r w:rsidRPr="00321B46">
        <w:rPr>
          <w:i/>
          <w:iCs/>
        </w:rPr>
        <w:t>IAA</w:t>
      </w:r>
      <w:r w:rsidRPr="00321B46">
        <w:rPr>
          <w:i/>
          <w:iCs/>
          <w:vertAlign w:val="subscript"/>
        </w:rPr>
        <w:t>j,t</w:t>
      </w:r>
      <w:r w:rsidRPr="00321B46">
        <w:t>:</w:t>
      </w:r>
      <w:r w:rsidRPr="00321B46">
        <w:tab/>
        <w:t>Ingreso anual por inversión en activos</w:t>
      </w:r>
      <w:r w:rsidRPr="00321B46">
        <w:rPr>
          <w:iCs/>
        </w:rPr>
        <w:t>,</w:t>
      </w:r>
      <w:r w:rsidRPr="00321B46">
        <w:rPr>
          <w:i/>
          <w:iCs/>
        </w:rPr>
        <w:t xml:space="preserve"> </w:t>
      </w:r>
      <w:r w:rsidRPr="00321B46">
        <w:rPr>
          <w:iCs/>
        </w:rPr>
        <w:t>del</w:t>
      </w:r>
      <w:r w:rsidRPr="00321B46">
        <w:rPr>
          <w:i/>
          <w:iCs/>
        </w:rPr>
        <w:t xml:space="preserve"> TN</w:t>
      </w:r>
      <w:r w:rsidRPr="00321B46">
        <w:t xml:space="preserve"> </w:t>
      </w:r>
      <w:r w:rsidRPr="00321B46">
        <w:rPr>
          <w:i/>
          <w:iCs/>
        </w:rPr>
        <w:t>j</w:t>
      </w:r>
      <w:r w:rsidRPr="00321B46">
        <w:rPr>
          <w:iCs/>
        </w:rPr>
        <w:t>,</w:t>
      </w:r>
      <w:r w:rsidRPr="00321B46">
        <w:t xml:space="preserve"> en el año </w:t>
      </w:r>
      <w:r w:rsidRPr="00321B46">
        <w:rPr>
          <w:i/>
        </w:rPr>
        <w:t>t</w:t>
      </w:r>
      <w:r w:rsidRPr="00321B46">
        <w:t xml:space="preserve">, según lo establecido en el numeral </w:t>
      </w:r>
      <w:r w:rsidRPr="00321B46">
        <w:fldChar w:fldCharType="begin"/>
      </w:r>
      <w:r w:rsidRPr="00321B46">
        <w:instrText xml:space="preserve"> REF _Ref398643120 \r \h </w:instrText>
      </w:r>
      <w:r w:rsidR="00321B46">
        <w:instrText xml:space="preserve"> \* MERGEFORMAT </w:instrText>
      </w:r>
      <w:r w:rsidRPr="00321B46">
        <w:fldChar w:fldCharType="separate"/>
      </w:r>
      <w:r w:rsidR="000F355F">
        <w:t>2.1</w:t>
      </w:r>
      <w:r w:rsidRPr="00321B46">
        <w:fldChar w:fldCharType="end"/>
      </w:r>
      <w:r w:rsidRPr="00321B46">
        <w:t>.</w:t>
      </w:r>
    </w:p>
    <w:p w14:paraId="4E666F35" w14:textId="3FB21AA3" w:rsidR="00581248" w:rsidRPr="00321B46" w:rsidRDefault="00581248" w:rsidP="00581248">
      <w:pPr>
        <w:ind w:left="1134" w:hanging="1134"/>
      </w:pPr>
      <w:r w:rsidRPr="00321B46">
        <w:rPr>
          <w:i/>
          <w:iCs/>
        </w:rPr>
        <w:t>IAAOM</w:t>
      </w:r>
      <w:r w:rsidRPr="00321B46">
        <w:rPr>
          <w:i/>
          <w:iCs/>
          <w:vertAlign w:val="subscript"/>
        </w:rPr>
        <w:t>j,t</w:t>
      </w:r>
      <w:r w:rsidRPr="00321B46">
        <w:t>:</w:t>
      </w:r>
      <w:r w:rsidRPr="00321B46">
        <w:tab/>
        <w:t xml:space="preserve">Ingreso anual por gastos de AOM </w:t>
      </w:r>
      <w:r w:rsidRPr="00321B46">
        <w:rPr>
          <w:iCs/>
        </w:rPr>
        <w:t>del</w:t>
      </w:r>
      <w:r w:rsidRPr="00321B46">
        <w:rPr>
          <w:i/>
          <w:iCs/>
        </w:rPr>
        <w:t xml:space="preserve"> TN</w:t>
      </w:r>
      <w:r w:rsidRPr="00321B46">
        <w:t xml:space="preserve"> </w:t>
      </w:r>
      <w:r w:rsidRPr="00321B46">
        <w:rPr>
          <w:i/>
          <w:iCs/>
        </w:rPr>
        <w:t>j</w:t>
      </w:r>
      <w:r w:rsidRPr="00321B46">
        <w:rPr>
          <w:iCs/>
        </w:rPr>
        <w:t>,</w:t>
      </w:r>
      <w:r w:rsidRPr="00321B46">
        <w:t xml:space="preserve"> en el año </w:t>
      </w:r>
      <w:r w:rsidRPr="00321B46">
        <w:rPr>
          <w:i/>
        </w:rPr>
        <w:t>t</w:t>
      </w:r>
      <w:r w:rsidRPr="00321B46">
        <w:t xml:space="preserve">, según lo establecido en el numeral </w:t>
      </w:r>
      <w:r w:rsidRPr="00321B46">
        <w:fldChar w:fldCharType="begin"/>
      </w:r>
      <w:r w:rsidRPr="00321B46">
        <w:instrText xml:space="preserve"> REF _Ref465925630 \r \h </w:instrText>
      </w:r>
      <w:r w:rsidR="00321B46">
        <w:instrText xml:space="preserve"> \* MERGEFORMAT </w:instrText>
      </w:r>
      <w:r w:rsidRPr="00321B46">
        <w:fldChar w:fldCharType="separate"/>
      </w:r>
      <w:r w:rsidR="000F355F">
        <w:t>3.1</w:t>
      </w:r>
      <w:r w:rsidRPr="00321B46">
        <w:fldChar w:fldCharType="end"/>
      </w:r>
      <w:r w:rsidRPr="00321B46">
        <w:t>.</w:t>
      </w:r>
    </w:p>
    <w:p w14:paraId="5AF89D1D" w14:textId="77777777" w:rsidR="00345C10" w:rsidRPr="00321B46" w:rsidRDefault="00345C10" w:rsidP="00345C10">
      <w:pPr>
        <w:spacing w:before="120"/>
        <w:ind w:left="1134" w:hanging="1134"/>
      </w:pPr>
      <w:r w:rsidRPr="00321B46">
        <w:rPr>
          <w:i/>
        </w:rPr>
        <w:t>OI</w:t>
      </w:r>
      <w:r w:rsidRPr="00321B46">
        <w:rPr>
          <w:i/>
          <w:vertAlign w:val="subscript"/>
        </w:rPr>
        <w:t>j</w:t>
      </w:r>
      <w:r w:rsidRPr="00321B46">
        <w:t>:</w:t>
      </w:r>
      <w:r w:rsidRPr="00321B46">
        <w:tab/>
        <w:t>Otros Ingresos por la explotación de los activos remunerados mediante cargos por uso en actividades distintas a la de transmisión de energía eléctrica. Este valor corresponde al 50% del valor de los ingresos por este concepto durante el año que finaliza en la fecha de corte.</w:t>
      </w:r>
    </w:p>
    <w:p w14:paraId="0A8AC3C2" w14:textId="77777777" w:rsidR="00E43449" w:rsidRPr="00321B46" w:rsidRDefault="00E43449" w:rsidP="00E43449">
      <w:pPr>
        <w:spacing w:before="120"/>
        <w:ind w:left="1134" w:hanging="1134"/>
      </w:pPr>
      <w:r w:rsidRPr="00321B46">
        <w:rPr>
          <w:i/>
        </w:rPr>
        <w:t>IE</w:t>
      </w:r>
      <w:r w:rsidRPr="00321B46">
        <w:rPr>
          <w:i/>
          <w:vertAlign w:val="subscript"/>
        </w:rPr>
        <w:t>j,m</w:t>
      </w:r>
      <w:r w:rsidRPr="00321B46">
        <w:t>:</w:t>
      </w:r>
      <w:r w:rsidRPr="00321B46">
        <w:tab/>
        <w:t xml:space="preserve">Ingreso esperado de las convocatorias adjudicadas al TN </w:t>
      </w:r>
      <w:r w:rsidRPr="00321B46">
        <w:rPr>
          <w:i/>
        </w:rPr>
        <w:t>j</w:t>
      </w:r>
      <w:r w:rsidRPr="00321B46">
        <w:t xml:space="preserve">, para el mes </w:t>
      </w:r>
      <w:r w:rsidRPr="00321B46">
        <w:rPr>
          <w:i/>
        </w:rPr>
        <w:t>m</w:t>
      </w:r>
      <w:r w:rsidRPr="00321B46">
        <w:t xml:space="preserve">, calculado de acuerdo con lo establecido en </w:t>
      </w:r>
      <w:r w:rsidR="00CD2803" w:rsidRPr="00321B46">
        <w:t>las resoluciones CREG 022 de 2001 y 092 de 2002</w:t>
      </w:r>
      <w:r w:rsidRPr="00321B46">
        <w:t>, o aquellas que la</w:t>
      </w:r>
      <w:r w:rsidR="00CD2803" w:rsidRPr="00321B46">
        <w:t>s</w:t>
      </w:r>
      <w:r w:rsidRPr="00321B46">
        <w:t xml:space="preserve"> modifiquen o sustituyan. ($)</w:t>
      </w:r>
    </w:p>
    <w:p w14:paraId="0884A546" w14:textId="77777777" w:rsidR="00E43449" w:rsidRPr="00321B46" w:rsidRDefault="00E43449" w:rsidP="00E43449">
      <w:pPr>
        <w:spacing w:before="120"/>
        <w:ind w:left="1134" w:hanging="1134"/>
      </w:pPr>
      <w:r w:rsidRPr="00321B46">
        <w:rPr>
          <w:i/>
        </w:rPr>
        <w:t>VMC</w:t>
      </w:r>
      <w:r w:rsidRPr="00321B46">
        <w:rPr>
          <w:i/>
          <w:vertAlign w:val="subscript"/>
        </w:rPr>
        <w:t>j,m</w:t>
      </w:r>
      <w:r w:rsidRPr="00321B46">
        <w:t>:</w:t>
      </w:r>
      <w:r w:rsidRPr="00321B46">
        <w:tab/>
        <w:t xml:space="preserve">Valor mensual a compensar por el TN </w:t>
      </w:r>
      <w:r w:rsidRPr="00321B46">
        <w:rPr>
          <w:i/>
        </w:rPr>
        <w:t>j</w:t>
      </w:r>
      <w:r w:rsidRPr="00321B46">
        <w:t xml:space="preserve">, calculado de acuerdo con lo previsto en el numeral </w:t>
      </w:r>
      <w:r w:rsidRPr="00321B46">
        <w:fldChar w:fldCharType="begin"/>
      </w:r>
      <w:r w:rsidRPr="00321B46">
        <w:instrText xml:space="preserve"> REF _Ref185867644 \r \h  \* MERGEFORMAT </w:instrText>
      </w:r>
      <w:r w:rsidRPr="00321B46">
        <w:fldChar w:fldCharType="separate"/>
      </w:r>
      <w:r w:rsidR="000F355F">
        <w:t>5.14.3</w:t>
      </w:r>
      <w:r w:rsidRPr="00321B46">
        <w:fldChar w:fldCharType="end"/>
      </w:r>
      <w:r w:rsidRPr="00321B46">
        <w:t>. ($)</w:t>
      </w:r>
    </w:p>
    <w:p w14:paraId="63C51FF5" w14:textId="77777777" w:rsidR="00E43449" w:rsidRPr="00321B46" w:rsidRDefault="00E43449" w:rsidP="00E43449">
      <w:pPr>
        <w:spacing w:before="120"/>
        <w:ind w:left="1134" w:hanging="1134"/>
      </w:pPr>
      <w:r w:rsidRPr="00321B46">
        <w:rPr>
          <w:i/>
        </w:rPr>
        <w:t>IPP</w:t>
      </w:r>
      <w:r w:rsidRPr="00321B46">
        <w:rPr>
          <w:i/>
          <w:vertAlign w:val="subscript"/>
        </w:rPr>
        <w:t>m-1</w:t>
      </w:r>
      <w:r w:rsidRPr="00321B46">
        <w:t>:</w:t>
      </w:r>
      <w:r w:rsidRPr="00321B46">
        <w:tab/>
        <w:t xml:space="preserve">Índice de precios </w:t>
      </w:r>
      <w:r w:rsidR="00373F50" w:rsidRPr="00321B46">
        <w:t xml:space="preserve">del </w:t>
      </w:r>
      <w:r w:rsidRPr="00321B46">
        <w:t xml:space="preserve">productor para el mes </w:t>
      </w:r>
      <w:r w:rsidRPr="00321B46">
        <w:rPr>
          <w:i/>
        </w:rPr>
        <w:t>m-1</w:t>
      </w:r>
      <w:r w:rsidRPr="00321B46">
        <w:t>.</w:t>
      </w:r>
    </w:p>
    <w:p w14:paraId="1C67D651" w14:textId="77777777" w:rsidR="00E43449" w:rsidRPr="00321B46" w:rsidRDefault="004A1AF8" w:rsidP="00E43449">
      <w:pPr>
        <w:spacing w:before="120"/>
        <w:ind w:left="1134" w:hanging="1134"/>
      </w:pPr>
      <w:r w:rsidRPr="00321B46">
        <w:rPr>
          <w:i/>
        </w:rPr>
        <w:t>IPP</w:t>
      </w:r>
      <w:r w:rsidRPr="00321B46">
        <w:rPr>
          <w:i/>
          <w:vertAlign w:val="subscript"/>
        </w:rPr>
        <w:t>FC</w:t>
      </w:r>
      <w:r w:rsidR="00E43449" w:rsidRPr="00321B46">
        <w:t>:</w:t>
      </w:r>
      <w:r w:rsidR="00E43449" w:rsidRPr="00321B46">
        <w:tab/>
        <w:t xml:space="preserve">Índice de precios </w:t>
      </w:r>
      <w:r w:rsidR="00373F50" w:rsidRPr="00321B46">
        <w:t xml:space="preserve">del </w:t>
      </w:r>
      <w:r w:rsidR="00E43449" w:rsidRPr="00321B46">
        <w:t xml:space="preserve">productor </w:t>
      </w:r>
      <w:r w:rsidR="00373F50" w:rsidRPr="00321B46">
        <w:t>de la fecha de corte</w:t>
      </w:r>
      <w:r w:rsidR="00E43449" w:rsidRPr="00321B46">
        <w:t>.</w:t>
      </w:r>
    </w:p>
    <w:p w14:paraId="5695B2DF" w14:textId="77777777" w:rsidR="000950DA" w:rsidRPr="00321B46" w:rsidRDefault="000950DA" w:rsidP="00BF7220">
      <w:pPr>
        <w:pStyle w:val="Ttulo2"/>
      </w:pPr>
      <w:bookmarkStart w:id="38" w:name="_Ref441132014"/>
      <w:bookmarkStart w:id="39" w:name="_Toc466392618"/>
      <w:r w:rsidRPr="00321B46">
        <w:t>I</w:t>
      </w:r>
      <w:r w:rsidR="009954EA" w:rsidRPr="00321B46">
        <w:t>ngreso mensual de activos sin representación</w:t>
      </w:r>
      <w:bookmarkEnd w:id="38"/>
      <w:bookmarkEnd w:id="39"/>
    </w:p>
    <w:p w14:paraId="47FBFFDC" w14:textId="4B0CBBB9" w:rsidR="006B6FFF" w:rsidRPr="00321B46" w:rsidRDefault="006B6FFF" w:rsidP="000950DA">
      <w:r w:rsidRPr="00321B46">
        <w:t>Se consideran activos sin representación ante el LAC los activos que</w:t>
      </w:r>
      <w:r w:rsidR="00E04F59" w:rsidRPr="00321B46">
        <w:t>,</w:t>
      </w:r>
      <w:r w:rsidRPr="00321B46">
        <w:t xml:space="preserve"> </w:t>
      </w:r>
      <w:r w:rsidR="00E04F59" w:rsidRPr="00321B46">
        <w:t xml:space="preserve">al momento de entrada en vigencia de esta resolución, </w:t>
      </w:r>
      <w:r w:rsidRPr="00321B46">
        <w:t xml:space="preserve">están siendo utilizados </w:t>
      </w:r>
      <w:r w:rsidR="00E04F59" w:rsidRPr="00321B46">
        <w:t xml:space="preserve">en </w:t>
      </w:r>
      <w:r w:rsidRPr="00321B46">
        <w:t>el STN</w:t>
      </w:r>
      <w:r w:rsidR="000241DD" w:rsidRPr="00321B46">
        <w:t>,</w:t>
      </w:r>
      <w:r w:rsidRPr="00321B46">
        <w:t xml:space="preserve"> no est</w:t>
      </w:r>
      <w:r w:rsidR="00E04F59" w:rsidRPr="00321B46">
        <w:t>á</w:t>
      </w:r>
      <w:r w:rsidRPr="00321B46">
        <w:t>n siendo</w:t>
      </w:r>
      <w:r w:rsidR="00E04F59" w:rsidRPr="00321B46">
        <w:t xml:space="preserve"> remune</w:t>
      </w:r>
      <w:r w:rsidR="002B40FE" w:rsidRPr="00321B46">
        <w:softHyphen/>
      </w:r>
      <w:r w:rsidR="00E04F59" w:rsidRPr="00321B46">
        <w:t>rados parcial o totalmente y no hacen parte de ningun</w:t>
      </w:r>
      <w:r w:rsidR="002B40FE" w:rsidRPr="00321B46">
        <w:t>a</w:t>
      </w:r>
      <w:r w:rsidR="00E04F59" w:rsidRPr="00321B46">
        <w:t xml:space="preserve"> de las bases de activos aprobadas a los TN.</w:t>
      </w:r>
    </w:p>
    <w:p w14:paraId="29937583" w14:textId="77777777" w:rsidR="006B6FFF" w:rsidRPr="00321B46" w:rsidRDefault="00E04F59" w:rsidP="000950DA">
      <w:r w:rsidRPr="00321B46">
        <w:t>Mientras se cuenta con un TN que represente estos activos, el LAC liquidará y recaudará los ingresos de estos activos con base en la siguiente fórmula</w:t>
      </w:r>
      <w:r w:rsidR="000A429B" w:rsidRPr="00321B46">
        <w:t>:</w:t>
      </w:r>
    </w:p>
    <w:p w14:paraId="190FED39" w14:textId="77777777" w:rsidR="00E04F59" w:rsidRPr="00321B46" w:rsidRDefault="00651802" w:rsidP="000950DA">
      <m:oMathPara>
        <m:oMath>
          <m:sSub>
            <m:sSubPr>
              <m:ctrlPr>
                <w:rPr>
                  <w:rFonts w:ascii="Cambria Math" w:hAnsi="Cambria Math"/>
                  <w:i/>
                </w:rPr>
              </m:ctrlPr>
            </m:sSubPr>
            <m:e>
              <m:r>
                <w:rPr>
                  <w:rFonts w:ascii="Cambria Math" w:hAnsi="Cambria Math"/>
                </w:rPr>
                <m:t>IMNR</m:t>
              </m:r>
            </m:e>
            <m:sub>
              <m:r>
                <w:rPr>
                  <w:rFonts w:ascii="Cambria Math" w:hAnsi="Cambria Math"/>
                </w:rPr>
                <m:t>i</m:t>
              </m:r>
              <m:r>
                <w:rPr>
                  <w:rFonts w:ascii="Cambria Math"/>
                </w:rPr>
                <m:t>,m</m:t>
              </m:r>
            </m:sub>
          </m:sSub>
          <m:r>
            <w:rPr>
              <w:rFonts w:ascii="Cambria Math"/>
            </w:rPr>
            <m:t>=</m:t>
          </m:r>
          <m:sSub>
            <m:sSubPr>
              <m:ctrlPr>
                <w:rPr>
                  <w:rFonts w:ascii="Cambria Math" w:hAnsi="Cambria Math"/>
                  <w:i/>
                </w:rPr>
              </m:ctrlPr>
            </m:sSubPr>
            <m:e>
              <m:r>
                <w:rPr>
                  <w:rFonts w:ascii="Cambria Math" w:hAnsi="Cambria Math"/>
                </w:rPr>
                <m:t>CR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CRA</m:t>
              </m:r>
            </m:e>
            <m:sub>
              <m:r>
                <w:rPr>
                  <w:rFonts w:ascii="Cambria Math"/>
                </w:rPr>
                <m:t>l,vu</m:t>
              </m:r>
            </m:sub>
          </m:sSub>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d>
                    <m:dPr>
                      <m:ctrlPr>
                        <w:rPr>
                          <w:rFonts w:ascii="Cambria Math" w:hAnsi="Cambria Math"/>
                          <w:i/>
                        </w:rPr>
                      </m:ctrlPr>
                    </m:dPr>
                    <m:e>
                      <m:r>
                        <w:rPr>
                          <w:rFonts w:ascii="Cambria Math" w:hAnsi="Cambria Math"/>
                        </w:rPr>
                        <m:t>vrm-</m:t>
                      </m:r>
                      <m:sSub>
                        <m:sSubPr>
                          <m:ctrlPr>
                            <w:rPr>
                              <w:rFonts w:ascii="Cambria Math" w:hAnsi="Cambria Math"/>
                              <w:i/>
                            </w:rPr>
                          </m:ctrlPr>
                        </m:sSubPr>
                        <m:e>
                          <m:r>
                            <w:rPr>
                              <w:rFonts w:ascii="Cambria Math" w:hAnsi="Cambria Math"/>
                            </w:rPr>
                            <m:t>nm</m:t>
                          </m:r>
                        </m:e>
                        <m:sub>
                          <m:r>
                            <w:rPr>
                              <w:rFonts w:ascii="Cambria Math" w:hAnsi="Cambria Math"/>
                            </w:rPr>
                            <m:t>i</m:t>
                          </m:r>
                        </m:sub>
                      </m:sSub>
                    </m:e>
                  </m:d>
                  <m:r>
                    <w:rPr>
                      <w:rFonts w:ascii="Cambria Math" w:hAnsi="Cambria Math"/>
                    </w:rPr>
                    <m:t>*</m:t>
                  </m:r>
                  <m:d>
                    <m:dPr>
                      <m:ctrlPr>
                        <w:rPr>
                          <w:rFonts w:ascii="Cambria Math" w:hAnsi="Cambria Math"/>
                          <w:i/>
                        </w:rPr>
                      </m:ctrlPr>
                    </m:dPr>
                    <m:e>
                      <m:sSup>
                        <m:sSupPr>
                          <m:ctrlPr>
                            <w:rPr>
                              <w:rFonts w:ascii="Cambria Math" w:hAnsi="Cambria Math"/>
                              <w:bCs/>
                            </w:rPr>
                          </m:ctrlPr>
                        </m:sSupPr>
                        <m:e>
                          <m:d>
                            <m:dPr>
                              <m:ctrlPr>
                                <w:rPr>
                                  <w:rFonts w:ascii="Cambria Math" w:hAnsi="Cambria Math"/>
                                  <w:bCs/>
                                </w:rPr>
                              </m:ctrlPr>
                            </m:dPr>
                            <m:e>
                              <m:r>
                                <m:rPr>
                                  <m:sty m:val="p"/>
                                </m:rPr>
                                <w:rPr>
                                  <w:rFonts w:ascii="Cambria Math" w:hAnsi="Cambria Math"/>
                                </w:rPr>
                                <m:t>1+</m:t>
                              </m:r>
                              <m:r>
                                <w:rPr>
                                  <w:rFonts w:ascii="Cambria Math" w:hAnsi="Cambria Math"/>
                                </w:rPr>
                                <m:t>r</m:t>
                              </m:r>
                            </m:e>
                          </m:d>
                        </m:e>
                        <m:sup>
                          <m:f>
                            <m:fPr>
                              <m:type m:val="skw"/>
                              <m:ctrlPr>
                                <w:rPr>
                                  <w:rFonts w:ascii="Cambria Math" w:hAnsi="Cambria Math"/>
                                  <w:bCs/>
                                </w:rPr>
                              </m:ctrlPr>
                            </m:fPr>
                            <m:num>
                              <m:r>
                                <m:rPr>
                                  <m:sty m:val="p"/>
                                </m:rPr>
                                <w:rPr>
                                  <w:rFonts w:ascii="Cambria Math" w:hAnsi="Cambria Math"/>
                                </w:rPr>
                                <m:t>1</m:t>
                              </m:r>
                            </m:num>
                            <m:den>
                              <m:r>
                                <m:rPr>
                                  <m:sty m:val="p"/>
                                </m:rPr>
                                <w:rPr>
                                  <w:rFonts w:ascii="Cambria Math" w:hAnsi="Cambria Math"/>
                                </w:rPr>
                                <m:t>12</m:t>
                              </m:r>
                            </m:den>
                          </m:f>
                        </m:sup>
                      </m:sSup>
                      <m:r>
                        <m:rPr>
                          <m:sty m:val="p"/>
                        </m:rPr>
                        <w:rPr>
                          <w:rFonts w:ascii="Cambria Math" w:hAnsi="Cambria Math"/>
                        </w:rPr>
                        <m:t>-1</m:t>
                      </m:r>
                    </m:e>
                  </m:d>
                </m:num>
                <m:den>
                  <m:r>
                    <w:rPr>
                      <w:rFonts w:ascii="Cambria Math" w:hAnsi="Cambria Math"/>
                    </w:rPr>
                    <m:t>vrm</m:t>
                  </m:r>
                </m:den>
              </m:f>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IPP</m:t>
                  </m:r>
                </m:e>
                <m:sub>
                  <m:r>
                    <w:rPr>
                      <w:rFonts w:ascii="Cambria Math" w:hAnsi="Cambria Math"/>
                    </w:rPr>
                    <m:t>m-1</m:t>
                  </m:r>
                </m:sub>
              </m:sSub>
            </m:num>
            <m:den>
              <m:sSub>
                <m:sSubPr>
                  <m:ctrlPr>
                    <w:rPr>
                      <w:rFonts w:ascii="Cambria Math" w:hAnsi="Cambria Math"/>
                      <w:i/>
                    </w:rPr>
                  </m:ctrlPr>
                </m:sSubPr>
                <m:e>
                  <m:r>
                    <w:rPr>
                      <w:rFonts w:ascii="Cambria Math" w:hAnsi="Cambria Math"/>
                    </w:rPr>
                    <m:t>IPP</m:t>
                  </m:r>
                </m:e>
                <m:sub>
                  <m:r>
                    <w:rPr>
                      <w:rFonts w:ascii="Cambria Math"/>
                    </w:rPr>
                    <m:t>08</m:t>
                  </m:r>
                </m:sub>
              </m:sSub>
            </m:den>
          </m:f>
        </m:oMath>
      </m:oMathPara>
    </w:p>
    <w:p w14:paraId="130C53E4" w14:textId="77777777" w:rsidR="00A935DC" w:rsidRPr="00321B46" w:rsidRDefault="00A935DC" w:rsidP="00A935DC">
      <w:r w:rsidRPr="00321B46">
        <w:t>Donde:</w:t>
      </w:r>
    </w:p>
    <w:p w14:paraId="5AFAFD6F" w14:textId="77777777" w:rsidR="000A429B" w:rsidRPr="00321B46" w:rsidRDefault="000A429B" w:rsidP="000A429B">
      <w:pPr>
        <w:spacing w:before="120"/>
        <w:ind w:left="1135" w:hanging="1135"/>
        <w:rPr>
          <w:rFonts w:cs="Arial"/>
        </w:rPr>
      </w:pPr>
      <w:r w:rsidRPr="00321B46">
        <w:rPr>
          <w:rFonts w:cs="Arial"/>
          <w:i/>
        </w:rPr>
        <w:t>IMNR</w:t>
      </w:r>
      <w:r w:rsidRPr="00321B46">
        <w:rPr>
          <w:rFonts w:cs="Arial"/>
          <w:i/>
          <w:vertAlign w:val="subscript"/>
        </w:rPr>
        <w:t>i,m</w:t>
      </w:r>
      <w:r w:rsidRPr="00321B46">
        <w:rPr>
          <w:rFonts w:cs="Arial"/>
        </w:rPr>
        <w:t xml:space="preserve"> : </w:t>
      </w:r>
      <w:r w:rsidRPr="00321B46">
        <w:rPr>
          <w:rFonts w:cs="Arial"/>
        </w:rPr>
        <w:tab/>
        <w:t xml:space="preserve">Ingreso mensual del activo de uso </w:t>
      </w:r>
      <w:r w:rsidRPr="00321B46">
        <w:rPr>
          <w:rFonts w:cs="Arial"/>
          <w:i/>
        </w:rPr>
        <w:t>i</w:t>
      </w:r>
      <w:r w:rsidRPr="00321B46">
        <w:rPr>
          <w:rFonts w:cs="Arial"/>
        </w:rPr>
        <w:t xml:space="preserve">, que no está representado ante el LAC, para el mes </w:t>
      </w:r>
      <w:r w:rsidRPr="00321B46">
        <w:rPr>
          <w:rFonts w:cs="Arial"/>
          <w:i/>
        </w:rPr>
        <w:t>m</w:t>
      </w:r>
      <w:r w:rsidRPr="00321B46">
        <w:rPr>
          <w:rFonts w:cs="Arial"/>
        </w:rPr>
        <w:t>. ($)</w:t>
      </w:r>
    </w:p>
    <w:p w14:paraId="69D98096" w14:textId="1760DE87" w:rsidR="00A935DC" w:rsidRPr="00321B46" w:rsidRDefault="00CE024A" w:rsidP="00A935DC">
      <w:pPr>
        <w:spacing w:before="120"/>
        <w:ind w:left="1135" w:hanging="1135"/>
        <w:rPr>
          <w:rFonts w:cs="Arial"/>
        </w:rPr>
      </w:pPr>
      <w:r w:rsidRPr="00321B46">
        <w:rPr>
          <w:rFonts w:cs="Arial"/>
          <w:i/>
        </w:rPr>
        <w:t>CR</w:t>
      </w:r>
      <w:r w:rsidRPr="00321B46">
        <w:rPr>
          <w:rFonts w:cs="Arial"/>
          <w:i/>
          <w:vertAlign w:val="subscript"/>
        </w:rPr>
        <w:t>i</w:t>
      </w:r>
      <w:r w:rsidRPr="00321B46">
        <w:rPr>
          <w:rFonts w:cs="Arial"/>
        </w:rPr>
        <w:t xml:space="preserve"> </w:t>
      </w:r>
      <w:r w:rsidR="00A935DC" w:rsidRPr="00321B46">
        <w:rPr>
          <w:rFonts w:cs="Arial"/>
        </w:rPr>
        <w:t xml:space="preserve">: </w:t>
      </w:r>
      <w:r w:rsidR="00A935DC" w:rsidRPr="00321B46">
        <w:rPr>
          <w:rFonts w:cs="Arial"/>
        </w:rPr>
        <w:tab/>
        <w:t xml:space="preserve">Costo unitario de la unidad constructiva </w:t>
      </w:r>
      <w:r w:rsidR="00A935DC" w:rsidRPr="00321B46">
        <w:rPr>
          <w:rFonts w:cs="Arial"/>
          <w:i/>
        </w:rPr>
        <w:t>i</w:t>
      </w:r>
      <w:r w:rsidR="00A935DC" w:rsidRPr="00321B46">
        <w:rPr>
          <w:rFonts w:cs="Arial"/>
        </w:rPr>
        <w:t xml:space="preserve">, de acuerdo con los valores del capítulo </w:t>
      </w:r>
      <w:r w:rsidR="00A935DC" w:rsidRPr="00321B46">
        <w:rPr>
          <w:rFonts w:cs="Arial"/>
        </w:rPr>
        <w:fldChar w:fldCharType="begin"/>
      </w:r>
      <w:r w:rsidR="00A935DC" w:rsidRPr="00321B46">
        <w:rPr>
          <w:rFonts w:cs="Arial"/>
        </w:rPr>
        <w:instrText xml:space="preserve"> REF _Ref404776490 \r \h \t</w:instrText>
      </w:r>
      <w:r w:rsidR="000325CB" w:rsidRPr="00321B46">
        <w:rPr>
          <w:rFonts w:cs="Arial"/>
        </w:rPr>
        <w:instrText xml:space="preserve"> \* MERGEFORMAT </w:instrText>
      </w:r>
      <w:r w:rsidR="00A935DC" w:rsidRPr="00321B46">
        <w:rPr>
          <w:rFonts w:cs="Arial"/>
        </w:rPr>
      </w:r>
      <w:r w:rsidR="00A935DC" w:rsidRPr="00321B46">
        <w:rPr>
          <w:rFonts w:cs="Arial"/>
        </w:rPr>
        <w:fldChar w:fldCharType="separate"/>
      </w:r>
      <w:r w:rsidR="000F355F">
        <w:rPr>
          <w:rFonts w:cs="Arial"/>
        </w:rPr>
        <w:t>7</w:t>
      </w:r>
      <w:r w:rsidR="00A935DC" w:rsidRPr="00321B46">
        <w:rPr>
          <w:rFonts w:cs="Arial"/>
        </w:rPr>
        <w:fldChar w:fldCharType="end"/>
      </w:r>
      <w:r w:rsidR="00457F1A" w:rsidRPr="00321B46">
        <w:t xml:space="preserve"> de este anexo</w:t>
      </w:r>
      <w:r w:rsidR="00457F1A" w:rsidRPr="00321B46">
        <w:rPr>
          <w:rFonts w:cs="Arial"/>
        </w:rPr>
        <w:t>.</w:t>
      </w:r>
    </w:p>
    <w:p w14:paraId="5826DE98" w14:textId="428A7E99" w:rsidR="00A935DC" w:rsidRPr="00321B46" w:rsidRDefault="00D43AB3" w:rsidP="00A935DC">
      <w:pPr>
        <w:spacing w:before="120"/>
        <w:ind w:left="1135" w:hanging="1135"/>
        <w:rPr>
          <w:rFonts w:cs="Arial"/>
        </w:rPr>
      </w:pPr>
      <w:r w:rsidRPr="00321B46">
        <w:rPr>
          <w:rFonts w:cs="Arial"/>
          <w:i/>
        </w:rPr>
        <w:t>CRA</w:t>
      </w:r>
      <w:r w:rsidR="00714EED" w:rsidRPr="00321B46">
        <w:rPr>
          <w:rFonts w:cs="Arial"/>
          <w:i/>
          <w:vertAlign w:val="subscript"/>
        </w:rPr>
        <w:t>l</w:t>
      </w:r>
      <w:r w:rsidR="00A935DC" w:rsidRPr="00321B46">
        <w:rPr>
          <w:rFonts w:cs="Arial"/>
          <w:i/>
          <w:vertAlign w:val="subscript"/>
        </w:rPr>
        <w:t>,</w:t>
      </w:r>
      <w:r w:rsidRPr="00321B46">
        <w:rPr>
          <w:rFonts w:cs="Arial"/>
          <w:i/>
          <w:vertAlign w:val="subscript"/>
        </w:rPr>
        <w:t>vu</w:t>
      </w:r>
      <w:r w:rsidR="00A935DC" w:rsidRPr="00321B46">
        <w:rPr>
          <w:rFonts w:cs="Arial"/>
        </w:rPr>
        <w:t xml:space="preserve"> : </w:t>
      </w:r>
      <w:r w:rsidR="00A935DC" w:rsidRPr="00321B46">
        <w:rPr>
          <w:rFonts w:cs="Arial"/>
        </w:rPr>
        <w:tab/>
      </w:r>
      <w:r w:rsidR="00ED2FBC" w:rsidRPr="00321B46">
        <w:rPr>
          <w:rFonts w:cs="Arial"/>
        </w:rPr>
        <w:t>Factor de c</w:t>
      </w:r>
      <w:r w:rsidRPr="00321B46">
        <w:rPr>
          <w:rFonts w:cs="Arial"/>
        </w:rPr>
        <w:t xml:space="preserve">apital remanente de acuerdo con el rango </w:t>
      </w:r>
      <w:r w:rsidR="00714EED" w:rsidRPr="00321B46">
        <w:rPr>
          <w:rFonts w:cs="Arial"/>
          <w:i/>
        </w:rPr>
        <w:t>l</w:t>
      </w:r>
      <w:r w:rsidRPr="00321B46">
        <w:rPr>
          <w:rFonts w:cs="Arial"/>
        </w:rPr>
        <w:t xml:space="preserve"> y la vida útil </w:t>
      </w:r>
      <w:r w:rsidRPr="00321B46">
        <w:rPr>
          <w:rFonts w:cs="Arial"/>
          <w:i/>
        </w:rPr>
        <w:t>vu</w:t>
      </w:r>
      <w:r w:rsidRPr="00321B46">
        <w:rPr>
          <w:rFonts w:cs="Arial"/>
        </w:rPr>
        <w:t xml:space="preserve"> </w:t>
      </w:r>
      <w:r w:rsidR="00A935DC" w:rsidRPr="00321B46">
        <w:rPr>
          <w:rFonts w:cs="Arial"/>
        </w:rPr>
        <w:t>del activo</w:t>
      </w:r>
      <w:r w:rsidR="005055CE" w:rsidRPr="00321B46">
        <w:rPr>
          <w:rFonts w:cs="Arial"/>
        </w:rPr>
        <w:t xml:space="preserve">, </w:t>
      </w:r>
      <w:r w:rsidR="00B734B3" w:rsidRPr="00321B46">
        <w:rPr>
          <w:rFonts w:cs="Arial"/>
        </w:rPr>
        <w:t xml:space="preserve">de acuerdo con los valores del numeral </w:t>
      </w:r>
      <w:r w:rsidR="00B734B3" w:rsidRPr="00321B46">
        <w:rPr>
          <w:rFonts w:cs="Arial"/>
        </w:rPr>
        <w:fldChar w:fldCharType="begin"/>
      </w:r>
      <w:r w:rsidR="00B734B3" w:rsidRPr="00321B46">
        <w:rPr>
          <w:rFonts w:cs="Arial"/>
        </w:rPr>
        <w:instrText xml:space="preserve"> REF _Ref445305080 \r \h </w:instrText>
      </w:r>
      <w:r w:rsidR="003276B5" w:rsidRPr="00321B46">
        <w:rPr>
          <w:rFonts w:cs="Arial"/>
        </w:rPr>
        <w:instrText xml:space="preserve"> \* MERGEFORMAT </w:instrText>
      </w:r>
      <w:r w:rsidR="00B734B3" w:rsidRPr="00321B46">
        <w:rPr>
          <w:rFonts w:cs="Arial"/>
        </w:rPr>
      </w:r>
      <w:r w:rsidR="00B734B3" w:rsidRPr="00321B46">
        <w:rPr>
          <w:rFonts w:cs="Arial"/>
        </w:rPr>
        <w:fldChar w:fldCharType="separate"/>
      </w:r>
      <w:r w:rsidR="000F355F">
        <w:rPr>
          <w:rFonts w:cs="Arial"/>
        </w:rPr>
        <w:t>2.2.1.4</w:t>
      </w:r>
      <w:r w:rsidR="00B734B3" w:rsidRPr="00321B46">
        <w:rPr>
          <w:rFonts w:cs="Arial"/>
        </w:rPr>
        <w:fldChar w:fldCharType="end"/>
      </w:r>
      <w:r w:rsidRPr="00321B46">
        <w:rPr>
          <w:rFonts w:cs="Arial"/>
        </w:rPr>
        <w:t>.</w:t>
      </w:r>
    </w:p>
    <w:p w14:paraId="663660D5" w14:textId="77777777" w:rsidR="00D43AB3" w:rsidRPr="00321B46" w:rsidRDefault="00D43AB3" w:rsidP="00D43AB3">
      <w:pPr>
        <w:spacing w:before="120"/>
        <w:ind w:left="1135" w:hanging="1135"/>
        <w:rPr>
          <w:rFonts w:cs="Arial"/>
        </w:rPr>
      </w:pPr>
      <w:r w:rsidRPr="00321B46">
        <w:rPr>
          <w:rFonts w:cs="Arial"/>
          <w:i/>
        </w:rPr>
        <w:t>vrm</w:t>
      </w:r>
      <w:r w:rsidRPr="00321B46">
        <w:rPr>
          <w:rFonts w:cs="Arial"/>
        </w:rPr>
        <w:t xml:space="preserve"> : </w:t>
      </w:r>
      <w:r w:rsidRPr="00321B46">
        <w:rPr>
          <w:rFonts w:cs="Arial"/>
        </w:rPr>
        <w:tab/>
      </w:r>
      <w:r w:rsidR="004E1C91" w:rsidRPr="00321B46">
        <w:rPr>
          <w:rFonts w:cs="Arial"/>
        </w:rPr>
        <w:t>V</w:t>
      </w:r>
      <w:r w:rsidRPr="00321B46">
        <w:rPr>
          <w:rFonts w:cs="Arial"/>
        </w:rPr>
        <w:t xml:space="preserve">ida útil remanente expresada en meses; para los activos que pertenecen al rango 1 este valor es 348 y </w:t>
      </w:r>
      <w:r w:rsidR="004E1C91" w:rsidRPr="00321B46">
        <w:rPr>
          <w:rFonts w:cs="Arial"/>
        </w:rPr>
        <w:t xml:space="preserve">para </w:t>
      </w:r>
      <w:r w:rsidRPr="00321B46">
        <w:rPr>
          <w:rFonts w:cs="Arial"/>
        </w:rPr>
        <w:t>los del rango 2</w:t>
      </w:r>
      <w:r w:rsidR="004E1C91" w:rsidRPr="00321B46">
        <w:rPr>
          <w:rFonts w:cs="Arial"/>
        </w:rPr>
        <w:t>, 456</w:t>
      </w:r>
      <w:r w:rsidR="00E24738" w:rsidRPr="00321B46">
        <w:rPr>
          <w:rFonts w:cs="Arial"/>
        </w:rPr>
        <w:t>.</w:t>
      </w:r>
    </w:p>
    <w:p w14:paraId="4F2DAFA2" w14:textId="17E2E02B" w:rsidR="00D43AB3" w:rsidRPr="00321B46" w:rsidRDefault="004E1C91" w:rsidP="00D43AB3">
      <w:pPr>
        <w:spacing w:before="120"/>
        <w:ind w:left="1135" w:hanging="1135"/>
        <w:rPr>
          <w:rFonts w:cs="Arial"/>
        </w:rPr>
      </w:pPr>
      <w:r w:rsidRPr="00321B46">
        <w:rPr>
          <w:rFonts w:cs="Arial"/>
          <w:i/>
        </w:rPr>
        <w:t>nm</w:t>
      </w:r>
      <w:r w:rsidR="00D43AB3" w:rsidRPr="00321B46">
        <w:rPr>
          <w:rFonts w:cs="Arial"/>
          <w:i/>
          <w:vertAlign w:val="subscript"/>
        </w:rPr>
        <w:t>i</w:t>
      </w:r>
      <w:r w:rsidR="00D43AB3" w:rsidRPr="00321B46">
        <w:rPr>
          <w:rFonts w:cs="Arial"/>
        </w:rPr>
        <w:t xml:space="preserve"> : </w:t>
      </w:r>
      <w:r w:rsidR="00D43AB3" w:rsidRPr="00321B46">
        <w:rPr>
          <w:rFonts w:cs="Arial"/>
        </w:rPr>
        <w:tab/>
      </w:r>
      <w:r w:rsidRPr="00321B46">
        <w:rPr>
          <w:rFonts w:cs="Arial"/>
        </w:rPr>
        <w:t xml:space="preserve">Contador del número de meses trascurridos, que inicia </w:t>
      </w:r>
      <w:r w:rsidR="00E24738" w:rsidRPr="00321B46">
        <w:rPr>
          <w:rFonts w:cs="Arial"/>
        </w:rPr>
        <w:t>con</w:t>
      </w:r>
      <w:r w:rsidRPr="00321B46">
        <w:rPr>
          <w:rFonts w:cs="Arial"/>
        </w:rPr>
        <w:t xml:space="preserve"> 1 </w:t>
      </w:r>
      <w:r w:rsidR="00E24738" w:rsidRPr="00321B46">
        <w:rPr>
          <w:rFonts w:cs="Arial"/>
        </w:rPr>
        <w:t>en</w:t>
      </w:r>
      <w:r w:rsidRPr="00321B46">
        <w:rPr>
          <w:rFonts w:cs="Arial"/>
        </w:rPr>
        <w:t xml:space="preserve"> el </w:t>
      </w:r>
      <w:r w:rsidR="00C97ECA" w:rsidRPr="00321B46">
        <w:rPr>
          <w:rFonts w:cs="Arial"/>
        </w:rPr>
        <w:t xml:space="preserve">primer </w:t>
      </w:r>
      <w:r w:rsidRPr="00321B46">
        <w:rPr>
          <w:rFonts w:cs="Arial"/>
        </w:rPr>
        <w:t xml:space="preserve">mes </w:t>
      </w:r>
      <w:r w:rsidR="00C97ECA" w:rsidRPr="00321B46">
        <w:rPr>
          <w:rFonts w:cs="Arial"/>
        </w:rPr>
        <w:t xml:space="preserve">para el que se calculen </w:t>
      </w:r>
      <w:r w:rsidR="00DA52A4" w:rsidRPr="00321B46">
        <w:rPr>
          <w:rFonts w:cs="Arial"/>
        </w:rPr>
        <w:t xml:space="preserve">estos ingresos </w:t>
      </w:r>
      <w:r w:rsidR="00C97ECA" w:rsidRPr="00321B46">
        <w:rPr>
          <w:rFonts w:cs="Arial"/>
        </w:rPr>
        <w:t>con la metodología prevista en</w:t>
      </w:r>
      <w:r w:rsidRPr="00321B46">
        <w:rPr>
          <w:rFonts w:cs="Arial"/>
        </w:rPr>
        <w:t xml:space="preserve"> esta resolución</w:t>
      </w:r>
      <w:r w:rsidR="00E24738" w:rsidRPr="00321B46">
        <w:rPr>
          <w:rFonts w:cs="Arial"/>
        </w:rPr>
        <w:t>.</w:t>
      </w:r>
    </w:p>
    <w:p w14:paraId="26B7B50B" w14:textId="75BE7ECD" w:rsidR="00714EED" w:rsidRPr="00321B46" w:rsidRDefault="00714EED" w:rsidP="00714EED">
      <w:pPr>
        <w:numPr>
          <w:ilvl w:val="12"/>
          <w:numId w:val="0"/>
        </w:numPr>
        <w:suppressAutoHyphens/>
        <w:spacing w:before="120"/>
        <w:ind w:left="1134" w:hanging="1134"/>
        <w:rPr>
          <w:i/>
        </w:rPr>
      </w:pPr>
      <w:r w:rsidRPr="00321B46">
        <w:rPr>
          <w:i/>
        </w:rPr>
        <w:t>r</w:t>
      </w:r>
      <w:r w:rsidRPr="00321B46">
        <w:t>:</w:t>
      </w:r>
      <w:r w:rsidRPr="00321B46">
        <w:tab/>
      </w:r>
      <w:r w:rsidR="000E4CFE" w:rsidRPr="00321B46">
        <w:t>Tasa de descuento</w:t>
      </w:r>
      <w:r w:rsidRPr="00321B46">
        <w:t xml:space="preserve"> reconocida para la actividad de transmisión de energía eléctrica. </w:t>
      </w:r>
    </w:p>
    <w:p w14:paraId="70A91CA4" w14:textId="77777777" w:rsidR="004E1C91" w:rsidRPr="00321B46" w:rsidRDefault="004E1C91" w:rsidP="004E1C91">
      <w:pPr>
        <w:spacing w:before="120"/>
        <w:ind w:left="1134" w:hanging="1134"/>
      </w:pPr>
      <w:r w:rsidRPr="00321B46">
        <w:rPr>
          <w:i/>
        </w:rPr>
        <w:t>IPP</w:t>
      </w:r>
      <w:r w:rsidRPr="00321B46">
        <w:rPr>
          <w:i/>
          <w:vertAlign w:val="subscript"/>
        </w:rPr>
        <w:t>m-1</w:t>
      </w:r>
      <w:r w:rsidRPr="00321B46">
        <w:t>:</w:t>
      </w:r>
      <w:r w:rsidRPr="00321B46">
        <w:tab/>
        <w:t xml:space="preserve">Índice de precios del productor para el mes </w:t>
      </w:r>
      <w:r w:rsidRPr="00321B46">
        <w:rPr>
          <w:i/>
        </w:rPr>
        <w:t>m-1</w:t>
      </w:r>
      <w:r w:rsidRPr="00321B46">
        <w:t>.</w:t>
      </w:r>
    </w:p>
    <w:p w14:paraId="22BCC1E1" w14:textId="77777777" w:rsidR="004E1C91" w:rsidRPr="00321B46" w:rsidRDefault="004E1C91" w:rsidP="004E1C91">
      <w:pPr>
        <w:spacing w:before="120"/>
        <w:ind w:left="1134" w:hanging="1134"/>
      </w:pPr>
      <w:r w:rsidRPr="00321B46">
        <w:rPr>
          <w:i/>
        </w:rPr>
        <w:t>IPP</w:t>
      </w:r>
      <w:r w:rsidRPr="00321B46">
        <w:rPr>
          <w:i/>
          <w:vertAlign w:val="subscript"/>
        </w:rPr>
        <w:t>0</w:t>
      </w:r>
      <w:r w:rsidR="006D49EB" w:rsidRPr="00321B46">
        <w:rPr>
          <w:i/>
          <w:vertAlign w:val="subscript"/>
        </w:rPr>
        <w:t>8</w:t>
      </w:r>
      <w:r w:rsidRPr="00321B46">
        <w:t>:</w:t>
      </w:r>
      <w:r w:rsidRPr="00321B46">
        <w:tab/>
        <w:t xml:space="preserve">Índice de precios del productor de </w:t>
      </w:r>
      <w:r w:rsidR="005055CE" w:rsidRPr="00321B46">
        <w:t>diciembre de 2008</w:t>
      </w:r>
      <w:r w:rsidRPr="00321B46">
        <w:t>.</w:t>
      </w:r>
    </w:p>
    <w:p w14:paraId="3E66A9C8" w14:textId="77777777" w:rsidR="00F73F1C" w:rsidRPr="00321B46" w:rsidRDefault="00B46F9B" w:rsidP="00E43449">
      <w:pPr>
        <w:spacing w:before="120"/>
      </w:pPr>
      <w:r w:rsidRPr="00321B46">
        <w:t xml:space="preserve">Los ingresos recaudados </w:t>
      </w:r>
      <w:r w:rsidR="000A25FC" w:rsidRPr="00321B46">
        <w:t xml:space="preserve">con base en lo previsto en este numeral </w:t>
      </w:r>
      <w:r w:rsidRPr="00321B46">
        <w:t xml:space="preserve">serán consignados </w:t>
      </w:r>
      <w:r w:rsidR="00F73F1C" w:rsidRPr="00321B46">
        <w:t>por el LAC en una cuenta de una institución financiera con el fin de obtener rendimientos sobre los valores consignados. Esta cuenta deberá tener como único propósito el manejo de estos recursos.</w:t>
      </w:r>
    </w:p>
    <w:p w14:paraId="2293D71B" w14:textId="00A8BC83" w:rsidR="00210191" w:rsidRPr="00321B46" w:rsidRDefault="00A044CA" w:rsidP="009A7C14">
      <w:pPr>
        <w:spacing w:before="120"/>
      </w:pPr>
      <w:r w:rsidRPr="00321B46">
        <w:t xml:space="preserve">El LAC entregará los recursos al TN que asuma la representación de los activos, a más tardar un mes después de la entrada en vigencia de la resolución que apruebe la CREG para incluir los activos en el inventario del mencionado TN. </w:t>
      </w:r>
      <w:r w:rsidR="00F73F1C" w:rsidRPr="00321B46">
        <w:t xml:space="preserve">El LAC definirá </w:t>
      </w:r>
      <w:r w:rsidR="000A25FC" w:rsidRPr="00321B46">
        <w:t xml:space="preserve">y entregará a la CREG un procedimiento sobre </w:t>
      </w:r>
      <w:r w:rsidR="00F73F1C" w:rsidRPr="00321B46">
        <w:t xml:space="preserve">la forma de asignar los respectivos rendimientos y gastos financieros y </w:t>
      </w:r>
      <w:r w:rsidR="006D49EB" w:rsidRPr="00321B46">
        <w:t xml:space="preserve">la forma de </w:t>
      </w:r>
      <w:r w:rsidR="00F73F1C" w:rsidRPr="00321B46">
        <w:t>distribuir</w:t>
      </w:r>
      <w:r w:rsidR="006D49EB" w:rsidRPr="00321B46">
        <w:t xml:space="preserve"> los</w:t>
      </w:r>
      <w:r w:rsidR="00F73F1C" w:rsidRPr="00321B46">
        <w:t xml:space="preserve"> recursos al momento de entregarlos al TN representante del activo.</w:t>
      </w:r>
    </w:p>
    <w:p w14:paraId="4C1B0187" w14:textId="25A035A7" w:rsidR="00A044CA" w:rsidRPr="00321B46" w:rsidRDefault="00A044CA" w:rsidP="009A7C14">
      <w:pPr>
        <w:spacing w:before="120"/>
      </w:pPr>
    </w:p>
    <w:p w14:paraId="038C3DB8" w14:textId="545B42B5" w:rsidR="00E43449" w:rsidRPr="00321B46" w:rsidRDefault="00E43449" w:rsidP="009A7C14">
      <w:pPr>
        <w:spacing w:before="120"/>
      </w:pPr>
      <w:r w:rsidRPr="00321B46">
        <w:br w:type="page"/>
      </w:r>
    </w:p>
    <w:p w14:paraId="36286A13" w14:textId="77777777" w:rsidR="00E43449" w:rsidRPr="00321B46" w:rsidRDefault="00E43449" w:rsidP="0004502D">
      <w:pPr>
        <w:pStyle w:val="Ttulo1"/>
      </w:pPr>
      <w:bookmarkStart w:id="40" w:name="_Ref403571468"/>
      <w:bookmarkStart w:id="41" w:name="_Ref406662935"/>
      <w:bookmarkStart w:id="42" w:name="_Ref406663849"/>
      <w:bookmarkStart w:id="43" w:name="_Ref406683016"/>
      <w:bookmarkStart w:id="44" w:name="_Ref406683194"/>
      <w:bookmarkStart w:id="45" w:name="_Toc466392619"/>
      <w:r w:rsidRPr="00321B46">
        <w:t>CÁLCULO DE LOS INGRESOS ANUALES</w:t>
      </w:r>
      <w:bookmarkEnd w:id="33"/>
      <w:bookmarkEnd w:id="40"/>
      <w:bookmarkEnd w:id="41"/>
      <w:bookmarkEnd w:id="42"/>
      <w:bookmarkEnd w:id="43"/>
      <w:bookmarkEnd w:id="44"/>
      <w:bookmarkEnd w:id="45"/>
    </w:p>
    <w:p w14:paraId="477A3783" w14:textId="77777777" w:rsidR="00E43449" w:rsidRPr="00321B46" w:rsidRDefault="00E43449" w:rsidP="00E43449">
      <w:r w:rsidRPr="00321B46">
        <w:t xml:space="preserve">Los ingresos anuales de los TN se determinan con base en la siguiente expresión: </w:t>
      </w:r>
    </w:p>
    <w:p w14:paraId="36B089E9" w14:textId="77777777" w:rsidR="00E43449" w:rsidRPr="00321B46" w:rsidRDefault="00651802" w:rsidP="00E43449">
      <m:oMathPara>
        <m:oMath>
          <m:sSub>
            <m:sSubPr>
              <m:ctrlPr>
                <w:rPr>
                  <w:rFonts w:ascii="Cambria Math" w:hAnsi="Cambria Math"/>
                </w:rPr>
              </m:ctrlPr>
            </m:sSubPr>
            <m:e>
              <m:r>
                <w:rPr>
                  <w:rFonts w:ascii="Cambria Math" w:hAnsi="Cambria Math"/>
                </w:rPr>
                <m:t>IAT</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IAA</m:t>
              </m:r>
            </m:e>
            <m:sub>
              <m:r>
                <w:rPr>
                  <w:rFonts w:ascii="Cambria Math" w:hAnsi="Cambria Math"/>
                </w:rPr>
                <m:t>j</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IAAOM</m:t>
              </m:r>
            </m:e>
            <m:sub>
              <m:r>
                <w:rPr>
                  <w:rFonts w:ascii="Cambria Math" w:hAnsi="Cambria Math"/>
                </w:rPr>
                <m:t>j</m:t>
              </m:r>
              <m:r>
                <m:rPr>
                  <m:sty m:val="p"/>
                </m:rP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OI</m:t>
              </m:r>
            </m:e>
            <m:sub>
              <m:r>
                <w:rPr>
                  <w:rFonts w:ascii="Cambria Math" w:hAnsi="Cambria Math"/>
                </w:rPr>
                <m:t>j</m:t>
              </m:r>
            </m:sub>
          </m:sSub>
        </m:oMath>
      </m:oMathPara>
    </w:p>
    <w:p w14:paraId="2DA78A02" w14:textId="77777777" w:rsidR="00E43449" w:rsidRPr="00321B46" w:rsidRDefault="00E43449" w:rsidP="00E43449">
      <w:pPr>
        <w:ind w:left="1410" w:hanging="1410"/>
        <w:rPr>
          <w:iCs/>
        </w:rPr>
      </w:pPr>
      <w:r w:rsidRPr="00321B46">
        <w:rPr>
          <w:iCs/>
        </w:rPr>
        <w:t>Donde:</w:t>
      </w:r>
    </w:p>
    <w:p w14:paraId="0F664AD1" w14:textId="77777777" w:rsidR="00E43449" w:rsidRPr="00321B46" w:rsidRDefault="00E43449" w:rsidP="00E43449">
      <w:pPr>
        <w:ind w:left="1410" w:hanging="1410"/>
        <w:rPr>
          <w:i/>
          <w:iCs/>
        </w:rPr>
      </w:pPr>
      <w:r w:rsidRPr="00321B46">
        <w:rPr>
          <w:i/>
          <w:iCs/>
        </w:rPr>
        <w:t>IAT</w:t>
      </w:r>
      <w:r w:rsidRPr="00321B46">
        <w:rPr>
          <w:i/>
          <w:iCs/>
          <w:vertAlign w:val="subscript"/>
        </w:rPr>
        <w:t>j,t</w:t>
      </w:r>
      <w:r w:rsidRPr="00321B46">
        <w:t>:</w:t>
      </w:r>
      <w:r w:rsidRPr="00321B46">
        <w:tab/>
        <w:t xml:space="preserve">Ingreso anual del </w:t>
      </w:r>
      <w:r w:rsidRPr="00321B46">
        <w:rPr>
          <w:i/>
          <w:iCs/>
        </w:rPr>
        <w:t>TN</w:t>
      </w:r>
      <w:r w:rsidRPr="00321B46">
        <w:t xml:space="preserve"> </w:t>
      </w:r>
      <w:r w:rsidRPr="00321B46">
        <w:rPr>
          <w:i/>
          <w:iCs/>
        </w:rPr>
        <w:t>j</w:t>
      </w:r>
      <w:r w:rsidRPr="00321B46">
        <w:rPr>
          <w:iCs/>
        </w:rPr>
        <w:t>,</w:t>
      </w:r>
      <w:r w:rsidRPr="00321B46">
        <w:t xml:space="preserve"> en el año </w:t>
      </w:r>
      <w:r w:rsidRPr="00321B46">
        <w:rPr>
          <w:i/>
        </w:rPr>
        <w:t>t</w:t>
      </w:r>
      <w:r w:rsidRPr="00321B46">
        <w:t>.</w:t>
      </w:r>
    </w:p>
    <w:p w14:paraId="6250F077" w14:textId="2EB4AD11" w:rsidR="00E43449" w:rsidRPr="00321B46" w:rsidRDefault="00E43449" w:rsidP="00E43449">
      <w:pPr>
        <w:ind w:left="1410" w:hanging="1410"/>
      </w:pPr>
      <w:r w:rsidRPr="00321B46">
        <w:rPr>
          <w:i/>
          <w:iCs/>
        </w:rPr>
        <w:t>IAA</w:t>
      </w:r>
      <w:r w:rsidRPr="00321B46">
        <w:rPr>
          <w:i/>
          <w:iCs/>
          <w:vertAlign w:val="subscript"/>
        </w:rPr>
        <w:t>j,t</w:t>
      </w:r>
      <w:r w:rsidRPr="00321B46">
        <w:t>:</w:t>
      </w:r>
      <w:r w:rsidRPr="00321B46">
        <w:tab/>
        <w:t>Ingreso anual por inversión en activos</w:t>
      </w:r>
      <w:r w:rsidRPr="00321B46">
        <w:rPr>
          <w:iCs/>
        </w:rPr>
        <w:t>,</w:t>
      </w:r>
      <w:r w:rsidRPr="00321B46">
        <w:rPr>
          <w:i/>
          <w:iCs/>
        </w:rPr>
        <w:t xml:space="preserve"> </w:t>
      </w:r>
      <w:r w:rsidRPr="00321B46">
        <w:rPr>
          <w:iCs/>
        </w:rPr>
        <w:t>del</w:t>
      </w:r>
      <w:r w:rsidRPr="00321B46">
        <w:rPr>
          <w:i/>
          <w:iCs/>
        </w:rPr>
        <w:t xml:space="preserve"> TN</w:t>
      </w:r>
      <w:r w:rsidRPr="00321B46">
        <w:t xml:space="preserve"> </w:t>
      </w:r>
      <w:r w:rsidRPr="00321B46">
        <w:rPr>
          <w:i/>
          <w:iCs/>
        </w:rPr>
        <w:t>j</w:t>
      </w:r>
      <w:r w:rsidRPr="00321B46">
        <w:rPr>
          <w:iCs/>
        </w:rPr>
        <w:t>,</w:t>
      </w:r>
      <w:r w:rsidRPr="00321B46">
        <w:t xml:space="preserve"> en el año </w:t>
      </w:r>
      <w:r w:rsidRPr="00321B46">
        <w:rPr>
          <w:i/>
        </w:rPr>
        <w:t>t</w:t>
      </w:r>
      <w:r w:rsidRPr="00321B46">
        <w:t xml:space="preserve">, según lo establecido en el numeral </w:t>
      </w:r>
      <w:r w:rsidR="00581248" w:rsidRPr="00321B46">
        <w:fldChar w:fldCharType="begin"/>
      </w:r>
      <w:r w:rsidR="00581248" w:rsidRPr="00321B46">
        <w:instrText xml:space="preserve"> REF _Ref398643120 \r \h </w:instrText>
      </w:r>
      <w:r w:rsidR="00321B46">
        <w:instrText xml:space="preserve"> \* MERGEFORMAT </w:instrText>
      </w:r>
      <w:r w:rsidR="00581248" w:rsidRPr="00321B46">
        <w:fldChar w:fldCharType="separate"/>
      </w:r>
      <w:r w:rsidR="000F355F">
        <w:t>2.1</w:t>
      </w:r>
      <w:r w:rsidR="00581248" w:rsidRPr="00321B46">
        <w:fldChar w:fldCharType="end"/>
      </w:r>
      <w:r w:rsidRPr="00321B46">
        <w:t>.</w:t>
      </w:r>
    </w:p>
    <w:p w14:paraId="5625FC71" w14:textId="64603473" w:rsidR="00E43449" w:rsidRPr="00321B46" w:rsidRDefault="00E43449" w:rsidP="00E43449">
      <w:pPr>
        <w:ind w:left="1410" w:hanging="1410"/>
      </w:pPr>
      <w:r w:rsidRPr="00321B46">
        <w:rPr>
          <w:i/>
          <w:iCs/>
        </w:rPr>
        <w:t>IAAOM</w:t>
      </w:r>
      <w:r w:rsidRPr="00321B46">
        <w:rPr>
          <w:i/>
          <w:iCs/>
          <w:vertAlign w:val="subscript"/>
        </w:rPr>
        <w:t>j,t</w:t>
      </w:r>
      <w:r w:rsidRPr="00321B46">
        <w:t>:</w:t>
      </w:r>
      <w:r w:rsidRPr="00321B46">
        <w:tab/>
        <w:t xml:space="preserve">Ingreso anual por gastos de AOM </w:t>
      </w:r>
      <w:r w:rsidRPr="00321B46">
        <w:rPr>
          <w:iCs/>
        </w:rPr>
        <w:t>del</w:t>
      </w:r>
      <w:r w:rsidRPr="00321B46">
        <w:rPr>
          <w:i/>
          <w:iCs/>
        </w:rPr>
        <w:t xml:space="preserve"> TN</w:t>
      </w:r>
      <w:r w:rsidRPr="00321B46">
        <w:t xml:space="preserve"> </w:t>
      </w:r>
      <w:r w:rsidRPr="00321B46">
        <w:rPr>
          <w:i/>
          <w:iCs/>
        </w:rPr>
        <w:t>j</w:t>
      </w:r>
      <w:r w:rsidRPr="00321B46">
        <w:rPr>
          <w:iCs/>
        </w:rPr>
        <w:t>,</w:t>
      </w:r>
      <w:r w:rsidRPr="00321B46">
        <w:t xml:space="preserve"> en el año </w:t>
      </w:r>
      <w:r w:rsidRPr="00321B46">
        <w:rPr>
          <w:i/>
        </w:rPr>
        <w:t>t</w:t>
      </w:r>
      <w:r w:rsidRPr="00321B46">
        <w:t xml:space="preserve">, según lo establecido en el numeral </w:t>
      </w:r>
      <w:r w:rsidR="00581248" w:rsidRPr="00321B46">
        <w:fldChar w:fldCharType="begin"/>
      </w:r>
      <w:r w:rsidR="00581248" w:rsidRPr="00321B46">
        <w:instrText xml:space="preserve"> REF _Ref465925630 \r \h </w:instrText>
      </w:r>
      <w:r w:rsidR="00321B46">
        <w:instrText xml:space="preserve"> \* MERGEFORMAT </w:instrText>
      </w:r>
      <w:r w:rsidR="00581248" w:rsidRPr="00321B46">
        <w:fldChar w:fldCharType="separate"/>
      </w:r>
      <w:r w:rsidR="000F355F">
        <w:t>3.1</w:t>
      </w:r>
      <w:r w:rsidR="00581248" w:rsidRPr="00321B46">
        <w:fldChar w:fldCharType="end"/>
      </w:r>
      <w:r w:rsidRPr="00321B46">
        <w:t>.</w:t>
      </w:r>
    </w:p>
    <w:p w14:paraId="0A525485" w14:textId="77777777" w:rsidR="00E43449" w:rsidRPr="00321B46" w:rsidRDefault="00E43449" w:rsidP="00E43449">
      <w:pPr>
        <w:spacing w:before="120"/>
        <w:ind w:left="1418" w:hanging="1418"/>
      </w:pPr>
      <w:r w:rsidRPr="00321B46">
        <w:rPr>
          <w:i/>
        </w:rPr>
        <w:t>OI</w:t>
      </w:r>
      <w:r w:rsidRPr="00321B46">
        <w:rPr>
          <w:i/>
          <w:vertAlign w:val="subscript"/>
        </w:rPr>
        <w:t>j</w:t>
      </w:r>
      <w:r w:rsidRPr="00321B46">
        <w:t>:</w:t>
      </w:r>
      <w:r w:rsidRPr="00321B46">
        <w:tab/>
        <w:t xml:space="preserve">Otros Ingresos por la explotación de los activos remunerados mediante cargos por uso en actividades distintas a la de transmisión de energía eléctrica. Este valor corresponde al </w:t>
      </w:r>
      <w:r w:rsidR="00957C11" w:rsidRPr="00321B46">
        <w:t>50</w:t>
      </w:r>
      <w:r w:rsidRPr="00321B46">
        <w:t>% del valor de los ingresos por este concepto durante el año que finaliza en la fecha de corte.</w:t>
      </w:r>
    </w:p>
    <w:p w14:paraId="7624D324" w14:textId="64BEEAA7" w:rsidR="00E43449" w:rsidRPr="00321B46" w:rsidRDefault="00E43449" w:rsidP="00BF7220">
      <w:pPr>
        <w:pStyle w:val="Ttulo2"/>
      </w:pPr>
      <w:bookmarkStart w:id="46" w:name="_Toc445395156"/>
      <w:bookmarkStart w:id="47" w:name="_Toc445412112"/>
      <w:bookmarkStart w:id="48" w:name="_Toc445412342"/>
      <w:bookmarkStart w:id="49" w:name="_Toc445419487"/>
      <w:bookmarkStart w:id="50" w:name="_Toc445419942"/>
      <w:bookmarkStart w:id="51" w:name="_Toc445420024"/>
      <w:bookmarkStart w:id="52" w:name="_Toc445420314"/>
      <w:bookmarkStart w:id="53" w:name="_Toc445422101"/>
      <w:bookmarkStart w:id="54" w:name="_Ref398643120"/>
      <w:bookmarkStart w:id="55" w:name="_Toc466392620"/>
      <w:bookmarkEnd w:id="46"/>
      <w:bookmarkEnd w:id="47"/>
      <w:bookmarkEnd w:id="48"/>
      <w:bookmarkEnd w:id="49"/>
      <w:bookmarkEnd w:id="50"/>
      <w:bookmarkEnd w:id="51"/>
      <w:bookmarkEnd w:id="52"/>
      <w:bookmarkEnd w:id="53"/>
      <w:r w:rsidRPr="00321B46">
        <w:t>I</w:t>
      </w:r>
      <w:r w:rsidR="009954EA" w:rsidRPr="00321B46">
        <w:t>ngreso anual por inversión en activos</w:t>
      </w:r>
      <w:bookmarkEnd w:id="54"/>
      <w:bookmarkEnd w:id="55"/>
      <w:r w:rsidR="009954EA" w:rsidRPr="00321B46">
        <w:t xml:space="preserve"> </w:t>
      </w:r>
    </w:p>
    <w:p w14:paraId="7DC51545" w14:textId="73F4BE83" w:rsidR="00E43449" w:rsidRPr="00321B46" w:rsidRDefault="00E43449" w:rsidP="001A10B3">
      <w:r w:rsidRPr="00321B46">
        <w:t xml:space="preserve">El ingreso anual </w:t>
      </w:r>
      <w:r w:rsidR="00684259" w:rsidRPr="00321B46">
        <w:t xml:space="preserve">por inversiones </w:t>
      </w:r>
      <w:r w:rsidRPr="00321B46">
        <w:t>para cada TN</w:t>
      </w:r>
      <w:r w:rsidRPr="00321B46">
        <w:rPr>
          <w:color w:val="0000FF"/>
        </w:rPr>
        <w:t xml:space="preserve"> </w:t>
      </w:r>
      <w:r w:rsidRPr="00321B46">
        <w:t>se determina de conformidad con la siguiente expresión:</w:t>
      </w:r>
    </w:p>
    <w:p w14:paraId="0CCDE863" w14:textId="7805A78D" w:rsidR="00E43449" w:rsidRPr="00321B46" w:rsidRDefault="00651802" w:rsidP="00E43449">
      <m:oMathPara>
        <m:oMath>
          <m:sSub>
            <m:sSubPr>
              <m:ctrlPr>
                <w:rPr>
                  <w:rFonts w:ascii="Cambria Math" w:hAnsi="Cambria Math"/>
                  <w:i/>
                </w:rPr>
              </m:ctrlPr>
            </m:sSubPr>
            <m:e>
              <m:r>
                <w:rPr>
                  <w:rFonts w:ascii="Cambria Math" w:hAnsi="Cambria Math"/>
                </w:rPr>
                <m:t>IAA</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BRA</m:t>
              </m:r>
            </m:e>
            <m:sub>
              <m:r>
                <w:rPr>
                  <w:rFonts w:ascii="Cambria Math" w:hAnsi="Cambria Math"/>
                </w:rPr>
                <m:t>j,t</m:t>
              </m:r>
            </m:sub>
          </m:sSub>
          <m:r>
            <w:rPr>
              <w:rFonts w:ascii="Cambria Math" w:hAnsi="Cambria Math"/>
            </w:rPr>
            <m:t>*r+</m:t>
          </m:r>
          <m:sSub>
            <m:sSubPr>
              <m:ctrlPr>
                <w:rPr>
                  <w:rFonts w:ascii="Cambria Math" w:hAnsi="Cambria Math"/>
                  <w:i/>
                </w:rPr>
              </m:ctrlPr>
            </m:sSubPr>
            <m:e>
              <m:r>
                <w:rPr>
                  <w:rFonts w:ascii="Cambria Math" w:hAnsi="Cambria Math"/>
                </w:rPr>
                <m:t>RC</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BRT</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AINCI</m:t>
              </m:r>
            </m:e>
            <m:sub>
              <m:r>
                <w:rPr>
                  <w:rFonts w:ascii="Cambria Math" w:hAnsi="Cambria Math"/>
                </w:rPr>
                <m:t>j,t-1</m:t>
              </m:r>
            </m:sub>
          </m:sSub>
        </m:oMath>
      </m:oMathPara>
    </w:p>
    <w:p w14:paraId="5258DC3B" w14:textId="77777777" w:rsidR="00E43449" w:rsidRPr="00321B46" w:rsidRDefault="00E43449" w:rsidP="00E43449">
      <w:pPr>
        <w:ind w:left="1410" w:hanging="1410"/>
        <w:rPr>
          <w:iCs/>
        </w:rPr>
      </w:pPr>
      <w:r w:rsidRPr="00321B46">
        <w:rPr>
          <w:iCs/>
        </w:rPr>
        <w:t>Donde:</w:t>
      </w:r>
    </w:p>
    <w:p w14:paraId="36059B1A" w14:textId="77777777" w:rsidR="00E43449" w:rsidRPr="00321B46" w:rsidRDefault="00E43449" w:rsidP="00E43449">
      <w:pPr>
        <w:ind w:left="1410" w:hanging="1410"/>
      </w:pPr>
      <w:r w:rsidRPr="00321B46">
        <w:rPr>
          <w:i/>
          <w:iCs/>
        </w:rPr>
        <w:t>IAA</w:t>
      </w:r>
      <w:r w:rsidRPr="00321B46">
        <w:rPr>
          <w:i/>
          <w:iCs/>
          <w:vertAlign w:val="subscript"/>
        </w:rPr>
        <w:t>j,t</w:t>
      </w:r>
      <w:r w:rsidRPr="00321B46">
        <w:t>:</w:t>
      </w:r>
      <w:r w:rsidRPr="00321B46">
        <w:tab/>
        <w:t xml:space="preserve">Ingreso anual por inversión </w:t>
      </w:r>
      <w:r w:rsidRPr="00321B46">
        <w:rPr>
          <w:iCs/>
        </w:rPr>
        <w:t>del</w:t>
      </w:r>
      <w:r w:rsidRPr="00321B46">
        <w:rPr>
          <w:i/>
          <w:iCs/>
        </w:rPr>
        <w:t xml:space="preserve"> TN</w:t>
      </w:r>
      <w:r w:rsidRPr="00321B46">
        <w:t xml:space="preserve"> </w:t>
      </w:r>
      <w:r w:rsidRPr="00321B46">
        <w:rPr>
          <w:i/>
          <w:iCs/>
        </w:rPr>
        <w:t>j</w:t>
      </w:r>
      <w:r w:rsidRPr="00321B46">
        <w:rPr>
          <w:iCs/>
        </w:rPr>
        <w:t>,</w:t>
      </w:r>
      <w:r w:rsidRPr="00321B46">
        <w:t xml:space="preserve"> en el año </w:t>
      </w:r>
      <w:r w:rsidRPr="00321B46">
        <w:rPr>
          <w:i/>
        </w:rPr>
        <w:t>t.</w:t>
      </w:r>
    </w:p>
    <w:p w14:paraId="101BFBDB" w14:textId="77777777" w:rsidR="00E43449" w:rsidRPr="00321B46" w:rsidRDefault="00E43449" w:rsidP="00E43449">
      <w:pPr>
        <w:ind w:left="1410" w:hanging="1410"/>
      </w:pPr>
      <w:r w:rsidRPr="00321B46">
        <w:rPr>
          <w:i/>
          <w:iCs/>
        </w:rPr>
        <w:t>BRA</w:t>
      </w:r>
      <w:r w:rsidRPr="00321B46">
        <w:rPr>
          <w:i/>
          <w:iCs/>
          <w:vertAlign w:val="subscript"/>
        </w:rPr>
        <w:t>j,t</w:t>
      </w:r>
      <w:r w:rsidRPr="00321B46">
        <w:t>:</w:t>
      </w:r>
      <w:r w:rsidRPr="00321B46">
        <w:tab/>
        <w:t xml:space="preserve">Base regulatoria de activos </w:t>
      </w:r>
      <w:r w:rsidRPr="00321B46">
        <w:rPr>
          <w:iCs/>
        </w:rPr>
        <w:t>del</w:t>
      </w:r>
      <w:r w:rsidRPr="00321B46">
        <w:rPr>
          <w:i/>
          <w:iCs/>
        </w:rPr>
        <w:t xml:space="preserve"> TN</w:t>
      </w:r>
      <w:r w:rsidRPr="00321B46">
        <w:t xml:space="preserve"> </w:t>
      </w:r>
      <w:r w:rsidRPr="00321B46">
        <w:rPr>
          <w:i/>
          <w:iCs/>
        </w:rPr>
        <w:t>j</w:t>
      </w:r>
      <w:r w:rsidRPr="00321B46">
        <w:rPr>
          <w:iCs/>
        </w:rPr>
        <w:t>,</w:t>
      </w:r>
      <w:r w:rsidRPr="00321B46">
        <w:t xml:space="preserve"> en el año </w:t>
      </w:r>
      <w:r w:rsidRPr="00321B46">
        <w:rPr>
          <w:i/>
        </w:rPr>
        <w:t>t.</w:t>
      </w:r>
    </w:p>
    <w:p w14:paraId="1C99B802" w14:textId="776B755E" w:rsidR="00E43449" w:rsidRPr="00321B46" w:rsidRDefault="00E43449" w:rsidP="00E43449">
      <w:pPr>
        <w:numPr>
          <w:ilvl w:val="12"/>
          <w:numId w:val="0"/>
        </w:numPr>
        <w:suppressAutoHyphens/>
        <w:spacing w:before="120"/>
        <w:ind w:left="1418" w:hanging="1418"/>
        <w:rPr>
          <w:i/>
        </w:rPr>
      </w:pPr>
      <w:r w:rsidRPr="00321B46">
        <w:rPr>
          <w:i/>
        </w:rPr>
        <w:t>r</w:t>
      </w:r>
      <w:r w:rsidRPr="00321B46">
        <w:t>:</w:t>
      </w:r>
      <w:r w:rsidRPr="00321B46">
        <w:tab/>
      </w:r>
      <w:r w:rsidR="000E4CFE" w:rsidRPr="00321B46">
        <w:t>Tasa de descuento</w:t>
      </w:r>
      <w:r w:rsidR="00AE2A1A" w:rsidRPr="00321B46">
        <w:t xml:space="preserve"> </w:t>
      </w:r>
      <w:r w:rsidRPr="00321B46">
        <w:t xml:space="preserve">reconocida para la actividad de transmisión de energía eléctrica. </w:t>
      </w:r>
    </w:p>
    <w:p w14:paraId="5034E816" w14:textId="06ABA32E" w:rsidR="00E43449" w:rsidRPr="00321B46" w:rsidRDefault="00E43449" w:rsidP="00E43449">
      <w:pPr>
        <w:ind w:left="1416" w:hanging="1416"/>
      </w:pPr>
      <w:r w:rsidRPr="00321B46">
        <w:rPr>
          <w:i/>
          <w:iCs/>
        </w:rPr>
        <w:t>RC</w:t>
      </w:r>
      <w:r w:rsidRPr="00321B46">
        <w:rPr>
          <w:i/>
          <w:iCs/>
          <w:vertAlign w:val="subscript"/>
        </w:rPr>
        <w:t>j,t</w:t>
      </w:r>
      <w:r w:rsidRPr="00321B46">
        <w:t>:</w:t>
      </w:r>
      <w:r w:rsidRPr="00321B46">
        <w:tab/>
        <w:t xml:space="preserve">Recuperación reconocida de capital para los activos remunerados en la base regulatoria </w:t>
      </w:r>
      <w:r w:rsidRPr="00321B46">
        <w:rPr>
          <w:iCs/>
        </w:rPr>
        <w:t>del</w:t>
      </w:r>
      <w:r w:rsidRPr="00321B46">
        <w:rPr>
          <w:i/>
          <w:iCs/>
        </w:rPr>
        <w:t xml:space="preserve"> TN</w:t>
      </w:r>
      <w:r w:rsidRPr="00321B46">
        <w:t xml:space="preserve"> </w:t>
      </w:r>
      <w:r w:rsidRPr="00321B46">
        <w:rPr>
          <w:i/>
          <w:iCs/>
        </w:rPr>
        <w:t>j</w:t>
      </w:r>
      <w:r w:rsidRPr="00321B46">
        <w:rPr>
          <w:iCs/>
        </w:rPr>
        <w:t>,</w:t>
      </w:r>
      <w:r w:rsidRPr="00321B46">
        <w:t xml:space="preserve"> en el año </w:t>
      </w:r>
      <w:r w:rsidRPr="00321B46">
        <w:rPr>
          <w:i/>
        </w:rPr>
        <w:t>t,</w:t>
      </w:r>
      <w:r w:rsidRPr="00321B46">
        <w:t xml:space="preserve"> calculada según lo definido en el numeral </w:t>
      </w:r>
      <w:r w:rsidR="000C1737" w:rsidRPr="00321B46">
        <w:fldChar w:fldCharType="begin"/>
      </w:r>
      <w:r w:rsidR="000C1737" w:rsidRPr="00321B46">
        <w:instrText xml:space="preserve"> REF _Ref445386575 \r \h </w:instrText>
      </w:r>
      <w:r w:rsidR="003276B5" w:rsidRPr="00321B46">
        <w:instrText xml:space="preserve"> \* MERGEFORMAT </w:instrText>
      </w:r>
      <w:r w:rsidR="000C1737" w:rsidRPr="00321B46">
        <w:fldChar w:fldCharType="separate"/>
      </w:r>
      <w:r w:rsidR="000F355F">
        <w:t>2.3</w:t>
      </w:r>
      <w:r w:rsidR="000C1737" w:rsidRPr="00321B46">
        <w:fldChar w:fldCharType="end"/>
      </w:r>
      <w:r w:rsidR="007C755E" w:rsidRPr="00321B46">
        <w:t>.</w:t>
      </w:r>
    </w:p>
    <w:p w14:paraId="18B87926" w14:textId="019FD2B6" w:rsidR="00E43449" w:rsidRPr="00321B46" w:rsidRDefault="00E43449" w:rsidP="00E43449">
      <w:pPr>
        <w:ind w:left="1416" w:hanging="1416"/>
      </w:pPr>
      <w:r w:rsidRPr="00321B46">
        <w:rPr>
          <w:i/>
          <w:iCs/>
        </w:rPr>
        <w:t>BRT</w:t>
      </w:r>
      <w:r w:rsidRPr="00321B46">
        <w:rPr>
          <w:i/>
          <w:iCs/>
          <w:vertAlign w:val="subscript"/>
        </w:rPr>
        <w:t>j,t</w:t>
      </w:r>
      <w:r w:rsidRPr="00321B46">
        <w:t>:</w:t>
      </w:r>
      <w:r w:rsidRPr="00321B46">
        <w:tab/>
        <w:t xml:space="preserve">Base regulatoria de terrenos </w:t>
      </w:r>
      <w:r w:rsidRPr="00321B46">
        <w:rPr>
          <w:iCs/>
        </w:rPr>
        <w:t>del</w:t>
      </w:r>
      <w:r w:rsidRPr="00321B46">
        <w:rPr>
          <w:i/>
          <w:iCs/>
        </w:rPr>
        <w:t xml:space="preserve"> TN</w:t>
      </w:r>
      <w:r w:rsidRPr="00321B46">
        <w:t xml:space="preserve">  </w:t>
      </w:r>
      <w:r w:rsidRPr="00321B46">
        <w:rPr>
          <w:i/>
          <w:iCs/>
        </w:rPr>
        <w:t>j</w:t>
      </w:r>
      <w:r w:rsidRPr="00321B46">
        <w:rPr>
          <w:iCs/>
        </w:rPr>
        <w:t>,</w:t>
      </w:r>
      <w:r w:rsidRPr="00321B46">
        <w:t xml:space="preserve"> en el año </w:t>
      </w:r>
      <w:r w:rsidRPr="00321B46">
        <w:rPr>
          <w:i/>
        </w:rPr>
        <w:t>t</w:t>
      </w:r>
      <w:r w:rsidRPr="00321B46">
        <w:t xml:space="preserve">, calculada según lo establecido en el numeral </w:t>
      </w:r>
      <w:r w:rsidR="00BA29ED" w:rsidRPr="00321B46">
        <w:fldChar w:fldCharType="begin"/>
      </w:r>
      <w:r w:rsidR="00BA29ED" w:rsidRPr="00321B46">
        <w:instrText xml:space="preserve"> REF _Ref445420249 \r \h </w:instrText>
      </w:r>
      <w:r w:rsidR="003276B5" w:rsidRPr="00321B46">
        <w:instrText xml:space="preserve"> \* MERGEFORMAT </w:instrText>
      </w:r>
      <w:r w:rsidR="00BA29ED" w:rsidRPr="00321B46">
        <w:fldChar w:fldCharType="separate"/>
      </w:r>
      <w:r w:rsidR="000F355F">
        <w:t>2.4</w:t>
      </w:r>
      <w:r w:rsidR="00BA29ED" w:rsidRPr="00321B46">
        <w:fldChar w:fldCharType="end"/>
      </w:r>
    </w:p>
    <w:p w14:paraId="08F68998" w14:textId="59C9005C" w:rsidR="008D0BA7" w:rsidRPr="00321B46" w:rsidRDefault="008D0BA7" w:rsidP="00E43449">
      <w:pPr>
        <w:ind w:left="1416" w:hanging="1416"/>
        <w:rPr>
          <w:i/>
        </w:rPr>
      </w:pPr>
      <w:r w:rsidRPr="00321B46">
        <w:rPr>
          <w:i/>
          <w:iCs/>
        </w:rPr>
        <w:t>AINCI</w:t>
      </w:r>
      <w:r w:rsidRPr="00321B46">
        <w:rPr>
          <w:i/>
          <w:iCs/>
          <w:vertAlign w:val="subscript"/>
        </w:rPr>
        <w:t>j,t</w:t>
      </w:r>
      <w:r w:rsidRPr="00321B46">
        <w:t>:</w:t>
      </w:r>
      <w:r w:rsidRPr="00321B46">
        <w:tab/>
        <w:t xml:space="preserve">Ajuste al ingreso anual por incentivos asociados con la eficiencia en las inversiones del TN </w:t>
      </w:r>
      <w:r w:rsidRPr="00321B46">
        <w:rPr>
          <w:i/>
        </w:rPr>
        <w:t xml:space="preserve">j </w:t>
      </w:r>
      <w:r w:rsidRPr="00321B46">
        <w:t xml:space="preserve">en el año </w:t>
      </w:r>
      <w:r w:rsidRPr="00321B46">
        <w:rPr>
          <w:i/>
        </w:rPr>
        <w:t xml:space="preserve">t, </w:t>
      </w:r>
      <w:r w:rsidRPr="00321B46">
        <w:t xml:space="preserve">calculada según lo definido en el numeral </w:t>
      </w:r>
      <w:r w:rsidR="00581248" w:rsidRPr="00321B46">
        <w:fldChar w:fldCharType="begin"/>
      </w:r>
      <w:r w:rsidR="00581248" w:rsidRPr="00321B46">
        <w:instrText xml:space="preserve"> REF _Ref461110297 \r \h </w:instrText>
      </w:r>
      <w:r w:rsidR="00321B46">
        <w:instrText xml:space="preserve"> \* MERGEFORMAT </w:instrText>
      </w:r>
      <w:r w:rsidR="00581248" w:rsidRPr="00321B46">
        <w:fldChar w:fldCharType="separate"/>
      </w:r>
      <w:r w:rsidR="000F355F">
        <w:t>4.3.1</w:t>
      </w:r>
      <w:r w:rsidR="00581248" w:rsidRPr="00321B46">
        <w:fldChar w:fldCharType="end"/>
      </w:r>
      <w:r w:rsidRPr="00321B46">
        <w:t>.</w:t>
      </w:r>
    </w:p>
    <w:p w14:paraId="7FA1CEB1" w14:textId="79B07879" w:rsidR="008F722A" w:rsidRPr="00321B46" w:rsidRDefault="008F722A" w:rsidP="00581248">
      <w:pPr>
        <w:pStyle w:val="Ttulo3"/>
      </w:pPr>
      <w:bookmarkStart w:id="56" w:name="_Toc466392621"/>
      <w:r w:rsidRPr="00321B46">
        <w:t>Servidumbres de activos existentes</w:t>
      </w:r>
      <w:bookmarkEnd w:id="56"/>
    </w:p>
    <w:p w14:paraId="03D6811A" w14:textId="256CCA7F" w:rsidR="008F722A" w:rsidRPr="00321B46" w:rsidRDefault="008F722A" w:rsidP="00F30BCA">
      <w:pPr>
        <w:spacing w:before="120"/>
      </w:pPr>
      <w:r w:rsidRPr="00321B46">
        <w:t xml:space="preserve">Sólo para el primer año de aplicación de la metodología que se aprueba en esta resolución, al valor </w:t>
      </w:r>
      <w:r w:rsidRPr="00321B46">
        <w:rPr>
          <w:i/>
        </w:rPr>
        <w:t>IAA</w:t>
      </w:r>
      <w:r w:rsidRPr="00321B46">
        <w:rPr>
          <w:i/>
          <w:vertAlign w:val="subscript"/>
        </w:rPr>
        <w:t>j,1</w:t>
      </w:r>
      <w:r w:rsidRPr="00321B46">
        <w:t xml:space="preserve"> se adicionará un valor equivalente al valor de las servidumbres de los activos existentes, el cual se calcula así:</w:t>
      </w:r>
    </w:p>
    <w:p w14:paraId="57237FE3" w14:textId="77777777" w:rsidR="008F722A" w:rsidRPr="00321B46" w:rsidRDefault="00651802" w:rsidP="00F30BCA">
      <w:pPr>
        <w:spacing w:before="120"/>
      </w:pPr>
      <m:oMathPara>
        <m:oMath>
          <m:sSub>
            <m:sSubPr>
              <m:ctrlPr>
                <w:rPr>
                  <w:rFonts w:ascii="Cambria Math" w:hAnsi="Cambria Math"/>
                  <w:i/>
                </w:rPr>
              </m:ctrlPr>
            </m:sSubPr>
            <m:e>
              <m:r>
                <w:rPr>
                  <w:rFonts w:ascii="Cambria Math" w:hAnsi="Cambria Math"/>
                </w:rPr>
                <m:t>SERV</m:t>
              </m:r>
            </m:e>
            <m:sub>
              <m:r>
                <w:rPr>
                  <w:rFonts w:ascii="Cambria Math" w:hAnsi="Cambria Math"/>
                </w:rPr>
                <m:t>j,1</m:t>
              </m:r>
            </m:sub>
          </m:sSub>
          <m:r>
            <w:rPr>
              <w:rFonts w:ascii="Cambria Math" w:hAnsi="Cambria Math"/>
            </w:rPr>
            <m:t>=8,5*</m:t>
          </m:r>
          <m:sSub>
            <m:sSubPr>
              <m:ctrlPr>
                <w:rPr>
                  <w:rFonts w:ascii="Cambria Math" w:hAnsi="Cambria Math"/>
                  <w:i/>
                </w:rPr>
              </m:ctrlPr>
            </m:sSubPr>
            <m:e>
              <m:r>
                <w:rPr>
                  <w:rFonts w:ascii="Cambria Math" w:hAnsi="Cambria Math"/>
                </w:rPr>
                <m:t>CAES</m:t>
              </m:r>
            </m:e>
            <m:sub>
              <m:r>
                <w:rPr>
                  <w:rFonts w:ascii="Cambria Math" w:hAnsi="Cambria Math"/>
                </w:rPr>
                <m: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IPP</m:t>
                  </m:r>
                </m:e>
                <m:sub>
                  <m:r>
                    <w:rPr>
                      <w:rFonts w:ascii="Cambria Math" w:hAnsi="Cambria Math"/>
                    </w:rPr>
                    <m:t>FC</m:t>
                  </m:r>
                </m:sub>
              </m:sSub>
            </m:num>
            <m:den>
              <m:sSub>
                <m:sSubPr>
                  <m:ctrlPr>
                    <w:rPr>
                      <w:rFonts w:ascii="Cambria Math" w:hAnsi="Cambria Math"/>
                      <w:i/>
                    </w:rPr>
                  </m:ctrlPr>
                </m:sSubPr>
                <m:e>
                  <m:r>
                    <w:rPr>
                      <w:rFonts w:ascii="Cambria Math" w:hAnsi="Cambria Math"/>
                    </w:rPr>
                    <m:t>IPP</m:t>
                  </m:r>
                </m:e>
                <m:sub>
                  <m:r>
                    <w:rPr>
                      <w:rFonts w:ascii="Cambria Math"/>
                    </w:rPr>
                    <m:t>08</m:t>
                  </m:r>
                </m:sub>
              </m:sSub>
            </m:den>
          </m:f>
        </m:oMath>
      </m:oMathPara>
    </w:p>
    <w:p w14:paraId="07EE1634" w14:textId="59A12A6D" w:rsidR="008F722A" w:rsidRPr="00321B46" w:rsidRDefault="008F722A" w:rsidP="00F30BCA">
      <w:pPr>
        <w:spacing w:before="120"/>
        <w:ind w:left="1134" w:hanging="1134"/>
      </w:pPr>
      <w:r w:rsidRPr="00321B46">
        <w:rPr>
          <w:i/>
        </w:rPr>
        <w:t>SERV</w:t>
      </w:r>
      <w:r w:rsidRPr="00321B46">
        <w:rPr>
          <w:i/>
          <w:vertAlign w:val="subscript"/>
        </w:rPr>
        <w:t>j,1</w:t>
      </w:r>
      <w:r w:rsidRPr="00321B46">
        <w:t>:</w:t>
      </w:r>
      <w:r w:rsidRPr="00321B46">
        <w:tab/>
        <w:t xml:space="preserve">Valor reconocido por el costo de las servidumbres de los activos existentes a la fecha de corte. Este valor solo se calcula una vez y se adiciona a la variable </w:t>
      </w:r>
      <w:r w:rsidRPr="00321B46">
        <w:rPr>
          <w:i/>
        </w:rPr>
        <w:t>IAA</w:t>
      </w:r>
      <w:r w:rsidRPr="00321B46">
        <w:rPr>
          <w:i/>
          <w:vertAlign w:val="subscript"/>
        </w:rPr>
        <w:t>j,1</w:t>
      </w:r>
      <w:r w:rsidRPr="00321B46">
        <w:t xml:space="preserve">. </w:t>
      </w:r>
    </w:p>
    <w:p w14:paraId="53D67EEA" w14:textId="77777777" w:rsidR="008F722A" w:rsidRPr="00321B46" w:rsidRDefault="008F722A" w:rsidP="00F30BCA">
      <w:pPr>
        <w:spacing w:before="120"/>
        <w:ind w:left="1134" w:hanging="1134"/>
      </w:pPr>
      <w:r w:rsidRPr="00321B46">
        <w:rPr>
          <w:i/>
        </w:rPr>
        <w:t>CAES</w:t>
      </w:r>
      <w:r w:rsidRPr="00321B46">
        <w:rPr>
          <w:i/>
          <w:vertAlign w:val="subscript"/>
        </w:rPr>
        <w:t>j</w:t>
      </w:r>
      <w:r w:rsidRPr="00321B46">
        <w:t>:</w:t>
      </w:r>
      <w:r w:rsidRPr="00321B46">
        <w:tab/>
        <w:t>Valor del costo anual equivalente de servidumbres reconocido al TN </w:t>
      </w:r>
      <w:r w:rsidRPr="00321B46">
        <w:rPr>
          <w:i/>
        </w:rPr>
        <w:t>j</w:t>
      </w:r>
      <w:r w:rsidRPr="00321B46">
        <w:t>. Este valor corresponde a la variable con el mismo nombre aprobada a cada TN en aplicación de la metodología establecida en la Resolución CREG 011 de 2009.</w:t>
      </w:r>
    </w:p>
    <w:p w14:paraId="66CFAF6C" w14:textId="77777777" w:rsidR="008F722A" w:rsidRPr="00321B46" w:rsidRDefault="008F722A" w:rsidP="00F30BCA">
      <w:pPr>
        <w:ind w:left="1134" w:hanging="1134"/>
      </w:pPr>
      <w:r w:rsidRPr="00321B46">
        <w:rPr>
          <w:i/>
          <w:iCs/>
        </w:rPr>
        <w:t>IPP</w:t>
      </w:r>
      <w:r w:rsidRPr="00321B46">
        <w:rPr>
          <w:i/>
          <w:iCs/>
          <w:vertAlign w:val="subscript"/>
        </w:rPr>
        <w:t>FC</w:t>
      </w:r>
      <w:r w:rsidRPr="00321B46">
        <w:t>:</w:t>
      </w:r>
      <w:r w:rsidRPr="00321B46">
        <w:tab/>
        <w:t>Índice de precios del productor a la fecha de corte.</w:t>
      </w:r>
    </w:p>
    <w:p w14:paraId="4889A8F6" w14:textId="77777777" w:rsidR="008F722A" w:rsidRPr="00321B46" w:rsidRDefault="008F722A" w:rsidP="00F30BCA">
      <w:pPr>
        <w:ind w:left="1134" w:hanging="1134"/>
      </w:pPr>
      <w:r w:rsidRPr="00321B46">
        <w:rPr>
          <w:i/>
          <w:iCs/>
        </w:rPr>
        <w:t>IPP</w:t>
      </w:r>
      <w:r w:rsidRPr="00321B46">
        <w:rPr>
          <w:i/>
          <w:iCs/>
          <w:vertAlign w:val="subscript"/>
        </w:rPr>
        <w:t>08</w:t>
      </w:r>
      <w:r w:rsidRPr="00321B46">
        <w:t>:</w:t>
      </w:r>
      <w:r w:rsidRPr="00321B46">
        <w:tab/>
        <w:t>Índice de precios del productor a diciembre de 2008.</w:t>
      </w:r>
    </w:p>
    <w:p w14:paraId="780C6285" w14:textId="004F5410" w:rsidR="00E43449" w:rsidRPr="00321B46" w:rsidRDefault="00E43449" w:rsidP="00BF7220">
      <w:pPr>
        <w:pStyle w:val="Ttulo2"/>
      </w:pPr>
      <w:bookmarkStart w:id="57" w:name="_Toc466392622"/>
      <w:r w:rsidRPr="00321B46">
        <w:t>Base regulatoria de activos</w:t>
      </w:r>
      <w:bookmarkEnd w:id="57"/>
    </w:p>
    <w:p w14:paraId="0E2C7F9B" w14:textId="77777777" w:rsidR="00E43449" w:rsidRPr="00321B46" w:rsidRDefault="00E43449" w:rsidP="00F30BCA">
      <w:r w:rsidRPr="00321B46">
        <w:t>La base regulatoria de activos de los TN se determina con base en la siguiente expresión:</w:t>
      </w:r>
    </w:p>
    <w:p w14:paraId="5C281760" w14:textId="77777777" w:rsidR="00E43449" w:rsidRPr="00321B46" w:rsidRDefault="00651802" w:rsidP="00F30BCA">
      <m:oMathPara>
        <m:oMath>
          <m:sSub>
            <m:sSubPr>
              <m:ctrlPr>
                <w:rPr>
                  <w:rFonts w:ascii="Cambria Math" w:hAnsi="Cambria Math"/>
                  <w:i/>
                </w:rPr>
              </m:ctrlPr>
            </m:sSubPr>
            <m:e>
              <m:r>
                <w:rPr>
                  <w:rFonts w:ascii="Cambria Math" w:hAnsi="Cambria Math"/>
                </w:rPr>
                <m:t>BRA</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BRAE</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BRANE</m:t>
              </m:r>
            </m:e>
            <m:sub>
              <m:r>
                <w:rPr>
                  <w:rFonts w:ascii="Cambria Math" w:hAnsi="Cambria Math"/>
                </w:rPr>
                <m:t>j,t</m:t>
              </m:r>
            </m:sub>
          </m:sSub>
        </m:oMath>
      </m:oMathPara>
    </w:p>
    <w:p w14:paraId="0915B550" w14:textId="77777777" w:rsidR="00E43449" w:rsidRPr="00321B46" w:rsidRDefault="00E43449" w:rsidP="00F30BCA">
      <w:pPr>
        <w:ind w:left="1410" w:hanging="1410"/>
        <w:rPr>
          <w:iCs/>
        </w:rPr>
      </w:pPr>
      <w:r w:rsidRPr="00321B46">
        <w:rPr>
          <w:iCs/>
        </w:rPr>
        <w:t>Donde:</w:t>
      </w:r>
    </w:p>
    <w:p w14:paraId="20D98612" w14:textId="77777777" w:rsidR="00E43449" w:rsidRPr="00321B46" w:rsidRDefault="00E43449" w:rsidP="00F30BCA">
      <w:pPr>
        <w:ind w:left="1410" w:hanging="1410"/>
      </w:pPr>
      <w:r w:rsidRPr="00321B46">
        <w:rPr>
          <w:i/>
          <w:iCs/>
        </w:rPr>
        <w:t>BRA</w:t>
      </w:r>
      <w:r w:rsidRPr="00321B46">
        <w:rPr>
          <w:i/>
          <w:iCs/>
          <w:vertAlign w:val="subscript"/>
        </w:rPr>
        <w:t>j,t</w:t>
      </w:r>
      <w:r w:rsidRPr="00321B46">
        <w:t>:</w:t>
      </w:r>
      <w:r w:rsidRPr="00321B46">
        <w:tab/>
        <w:t xml:space="preserve">Base regulatoria de activos </w:t>
      </w:r>
      <w:r w:rsidRPr="00321B46">
        <w:rPr>
          <w:iCs/>
        </w:rPr>
        <w:t>del</w:t>
      </w:r>
      <w:r w:rsidRPr="00321B46">
        <w:rPr>
          <w:i/>
          <w:iCs/>
        </w:rPr>
        <w:t xml:space="preserve"> TN</w:t>
      </w:r>
      <w:r w:rsidRPr="00321B46">
        <w:t xml:space="preserve"> </w:t>
      </w:r>
      <w:r w:rsidRPr="00321B46">
        <w:rPr>
          <w:i/>
          <w:iCs/>
        </w:rPr>
        <w:t>j</w:t>
      </w:r>
      <w:r w:rsidRPr="00321B46">
        <w:rPr>
          <w:iCs/>
        </w:rPr>
        <w:t>,</w:t>
      </w:r>
      <w:r w:rsidRPr="00321B46">
        <w:t xml:space="preserve"> en el año </w:t>
      </w:r>
      <w:r w:rsidRPr="00321B46">
        <w:rPr>
          <w:i/>
        </w:rPr>
        <w:t>t.</w:t>
      </w:r>
    </w:p>
    <w:p w14:paraId="53F9295E" w14:textId="16E56B98" w:rsidR="00E43449" w:rsidRPr="00321B46" w:rsidRDefault="00E43449" w:rsidP="00F30BCA">
      <w:pPr>
        <w:ind w:left="1416" w:hanging="1416"/>
      </w:pPr>
      <w:r w:rsidRPr="00321B46">
        <w:rPr>
          <w:i/>
          <w:iCs/>
        </w:rPr>
        <w:t>BRAE</w:t>
      </w:r>
      <w:r w:rsidRPr="00321B46">
        <w:rPr>
          <w:i/>
          <w:iCs/>
          <w:vertAlign w:val="subscript"/>
        </w:rPr>
        <w:t>j,t</w:t>
      </w:r>
      <w:r w:rsidRPr="00321B46">
        <w:t>:</w:t>
      </w:r>
      <w:r w:rsidRPr="00321B46">
        <w:tab/>
        <w:t xml:space="preserve">Base regulatoria de activos eléctricos </w:t>
      </w:r>
      <w:r w:rsidRPr="00321B46">
        <w:rPr>
          <w:iCs/>
        </w:rPr>
        <w:t>del</w:t>
      </w:r>
      <w:r w:rsidRPr="00321B46">
        <w:rPr>
          <w:i/>
          <w:iCs/>
        </w:rPr>
        <w:t xml:space="preserve"> TN</w:t>
      </w:r>
      <w:r w:rsidRPr="00321B46">
        <w:t xml:space="preserve"> </w:t>
      </w:r>
      <w:r w:rsidRPr="00321B46">
        <w:rPr>
          <w:i/>
          <w:iCs/>
        </w:rPr>
        <w:t>j</w:t>
      </w:r>
      <w:r w:rsidRPr="00321B46">
        <w:rPr>
          <w:iCs/>
        </w:rPr>
        <w:t>,</w:t>
      </w:r>
      <w:r w:rsidRPr="00321B46">
        <w:t xml:space="preserve"> en el año </w:t>
      </w:r>
      <w:r w:rsidRPr="00321B46">
        <w:rPr>
          <w:i/>
        </w:rPr>
        <w:t>t</w:t>
      </w:r>
      <w:r w:rsidRPr="00321B46">
        <w:t xml:space="preserve">, según lo establecido en el numeral </w:t>
      </w:r>
      <w:r w:rsidRPr="00321B46">
        <w:fldChar w:fldCharType="begin"/>
      </w:r>
      <w:r w:rsidRPr="00321B46">
        <w:instrText xml:space="preserve"> REF _Ref398643025 \r \h  \* MERGEFORMAT </w:instrText>
      </w:r>
      <w:r w:rsidRPr="00321B46">
        <w:fldChar w:fldCharType="separate"/>
      </w:r>
      <w:r w:rsidR="000F355F">
        <w:t>2.2.1</w:t>
      </w:r>
      <w:r w:rsidRPr="00321B46">
        <w:fldChar w:fldCharType="end"/>
      </w:r>
      <w:r w:rsidRPr="00321B46">
        <w:t>.</w:t>
      </w:r>
    </w:p>
    <w:p w14:paraId="18B4EA45" w14:textId="7A5D7172" w:rsidR="00E43449" w:rsidRPr="00321B46" w:rsidRDefault="00E43449" w:rsidP="00F30BCA">
      <w:pPr>
        <w:ind w:left="1416" w:hanging="1416"/>
      </w:pPr>
      <w:r w:rsidRPr="00321B46">
        <w:rPr>
          <w:i/>
          <w:iCs/>
        </w:rPr>
        <w:t>BRANE</w:t>
      </w:r>
      <w:r w:rsidRPr="00321B46">
        <w:rPr>
          <w:i/>
          <w:iCs/>
          <w:vertAlign w:val="subscript"/>
        </w:rPr>
        <w:t>j,t</w:t>
      </w:r>
      <w:r w:rsidRPr="00321B46">
        <w:t>:</w:t>
      </w:r>
      <w:r w:rsidRPr="00321B46">
        <w:tab/>
        <w:t xml:space="preserve">Base regulatoria de activos no eléctricos </w:t>
      </w:r>
      <w:r w:rsidRPr="00321B46">
        <w:rPr>
          <w:iCs/>
        </w:rPr>
        <w:t>del</w:t>
      </w:r>
      <w:r w:rsidRPr="00321B46">
        <w:rPr>
          <w:i/>
          <w:iCs/>
        </w:rPr>
        <w:t xml:space="preserve"> TN</w:t>
      </w:r>
      <w:r w:rsidRPr="00321B46">
        <w:t xml:space="preserve"> </w:t>
      </w:r>
      <w:r w:rsidRPr="00321B46">
        <w:rPr>
          <w:i/>
          <w:iCs/>
        </w:rPr>
        <w:t>j</w:t>
      </w:r>
      <w:r w:rsidRPr="00321B46">
        <w:rPr>
          <w:iCs/>
        </w:rPr>
        <w:t>,</w:t>
      </w:r>
      <w:r w:rsidRPr="00321B46">
        <w:t xml:space="preserve"> en el año </w:t>
      </w:r>
      <w:r w:rsidRPr="00321B46">
        <w:rPr>
          <w:i/>
        </w:rPr>
        <w:t>t</w:t>
      </w:r>
      <w:r w:rsidRPr="00321B46">
        <w:t>,</w:t>
      </w:r>
      <w:r w:rsidRPr="00321B46">
        <w:rPr>
          <w:i/>
        </w:rPr>
        <w:t xml:space="preserve"> </w:t>
      </w:r>
      <w:r w:rsidRPr="00321B46">
        <w:t xml:space="preserve">según lo establecido en el numeral </w:t>
      </w:r>
      <w:r w:rsidRPr="00321B46">
        <w:fldChar w:fldCharType="begin"/>
      </w:r>
      <w:r w:rsidRPr="00321B46">
        <w:instrText xml:space="preserve"> REF _Ref408219623 \r \h </w:instrText>
      </w:r>
      <w:r w:rsidR="003276B5" w:rsidRPr="00321B46">
        <w:instrText xml:space="preserve"> \* MERGEFORMAT </w:instrText>
      </w:r>
      <w:r w:rsidRPr="00321B46">
        <w:fldChar w:fldCharType="separate"/>
      </w:r>
      <w:r w:rsidR="000F355F">
        <w:t>2.2.2</w:t>
      </w:r>
      <w:r w:rsidRPr="00321B46">
        <w:fldChar w:fldCharType="end"/>
      </w:r>
      <w:r w:rsidRPr="00321B46">
        <w:t xml:space="preserve">. </w:t>
      </w:r>
    </w:p>
    <w:p w14:paraId="6F8C1ADA" w14:textId="77777777" w:rsidR="00E43449" w:rsidRPr="00321B46" w:rsidRDefault="00E43449" w:rsidP="0004502D">
      <w:pPr>
        <w:pStyle w:val="Ttulo3"/>
        <w:rPr>
          <w:szCs w:val="24"/>
        </w:rPr>
      </w:pPr>
      <w:bookmarkStart w:id="58" w:name="_Ref398643025"/>
      <w:bookmarkStart w:id="59" w:name="_Toc466392623"/>
      <w:r w:rsidRPr="00321B46">
        <w:rPr>
          <w:szCs w:val="24"/>
        </w:rPr>
        <w:t>Base regulatoria de activos eléctricos</w:t>
      </w:r>
      <w:bookmarkEnd w:id="58"/>
      <w:bookmarkEnd w:id="59"/>
    </w:p>
    <w:p w14:paraId="6CEF0977" w14:textId="77777777" w:rsidR="00E43449" w:rsidRPr="00321B46" w:rsidRDefault="00E43449" w:rsidP="00F30BCA">
      <w:r w:rsidRPr="00321B46">
        <w:t>La base regulatoria de activos eléctricos de los TN se determina con base en la siguiente expresión:</w:t>
      </w:r>
    </w:p>
    <w:p w14:paraId="294B0634" w14:textId="77777777" w:rsidR="00E43449" w:rsidRPr="00321B46" w:rsidRDefault="00651802" w:rsidP="00F30BCA">
      <m:oMathPara>
        <m:oMath>
          <m:sSub>
            <m:sSubPr>
              <m:ctrlPr>
                <w:rPr>
                  <w:rFonts w:ascii="Cambria Math" w:hAnsi="Cambria Math"/>
                  <w:i/>
                </w:rPr>
              </m:ctrlPr>
            </m:sSubPr>
            <m:e>
              <m:r>
                <w:rPr>
                  <w:rFonts w:ascii="Cambria Math" w:hAnsi="Cambria Math"/>
                </w:rPr>
                <m:t>BRAE</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BRAE</m:t>
              </m:r>
            </m:e>
            <m:sub>
              <m:r>
                <w:rPr>
                  <w:rFonts w:ascii="Cambria Math" w:hAnsi="Cambria Math"/>
                </w:rPr>
                <m:t>j,t-1</m:t>
              </m:r>
            </m:sub>
          </m:sSub>
          <m:r>
            <w:rPr>
              <w:rFonts w:ascii="Cambria Math" w:hAnsi="Cambria Math"/>
            </w:rPr>
            <m:t>-</m:t>
          </m:r>
          <m:sSub>
            <m:sSubPr>
              <m:ctrlPr>
                <w:rPr>
                  <w:rFonts w:ascii="Cambria Math" w:hAnsi="Cambria Math"/>
                  <w:i/>
                </w:rPr>
              </m:ctrlPr>
            </m:sSubPr>
            <m:e>
              <m:r>
                <w:rPr>
                  <w:rFonts w:ascii="Cambria Math" w:hAnsi="Cambria Math"/>
                </w:rPr>
                <m:t>RC</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BRAEN</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BRAFO</m:t>
              </m:r>
            </m:e>
            <m:sub>
              <m:r>
                <w:rPr>
                  <w:rFonts w:ascii="Cambria Math" w:hAnsi="Cambria Math"/>
                </w:rPr>
                <m:t>j,t</m:t>
              </m:r>
            </m:sub>
          </m:sSub>
        </m:oMath>
      </m:oMathPara>
    </w:p>
    <w:p w14:paraId="3E39C8FD" w14:textId="77777777" w:rsidR="00E43449" w:rsidRPr="00321B46" w:rsidRDefault="00E43449" w:rsidP="00F30BCA">
      <w:pPr>
        <w:ind w:left="1410" w:hanging="1410"/>
        <w:rPr>
          <w:iCs/>
        </w:rPr>
      </w:pPr>
      <w:r w:rsidRPr="00321B46">
        <w:rPr>
          <w:iCs/>
        </w:rPr>
        <w:t>Donde:</w:t>
      </w:r>
    </w:p>
    <w:p w14:paraId="49E0726B" w14:textId="77777777" w:rsidR="00E43449" w:rsidRPr="00321B46" w:rsidRDefault="00E43449" w:rsidP="00F30BCA">
      <w:pPr>
        <w:ind w:left="1416" w:hanging="1416"/>
        <w:rPr>
          <w:i/>
          <w:iCs/>
        </w:rPr>
      </w:pPr>
      <w:r w:rsidRPr="00321B46">
        <w:rPr>
          <w:i/>
          <w:iCs/>
        </w:rPr>
        <w:t>BRAE</w:t>
      </w:r>
      <w:r w:rsidRPr="00321B46">
        <w:rPr>
          <w:i/>
          <w:iCs/>
          <w:vertAlign w:val="subscript"/>
        </w:rPr>
        <w:t>j,t</w:t>
      </w:r>
      <w:r w:rsidRPr="00321B46">
        <w:t>:</w:t>
      </w:r>
      <w:r w:rsidRPr="00321B46">
        <w:tab/>
        <w:t xml:space="preserve">Base regulatoria de activos eléctricos </w:t>
      </w:r>
      <w:r w:rsidRPr="00321B46">
        <w:rPr>
          <w:iCs/>
        </w:rPr>
        <w:t>del</w:t>
      </w:r>
      <w:r w:rsidRPr="00321B46">
        <w:rPr>
          <w:i/>
          <w:iCs/>
        </w:rPr>
        <w:t xml:space="preserve"> TN</w:t>
      </w:r>
      <w:r w:rsidRPr="00321B46">
        <w:t xml:space="preserve"> </w:t>
      </w:r>
      <w:r w:rsidRPr="00321B46">
        <w:rPr>
          <w:i/>
          <w:iCs/>
        </w:rPr>
        <w:t>j</w:t>
      </w:r>
      <w:r w:rsidRPr="00321B46">
        <w:rPr>
          <w:iCs/>
        </w:rPr>
        <w:t>,</w:t>
      </w:r>
      <w:r w:rsidRPr="00321B46">
        <w:t xml:space="preserve"> en el año </w:t>
      </w:r>
      <w:r w:rsidRPr="00321B46">
        <w:rPr>
          <w:i/>
        </w:rPr>
        <w:t>t</w:t>
      </w:r>
      <w:r w:rsidRPr="00321B46">
        <w:t>.</w:t>
      </w:r>
    </w:p>
    <w:p w14:paraId="42924AE9" w14:textId="6DD60A56" w:rsidR="00E43449" w:rsidRPr="00321B46" w:rsidRDefault="00E43449" w:rsidP="00F30BCA">
      <w:pPr>
        <w:ind w:left="1416" w:hanging="1416"/>
        <w:rPr>
          <w:i/>
          <w:iCs/>
        </w:rPr>
      </w:pPr>
      <w:r w:rsidRPr="00321B46">
        <w:rPr>
          <w:i/>
          <w:iCs/>
        </w:rPr>
        <w:t>RC</w:t>
      </w:r>
      <w:r w:rsidRPr="00321B46">
        <w:rPr>
          <w:i/>
          <w:iCs/>
          <w:vertAlign w:val="subscript"/>
        </w:rPr>
        <w:t>j,t</w:t>
      </w:r>
      <w:r w:rsidRPr="00321B46">
        <w:t>:</w:t>
      </w:r>
      <w:r w:rsidRPr="00321B46">
        <w:tab/>
        <w:t xml:space="preserve">Recuperación reconocida de capital para los activos remunerados en la base regulatoria </w:t>
      </w:r>
      <w:r w:rsidRPr="00321B46">
        <w:rPr>
          <w:iCs/>
        </w:rPr>
        <w:t>del</w:t>
      </w:r>
      <w:r w:rsidRPr="00321B46">
        <w:rPr>
          <w:i/>
          <w:iCs/>
        </w:rPr>
        <w:t xml:space="preserve"> TN</w:t>
      </w:r>
      <w:r w:rsidRPr="00321B46">
        <w:t xml:space="preserve"> </w:t>
      </w:r>
      <w:r w:rsidRPr="00321B46">
        <w:rPr>
          <w:i/>
          <w:iCs/>
        </w:rPr>
        <w:t>j</w:t>
      </w:r>
      <w:r w:rsidRPr="00321B46">
        <w:rPr>
          <w:iCs/>
        </w:rPr>
        <w:t>,</w:t>
      </w:r>
      <w:r w:rsidRPr="00321B46">
        <w:t xml:space="preserve"> en el año </w:t>
      </w:r>
      <w:r w:rsidRPr="00321B46">
        <w:rPr>
          <w:i/>
        </w:rPr>
        <w:t>t</w:t>
      </w:r>
      <w:r w:rsidRPr="00321B46">
        <w:t xml:space="preserve">, según lo establecido en el numeral </w:t>
      </w:r>
      <w:r w:rsidR="00E041CD" w:rsidRPr="00321B46">
        <w:fldChar w:fldCharType="begin"/>
      </w:r>
      <w:r w:rsidR="00E041CD" w:rsidRPr="00321B46">
        <w:instrText xml:space="preserve"> REF _Ref445386575 \r \h </w:instrText>
      </w:r>
      <w:r w:rsidR="003276B5" w:rsidRPr="00321B46">
        <w:instrText xml:space="preserve"> \* MERGEFORMAT </w:instrText>
      </w:r>
      <w:r w:rsidR="00E041CD" w:rsidRPr="00321B46">
        <w:fldChar w:fldCharType="separate"/>
      </w:r>
      <w:r w:rsidR="000F355F">
        <w:t>2.3</w:t>
      </w:r>
      <w:r w:rsidR="00E041CD" w:rsidRPr="00321B46">
        <w:fldChar w:fldCharType="end"/>
      </w:r>
      <w:r w:rsidRPr="00321B46">
        <w:t>.</w:t>
      </w:r>
    </w:p>
    <w:p w14:paraId="0150B6E6" w14:textId="4757830C" w:rsidR="00E43449" w:rsidRPr="00321B46" w:rsidRDefault="00E43449" w:rsidP="00F30BCA">
      <w:pPr>
        <w:ind w:left="1416" w:hanging="1416"/>
      </w:pPr>
      <w:r w:rsidRPr="00321B46">
        <w:rPr>
          <w:i/>
          <w:iCs/>
        </w:rPr>
        <w:t>BRAEN</w:t>
      </w:r>
      <w:r w:rsidRPr="00321B46">
        <w:rPr>
          <w:i/>
          <w:iCs/>
          <w:vertAlign w:val="subscript"/>
        </w:rPr>
        <w:t>j,t</w:t>
      </w:r>
      <w:r w:rsidRPr="00321B46">
        <w:t>:</w:t>
      </w:r>
      <w:r w:rsidRPr="00321B46">
        <w:tab/>
        <w:t xml:space="preserve">Base regulatoria de activos eléctricos nuevos </w:t>
      </w:r>
      <w:r w:rsidRPr="00321B46">
        <w:rPr>
          <w:iCs/>
        </w:rPr>
        <w:t>del</w:t>
      </w:r>
      <w:r w:rsidRPr="00321B46">
        <w:rPr>
          <w:i/>
          <w:iCs/>
        </w:rPr>
        <w:t xml:space="preserve"> TN</w:t>
      </w:r>
      <w:r w:rsidRPr="00321B46">
        <w:t xml:space="preserve"> </w:t>
      </w:r>
      <w:r w:rsidRPr="00321B46">
        <w:rPr>
          <w:i/>
          <w:iCs/>
        </w:rPr>
        <w:t>j</w:t>
      </w:r>
      <w:r w:rsidRPr="00321B46">
        <w:rPr>
          <w:iCs/>
        </w:rPr>
        <w:t>,</w:t>
      </w:r>
      <w:r w:rsidRPr="00321B46">
        <w:t xml:space="preserve"> en el año </w:t>
      </w:r>
      <w:r w:rsidRPr="00321B46">
        <w:rPr>
          <w:i/>
        </w:rPr>
        <w:t>t</w:t>
      </w:r>
      <w:r w:rsidRPr="00321B46">
        <w:t xml:space="preserve">, según lo establecido en </w:t>
      </w:r>
      <w:r w:rsidR="00E041CD" w:rsidRPr="00321B46">
        <w:t>e</w:t>
      </w:r>
      <w:r w:rsidRPr="00321B46">
        <w:t xml:space="preserve">l numeral </w:t>
      </w:r>
      <w:r w:rsidRPr="00321B46">
        <w:fldChar w:fldCharType="begin"/>
      </w:r>
      <w:r w:rsidRPr="00321B46">
        <w:instrText xml:space="preserve"> REF _Ref404004686 \r \h  \* MERGEFORMAT </w:instrText>
      </w:r>
      <w:r w:rsidRPr="00321B46">
        <w:fldChar w:fldCharType="separate"/>
      </w:r>
      <w:r w:rsidR="000F355F">
        <w:t>2.2.1.5</w:t>
      </w:r>
      <w:r w:rsidRPr="00321B46">
        <w:fldChar w:fldCharType="end"/>
      </w:r>
      <w:r w:rsidRPr="00321B46">
        <w:t xml:space="preserve">. </w:t>
      </w:r>
    </w:p>
    <w:p w14:paraId="10853866" w14:textId="034B3C4E" w:rsidR="00E43449" w:rsidRPr="00321B46" w:rsidRDefault="00E43449" w:rsidP="00F30BCA">
      <w:pPr>
        <w:ind w:left="1410" w:hanging="1410"/>
      </w:pPr>
      <w:r w:rsidRPr="00321B46">
        <w:rPr>
          <w:i/>
          <w:iCs/>
        </w:rPr>
        <w:t>BRAFO</w:t>
      </w:r>
      <w:r w:rsidRPr="00321B46">
        <w:rPr>
          <w:i/>
          <w:iCs/>
          <w:vertAlign w:val="subscript"/>
        </w:rPr>
        <w:t>j,t</w:t>
      </w:r>
      <w:r w:rsidRPr="00321B46">
        <w:t>:</w:t>
      </w:r>
      <w:r w:rsidRPr="00321B46">
        <w:tab/>
        <w:t xml:space="preserve">Base regulatoria de activos eléctricos fuera de operación </w:t>
      </w:r>
      <w:r w:rsidRPr="00321B46">
        <w:rPr>
          <w:iCs/>
        </w:rPr>
        <w:t>del</w:t>
      </w:r>
      <w:r w:rsidRPr="00321B46">
        <w:rPr>
          <w:i/>
          <w:iCs/>
        </w:rPr>
        <w:t xml:space="preserve"> TN</w:t>
      </w:r>
      <w:r w:rsidRPr="00321B46">
        <w:t xml:space="preserve"> </w:t>
      </w:r>
      <w:r w:rsidRPr="00321B46">
        <w:rPr>
          <w:i/>
          <w:iCs/>
        </w:rPr>
        <w:t>j</w:t>
      </w:r>
      <w:r w:rsidRPr="00321B46">
        <w:rPr>
          <w:iCs/>
        </w:rPr>
        <w:t>,</w:t>
      </w:r>
      <w:r w:rsidRPr="00321B46">
        <w:t xml:space="preserve"> en el año </w:t>
      </w:r>
      <w:r w:rsidRPr="00321B46">
        <w:rPr>
          <w:i/>
        </w:rPr>
        <w:t>t</w:t>
      </w:r>
      <w:r w:rsidRPr="00321B46">
        <w:t xml:space="preserve">, según lo establecido en el numeral </w:t>
      </w:r>
      <w:r w:rsidRPr="00321B46">
        <w:fldChar w:fldCharType="begin"/>
      </w:r>
      <w:r w:rsidRPr="00321B46">
        <w:instrText xml:space="preserve"> REF _Ref404004716 \r \h  \* MERGEFORMAT </w:instrText>
      </w:r>
      <w:r w:rsidRPr="00321B46">
        <w:fldChar w:fldCharType="separate"/>
      </w:r>
      <w:r w:rsidR="000F355F">
        <w:t>2.2.1.9</w:t>
      </w:r>
      <w:r w:rsidRPr="00321B46">
        <w:fldChar w:fldCharType="end"/>
      </w:r>
      <w:r w:rsidRPr="00321B46">
        <w:t>.</w:t>
      </w:r>
    </w:p>
    <w:p w14:paraId="61D1664A" w14:textId="7C7484FC" w:rsidR="00E43449" w:rsidRPr="00321B46" w:rsidRDefault="00E43449" w:rsidP="00F30BCA">
      <w:r w:rsidRPr="00321B46">
        <w:t xml:space="preserve">Para el primer año del periodo tarifario, la variable </w:t>
      </w:r>
      <w:r w:rsidRPr="00321B46">
        <w:rPr>
          <w:i/>
        </w:rPr>
        <w:t>BRAE</w:t>
      </w:r>
      <w:r w:rsidRPr="00321B46">
        <w:rPr>
          <w:i/>
          <w:vertAlign w:val="subscript"/>
        </w:rPr>
        <w:t>j,t</w:t>
      </w:r>
      <w:r w:rsidRPr="00321B46">
        <w:rPr>
          <w:i/>
          <w:vertAlign w:val="subscript"/>
        </w:rPr>
        <w:noBreakHyphen/>
        <w:t>1</w:t>
      </w:r>
      <w:r w:rsidRPr="00321B46">
        <w:t xml:space="preserve"> se calcula de acuerdo con lo establecido en </w:t>
      </w:r>
      <w:r w:rsidR="00600834" w:rsidRPr="00321B46">
        <w:t xml:space="preserve">el </w:t>
      </w:r>
      <w:r w:rsidRPr="00321B46">
        <w:t xml:space="preserve">numeral </w:t>
      </w:r>
      <w:r w:rsidRPr="00321B46">
        <w:fldChar w:fldCharType="begin"/>
      </w:r>
      <w:r w:rsidRPr="00321B46">
        <w:instrText xml:space="preserve"> REF _Ref398643041 \r \h  \* MERGEFORMAT </w:instrText>
      </w:r>
      <w:r w:rsidRPr="00321B46">
        <w:fldChar w:fldCharType="separate"/>
      </w:r>
      <w:r w:rsidR="000F355F">
        <w:t>2.2.1.1</w:t>
      </w:r>
      <w:r w:rsidRPr="00321B46">
        <w:fldChar w:fldCharType="end"/>
      </w:r>
      <w:r w:rsidRPr="00321B46">
        <w:t>.</w:t>
      </w:r>
    </w:p>
    <w:p w14:paraId="394E03EE" w14:textId="77777777" w:rsidR="00E43449" w:rsidRPr="00321B46" w:rsidRDefault="00E43449" w:rsidP="0004502D">
      <w:pPr>
        <w:pStyle w:val="Ttulo4"/>
        <w:ind w:left="1416" w:hanging="1416"/>
        <w:rPr>
          <w:szCs w:val="24"/>
        </w:rPr>
      </w:pPr>
      <w:bookmarkStart w:id="60" w:name="_Ref398643041"/>
      <w:bookmarkStart w:id="61" w:name="_Ref465904209"/>
      <w:r w:rsidRPr="00321B46">
        <w:rPr>
          <w:szCs w:val="24"/>
        </w:rPr>
        <w:t xml:space="preserve">Base regulatoria de activos eléctricos </w:t>
      </w:r>
      <w:bookmarkEnd w:id="60"/>
      <w:r w:rsidRPr="00321B46">
        <w:rPr>
          <w:szCs w:val="24"/>
        </w:rPr>
        <w:t>al inicio del periodo tarifario</w:t>
      </w:r>
      <w:bookmarkEnd w:id="61"/>
    </w:p>
    <w:p w14:paraId="00F997EF" w14:textId="77777777" w:rsidR="0047752D" w:rsidRPr="00321B46" w:rsidRDefault="0047752D" w:rsidP="00F30BCA">
      <w:pPr>
        <w:rPr>
          <w:lang w:val="es-ES_tradnl"/>
        </w:rPr>
      </w:pPr>
      <w:r w:rsidRPr="00321B46">
        <w:rPr>
          <w:lang w:val="es-ES_tradnl"/>
        </w:rPr>
        <w:t xml:space="preserve">La base regulatoria de activos eléctricos al inicio del periodo tarifario, </w:t>
      </w:r>
      <w:r w:rsidRPr="00321B46">
        <w:rPr>
          <w:i/>
          <w:lang w:val="es-ES_tradnl"/>
        </w:rPr>
        <w:t>t-1 = 0</w:t>
      </w:r>
      <w:r w:rsidRPr="00321B46">
        <w:rPr>
          <w:lang w:val="es-ES_tradnl"/>
        </w:rPr>
        <w:t>, se determina de la siguiente forma:</w:t>
      </w:r>
    </w:p>
    <w:p w14:paraId="02465078" w14:textId="170BF253" w:rsidR="0047752D" w:rsidRPr="00321B46" w:rsidRDefault="00651802" w:rsidP="00F30BCA">
      <m:oMathPara>
        <m:oMath>
          <m:sSub>
            <m:sSubPr>
              <m:ctrlPr>
                <w:rPr>
                  <w:rFonts w:ascii="Cambria Math" w:hAnsi="Cambria Math"/>
                  <w:i/>
                </w:rPr>
              </m:ctrlPr>
            </m:sSubPr>
            <m:e>
              <m:r>
                <w:rPr>
                  <w:rFonts w:ascii="Cambria Math" w:hAnsi="Cambria Math"/>
                </w:rPr>
                <m:t>BRAE</m:t>
              </m:r>
            </m:e>
            <m:sub>
              <m:r>
                <w:rPr>
                  <w:rFonts w:ascii="Cambria Math" w:hAnsi="Cambria Math"/>
                </w:rPr>
                <m:t>j</m:t>
              </m:r>
              <m:r>
                <w:rPr>
                  <w:rFonts w:ascii="Cambria Math"/>
                </w:rPr>
                <m:t>,0</m:t>
              </m:r>
            </m:sub>
          </m:sSub>
          <m:r>
            <w:rPr>
              <w:rFonts w:ascii="Cambria Math"/>
            </w:rPr>
            <m:t>=</m:t>
          </m:r>
          <m:nary>
            <m:naryPr>
              <m:chr m:val="∑"/>
              <m:limLoc m:val="undOvr"/>
              <m:ctrlPr>
                <w:rPr>
                  <w:rFonts w:ascii="Cambria Math" w:hAnsi="Cambria Math"/>
                  <w:i/>
                </w:rPr>
              </m:ctrlPr>
            </m:naryPr>
            <m:sub>
              <m:r>
                <w:rPr>
                  <w:rFonts w:ascii="Cambria Math" w:hAnsi="Cambria Math"/>
                </w:rPr>
                <m:t>k=1</m:t>
              </m:r>
            </m:sub>
            <m:sup>
              <m:sSub>
                <m:sSubPr>
                  <m:ctrlPr>
                    <w:rPr>
                      <w:rFonts w:ascii="Cambria Math" w:hAnsi="Cambria Math"/>
                      <w:i/>
                    </w:rPr>
                  </m:ctrlPr>
                </m:sSubPr>
                <m:e>
                  <m:r>
                    <w:rPr>
                      <w:rFonts w:ascii="Cambria Math" w:hAnsi="Cambria Math"/>
                    </w:rPr>
                    <m:t>K</m:t>
                  </m:r>
                </m:e>
                <m:sub/>
              </m:sSub>
            </m:sup>
            <m:e>
              <m:nary>
                <m:naryPr>
                  <m:chr m:val="∑"/>
                  <m:limLoc m:val="undOvr"/>
                  <m:ctrlPr>
                    <w:rPr>
                      <w:rFonts w:ascii="Cambria Math" w:hAnsi="Cambria Math"/>
                      <w:i/>
                    </w:rPr>
                  </m:ctrlPr>
                </m:naryPr>
                <m:sub>
                  <m:r>
                    <w:rPr>
                      <w:rFonts w:ascii="Cambria Math" w:hAnsi="Cambria Math"/>
                    </w:rPr>
                    <m:t>l=1</m:t>
                  </m:r>
                </m:sub>
                <m:sup>
                  <m:sSub>
                    <m:sSubPr>
                      <m:ctrlPr>
                        <w:rPr>
                          <w:rFonts w:ascii="Cambria Math" w:hAnsi="Cambria Math"/>
                          <w:i/>
                        </w:rPr>
                      </m:ctrlPr>
                    </m:sSubPr>
                    <m:e>
                      <m:r>
                        <w:rPr>
                          <w:rFonts w:ascii="Cambria Math" w:hAnsi="Cambria Math"/>
                        </w:rPr>
                        <m:t>L</m:t>
                      </m:r>
                    </m:e>
                    <m:sub/>
                  </m:sSub>
                </m:sup>
                <m:e>
                  <m:d>
                    <m:dPr>
                      <m:ctrlPr>
                        <w:rPr>
                          <w:rFonts w:ascii="Cambria Math" w:hAnsi="Cambria Math"/>
                          <w:i/>
                        </w:rPr>
                      </m:ctrlPr>
                    </m:dPr>
                    <m:e>
                      <m:sSub>
                        <m:sSubPr>
                          <m:ctrlPr>
                            <w:rPr>
                              <w:rFonts w:ascii="Cambria Math" w:hAnsi="Cambria Math"/>
                              <w:i/>
                            </w:rPr>
                          </m:ctrlPr>
                        </m:sSubPr>
                        <m:e>
                          <m:r>
                            <w:rPr>
                              <w:rFonts w:ascii="Cambria Math" w:hAnsi="Cambria Math"/>
                            </w:rPr>
                            <m:t>CRE</m:t>
                          </m:r>
                        </m:e>
                        <m:sub>
                          <m:r>
                            <w:rPr>
                              <w:rFonts w:ascii="Cambria Math" w:hAnsi="Cambria Math"/>
                            </w:rPr>
                            <m:t>j,k,l</m:t>
                          </m:r>
                        </m:sub>
                      </m:sSub>
                      <m:sSub>
                        <m:sSubPr>
                          <m:ctrlPr>
                            <w:rPr>
                              <w:rFonts w:ascii="Cambria Math" w:hAnsi="Cambria Math"/>
                              <w:i/>
                            </w:rPr>
                          </m:ctrlPr>
                        </m:sSubPr>
                        <m:e>
                          <m:r>
                            <w:rPr>
                              <w:rFonts w:ascii="Cambria Math" w:hAnsi="Cambria Math"/>
                            </w:rPr>
                            <m:t>*CRA</m:t>
                          </m:r>
                        </m:e>
                        <m:sub>
                          <m:r>
                            <w:rPr>
                              <w:rFonts w:ascii="Cambria Math" w:hAnsi="Cambria Math"/>
                            </w:rPr>
                            <m:t>l</m:t>
                          </m:r>
                          <m:r>
                            <w:rPr>
                              <w:rFonts w:ascii="Cambria Math"/>
                            </w:rPr>
                            <m:t>,vu</m:t>
                          </m:r>
                        </m:sub>
                      </m:sSub>
                    </m:e>
                  </m:d>
                </m:e>
              </m:nary>
            </m:e>
          </m:nary>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IPP</m:t>
                  </m:r>
                </m:e>
                <m:sub>
                  <m:r>
                    <w:rPr>
                      <w:rFonts w:ascii="Cambria Math" w:hAnsi="Cambria Math"/>
                    </w:rPr>
                    <m:t>FC</m:t>
                  </m:r>
                </m:sub>
              </m:sSub>
            </m:num>
            <m:den>
              <m:sSub>
                <m:sSubPr>
                  <m:ctrlPr>
                    <w:rPr>
                      <w:rFonts w:ascii="Cambria Math" w:hAnsi="Cambria Math"/>
                      <w:i/>
                    </w:rPr>
                  </m:ctrlPr>
                </m:sSubPr>
                <m:e>
                  <m:r>
                    <w:rPr>
                      <w:rFonts w:ascii="Cambria Math" w:hAnsi="Cambria Math"/>
                    </w:rPr>
                    <m:t>IPP</m:t>
                  </m:r>
                </m:e>
                <m:sub>
                  <m:r>
                    <w:rPr>
                      <w:rFonts w:ascii="Cambria Math"/>
                    </w:rPr>
                    <m:t>08</m:t>
                  </m:r>
                </m:sub>
              </m:sSub>
            </m:den>
          </m:f>
        </m:oMath>
      </m:oMathPara>
    </w:p>
    <w:p w14:paraId="5E89B840" w14:textId="77777777" w:rsidR="0047752D" w:rsidRPr="00321B46" w:rsidRDefault="0047752D" w:rsidP="00F30BCA">
      <w:pPr>
        <w:ind w:left="1410" w:hanging="1410"/>
        <w:rPr>
          <w:iCs/>
        </w:rPr>
      </w:pPr>
      <w:r w:rsidRPr="00321B46">
        <w:rPr>
          <w:iCs/>
        </w:rPr>
        <w:t>Donde:</w:t>
      </w:r>
    </w:p>
    <w:p w14:paraId="646E5E7A" w14:textId="77777777" w:rsidR="0047752D" w:rsidRPr="00321B46" w:rsidRDefault="0047752D" w:rsidP="00F30BCA">
      <w:pPr>
        <w:ind w:left="1416" w:hanging="1416"/>
      </w:pPr>
      <w:r w:rsidRPr="00321B46">
        <w:rPr>
          <w:i/>
          <w:iCs/>
        </w:rPr>
        <w:t>BRAE</w:t>
      </w:r>
      <w:r w:rsidRPr="00321B46">
        <w:rPr>
          <w:i/>
          <w:iCs/>
          <w:vertAlign w:val="subscript"/>
        </w:rPr>
        <w:t>j,0</w:t>
      </w:r>
      <w:r w:rsidRPr="00321B46">
        <w:t>:</w:t>
      </w:r>
      <w:r w:rsidRPr="00321B46">
        <w:tab/>
        <w:t xml:space="preserve">Base regulatoria de activos eléctricos del TN </w:t>
      </w:r>
      <w:r w:rsidRPr="00321B46">
        <w:rPr>
          <w:i/>
        </w:rPr>
        <w:t>j</w:t>
      </w:r>
      <w:r w:rsidRPr="00321B46">
        <w:t xml:space="preserve"> para el año </w:t>
      </w:r>
      <w:r w:rsidRPr="00321B46">
        <w:rPr>
          <w:i/>
        </w:rPr>
        <w:t>t-1= 0</w:t>
      </w:r>
      <w:r w:rsidRPr="00321B46">
        <w:t>.</w:t>
      </w:r>
    </w:p>
    <w:p w14:paraId="792B5D23" w14:textId="0F1FA86F" w:rsidR="0047752D" w:rsidRPr="00321B46" w:rsidRDefault="0047752D" w:rsidP="00F30BCA">
      <w:pPr>
        <w:spacing w:before="120"/>
        <w:ind w:left="1418" w:hanging="1418"/>
      </w:pPr>
      <w:r w:rsidRPr="00321B46">
        <w:rPr>
          <w:i/>
          <w:iCs/>
        </w:rPr>
        <w:t>CRE</w:t>
      </w:r>
      <w:r w:rsidRPr="00321B46">
        <w:rPr>
          <w:i/>
          <w:iCs/>
          <w:vertAlign w:val="subscript"/>
        </w:rPr>
        <w:t>j,k,l</w:t>
      </w:r>
      <w:r w:rsidRPr="00321B46">
        <w:t>:</w:t>
      </w:r>
      <w:r w:rsidRPr="00321B46">
        <w:tab/>
        <w:t>Costo de reposición de la inversión, aprobado al TN </w:t>
      </w:r>
      <w:r w:rsidRPr="00321B46">
        <w:rPr>
          <w:i/>
        </w:rPr>
        <w:t>j</w:t>
      </w:r>
      <w:r w:rsidRPr="00321B46">
        <w:t xml:space="preserve"> en aplicación de la metodología de la Resolución CREG 011 de 20</w:t>
      </w:r>
      <w:r w:rsidR="00325FF5" w:rsidRPr="00321B46">
        <w:t>09</w:t>
      </w:r>
      <w:r w:rsidRPr="00321B46">
        <w:t xml:space="preserve">, para el rango de activos </w:t>
      </w:r>
      <w:r w:rsidR="00143803" w:rsidRPr="00321B46">
        <w:rPr>
          <w:i/>
        </w:rPr>
        <w:t>l</w:t>
      </w:r>
      <w:r w:rsidR="00143803" w:rsidRPr="00321B46">
        <w:t xml:space="preserve"> </w:t>
      </w:r>
      <w:r w:rsidRPr="00321B46">
        <w:t xml:space="preserve">y la categoría de activos </w:t>
      </w:r>
      <w:r w:rsidR="00143803" w:rsidRPr="00321B46">
        <w:rPr>
          <w:i/>
        </w:rPr>
        <w:t>k</w:t>
      </w:r>
      <w:r w:rsidRPr="00321B46">
        <w:t xml:space="preserve">, de acuerdo con lo establecido en el numeral </w:t>
      </w:r>
      <w:r w:rsidR="00581248" w:rsidRPr="00321B46">
        <w:fldChar w:fldCharType="begin"/>
      </w:r>
      <w:r w:rsidR="00581248" w:rsidRPr="00321B46">
        <w:instrText xml:space="preserve"> REF _Ref465925850 \r \h </w:instrText>
      </w:r>
      <w:r w:rsidR="00321B46">
        <w:instrText xml:space="preserve"> \* MERGEFORMAT </w:instrText>
      </w:r>
      <w:r w:rsidR="00581248" w:rsidRPr="00321B46">
        <w:fldChar w:fldCharType="separate"/>
      </w:r>
      <w:r w:rsidR="000F355F">
        <w:t>2.2.1.3</w:t>
      </w:r>
      <w:r w:rsidR="00581248" w:rsidRPr="00321B46">
        <w:fldChar w:fldCharType="end"/>
      </w:r>
      <w:r w:rsidRPr="00321B46">
        <w:t>.</w:t>
      </w:r>
    </w:p>
    <w:p w14:paraId="0FA0FA5C" w14:textId="5BEA9A2A" w:rsidR="0047752D" w:rsidRPr="00321B46" w:rsidRDefault="00143803" w:rsidP="00F30BCA">
      <w:pPr>
        <w:tabs>
          <w:tab w:val="left" w:pos="1418"/>
        </w:tabs>
        <w:spacing w:before="120"/>
        <w:ind w:left="1418" w:hanging="1418"/>
      </w:pPr>
      <w:r w:rsidRPr="00321B46">
        <w:rPr>
          <w:i/>
          <w:iCs/>
        </w:rPr>
        <w:t>CRA</w:t>
      </w:r>
      <w:r w:rsidRPr="00321B46">
        <w:rPr>
          <w:i/>
          <w:iCs/>
          <w:vertAlign w:val="subscript"/>
        </w:rPr>
        <w:t>l</w:t>
      </w:r>
      <w:r w:rsidR="0047752D" w:rsidRPr="00321B46">
        <w:rPr>
          <w:i/>
          <w:iCs/>
          <w:vertAlign w:val="subscript"/>
        </w:rPr>
        <w:t>,</w:t>
      </w:r>
      <w:r w:rsidRPr="00321B46">
        <w:rPr>
          <w:i/>
          <w:iCs/>
          <w:vertAlign w:val="subscript"/>
        </w:rPr>
        <w:t>vu</w:t>
      </w:r>
      <w:r w:rsidR="0047752D" w:rsidRPr="00321B46">
        <w:rPr>
          <w:i/>
          <w:iCs/>
        </w:rPr>
        <w:t>:</w:t>
      </w:r>
      <w:r w:rsidR="0047752D" w:rsidRPr="00321B46">
        <w:tab/>
        <w:t xml:space="preserve">Capital remanente de los activos del TN </w:t>
      </w:r>
      <w:r w:rsidR="0047752D" w:rsidRPr="00321B46">
        <w:rPr>
          <w:i/>
        </w:rPr>
        <w:t>j,</w:t>
      </w:r>
      <w:r w:rsidR="0047752D" w:rsidRPr="00321B46">
        <w:t xml:space="preserve"> para el rango de activos </w:t>
      </w:r>
      <w:r w:rsidRPr="00321B46">
        <w:rPr>
          <w:i/>
        </w:rPr>
        <w:t xml:space="preserve">l </w:t>
      </w:r>
      <w:r w:rsidRPr="00321B46">
        <w:t xml:space="preserve">con vida útil </w:t>
      </w:r>
      <w:r w:rsidRPr="00321B46">
        <w:rPr>
          <w:i/>
        </w:rPr>
        <w:t>vu</w:t>
      </w:r>
      <w:r w:rsidR="0047752D" w:rsidRPr="00321B46">
        <w:t xml:space="preserve">, de acuerdo con lo establecido en el numeral </w:t>
      </w:r>
      <w:r w:rsidR="005C20F7" w:rsidRPr="00321B46">
        <w:fldChar w:fldCharType="begin"/>
      </w:r>
      <w:r w:rsidR="005C20F7" w:rsidRPr="00321B46">
        <w:instrText xml:space="preserve"> REF _Ref439948508 \r \h </w:instrText>
      </w:r>
      <w:r w:rsidR="003276B5" w:rsidRPr="00321B46">
        <w:instrText xml:space="preserve"> \* MERGEFORMAT </w:instrText>
      </w:r>
      <w:r w:rsidR="005C20F7" w:rsidRPr="00321B46">
        <w:fldChar w:fldCharType="separate"/>
      </w:r>
      <w:r w:rsidR="000F355F">
        <w:t>2.2.1.4</w:t>
      </w:r>
      <w:r w:rsidR="005C20F7" w:rsidRPr="00321B46">
        <w:fldChar w:fldCharType="end"/>
      </w:r>
      <w:r w:rsidR="0047752D" w:rsidRPr="00321B46">
        <w:t>.</w:t>
      </w:r>
    </w:p>
    <w:p w14:paraId="2DB14B9A" w14:textId="77777777" w:rsidR="0047752D" w:rsidRPr="00321B46" w:rsidRDefault="0047752D" w:rsidP="00F30BCA">
      <w:pPr>
        <w:tabs>
          <w:tab w:val="left" w:pos="1418"/>
        </w:tabs>
        <w:spacing w:before="120"/>
        <w:ind w:left="1418" w:hanging="1418"/>
      </w:pPr>
      <w:r w:rsidRPr="00321B46">
        <w:rPr>
          <w:i/>
          <w:iCs/>
        </w:rPr>
        <w:t>K:</w:t>
      </w:r>
      <w:r w:rsidRPr="00321B46">
        <w:t xml:space="preserve"> </w:t>
      </w:r>
      <w:r w:rsidRPr="00321B46">
        <w:tab/>
        <w:t xml:space="preserve">Cantidad de </w:t>
      </w:r>
      <w:r w:rsidR="00143803" w:rsidRPr="00321B46">
        <w:t xml:space="preserve">categorías </w:t>
      </w:r>
      <w:r w:rsidRPr="00321B46">
        <w:t>de activos.</w:t>
      </w:r>
    </w:p>
    <w:p w14:paraId="05AE24EC" w14:textId="77777777" w:rsidR="0047752D" w:rsidRPr="00321B46" w:rsidRDefault="0047752D" w:rsidP="00F30BCA">
      <w:pPr>
        <w:tabs>
          <w:tab w:val="left" w:pos="1418"/>
        </w:tabs>
        <w:spacing w:before="120"/>
        <w:ind w:left="1418" w:hanging="1418"/>
      </w:pPr>
      <w:r w:rsidRPr="00321B46">
        <w:rPr>
          <w:i/>
          <w:iCs/>
        </w:rPr>
        <w:t>L:</w:t>
      </w:r>
      <w:r w:rsidRPr="00321B46">
        <w:t xml:space="preserve"> </w:t>
      </w:r>
      <w:r w:rsidRPr="00321B46">
        <w:tab/>
        <w:t xml:space="preserve">Cantidad de </w:t>
      </w:r>
      <w:r w:rsidR="00143803" w:rsidRPr="00321B46">
        <w:t xml:space="preserve">rangos </w:t>
      </w:r>
      <w:r w:rsidRPr="00321B46">
        <w:t>de activos.</w:t>
      </w:r>
    </w:p>
    <w:p w14:paraId="04CB1A46" w14:textId="77777777" w:rsidR="0047752D" w:rsidRPr="00321B46" w:rsidRDefault="0047752D" w:rsidP="00F30BCA">
      <w:pPr>
        <w:ind w:left="1410" w:hanging="1410"/>
      </w:pPr>
      <w:r w:rsidRPr="00321B46">
        <w:rPr>
          <w:i/>
          <w:iCs/>
        </w:rPr>
        <w:t>IPP</w:t>
      </w:r>
      <w:r w:rsidRPr="00321B46">
        <w:rPr>
          <w:i/>
          <w:iCs/>
          <w:vertAlign w:val="subscript"/>
        </w:rPr>
        <w:t>FC</w:t>
      </w:r>
      <w:r w:rsidRPr="00321B46">
        <w:t>:</w:t>
      </w:r>
      <w:r w:rsidRPr="00321B46">
        <w:tab/>
        <w:t>Índice de precios del productor a la fecha de corte.</w:t>
      </w:r>
    </w:p>
    <w:p w14:paraId="7EBBAD2B" w14:textId="77777777" w:rsidR="0047752D" w:rsidRPr="00321B46" w:rsidRDefault="0047752D" w:rsidP="00F30BCA">
      <w:pPr>
        <w:ind w:left="1410" w:hanging="1410"/>
      </w:pPr>
      <w:r w:rsidRPr="00321B46">
        <w:rPr>
          <w:i/>
          <w:iCs/>
        </w:rPr>
        <w:t>IPP</w:t>
      </w:r>
      <w:r w:rsidRPr="00321B46">
        <w:rPr>
          <w:i/>
          <w:iCs/>
          <w:vertAlign w:val="subscript"/>
        </w:rPr>
        <w:t>08</w:t>
      </w:r>
      <w:r w:rsidRPr="00321B46">
        <w:t>:</w:t>
      </w:r>
      <w:r w:rsidRPr="00321B46">
        <w:tab/>
      </w:r>
      <w:r w:rsidRPr="00321B46">
        <w:tab/>
        <w:t>Índice de precios del productor a diciembre de 2008.</w:t>
      </w:r>
    </w:p>
    <w:p w14:paraId="00EF3E3D" w14:textId="77777777" w:rsidR="00E43449" w:rsidRPr="00321B46" w:rsidRDefault="00C168F6" w:rsidP="0004502D">
      <w:pPr>
        <w:pStyle w:val="Ttulo4"/>
        <w:rPr>
          <w:szCs w:val="24"/>
        </w:rPr>
      </w:pPr>
      <w:bookmarkStart w:id="62" w:name="_Ref403577282"/>
      <w:bookmarkStart w:id="63" w:name="_Ref460697392"/>
      <w:bookmarkStart w:id="64" w:name="_Ref398643701"/>
      <w:r w:rsidRPr="00321B46">
        <w:rPr>
          <w:szCs w:val="24"/>
        </w:rPr>
        <w:t>Clasificación</w:t>
      </w:r>
      <w:r w:rsidR="00E43449" w:rsidRPr="00321B46">
        <w:rPr>
          <w:szCs w:val="24"/>
        </w:rPr>
        <w:t xml:space="preserve"> de activos</w:t>
      </w:r>
      <w:bookmarkEnd w:id="62"/>
      <w:r w:rsidRPr="00321B46">
        <w:rPr>
          <w:szCs w:val="24"/>
        </w:rPr>
        <w:t xml:space="preserve"> en rangos y categorías</w:t>
      </w:r>
      <w:bookmarkEnd w:id="63"/>
    </w:p>
    <w:p w14:paraId="7533681F" w14:textId="63D8E2B3" w:rsidR="00BC6EF0" w:rsidRPr="00321B46" w:rsidRDefault="00BC6EF0" w:rsidP="00F30BCA">
      <w:r w:rsidRPr="00321B46">
        <w:t xml:space="preserve">Para determinar el costo de reposición por </w:t>
      </w:r>
      <w:r w:rsidR="00325FF5" w:rsidRPr="00321B46">
        <w:t xml:space="preserve">grupo de activos, las unidades constructivas aprobadas en aplicación de la Resolución CREG 011 de 2009 se deben clasificar en las categorías establecidas en el capítulo </w:t>
      </w:r>
      <w:r w:rsidR="00172371" w:rsidRPr="00321B46">
        <w:fldChar w:fldCharType="begin"/>
      </w:r>
      <w:r w:rsidR="00172371" w:rsidRPr="00321B46">
        <w:instrText xml:space="preserve"> REF _Ref404776490 \r \h \t</w:instrText>
      </w:r>
      <w:r w:rsidR="003276B5" w:rsidRPr="00321B46">
        <w:instrText xml:space="preserve"> \* MERGEFORMAT </w:instrText>
      </w:r>
      <w:r w:rsidR="00172371" w:rsidRPr="00321B46">
        <w:fldChar w:fldCharType="separate"/>
      </w:r>
      <w:r w:rsidR="000F355F">
        <w:t>7</w:t>
      </w:r>
      <w:r w:rsidR="00172371" w:rsidRPr="00321B46">
        <w:fldChar w:fldCharType="end"/>
      </w:r>
      <w:r w:rsidR="00457F1A" w:rsidRPr="00321B46">
        <w:t xml:space="preserve"> de este anexo</w:t>
      </w:r>
      <w:r w:rsidR="00325FF5" w:rsidRPr="00321B46">
        <w:t xml:space="preserve"> y</w:t>
      </w:r>
      <w:r w:rsidRPr="00321B46">
        <w:t xml:space="preserve"> en los siguientes rangos:</w:t>
      </w:r>
    </w:p>
    <w:p w14:paraId="502E75C8" w14:textId="77777777" w:rsidR="00BC6EF0" w:rsidRPr="00321B46" w:rsidRDefault="00BC6EF0" w:rsidP="00F30BCA">
      <w:pPr>
        <w:pStyle w:val="Descripcin"/>
      </w:pPr>
      <w:bookmarkStart w:id="65" w:name="_Ref445366524"/>
      <w:bookmarkStart w:id="66" w:name="_Ref445370518"/>
      <w:r w:rsidRPr="00321B46">
        <w:t xml:space="preserve">Tabla </w:t>
      </w:r>
      <w:r w:rsidRPr="00321B46">
        <w:fldChar w:fldCharType="begin"/>
      </w:r>
      <w:r w:rsidRPr="00321B46">
        <w:instrText xml:space="preserve"> SEQ Tabla \* ARABIC </w:instrText>
      </w:r>
      <w:r w:rsidRPr="00321B46">
        <w:fldChar w:fldCharType="separate"/>
      </w:r>
      <w:r w:rsidR="000F355F">
        <w:rPr>
          <w:noProof/>
        </w:rPr>
        <w:t>1</w:t>
      </w:r>
      <w:r w:rsidRPr="00321B46">
        <w:fldChar w:fldCharType="end"/>
      </w:r>
      <w:bookmarkEnd w:id="65"/>
      <w:r w:rsidRPr="00321B46">
        <w:t xml:space="preserve"> Rangos de activos</w:t>
      </w:r>
      <w:bookmarkEnd w:id="66"/>
    </w:p>
    <w:tbl>
      <w:tblPr>
        <w:tblW w:w="7831" w:type="dxa"/>
        <w:jc w:val="center"/>
        <w:tblCellMar>
          <w:left w:w="70" w:type="dxa"/>
          <w:right w:w="70" w:type="dxa"/>
        </w:tblCellMar>
        <w:tblLook w:val="04A0" w:firstRow="1" w:lastRow="0" w:firstColumn="1" w:lastColumn="0" w:noHBand="0" w:noVBand="1"/>
      </w:tblPr>
      <w:tblGrid>
        <w:gridCol w:w="1273"/>
        <w:gridCol w:w="4635"/>
        <w:gridCol w:w="1923"/>
      </w:tblGrid>
      <w:tr w:rsidR="001D3D97" w:rsidRPr="00321B46" w14:paraId="324C2F09" w14:textId="77777777" w:rsidTr="001D3D97">
        <w:trPr>
          <w:trHeight w:val="300"/>
          <w:tblHeader/>
          <w:jc w:val="center"/>
        </w:trPr>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95D17" w14:textId="77777777" w:rsidR="001D3D97" w:rsidRPr="00321B46" w:rsidRDefault="001D3D97" w:rsidP="00F30BCA">
            <w:pPr>
              <w:keepNext/>
              <w:spacing w:before="0" w:after="0"/>
              <w:jc w:val="center"/>
              <w:rPr>
                <w:rFonts w:cs="Arial"/>
                <w:b/>
                <w:color w:val="000000"/>
                <w:sz w:val="20"/>
                <w:szCs w:val="22"/>
                <w:lang w:eastAsia="es-CO"/>
              </w:rPr>
            </w:pPr>
            <w:r w:rsidRPr="00321B46">
              <w:rPr>
                <w:rFonts w:cs="Arial"/>
                <w:b/>
                <w:color w:val="000000"/>
                <w:sz w:val="20"/>
                <w:szCs w:val="22"/>
                <w:lang w:eastAsia="es-CO"/>
              </w:rPr>
              <w:t xml:space="preserve">RANGO </w:t>
            </w:r>
            <w:r w:rsidRPr="00321B46">
              <w:rPr>
                <w:rFonts w:cs="Arial"/>
                <w:b/>
                <w:i/>
                <w:color w:val="000000"/>
                <w:sz w:val="20"/>
                <w:szCs w:val="22"/>
                <w:lang w:eastAsia="es-CO"/>
              </w:rPr>
              <w:t>l</w:t>
            </w:r>
          </w:p>
        </w:tc>
        <w:tc>
          <w:tcPr>
            <w:tcW w:w="4635" w:type="dxa"/>
            <w:tcBorders>
              <w:top w:val="single" w:sz="4" w:space="0" w:color="auto"/>
              <w:left w:val="nil"/>
              <w:bottom w:val="single" w:sz="4" w:space="0" w:color="auto"/>
              <w:right w:val="single" w:sz="4" w:space="0" w:color="auto"/>
            </w:tcBorders>
            <w:shd w:val="clear" w:color="auto" w:fill="auto"/>
            <w:noWrap/>
            <w:vAlign w:val="center"/>
            <w:hideMark/>
          </w:tcPr>
          <w:p w14:paraId="6224F041" w14:textId="77777777" w:rsidR="001D3D97" w:rsidRPr="00321B46" w:rsidRDefault="001D3D97" w:rsidP="00F30BCA">
            <w:pPr>
              <w:keepNext/>
              <w:spacing w:before="0" w:after="0"/>
              <w:jc w:val="center"/>
              <w:rPr>
                <w:rFonts w:cs="Arial"/>
                <w:b/>
                <w:color w:val="000000"/>
                <w:sz w:val="20"/>
                <w:szCs w:val="22"/>
                <w:lang w:eastAsia="es-CO"/>
              </w:rPr>
            </w:pPr>
            <w:r w:rsidRPr="00321B46">
              <w:rPr>
                <w:rFonts w:cs="Arial"/>
                <w:b/>
                <w:color w:val="000000"/>
                <w:sz w:val="20"/>
                <w:szCs w:val="22"/>
                <w:lang w:eastAsia="es-CO"/>
              </w:rPr>
              <w:t>Entrada en operación</w:t>
            </w:r>
          </w:p>
        </w:tc>
        <w:tc>
          <w:tcPr>
            <w:tcW w:w="1923" w:type="dxa"/>
            <w:tcBorders>
              <w:top w:val="single" w:sz="4" w:space="0" w:color="auto"/>
              <w:left w:val="nil"/>
              <w:bottom w:val="single" w:sz="4" w:space="0" w:color="auto"/>
              <w:right w:val="single" w:sz="4" w:space="0" w:color="auto"/>
            </w:tcBorders>
          </w:tcPr>
          <w:p w14:paraId="3E21D098" w14:textId="77777777" w:rsidR="001D3D97" w:rsidRPr="00321B46" w:rsidRDefault="001D3D97" w:rsidP="00F30BCA">
            <w:pPr>
              <w:keepNext/>
              <w:spacing w:before="0" w:after="0"/>
              <w:jc w:val="center"/>
              <w:rPr>
                <w:rFonts w:cs="Arial"/>
                <w:color w:val="000000"/>
                <w:sz w:val="20"/>
                <w:szCs w:val="22"/>
                <w:lang w:eastAsia="es-CO"/>
              </w:rPr>
            </w:pPr>
            <w:r w:rsidRPr="00321B46">
              <w:rPr>
                <w:rFonts w:cs="Arial"/>
                <w:b/>
                <w:color w:val="000000"/>
                <w:sz w:val="20"/>
                <w:szCs w:val="22"/>
                <w:lang w:eastAsia="es-CO"/>
              </w:rPr>
              <w:t xml:space="preserve">Antigüedad de referencia </w:t>
            </w:r>
            <w:r w:rsidRPr="00321B46">
              <w:rPr>
                <w:rFonts w:cs="Arial"/>
                <w:color w:val="000000"/>
                <w:sz w:val="20"/>
                <w:szCs w:val="22"/>
                <w:lang w:eastAsia="es-CO"/>
              </w:rPr>
              <w:t>(años)</w:t>
            </w:r>
          </w:p>
        </w:tc>
      </w:tr>
      <w:tr w:rsidR="001D3D97" w:rsidRPr="00321B46" w14:paraId="36AEADFB" w14:textId="77777777" w:rsidTr="001D3D97">
        <w:trPr>
          <w:trHeight w:val="300"/>
          <w:jc w:val="center"/>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14:paraId="2FB5419D" w14:textId="77777777" w:rsidR="001D3D97" w:rsidRPr="00321B46" w:rsidRDefault="001D3D97" w:rsidP="00F30BCA">
            <w:pPr>
              <w:spacing w:before="0" w:after="0"/>
              <w:jc w:val="center"/>
              <w:rPr>
                <w:rFonts w:cs="Arial"/>
                <w:color w:val="000000"/>
                <w:sz w:val="20"/>
                <w:szCs w:val="22"/>
                <w:lang w:eastAsia="es-CO"/>
              </w:rPr>
            </w:pPr>
            <w:r w:rsidRPr="00321B46">
              <w:rPr>
                <w:rFonts w:cs="Arial"/>
                <w:color w:val="000000"/>
                <w:sz w:val="20"/>
                <w:szCs w:val="22"/>
                <w:lang w:eastAsia="es-CO"/>
              </w:rPr>
              <w:t>1</w:t>
            </w:r>
          </w:p>
        </w:tc>
        <w:tc>
          <w:tcPr>
            <w:tcW w:w="4635" w:type="dxa"/>
            <w:tcBorders>
              <w:top w:val="nil"/>
              <w:left w:val="nil"/>
              <w:bottom w:val="single" w:sz="4" w:space="0" w:color="auto"/>
              <w:right w:val="single" w:sz="4" w:space="0" w:color="auto"/>
            </w:tcBorders>
            <w:shd w:val="clear" w:color="auto" w:fill="auto"/>
            <w:noWrap/>
            <w:vAlign w:val="center"/>
            <w:hideMark/>
          </w:tcPr>
          <w:p w14:paraId="57A2F99A" w14:textId="52292A47" w:rsidR="001D3D97" w:rsidRPr="00321B46" w:rsidRDefault="001D3D97" w:rsidP="00F30BCA">
            <w:pPr>
              <w:spacing w:before="0" w:after="0"/>
              <w:jc w:val="center"/>
              <w:rPr>
                <w:rFonts w:cs="Arial"/>
                <w:color w:val="000000"/>
                <w:sz w:val="20"/>
                <w:szCs w:val="22"/>
                <w:lang w:eastAsia="es-CO"/>
              </w:rPr>
            </w:pPr>
            <w:r w:rsidRPr="00321B46">
              <w:rPr>
                <w:rFonts w:cs="Arial"/>
                <w:color w:val="000000"/>
                <w:sz w:val="20"/>
                <w:szCs w:val="22"/>
                <w:lang w:eastAsia="es-CO"/>
              </w:rPr>
              <w:t>Entrada en operación &gt;=</w:t>
            </w:r>
            <w:r w:rsidR="00DC16E1" w:rsidRPr="00321B46">
              <w:rPr>
                <w:rFonts w:cs="Arial"/>
                <w:color w:val="000000"/>
                <w:sz w:val="20"/>
                <w:szCs w:val="22"/>
                <w:lang w:eastAsia="es-CO"/>
              </w:rPr>
              <w:t xml:space="preserve">17 </w:t>
            </w:r>
            <w:r w:rsidRPr="00321B46">
              <w:rPr>
                <w:rFonts w:cs="Arial"/>
                <w:color w:val="000000"/>
                <w:sz w:val="20"/>
                <w:szCs w:val="22"/>
                <w:lang w:eastAsia="es-CO"/>
              </w:rPr>
              <w:t>años</w:t>
            </w:r>
          </w:p>
        </w:tc>
        <w:tc>
          <w:tcPr>
            <w:tcW w:w="1923" w:type="dxa"/>
            <w:tcBorders>
              <w:top w:val="nil"/>
              <w:left w:val="nil"/>
              <w:bottom w:val="single" w:sz="4" w:space="0" w:color="auto"/>
              <w:right w:val="single" w:sz="4" w:space="0" w:color="auto"/>
            </w:tcBorders>
          </w:tcPr>
          <w:p w14:paraId="224E736C" w14:textId="1047CAA6" w:rsidR="001D3D97" w:rsidRPr="00321B46" w:rsidRDefault="00706248" w:rsidP="00F30BCA">
            <w:pPr>
              <w:spacing w:before="0" w:after="0"/>
              <w:jc w:val="center"/>
              <w:rPr>
                <w:rFonts w:cs="Arial"/>
                <w:color w:val="000000"/>
                <w:sz w:val="20"/>
                <w:szCs w:val="22"/>
                <w:lang w:eastAsia="es-CO"/>
              </w:rPr>
            </w:pPr>
            <w:r w:rsidRPr="00321B46">
              <w:rPr>
                <w:rFonts w:cs="Arial"/>
                <w:color w:val="000000"/>
                <w:sz w:val="20"/>
                <w:szCs w:val="22"/>
                <w:lang w:eastAsia="es-CO"/>
              </w:rPr>
              <w:t>17</w:t>
            </w:r>
          </w:p>
        </w:tc>
      </w:tr>
      <w:tr w:rsidR="00F66546" w:rsidRPr="00321B46" w14:paraId="26C50A65" w14:textId="77777777" w:rsidTr="00FB0F2C">
        <w:trPr>
          <w:trHeight w:val="300"/>
          <w:jc w:val="center"/>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14:paraId="6655556A" w14:textId="77777777" w:rsidR="00F66546" w:rsidRPr="00321B46" w:rsidRDefault="00F66546" w:rsidP="00F30BCA">
            <w:pPr>
              <w:spacing w:before="0" w:after="0"/>
              <w:jc w:val="center"/>
              <w:rPr>
                <w:rFonts w:cs="Arial"/>
                <w:color w:val="000000"/>
                <w:sz w:val="20"/>
                <w:szCs w:val="22"/>
                <w:lang w:eastAsia="es-CO"/>
              </w:rPr>
            </w:pPr>
            <w:r w:rsidRPr="00321B46">
              <w:rPr>
                <w:rFonts w:cs="Arial"/>
                <w:color w:val="000000"/>
                <w:sz w:val="20"/>
                <w:szCs w:val="22"/>
                <w:lang w:eastAsia="es-CO"/>
              </w:rPr>
              <w:t>2</w:t>
            </w:r>
          </w:p>
        </w:tc>
        <w:tc>
          <w:tcPr>
            <w:tcW w:w="4635" w:type="dxa"/>
            <w:tcBorders>
              <w:top w:val="nil"/>
              <w:left w:val="nil"/>
              <w:bottom w:val="single" w:sz="4" w:space="0" w:color="auto"/>
              <w:right w:val="single" w:sz="4" w:space="0" w:color="auto"/>
            </w:tcBorders>
            <w:shd w:val="clear" w:color="auto" w:fill="auto"/>
            <w:noWrap/>
            <w:vAlign w:val="center"/>
            <w:hideMark/>
          </w:tcPr>
          <w:p w14:paraId="72BABE8A" w14:textId="0CF16B00" w:rsidR="00F66546" w:rsidRPr="00321B46" w:rsidRDefault="00F66546" w:rsidP="00F30BCA">
            <w:pPr>
              <w:spacing w:before="0" w:after="0"/>
              <w:jc w:val="center"/>
              <w:rPr>
                <w:rFonts w:cs="Arial"/>
                <w:color w:val="000000"/>
                <w:sz w:val="20"/>
                <w:szCs w:val="22"/>
                <w:lang w:eastAsia="es-CO"/>
              </w:rPr>
            </w:pPr>
            <w:r w:rsidRPr="00321B46">
              <w:rPr>
                <w:rFonts w:cs="Arial"/>
                <w:color w:val="000000"/>
                <w:sz w:val="20"/>
                <w:szCs w:val="22"/>
                <w:lang w:eastAsia="es-CO"/>
              </w:rPr>
              <w:t>1</w:t>
            </w:r>
            <w:r w:rsidR="00DC16E1" w:rsidRPr="00321B46">
              <w:rPr>
                <w:rFonts w:cs="Arial"/>
                <w:color w:val="000000"/>
                <w:sz w:val="20"/>
                <w:szCs w:val="22"/>
                <w:lang w:eastAsia="es-CO"/>
              </w:rPr>
              <w:t>7</w:t>
            </w:r>
            <w:r w:rsidRPr="00321B46">
              <w:rPr>
                <w:rFonts w:cs="Arial"/>
                <w:color w:val="000000"/>
                <w:sz w:val="20"/>
                <w:szCs w:val="22"/>
                <w:lang w:eastAsia="es-CO"/>
              </w:rPr>
              <w:t xml:space="preserve"> años &gt; Entrada en operación &gt;= </w:t>
            </w:r>
            <w:r w:rsidR="00DC16E1" w:rsidRPr="00321B46">
              <w:rPr>
                <w:rFonts w:cs="Arial"/>
                <w:color w:val="000000"/>
                <w:sz w:val="20"/>
                <w:szCs w:val="22"/>
                <w:lang w:eastAsia="es-CO"/>
              </w:rPr>
              <w:t xml:space="preserve">8 </w:t>
            </w:r>
            <w:r w:rsidRPr="00321B46">
              <w:rPr>
                <w:rFonts w:cs="Arial"/>
                <w:color w:val="000000"/>
                <w:sz w:val="20"/>
                <w:szCs w:val="22"/>
                <w:lang w:eastAsia="es-CO"/>
              </w:rPr>
              <w:t>años</w:t>
            </w:r>
          </w:p>
        </w:tc>
        <w:tc>
          <w:tcPr>
            <w:tcW w:w="1923" w:type="dxa"/>
            <w:tcBorders>
              <w:top w:val="nil"/>
              <w:left w:val="nil"/>
              <w:bottom w:val="single" w:sz="4" w:space="0" w:color="auto"/>
              <w:right w:val="single" w:sz="4" w:space="0" w:color="auto"/>
            </w:tcBorders>
          </w:tcPr>
          <w:p w14:paraId="012C97B7" w14:textId="24A29793" w:rsidR="00F66546" w:rsidRPr="00321B46" w:rsidRDefault="00706248" w:rsidP="00F30BCA">
            <w:pPr>
              <w:spacing w:before="0" w:after="0"/>
              <w:jc w:val="center"/>
              <w:rPr>
                <w:rFonts w:cs="Arial"/>
                <w:color w:val="000000"/>
                <w:sz w:val="20"/>
                <w:szCs w:val="22"/>
                <w:lang w:eastAsia="es-CO"/>
              </w:rPr>
            </w:pPr>
            <w:r w:rsidRPr="00321B46">
              <w:rPr>
                <w:rFonts w:cs="Arial"/>
                <w:color w:val="000000"/>
                <w:sz w:val="20"/>
                <w:szCs w:val="22"/>
                <w:lang w:eastAsia="es-CO"/>
              </w:rPr>
              <w:t>8</w:t>
            </w:r>
          </w:p>
        </w:tc>
      </w:tr>
      <w:tr w:rsidR="001D3D97" w:rsidRPr="00321B46" w14:paraId="4DE7DFD4" w14:textId="77777777" w:rsidTr="001D3D97">
        <w:trPr>
          <w:trHeight w:val="300"/>
          <w:jc w:val="center"/>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14:paraId="702C8008" w14:textId="77777777" w:rsidR="001D3D97" w:rsidRPr="00321B46" w:rsidRDefault="00F66546" w:rsidP="00F30BCA">
            <w:pPr>
              <w:spacing w:before="0" w:after="0"/>
              <w:jc w:val="center"/>
              <w:rPr>
                <w:rFonts w:cs="Arial"/>
                <w:color w:val="000000"/>
                <w:sz w:val="20"/>
                <w:szCs w:val="22"/>
                <w:lang w:eastAsia="es-CO"/>
              </w:rPr>
            </w:pPr>
            <w:r w:rsidRPr="00321B46">
              <w:rPr>
                <w:rFonts w:cs="Arial"/>
                <w:color w:val="000000"/>
                <w:sz w:val="20"/>
                <w:szCs w:val="22"/>
                <w:lang w:eastAsia="es-CO"/>
              </w:rPr>
              <w:t>3</w:t>
            </w:r>
          </w:p>
        </w:tc>
        <w:tc>
          <w:tcPr>
            <w:tcW w:w="4635" w:type="dxa"/>
            <w:tcBorders>
              <w:top w:val="nil"/>
              <w:left w:val="nil"/>
              <w:bottom w:val="single" w:sz="4" w:space="0" w:color="auto"/>
              <w:right w:val="single" w:sz="4" w:space="0" w:color="auto"/>
            </w:tcBorders>
            <w:shd w:val="clear" w:color="auto" w:fill="auto"/>
            <w:noWrap/>
            <w:vAlign w:val="center"/>
            <w:hideMark/>
          </w:tcPr>
          <w:p w14:paraId="7638B936" w14:textId="0C9D9B34" w:rsidR="001D3D97" w:rsidRPr="00321B46" w:rsidRDefault="001D3D97" w:rsidP="00F30BCA">
            <w:pPr>
              <w:spacing w:before="0" w:after="0"/>
              <w:jc w:val="center"/>
              <w:rPr>
                <w:rFonts w:cs="Arial"/>
                <w:color w:val="000000"/>
                <w:sz w:val="20"/>
                <w:szCs w:val="22"/>
                <w:lang w:eastAsia="es-CO"/>
              </w:rPr>
            </w:pPr>
            <w:r w:rsidRPr="00321B46">
              <w:rPr>
                <w:rFonts w:cs="Arial"/>
                <w:color w:val="000000"/>
                <w:sz w:val="20"/>
                <w:szCs w:val="22"/>
                <w:lang w:eastAsia="es-CO"/>
              </w:rPr>
              <w:t xml:space="preserve">Entrada en operación </w:t>
            </w:r>
            <w:r w:rsidR="00F66546" w:rsidRPr="00321B46">
              <w:rPr>
                <w:rFonts w:cs="Arial"/>
                <w:color w:val="000000"/>
                <w:sz w:val="20"/>
                <w:szCs w:val="22"/>
                <w:lang w:eastAsia="es-CO"/>
              </w:rPr>
              <w:t xml:space="preserve">&lt; </w:t>
            </w:r>
            <w:r w:rsidR="00DC16E1" w:rsidRPr="00321B46">
              <w:rPr>
                <w:rFonts w:cs="Arial"/>
                <w:color w:val="000000"/>
                <w:sz w:val="20"/>
                <w:szCs w:val="22"/>
                <w:lang w:eastAsia="es-CO"/>
              </w:rPr>
              <w:t xml:space="preserve">8 </w:t>
            </w:r>
            <w:r w:rsidRPr="00321B46">
              <w:rPr>
                <w:rFonts w:cs="Arial"/>
                <w:color w:val="000000"/>
                <w:sz w:val="20"/>
                <w:szCs w:val="22"/>
                <w:lang w:eastAsia="es-CO"/>
              </w:rPr>
              <w:t>años</w:t>
            </w:r>
          </w:p>
        </w:tc>
        <w:tc>
          <w:tcPr>
            <w:tcW w:w="1923" w:type="dxa"/>
            <w:tcBorders>
              <w:top w:val="nil"/>
              <w:left w:val="nil"/>
              <w:bottom w:val="single" w:sz="4" w:space="0" w:color="auto"/>
              <w:right w:val="single" w:sz="4" w:space="0" w:color="auto"/>
            </w:tcBorders>
          </w:tcPr>
          <w:p w14:paraId="7926506A" w14:textId="77777777" w:rsidR="001D3D97" w:rsidRPr="00321B46" w:rsidRDefault="00F66546" w:rsidP="00F30BCA">
            <w:pPr>
              <w:spacing w:before="0" w:after="0"/>
              <w:jc w:val="center"/>
              <w:rPr>
                <w:rFonts w:cs="Arial"/>
                <w:color w:val="000000"/>
                <w:sz w:val="20"/>
                <w:szCs w:val="22"/>
                <w:lang w:eastAsia="es-CO"/>
              </w:rPr>
            </w:pPr>
            <w:r w:rsidRPr="00321B46">
              <w:rPr>
                <w:rFonts w:cs="Arial"/>
                <w:color w:val="000000"/>
                <w:sz w:val="20"/>
                <w:szCs w:val="22"/>
                <w:lang w:eastAsia="es-CO"/>
              </w:rPr>
              <w:t>0</w:t>
            </w:r>
          </w:p>
        </w:tc>
      </w:tr>
    </w:tbl>
    <w:p w14:paraId="23C3822B" w14:textId="18FA2688" w:rsidR="00DC16E1" w:rsidRPr="00321B46" w:rsidRDefault="00DC16E1" w:rsidP="00F30BCA">
      <w:bookmarkStart w:id="67" w:name="_Ref440384041"/>
      <w:r w:rsidRPr="00321B46">
        <w:t xml:space="preserve">El </w:t>
      </w:r>
      <w:r w:rsidR="000631F8" w:rsidRPr="00321B46">
        <w:t>TN</w:t>
      </w:r>
      <w:r w:rsidRPr="00321B46">
        <w:t xml:space="preserve"> debe clasificar cada una de las UC incluidas en la base de activos </w:t>
      </w:r>
      <w:r w:rsidR="000631F8" w:rsidRPr="00321B46">
        <w:t xml:space="preserve">aprobada con base en </w:t>
      </w:r>
      <w:r w:rsidRPr="00321B46">
        <w:t>la Resolución CREG 0</w:t>
      </w:r>
      <w:r w:rsidR="000631F8" w:rsidRPr="00321B46">
        <w:t>11</w:t>
      </w:r>
      <w:r w:rsidRPr="00321B46">
        <w:t xml:space="preserve"> de 200</w:t>
      </w:r>
      <w:r w:rsidR="000631F8" w:rsidRPr="00321B46">
        <w:t>9</w:t>
      </w:r>
      <w:r w:rsidRPr="00321B46">
        <w:t xml:space="preserve"> </w:t>
      </w:r>
      <w:r w:rsidR="000F355F">
        <w:t xml:space="preserve"> </w:t>
      </w:r>
      <w:r w:rsidRPr="00321B46">
        <w:t>en los</w:t>
      </w:r>
      <w:r w:rsidR="000F355F">
        <w:t xml:space="preserve"> </w:t>
      </w:r>
      <w:r w:rsidRPr="00321B46">
        <w:t xml:space="preserve"> rangos definidos en la </w:t>
      </w:r>
      <w:r w:rsidR="000631F8" w:rsidRPr="00321B46">
        <w:fldChar w:fldCharType="begin"/>
      </w:r>
      <w:r w:rsidR="000631F8" w:rsidRPr="00321B46">
        <w:instrText xml:space="preserve"> REF _Ref445366524 \h </w:instrText>
      </w:r>
      <w:r w:rsidR="00321B46">
        <w:instrText xml:space="preserve"> \* MERGEFORMAT </w:instrText>
      </w:r>
      <w:r w:rsidR="000631F8" w:rsidRPr="00321B46">
        <w:fldChar w:fldCharType="separate"/>
      </w:r>
      <w:r w:rsidR="000F355F" w:rsidRPr="00321B46">
        <w:t xml:space="preserve">Tabla </w:t>
      </w:r>
      <w:r w:rsidR="000F355F">
        <w:rPr>
          <w:noProof/>
        </w:rPr>
        <w:t>1</w:t>
      </w:r>
      <w:r w:rsidR="000631F8" w:rsidRPr="00321B46">
        <w:fldChar w:fldCharType="end"/>
      </w:r>
      <w:r w:rsidRPr="00321B46">
        <w:t>, según el año de entrada en operación de la respectiva UC.</w:t>
      </w:r>
    </w:p>
    <w:p w14:paraId="1E657846" w14:textId="77777777" w:rsidR="00DC16E1" w:rsidRPr="00321B46" w:rsidRDefault="00DC16E1" w:rsidP="00F30BCA">
      <w:r w:rsidRPr="00321B46">
        <w:t>Para la determinación del año de entrada en operación se deben considerar los siguientes criterios:</w:t>
      </w:r>
    </w:p>
    <w:p w14:paraId="35C3E84D" w14:textId="31E48EB3" w:rsidR="00DC16E1" w:rsidRPr="00321B46" w:rsidRDefault="00DC16E1" w:rsidP="00F30BCA">
      <w:pPr>
        <w:pStyle w:val="Prrafodelista"/>
        <w:numPr>
          <w:ilvl w:val="0"/>
          <w:numId w:val="59"/>
        </w:numPr>
        <w:spacing w:before="120" w:after="0"/>
      </w:pPr>
      <w:r w:rsidRPr="00321B46">
        <w:t xml:space="preserve">Se debe utilizar la información de </w:t>
      </w:r>
      <w:r w:rsidR="000631F8" w:rsidRPr="00321B46">
        <w:t xml:space="preserve">fecha de </w:t>
      </w:r>
      <w:r w:rsidRPr="00321B46">
        <w:t>entrada en operación de los activos.</w:t>
      </w:r>
    </w:p>
    <w:p w14:paraId="37B3A7C4" w14:textId="4BC52156" w:rsidR="00DC16E1" w:rsidRPr="00321B46" w:rsidRDefault="00DC16E1" w:rsidP="00F30BCA">
      <w:pPr>
        <w:pStyle w:val="Prrafodelista"/>
        <w:numPr>
          <w:ilvl w:val="0"/>
          <w:numId w:val="59"/>
        </w:numPr>
        <w:spacing w:before="120" w:after="0"/>
      </w:pPr>
      <w:r w:rsidRPr="00321B46">
        <w:t xml:space="preserve">Si el </w:t>
      </w:r>
      <w:r w:rsidR="000631F8" w:rsidRPr="00321B46">
        <w:t>TN</w:t>
      </w:r>
      <w:r w:rsidRPr="00321B46">
        <w:t xml:space="preserve"> no cuenta con la información de entrada en operación de un activo, este se clasificará en el rango </w:t>
      </w:r>
      <w:r w:rsidR="000631F8" w:rsidRPr="00321B46">
        <w:t>l</w:t>
      </w:r>
      <w:r w:rsidRPr="00321B46">
        <w:t xml:space="preserve"> = 1.</w:t>
      </w:r>
    </w:p>
    <w:p w14:paraId="0237E339" w14:textId="1AFBC40F" w:rsidR="00DC16E1" w:rsidRPr="00321B46" w:rsidRDefault="00DC16E1" w:rsidP="00F30BCA">
      <w:pPr>
        <w:pStyle w:val="Prrafodelista"/>
        <w:numPr>
          <w:ilvl w:val="0"/>
          <w:numId w:val="59"/>
        </w:numPr>
        <w:spacing w:before="120" w:after="0"/>
      </w:pPr>
      <w:r w:rsidRPr="00321B46">
        <w:t>Para las UC que se han repuesto en su totalidad, el año de entrada en operación corresponde al año de reposición de la UC. Solo se deben considera</w:t>
      </w:r>
      <w:r w:rsidR="000631F8" w:rsidRPr="00321B46">
        <w:t>r</w:t>
      </w:r>
      <w:r w:rsidRPr="00321B46">
        <w:t xml:space="preserve"> reposiciones por activos nuevos.</w:t>
      </w:r>
    </w:p>
    <w:p w14:paraId="3514AD17" w14:textId="77777777" w:rsidR="00DC16E1" w:rsidRPr="00321B46" w:rsidRDefault="00DC16E1" w:rsidP="00F30BCA">
      <w:pPr>
        <w:pStyle w:val="Prrafodelista"/>
        <w:numPr>
          <w:ilvl w:val="0"/>
          <w:numId w:val="59"/>
        </w:numPr>
        <w:spacing w:before="120" w:after="0"/>
      </w:pPr>
      <w:r w:rsidRPr="00321B46">
        <w:t>Para las reposiciones totales o parciales de UC únicamente se deben considerar inversiones que amplíen la vida útil o la capacidad del activo, no se deben emplear gastos asociados al mantenimiento como el cambio de elementos menores, mantenimientos de rutina, etc.</w:t>
      </w:r>
    </w:p>
    <w:p w14:paraId="75412BB6" w14:textId="77777777" w:rsidR="00DC16E1" w:rsidRPr="00321B46" w:rsidRDefault="00DC16E1" w:rsidP="00F30BCA">
      <w:pPr>
        <w:pStyle w:val="Prrafodelista"/>
        <w:numPr>
          <w:ilvl w:val="0"/>
          <w:numId w:val="59"/>
        </w:numPr>
        <w:spacing w:before="120" w:after="0"/>
      </w:pPr>
      <w:r w:rsidRPr="00321B46">
        <w:t>Para las UC de la categoría de transformadores, compensaciones y equipos de subestación el año de entrada en operación corresponde al indicado en la placa de características técnicas o en su defecto al año de fabricación.</w:t>
      </w:r>
    </w:p>
    <w:p w14:paraId="6036EC96" w14:textId="5D387B46" w:rsidR="00DC16E1" w:rsidRPr="00321B46" w:rsidRDefault="00DC16E1" w:rsidP="00F30BCA">
      <w:pPr>
        <w:pStyle w:val="Prrafodelista"/>
        <w:numPr>
          <w:ilvl w:val="0"/>
          <w:numId w:val="59"/>
        </w:numPr>
        <w:spacing w:before="120" w:after="0"/>
      </w:pPr>
      <w:r w:rsidRPr="00321B46">
        <w:t xml:space="preserve">Para las UC de la categoría de bahías y celdas el año de entrada en operación corresponde a i) el indicado en la placa de características técnicas o en su defecto al año de fabricación, ii) el resultado de la ponderación del año de puesta en servicio o de fabricación de cada elemento de la UC por el valor DDP de cada elemento, de acuerdo con los valores de los elementos de cada UC publicados </w:t>
      </w:r>
      <w:r w:rsidR="00925087" w:rsidRPr="00321B46">
        <w:t>con</w:t>
      </w:r>
      <w:r w:rsidRPr="00321B46">
        <w:t xml:space="preserve"> la Resolución CREG 0</w:t>
      </w:r>
      <w:r w:rsidR="00925087" w:rsidRPr="00321B46">
        <w:t>11</w:t>
      </w:r>
      <w:r w:rsidRPr="00321B46">
        <w:t xml:space="preserve"> de 200</w:t>
      </w:r>
      <w:r w:rsidR="00925087" w:rsidRPr="00321B46">
        <w:t>9</w:t>
      </w:r>
      <w:r w:rsidRPr="00321B46">
        <w:t>.</w:t>
      </w:r>
    </w:p>
    <w:p w14:paraId="361F1FEB" w14:textId="7C3CDFCC" w:rsidR="00DC16E1" w:rsidRPr="00321B46" w:rsidRDefault="00DC16E1" w:rsidP="00F30BCA">
      <w:pPr>
        <w:pStyle w:val="Prrafodelista"/>
        <w:numPr>
          <w:ilvl w:val="0"/>
          <w:numId w:val="59"/>
        </w:numPr>
        <w:spacing w:before="120" w:after="0"/>
      </w:pPr>
      <w:r w:rsidRPr="00321B46">
        <w:t xml:space="preserve">Para las UC de la categoría de equipos de control y comunicaciones el año de entrada en operación corresponde a la aplicación en su orden de las siguientes alternativas: i) el indicado en la placa de características técnicas como el año de puesta en servicio o de fabricación, ii) el registrado en el centro de control y sus bases de datos asociadas como inicio de la supervisión de la subestación en el sistema SCADA, iii) el identificado por el </w:t>
      </w:r>
      <w:r w:rsidR="006F0DFC" w:rsidRPr="00321B46">
        <w:t>TN</w:t>
      </w:r>
      <w:r w:rsidRPr="00321B46">
        <w:t xml:space="preserve"> a partir de soportes documentales: bitácora de operación de la subestación, contratos de suministro y obra y actas de puesta en servicio o entrega.</w:t>
      </w:r>
    </w:p>
    <w:p w14:paraId="7204E407" w14:textId="2B6D949A" w:rsidR="00D44102" w:rsidRPr="00321B46" w:rsidRDefault="00DC16E1" w:rsidP="00F30BCA">
      <w:pPr>
        <w:pStyle w:val="Prrafodelista"/>
        <w:numPr>
          <w:ilvl w:val="0"/>
          <w:numId w:val="59"/>
        </w:numPr>
        <w:spacing w:before="120" w:after="0"/>
      </w:pPr>
      <w:r w:rsidRPr="00321B46">
        <w:t>Para las UC de la categoría de otros activos de subestación el año de entrada en operación corresponde a</w:t>
      </w:r>
      <w:r w:rsidR="00D44102" w:rsidRPr="00321B46">
        <w:t xml:space="preserve">l mismo de la subestación </w:t>
      </w:r>
      <w:r w:rsidR="006F0DFC" w:rsidRPr="00321B46">
        <w:t>e</w:t>
      </w:r>
      <w:r w:rsidRPr="00321B46">
        <w:t xml:space="preserve">n el caso de los módulos </w:t>
      </w:r>
      <w:r w:rsidR="00D44102" w:rsidRPr="00321B46">
        <w:t xml:space="preserve">comunes </w:t>
      </w:r>
      <w:r w:rsidRPr="00321B46">
        <w:t xml:space="preserve">y de barraje y </w:t>
      </w:r>
      <w:r w:rsidR="00D44102" w:rsidRPr="00321B46">
        <w:t>también para</w:t>
      </w:r>
      <w:r w:rsidRPr="00321B46">
        <w:t xml:space="preserve"> la casa de control</w:t>
      </w:r>
      <w:r w:rsidR="00D44102" w:rsidRPr="00321B46">
        <w:t>. S</w:t>
      </w:r>
      <w:r w:rsidRPr="00321B46">
        <w:t>e podrán emplear los siguientes soportes documentales</w:t>
      </w:r>
      <w:r w:rsidR="00D44102" w:rsidRPr="00321B46">
        <w:t xml:space="preserve"> para definir el año de entrada en operación</w:t>
      </w:r>
      <w:r w:rsidRPr="00321B46">
        <w:t>: bitácora de operación de la subestación, contratos de suministro y obra</w:t>
      </w:r>
      <w:r w:rsidR="00D44102" w:rsidRPr="00321B46">
        <w:t>,</w:t>
      </w:r>
      <w:r w:rsidRPr="00321B46">
        <w:t xml:space="preserve"> y actas de puesta en servicio o entrega</w:t>
      </w:r>
      <w:r w:rsidR="00D44102" w:rsidRPr="00321B46">
        <w:t>.</w:t>
      </w:r>
    </w:p>
    <w:p w14:paraId="631843A6" w14:textId="25EAA520" w:rsidR="00DC16E1" w:rsidRPr="00321B46" w:rsidRDefault="00D44102" w:rsidP="003448EC">
      <w:pPr>
        <w:pStyle w:val="Prrafodelista"/>
        <w:spacing w:before="120" w:after="0"/>
        <w:ind w:left="360"/>
      </w:pPr>
      <w:r w:rsidRPr="00321B46">
        <w:t>P</w:t>
      </w:r>
      <w:r w:rsidR="00DC16E1" w:rsidRPr="00321B46">
        <w:t>ara las demás UC clasificadas en esta categoría corresponde al indicado en la placa de características técnicas o el año de fabricación.</w:t>
      </w:r>
    </w:p>
    <w:p w14:paraId="34E829DF" w14:textId="33FA009C" w:rsidR="00DC16E1" w:rsidRPr="00321B46" w:rsidRDefault="00DC16E1" w:rsidP="00F30BCA">
      <w:pPr>
        <w:pStyle w:val="Prrafodelista"/>
        <w:numPr>
          <w:ilvl w:val="0"/>
          <w:numId w:val="59"/>
        </w:numPr>
        <w:spacing w:before="120" w:after="0"/>
      </w:pPr>
      <w:r w:rsidRPr="00321B46">
        <w:t xml:space="preserve">Para las UC de la categoría de centros de control el año de entrada en operación corresponde al identificado por el </w:t>
      </w:r>
      <w:r w:rsidR="00F70059" w:rsidRPr="00321B46">
        <w:t>TN</w:t>
      </w:r>
      <w:r w:rsidRPr="00321B46">
        <w:t xml:space="preserve"> a partir de soportes documentales como: bitácora de operación de la subestación, contratos de suministro y obra y actas de puesta en servicio o entrega.</w:t>
      </w:r>
    </w:p>
    <w:p w14:paraId="4A35A8C1" w14:textId="36DAB63E" w:rsidR="00DC16E1" w:rsidRPr="00321B46" w:rsidRDefault="00DC16E1" w:rsidP="0004502D">
      <w:r w:rsidRPr="00321B46">
        <w:t>Para los activos a los cuales se les han realizado reposiciones totales, la antigüedad corresponde a los años transcurridos entre el año de reposición y la fecha de corte.</w:t>
      </w:r>
    </w:p>
    <w:p w14:paraId="5382A274" w14:textId="77777777" w:rsidR="003916BD" w:rsidRPr="00321B46" w:rsidRDefault="003916BD" w:rsidP="0004502D">
      <w:pPr>
        <w:pStyle w:val="Ttulo4"/>
        <w:rPr>
          <w:szCs w:val="24"/>
        </w:rPr>
      </w:pPr>
      <w:bookmarkStart w:id="68" w:name="_Ref465925850"/>
      <w:r w:rsidRPr="00321B46">
        <w:rPr>
          <w:szCs w:val="24"/>
        </w:rPr>
        <w:t>Costo de reposición por grupo de activos</w:t>
      </w:r>
      <w:bookmarkEnd w:id="67"/>
      <w:bookmarkEnd w:id="68"/>
    </w:p>
    <w:p w14:paraId="559F1F32" w14:textId="77777777" w:rsidR="00BC6EF0" w:rsidRPr="00321B46" w:rsidRDefault="00274EDE" w:rsidP="00F30BCA">
      <w:r w:rsidRPr="00321B46">
        <w:t>E</w:t>
      </w:r>
      <w:r w:rsidR="00325FF5" w:rsidRPr="00321B46">
        <w:t xml:space="preserve">l costo de reposición </w:t>
      </w:r>
      <w:r w:rsidRPr="00321B46">
        <w:t xml:space="preserve">para cada grupo de activos que pertenecen al mismo rango y a la misma categoría </w:t>
      </w:r>
      <w:r w:rsidR="00325FF5" w:rsidRPr="00321B46">
        <w:t>se calcula con:</w:t>
      </w:r>
    </w:p>
    <w:bookmarkStart w:id="69" w:name="_Ref439672483"/>
    <w:p w14:paraId="547C9FF3" w14:textId="2764F5CE" w:rsidR="00C168F6" w:rsidRPr="00321B46" w:rsidRDefault="00651802" w:rsidP="00F30BCA">
      <m:oMathPara>
        <m:oMath>
          <m:sSub>
            <m:sSubPr>
              <m:ctrlPr>
                <w:rPr>
                  <w:rFonts w:ascii="Cambria Math" w:hAnsi="Cambria Math"/>
                  <w:i/>
                </w:rPr>
              </m:ctrlPr>
            </m:sSubPr>
            <m:e>
              <m:r>
                <w:rPr>
                  <w:rFonts w:ascii="Cambria Math" w:hAnsi="Cambria Math"/>
                </w:rPr>
                <m:t>CRE</m:t>
              </m:r>
            </m:e>
            <m:sub>
              <m:r>
                <w:rPr>
                  <w:rFonts w:ascii="Cambria Math" w:hAnsi="Cambria Math"/>
                </w:rPr>
                <m:t>j</m:t>
              </m:r>
              <m:r>
                <w:rPr>
                  <w:rFonts w:ascii="Cambria Math"/>
                </w:rPr>
                <m:t>,k,l</m:t>
              </m:r>
            </m:sub>
          </m:sSub>
          <m:r>
            <w:rPr>
              <w:rFonts w:ascii="Cambria Math"/>
            </w:rPr>
            <m:t>=</m:t>
          </m:r>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rPr>
                    <m:t>NR</m:t>
                  </m:r>
                </m:e>
                <m:sub>
                  <m:r>
                    <w:rPr>
                      <w:rFonts w:ascii="Cambria Math"/>
                    </w:rPr>
                    <m:t>j,k,l</m:t>
                  </m:r>
                </m:sub>
              </m:sSub>
            </m:sup>
            <m:e>
              <m:sSub>
                <m:sSubPr>
                  <m:ctrlPr>
                    <w:rPr>
                      <w:rFonts w:ascii="Cambria Math" w:hAnsi="Cambria Math"/>
                      <w:i/>
                    </w:rPr>
                  </m:ctrlPr>
                </m:sSubPr>
                <m:e>
                  <m:r>
                    <w:rPr>
                      <w:rFonts w:ascii="Cambria Math"/>
                    </w:rPr>
                    <m:t>CR</m:t>
                  </m:r>
                </m:e>
                <m:sub>
                  <m:r>
                    <w:rPr>
                      <w:rFonts w:ascii="Cambria Math"/>
                    </w:rPr>
                    <m:t>i</m:t>
                  </m:r>
                </m:sub>
              </m:sSub>
              <m:r>
                <w:rPr>
                  <w:rFonts w:ascii="Cambria Math"/>
                </w:rPr>
                <m:t>*</m:t>
              </m:r>
            </m:e>
          </m:nary>
          <m:sSub>
            <m:sSubPr>
              <m:ctrlPr>
                <w:rPr>
                  <w:rFonts w:ascii="Cambria Math" w:hAnsi="Cambria Math"/>
                  <w:i/>
                </w:rPr>
              </m:ctrlPr>
            </m:sSubPr>
            <m:e>
              <m:r>
                <w:rPr>
                  <w:rFonts w:ascii="Cambria Math"/>
                </w:rPr>
                <m:t>PU</m:t>
              </m:r>
            </m:e>
            <m:sub>
              <m:r>
                <w:rPr>
                  <w:rFonts w:ascii="Cambria Math"/>
                </w:rPr>
                <m:t>j,i</m:t>
              </m:r>
            </m:sub>
          </m:sSub>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 xml:space="preserve"> CRENR</m:t>
                  </m:r>
                </m:e>
                <m:sub>
                  <m:r>
                    <w:rPr>
                      <w:rFonts w:ascii="Cambria Math" w:hAnsi="Cambria Math"/>
                    </w:rPr>
                    <m:t>j,k,l</m:t>
                  </m:r>
                </m:sub>
              </m:sSub>
              <m:r>
                <w:rPr>
                  <w:rFonts w:ascii="Cambria Math" w:hAnsi="Cambria Math"/>
                </w:rPr>
                <m:t>-CREFO</m:t>
              </m:r>
            </m:e>
            <m:sub>
              <m:r>
                <w:rPr>
                  <w:rFonts w:ascii="Cambria Math" w:hAnsi="Cambria Math"/>
                </w:rPr>
                <m:t>j,k,l</m:t>
              </m:r>
            </m:sub>
          </m:sSub>
        </m:oMath>
      </m:oMathPara>
    </w:p>
    <w:p w14:paraId="4C10FE80" w14:textId="77777777" w:rsidR="00C168F6" w:rsidRPr="00321B46" w:rsidRDefault="00C168F6" w:rsidP="00F30BCA">
      <w:pPr>
        <w:ind w:left="1410" w:hanging="1410"/>
      </w:pPr>
      <w:r w:rsidRPr="00321B46">
        <w:rPr>
          <w:i/>
          <w:iCs/>
        </w:rPr>
        <w:t>CR</w:t>
      </w:r>
      <w:r w:rsidR="00325FF5" w:rsidRPr="00321B46">
        <w:rPr>
          <w:i/>
          <w:iCs/>
        </w:rPr>
        <w:t>E</w:t>
      </w:r>
      <w:r w:rsidRPr="00321B46">
        <w:rPr>
          <w:i/>
          <w:iCs/>
          <w:vertAlign w:val="subscript"/>
        </w:rPr>
        <w:t>j,k</w:t>
      </w:r>
      <w:r w:rsidR="00325FF5" w:rsidRPr="00321B46">
        <w:rPr>
          <w:i/>
          <w:iCs/>
          <w:vertAlign w:val="subscript"/>
        </w:rPr>
        <w:t>,l</w:t>
      </w:r>
      <w:r w:rsidRPr="00321B46">
        <w:t>:</w:t>
      </w:r>
      <w:r w:rsidRPr="00321B46">
        <w:tab/>
      </w:r>
      <w:r w:rsidR="00325FF5" w:rsidRPr="00321B46">
        <w:t>Costo de reposición de la inversión, aprobado al TN </w:t>
      </w:r>
      <w:r w:rsidR="00325FF5" w:rsidRPr="00321B46">
        <w:rPr>
          <w:i/>
        </w:rPr>
        <w:t>j</w:t>
      </w:r>
      <w:r w:rsidR="00325FF5" w:rsidRPr="00321B46">
        <w:t xml:space="preserve"> en aplicación de la metodología de la Resolución CREG 011 de 2009, para el rango de activos </w:t>
      </w:r>
      <w:r w:rsidR="00143803" w:rsidRPr="00321B46">
        <w:rPr>
          <w:i/>
        </w:rPr>
        <w:t>l</w:t>
      </w:r>
      <w:r w:rsidR="00143803" w:rsidRPr="00321B46">
        <w:t xml:space="preserve"> </w:t>
      </w:r>
      <w:r w:rsidR="00325FF5" w:rsidRPr="00321B46">
        <w:t xml:space="preserve">y la categoría de activos </w:t>
      </w:r>
      <w:r w:rsidR="00143803" w:rsidRPr="00321B46">
        <w:rPr>
          <w:i/>
        </w:rPr>
        <w:t>k</w:t>
      </w:r>
      <w:r w:rsidR="00325FF5" w:rsidRPr="00321B46">
        <w:t>, descon</w:t>
      </w:r>
      <w:r w:rsidR="00325FF5" w:rsidRPr="00321B46">
        <w:softHyphen/>
        <w:t>tando el costo de los activos que no deben incluirse en el cálculo de la tarifa de acuerdo con lo dispuesto en el numeral 87.9 de la Ley 142 de 1994</w:t>
      </w:r>
      <w:r w:rsidR="00EB59CA" w:rsidRPr="00321B46">
        <w:t>, modificado por el artículo 99 de la Ley 1450 de 2011</w:t>
      </w:r>
      <w:r w:rsidR="00325FF5" w:rsidRPr="00321B46">
        <w:t>.</w:t>
      </w:r>
    </w:p>
    <w:p w14:paraId="7D34B800" w14:textId="682BBDEF" w:rsidR="00C168F6" w:rsidRPr="00321B46" w:rsidRDefault="00C168F6" w:rsidP="00F30BCA">
      <w:pPr>
        <w:ind w:left="1410" w:hanging="1410"/>
        <w:rPr>
          <w:b/>
          <w:bCs/>
          <w:i/>
          <w:iCs/>
        </w:rPr>
      </w:pPr>
      <w:r w:rsidRPr="00321B46">
        <w:rPr>
          <w:bCs/>
          <w:i/>
          <w:iCs/>
        </w:rPr>
        <w:t>CR</w:t>
      </w:r>
      <w:r w:rsidRPr="00321B46">
        <w:rPr>
          <w:bCs/>
          <w:i/>
          <w:iCs/>
          <w:vertAlign w:val="subscript"/>
        </w:rPr>
        <w:t>i</w:t>
      </w:r>
      <w:r w:rsidRPr="00321B46">
        <w:rPr>
          <w:bCs/>
          <w:i/>
          <w:iCs/>
        </w:rPr>
        <w:t>:</w:t>
      </w:r>
      <w:r w:rsidRPr="00321B46">
        <w:rPr>
          <w:b/>
          <w:bCs/>
          <w:i/>
          <w:iCs/>
        </w:rPr>
        <w:tab/>
      </w:r>
      <w:r w:rsidRPr="00321B46">
        <w:rPr>
          <w:b/>
          <w:bCs/>
          <w:i/>
          <w:iCs/>
        </w:rPr>
        <w:tab/>
      </w:r>
      <w:r w:rsidRPr="00321B46">
        <w:t xml:space="preserve">Valor de la UC </w:t>
      </w:r>
      <w:r w:rsidRPr="00321B46">
        <w:rPr>
          <w:i/>
        </w:rPr>
        <w:t>i</w:t>
      </w:r>
      <w:r w:rsidRPr="00321B46">
        <w:t xml:space="preserve"> definido en el capítulo</w:t>
      </w:r>
      <w:r w:rsidR="003916BD" w:rsidRPr="00321B46">
        <w:t xml:space="preserve"> </w:t>
      </w:r>
      <w:r w:rsidR="006C5902" w:rsidRPr="00321B46">
        <w:fldChar w:fldCharType="begin"/>
      </w:r>
      <w:r w:rsidR="006C5902" w:rsidRPr="00321B46">
        <w:instrText xml:space="preserve"> REF _Ref465954654 \r \h \t</w:instrText>
      </w:r>
      <w:r w:rsidR="00321B46">
        <w:instrText xml:space="preserve"> \* MERGEFORMAT </w:instrText>
      </w:r>
      <w:r w:rsidR="006C5902" w:rsidRPr="00321B46">
        <w:fldChar w:fldCharType="separate"/>
      </w:r>
      <w:r w:rsidR="000F355F">
        <w:t>8</w:t>
      </w:r>
      <w:r w:rsidR="006C5902" w:rsidRPr="00321B46">
        <w:fldChar w:fldCharType="end"/>
      </w:r>
      <w:r w:rsidR="00457F1A" w:rsidRPr="00321B46">
        <w:t xml:space="preserve"> de este anexo</w:t>
      </w:r>
      <w:r w:rsidRPr="00321B46">
        <w:t>.</w:t>
      </w:r>
    </w:p>
    <w:p w14:paraId="6A83C7DE" w14:textId="77777777" w:rsidR="00C168F6" w:rsidRPr="00321B46" w:rsidRDefault="00C168F6" w:rsidP="00F30BCA">
      <w:pPr>
        <w:tabs>
          <w:tab w:val="left" w:pos="1418"/>
        </w:tabs>
        <w:spacing w:before="120"/>
        <w:ind w:left="1418" w:hanging="1418"/>
      </w:pPr>
      <w:r w:rsidRPr="00321B46">
        <w:rPr>
          <w:i/>
          <w:iCs/>
        </w:rPr>
        <w:t>PU</w:t>
      </w:r>
      <w:r w:rsidRPr="00321B46">
        <w:rPr>
          <w:i/>
          <w:iCs/>
          <w:vertAlign w:val="subscript"/>
        </w:rPr>
        <w:t>j,i</w:t>
      </w:r>
      <w:r w:rsidRPr="00321B46">
        <w:rPr>
          <w:i/>
          <w:iCs/>
        </w:rPr>
        <w:t>:</w:t>
      </w:r>
      <w:r w:rsidRPr="00321B46">
        <w:tab/>
        <w:t xml:space="preserve">Fracción del costo de la UC </w:t>
      </w:r>
      <w:r w:rsidRPr="00321B46">
        <w:rPr>
          <w:i/>
          <w:iCs/>
        </w:rPr>
        <w:t>i</w:t>
      </w:r>
      <w:r w:rsidRPr="00321B46">
        <w:t xml:space="preserve"> que es</w:t>
      </w:r>
      <w:r w:rsidRPr="00321B46">
        <w:rPr>
          <w:i/>
        </w:rPr>
        <w:t xml:space="preserve"> </w:t>
      </w:r>
      <w:r w:rsidRPr="00321B46">
        <w:t xml:space="preserve">remunerada vía cargos por uso al </w:t>
      </w:r>
      <w:r w:rsidR="003916BD" w:rsidRPr="00321B46">
        <w:t>TN</w:t>
      </w:r>
      <w:r w:rsidRPr="00321B46">
        <w:t xml:space="preserve"> </w:t>
      </w:r>
      <w:r w:rsidRPr="00321B46">
        <w:rPr>
          <w:i/>
        </w:rPr>
        <w:t>j</w:t>
      </w:r>
      <w:r w:rsidRPr="00321B46">
        <w:t>.</w:t>
      </w:r>
    </w:p>
    <w:p w14:paraId="0B2FD95A" w14:textId="6F84ED96" w:rsidR="006758CE" w:rsidRPr="00321B46" w:rsidRDefault="006758CE" w:rsidP="00F30BCA">
      <w:pPr>
        <w:ind w:left="1418" w:hanging="1418"/>
      </w:pPr>
      <w:r w:rsidRPr="00321B46">
        <w:rPr>
          <w:i/>
          <w:iCs/>
        </w:rPr>
        <w:t>CR</w:t>
      </w:r>
      <w:r w:rsidR="002223A4" w:rsidRPr="00321B46">
        <w:rPr>
          <w:i/>
          <w:iCs/>
        </w:rPr>
        <w:t>E</w:t>
      </w:r>
      <w:r w:rsidRPr="00321B46">
        <w:rPr>
          <w:i/>
          <w:iCs/>
        </w:rPr>
        <w:t>NR</w:t>
      </w:r>
      <w:r w:rsidRPr="00321B46">
        <w:rPr>
          <w:i/>
          <w:iCs/>
          <w:vertAlign w:val="subscript"/>
        </w:rPr>
        <w:t>j,k,l</w:t>
      </w:r>
      <w:r w:rsidRPr="00321B46">
        <w:t>:</w:t>
      </w:r>
      <w:r w:rsidRPr="00321B46">
        <w:tab/>
        <w:t xml:space="preserve">Valor de los activos en operación no incluido para el TN </w:t>
      </w:r>
      <w:r w:rsidRPr="00321B46">
        <w:rPr>
          <w:i/>
        </w:rPr>
        <w:t>j</w:t>
      </w:r>
      <w:r w:rsidRPr="00321B46">
        <w:t xml:space="preserve">, en el rango de activos </w:t>
      </w:r>
      <w:r w:rsidRPr="00321B46">
        <w:rPr>
          <w:i/>
        </w:rPr>
        <w:t>l</w:t>
      </w:r>
      <w:r w:rsidRPr="00321B46">
        <w:t xml:space="preserve"> y la categoría de activos </w:t>
      </w:r>
      <w:r w:rsidRPr="00321B46">
        <w:rPr>
          <w:i/>
        </w:rPr>
        <w:t>k</w:t>
      </w:r>
      <w:r w:rsidRPr="00321B46">
        <w:t>, calculado de acuerdo con lo establecido en el numeral</w:t>
      </w:r>
      <w:r w:rsidR="008A7CEB" w:rsidRPr="00321B46">
        <w:t xml:space="preserve"> </w:t>
      </w:r>
      <w:r w:rsidR="008A7CEB" w:rsidRPr="00321B46">
        <w:fldChar w:fldCharType="begin"/>
      </w:r>
      <w:r w:rsidR="008A7CEB" w:rsidRPr="00321B46">
        <w:instrText xml:space="preserve"> REF _Ref460698126 \r \h </w:instrText>
      </w:r>
      <w:r w:rsidR="003276B5" w:rsidRPr="00321B46">
        <w:instrText xml:space="preserve"> \* MERGEFORMAT </w:instrText>
      </w:r>
      <w:r w:rsidR="008A7CEB" w:rsidRPr="00321B46">
        <w:fldChar w:fldCharType="separate"/>
      </w:r>
      <w:r w:rsidR="000F355F">
        <w:t>2.2.1.3.1</w:t>
      </w:r>
      <w:r w:rsidR="008A7CEB" w:rsidRPr="00321B46">
        <w:fldChar w:fldCharType="end"/>
      </w:r>
      <w:r w:rsidRPr="00321B46">
        <w:t xml:space="preserve">.  </w:t>
      </w:r>
    </w:p>
    <w:p w14:paraId="45B205B2" w14:textId="599B80A9" w:rsidR="006758CE" w:rsidRPr="00321B46" w:rsidRDefault="006758CE" w:rsidP="00F30BCA">
      <w:pPr>
        <w:ind w:left="1418" w:hanging="1418"/>
      </w:pPr>
      <w:r w:rsidRPr="00321B46">
        <w:rPr>
          <w:i/>
          <w:iCs/>
        </w:rPr>
        <w:t>CR</w:t>
      </w:r>
      <w:r w:rsidR="002223A4" w:rsidRPr="00321B46">
        <w:rPr>
          <w:i/>
          <w:iCs/>
        </w:rPr>
        <w:t>E</w:t>
      </w:r>
      <w:r w:rsidRPr="00321B46">
        <w:rPr>
          <w:i/>
          <w:iCs/>
        </w:rPr>
        <w:t>FO</w:t>
      </w:r>
      <w:r w:rsidRPr="00321B46">
        <w:rPr>
          <w:i/>
          <w:iCs/>
          <w:vertAlign w:val="subscript"/>
        </w:rPr>
        <w:t>j,k,l</w:t>
      </w:r>
      <w:r w:rsidRPr="00321B46">
        <w:t>:</w:t>
      </w:r>
      <w:r w:rsidRPr="00321B46">
        <w:tab/>
        <w:t xml:space="preserve">Valor de los activos fuera de operación en el sistema del TN </w:t>
      </w:r>
      <w:r w:rsidRPr="00321B46">
        <w:rPr>
          <w:i/>
        </w:rPr>
        <w:t>j</w:t>
      </w:r>
      <w:r w:rsidRPr="00321B46">
        <w:t xml:space="preserve">, en el rango de activos </w:t>
      </w:r>
      <w:r w:rsidRPr="00321B46">
        <w:rPr>
          <w:i/>
        </w:rPr>
        <w:t>l</w:t>
      </w:r>
      <w:r w:rsidRPr="00321B46">
        <w:t xml:space="preserve"> y la categoría de activos </w:t>
      </w:r>
      <w:r w:rsidRPr="00321B46">
        <w:rPr>
          <w:i/>
        </w:rPr>
        <w:t>k</w:t>
      </w:r>
      <w:r w:rsidRPr="00321B46">
        <w:t xml:space="preserve">,  calculado de acuerdo con lo establecido en el numeral </w:t>
      </w:r>
      <w:r w:rsidR="008A7CEB" w:rsidRPr="00321B46">
        <w:fldChar w:fldCharType="begin"/>
      </w:r>
      <w:r w:rsidR="008A7CEB" w:rsidRPr="00321B46">
        <w:instrText xml:space="preserve"> REF _Ref460698131 \r \h </w:instrText>
      </w:r>
      <w:r w:rsidR="003276B5" w:rsidRPr="00321B46">
        <w:instrText xml:space="preserve"> \* MERGEFORMAT </w:instrText>
      </w:r>
      <w:r w:rsidR="008A7CEB" w:rsidRPr="00321B46">
        <w:fldChar w:fldCharType="separate"/>
      </w:r>
      <w:r w:rsidR="000F355F">
        <w:t>2.2.1.3.2</w:t>
      </w:r>
      <w:r w:rsidR="008A7CEB" w:rsidRPr="00321B46">
        <w:fldChar w:fldCharType="end"/>
      </w:r>
      <w:r w:rsidRPr="00321B46">
        <w:t>.</w:t>
      </w:r>
    </w:p>
    <w:p w14:paraId="17924385" w14:textId="77777777" w:rsidR="006758CE" w:rsidRPr="00321B46" w:rsidRDefault="006758CE" w:rsidP="00F30BCA">
      <w:pPr>
        <w:tabs>
          <w:tab w:val="left" w:pos="1418"/>
        </w:tabs>
        <w:spacing w:before="120"/>
        <w:ind w:left="1418" w:hanging="1418"/>
      </w:pPr>
      <w:r w:rsidRPr="00321B46">
        <w:rPr>
          <w:i/>
          <w:iCs/>
        </w:rPr>
        <w:t>NR</w:t>
      </w:r>
      <w:r w:rsidRPr="00321B46">
        <w:rPr>
          <w:i/>
          <w:iCs/>
          <w:vertAlign w:val="subscript"/>
        </w:rPr>
        <w:t>j,k,l</w:t>
      </w:r>
      <w:r w:rsidRPr="00321B46">
        <w:t>:</w:t>
      </w:r>
      <w:r w:rsidRPr="00321B46">
        <w:tab/>
        <w:t xml:space="preserve">Número de UC reconocidas, en aplicación de la metodología de la Resolución CREG 011 de 2009, al TN </w:t>
      </w:r>
      <w:r w:rsidRPr="00321B46">
        <w:rPr>
          <w:i/>
        </w:rPr>
        <w:t>j</w:t>
      </w:r>
      <w:r w:rsidRPr="00321B46">
        <w:t xml:space="preserve">, pertenecientes al rango de activos </w:t>
      </w:r>
      <w:r w:rsidRPr="00321B46">
        <w:rPr>
          <w:i/>
        </w:rPr>
        <w:t>l</w:t>
      </w:r>
      <w:r w:rsidRPr="00321B46">
        <w:t xml:space="preserve"> y a la categoría </w:t>
      </w:r>
      <w:r w:rsidRPr="00321B46">
        <w:rPr>
          <w:i/>
        </w:rPr>
        <w:t>k</w:t>
      </w:r>
      <w:r w:rsidRPr="00321B46">
        <w:t>.</w:t>
      </w:r>
    </w:p>
    <w:p w14:paraId="4189B3D4" w14:textId="2530F204" w:rsidR="006758CE" w:rsidRPr="00321B46" w:rsidRDefault="006758CE" w:rsidP="0004502D">
      <w:pPr>
        <w:pStyle w:val="Ttulo5"/>
      </w:pPr>
      <w:bookmarkStart w:id="70" w:name="_Ref460698126"/>
      <w:r w:rsidRPr="00321B46">
        <w:t>Valor de activos en operación no incluido</w:t>
      </w:r>
      <w:r w:rsidR="002223A4" w:rsidRPr="00321B46">
        <w:t>s</w:t>
      </w:r>
      <w:bookmarkEnd w:id="70"/>
      <w:r w:rsidRPr="00321B46">
        <w:t xml:space="preserve"> </w:t>
      </w:r>
    </w:p>
    <w:p w14:paraId="4669053B" w14:textId="6E8E7B66" w:rsidR="006758CE" w:rsidRPr="00321B46" w:rsidRDefault="002223A4" w:rsidP="00F30BCA">
      <w:r w:rsidRPr="00321B46">
        <w:t>E</w:t>
      </w:r>
      <w:r w:rsidR="006758CE" w:rsidRPr="00321B46">
        <w:t xml:space="preserve">l costo de reposición de los activos </w:t>
      </w:r>
      <w:r w:rsidRPr="00321B46">
        <w:t xml:space="preserve">que, al momento de la solicitud de aprobación de la base de activos de acuerdo con la Resolución CREG 011 de 2009, estaban en operación pero no fueron reportados </w:t>
      </w:r>
      <w:r w:rsidR="006758CE" w:rsidRPr="00321B46">
        <w:t>se calcula de la siguiente manera</w:t>
      </w:r>
      <w:r w:rsidRPr="00321B46">
        <w:t xml:space="preserve">, para cada categoría </w:t>
      </w:r>
      <w:r w:rsidRPr="00321B46">
        <w:rPr>
          <w:i/>
        </w:rPr>
        <w:t>k</w:t>
      </w:r>
      <w:r w:rsidRPr="00321B46">
        <w:t xml:space="preserve"> y cada rango </w:t>
      </w:r>
      <w:r w:rsidRPr="00321B46">
        <w:rPr>
          <w:i/>
        </w:rPr>
        <w:t>l</w:t>
      </w:r>
      <w:r w:rsidR="006758CE" w:rsidRPr="00321B46">
        <w:t>:</w:t>
      </w:r>
    </w:p>
    <w:p w14:paraId="45FA7024" w14:textId="626DF4EA" w:rsidR="006758CE" w:rsidRPr="00321B46" w:rsidRDefault="00651802" w:rsidP="00F30BCA">
      <m:oMathPara>
        <m:oMath>
          <m:sSub>
            <m:sSubPr>
              <m:ctrlPr>
                <w:rPr>
                  <w:rFonts w:ascii="Cambria Math" w:hAnsi="Cambria Math"/>
                  <w:i/>
                </w:rPr>
              </m:ctrlPr>
            </m:sSubPr>
            <m:e>
              <m:r>
                <w:rPr>
                  <w:rFonts w:ascii="Cambria Math" w:hAnsi="Cambria Math"/>
                </w:rPr>
                <m:t>CRENR</m:t>
              </m:r>
            </m:e>
            <m:sub>
              <m:r>
                <w:rPr>
                  <w:rFonts w:ascii="Cambria Math" w:hAnsi="Cambria Math"/>
                </w:rPr>
                <m:t>j</m:t>
              </m:r>
              <m:r>
                <w:rPr>
                  <w:rFonts w:ascii="Cambria Math"/>
                </w:rPr>
                <m:t>,k,l</m:t>
              </m:r>
            </m:sub>
          </m:sSub>
          <m:r>
            <w:rPr>
              <w:rFonts w:ascii="Cambria Math"/>
            </w:rPr>
            <m:t>=</m:t>
          </m:r>
          <m:nary>
            <m:naryPr>
              <m:chr m:val="∑"/>
              <m:limLoc m:val="undOvr"/>
              <m:ctrlPr>
                <w:rPr>
                  <w:rFonts w:ascii="Cambria Math" w:hAnsi="Cambria Math"/>
                  <w:i/>
                </w:rPr>
              </m:ctrlPr>
            </m:naryPr>
            <m:sub>
              <m:r>
                <w:rPr>
                  <w:rFonts w:ascii="Cambria Math" w:hAnsi="Cambria Math"/>
                </w:rPr>
                <m:t>i</m:t>
              </m:r>
              <m:r>
                <w:rPr>
                  <w:rFonts w:ascii="Cambria Math"/>
                </w:rPr>
                <m:t>=1</m:t>
              </m:r>
            </m:sub>
            <m:sup>
              <m:sSub>
                <m:sSubPr>
                  <m:ctrlPr>
                    <w:rPr>
                      <w:rFonts w:ascii="Cambria Math" w:hAnsi="Cambria Math"/>
                      <w:i/>
                    </w:rPr>
                  </m:ctrlPr>
                </m:sSubPr>
                <m:e>
                  <m:r>
                    <w:rPr>
                      <w:rFonts w:ascii="Cambria Math" w:hAnsi="Cambria Math"/>
                    </w:rPr>
                    <m:t>NI</m:t>
                  </m:r>
                </m:e>
                <m:sub>
                  <m:r>
                    <w:rPr>
                      <w:rFonts w:ascii="Cambria Math" w:hAnsi="Cambria Math"/>
                    </w:rPr>
                    <m:t>j,k,l</m:t>
                  </m:r>
                </m:sub>
              </m:sSub>
            </m:sup>
            <m:e>
              <m:d>
                <m:dPr>
                  <m:ctrlPr>
                    <w:rPr>
                      <w:rFonts w:ascii="Cambria Math" w:hAnsi="Cambria Math"/>
                      <w:i/>
                    </w:rPr>
                  </m:ctrlPr>
                </m:dPr>
                <m:e>
                  <m:sSub>
                    <m:sSubPr>
                      <m:ctrlPr>
                        <w:rPr>
                          <w:rFonts w:ascii="Cambria Math" w:hAnsi="Cambria Math"/>
                          <w:i/>
                        </w:rPr>
                      </m:ctrlPr>
                    </m:sSubPr>
                    <m:e>
                      <m:r>
                        <w:rPr>
                          <w:rFonts w:ascii="Cambria Math" w:hAnsi="Cambria Math"/>
                        </w:rPr>
                        <m:t>CR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m:t>
                      </m:r>
                    </m:e>
                    <m:sub>
                      <m:r>
                        <w:rPr>
                          <w:rFonts w:ascii="Cambria Math" w:hAnsi="Cambria Math"/>
                        </w:rPr>
                        <m:t>j,i</m:t>
                      </m:r>
                    </m:sub>
                  </m:sSub>
                  <m:r>
                    <w:rPr>
                      <w:rFonts w:ascii="Cambria Math" w:hAnsi="Cambria Math"/>
                    </w:rPr>
                    <m:t>*(1-</m:t>
                  </m:r>
                  <m:sSub>
                    <m:sSubPr>
                      <m:ctrlPr>
                        <w:rPr>
                          <w:rFonts w:ascii="Cambria Math" w:hAnsi="Cambria Math"/>
                          <w:i/>
                        </w:rPr>
                      </m:ctrlPr>
                    </m:sSubPr>
                    <m:e>
                      <m:r>
                        <w:rPr>
                          <w:rFonts w:ascii="Cambria Math" w:hAnsi="Cambria Math"/>
                        </w:rPr>
                        <m:t>RPP</m:t>
                      </m:r>
                    </m:e>
                    <m:sub>
                      <m:r>
                        <w:rPr>
                          <w:rFonts w:ascii="Cambria Math" w:hAnsi="Cambria Math"/>
                        </w:rPr>
                        <m:t>i</m:t>
                      </m:r>
                    </m:sub>
                  </m:sSub>
                  <m:r>
                    <w:rPr>
                      <w:rFonts w:ascii="Cambria Math" w:hAnsi="Cambria Math"/>
                    </w:rPr>
                    <m:t>)</m:t>
                  </m:r>
                </m:e>
              </m:d>
            </m:e>
          </m:nary>
        </m:oMath>
      </m:oMathPara>
    </w:p>
    <w:p w14:paraId="33ACE866" w14:textId="77777777" w:rsidR="006758CE" w:rsidRPr="00321B46" w:rsidRDefault="006758CE" w:rsidP="00F30BCA">
      <w:pPr>
        <w:ind w:left="702" w:hanging="702"/>
        <w:rPr>
          <w:iCs/>
        </w:rPr>
      </w:pPr>
      <w:r w:rsidRPr="00321B46">
        <w:rPr>
          <w:iCs/>
        </w:rPr>
        <w:t>Donde:</w:t>
      </w:r>
    </w:p>
    <w:p w14:paraId="0B5C6A4C" w14:textId="5A082EB1" w:rsidR="006758CE" w:rsidRPr="00321B46" w:rsidRDefault="006758CE" w:rsidP="00F30BCA">
      <w:pPr>
        <w:spacing w:before="120"/>
        <w:ind w:left="1418" w:hanging="1418"/>
        <w:rPr>
          <w:i/>
        </w:rPr>
      </w:pPr>
      <w:r w:rsidRPr="00321B46">
        <w:rPr>
          <w:i/>
          <w:iCs/>
        </w:rPr>
        <w:t>CR</w:t>
      </w:r>
      <w:r w:rsidR="002223A4" w:rsidRPr="00321B46">
        <w:rPr>
          <w:i/>
          <w:iCs/>
        </w:rPr>
        <w:t>E</w:t>
      </w:r>
      <w:r w:rsidRPr="00321B46">
        <w:rPr>
          <w:i/>
          <w:iCs/>
        </w:rPr>
        <w:t>NR</w:t>
      </w:r>
      <w:r w:rsidRPr="00321B46">
        <w:rPr>
          <w:i/>
          <w:iCs/>
          <w:vertAlign w:val="subscript"/>
        </w:rPr>
        <w:t>j,k,l</w:t>
      </w:r>
      <w:r w:rsidRPr="00321B46">
        <w:t>:</w:t>
      </w:r>
      <w:r w:rsidRPr="00321B46">
        <w:tab/>
        <w:t xml:space="preserve">Valor de los activos en operación no incluido para el </w:t>
      </w:r>
      <w:r w:rsidR="002223A4" w:rsidRPr="00321B46">
        <w:t>TN</w:t>
      </w:r>
      <w:r w:rsidRPr="00321B46">
        <w:t xml:space="preserve"> </w:t>
      </w:r>
      <w:r w:rsidRPr="00321B46">
        <w:rPr>
          <w:i/>
        </w:rPr>
        <w:t>j</w:t>
      </w:r>
      <w:r w:rsidR="002223A4" w:rsidRPr="00321B46">
        <w:t xml:space="preserve">, </w:t>
      </w:r>
      <w:r w:rsidRPr="00321B46">
        <w:t xml:space="preserve">en </w:t>
      </w:r>
      <w:r w:rsidR="002223A4" w:rsidRPr="00321B46">
        <w:t xml:space="preserve">la categoría de activos </w:t>
      </w:r>
      <w:r w:rsidRPr="00321B46">
        <w:rPr>
          <w:i/>
        </w:rPr>
        <w:t>k</w:t>
      </w:r>
      <w:r w:rsidRPr="00321B46">
        <w:t xml:space="preserve"> y </w:t>
      </w:r>
      <w:r w:rsidR="002223A4" w:rsidRPr="00321B46">
        <w:t xml:space="preserve">el rango de activos </w:t>
      </w:r>
      <w:r w:rsidRPr="00321B46">
        <w:rPr>
          <w:i/>
        </w:rPr>
        <w:t>l</w:t>
      </w:r>
      <w:r w:rsidRPr="00321B46">
        <w:t>.</w:t>
      </w:r>
    </w:p>
    <w:p w14:paraId="43F73C8D" w14:textId="25D6A12C" w:rsidR="006758CE" w:rsidRPr="00321B46" w:rsidRDefault="006758CE" w:rsidP="00F30BCA">
      <w:pPr>
        <w:ind w:left="1410" w:hanging="1410"/>
      </w:pPr>
      <w:r w:rsidRPr="00321B46">
        <w:rPr>
          <w:i/>
          <w:iCs/>
        </w:rPr>
        <w:t>CR</w:t>
      </w:r>
      <w:r w:rsidRPr="00321B46">
        <w:rPr>
          <w:i/>
          <w:iCs/>
          <w:vertAlign w:val="subscript"/>
        </w:rPr>
        <w:t>i</w:t>
      </w:r>
      <w:r w:rsidRPr="00321B46">
        <w:t>:</w:t>
      </w:r>
      <w:r w:rsidRPr="00321B46">
        <w:tab/>
      </w:r>
      <w:r w:rsidRPr="00321B46">
        <w:tab/>
        <w:t xml:space="preserve">Valor de la UC </w:t>
      </w:r>
      <w:r w:rsidRPr="00321B46">
        <w:rPr>
          <w:i/>
          <w:iCs/>
        </w:rPr>
        <w:t>i</w:t>
      </w:r>
      <w:r w:rsidRPr="00321B46">
        <w:t xml:space="preserve"> definido en el capítulo</w:t>
      </w:r>
      <w:r w:rsidR="00120949" w:rsidRPr="00321B46">
        <w:t xml:space="preserve"> </w:t>
      </w:r>
      <w:r w:rsidR="006C5902" w:rsidRPr="00321B46">
        <w:fldChar w:fldCharType="begin"/>
      </w:r>
      <w:r w:rsidR="006C5902" w:rsidRPr="00321B46">
        <w:instrText xml:space="preserve"> REF _Ref465954654 \r \h \t</w:instrText>
      </w:r>
      <w:r w:rsidR="00383302" w:rsidRPr="00321B46">
        <w:instrText xml:space="preserve"> \* MERGEFORMAT </w:instrText>
      </w:r>
      <w:r w:rsidR="006C5902" w:rsidRPr="00321B46">
        <w:fldChar w:fldCharType="separate"/>
      </w:r>
      <w:r w:rsidR="000F355F">
        <w:t>8</w:t>
      </w:r>
      <w:r w:rsidR="006C5902" w:rsidRPr="00321B46">
        <w:fldChar w:fldCharType="end"/>
      </w:r>
      <w:r w:rsidR="00457F1A" w:rsidRPr="00321B46">
        <w:t xml:space="preserve"> de este anexo</w:t>
      </w:r>
      <w:r w:rsidRPr="00321B46">
        <w:t>.</w:t>
      </w:r>
    </w:p>
    <w:p w14:paraId="7EDAB886" w14:textId="0BCB9E05" w:rsidR="006758CE" w:rsidRPr="00321B46" w:rsidRDefault="006758CE" w:rsidP="00F30BCA">
      <w:pPr>
        <w:tabs>
          <w:tab w:val="left" w:pos="1418"/>
        </w:tabs>
        <w:spacing w:before="120"/>
        <w:ind w:left="1418" w:hanging="1418"/>
      </w:pPr>
      <w:r w:rsidRPr="00321B46">
        <w:rPr>
          <w:i/>
          <w:iCs/>
        </w:rPr>
        <w:t>PU</w:t>
      </w:r>
      <w:r w:rsidRPr="00321B46">
        <w:rPr>
          <w:i/>
          <w:iCs/>
          <w:vertAlign w:val="subscript"/>
        </w:rPr>
        <w:t>j,i</w:t>
      </w:r>
      <w:r w:rsidRPr="00321B46">
        <w:rPr>
          <w:i/>
          <w:iCs/>
        </w:rPr>
        <w:t>:</w:t>
      </w:r>
      <w:r w:rsidRPr="00321B46">
        <w:tab/>
        <w:t xml:space="preserve">Fracción del costo de la UC </w:t>
      </w:r>
      <w:r w:rsidRPr="00321B46">
        <w:rPr>
          <w:i/>
          <w:iCs/>
        </w:rPr>
        <w:t>i</w:t>
      </w:r>
      <w:r w:rsidRPr="00321B46">
        <w:t xml:space="preserve"> del </w:t>
      </w:r>
      <w:r w:rsidR="00120949" w:rsidRPr="00321B46">
        <w:t>TN</w:t>
      </w:r>
      <w:r w:rsidRPr="00321B46">
        <w:t xml:space="preserve"> </w:t>
      </w:r>
      <w:r w:rsidRPr="00321B46">
        <w:rPr>
          <w:i/>
        </w:rPr>
        <w:t>j</w:t>
      </w:r>
      <w:r w:rsidRPr="00321B46">
        <w:t xml:space="preserve"> que es</w:t>
      </w:r>
      <w:r w:rsidRPr="00321B46">
        <w:rPr>
          <w:i/>
        </w:rPr>
        <w:t xml:space="preserve"> </w:t>
      </w:r>
      <w:r w:rsidRPr="00321B46">
        <w:t>remunerada vía cargos por uso.</w:t>
      </w:r>
    </w:p>
    <w:p w14:paraId="7A2F6370" w14:textId="77777777" w:rsidR="00683CC1" w:rsidRPr="00321B46" w:rsidRDefault="00683CC1" w:rsidP="00F30BCA">
      <w:pPr>
        <w:tabs>
          <w:tab w:val="left" w:pos="1418"/>
        </w:tabs>
        <w:spacing w:before="120"/>
        <w:ind w:left="1418" w:hanging="1418"/>
      </w:pPr>
      <w:r w:rsidRPr="00321B46">
        <w:rPr>
          <w:i/>
          <w:iCs/>
        </w:rPr>
        <w:t>RPP</w:t>
      </w:r>
      <w:r w:rsidRPr="00321B46">
        <w:rPr>
          <w:i/>
          <w:iCs/>
          <w:vertAlign w:val="subscript"/>
        </w:rPr>
        <w:t>i</w:t>
      </w:r>
      <w:r w:rsidRPr="00321B46">
        <w:rPr>
          <w:i/>
          <w:iCs/>
        </w:rPr>
        <w:t>:</w:t>
      </w:r>
      <w:r w:rsidRPr="00321B46">
        <w:tab/>
        <w:t xml:space="preserve">Fracción del costo de la UC </w:t>
      </w:r>
      <w:r w:rsidRPr="00321B46">
        <w:rPr>
          <w:i/>
          <w:iCs/>
        </w:rPr>
        <w:t>i</w:t>
      </w:r>
      <w:r w:rsidRPr="00321B46">
        <w:t>, remunerada vía cargos por uso, que no se debe incluir en el cálculo de la tarifa.</w:t>
      </w:r>
    </w:p>
    <w:p w14:paraId="283BE32D" w14:textId="0B4D0E98" w:rsidR="00120949" w:rsidRPr="00321B46" w:rsidRDefault="00120949" w:rsidP="00F30BCA">
      <w:pPr>
        <w:ind w:left="1410" w:hanging="1410"/>
        <w:rPr>
          <w:i/>
        </w:rPr>
      </w:pPr>
      <w:r w:rsidRPr="00321B46">
        <w:rPr>
          <w:i/>
          <w:iCs/>
        </w:rPr>
        <w:t>NI</w:t>
      </w:r>
      <w:r w:rsidRPr="00321B46">
        <w:rPr>
          <w:i/>
          <w:iCs/>
          <w:vertAlign w:val="subscript"/>
        </w:rPr>
        <w:t>j,k,l</w:t>
      </w:r>
      <w:r w:rsidRPr="00321B46">
        <w:t>:</w:t>
      </w:r>
      <w:r w:rsidRPr="00321B46">
        <w:tab/>
        <w:t xml:space="preserve">Número de UC no incluidas en la base de activos del TN </w:t>
      </w:r>
      <w:r w:rsidRPr="00321B46">
        <w:rPr>
          <w:i/>
        </w:rPr>
        <w:t>j</w:t>
      </w:r>
      <w:r w:rsidRPr="00321B46">
        <w:t xml:space="preserve">, en la categoría de activos </w:t>
      </w:r>
      <w:r w:rsidRPr="00321B46">
        <w:rPr>
          <w:i/>
        </w:rPr>
        <w:t>k</w:t>
      </w:r>
      <w:r w:rsidRPr="00321B46">
        <w:t xml:space="preserve"> y el rango de activos </w:t>
      </w:r>
      <w:r w:rsidRPr="00321B46">
        <w:rPr>
          <w:i/>
        </w:rPr>
        <w:t>l</w:t>
      </w:r>
      <w:r w:rsidRPr="00321B46">
        <w:t>.</w:t>
      </w:r>
    </w:p>
    <w:p w14:paraId="7B6F66B5" w14:textId="17E92570" w:rsidR="006758CE" w:rsidRPr="00321B46" w:rsidRDefault="006758CE" w:rsidP="00F30BCA">
      <w:pPr>
        <w:rPr>
          <w:lang w:val="es-CO"/>
        </w:rPr>
      </w:pPr>
      <w:r w:rsidRPr="00321B46">
        <w:t xml:space="preserve">Para determinar el costo de reposición por rango y categorías de activos el </w:t>
      </w:r>
      <w:r w:rsidR="0001207A" w:rsidRPr="00321B46">
        <w:t>TN</w:t>
      </w:r>
      <w:r w:rsidRPr="00321B46">
        <w:t xml:space="preserve"> debe clasificar dichas unidades constructivas en los rangos </w:t>
      </w:r>
      <w:r w:rsidR="0001207A" w:rsidRPr="00321B46">
        <w:t>y</w:t>
      </w:r>
      <w:r w:rsidRPr="00321B46">
        <w:t xml:space="preserve"> las categorías de activos definidas en el numeral</w:t>
      </w:r>
      <w:r w:rsidR="00052F6C" w:rsidRPr="00321B46">
        <w:t xml:space="preserve"> </w:t>
      </w:r>
      <w:r w:rsidR="00052F6C" w:rsidRPr="00321B46">
        <w:fldChar w:fldCharType="begin"/>
      </w:r>
      <w:r w:rsidR="00052F6C" w:rsidRPr="00321B46">
        <w:instrText xml:space="preserve"> REF _Ref460697392 \r \h </w:instrText>
      </w:r>
      <w:r w:rsidR="003276B5" w:rsidRPr="00321B46">
        <w:instrText xml:space="preserve"> \* MERGEFORMAT </w:instrText>
      </w:r>
      <w:r w:rsidR="00052F6C" w:rsidRPr="00321B46">
        <w:fldChar w:fldCharType="separate"/>
      </w:r>
      <w:r w:rsidR="000F355F">
        <w:t>2.2.1.2</w:t>
      </w:r>
      <w:r w:rsidR="00052F6C" w:rsidRPr="00321B46">
        <w:fldChar w:fldCharType="end"/>
      </w:r>
      <w:r w:rsidRPr="00321B46">
        <w:t>.</w:t>
      </w:r>
    </w:p>
    <w:p w14:paraId="7BC43093" w14:textId="46DB81BE" w:rsidR="006758CE" w:rsidRPr="00321B46" w:rsidRDefault="006758CE" w:rsidP="00F30BCA">
      <w:r w:rsidRPr="00321B46">
        <w:t xml:space="preserve">Para poder incluir el valor de estos activos el </w:t>
      </w:r>
      <w:r w:rsidR="00052F6C" w:rsidRPr="00321B46">
        <w:t>TN</w:t>
      </w:r>
      <w:r w:rsidRPr="00321B46">
        <w:t xml:space="preserve"> debe certificar que no se encuentran incluidos en </w:t>
      </w:r>
      <w:r w:rsidR="00052F6C" w:rsidRPr="00321B46">
        <w:t>la base de activos</w:t>
      </w:r>
      <w:r w:rsidRPr="00321B46">
        <w:t xml:space="preserve"> </w:t>
      </w:r>
      <w:r w:rsidR="00052F6C" w:rsidRPr="00321B46">
        <w:t>aprobada</w:t>
      </w:r>
      <w:r w:rsidRPr="00321B46">
        <w:t xml:space="preserve"> y entregar para cada una de las UC a incorporar la siguiente información: municipio, subestación, georreferenciación, características técnicas, fecha de entrada en operación, datos de placa. </w:t>
      </w:r>
    </w:p>
    <w:p w14:paraId="30887D27" w14:textId="08C8E98F" w:rsidR="006758CE" w:rsidRPr="00321B46" w:rsidRDefault="006758CE" w:rsidP="00F30BCA">
      <w:r w:rsidRPr="00321B46">
        <w:t>La Comisión realizará la verificación de estos activos</w:t>
      </w:r>
      <w:r w:rsidR="00052F6C" w:rsidRPr="00321B46">
        <w:t>;</w:t>
      </w:r>
      <w:r w:rsidRPr="00321B46">
        <w:t xml:space="preserve"> en caso de encontrarse diferencias mayores al 5% entre lo reportado y lo verificado y que estas no sean justificadas por el </w:t>
      </w:r>
      <w:r w:rsidR="00052F6C" w:rsidRPr="00321B46">
        <w:t>TN</w:t>
      </w:r>
      <w:r w:rsidRPr="00321B46">
        <w:t>, esta variable no se incluirá en la base inicial de activos.</w:t>
      </w:r>
    </w:p>
    <w:p w14:paraId="198CAE39" w14:textId="77777777" w:rsidR="006758CE" w:rsidRPr="00321B46" w:rsidRDefault="006758CE" w:rsidP="0004502D">
      <w:pPr>
        <w:pStyle w:val="Ttulo5"/>
      </w:pPr>
      <w:bookmarkStart w:id="71" w:name="_Ref460698131"/>
      <w:bookmarkStart w:id="72" w:name="_Ref460419096"/>
      <w:r w:rsidRPr="00321B46">
        <w:t>Valor de los activos fuera de operación</w:t>
      </w:r>
      <w:bookmarkEnd w:id="71"/>
      <w:r w:rsidRPr="00321B46">
        <w:t xml:space="preserve"> </w:t>
      </w:r>
      <w:bookmarkEnd w:id="72"/>
    </w:p>
    <w:p w14:paraId="5AC6D442" w14:textId="615C2C4B" w:rsidR="006758CE" w:rsidRPr="00321B46" w:rsidRDefault="00052F6C" w:rsidP="00F30BCA">
      <w:r w:rsidRPr="00321B46">
        <w:t>E</w:t>
      </w:r>
      <w:r w:rsidR="006758CE" w:rsidRPr="00321B46">
        <w:t xml:space="preserve">l costo de reposición de los activos que </w:t>
      </w:r>
      <w:r w:rsidRPr="00321B46">
        <w:t xml:space="preserve">hacen parte de la base de activos vigente pero </w:t>
      </w:r>
      <w:r w:rsidR="006758CE" w:rsidRPr="00321B46">
        <w:t xml:space="preserve">salieron de operación </w:t>
      </w:r>
      <w:r w:rsidRPr="00321B46">
        <w:t>entre</w:t>
      </w:r>
      <w:r w:rsidR="006758CE" w:rsidRPr="00321B46">
        <w:t xml:space="preserve"> enero de 200</w:t>
      </w:r>
      <w:r w:rsidRPr="00321B46">
        <w:t>9</w:t>
      </w:r>
      <w:r w:rsidR="006758CE" w:rsidRPr="00321B46">
        <w:t xml:space="preserve"> </w:t>
      </w:r>
      <w:r w:rsidRPr="00321B46">
        <w:t>y</w:t>
      </w:r>
      <w:r w:rsidR="006758CE" w:rsidRPr="00321B46">
        <w:t xml:space="preserve"> la fecha de corte se calcula de la siguiente manera:</w:t>
      </w:r>
    </w:p>
    <w:p w14:paraId="18C9C32B" w14:textId="111B49C7" w:rsidR="006758CE" w:rsidRPr="00321B46" w:rsidRDefault="00651802" w:rsidP="00F30BCA">
      <m:oMathPara>
        <m:oMath>
          <m:sSub>
            <m:sSubPr>
              <m:ctrlPr>
                <w:rPr>
                  <w:rFonts w:ascii="Cambria Math" w:hAnsi="Cambria Math"/>
                  <w:i/>
                </w:rPr>
              </m:ctrlPr>
            </m:sSubPr>
            <m:e>
              <m:r>
                <w:rPr>
                  <w:rFonts w:ascii="Cambria Math" w:hAnsi="Cambria Math"/>
                </w:rPr>
                <m:t>CREFO</m:t>
              </m:r>
            </m:e>
            <m:sub>
              <m:r>
                <w:rPr>
                  <w:rFonts w:ascii="Cambria Math" w:hAnsi="Cambria Math"/>
                </w:rPr>
                <m:t>j</m:t>
              </m:r>
              <m:r>
                <w:rPr>
                  <w:rFonts w:ascii="Cambria Math"/>
                </w:rPr>
                <m:t>,k,l</m:t>
              </m:r>
            </m:sub>
          </m:sSub>
          <m:r>
            <w:rPr>
              <w:rFonts w:ascii="Cambria Math"/>
            </w:rPr>
            <m:t>=</m:t>
          </m:r>
          <m:nary>
            <m:naryPr>
              <m:chr m:val="∑"/>
              <m:limLoc m:val="undOvr"/>
              <m:ctrlPr>
                <w:rPr>
                  <w:rFonts w:ascii="Cambria Math" w:hAnsi="Cambria Math"/>
                  <w:i/>
                </w:rPr>
              </m:ctrlPr>
            </m:naryPr>
            <m:sub>
              <m:r>
                <w:rPr>
                  <w:rFonts w:ascii="Cambria Math" w:hAnsi="Cambria Math"/>
                </w:rPr>
                <m:t>i</m:t>
              </m:r>
              <m:r>
                <w:rPr>
                  <w:rFonts w:ascii="Cambria Math"/>
                </w:rPr>
                <m:t>=1</m:t>
              </m:r>
            </m:sub>
            <m:sup>
              <m:sSub>
                <m:sSubPr>
                  <m:ctrlPr>
                    <w:rPr>
                      <w:rFonts w:ascii="Cambria Math" w:hAnsi="Cambria Math"/>
                      <w:i/>
                    </w:rPr>
                  </m:ctrlPr>
                </m:sSubPr>
                <m:e>
                  <m:r>
                    <w:rPr>
                      <w:rFonts w:ascii="Cambria Math" w:hAnsi="Cambria Math"/>
                    </w:rPr>
                    <m:t>FO</m:t>
                  </m:r>
                </m:e>
                <m:sub>
                  <m:r>
                    <w:rPr>
                      <w:rFonts w:ascii="Cambria Math" w:hAnsi="Cambria Math"/>
                    </w:rPr>
                    <m:t>j,k,l</m:t>
                  </m:r>
                </m:sub>
              </m:sSub>
            </m:sup>
            <m:e>
              <m:d>
                <m:dPr>
                  <m:ctrlPr>
                    <w:rPr>
                      <w:rFonts w:ascii="Cambria Math" w:hAnsi="Cambria Math"/>
                      <w:i/>
                    </w:rPr>
                  </m:ctrlPr>
                </m:dPr>
                <m:e>
                  <m:sSub>
                    <m:sSubPr>
                      <m:ctrlPr>
                        <w:rPr>
                          <w:rFonts w:ascii="Cambria Math" w:hAnsi="Cambria Math"/>
                          <w:i/>
                        </w:rPr>
                      </m:ctrlPr>
                    </m:sSubPr>
                    <m:e>
                      <m:r>
                        <w:rPr>
                          <w:rFonts w:ascii="Cambria Math" w:hAnsi="Cambria Math"/>
                        </w:rPr>
                        <m:t>CR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m:t>
                      </m:r>
                    </m:e>
                    <m:sub>
                      <m:r>
                        <w:rPr>
                          <w:rFonts w:ascii="Cambria Math" w:hAnsi="Cambria Math"/>
                        </w:rPr>
                        <m:t>j,i</m:t>
                      </m:r>
                    </m:sub>
                  </m:sSub>
                  <m:r>
                    <w:rPr>
                      <w:rFonts w:ascii="Cambria Math" w:hAnsi="Cambria Math"/>
                    </w:rPr>
                    <m:t>*(1-</m:t>
                  </m:r>
                  <m:sSub>
                    <m:sSubPr>
                      <m:ctrlPr>
                        <w:rPr>
                          <w:rFonts w:ascii="Cambria Math" w:hAnsi="Cambria Math"/>
                          <w:i/>
                        </w:rPr>
                      </m:ctrlPr>
                    </m:sSubPr>
                    <m:e>
                      <m:r>
                        <w:rPr>
                          <w:rFonts w:ascii="Cambria Math" w:hAnsi="Cambria Math"/>
                        </w:rPr>
                        <m:t>RPP</m:t>
                      </m:r>
                    </m:e>
                    <m:sub>
                      <m:r>
                        <w:rPr>
                          <w:rFonts w:ascii="Cambria Math" w:hAnsi="Cambria Math"/>
                        </w:rPr>
                        <m:t>i</m:t>
                      </m:r>
                    </m:sub>
                  </m:sSub>
                  <m:r>
                    <w:rPr>
                      <w:rFonts w:ascii="Cambria Math" w:hAnsi="Cambria Math"/>
                    </w:rPr>
                    <m:t>)</m:t>
                  </m:r>
                </m:e>
              </m:d>
            </m:e>
          </m:nary>
        </m:oMath>
      </m:oMathPara>
    </w:p>
    <w:p w14:paraId="0F50FE46" w14:textId="77777777" w:rsidR="006758CE" w:rsidRPr="00321B46" w:rsidRDefault="006758CE" w:rsidP="00F30BCA">
      <w:pPr>
        <w:ind w:left="702" w:hanging="702"/>
        <w:rPr>
          <w:iCs/>
        </w:rPr>
      </w:pPr>
      <w:r w:rsidRPr="00321B46">
        <w:rPr>
          <w:iCs/>
        </w:rPr>
        <w:t>Donde:</w:t>
      </w:r>
    </w:p>
    <w:p w14:paraId="31377901" w14:textId="17B34C7F" w:rsidR="006758CE" w:rsidRPr="00321B46" w:rsidRDefault="006758CE" w:rsidP="00F30BCA">
      <w:pPr>
        <w:spacing w:before="120"/>
        <w:ind w:left="1418" w:hanging="1418"/>
        <w:rPr>
          <w:i/>
          <w:iCs/>
        </w:rPr>
      </w:pPr>
      <w:r w:rsidRPr="00321B46">
        <w:rPr>
          <w:i/>
          <w:iCs/>
        </w:rPr>
        <w:t>CR</w:t>
      </w:r>
      <w:r w:rsidR="00052F6C" w:rsidRPr="00321B46">
        <w:rPr>
          <w:i/>
          <w:iCs/>
        </w:rPr>
        <w:t>E</w:t>
      </w:r>
      <w:r w:rsidRPr="00321B46">
        <w:rPr>
          <w:i/>
          <w:iCs/>
        </w:rPr>
        <w:t>FO</w:t>
      </w:r>
      <w:r w:rsidRPr="00321B46">
        <w:rPr>
          <w:i/>
          <w:iCs/>
          <w:vertAlign w:val="subscript"/>
        </w:rPr>
        <w:t>j,k,l</w:t>
      </w:r>
      <w:r w:rsidRPr="00321B46">
        <w:t>:</w:t>
      </w:r>
      <w:r w:rsidRPr="00321B46">
        <w:tab/>
        <w:t xml:space="preserve">Costo de reposición de los activos fuera de operación del </w:t>
      </w:r>
      <w:r w:rsidR="00052F6C" w:rsidRPr="00321B46">
        <w:t xml:space="preserve">TN </w:t>
      </w:r>
      <w:r w:rsidR="00052F6C" w:rsidRPr="00321B46">
        <w:rPr>
          <w:i/>
        </w:rPr>
        <w:t>j</w:t>
      </w:r>
      <w:r w:rsidR="00052F6C" w:rsidRPr="00321B46">
        <w:t xml:space="preserve">, en la categoría de activos </w:t>
      </w:r>
      <w:r w:rsidR="00052F6C" w:rsidRPr="00321B46">
        <w:rPr>
          <w:i/>
        </w:rPr>
        <w:t>k</w:t>
      </w:r>
      <w:r w:rsidR="00052F6C" w:rsidRPr="00321B46">
        <w:t xml:space="preserve"> y el rango de activos </w:t>
      </w:r>
      <w:r w:rsidR="00052F6C" w:rsidRPr="00321B46">
        <w:rPr>
          <w:i/>
        </w:rPr>
        <w:t>l</w:t>
      </w:r>
      <w:r w:rsidR="00052F6C" w:rsidRPr="00321B46">
        <w:t>.</w:t>
      </w:r>
    </w:p>
    <w:p w14:paraId="3F8267CF" w14:textId="664DFCE5" w:rsidR="00052F6C" w:rsidRPr="00321B46" w:rsidRDefault="00052F6C" w:rsidP="00F30BCA">
      <w:pPr>
        <w:ind w:left="1410" w:hanging="1410"/>
      </w:pPr>
      <w:r w:rsidRPr="00321B46">
        <w:rPr>
          <w:i/>
          <w:iCs/>
        </w:rPr>
        <w:t>CR</w:t>
      </w:r>
      <w:r w:rsidRPr="00321B46">
        <w:rPr>
          <w:i/>
          <w:iCs/>
          <w:vertAlign w:val="subscript"/>
        </w:rPr>
        <w:t>i</w:t>
      </w:r>
      <w:r w:rsidRPr="00321B46">
        <w:t>:</w:t>
      </w:r>
      <w:r w:rsidRPr="00321B46">
        <w:tab/>
      </w:r>
      <w:r w:rsidRPr="00321B46">
        <w:tab/>
        <w:t xml:space="preserve">Valor de la UC </w:t>
      </w:r>
      <w:r w:rsidRPr="00321B46">
        <w:rPr>
          <w:i/>
          <w:iCs/>
        </w:rPr>
        <w:t>i</w:t>
      </w:r>
      <w:r w:rsidRPr="00321B46">
        <w:t xml:space="preserve"> definido en el capítulo </w:t>
      </w:r>
      <w:r w:rsidR="006C5902" w:rsidRPr="00321B46">
        <w:fldChar w:fldCharType="begin"/>
      </w:r>
      <w:r w:rsidR="006C5902" w:rsidRPr="00321B46">
        <w:instrText xml:space="preserve"> REF _Ref465954654 \r \h \t</w:instrText>
      </w:r>
      <w:r w:rsidR="00383302" w:rsidRPr="00321B46">
        <w:instrText xml:space="preserve"> \* MERGEFORMAT </w:instrText>
      </w:r>
      <w:r w:rsidR="006C5902" w:rsidRPr="00321B46">
        <w:fldChar w:fldCharType="separate"/>
      </w:r>
      <w:r w:rsidR="000F355F">
        <w:t>8</w:t>
      </w:r>
      <w:r w:rsidR="006C5902" w:rsidRPr="00321B46">
        <w:fldChar w:fldCharType="end"/>
      </w:r>
      <w:r w:rsidR="00457F1A" w:rsidRPr="00321B46">
        <w:t xml:space="preserve"> de este anexo</w:t>
      </w:r>
      <w:r w:rsidRPr="00321B46">
        <w:t>.</w:t>
      </w:r>
    </w:p>
    <w:p w14:paraId="08D53716" w14:textId="77777777" w:rsidR="00052F6C" w:rsidRPr="00321B46" w:rsidRDefault="00052F6C" w:rsidP="00F30BCA">
      <w:pPr>
        <w:tabs>
          <w:tab w:val="left" w:pos="1418"/>
        </w:tabs>
        <w:spacing w:before="120"/>
        <w:ind w:left="1418" w:hanging="1418"/>
      </w:pPr>
      <w:r w:rsidRPr="00321B46">
        <w:rPr>
          <w:i/>
          <w:iCs/>
        </w:rPr>
        <w:t>PU</w:t>
      </w:r>
      <w:r w:rsidRPr="00321B46">
        <w:rPr>
          <w:i/>
          <w:iCs/>
          <w:vertAlign w:val="subscript"/>
        </w:rPr>
        <w:t>j,i</w:t>
      </w:r>
      <w:r w:rsidRPr="00321B46">
        <w:rPr>
          <w:i/>
          <w:iCs/>
        </w:rPr>
        <w:t>:</w:t>
      </w:r>
      <w:r w:rsidRPr="00321B46">
        <w:tab/>
        <w:t xml:space="preserve">Fracción del costo de la UC </w:t>
      </w:r>
      <w:r w:rsidRPr="00321B46">
        <w:rPr>
          <w:i/>
          <w:iCs/>
        </w:rPr>
        <w:t>i</w:t>
      </w:r>
      <w:r w:rsidRPr="00321B46">
        <w:t xml:space="preserve"> del TN </w:t>
      </w:r>
      <w:r w:rsidRPr="00321B46">
        <w:rPr>
          <w:i/>
        </w:rPr>
        <w:t>j</w:t>
      </w:r>
      <w:r w:rsidRPr="00321B46">
        <w:t xml:space="preserve"> que es</w:t>
      </w:r>
      <w:r w:rsidRPr="00321B46">
        <w:rPr>
          <w:i/>
        </w:rPr>
        <w:t xml:space="preserve"> </w:t>
      </w:r>
      <w:r w:rsidRPr="00321B46">
        <w:t>remunerada vía cargos por uso.</w:t>
      </w:r>
    </w:p>
    <w:p w14:paraId="76AEF405" w14:textId="356C64CE" w:rsidR="00052F6C" w:rsidRPr="00321B46" w:rsidRDefault="00052F6C" w:rsidP="00F30BCA">
      <w:pPr>
        <w:tabs>
          <w:tab w:val="left" w:pos="1418"/>
        </w:tabs>
        <w:spacing w:before="120"/>
        <w:ind w:left="1418" w:hanging="1418"/>
      </w:pPr>
      <w:r w:rsidRPr="00321B46">
        <w:rPr>
          <w:i/>
          <w:iCs/>
        </w:rPr>
        <w:t>RPP</w:t>
      </w:r>
      <w:r w:rsidRPr="00321B46">
        <w:rPr>
          <w:i/>
          <w:iCs/>
          <w:vertAlign w:val="subscript"/>
        </w:rPr>
        <w:t>i</w:t>
      </w:r>
      <w:r w:rsidRPr="00321B46">
        <w:rPr>
          <w:i/>
          <w:iCs/>
        </w:rPr>
        <w:t>:</w:t>
      </w:r>
      <w:r w:rsidRPr="00321B46">
        <w:tab/>
        <w:t xml:space="preserve">Fracción del costo de la UC </w:t>
      </w:r>
      <w:r w:rsidRPr="00321B46">
        <w:rPr>
          <w:i/>
          <w:iCs/>
        </w:rPr>
        <w:t>i</w:t>
      </w:r>
      <w:r w:rsidR="00674134" w:rsidRPr="00321B46">
        <w:t xml:space="preserve">, </w:t>
      </w:r>
      <w:r w:rsidRPr="00321B46">
        <w:t>remunerada vía cargos por uso</w:t>
      </w:r>
      <w:r w:rsidR="00674134" w:rsidRPr="00321B46">
        <w:t>,</w:t>
      </w:r>
      <w:r w:rsidRPr="00321B46">
        <w:t xml:space="preserve"> que no se debe incluir en el cálculo de la tarifa.</w:t>
      </w:r>
    </w:p>
    <w:p w14:paraId="30D46A64" w14:textId="671A59A7" w:rsidR="00052F6C" w:rsidRPr="00321B46" w:rsidRDefault="008A7CEB" w:rsidP="00F30BCA">
      <w:pPr>
        <w:ind w:left="1410" w:hanging="1410"/>
        <w:rPr>
          <w:i/>
        </w:rPr>
      </w:pPr>
      <w:r w:rsidRPr="00321B46">
        <w:rPr>
          <w:i/>
          <w:iCs/>
        </w:rPr>
        <w:t>FO</w:t>
      </w:r>
      <w:r w:rsidR="00052F6C" w:rsidRPr="00321B46">
        <w:rPr>
          <w:i/>
          <w:iCs/>
          <w:vertAlign w:val="subscript"/>
        </w:rPr>
        <w:t>j,k,l</w:t>
      </w:r>
      <w:r w:rsidR="00052F6C" w:rsidRPr="00321B46">
        <w:t>:</w:t>
      </w:r>
      <w:r w:rsidR="00052F6C" w:rsidRPr="00321B46">
        <w:tab/>
      </w:r>
      <w:r w:rsidRPr="00321B46">
        <w:t xml:space="preserve">Número de UC que salieron de operación y están </w:t>
      </w:r>
      <w:r w:rsidR="00052F6C" w:rsidRPr="00321B46">
        <w:t xml:space="preserve">incluidas en la base de activos </w:t>
      </w:r>
      <w:r w:rsidRPr="00321B46">
        <w:t xml:space="preserve">vigente </w:t>
      </w:r>
      <w:r w:rsidR="00052F6C" w:rsidRPr="00321B46">
        <w:t xml:space="preserve">del TN </w:t>
      </w:r>
      <w:r w:rsidR="00052F6C" w:rsidRPr="00321B46">
        <w:rPr>
          <w:i/>
        </w:rPr>
        <w:t>j</w:t>
      </w:r>
      <w:r w:rsidR="00052F6C" w:rsidRPr="00321B46">
        <w:t xml:space="preserve">, en la categoría de activos </w:t>
      </w:r>
      <w:r w:rsidR="00052F6C" w:rsidRPr="00321B46">
        <w:rPr>
          <w:i/>
        </w:rPr>
        <w:t>k</w:t>
      </w:r>
      <w:r w:rsidR="00052F6C" w:rsidRPr="00321B46">
        <w:t xml:space="preserve"> y el rango de activos </w:t>
      </w:r>
      <w:r w:rsidR="00052F6C" w:rsidRPr="00321B46">
        <w:rPr>
          <w:i/>
        </w:rPr>
        <w:t>l</w:t>
      </w:r>
      <w:r w:rsidR="00052F6C" w:rsidRPr="00321B46">
        <w:t>.</w:t>
      </w:r>
    </w:p>
    <w:p w14:paraId="47116EAB" w14:textId="23197A6B" w:rsidR="006758CE" w:rsidRPr="00321B46" w:rsidRDefault="006758CE" w:rsidP="00F30BCA">
      <w:r w:rsidRPr="00321B46">
        <w:t xml:space="preserve">El </w:t>
      </w:r>
      <w:r w:rsidR="008A7CEB" w:rsidRPr="00321B46">
        <w:t>TN</w:t>
      </w:r>
      <w:r w:rsidRPr="00321B46">
        <w:t xml:space="preserve"> debe identificar cu</w:t>
      </w:r>
      <w:r w:rsidR="008A7CEB" w:rsidRPr="00321B46">
        <w:t>á</w:t>
      </w:r>
      <w:r w:rsidRPr="00321B46">
        <w:t>les UC de</w:t>
      </w:r>
      <w:r w:rsidR="008A7CEB" w:rsidRPr="00321B46">
        <w:t xml:space="preserve"> </w:t>
      </w:r>
      <w:r w:rsidRPr="00321B46">
        <w:t>l</w:t>
      </w:r>
      <w:r w:rsidR="008A7CEB" w:rsidRPr="00321B46">
        <w:t>a</w:t>
      </w:r>
      <w:r w:rsidRPr="00321B46">
        <w:t xml:space="preserve"> </w:t>
      </w:r>
      <w:r w:rsidR="008A7CEB" w:rsidRPr="00321B46">
        <w:t>base de activos aprobada</w:t>
      </w:r>
      <w:r w:rsidRPr="00321B46">
        <w:t xml:space="preserve"> salieron de operación. </w:t>
      </w:r>
    </w:p>
    <w:p w14:paraId="3D384B89" w14:textId="6B34A1E3" w:rsidR="008A7CEB" w:rsidRPr="00321B46" w:rsidRDefault="008A7CEB" w:rsidP="00F30BCA">
      <w:r w:rsidRPr="00321B46">
        <w:t xml:space="preserve">Para determinar el costo de reposición por rango y categorías de activos el TN debe clasificar dichas unidades constructivas en los rangos y las categorías de activos definidas en el numeral </w:t>
      </w:r>
      <w:r w:rsidRPr="00321B46">
        <w:fldChar w:fldCharType="begin"/>
      </w:r>
      <w:r w:rsidRPr="00321B46">
        <w:instrText xml:space="preserve"> REF _Ref460697392 \r \h </w:instrText>
      </w:r>
      <w:r w:rsidR="003276B5" w:rsidRPr="00321B46">
        <w:instrText xml:space="preserve"> \* MERGEFORMAT </w:instrText>
      </w:r>
      <w:r w:rsidRPr="00321B46">
        <w:fldChar w:fldCharType="separate"/>
      </w:r>
      <w:r w:rsidR="000F355F">
        <w:t>2.2.1.2</w:t>
      </w:r>
      <w:r w:rsidRPr="00321B46">
        <w:fldChar w:fldCharType="end"/>
      </w:r>
      <w:r w:rsidRPr="00321B46">
        <w:t>.</w:t>
      </w:r>
    </w:p>
    <w:p w14:paraId="5C9770D4" w14:textId="77777777" w:rsidR="00C168F6" w:rsidRPr="00321B46" w:rsidRDefault="00C168F6" w:rsidP="0004502D">
      <w:pPr>
        <w:pStyle w:val="Ttulo4"/>
      </w:pPr>
      <w:bookmarkStart w:id="73" w:name="_Ref445305080"/>
      <w:bookmarkStart w:id="74" w:name="_Ref439948508"/>
      <w:bookmarkEnd w:id="69"/>
      <w:r w:rsidRPr="00321B46">
        <w:t>Capital remanente de la base inicial</w:t>
      </w:r>
      <w:bookmarkEnd w:id="73"/>
      <w:bookmarkEnd w:id="74"/>
      <w:r w:rsidRPr="00321B46">
        <w:t xml:space="preserve"> </w:t>
      </w:r>
    </w:p>
    <w:p w14:paraId="38D06569" w14:textId="7C85C590" w:rsidR="00C168F6" w:rsidRPr="00321B46" w:rsidRDefault="00C168F6" w:rsidP="00F30BCA">
      <w:pPr>
        <w:rPr>
          <w:lang w:val="es-ES_tradnl"/>
        </w:rPr>
      </w:pPr>
      <w:r w:rsidRPr="00321B46">
        <w:rPr>
          <w:lang w:val="es-ES_tradnl"/>
        </w:rPr>
        <w:t xml:space="preserve">En la </w:t>
      </w:r>
      <w:r w:rsidRPr="00321B46">
        <w:rPr>
          <w:lang w:val="es-ES_tradnl"/>
        </w:rPr>
        <w:fldChar w:fldCharType="begin"/>
      </w:r>
      <w:r w:rsidRPr="00321B46">
        <w:rPr>
          <w:lang w:val="es-ES_tradnl"/>
        </w:rPr>
        <w:instrText xml:space="preserve"> REF _Ref439943937 \h </w:instrText>
      </w:r>
      <w:r w:rsidR="003276B5" w:rsidRPr="00321B46">
        <w:rPr>
          <w:lang w:val="es-ES_tradnl"/>
        </w:rPr>
        <w:instrText xml:space="preserve"> \* MERGEFORMAT </w:instrText>
      </w:r>
      <w:r w:rsidRPr="00321B46">
        <w:rPr>
          <w:lang w:val="es-ES_tradnl"/>
        </w:rPr>
      </w:r>
      <w:r w:rsidRPr="00321B46">
        <w:rPr>
          <w:lang w:val="es-ES_tradnl"/>
        </w:rPr>
        <w:fldChar w:fldCharType="separate"/>
      </w:r>
      <w:r w:rsidR="000F355F" w:rsidRPr="00321B46">
        <w:t xml:space="preserve">Tabla </w:t>
      </w:r>
      <w:r w:rsidR="000F355F">
        <w:rPr>
          <w:noProof/>
        </w:rPr>
        <w:t>2</w:t>
      </w:r>
      <w:r w:rsidRPr="00321B46">
        <w:rPr>
          <w:lang w:val="es-ES_tradnl"/>
        </w:rPr>
        <w:fldChar w:fldCharType="end"/>
      </w:r>
      <w:r w:rsidRPr="00321B46">
        <w:rPr>
          <w:lang w:val="es-ES_tradnl"/>
        </w:rPr>
        <w:t xml:space="preserve"> se presenta el valor de la variable capital remanente de los activos, </w:t>
      </w:r>
      <w:r w:rsidR="00143803" w:rsidRPr="00321B46">
        <w:rPr>
          <w:i/>
          <w:lang w:val="es-ES_tradnl"/>
        </w:rPr>
        <w:t>CRA</w:t>
      </w:r>
      <w:r w:rsidR="00143803" w:rsidRPr="00321B46">
        <w:rPr>
          <w:i/>
          <w:vertAlign w:val="subscript"/>
          <w:lang w:val="es-ES_tradnl"/>
        </w:rPr>
        <w:t>l</w:t>
      </w:r>
      <w:r w:rsidRPr="00321B46">
        <w:rPr>
          <w:i/>
          <w:vertAlign w:val="subscript"/>
          <w:lang w:val="es-ES_tradnl"/>
        </w:rPr>
        <w:t>,</w:t>
      </w:r>
      <w:r w:rsidR="00143803" w:rsidRPr="00321B46">
        <w:rPr>
          <w:i/>
          <w:vertAlign w:val="subscript"/>
          <w:lang w:val="es-ES_tradnl"/>
        </w:rPr>
        <w:t>vu</w:t>
      </w:r>
      <w:r w:rsidRPr="00321B46">
        <w:rPr>
          <w:lang w:val="es-ES_tradnl"/>
        </w:rPr>
        <w:t xml:space="preserve">, según el rango y la vida útil de referencia. </w:t>
      </w:r>
    </w:p>
    <w:p w14:paraId="2DCF324E" w14:textId="2B67868D" w:rsidR="00C168F6" w:rsidRPr="00321B46" w:rsidRDefault="00C168F6" w:rsidP="00F30BCA">
      <w:pPr>
        <w:pStyle w:val="Descripcin"/>
        <w:rPr>
          <w:lang w:val="es-ES_tradnl"/>
        </w:rPr>
      </w:pPr>
      <w:bookmarkStart w:id="75" w:name="_Ref439943937"/>
      <w:bookmarkStart w:id="76" w:name="_Ref439949796"/>
      <w:r w:rsidRPr="00321B46">
        <w:t xml:space="preserve">Tabla </w:t>
      </w:r>
      <w:r w:rsidRPr="00321B46">
        <w:fldChar w:fldCharType="begin"/>
      </w:r>
      <w:r w:rsidRPr="00321B46">
        <w:instrText xml:space="preserve"> SEQ Tabla \* ARABIC </w:instrText>
      </w:r>
      <w:r w:rsidRPr="00321B46">
        <w:fldChar w:fldCharType="separate"/>
      </w:r>
      <w:r w:rsidR="000F355F">
        <w:rPr>
          <w:noProof/>
        </w:rPr>
        <w:t>2</w:t>
      </w:r>
      <w:r w:rsidRPr="00321B46">
        <w:fldChar w:fldCharType="end"/>
      </w:r>
      <w:bookmarkEnd w:id="75"/>
      <w:r w:rsidRPr="00321B46">
        <w:t xml:space="preserve"> </w:t>
      </w:r>
      <w:r w:rsidR="00EE1DE7" w:rsidRPr="00321B46">
        <w:t xml:space="preserve">Factor de capital </w:t>
      </w:r>
      <w:r w:rsidRPr="00321B46">
        <w:t>remanente</w:t>
      </w:r>
      <w:bookmarkEnd w:id="76"/>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1528"/>
        <w:gridCol w:w="1497"/>
        <w:gridCol w:w="1497"/>
      </w:tblGrid>
      <w:tr w:rsidR="00F66546" w:rsidRPr="00321B46" w14:paraId="2D216657" w14:textId="77777777" w:rsidTr="009A7C14">
        <w:trPr>
          <w:trHeight w:val="1020"/>
          <w:tblHeader/>
          <w:jc w:val="center"/>
        </w:trPr>
        <w:tc>
          <w:tcPr>
            <w:tcW w:w="1569" w:type="dxa"/>
            <w:shd w:val="clear" w:color="auto" w:fill="auto"/>
            <w:vAlign w:val="center"/>
            <w:hideMark/>
          </w:tcPr>
          <w:p w14:paraId="00C9A6EB" w14:textId="77777777" w:rsidR="00F66546" w:rsidRPr="00321B46" w:rsidRDefault="00F66546" w:rsidP="00F30BCA">
            <w:pPr>
              <w:spacing w:before="0" w:after="0"/>
              <w:jc w:val="center"/>
              <w:rPr>
                <w:rFonts w:cs="Arial"/>
                <w:b/>
                <w:bCs/>
                <w:color w:val="000000"/>
                <w:sz w:val="20"/>
                <w:szCs w:val="20"/>
                <w:lang w:val="es-CO" w:eastAsia="es-CO"/>
              </w:rPr>
            </w:pPr>
            <w:r w:rsidRPr="00321B46">
              <w:rPr>
                <w:rFonts w:cs="Arial"/>
                <w:b/>
                <w:bCs/>
                <w:color w:val="000000"/>
                <w:sz w:val="20"/>
                <w:szCs w:val="20"/>
                <w:lang w:val="es-CO" w:eastAsia="es-CO"/>
              </w:rPr>
              <w:t xml:space="preserve">Vida útil referencia </w:t>
            </w:r>
            <w:r w:rsidRPr="00321B46">
              <w:rPr>
                <w:rFonts w:cs="Arial"/>
                <w:bCs/>
                <w:color w:val="000000"/>
                <w:sz w:val="20"/>
                <w:szCs w:val="20"/>
                <w:lang w:val="es-CO" w:eastAsia="es-CO"/>
              </w:rPr>
              <w:t>(</w:t>
            </w:r>
            <w:r w:rsidRPr="00321B46">
              <w:rPr>
                <w:rFonts w:cs="Arial"/>
                <w:bCs/>
                <w:i/>
                <w:color w:val="000000"/>
                <w:sz w:val="20"/>
                <w:szCs w:val="20"/>
                <w:lang w:val="es-CO" w:eastAsia="es-CO"/>
              </w:rPr>
              <w:t>vu</w:t>
            </w:r>
            <w:r w:rsidRPr="00321B46">
              <w:rPr>
                <w:rFonts w:cs="Arial"/>
                <w:bCs/>
                <w:color w:val="000000"/>
                <w:sz w:val="20"/>
                <w:szCs w:val="20"/>
                <w:lang w:val="es-CO" w:eastAsia="es-CO"/>
              </w:rPr>
              <w:t>)</w:t>
            </w:r>
          </w:p>
        </w:tc>
        <w:tc>
          <w:tcPr>
            <w:tcW w:w="1528" w:type="dxa"/>
            <w:shd w:val="clear" w:color="auto" w:fill="auto"/>
            <w:vAlign w:val="center"/>
            <w:hideMark/>
          </w:tcPr>
          <w:p w14:paraId="53152AE9" w14:textId="77777777" w:rsidR="00F66546" w:rsidRPr="00321B46" w:rsidRDefault="00F66546" w:rsidP="00F30BCA">
            <w:pPr>
              <w:spacing w:before="0" w:after="0"/>
              <w:jc w:val="center"/>
              <w:rPr>
                <w:rFonts w:cs="Arial"/>
                <w:b/>
                <w:bCs/>
                <w:color w:val="000000"/>
                <w:sz w:val="20"/>
                <w:szCs w:val="20"/>
                <w:lang w:val="es-CO" w:eastAsia="es-CO"/>
              </w:rPr>
            </w:pPr>
            <w:r w:rsidRPr="00321B46">
              <w:rPr>
                <w:rFonts w:cs="Arial"/>
                <w:b/>
                <w:bCs/>
                <w:color w:val="000000"/>
                <w:sz w:val="20"/>
                <w:szCs w:val="20"/>
                <w:lang w:val="es-CO" w:eastAsia="es-CO"/>
              </w:rPr>
              <w:t xml:space="preserve">Capital remanente, rango 1 </w:t>
            </w:r>
            <w:r w:rsidRPr="00321B46">
              <w:rPr>
                <w:rFonts w:cs="Arial"/>
                <w:b/>
                <w:bCs/>
                <w:i/>
                <w:color w:val="000000"/>
                <w:sz w:val="20"/>
                <w:szCs w:val="20"/>
                <w:lang w:val="es-CO" w:eastAsia="es-CO"/>
              </w:rPr>
              <w:t>CRA</w:t>
            </w:r>
            <w:r w:rsidRPr="00321B46">
              <w:rPr>
                <w:rFonts w:cs="Arial"/>
                <w:b/>
                <w:bCs/>
                <w:i/>
                <w:color w:val="000000"/>
                <w:sz w:val="20"/>
                <w:szCs w:val="20"/>
                <w:vertAlign w:val="subscript"/>
                <w:lang w:val="es-CO" w:eastAsia="es-CO"/>
              </w:rPr>
              <w:t>1,vu</w:t>
            </w:r>
          </w:p>
        </w:tc>
        <w:tc>
          <w:tcPr>
            <w:tcW w:w="1497" w:type="dxa"/>
            <w:vAlign w:val="center"/>
          </w:tcPr>
          <w:p w14:paraId="6E1C068F" w14:textId="77777777" w:rsidR="00F66546" w:rsidRPr="00321B46" w:rsidRDefault="00F66546" w:rsidP="00F30BCA">
            <w:pPr>
              <w:spacing w:before="0" w:after="0"/>
              <w:jc w:val="center"/>
              <w:rPr>
                <w:rFonts w:cs="Arial"/>
                <w:b/>
                <w:bCs/>
                <w:color w:val="000000"/>
                <w:sz w:val="20"/>
                <w:szCs w:val="20"/>
                <w:lang w:val="es-CO" w:eastAsia="es-CO"/>
              </w:rPr>
            </w:pPr>
            <w:r w:rsidRPr="00321B46">
              <w:rPr>
                <w:rFonts w:cs="Arial"/>
                <w:b/>
                <w:bCs/>
                <w:color w:val="000000"/>
                <w:sz w:val="20"/>
                <w:szCs w:val="20"/>
                <w:lang w:val="es-CO" w:eastAsia="es-CO"/>
              </w:rPr>
              <w:t xml:space="preserve">Capital remanente, rango 2 </w:t>
            </w:r>
            <w:r w:rsidRPr="00321B46">
              <w:rPr>
                <w:rFonts w:cs="Arial"/>
                <w:b/>
                <w:bCs/>
                <w:i/>
                <w:color w:val="000000"/>
                <w:sz w:val="20"/>
                <w:szCs w:val="20"/>
                <w:lang w:val="es-CO" w:eastAsia="es-CO"/>
              </w:rPr>
              <w:t>CRA</w:t>
            </w:r>
            <w:r w:rsidRPr="00321B46">
              <w:rPr>
                <w:rFonts w:cs="Arial"/>
                <w:b/>
                <w:bCs/>
                <w:i/>
                <w:color w:val="000000"/>
                <w:sz w:val="20"/>
                <w:szCs w:val="20"/>
                <w:vertAlign w:val="subscript"/>
                <w:lang w:val="es-CO" w:eastAsia="es-CO"/>
              </w:rPr>
              <w:t>2,vu</w:t>
            </w:r>
          </w:p>
        </w:tc>
        <w:tc>
          <w:tcPr>
            <w:tcW w:w="1497" w:type="dxa"/>
            <w:shd w:val="clear" w:color="auto" w:fill="auto"/>
            <w:vAlign w:val="center"/>
            <w:hideMark/>
          </w:tcPr>
          <w:p w14:paraId="4434800E" w14:textId="77777777" w:rsidR="00F66546" w:rsidRPr="00321B46" w:rsidRDefault="00F66546" w:rsidP="00F30BCA">
            <w:pPr>
              <w:spacing w:before="0" w:after="0"/>
              <w:jc w:val="center"/>
              <w:rPr>
                <w:rFonts w:cs="Arial"/>
                <w:b/>
                <w:bCs/>
                <w:color w:val="000000"/>
                <w:sz w:val="20"/>
                <w:szCs w:val="20"/>
                <w:lang w:val="es-CO" w:eastAsia="es-CO"/>
              </w:rPr>
            </w:pPr>
            <w:r w:rsidRPr="00321B46">
              <w:rPr>
                <w:rFonts w:cs="Arial"/>
                <w:b/>
                <w:bCs/>
                <w:color w:val="000000"/>
                <w:sz w:val="20"/>
                <w:szCs w:val="20"/>
                <w:lang w:val="es-CO" w:eastAsia="es-CO"/>
              </w:rPr>
              <w:t xml:space="preserve">Capital remanente, rango 3 </w:t>
            </w:r>
            <w:r w:rsidRPr="00321B46">
              <w:rPr>
                <w:rFonts w:cs="Arial"/>
                <w:b/>
                <w:bCs/>
                <w:i/>
                <w:color w:val="000000"/>
                <w:sz w:val="20"/>
                <w:szCs w:val="20"/>
                <w:lang w:val="es-CO" w:eastAsia="es-CO"/>
              </w:rPr>
              <w:t>CRA</w:t>
            </w:r>
            <w:r w:rsidRPr="00321B46">
              <w:rPr>
                <w:rFonts w:cs="Arial"/>
                <w:b/>
                <w:bCs/>
                <w:i/>
                <w:color w:val="000000"/>
                <w:sz w:val="20"/>
                <w:szCs w:val="20"/>
                <w:vertAlign w:val="subscript"/>
                <w:lang w:val="es-CO" w:eastAsia="es-CO"/>
              </w:rPr>
              <w:t>3,vu</w:t>
            </w:r>
          </w:p>
        </w:tc>
      </w:tr>
      <w:tr w:rsidR="00F66546" w:rsidRPr="00321B46" w14:paraId="6AFCC7E4" w14:textId="77777777" w:rsidTr="009A7C14">
        <w:trPr>
          <w:trHeight w:val="300"/>
          <w:jc w:val="center"/>
        </w:trPr>
        <w:tc>
          <w:tcPr>
            <w:tcW w:w="1569" w:type="dxa"/>
            <w:shd w:val="clear" w:color="auto" w:fill="auto"/>
            <w:vAlign w:val="center"/>
            <w:hideMark/>
          </w:tcPr>
          <w:p w14:paraId="755FD57E" w14:textId="77777777" w:rsidR="00F66546" w:rsidRPr="00321B46" w:rsidRDefault="00F66546" w:rsidP="00F30BCA">
            <w:pPr>
              <w:spacing w:before="0" w:after="0"/>
              <w:jc w:val="center"/>
              <w:rPr>
                <w:rFonts w:cs="Arial"/>
                <w:color w:val="000000"/>
                <w:sz w:val="20"/>
                <w:szCs w:val="20"/>
                <w:lang w:val="es-CO" w:eastAsia="es-CO"/>
              </w:rPr>
            </w:pPr>
            <w:r w:rsidRPr="00321B46">
              <w:rPr>
                <w:rFonts w:cs="Arial"/>
                <w:color w:val="000000"/>
                <w:sz w:val="20"/>
                <w:szCs w:val="20"/>
                <w:lang w:val="es-CO" w:eastAsia="es-CO"/>
              </w:rPr>
              <w:t>40</w:t>
            </w:r>
          </w:p>
        </w:tc>
        <w:tc>
          <w:tcPr>
            <w:tcW w:w="1528" w:type="dxa"/>
            <w:shd w:val="clear" w:color="auto" w:fill="auto"/>
            <w:vAlign w:val="center"/>
            <w:hideMark/>
          </w:tcPr>
          <w:p w14:paraId="788E4452" w14:textId="5900DDED" w:rsidR="00F66546" w:rsidRPr="00321B46" w:rsidRDefault="00F66546" w:rsidP="00F30BCA">
            <w:pPr>
              <w:spacing w:before="0" w:after="0"/>
              <w:jc w:val="center"/>
              <w:rPr>
                <w:rFonts w:cs="Arial"/>
                <w:color w:val="000000"/>
                <w:sz w:val="20"/>
                <w:szCs w:val="20"/>
                <w:lang w:val="es-CO" w:eastAsia="es-CO"/>
              </w:rPr>
            </w:pPr>
            <w:r w:rsidRPr="00321B46">
              <w:rPr>
                <w:rFonts w:cs="Arial"/>
                <w:color w:val="000000"/>
                <w:sz w:val="20"/>
                <w:szCs w:val="20"/>
                <w:lang w:val="es-CO" w:eastAsia="es-CO"/>
              </w:rPr>
              <w:t>0,</w:t>
            </w:r>
            <w:r w:rsidR="006B5493" w:rsidRPr="00321B46">
              <w:rPr>
                <w:rFonts w:cs="Arial"/>
                <w:color w:val="000000"/>
                <w:sz w:val="20"/>
                <w:szCs w:val="20"/>
                <w:lang w:val="es-CO" w:eastAsia="es-CO"/>
              </w:rPr>
              <w:t>93</w:t>
            </w:r>
          </w:p>
        </w:tc>
        <w:tc>
          <w:tcPr>
            <w:tcW w:w="1497" w:type="dxa"/>
            <w:vAlign w:val="center"/>
          </w:tcPr>
          <w:p w14:paraId="04E0003E" w14:textId="114EB04E" w:rsidR="00F66546" w:rsidRPr="00321B46" w:rsidRDefault="00F66546" w:rsidP="00F30BCA">
            <w:pPr>
              <w:spacing w:before="0" w:after="0"/>
              <w:jc w:val="center"/>
              <w:rPr>
                <w:rFonts w:cs="Arial"/>
                <w:color w:val="000000"/>
                <w:sz w:val="20"/>
                <w:szCs w:val="20"/>
                <w:lang w:val="es-CO" w:eastAsia="es-CO"/>
              </w:rPr>
            </w:pPr>
            <w:r w:rsidRPr="00321B46">
              <w:rPr>
                <w:rFonts w:cs="Arial"/>
                <w:color w:val="000000"/>
                <w:sz w:val="20"/>
                <w:szCs w:val="20"/>
                <w:lang w:val="es-CO" w:eastAsia="es-CO"/>
              </w:rPr>
              <w:t>0,</w:t>
            </w:r>
            <w:r w:rsidR="006B5493" w:rsidRPr="00321B46">
              <w:rPr>
                <w:rFonts w:cs="Arial"/>
                <w:color w:val="000000"/>
                <w:sz w:val="20"/>
                <w:szCs w:val="20"/>
                <w:lang w:val="es-CO" w:eastAsia="es-CO"/>
              </w:rPr>
              <w:t>98</w:t>
            </w:r>
          </w:p>
        </w:tc>
        <w:tc>
          <w:tcPr>
            <w:tcW w:w="1497" w:type="dxa"/>
            <w:shd w:val="clear" w:color="auto" w:fill="auto"/>
            <w:vAlign w:val="center"/>
            <w:hideMark/>
          </w:tcPr>
          <w:p w14:paraId="20760725" w14:textId="77777777" w:rsidR="00F66546" w:rsidRPr="00321B46" w:rsidRDefault="00F66546" w:rsidP="00F30BCA">
            <w:pPr>
              <w:spacing w:before="0" w:after="0"/>
              <w:jc w:val="center"/>
              <w:rPr>
                <w:rFonts w:cs="Arial"/>
                <w:color w:val="000000"/>
                <w:sz w:val="20"/>
                <w:szCs w:val="20"/>
                <w:lang w:val="es-CO" w:eastAsia="es-CO"/>
              </w:rPr>
            </w:pPr>
            <w:r w:rsidRPr="00321B46">
              <w:rPr>
                <w:rFonts w:cs="Arial"/>
                <w:color w:val="000000"/>
                <w:sz w:val="20"/>
                <w:szCs w:val="20"/>
                <w:lang w:val="es-CO" w:eastAsia="es-CO"/>
              </w:rPr>
              <w:t>1,00</w:t>
            </w:r>
          </w:p>
        </w:tc>
      </w:tr>
      <w:tr w:rsidR="00F66546" w:rsidRPr="00321B46" w14:paraId="452F232F" w14:textId="77777777" w:rsidTr="009A7C14">
        <w:trPr>
          <w:trHeight w:val="300"/>
          <w:jc w:val="center"/>
        </w:trPr>
        <w:tc>
          <w:tcPr>
            <w:tcW w:w="1569" w:type="dxa"/>
            <w:shd w:val="clear" w:color="auto" w:fill="auto"/>
            <w:vAlign w:val="center"/>
            <w:hideMark/>
          </w:tcPr>
          <w:p w14:paraId="7E8D7188" w14:textId="77777777" w:rsidR="00F66546" w:rsidRPr="00321B46" w:rsidRDefault="00F66546" w:rsidP="00F30BCA">
            <w:pPr>
              <w:spacing w:before="0" w:after="0"/>
              <w:jc w:val="center"/>
              <w:rPr>
                <w:rFonts w:cs="Arial"/>
                <w:color w:val="000000"/>
                <w:sz w:val="20"/>
                <w:szCs w:val="20"/>
                <w:lang w:val="es-CO" w:eastAsia="es-CO"/>
              </w:rPr>
            </w:pPr>
            <w:r w:rsidRPr="00321B46">
              <w:rPr>
                <w:rFonts w:cs="Arial"/>
                <w:color w:val="000000"/>
                <w:sz w:val="20"/>
                <w:szCs w:val="20"/>
                <w:lang w:val="es-CO" w:eastAsia="es-CO"/>
              </w:rPr>
              <w:t>30</w:t>
            </w:r>
          </w:p>
        </w:tc>
        <w:tc>
          <w:tcPr>
            <w:tcW w:w="1528" w:type="dxa"/>
            <w:shd w:val="clear" w:color="auto" w:fill="auto"/>
            <w:vAlign w:val="center"/>
            <w:hideMark/>
          </w:tcPr>
          <w:p w14:paraId="13496A6A" w14:textId="12CE66B2" w:rsidR="00F66546" w:rsidRPr="00321B46" w:rsidRDefault="00F66546" w:rsidP="00F30BCA">
            <w:pPr>
              <w:spacing w:before="0" w:after="0"/>
              <w:jc w:val="center"/>
              <w:rPr>
                <w:rFonts w:cs="Arial"/>
                <w:color w:val="000000"/>
                <w:sz w:val="20"/>
                <w:szCs w:val="20"/>
                <w:lang w:val="es-CO" w:eastAsia="es-CO"/>
              </w:rPr>
            </w:pPr>
            <w:r w:rsidRPr="00321B46">
              <w:rPr>
                <w:rFonts w:cs="Arial"/>
                <w:color w:val="000000"/>
                <w:sz w:val="20"/>
                <w:szCs w:val="20"/>
                <w:lang w:val="es-CO" w:eastAsia="es-CO"/>
              </w:rPr>
              <w:t>0,</w:t>
            </w:r>
            <w:r w:rsidR="006B5493" w:rsidRPr="00321B46">
              <w:rPr>
                <w:rFonts w:cs="Arial"/>
                <w:color w:val="000000"/>
                <w:sz w:val="20"/>
                <w:szCs w:val="20"/>
                <w:lang w:val="es-CO" w:eastAsia="es-CO"/>
              </w:rPr>
              <w:t>79</w:t>
            </w:r>
          </w:p>
        </w:tc>
        <w:tc>
          <w:tcPr>
            <w:tcW w:w="1497" w:type="dxa"/>
            <w:vAlign w:val="center"/>
          </w:tcPr>
          <w:p w14:paraId="02842FAA" w14:textId="133527A3" w:rsidR="00F66546" w:rsidRPr="00321B46" w:rsidRDefault="00F66546" w:rsidP="00F30BCA">
            <w:pPr>
              <w:spacing w:before="0" w:after="0"/>
              <w:jc w:val="center"/>
              <w:rPr>
                <w:rFonts w:cs="Arial"/>
                <w:color w:val="000000"/>
                <w:sz w:val="20"/>
                <w:szCs w:val="20"/>
                <w:lang w:val="es-CO" w:eastAsia="es-CO"/>
              </w:rPr>
            </w:pPr>
            <w:r w:rsidRPr="00321B46">
              <w:rPr>
                <w:rFonts w:cs="Arial"/>
                <w:color w:val="000000"/>
                <w:sz w:val="20"/>
                <w:szCs w:val="20"/>
                <w:lang w:val="es-CO" w:eastAsia="es-CO"/>
              </w:rPr>
              <w:t>0,</w:t>
            </w:r>
            <w:r w:rsidR="006B5493" w:rsidRPr="00321B46">
              <w:rPr>
                <w:rFonts w:cs="Arial"/>
                <w:color w:val="000000"/>
                <w:sz w:val="20"/>
                <w:szCs w:val="20"/>
                <w:lang w:val="es-CO" w:eastAsia="es-CO"/>
              </w:rPr>
              <w:t>94</w:t>
            </w:r>
          </w:p>
        </w:tc>
        <w:tc>
          <w:tcPr>
            <w:tcW w:w="1497" w:type="dxa"/>
            <w:shd w:val="clear" w:color="auto" w:fill="auto"/>
            <w:vAlign w:val="center"/>
            <w:hideMark/>
          </w:tcPr>
          <w:p w14:paraId="2425475B" w14:textId="77777777" w:rsidR="00F66546" w:rsidRPr="00321B46" w:rsidRDefault="00F66546" w:rsidP="00F30BCA">
            <w:pPr>
              <w:spacing w:before="0" w:after="0"/>
              <w:jc w:val="center"/>
              <w:rPr>
                <w:rFonts w:cs="Arial"/>
                <w:color w:val="000000"/>
                <w:sz w:val="20"/>
                <w:szCs w:val="20"/>
                <w:lang w:val="es-CO" w:eastAsia="es-CO"/>
              </w:rPr>
            </w:pPr>
            <w:r w:rsidRPr="00321B46">
              <w:rPr>
                <w:rFonts w:cs="Arial"/>
                <w:color w:val="000000"/>
                <w:sz w:val="20"/>
                <w:szCs w:val="20"/>
                <w:lang w:val="es-CO" w:eastAsia="es-CO"/>
              </w:rPr>
              <w:t>1,00</w:t>
            </w:r>
          </w:p>
        </w:tc>
      </w:tr>
      <w:tr w:rsidR="00F66546" w:rsidRPr="00321B46" w14:paraId="4668A30F" w14:textId="77777777" w:rsidTr="009A7C14">
        <w:trPr>
          <w:trHeight w:val="300"/>
          <w:jc w:val="center"/>
        </w:trPr>
        <w:tc>
          <w:tcPr>
            <w:tcW w:w="1569" w:type="dxa"/>
            <w:shd w:val="clear" w:color="auto" w:fill="auto"/>
            <w:vAlign w:val="center"/>
            <w:hideMark/>
          </w:tcPr>
          <w:p w14:paraId="3C65AA9A" w14:textId="77777777" w:rsidR="00F66546" w:rsidRPr="00321B46" w:rsidRDefault="00F66546" w:rsidP="00F30BCA">
            <w:pPr>
              <w:spacing w:before="0" w:after="0"/>
              <w:jc w:val="center"/>
              <w:rPr>
                <w:rFonts w:cs="Arial"/>
                <w:color w:val="000000"/>
                <w:sz w:val="20"/>
                <w:szCs w:val="20"/>
                <w:lang w:val="es-CO" w:eastAsia="es-CO"/>
              </w:rPr>
            </w:pPr>
            <w:r w:rsidRPr="00321B46">
              <w:rPr>
                <w:rFonts w:cs="Arial"/>
                <w:color w:val="000000"/>
                <w:sz w:val="20"/>
                <w:szCs w:val="20"/>
                <w:lang w:val="es-CO" w:eastAsia="es-CO"/>
              </w:rPr>
              <w:t>10</w:t>
            </w:r>
          </w:p>
        </w:tc>
        <w:tc>
          <w:tcPr>
            <w:tcW w:w="1528" w:type="dxa"/>
            <w:shd w:val="clear" w:color="auto" w:fill="auto"/>
            <w:vAlign w:val="center"/>
            <w:hideMark/>
          </w:tcPr>
          <w:p w14:paraId="234E9855" w14:textId="77777777" w:rsidR="00F66546" w:rsidRPr="00321B46" w:rsidRDefault="00F66546" w:rsidP="00F30BCA">
            <w:pPr>
              <w:spacing w:before="0" w:after="0"/>
              <w:jc w:val="center"/>
              <w:rPr>
                <w:rFonts w:cs="Arial"/>
                <w:color w:val="000000"/>
                <w:sz w:val="20"/>
                <w:szCs w:val="20"/>
                <w:lang w:val="es-CO" w:eastAsia="es-CO"/>
              </w:rPr>
            </w:pPr>
            <w:r w:rsidRPr="00321B46">
              <w:rPr>
                <w:rFonts w:cs="Arial"/>
                <w:color w:val="000000"/>
                <w:sz w:val="20"/>
                <w:szCs w:val="20"/>
                <w:lang w:val="es-CO" w:eastAsia="es-CO"/>
              </w:rPr>
              <w:t>0,00</w:t>
            </w:r>
          </w:p>
        </w:tc>
        <w:tc>
          <w:tcPr>
            <w:tcW w:w="1497" w:type="dxa"/>
            <w:vAlign w:val="center"/>
          </w:tcPr>
          <w:p w14:paraId="1936CC2C" w14:textId="793E51C2" w:rsidR="00F66546" w:rsidRPr="00321B46" w:rsidRDefault="00F66546" w:rsidP="00F30BCA">
            <w:pPr>
              <w:spacing w:before="0" w:after="0"/>
              <w:jc w:val="center"/>
              <w:rPr>
                <w:rFonts w:cs="Arial"/>
                <w:color w:val="000000"/>
                <w:sz w:val="20"/>
                <w:szCs w:val="20"/>
                <w:lang w:val="es-CO" w:eastAsia="es-CO"/>
              </w:rPr>
            </w:pPr>
            <w:r w:rsidRPr="00321B46">
              <w:rPr>
                <w:rFonts w:cs="Arial"/>
                <w:color w:val="000000"/>
                <w:sz w:val="20"/>
                <w:szCs w:val="20"/>
                <w:lang w:val="es-CO" w:eastAsia="es-CO"/>
              </w:rPr>
              <w:t>0,</w:t>
            </w:r>
            <w:r w:rsidR="006B5493" w:rsidRPr="00321B46">
              <w:rPr>
                <w:rFonts w:cs="Arial"/>
                <w:color w:val="000000"/>
                <w:sz w:val="20"/>
                <w:szCs w:val="20"/>
                <w:lang w:val="es-CO" w:eastAsia="es-CO"/>
              </w:rPr>
              <w:t>29</w:t>
            </w:r>
          </w:p>
        </w:tc>
        <w:tc>
          <w:tcPr>
            <w:tcW w:w="1497" w:type="dxa"/>
            <w:shd w:val="clear" w:color="auto" w:fill="auto"/>
            <w:vAlign w:val="center"/>
            <w:hideMark/>
          </w:tcPr>
          <w:p w14:paraId="66437EE9" w14:textId="77777777" w:rsidR="00F66546" w:rsidRPr="00321B46" w:rsidRDefault="00F66546" w:rsidP="00F30BCA">
            <w:pPr>
              <w:spacing w:before="0" w:after="0"/>
              <w:jc w:val="center"/>
              <w:rPr>
                <w:rFonts w:cs="Arial"/>
                <w:color w:val="000000"/>
                <w:sz w:val="20"/>
                <w:szCs w:val="20"/>
                <w:lang w:val="es-CO" w:eastAsia="es-CO"/>
              </w:rPr>
            </w:pPr>
            <w:r w:rsidRPr="00321B46">
              <w:rPr>
                <w:rFonts w:cs="Arial"/>
                <w:color w:val="000000"/>
                <w:sz w:val="20"/>
                <w:szCs w:val="20"/>
                <w:lang w:val="es-CO" w:eastAsia="es-CO"/>
              </w:rPr>
              <w:t>1,00</w:t>
            </w:r>
          </w:p>
        </w:tc>
      </w:tr>
    </w:tbl>
    <w:p w14:paraId="37445E4D" w14:textId="77777777" w:rsidR="00E43449" w:rsidRPr="00321B46" w:rsidRDefault="00E43449" w:rsidP="0004502D">
      <w:pPr>
        <w:pStyle w:val="Ttulo4"/>
        <w:rPr>
          <w:szCs w:val="24"/>
        </w:rPr>
      </w:pPr>
      <w:bookmarkStart w:id="77" w:name="_Toc445390229"/>
      <w:bookmarkStart w:id="78" w:name="_Toc445392758"/>
      <w:bookmarkStart w:id="79" w:name="_Toc445390230"/>
      <w:bookmarkStart w:id="80" w:name="_Toc445392759"/>
      <w:bookmarkStart w:id="81" w:name="_Ref404004686"/>
      <w:bookmarkEnd w:id="77"/>
      <w:bookmarkEnd w:id="78"/>
      <w:bookmarkEnd w:id="79"/>
      <w:bookmarkEnd w:id="80"/>
      <w:r w:rsidRPr="00321B46">
        <w:rPr>
          <w:szCs w:val="24"/>
        </w:rPr>
        <w:t>Base regulatoria de activos eléctricos nuevos</w:t>
      </w:r>
      <w:bookmarkEnd w:id="64"/>
      <w:bookmarkEnd w:id="81"/>
    </w:p>
    <w:p w14:paraId="54E2805F" w14:textId="77777777" w:rsidR="004F5947" w:rsidRPr="00321B46" w:rsidRDefault="004F5947" w:rsidP="00F30BCA">
      <w:pPr>
        <w:rPr>
          <w:lang w:val="es-ES_tradnl"/>
        </w:rPr>
      </w:pPr>
      <w:r w:rsidRPr="00321B46">
        <w:rPr>
          <w:lang w:val="es-ES_tradnl"/>
        </w:rPr>
        <w:t>La base regulatoria de activos nuevos se calcula de la siguiente manera:</w:t>
      </w:r>
    </w:p>
    <w:p w14:paraId="10639288" w14:textId="77777777" w:rsidR="004F5947" w:rsidRPr="00321B46" w:rsidRDefault="00651802" w:rsidP="00F30BCA">
      <m:oMathPara>
        <m:oMath>
          <m:sSub>
            <m:sSubPr>
              <m:ctrlPr>
                <w:rPr>
                  <w:rFonts w:ascii="Cambria Math" w:hAnsi="Cambria Math"/>
                  <w:i/>
                </w:rPr>
              </m:ctrlPr>
            </m:sSubPr>
            <m:e>
              <m:r>
                <w:rPr>
                  <w:rFonts w:ascii="Cambria Math" w:hAnsi="Cambria Math"/>
                </w:rPr>
                <m:t>BRAEN</m:t>
              </m:r>
            </m:e>
            <m:sub>
              <m:r>
                <w:rPr>
                  <w:rFonts w:ascii="Cambria Math" w:hAnsi="Cambria Math"/>
                </w:rPr>
                <m:t>j</m:t>
              </m:r>
              <m:r>
                <w:rPr>
                  <w:rFonts w:ascii="Cambria Math"/>
                </w:rPr>
                <m:t>,</m:t>
              </m:r>
              <m:r>
                <w:rPr>
                  <w:rFonts w:ascii="Cambria Math" w:hAnsi="Cambria Math"/>
                </w:rPr>
                <m:t>t</m:t>
              </m:r>
            </m:sub>
          </m:sSub>
          <m:r>
            <w:rPr>
              <w:rFonts w:ascii="Cambria Math"/>
            </w:rPr>
            <m:t>=</m:t>
          </m:r>
          <m:sSub>
            <m:sSubPr>
              <m:ctrlPr>
                <w:rPr>
                  <w:rFonts w:ascii="Cambria Math" w:hAnsi="Cambria Math"/>
                  <w:i/>
                </w:rPr>
              </m:ctrlPr>
            </m:sSubPr>
            <m:e>
              <m:r>
                <w:rPr>
                  <w:rFonts w:ascii="Cambria Math"/>
                </w:rPr>
                <m:t>IAPA</m:t>
              </m:r>
            </m:e>
            <m:sub>
              <m:r>
                <w:rPr>
                  <w:rFonts w:ascii="Cambria Math"/>
                </w:rPr>
                <m:t>j,t</m:t>
              </m:r>
            </m:sub>
          </m:sSub>
          <m:r>
            <w:rPr>
              <w:rFonts w:ascii="Cambria Math"/>
            </w:rPr>
            <m:t>*</m:t>
          </m:r>
          <m:nary>
            <m:naryPr>
              <m:chr m:val="∑"/>
              <m:limLoc m:val="undOvr"/>
              <m:ctrlPr>
                <w:rPr>
                  <w:rFonts w:ascii="Cambria Math" w:hAnsi="Cambria Math"/>
                  <w:i/>
                </w:rPr>
              </m:ctrlPr>
            </m:naryPr>
            <m:sub>
              <m:r>
                <w:rPr>
                  <w:rFonts w:ascii="Cambria Math" w:hAnsi="Cambria Math"/>
                </w:rPr>
                <m:t>k=1</m:t>
              </m:r>
            </m:sub>
            <m:sup>
              <m:sSub>
                <m:sSubPr>
                  <m:ctrlPr>
                    <w:rPr>
                      <w:rFonts w:ascii="Cambria Math" w:hAnsi="Cambria Math"/>
                      <w:i/>
                    </w:rPr>
                  </m:ctrlPr>
                </m:sSubPr>
                <m:e>
                  <m:r>
                    <w:rPr>
                      <w:rFonts w:ascii="Cambria Math" w:hAnsi="Cambria Math"/>
                    </w:rPr>
                    <m:t>K</m:t>
                  </m:r>
                </m:e>
                <m:sub/>
              </m:sSub>
            </m:sup>
            <m:e>
              <m:sSub>
                <m:sSubPr>
                  <m:ctrlPr>
                    <w:rPr>
                      <w:rFonts w:ascii="Cambria Math" w:hAnsi="Cambria Math"/>
                      <w:i/>
                    </w:rPr>
                  </m:ctrlPr>
                </m:sSubPr>
                <m:e>
                  <m:r>
                    <w:rPr>
                      <w:rFonts w:ascii="Cambria Math"/>
                    </w:rPr>
                    <m:t>INVA</m:t>
                  </m:r>
                </m:e>
                <m:sub>
                  <m:r>
                    <w:rPr>
                      <w:rFonts w:ascii="Cambria Math"/>
                    </w:rPr>
                    <m:t>j,k,t</m:t>
                  </m:r>
                </m:sub>
              </m:sSub>
            </m:e>
          </m:nary>
          <m:r>
            <w:rPr>
              <w:rFonts w:ascii="Cambria Math"/>
            </w:rPr>
            <m:t xml:space="preserve">+ </m:t>
          </m:r>
          <m:nary>
            <m:naryPr>
              <m:chr m:val="∑"/>
              <m:limLoc m:val="undOvr"/>
              <m:ctrlPr>
                <w:rPr>
                  <w:rFonts w:ascii="Cambria Math" w:hAnsi="Cambria Math"/>
                  <w:i/>
                </w:rPr>
              </m:ctrlPr>
            </m:naryPr>
            <m:sub>
              <m:r>
                <w:rPr>
                  <w:rFonts w:ascii="Cambria Math" w:hAnsi="Cambria Math"/>
                </w:rPr>
                <m:t>k=1</m:t>
              </m:r>
            </m:sub>
            <m:sup>
              <m:sSub>
                <m:sSubPr>
                  <m:ctrlPr>
                    <w:rPr>
                      <w:rFonts w:ascii="Cambria Math" w:hAnsi="Cambria Math"/>
                      <w:i/>
                    </w:rPr>
                  </m:ctrlPr>
                </m:sSubPr>
                <m:e>
                  <m:r>
                    <w:rPr>
                      <w:rFonts w:ascii="Cambria Math" w:hAnsi="Cambria Math"/>
                    </w:rPr>
                    <m:t>K</m:t>
                  </m:r>
                </m:e>
                <m:sub/>
              </m:sSub>
            </m:sup>
            <m:e>
              <m:sSub>
                <m:sSubPr>
                  <m:ctrlPr>
                    <w:rPr>
                      <w:rFonts w:ascii="Cambria Math" w:hAnsi="Cambria Math"/>
                      <w:i/>
                    </w:rPr>
                  </m:ctrlPr>
                </m:sSubPr>
                <m:e>
                  <m:r>
                    <w:rPr>
                      <w:rFonts w:ascii="Cambria Math"/>
                    </w:rPr>
                    <m:t>INVR</m:t>
                  </m:r>
                </m:e>
                <m:sub>
                  <m:r>
                    <w:rPr>
                      <w:rFonts w:ascii="Cambria Math"/>
                    </w:rPr>
                    <m:t>j,k,t</m:t>
                  </m:r>
                  <m:r>
                    <w:rPr>
                      <w:rFonts w:ascii="Cambria Math"/>
                    </w:rPr>
                    <m:t>-</m:t>
                  </m:r>
                  <m:r>
                    <w:rPr>
                      <w:rFonts w:ascii="Cambria Math"/>
                    </w:rPr>
                    <m:t>1</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K</m:t>
                  </m:r>
                </m:sup>
                <m:e>
                  <m:sSub>
                    <m:sSubPr>
                      <m:ctrlPr>
                        <w:rPr>
                          <w:rFonts w:ascii="Cambria Math" w:hAnsi="Cambria Math"/>
                          <w:i/>
                        </w:rPr>
                      </m:ctrlPr>
                    </m:sSubPr>
                    <m:e>
                      <m:r>
                        <w:rPr>
                          <w:rFonts w:ascii="Cambria Math"/>
                        </w:rPr>
                        <m:t>INVA</m:t>
                      </m:r>
                    </m:e>
                    <m:sub>
                      <m:r>
                        <w:rPr>
                          <w:rFonts w:ascii="Cambria Math"/>
                        </w:rPr>
                        <m:t>j,k,t</m:t>
                      </m:r>
                      <m:r>
                        <w:rPr>
                          <w:rFonts w:ascii="Cambria Math"/>
                        </w:rPr>
                        <m:t>-</m:t>
                      </m:r>
                      <m:r>
                        <w:rPr>
                          <w:rFonts w:ascii="Cambria Math"/>
                        </w:rPr>
                        <m:t>1</m:t>
                      </m:r>
                    </m:sub>
                  </m:sSub>
                </m:e>
              </m:nary>
            </m:e>
          </m:nary>
        </m:oMath>
      </m:oMathPara>
    </w:p>
    <w:p w14:paraId="56F932F6" w14:textId="77777777" w:rsidR="004F5947" w:rsidRPr="00321B46" w:rsidRDefault="004F5947" w:rsidP="00F30BCA">
      <w:r w:rsidRPr="00321B46">
        <w:t xml:space="preserve">Donde: </w:t>
      </w:r>
    </w:p>
    <w:p w14:paraId="3124F31E" w14:textId="77777777" w:rsidR="004F5947" w:rsidRPr="00321B46" w:rsidRDefault="004F5947" w:rsidP="00F30BCA">
      <w:pPr>
        <w:ind w:left="1418" w:hanging="1418"/>
        <w:rPr>
          <w:iCs/>
        </w:rPr>
      </w:pPr>
      <w:r w:rsidRPr="00321B46">
        <w:rPr>
          <w:i/>
          <w:iCs/>
        </w:rPr>
        <w:t>BRAEN</w:t>
      </w:r>
      <w:r w:rsidRPr="00321B46">
        <w:rPr>
          <w:i/>
          <w:iCs/>
          <w:vertAlign w:val="subscript"/>
        </w:rPr>
        <w:t>j,t</w:t>
      </w:r>
      <w:r w:rsidRPr="00321B46">
        <w:rPr>
          <w:iCs/>
        </w:rPr>
        <w:t>:</w:t>
      </w:r>
      <w:r w:rsidRPr="00321B46">
        <w:rPr>
          <w:iCs/>
        </w:rPr>
        <w:tab/>
        <w:t xml:space="preserve">Base regulatoria de activos eléctricos nuevos del </w:t>
      </w:r>
      <w:r w:rsidR="005E255C" w:rsidRPr="00321B46">
        <w:rPr>
          <w:iCs/>
        </w:rPr>
        <w:t>TN</w:t>
      </w:r>
      <w:r w:rsidRPr="00321B46">
        <w:rPr>
          <w:iCs/>
        </w:rPr>
        <w:t xml:space="preserve"> </w:t>
      </w:r>
      <w:r w:rsidRPr="00321B46">
        <w:rPr>
          <w:i/>
          <w:iCs/>
        </w:rPr>
        <w:t>j</w:t>
      </w:r>
      <w:r w:rsidRPr="00321B46">
        <w:rPr>
          <w:iCs/>
        </w:rPr>
        <w:t xml:space="preserve"> para el año </w:t>
      </w:r>
      <w:r w:rsidRPr="00321B46">
        <w:rPr>
          <w:i/>
          <w:iCs/>
        </w:rPr>
        <w:t>t</w:t>
      </w:r>
      <w:r w:rsidRPr="00321B46">
        <w:rPr>
          <w:iCs/>
        </w:rPr>
        <w:t>.</w:t>
      </w:r>
    </w:p>
    <w:p w14:paraId="718F8104" w14:textId="712261E6" w:rsidR="00F028B3" w:rsidRPr="00321B46" w:rsidRDefault="00F028B3" w:rsidP="00F30BCA">
      <w:pPr>
        <w:ind w:left="1418" w:hanging="1418"/>
      </w:pPr>
      <w:r w:rsidRPr="00321B46">
        <w:rPr>
          <w:i/>
          <w:iCs/>
        </w:rPr>
        <w:t>IAPA</w:t>
      </w:r>
      <w:r w:rsidRPr="00321B46">
        <w:rPr>
          <w:i/>
          <w:iCs/>
          <w:vertAlign w:val="subscript"/>
        </w:rPr>
        <w:t>j,t</w:t>
      </w:r>
      <w:r w:rsidRPr="00321B46">
        <w:rPr>
          <w:iCs/>
        </w:rPr>
        <w:t>:</w:t>
      </w:r>
      <w:r w:rsidRPr="00321B46">
        <w:rPr>
          <w:iCs/>
        </w:rPr>
        <w:tab/>
        <w:t>Índice de ajuste por ejecución del plan de inversiones del TN </w:t>
      </w:r>
      <w:r w:rsidRPr="00321B46">
        <w:rPr>
          <w:i/>
          <w:iCs/>
        </w:rPr>
        <w:t>j</w:t>
      </w:r>
      <w:r w:rsidRPr="00321B46">
        <w:rPr>
          <w:iCs/>
        </w:rPr>
        <w:t xml:space="preserve"> para el año </w:t>
      </w:r>
      <w:r w:rsidRPr="00321B46">
        <w:rPr>
          <w:i/>
          <w:iCs/>
        </w:rPr>
        <w:t>t</w:t>
      </w:r>
      <w:r w:rsidRPr="00321B46">
        <w:rPr>
          <w:iCs/>
        </w:rPr>
        <w:t xml:space="preserve">, calculado con base en lo previsto en el numeral </w:t>
      </w:r>
      <w:r w:rsidR="00D00385" w:rsidRPr="00321B46">
        <w:rPr>
          <w:iCs/>
        </w:rPr>
        <w:fldChar w:fldCharType="begin"/>
      </w:r>
      <w:r w:rsidR="00D00385" w:rsidRPr="00321B46">
        <w:rPr>
          <w:iCs/>
        </w:rPr>
        <w:instrText xml:space="preserve"> REF _Ref461090798 \r \h </w:instrText>
      </w:r>
      <w:r w:rsidR="00321B46">
        <w:rPr>
          <w:iCs/>
        </w:rPr>
        <w:instrText xml:space="preserve"> \* MERGEFORMAT </w:instrText>
      </w:r>
      <w:r w:rsidR="00D00385" w:rsidRPr="00321B46">
        <w:rPr>
          <w:iCs/>
        </w:rPr>
      </w:r>
      <w:r w:rsidR="00D00385" w:rsidRPr="00321B46">
        <w:rPr>
          <w:iCs/>
        </w:rPr>
        <w:fldChar w:fldCharType="separate"/>
      </w:r>
      <w:r w:rsidR="000F355F">
        <w:rPr>
          <w:iCs/>
        </w:rPr>
        <w:t>2.2.1.7</w:t>
      </w:r>
      <w:r w:rsidR="00D00385" w:rsidRPr="00321B46">
        <w:rPr>
          <w:iCs/>
        </w:rPr>
        <w:fldChar w:fldCharType="end"/>
      </w:r>
      <w:r w:rsidR="00D00385" w:rsidRPr="00321B46">
        <w:rPr>
          <w:iCs/>
        </w:rPr>
        <w:t>.</w:t>
      </w:r>
    </w:p>
    <w:p w14:paraId="29555C5B" w14:textId="4F1299DB" w:rsidR="004F5947" w:rsidRPr="00321B46" w:rsidRDefault="005E255C" w:rsidP="00F30BCA">
      <w:pPr>
        <w:ind w:left="1418" w:hanging="1418"/>
      </w:pPr>
      <w:r w:rsidRPr="00321B46">
        <w:rPr>
          <w:i/>
        </w:rPr>
        <w:t>K</w:t>
      </w:r>
      <w:r w:rsidR="004F5947" w:rsidRPr="00321B46">
        <w:t xml:space="preserve">: </w:t>
      </w:r>
      <w:r w:rsidR="004F5947" w:rsidRPr="00321B46">
        <w:tab/>
        <w:t>Cantidad de categorías de activos</w:t>
      </w:r>
      <w:r w:rsidR="00A113CF" w:rsidRPr="00321B46">
        <w:t xml:space="preserve">, de acuerdo con las categorías definidas en </w:t>
      </w:r>
      <w:r w:rsidR="00C55261" w:rsidRPr="00321B46">
        <w:t xml:space="preserve">el numeral </w:t>
      </w:r>
      <w:r w:rsidR="00A203B5" w:rsidRPr="00321B46">
        <w:fldChar w:fldCharType="begin"/>
      </w:r>
      <w:r w:rsidR="00A203B5" w:rsidRPr="00321B46">
        <w:instrText xml:space="preserve"> REF _Ref445370460 \r \h </w:instrText>
      </w:r>
      <w:r w:rsidR="00321B46">
        <w:instrText xml:space="preserve"> \* MERGEFORMAT </w:instrText>
      </w:r>
      <w:r w:rsidR="00A203B5" w:rsidRPr="00321B46">
        <w:fldChar w:fldCharType="separate"/>
      </w:r>
      <w:r w:rsidR="000F355F">
        <w:t>7.5</w:t>
      </w:r>
      <w:r w:rsidR="00A203B5" w:rsidRPr="00321B46">
        <w:fldChar w:fldCharType="end"/>
      </w:r>
      <w:r w:rsidR="004F5947" w:rsidRPr="00321B46">
        <w:rPr>
          <w:i/>
        </w:rPr>
        <w:t>.</w:t>
      </w:r>
    </w:p>
    <w:p w14:paraId="08B879AE" w14:textId="70768146" w:rsidR="0007138B" w:rsidRPr="00321B46" w:rsidRDefault="0007138B" w:rsidP="00F30BCA">
      <w:pPr>
        <w:spacing w:before="120"/>
        <w:ind w:left="1418" w:hanging="1418"/>
      </w:pPr>
      <w:r w:rsidRPr="00321B46">
        <w:rPr>
          <w:i/>
          <w:iCs/>
        </w:rPr>
        <w:t>INVA</w:t>
      </w:r>
      <w:r w:rsidRPr="00321B46">
        <w:rPr>
          <w:i/>
          <w:iCs/>
          <w:vertAlign w:val="subscript"/>
        </w:rPr>
        <w:t>j,k,t</w:t>
      </w:r>
      <w:r w:rsidRPr="00321B46">
        <w:t>:</w:t>
      </w:r>
      <w:r w:rsidRPr="00321B46">
        <w:tab/>
      </w:r>
      <w:r w:rsidRPr="00321B46">
        <w:rPr>
          <w:iCs/>
        </w:rPr>
        <w:t xml:space="preserve">Inversión aprobada en el plan de inversiones del </w:t>
      </w:r>
      <w:r w:rsidRPr="00321B46">
        <w:t xml:space="preserve">TN </w:t>
      </w:r>
      <w:r w:rsidRPr="00321B46">
        <w:rPr>
          <w:i/>
        </w:rPr>
        <w:t>j</w:t>
      </w:r>
      <w:r w:rsidRPr="00321B46">
        <w:t xml:space="preserve">, </w:t>
      </w:r>
      <w:r w:rsidRPr="00321B46">
        <w:rPr>
          <w:iCs/>
        </w:rPr>
        <w:t xml:space="preserve">en la categoría de activos </w:t>
      </w:r>
      <w:r w:rsidRPr="00321B46">
        <w:rPr>
          <w:i/>
          <w:iCs/>
        </w:rPr>
        <w:t>k</w:t>
      </w:r>
      <w:r w:rsidRPr="00321B46">
        <w:rPr>
          <w:iCs/>
        </w:rPr>
        <w:t xml:space="preserve"> para el año </w:t>
      </w:r>
      <w:r w:rsidRPr="00321B46">
        <w:rPr>
          <w:i/>
          <w:iCs/>
        </w:rPr>
        <w:t>t</w:t>
      </w:r>
      <w:r w:rsidRPr="00321B46">
        <w:t xml:space="preserve">, calculado según lo establecido en los numerales </w:t>
      </w:r>
      <w:r w:rsidRPr="00321B46">
        <w:fldChar w:fldCharType="begin"/>
      </w:r>
      <w:r w:rsidRPr="00321B46">
        <w:instrText xml:space="preserve"> REF _Ref443918940 \r \h </w:instrText>
      </w:r>
      <w:r w:rsidR="003276B5" w:rsidRPr="00321B46">
        <w:instrText xml:space="preserve"> \* MERGEFORMAT </w:instrText>
      </w:r>
      <w:r w:rsidRPr="00321B46">
        <w:fldChar w:fldCharType="separate"/>
      </w:r>
      <w:r w:rsidR="000F355F">
        <w:t>2.2.1.5.1</w:t>
      </w:r>
      <w:r w:rsidRPr="00321B46">
        <w:fldChar w:fldCharType="end"/>
      </w:r>
      <w:r w:rsidRPr="00321B46">
        <w:t xml:space="preserve"> o </w:t>
      </w:r>
      <w:r w:rsidRPr="00321B46">
        <w:fldChar w:fldCharType="begin"/>
      </w:r>
      <w:r w:rsidRPr="00321B46">
        <w:instrText xml:space="preserve"> REF _Ref443918943 \r \h </w:instrText>
      </w:r>
      <w:r w:rsidR="003276B5" w:rsidRPr="00321B46">
        <w:instrText xml:space="preserve"> \* MERGEFORMAT </w:instrText>
      </w:r>
      <w:r w:rsidRPr="00321B46">
        <w:fldChar w:fldCharType="separate"/>
      </w:r>
      <w:r w:rsidR="000F355F">
        <w:t>2.2.1.5.2</w:t>
      </w:r>
      <w:r w:rsidRPr="00321B46">
        <w:fldChar w:fldCharType="end"/>
      </w:r>
      <w:r w:rsidRPr="00321B46">
        <w:t>.</w:t>
      </w:r>
    </w:p>
    <w:p w14:paraId="48649AE5" w14:textId="399985B3" w:rsidR="00E72840" w:rsidRPr="00321B46" w:rsidRDefault="00E72840" w:rsidP="00F30BCA">
      <w:pPr>
        <w:spacing w:before="120"/>
        <w:ind w:left="1418" w:hanging="1418"/>
        <w:rPr>
          <w:iCs/>
        </w:rPr>
      </w:pPr>
      <w:r w:rsidRPr="00321B46">
        <w:rPr>
          <w:i/>
          <w:iCs/>
        </w:rPr>
        <w:tab/>
      </w:r>
      <w:r w:rsidRPr="00321B46">
        <w:t>Para la valoración se utilizan los valores de las UC definidas en la resolución que establece las UC para transmisión</w:t>
      </w:r>
    </w:p>
    <w:p w14:paraId="2820BC23" w14:textId="0D4A3C84" w:rsidR="0007138B" w:rsidRPr="00321B46" w:rsidRDefault="0007138B" w:rsidP="00F30BCA">
      <w:pPr>
        <w:spacing w:before="120"/>
        <w:ind w:left="1418" w:hanging="1418"/>
        <w:rPr>
          <w:i/>
          <w:iCs/>
        </w:rPr>
      </w:pPr>
      <w:r w:rsidRPr="00321B46">
        <w:rPr>
          <w:i/>
          <w:iCs/>
        </w:rPr>
        <w:t>INVR</w:t>
      </w:r>
      <w:r w:rsidRPr="00321B46">
        <w:rPr>
          <w:i/>
          <w:iCs/>
          <w:vertAlign w:val="subscript"/>
        </w:rPr>
        <w:t>j,k,t</w:t>
      </w:r>
      <w:r w:rsidRPr="00321B46">
        <w:t>:</w:t>
      </w:r>
      <w:r w:rsidRPr="00321B46">
        <w:tab/>
        <w:t xml:space="preserve">Inversiones en activos puestos en operación en el sistema del TN </w:t>
      </w:r>
      <w:r w:rsidRPr="00321B46">
        <w:rPr>
          <w:i/>
        </w:rPr>
        <w:t>j</w:t>
      </w:r>
      <w:r w:rsidRPr="00321B46">
        <w:t xml:space="preserve">, </w:t>
      </w:r>
      <w:r w:rsidRPr="00321B46">
        <w:rPr>
          <w:iCs/>
        </w:rPr>
        <w:t xml:space="preserve">en la categoría de activos </w:t>
      </w:r>
      <w:r w:rsidRPr="00321B46">
        <w:rPr>
          <w:i/>
          <w:iCs/>
        </w:rPr>
        <w:t>k</w:t>
      </w:r>
      <w:r w:rsidRPr="00321B46">
        <w:rPr>
          <w:iCs/>
        </w:rPr>
        <w:t xml:space="preserve"> </w:t>
      </w:r>
      <w:r w:rsidRPr="00321B46">
        <w:t xml:space="preserve">durante el año </w:t>
      </w:r>
      <w:r w:rsidRPr="00321B46">
        <w:rPr>
          <w:i/>
        </w:rPr>
        <w:t>t</w:t>
      </w:r>
      <w:r w:rsidRPr="00321B46">
        <w:t xml:space="preserve">, calculado según lo establecido en el numeral </w:t>
      </w:r>
      <w:r w:rsidRPr="00321B46">
        <w:fldChar w:fldCharType="begin"/>
      </w:r>
      <w:r w:rsidRPr="00321B46">
        <w:instrText xml:space="preserve"> REF _Ref443918667 \r \h </w:instrText>
      </w:r>
      <w:r w:rsidR="003276B5" w:rsidRPr="00321B46">
        <w:instrText xml:space="preserve"> \* MERGEFORMAT </w:instrText>
      </w:r>
      <w:r w:rsidRPr="00321B46">
        <w:fldChar w:fldCharType="separate"/>
      </w:r>
      <w:r w:rsidR="000F355F">
        <w:t>2.2.1.6</w:t>
      </w:r>
      <w:r w:rsidRPr="00321B46">
        <w:fldChar w:fldCharType="end"/>
      </w:r>
      <w:r w:rsidRPr="00321B46">
        <w:t>.</w:t>
      </w:r>
    </w:p>
    <w:p w14:paraId="1061D5B7" w14:textId="77777777" w:rsidR="004F5947" w:rsidRPr="00321B46" w:rsidRDefault="004F5947" w:rsidP="0004502D">
      <w:pPr>
        <w:pStyle w:val="Ttulo5"/>
      </w:pPr>
      <w:bookmarkStart w:id="82" w:name="_Ref443918940"/>
      <w:r w:rsidRPr="00321B46">
        <w:t>Inversiones para empresas con plan de inversiones aprobado</w:t>
      </w:r>
      <w:bookmarkEnd w:id="82"/>
    </w:p>
    <w:p w14:paraId="14507B6A" w14:textId="77777777" w:rsidR="004F5947" w:rsidRPr="00321B46" w:rsidRDefault="004F5947" w:rsidP="00F30BCA">
      <w:r w:rsidRPr="00321B46">
        <w:t>Las inversiones aprobadas en el plan de inversiones se calculan de la siguiente forma:</w:t>
      </w:r>
    </w:p>
    <w:p w14:paraId="6E9B523E" w14:textId="793F72CC" w:rsidR="004F5947" w:rsidRPr="00321B46" w:rsidRDefault="00651802" w:rsidP="00F30BCA">
      <m:oMathPara>
        <m:oMath>
          <m:sSub>
            <m:sSubPr>
              <m:ctrlPr>
                <w:rPr>
                  <w:rFonts w:ascii="Cambria Math" w:hAnsi="Cambria Math"/>
                  <w:i/>
                </w:rPr>
              </m:ctrlPr>
            </m:sSubPr>
            <m:e>
              <m:r>
                <w:rPr>
                  <w:rFonts w:ascii="Cambria Math" w:hAnsi="Cambria Math"/>
                </w:rPr>
                <m:t>INVA</m:t>
              </m:r>
            </m:e>
            <m:sub>
              <m:r>
                <w:rPr>
                  <w:rFonts w:ascii="Cambria Math" w:hAnsi="Cambria Math"/>
                </w:rPr>
                <m:t>j</m:t>
              </m:r>
              <m:r>
                <w:rPr>
                  <w:rFonts w:ascii="Cambria Math"/>
                </w:rPr>
                <m:t>,k,t</m:t>
              </m:r>
            </m:sub>
          </m:sSub>
          <m:r>
            <w:rPr>
              <w:rFonts w:ascii="Cambria Math"/>
            </w:rPr>
            <m:t>=</m:t>
          </m:r>
          <m:nary>
            <m:naryPr>
              <m:chr m:val="∑"/>
              <m:limLoc m:val="undOvr"/>
              <m:ctrlPr>
                <w:rPr>
                  <w:rFonts w:ascii="Cambria Math" w:hAnsi="Cambria Math"/>
                  <w:i/>
                </w:rPr>
              </m:ctrlPr>
            </m:naryPr>
            <m:sub>
              <m:r>
                <w:rPr>
                  <w:rFonts w:ascii="Cambria Math" w:hAnsi="Cambria Math"/>
                </w:rPr>
                <m:t>i</m:t>
              </m:r>
              <m:r>
                <w:rPr>
                  <w:rFonts w:ascii="Cambria Math"/>
                </w:rPr>
                <m:t>=1</m:t>
              </m:r>
            </m:sub>
            <m:sup>
              <m:sSub>
                <m:sSubPr>
                  <m:ctrlPr>
                    <w:rPr>
                      <w:rFonts w:ascii="Cambria Math" w:hAnsi="Cambria Math"/>
                      <w:i/>
                    </w:rPr>
                  </m:ctrlPr>
                </m:sSubPr>
                <m:e>
                  <m:r>
                    <w:rPr>
                      <w:rFonts w:ascii="Cambria Math" w:hAnsi="Cambria Math"/>
                    </w:rPr>
                    <m:t>UCP</m:t>
                  </m:r>
                </m:e>
                <m:sub>
                  <m:r>
                    <w:rPr>
                      <w:rFonts w:ascii="Cambria Math" w:hAnsi="Cambria Math"/>
                    </w:rPr>
                    <m:t>j</m:t>
                  </m:r>
                  <m:r>
                    <w:rPr>
                      <w:rFonts w:ascii="Cambria Math"/>
                    </w:rPr>
                    <m:t>,</m:t>
                  </m:r>
                  <m:r>
                    <w:rPr>
                      <w:rFonts w:ascii="Cambria Math" w:hAnsi="Cambria Math"/>
                    </w:rPr>
                    <m:t>k,t</m:t>
                  </m:r>
                </m:sub>
              </m:sSub>
            </m:sup>
            <m:e>
              <m:sSub>
                <m:sSubPr>
                  <m:ctrlPr>
                    <w:rPr>
                      <w:rFonts w:ascii="Cambria Math" w:hAnsi="Cambria Math"/>
                      <w:i/>
                    </w:rPr>
                  </m:ctrlPr>
                </m:sSubPr>
                <m:e>
                  <m:r>
                    <w:rPr>
                      <w:rFonts w:ascii="Cambria Math" w:hAnsi="Cambria Math"/>
                    </w:rPr>
                    <m:t>CR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FU</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RPP</m:t>
                      </m:r>
                    </m:e>
                    <m:sub>
                      <m:r>
                        <w:rPr>
                          <w:rFonts w:ascii="Cambria Math" w:hAnsi="Cambria Math"/>
                        </w:rPr>
                        <m:t>i</m:t>
                      </m:r>
                    </m:sub>
                  </m:sSub>
                </m:e>
              </m:d>
            </m:e>
          </m:nary>
        </m:oMath>
      </m:oMathPara>
    </w:p>
    <w:p w14:paraId="57AF1254" w14:textId="77777777" w:rsidR="004F5947" w:rsidRPr="00321B46" w:rsidRDefault="004F5947" w:rsidP="00F30BCA">
      <w:r w:rsidRPr="00321B46">
        <w:t>Donde:</w:t>
      </w:r>
    </w:p>
    <w:p w14:paraId="725EF974" w14:textId="12D69BB1" w:rsidR="004F5947" w:rsidRPr="00321B46" w:rsidRDefault="004F5947" w:rsidP="00F30BCA">
      <w:pPr>
        <w:spacing w:before="120"/>
        <w:ind w:left="1418" w:hanging="1418"/>
        <w:rPr>
          <w:i/>
          <w:iCs/>
        </w:rPr>
      </w:pPr>
      <w:r w:rsidRPr="00321B46">
        <w:rPr>
          <w:i/>
          <w:iCs/>
        </w:rPr>
        <w:t>INVA</w:t>
      </w:r>
      <w:r w:rsidRPr="00321B46">
        <w:rPr>
          <w:i/>
          <w:iCs/>
          <w:vertAlign w:val="subscript"/>
        </w:rPr>
        <w:t>j,</w:t>
      </w:r>
      <w:r w:rsidR="00FD0BCE" w:rsidRPr="00321B46">
        <w:rPr>
          <w:i/>
          <w:iCs/>
          <w:vertAlign w:val="subscript"/>
        </w:rPr>
        <w:t>k</w:t>
      </w:r>
      <w:r w:rsidRPr="00321B46">
        <w:rPr>
          <w:i/>
          <w:iCs/>
          <w:vertAlign w:val="subscript"/>
        </w:rPr>
        <w:t>,t</w:t>
      </w:r>
      <w:r w:rsidRPr="00321B46">
        <w:t>:</w:t>
      </w:r>
      <w:r w:rsidRPr="00321B46">
        <w:tab/>
      </w:r>
      <w:r w:rsidRPr="00321B46">
        <w:rPr>
          <w:iCs/>
        </w:rPr>
        <w:t xml:space="preserve">Inversión aprobada en el plan de inversiones del </w:t>
      </w:r>
      <w:r w:rsidR="00990168" w:rsidRPr="00321B46">
        <w:rPr>
          <w:iCs/>
        </w:rPr>
        <w:t>TN</w:t>
      </w:r>
      <w:r w:rsidRPr="00321B46">
        <w:rPr>
          <w:iCs/>
        </w:rPr>
        <w:t xml:space="preserve"> </w:t>
      </w:r>
      <w:r w:rsidRPr="00321B46">
        <w:rPr>
          <w:i/>
          <w:iCs/>
        </w:rPr>
        <w:t>j</w:t>
      </w:r>
      <w:r w:rsidR="00990168" w:rsidRPr="00321B46">
        <w:rPr>
          <w:iCs/>
        </w:rPr>
        <w:t>,</w:t>
      </w:r>
      <w:r w:rsidRPr="00321B46">
        <w:rPr>
          <w:iCs/>
        </w:rPr>
        <w:t xml:space="preserve"> en la categoría de activos </w:t>
      </w:r>
      <w:r w:rsidR="00990168" w:rsidRPr="00321B46">
        <w:rPr>
          <w:i/>
          <w:iCs/>
        </w:rPr>
        <w:t>k</w:t>
      </w:r>
      <w:r w:rsidRPr="00321B46">
        <w:rPr>
          <w:iCs/>
        </w:rPr>
        <w:t xml:space="preserve"> para el año </w:t>
      </w:r>
      <w:r w:rsidRPr="00321B46">
        <w:rPr>
          <w:i/>
          <w:iCs/>
        </w:rPr>
        <w:t>t</w:t>
      </w:r>
      <w:r w:rsidRPr="00321B46">
        <w:rPr>
          <w:iCs/>
        </w:rPr>
        <w:t xml:space="preserve">. </w:t>
      </w:r>
    </w:p>
    <w:p w14:paraId="4094C848" w14:textId="1CC7506F" w:rsidR="004F5947" w:rsidRPr="00321B46" w:rsidRDefault="004F5947" w:rsidP="00F30BCA">
      <w:pPr>
        <w:tabs>
          <w:tab w:val="left" w:pos="1418"/>
        </w:tabs>
        <w:spacing w:before="120"/>
        <w:ind w:left="1418" w:hanging="1418"/>
      </w:pPr>
      <w:r w:rsidRPr="00321B46">
        <w:rPr>
          <w:i/>
          <w:iCs/>
        </w:rPr>
        <w:t>UCP</w:t>
      </w:r>
      <w:r w:rsidRPr="00321B46">
        <w:rPr>
          <w:i/>
          <w:iCs/>
          <w:vertAlign w:val="subscript"/>
        </w:rPr>
        <w:t>j,</w:t>
      </w:r>
      <w:r w:rsidR="00990168" w:rsidRPr="00321B46">
        <w:rPr>
          <w:i/>
          <w:iCs/>
          <w:vertAlign w:val="subscript"/>
        </w:rPr>
        <w:t>k</w:t>
      </w:r>
      <w:r w:rsidRPr="00321B46">
        <w:rPr>
          <w:i/>
          <w:iCs/>
          <w:vertAlign w:val="subscript"/>
        </w:rPr>
        <w:t>,t</w:t>
      </w:r>
      <w:r w:rsidRPr="00321B46">
        <w:t>:</w:t>
      </w:r>
      <w:r w:rsidRPr="00321B46">
        <w:tab/>
      </w:r>
      <w:r w:rsidR="00B83C2A" w:rsidRPr="00321B46">
        <w:t xml:space="preserve">Número de </w:t>
      </w:r>
      <w:r w:rsidRPr="00321B46">
        <w:t xml:space="preserve">UC </w:t>
      </w:r>
      <w:r w:rsidR="00B83C2A" w:rsidRPr="00321B46">
        <w:t xml:space="preserve">nuevas </w:t>
      </w:r>
      <w:r w:rsidRPr="00321B46">
        <w:t xml:space="preserve">incluidas en el plan de inversiones aprobado al </w:t>
      </w:r>
      <w:r w:rsidR="00990168" w:rsidRPr="00321B46">
        <w:rPr>
          <w:iCs/>
        </w:rPr>
        <w:t xml:space="preserve">TN </w:t>
      </w:r>
      <w:r w:rsidR="00990168" w:rsidRPr="00321B46">
        <w:rPr>
          <w:i/>
          <w:iCs/>
        </w:rPr>
        <w:t>j</w:t>
      </w:r>
      <w:r w:rsidR="00990168" w:rsidRPr="00321B46">
        <w:rPr>
          <w:iCs/>
        </w:rPr>
        <w:t xml:space="preserve">, en la categoría de activos </w:t>
      </w:r>
      <w:r w:rsidR="00990168" w:rsidRPr="00321B46">
        <w:rPr>
          <w:i/>
          <w:iCs/>
        </w:rPr>
        <w:t>k</w:t>
      </w:r>
      <w:r w:rsidR="00990168" w:rsidRPr="00321B46">
        <w:rPr>
          <w:iCs/>
        </w:rPr>
        <w:t xml:space="preserve"> </w:t>
      </w:r>
      <w:r w:rsidRPr="00321B46">
        <w:rPr>
          <w:iCs/>
        </w:rPr>
        <w:t xml:space="preserve">para </w:t>
      </w:r>
      <w:r w:rsidRPr="00321B46">
        <w:t xml:space="preserve">el año </w:t>
      </w:r>
      <w:r w:rsidRPr="00321B46">
        <w:rPr>
          <w:i/>
        </w:rPr>
        <w:t>t</w:t>
      </w:r>
      <w:r w:rsidRPr="00321B46">
        <w:t>. No se incluyen las UC que fueron trasladadas y siguen en operación.</w:t>
      </w:r>
    </w:p>
    <w:p w14:paraId="26D456C9" w14:textId="154A3ECE" w:rsidR="004F5947" w:rsidRPr="00321B46" w:rsidRDefault="004F5947" w:rsidP="00F30BCA">
      <w:pPr>
        <w:ind w:left="1410" w:hanging="1410"/>
      </w:pPr>
      <w:r w:rsidRPr="00321B46">
        <w:rPr>
          <w:i/>
          <w:iCs/>
        </w:rPr>
        <w:t>CR</w:t>
      </w:r>
      <w:r w:rsidRPr="00321B46">
        <w:rPr>
          <w:i/>
          <w:iCs/>
          <w:vertAlign w:val="subscript"/>
        </w:rPr>
        <w:t>i</w:t>
      </w:r>
      <w:r w:rsidRPr="00321B46">
        <w:t>:</w:t>
      </w:r>
      <w:r w:rsidRPr="00321B46">
        <w:tab/>
      </w:r>
      <w:r w:rsidRPr="00321B46">
        <w:tab/>
        <w:t xml:space="preserve">Valor de la UC </w:t>
      </w:r>
      <w:r w:rsidRPr="00321B46">
        <w:rPr>
          <w:i/>
          <w:iCs/>
        </w:rPr>
        <w:t>i</w:t>
      </w:r>
      <w:r w:rsidRPr="00321B46">
        <w:rPr>
          <w:iCs/>
        </w:rPr>
        <w:t>,</w:t>
      </w:r>
      <w:r w:rsidRPr="00321B46">
        <w:t xml:space="preserve"> definido </w:t>
      </w:r>
      <w:r w:rsidR="00270CDF" w:rsidRPr="00321B46">
        <w:t xml:space="preserve">en el capítulo </w:t>
      </w:r>
      <w:r w:rsidR="00847275" w:rsidRPr="00321B46">
        <w:rPr>
          <w:rFonts w:cs="Arial"/>
        </w:rPr>
        <w:fldChar w:fldCharType="begin"/>
      </w:r>
      <w:r w:rsidR="00847275" w:rsidRPr="00321B46">
        <w:rPr>
          <w:rFonts w:cs="Arial"/>
        </w:rPr>
        <w:instrText xml:space="preserve"> REF _Ref404776490 \r \h \t \* MERGEFORMAT </w:instrText>
      </w:r>
      <w:r w:rsidR="00847275" w:rsidRPr="00321B46">
        <w:rPr>
          <w:rFonts w:cs="Arial"/>
        </w:rPr>
      </w:r>
      <w:r w:rsidR="00847275" w:rsidRPr="00321B46">
        <w:rPr>
          <w:rFonts w:cs="Arial"/>
        </w:rPr>
        <w:fldChar w:fldCharType="separate"/>
      </w:r>
      <w:r w:rsidR="000F355F">
        <w:rPr>
          <w:rFonts w:cs="Arial"/>
        </w:rPr>
        <w:t>7</w:t>
      </w:r>
      <w:r w:rsidR="00847275" w:rsidRPr="00321B46">
        <w:rPr>
          <w:rFonts w:cs="Arial"/>
        </w:rPr>
        <w:fldChar w:fldCharType="end"/>
      </w:r>
      <w:r w:rsidR="00457F1A" w:rsidRPr="00321B46">
        <w:rPr>
          <w:rFonts w:cs="Arial"/>
        </w:rPr>
        <w:t xml:space="preserve"> </w:t>
      </w:r>
      <w:r w:rsidR="00457F1A" w:rsidRPr="00321B46">
        <w:t>de este anexo</w:t>
      </w:r>
      <w:r w:rsidRPr="00321B46">
        <w:t>.</w:t>
      </w:r>
    </w:p>
    <w:p w14:paraId="3B1234B0" w14:textId="77777777" w:rsidR="004F5947" w:rsidRPr="00321B46" w:rsidRDefault="004F5947" w:rsidP="00F30BCA">
      <w:pPr>
        <w:tabs>
          <w:tab w:val="left" w:pos="1418"/>
        </w:tabs>
        <w:spacing w:before="120"/>
        <w:ind w:left="1418" w:hanging="1418"/>
      </w:pPr>
      <w:r w:rsidRPr="00321B46">
        <w:rPr>
          <w:i/>
          <w:iCs/>
        </w:rPr>
        <w:t>PU</w:t>
      </w:r>
      <w:r w:rsidRPr="00321B46">
        <w:rPr>
          <w:i/>
          <w:iCs/>
          <w:vertAlign w:val="subscript"/>
        </w:rPr>
        <w:t>i</w:t>
      </w:r>
      <w:r w:rsidR="000E1899" w:rsidRPr="00321B46">
        <w:rPr>
          <w:i/>
          <w:iCs/>
          <w:vertAlign w:val="subscript"/>
        </w:rPr>
        <w:t>,j</w:t>
      </w:r>
      <w:r w:rsidRPr="00321B46">
        <w:rPr>
          <w:i/>
          <w:iCs/>
        </w:rPr>
        <w:t>:</w:t>
      </w:r>
      <w:r w:rsidRPr="00321B46">
        <w:tab/>
        <w:t xml:space="preserve">Fracción del costo de la UC </w:t>
      </w:r>
      <w:r w:rsidRPr="00321B46">
        <w:rPr>
          <w:i/>
          <w:iCs/>
        </w:rPr>
        <w:t>i</w:t>
      </w:r>
      <w:r w:rsidRPr="00321B46">
        <w:t xml:space="preserve"> que es reconocida mediante cargos por uso</w:t>
      </w:r>
      <w:r w:rsidR="000E1899" w:rsidRPr="00321B46">
        <w:t xml:space="preserve"> al TN </w:t>
      </w:r>
      <w:r w:rsidR="000E1899" w:rsidRPr="00321B46">
        <w:rPr>
          <w:i/>
        </w:rPr>
        <w:t>j</w:t>
      </w:r>
      <w:r w:rsidRPr="00321B46">
        <w:t>.</w:t>
      </w:r>
    </w:p>
    <w:p w14:paraId="374EF809" w14:textId="77777777" w:rsidR="0078710B" w:rsidRPr="00321B46" w:rsidRDefault="0078710B" w:rsidP="00F30BCA">
      <w:pPr>
        <w:ind w:left="1410" w:hanging="1410"/>
      </w:pPr>
      <w:r w:rsidRPr="00321B46">
        <w:rPr>
          <w:i/>
          <w:iCs/>
        </w:rPr>
        <w:t>FU</w:t>
      </w:r>
      <w:r w:rsidRPr="00321B46">
        <w:rPr>
          <w:i/>
          <w:iCs/>
          <w:vertAlign w:val="subscript"/>
        </w:rPr>
        <w:t>i</w:t>
      </w:r>
      <w:r w:rsidRPr="00321B46">
        <w:rPr>
          <w:i/>
          <w:iCs/>
        </w:rPr>
        <w:t>:</w:t>
      </w:r>
      <w:r w:rsidRPr="00321B46">
        <w:rPr>
          <w:i/>
          <w:iCs/>
        </w:rPr>
        <w:tab/>
      </w:r>
      <w:r w:rsidRPr="00321B46">
        <w:t xml:space="preserve">Fracción del costo de la UC </w:t>
      </w:r>
      <w:r w:rsidRPr="00321B46">
        <w:rPr>
          <w:i/>
          <w:iCs/>
        </w:rPr>
        <w:t>i</w:t>
      </w:r>
      <w:r w:rsidRPr="00321B46">
        <w:t xml:space="preserve"> que es reconocida por reposiciones parciales de la UC. Este valor se calcula como el peso relativo del valor reconocido del elemento o los elementos reemplazados respecto al valor total de la UC.</w:t>
      </w:r>
    </w:p>
    <w:p w14:paraId="27C1575E" w14:textId="77777777" w:rsidR="00674134" w:rsidRPr="00321B46" w:rsidRDefault="00674134" w:rsidP="00F30BCA">
      <w:pPr>
        <w:tabs>
          <w:tab w:val="left" w:pos="1418"/>
        </w:tabs>
        <w:spacing w:before="120"/>
        <w:ind w:left="1418" w:hanging="1418"/>
      </w:pPr>
      <w:r w:rsidRPr="00321B46">
        <w:rPr>
          <w:i/>
          <w:iCs/>
        </w:rPr>
        <w:t>RPP</w:t>
      </w:r>
      <w:r w:rsidRPr="00321B46">
        <w:rPr>
          <w:i/>
          <w:iCs/>
          <w:vertAlign w:val="subscript"/>
        </w:rPr>
        <w:t>i</w:t>
      </w:r>
      <w:r w:rsidRPr="00321B46">
        <w:rPr>
          <w:i/>
          <w:iCs/>
        </w:rPr>
        <w:t>:</w:t>
      </w:r>
      <w:r w:rsidRPr="00321B46">
        <w:tab/>
        <w:t xml:space="preserve">Fracción del costo de la UC </w:t>
      </w:r>
      <w:r w:rsidRPr="00321B46">
        <w:rPr>
          <w:i/>
          <w:iCs/>
        </w:rPr>
        <w:t>i</w:t>
      </w:r>
      <w:r w:rsidRPr="00321B46">
        <w:t>, remunerada vía cargos por uso, que no se debe incluir en el cálculo de la tarifa.</w:t>
      </w:r>
    </w:p>
    <w:p w14:paraId="65CC0CC7" w14:textId="77777777" w:rsidR="004F5947" w:rsidRPr="00321B46" w:rsidRDefault="004F5947" w:rsidP="0004502D">
      <w:pPr>
        <w:pStyle w:val="Ttulo5"/>
      </w:pPr>
      <w:bookmarkStart w:id="83" w:name="_Ref443918943"/>
      <w:r w:rsidRPr="00321B46">
        <w:t>Inversiones para empresas sin plan de inversiones aprobado</w:t>
      </w:r>
      <w:bookmarkEnd w:id="83"/>
    </w:p>
    <w:p w14:paraId="60131804" w14:textId="77777777" w:rsidR="004F5947" w:rsidRPr="00321B46" w:rsidRDefault="004F5947" w:rsidP="00F30BCA">
      <w:r w:rsidRPr="00321B46">
        <w:rPr>
          <w:lang w:val="es-ES_tradnl"/>
        </w:rPr>
        <w:t>Las inversiones aprobadas para las empresas a las que no se les aprueba el plan de inversiones o que no lo presenten en la fecha indicada se calculan de la siguiente manera:</w:t>
      </w:r>
    </w:p>
    <w:p w14:paraId="578D369B" w14:textId="77777777" w:rsidR="004F5947" w:rsidRPr="00321B46" w:rsidRDefault="00651802" w:rsidP="00F30BCA">
      <m:oMathPara>
        <m:oMath>
          <m:sSub>
            <m:sSubPr>
              <m:ctrlPr>
                <w:rPr>
                  <w:rFonts w:ascii="Cambria Math" w:hAnsi="Cambria Math"/>
                  <w:i/>
                </w:rPr>
              </m:ctrlPr>
            </m:sSubPr>
            <m:e>
              <m:r>
                <w:rPr>
                  <w:rFonts w:ascii="Cambria Math" w:hAnsi="Cambria Math"/>
                </w:rPr>
                <m:t>INVA</m:t>
              </m:r>
            </m:e>
            <m:sub>
              <m:r>
                <w:rPr>
                  <w:rFonts w:ascii="Cambria Math" w:hAnsi="Cambria Math"/>
                </w:rPr>
                <m:t>j</m:t>
              </m:r>
              <m:r>
                <w:rPr>
                  <w:rFonts w:ascii="Cambria Math"/>
                </w:rPr>
                <m:t>,k,t</m:t>
              </m:r>
            </m:sub>
          </m:sSub>
          <m:r>
            <w:rPr>
              <w:rFonts w:ascii="Cambria Math"/>
            </w:rPr>
            <m:t>=</m:t>
          </m:r>
          <m:sSub>
            <m:sSubPr>
              <m:ctrlPr>
                <w:rPr>
                  <w:rFonts w:ascii="Cambria Math" w:hAnsi="Cambria Math"/>
                  <w:i/>
                </w:rPr>
              </m:ctrlPr>
            </m:sSubPr>
            <m:e>
              <m:r>
                <w:rPr>
                  <w:rFonts w:ascii="Cambria Math"/>
                </w:rPr>
                <m:t>BRAE</m:t>
              </m:r>
            </m:e>
            <m:sub>
              <m:r>
                <w:rPr>
                  <w:rFonts w:ascii="Cambria Math"/>
                </w:rPr>
                <m:t>j,k,0</m:t>
              </m:r>
            </m:sub>
          </m:sSub>
          <m:r>
            <w:rPr>
              <w:rFonts w:ascii="Cambria Math" w:hAnsi="Cambria Math" w:cs="Cambria Math"/>
            </w:rPr>
            <m:t>*</m:t>
          </m:r>
          <m:sSub>
            <m:sSubPr>
              <m:ctrlPr>
                <w:rPr>
                  <w:rFonts w:ascii="Cambria Math" w:hAnsi="Cambria Math"/>
                  <w:i/>
                </w:rPr>
              </m:ctrlPr>
            </m:sSubPr>
            <m:e>
              <m:r>
                <w:rPr>
                  <w:rFonts w:ascii="Cambria Math"/>
                </w:rPr>
                <m:t>PIH</m:t>
              </m:r>
            </m:e>
            <m:sub>
              <m:r>
                <w:rPr>
                  <w:rFonts w:ascii="Cambria Math"/>
                </w:rPr>
                <m:t>j</m:t>
              </m:r>
            </m:sub>
          </m:sSub>
        </m:oMath>
      </m:oMathPara>
    </w:p>
    <w:p w14:paraId="5F74BA63" w14:textId="77777777" w:rsidR="004F5947" w:rsidRPr="00321B46" w:rsidRDefault="004F5947" w:rsidP="00F30BCA">
      <w:pPr>
        <w:ind w:left="1418" w:hanging="1418"/>
        <w:rPr>
          <w:iCs/>
        </w:rPr>
      </w:pPr>
      <w:r w:rsidRPr="00321B46">
        <w:rPr>
          <w:iCs/>
        </w:rPr>
        <w:t>Donde:</w:t>
      </w:r>
    </w:p>
    <w:p w14:paraId="1C1F5F41" w14:textId="77777777" w:rsidR="004F5947" w:rsidRPr="00321B46" w:rsidRDefault="004F5947" w:rsidP="00F30BCA">
      <w:pPr>
        <w:ind w:left="1418" w:hanging="1418"/>
        <w:rPr>
          <w:iCs/>
        </w:rPr>
      </w:pPr>
      <w:r w:rsidRPr="00321B46">
        <w:rPr>
          <w:i/>
          <w:iCs/>
        </w:rPr>
        <w:t>INVA</w:t>
      </w:r>
      <w:r w:rsidRPr="00321B46">
        <w:rPr>
          <w:i/>
          <w:iCs/>
          <w:vertAlign w:val="subscript"/>
        </w:rPr>
        <w:t>j,</w:t>
      </w:r>
      <w:r w:rsidR="000E1899" w:rsidRPr="00321B46">
        <w:rPr>
          <w:i/>
          <w:iCs/>
          <w:vertAlign w:val="subscript"/>
        </w:rPr>
        <w:t>k</w:t>
      </w:r>
      <w:r w:rsidRPr="00321B46">
        <w:rPr>
          <w:i/>
          <w:iCs/>
          <w:vertAlign w:val="subscript"/>
        </w:rPr>
        <w:t>,t</w:t>
      </w:r>
      <w:r w:rsidRPr="00321B46">
        <w:t>:</w:t>
      </w:r>
      <w:r w:rsidRPr="00321B46">
        <w:tab/>
      </w:r>
      <w:r w:rsidRPr="00321B46">
        <w:rPr>
          <w:iCs/>
        </w:rPr>
        <w:t xml:space="preserve">Inversión aprobada en el plan de inversiones del </w:t>
      </w:r>
      <w:r w:rsidR="000E1899" w:rsidRPr="00321B46">
        <w:rPr>
          <w:iCs/>
        </w:rPr>
        <w:t>TN</w:t>
      </w:r>
      <w:r w:rsidRPr="00321B46">
        <w:rPr>
          <w:iCs/>
        </w:rPr>
        <w:t xml:space="preserve"> </w:t>
      </w:r>
      <w:r w:rsidRPr="00321B46">
        <w:rPr>
          <w:i/>
          <w:iCs/>
        </w:rPr>
        <w:t>j</w:t>
      </w:r>
      <w:r w:rsidR="000E1899" w:rsidRPr="00321B46">
        <w:rPr>
          <w:iCs/>
        </w:rPr>
        <w:t xml:space="preserve">, </w:t>
      </w:r>
      <w:r w:rsidRPr="00321B46">
        <w:rPr>
          <w:iCs/>
        </w:rPr>
        <w:t xml:space="preserve">en la categoría de activos </w:t>
      </w:r>
      <w:r w:rsidR="000E1899" w:rsidRPr="00321B46">
        <w:rPr>
          <w:i/>
          <w:iCs/>
        </w:rPr>
        <w:t>k</w:t>
      </w:r>
      <w:r w:rsidRPr="00321B46">
        <w:rPr>
          <w:iCs/>
        </w:rPr>
        <w:t xml:space="preserve"> para el año </w:t>
      </w:r>
      <w:r w:rsidRPr="00321B46">
        <w:rPr>
          <w:i/>
          <w:iCs/>
        </w:rPr>
        <w:t>t</w:t>
      </w:r>
      <w:r w:rsidRPr="00321B46">
        <w:rPr>
          <w:iCs/>
        </w:rPr>
        <w:t xml:space="preserve">. </w:t>
      </w:r>
    </w:p>
    <w:p w14:paraId="7A95FAAE" w14:textId="77777777" w:rsidR="004F5947" w:rsidRPr="00321B46" w:rsidRDefault="004F5947" w:rsidP="00F30BCA">
      <w:pPr>
        <w:ind w:left="1418" w:hanging="1418"/>
      </w:pPr>
      <w:r w:rsidRPr="00321B46">
        <w:rPr>
          <w:i/>
          <w:iCs/>
        </w:rPr>
        <w:t>BRAE</w:t>
      </w:r>
      <w:r w:rsidRPr="00321B46">
        <w:rPr>
          <w:i/>
          <w:iCs/>
          <w:vertAlign w:val="subscript"/>
        </w:rPr>
        <w:t>j,</w:t>
      </w:r>
      <w:r w:rsidR="000E1899" w:rsidRPr="00321B46">
        <w:rPr>
          <w:i/>
          <w:iCs/>
          <w:vertAlign w:val="subscript"/>
        </w:rPr>
        <w:t>k</w:t>
      </w:r>
      <w:r w:rsidRPr="00321B46">
        <w:rPr>
          <w:i/>
          <w:iCs/>
          <w:vertAlign w:val="subscript"/>
        </w:rPr>
        <w:t>,0</w:t>
      </w:r>
      <w:r w:rsidRPr="00321B46">
        <w:t>:</w:t>
      </w:r>
      <w:r w:rsidRPr="00321B46">
        <w:tab/>
        <w:t xml:space="preserve">Base regulatoria inicial de activos eléctricos del </w:t>
      </w:r>
      <w:r w:rsidR="00444BD7" w:rsidRPr="00321B46">
        <w:t>TN</w:t>
      </w:r>
      <w:r w:rsidRPr="00321B46">
        <w:t xml:space="preserve"> </w:t>
      </w:r>
      <w:r w:rsidRPr="00321B46">
        <w:rPr>
          <w:i/>
        </w:rPr>
        <w:t>j</w:t>
      </w:r>
      <w:r w:rsidRPr="00321B46">
        <w:t>.</w:t>
      </w:r>
    </w:p>
    <w:p w14:paraId="66BEDCA5" w14:textId="77777777" w:rsidR="00444BD7" w:rsidRPr="00321B46" w:rsidRDefault="004F5947" w:rsidP="00F30BCA">
      <w:pPr>
        <w:ind w:left="1418" w:hanging="1418"/>
        <w:rPr>
          <w:iCs/>
        </w:rPr>
      </w:pPr>
      <w:r w:rsidRPr="00321B46">
        <w:rPr>
          <w:i/>
          <w:iCs/>
        </w:rPr>
        <w:t>PIH</w:t>
      </w:r>
      <w:r w:rsidRPr="00321B46">
        <w:rPr>
          <w:i/>
          <w:iCs/>
          <w:vertAlign w:val="subscript"/>
        </w:rPr>
        <w:t>j</w:t>
      </w:r>
      <w:r w:rsidRPr="00321B46">
        <w:t>:</w:t>
      </w:r>
      <w:r w:rsidRPr="00321B46">
        <w:tab/>
        <w:t xml:space="preserve">Porcentaje de inversiones de referencia del </w:t>
      </w:r>
      <w:r w:rsidR="00444BD7" w:rsidRPr="00321B46">
        <w:t>TN</w:t>
      </w:r>
      <w:r w:rsidRPr="00321B46">
        <w:t xml:space="preserve"> </w:t>
      </w:r>
      <w:r w:rsidRPr="00321B46">
        <w:rPr>
          <w:i/>
        </w:rPr>
        <w:t>j</w:t>
      </w:r>
      <w:r w:rsidRPr="00321B46">
        <w:t>.</w:t>
      </w:r>
      <w:r w:rsidR="00444BD7" w:rsidRPr="00321B46">
        <w:rPr>
          <w:i/>
          <w:iCs/>
        </w:rPr>
        <w:t xml:space="preserve"> </w:t>
      </w:r>
      <w:r w:rsidRPr="00321B46">
        <w:rPr>
          <w:iCs/>
        </w:rPr>
        <w:t>Corresponde al</w:t>
      </w:r>
      <w:r w:rsidR="00444BD7" w:rsidRPr="00321B46">
        <w:rPr>
          <w:iCs/>
        </w:rPr>
        <w:t> </w:t>
      </w:r>
      <w:r w:rsidRPr="00321B46">
        <w:rPr>
          <w:iCs/>
        </w:rPr>
        <w:t>1%</w:t>
      </w:r>
    </w:p>
    <w:p w14:paraId="43239476" w14:textId="4D61189B" w:rsidR="004F5947" w:rsidRPr="00321B46" w:rsidRDefault="004F5947" w:rsidP="0004502D">
      <w:pPr>
        <w:pStyle w:val="Ttulo4"/>
      </w:pPr>
      <w:bookmarkStart w:id="84" w:name="_Ref443918667"/>
      <w:r w:rsidRPr="00321B46">
        <w:t>Inversiones en activos puestos en operación</w:t>
      </w:r>
      <w:bookmarkEnd w:id="84"/>
    </w:p>
    <w:p w14:paraId="470349A2" w14:textId="77777777" w:rsidR="004F5947" w:rsidRPr="00321B46" w:rsidRDefault="004F5947" w:rsidP="00F30BCA">
      <w:r w:rsidRPr="00321B46">
        <w:t>Las inversiones en activos puestos en operación se calculan de la siguiente manera:</w:t>
      </w:r>
    </w:p>
    <w:p w14:paraId="642CB2BA" w14:textId="5427365E" w:rsidR="004F5947" w:rsidRPr="00321B46" w:rsidRDefault="00651802" w:rsidP="00F30BCA">
      <m:oMathPara>
        <m:oMath>
          <m:sSub>
            <m:sSubPr>
              <m:ctrlPr>
                <w:rPr>
                  <w:rFonts w:ascii="Cambria Math" w:hAnsi="Cambria Math"/>
                  <w:i/>
                </w:rPr>
              </m:ctrlPr>
            </m:sSubPr>
            <m:e>
              <m:r>
                <w:rPr>
                  <w:rFonts w:ascii="Cambria Math" w:hAnsi="Cambria Math"/>
                </w:rPr>
                <m:t>INVR</m:t>
              </m:r>
            </m:e>
            <m:sub>
              <m:r>
                <w:rPr>
                  <w:rFonts w:ascii="Cambria Math" w:hAnsi="Cambria Math"/>
                </w:rPr>
                <m:t>j</m:t>
              </m:r>
              <m:r>
                <w:rPr>
                  <w:rFonts w:ascii="Cambria Math"/>
                </w:rPr>
                <m:t>,k,t</m:t>
              </m:r>
            </m:sub>
          </m:sSub>
          <m:r>
            <w:rPr>
              <w:rFonts w:ascii="Cambria Math"/>
            </w:rPr>
            <m:t>=</m:t>
          </m:r>
          <m:nary>
            <m:naryPr>
              <m:chr m:val="∑"/>
              <m:limLoc m:val="undOvr"/>
              <m:ctrlPr>
                <w:rPr>
                  <w:rFonts w:ascii="Cambria Math" w:hAnsi="Cambria Math"/>
                  <w:i/>
                </w:rPr>
              </m:ctrlPr>
            </m:naryPr>
            <m:sub>
              <m:r>
                <w:rPr>
                  <w:rFonts w:ascii="Cambria Math" w:hAnsi="Cambria Math"/>
                </w:rPr>
                <m:t>i</m:t>
              </m:r>
              <m:r>
                <w:rPr>
                  <w:rFonts w:ascii="Cambria Math"/>
                </w:rPr>
                <m:t>=1</m:t>
              </m:r>
            </m:sub>
            <m:sup>
              <m:sSub>
                <m:sSubPr>
                  <m:ctrlPr>
                    <w:rPr>
                      <w:rFonts w:ascii="Cambria Math" w:hAnsi="Cambria Math"/>
                      <w:i/>
                    </w:rPr>
                  </m:ctrlPr>
                </m:sSubPr>
                <m:e>
                  <m:r>
                    <w:rPr>
                      <w:rFonts w:ascii="Cambria Math" w:hAnsi="Cambria Math"/>
                    </w:rPr>
                    <m:t>UCO</m:t>
                  </m:r>
                </m:e>
                <m:sub>
                  <m:r>
                    <w:rPr>
                      <w:rFonts w:ascii="Cambria Math" w:hAnsi="Cambria Math"/>
                    </w:rPr>
                    <m:t>j</m:t>
                  </m:r>
                  <m:r>
                    <w:rPr>
                      <w:rFonts w:ascii="Cambria Math"/>
                    </w:rPr>
                    <m:t>,</m:t>
                  </m:r>
                  <m:r>
                    <w:rPr>
                      <w:rFonts w:ascii="Cambria Math" w:hAnsi="Cambria Math"/>
                    </w:rPr>
                    <m:t>k,t</m:t>
                  </m:r>
                </m:sub>
              </m:sSub>
            </m:sup>
            <m:e>
              <m:sSub>
                <m:sSubPr>
                  <m:ctrlPr>
                    <w:rPr>
                      <w:rFonts w:ascii="Cambria Math" w:hAnsi="Cambria Math"/>
                      <w:i/>
                    </w:rPr>
                  </m:ctrlPr>
                </m:sSubPr>
                <m:e>
                  <m:r>
                    <w:rPr>
                      <w:rFonts w:ascii="Cambria Math" w:hAnsi="Cambria Math"/>
                    </w:rPr>
                    <m:t>CR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FU</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RPP</m:t>
                      </m:r>
                    </m:e>
                    <m:sub>
                      <m:r>
                        <w:rPr>
                          <w:rFonts w:ascii="Cambria Math" w:hAnsi="Cambria Math"/>
                        </w:rPr>
                        <m:t>i</m:t>
                      </m:r>
                    </m:sub>
                  </m:sSub>
                </m:e>
              </m:d>
            </m:e>
          </m:nary>
        </m:oMath>
      </m:oMathPara>
    </w:p>
    <w:p w14:paraId="21D17279" w14:textId="3BC2333A" w:rsidR="004F5947" w:rsidRPr="00321B46" w:rsidRDefault="004F5947" w:rsidP="00F30BCA">
      <w:pPr>
        <w:spacing w:before="120"/>
        <w:ind w:left="1418" w:hanging="1418"/>
        <w:rPr>
          <w:i/>
          <w:iCs/>
        </w:rPr>
      </w:pPr>
      <w:r w:rsidRPr="00321B46">
        <w:rPr>
          <w:i/>
          <w:iCs/>
        </w:rPr>
        <w:t>INVR</w:t>
      </w:r>
      <w:r w:rsidRPr="00321B46">
        <w:rPr>
          <w:i/>
          <w:iCs/>
          <w:vertAlign w:val="subscript"/>
        </w:rPr>
        <w:t>j,</w:t>
      </w:r>
      <w:r w:rsidR="001B2DEC" w:rsidRPr="00321B46">
        <w:rPr>
          <w:i/>
          <w:iCs/>
          <w:vertAlign w:val="subscript"/>
        </w:rPr>
        <w:t>k</w:t>
      </w:r>
      <w:r w:rsidRPr="00321B46">
        <w:rPr>
          <w:i/>
          <w:iCs/>
          <w:vertAlign w:val="subscript"/>
        </w:rPr>
        <w:t>,t</w:t>
      </w:r>
      <w:r w:rsidRPr="00321B46">
        <w:t>:</w:t>
      </w:r>
      <w:r w:rsidRPr="00321B46">
        <w:tab/>
        <w:t xml:space="preserve">Inversiones en activos puestos en operación en el sistema del </w:t>
      </w:r>
      <w:r w:rsidR="001B2DEC" w:rsidRPr="00321B46">
        <w:t>TN</w:t>
      </w:r>
      <w:r w:rsidRPr="00321B46">
        <w:t xml:space="preserve"> </w:t>
      </w:r>
      <w:r w:rsidRPr="00321B46">
        <w:rPr>
          <w:i/>
        </w:rPr>
        <w:t>j</w:t>
      </w:r>
      <w:r w:rsidR="001B2DEC" w:rsidRPr="00321B46">
        <w:t xml:space="preserve">, </w:t>
      </w:r>
      <w:r w:rsidRPr="00321B46">
        <w:rPr>
          <w:iCs/>
        </w:rPr>
        <w:t xml:space="preserve">en la categoría de activos </w:t>
      </w:r>
      <w:r w:rsidR="001B2DEC" w:rsidRPr="00321B46">
        <w:rPr>
          <w:i/>
          <w:iCs/>
        </w:rPr>
        <w:t>k</w:t>
      </w:r>
      <w:r w:rsidRPr="00321B46">
        <w:rPr>
          <w:iCs/>
        </w:rPr>
        <w:t xml:space="preserve"> </w:t>
      </w:r>
      <w:r w:rsidRPr="00321B46">
        <w:t xml:space="preserve">durante el año </w:t>
      </w:r>
      <w:r w:rsidRPr="00321B46">
        <w:rPr>
          <w:i/>
        </w:rPr>
        <w:t>t</w:t>
      </w:r>
      <w:r w:rsidR="0041785E" w:rsidRPr="00321B46">
        <w:t>.</w:t>
      </w:r>
      <w:r w:rsidRPr="00321B46">
        <w:t xml:space="preserve"> </w:t>
      </w:r>
    </w:p>
    <w:p w14:paraId="7B214AD2" w14:textId="77777777" w:rsidR="004F5947" w:rsidRPr="00321B46" w:rsidRDefault="004F5947" w:rsidP="00F30BCA">
      <w:pPr>
        <w:tabs>
          <w:tab w:val="left" w:pos="1418"/>
        </w:tabs>
        <w:spacing w:before="120"/>
        <w:ind w:left="1418" w:hanging="1418"/>
      </w:pPr>
      <w:r w:rsidRPr="00321B46">
        <w:rPr>
          <w:i/>
          <w:iCs/>
        </w:rPr>
        <w:t>UCO</w:t>
      </w:r>
      <w:r w:rsidRPr="00321B46">
        <w:rPr>
          <w:i/>
          <w:iCs/>
          <w:vertAlign w:val="subscript"/>
        </w:rPr>
        <w:t>j,</w:t>
      </w:r>
      <w:r w:rsidR="0041785E" w:rsidRPr="00321B46">
        <w:rPr>
          <w:i/>
          <w:iCs/>
          <w:vertAlign w:val="subscript"/>
        </w:rPr>
        <w:t>k</w:t>
      </w:r>
      <w:r w:rsidRPr="00321B46">
        <w:rPr>
          <w:i/>
          <w:iCs/>
          <w:vertAlign w:val="subscript"/>
        </w:rPr>
        <w:t>,t</w:t>
      </w:r>
      <w:r w:rsidRPr="00321B46">
        <w:t>:</w:t>
      </w:r>
      <w:r w:rsidRPr="00321B46">
        <w:tab/>
        <w:t xml:space="preserve">Número de UC nuevas puestas en operación en el sistema del </w:t>
      </w:r>
      <w:r w:rsidR="0041785E" w:rsidRPr="00321B46">
        <w:t xml:space="preserve">TN </w:t>
      </w:r>
      <w:r w:rsidR="0041785E" w:rsidRPr="00321B46">
        <w:rPr>
          <w:i/>
        </w:rPr>
        <w:t>j</w:t>
      </w:r>
      <w:r w:rsidR="0041785E" w:rsidRPr="00321B46">
        <w:t xml:space="preserve">, </w:t>
      </w:r>
      <w:r w:rsidR="0041785E" w:rsidRPr="00321B46">
        <w:rPr>
          <w:iCs/>
        </w:rPr>
        <w:t xml:space="preserve">en la categoría de activos </w:t>
      </w:r>
      <w:r w:rsidR="0041785E" w:rsidRPr="00321B46">
        <w:rPr>
          <w:i/>
          <w:iCs/>
        </w:rPr>
        <w:t>k</w:t>
      </w:r>
      <w:r w:rsidRPr="00321B46">
        <w:rPr>
          <w:iCs/>
        </w:rPr>
        <w:t xml:space="preserve"> </w:t>
      </w:r>
      <w:r w:rsidRPr="00321B46">
        <w:t xml:space="preserve">durante el año </w:t>
      </w:r>
      <w:r w:rsidRPr="00321B46">
        <w:rPr>
          <w:i/>
        </w:rPr>
        <w:t>t</w:t>
      </w:r>
      <w:r w:rsidRPr="00321B46">
        <w:t>. No se incluyen las UC que fueron trasladadas y siguen en operación.</w:t>
      </w:r>
    </w:p>
    <w:p w14:paraId="47404357" w14:textId="5F1A66CD" w:rsidR="004F5947" w:rsidRPr="00321B46" w:rsidRDefault="004F5947" w:rsidP="00F30BCA">
      <w:pPr>
        <w:ind w:left="1410" w:hanging="1410"/>
      </w:pPr>
      <w:r w:rsidRPr="00321B46">
        <w:rPr>
          <w:i/>
          <w:iCs/>
        </w:rPr>
        <w:t>CR</w:t>
      </w:r>
      <w:r w:rsidRPr="00321B46">
        <w:rPr>
          <w:i/>
          <w:iCs/>
          <w:vertAlign w:val="subscript"/>
        </w:rPr>
        <w:t>i</w:t>
      </w:r>
      <w:r w:rsidRPr="00321B46">
        <w:t>:</w:t>
      </w:r>
      <w:r w:rsidRPr="00321B46">
        <w:tab/>
      </w:r>
      <w:r w:rsidRPr="00321B46">
        <w:tab/>
        <w:t xml:space="preserve">Valor de la UC </w:t>
      </w:r>
      <w:r w:rsidRPr="00321B46">
        <w:rPr>
          <w:i/>
          <w:iCs/>
        </w:rPr>
        <w:t>i</w:t>
      </w:r>
      <w:r w:rsidRPr="00321B46">
        <w:rPr>
          <w:iCs/>
        </w:rPr>
        <w:t>,</w:t>
      </w:r>
      <w:r w:rsidRPr="00321B46">
        <w:t xml:space="preserve"> </w:t>
      </w:r>
      <w:r w:rsidR="00270CDF" w:rsidRPr="00321B46">
        <w:t xml:space="preserve">definido en el capítulo </w:t>
      </w:r>
      <w:r w:rsidR="00847275" w:rsidRPr="00321B46">
        <w:rPr>
          <w:rFonts w:cs="Arial"/>
        </w:rPr>
        <w:fldChar w:fldCharType="begin"/>
      </w:r>
      <w:r w:rsidR="00847275" w:rsidRPr="00321B46">
        <w:rPr>
          <w:rFonts w:cs="Arial"/>
        </w:rPr>
        <w:instrText xml:space="preserve"> REF _Ref404776490 \r \h \t \* MERGEFORMAT </w:instrText>
      </w:r>
      <w:r w:rsidR="00847275" w:rsidRPr="00321B46">
        <w:rPr>
          <w:rFonts w:cs="Arial"/>
        </w:rPr>
      </w:r>
      <w:r w:rsidR="00847275" w:rsidRPr="00321B46">
        <w:rPr>
          <w:rFonts w:cs="Arial"/>
        </w:rPr>
        <w:fldChar w:fldCharType="separate"/>
      </w:r>
      <w:r w:rsidR="000F355F">
        <w:rPr>
          <w:rFonts w:cs="Arial"/>
        </w:rPr>
        <w:t>7</w:t>
      </w:r>
      <w:r w:rsidR="00847275" w:rsidRPr="00321B46">
        <w:rPr>
          <w:rFonts w:cs="Arial"/>
        </w:rPr>
        <w:fldChar w:fldCharType="end"/>
      </w:r>
      <w:r w:rsidR="00457F1A" w:rsidRPr="00321B46">
        <w:rPr>
          <w:rFonts w:cs="Arial"/>
        </w:rPr>
        <w:t xml:space="preserve"> </w:t>
      </w:r>
      <w:r w:rsidR="00457F1A" w:rsidRPr="00321B46">
        <w:t>de este anexo</w:t>
      </w:r>
      <w:r w:rsidRPr="00321B46">
        <w:t>.</w:t>
      </w:r>
    </w:p>
    <w:p w14:paraId="07642D90" w14:textId="77777777" w:rsidR="004F5947" w:rsidRPr="00321B46" w:rsidRDefault="004F5947" w:rsidP="00F30BCA">
      <w:pPr>
        <w:tabs>
          <w:tab w:val="left" w:pos="1418"/>
        </w:tabs>
        <w:spacing w:before="120"/>
        <w:ind w:left="1418" w:hanging="1418"/>
      </w:pPr>
      <w:r w:rsidRPr="00321B46">
        <w:rPr>
          <w:i/>
          <w:iCs/>
        </w:rPr>
        <w:t>PU</w:t>
      </w:r>
      <w:r w:rsidRPr="00321B46">
        <w:rPr>
          <w:i/>
          <w:iCs/>
          <w:vertAlign w:val="subscript"/>
        </w:rPr>
        <w:t>i</w:t>
      </w:r>
      <w:r w:rsidR="0041785E" w:rsidRPr="00321B46">
        <w:rPr>
          <w:i/>
          <w:iCs/>
          <w:vertAlign w:val="subscript"/>
        </w:rPr>
        <w:t>,j</w:t>
      </w:r>
      <w:r w:rsidRPr="00321B46">
        <w:rPr>
          <w:i/>
          <w:iCs/>
        </w:rPr>
        <w:t>:</w:t>
      </w:r>
      <w:r w:rsidRPr="00321B46">
        <w:tab/>
        <w:t xml:space="preserve">Fracción del costo de la UC </w:t>
      </w:r>
      <w:r w:rsidRPr="00321B46">
        <w:rPr>
          <w:i/>
          <w:iCs/>
        </w:rPr>
        <w:t>i</w:t>
      </w:r>
      <w:r w:rsidRPr="00321B46">
        <w:t xml:space="preserve"> que es reconocida mediante cargos por uso</w:t>
      </w:r>
      <w:r w:rsidR="0041785E" w:rsidRPr="00321B46">
        <w:t xml:space="preserve"> al TN </w:t>
      </w:r>
      <w:r w:rsidR="0041785E" w:rsidRPr="00321B46">
        <w:rPr>
          <w:i/>
        </w:rPr>
        <w:t>j</w:t>
      </w:r>
      <w:r w:rsidRPr="00321B46">
        <w:t>.</w:t>
      </w:r>
    </w:p>
    <w:p w14:paraId="0E02485F" w14:textId="77777777" w:rsidR="0037238F" w:rsidRPr="00321B46" w:rsidRDefault="0037238F" w:rsidP="00F30BCA">
      <w:pPr>
        <w:ind w:left="1410" w:hanging="1410"/>
      </w:pPr>
      <w:r w:rsidRPr="00321B46">
        <w:rPr>
          <w:i/>
          <w:iCs/>
        </w:rPr>
        <w:t>FU</w:t>
      </w:r>
      <w:r w:rsidRPr="00321B46">
        <w:rPr>
          <w:i/>
          <w:iCs/>
          <w:vertAlign w:val="subscript"/>
        </w:rPr>
        <w:t>i</w:t>
      </w:r>
      <w:r w:rsidRPr="00321B46">
        <w:rPr>
          <w:i/>
          <w:iCs/>
        </w:rPr>
        <w:t>:</w:t>
      </w:r>
      <w:r w:rsidRPr="00321B46">
        <w:rPr>
          <w:i/>
          <w:iCs/>
        </w:rPr>
        <w:tab/>
      </w:r>
      <w:r w:rsidRPr="00321B46">
        <w:t xml:space="preserve">Fracción del costo de la UC </w:t>
      </w:r>
      <w:r w:rsidRPr="00321B46">
        <w:rPr>
          <w:i/>
          <w:iCs/>
        </w:rPr>
        <w:t>i</w:t>
      </w:r>
      <w:r w:rsidRPr="00321B46">
        <w:t xml:space="preserve"> que es reconocida por reposiciones parciales de la UC. Este valor se calcula como el peso relativo del valor reconocido del elemento o los elementos reemplazados respecto al valor total de la UC.</w:t>
      </w:r>
    </w:p>
    <w:p w14:paraId="00CF0E56" w14:textId="77777777" w:rsidR="00674134" w:rsidRPr="00321B46" w:rsidRDefault="00674134" w:rsidP="00F30BCA">
      <w:pPr>
        <w:tabs>
          <w:tab w:val="left" w:pos="1418"/>
        </w:tabs>
        <w:spacing w:before="120"/>
        <w:ind w:left="1418" w:hanging="1418"/>
      </w:pPr>
      <w:r w:rsidRPr="00321B46">
        <w:rPr>
          <w:i/>
          <w:iCs/>
        </w:rPr>
        <w:t>RPP</w:t>
      </w:r>
      <w:r w:rsidRPr="00321B46">
        <w:rPr>
          <w:i/>
          <w:iCs/>
          <w:vertAlign w:val="subscript"/>
        </w:rPr>
        <w:t>i</w:t>
      </w:r>
      <w:r w:rsidRPr="00321B46">
        <w:rPr>
          <w:i/>
          <w:iCs/>
        </w:rPr>
        <w:t>:</w:t>
      </w:r>
      <w:r w:rsidRPr="00321B46">
        <w:tab/>
        <w:t xml:space="preserve">Fracción del costo de la UC </w:t>
      </w:r>
      <w:r w:rsidRPr="00321B46">
        <w:rPr>
          <w:i/>
          <w:iCs/>
        </w:rPr>
        <w:t>i</w:t>
      </w:r>
      <w:r w:rsidRPr="00321B46">
        <w:t>, remunerada vía cargos por uso, que no se debe incluir en el cálculo de la tarifa.</w:t>
      </w:r>
    </w:p>
    <w:p w14:paraId="4FC55DCD" w14:textId="77777777" w:rsidR="00FF01CF" w:rsidRPr="00321B46" w:rsidRDefault="00FF01CF" w:rsidP="00F30BCA">
      <w:bookmarkStart w:id="85" w:name="_Ref445372637"/>
      <w:r w:rsidRPr="00321B46">
        <w:t>Definir reglas para las reposiciones de activos que son menores a una UC</w:t>
      </w:r>
    </w:p>
    <w:p w14:paraId="606B7530" w14:textId="77777777" w:rsidR="004F5947" w:rsidRPr="00321B46" w:rsidRDefault="004F5947" w:rsidP="0004502D">
      <w:pPr>
        <w:pStyle w:val="Ttulo4"/>
      </w:pPr>
      <w:bookmarkStart w:id="86" w:name="_Ref461090798"/>
      <w:r w:rsidRPr="00321B46">
        <w:t>Índice de ajuste por ejecución del plan</w:t>
      </w:r>
      <w:bookmarkEnd w:id="85"/>
      <w:bookmarkEnd w:id="86"/>
    </w:p>
    <w:p w14:paraId="157B8CF4" w14:textId="5D30775E" w:rsidR="004F5947" w:rsidRPr="00321B46" w:rsidRDefault="004F5947" w:rsidP="00F30BCA">
      <w:r w:rsidRPr="00321B46">
        <w:t>Para los dos primeros años del periodo tarifario</w:t>
      </w:r>
      <w:r w:rsidR="00C02135" w:rsidRPr="00321B46">
        <w:t xml:space="preserve">, </w:t>
      </w:r>
      <w:r w:rsidR="00C02135" w:rsidRPr="00321B46">
        <w:rPr>
          <w:i/>
        </w:rPr>
        <w:t>t</w:t>
      </w:r>
      <w:r w:rsidR="00C02135" w:rsidRPr="00321B46">
        <w:t xml:space="preserve">=1 y </w:t>
      </w:r>
      <w:r w:rsidR="00C02135" w:rsidRPr="00321B46">
        <w:rPr>
          <w:i/>
        </w:rPr>
        <w:t>t</w:t>
      </w:r>
      <w:r w:rsidR="00C02135" w:rsidRPr="00321B46">
        <w:t>=2,</w:t>
      </w:r>
      <w:r w:rsidRPr="00321B46">
        <w:t xml:space="preserve"> el valor de la variable </w:t>
      </w:r>
      <w:r w:rsidRPr="00321B46">
        <w:rPr>
          <w:i/>
          <w:iCs/>
        </w:rPr>
        <w:t>IAPA</w:t>
      </w:r>
      <w:r w:rsidRPr="00321B46">
        <w:rPr>
          <w:i/>
          <w:iCs/>
          <w:vertAlign w:val="subscript"/>
        </w:rPr>
        <w:t>j,t</w:t>
      </w:r>
      <w:r w:rsidRPr="00321B46">
        <w:t xml:space="preserve"> es igual a 1, a partir del tercer año del periodo tarifario el índice de ajuste por ejecución del plan de inversiones se obtiene de la siguiente manera:</w:t>
      </w:r>
    </w:p>
    <w:p w14:paraId="3FDB304D" w14:textId="12E69E37" w:rsidR="004F5947" w:rsidRPr="00321B46" w:rsidRDefault="004F5947" w:rsidP="00F30BCA">
      <w:pPr>
        <w:ind w:left="1416"/>
      </w:pPr>
      <w:r w:rsidRPr="00321B46">
        <w:rPr>
          <w:i/>
          <w:iCs/>
        </w:rPr>
        <w:t>IAPA</w:t>
      </w:r>
      <w:r w:rsidRPr="00321B46">
        <w:rPr>
          <w:i/>
          <w:iCs/>
          <w:vertAlign w:val="subscript"/>
        </w:rPr>
        <w:t>j,t</w:t>
      </w:r>
      <w:r w:rsidRPr="00321B46">
        <w:t xml:space="preserve"> = 1, </w:t>
      </w:r>
      <w:r w:rsidR="007A4A46" w:rsidRPr="00321B46">
        <w:tab/>
      </w:r>
      <w:r w:rsidR="007A4A46" w:rsidRPr="00321B46">
        <w:tab/>
      </w:r>
      <w:r w:rsidRPr="00321B46">
        <w:t xml:space="preserve">si </w:t>
      </w:r>
      <w:r w:rsidRPr="00321B46">
        <w:rPr>
          <w:i/>
        </w:rPr>
        <w:t>INVE</w:t>
      </w:r>
      <w:r w:rsidRPr="00321B46">
        <w:rPr>
          <w:i/>
          <w:vertAlign w:val="subscript"/>
        </w:rPr>
        <w:t>j,t</w:t>
      </w:r>
      <w:r w:rsidRPr="00321B46">
        <w:t xml:space="preserve"> es mayor o igual que 0,8.</w:t>
      </w:r>
    </w:p>
    <w:p w14:paraId="56D8D4A3" w14:textId="77777777" w:rsidR="004F5947" w:rsidRPr="00321B46" w:rsidRDefault="004F5947" w:rsidP="00F30BCA">
      <w:pPr>
        <w:ind w:left="1416"/>
      </w:pPr>
      <w:r w:rsidRPr="00321B46">
        <w:rPr>
          <w:i/>
          <w:iCs/>
        </w:rPr>
        <w:t>IAPA</w:t>
      </w:r>
      <w:r w:rsidRPr="00321B46">
        <w:rPr>
          <w:i/>
          <w:iCs/>
          <w:vertAlign w:val="subscript"/>
        </w:rPr>
        <w:t>j,t</w:t>
      </w:r>
      <w:r w:rsidRPr="00321B46">
        <w:t xml:space="preserve"> = </w:t>
      </w:r>
      <w:r w:rsidRPr="00321B46">
        <w:rPr>
          <w:i/>
        </w:rPr>
        <w:t>INVE</w:t>
      </w:r>
      <w:r w:rsidRPr="00321B46">
        <w:rPr>
          <w:i/>
          <w:vertAlign w:val="subscript"/>
        </w:rPr>
        <w:t>j,t</w:t>
      </w:r>
      <w:r w:rsidRPr="00321B46">
        <w:t xml:space="preserve">, </w:t>
      </w:r>
      <w:r w:rsidR="007A4A46" w:rsidRPr="00321B46">
        <w:tab/>
      </w:r>
      <w:r w:rsidRPr="00321B46">
        <w:t xml:space="preserve">si </w:t>
      </w:r>
      <w:r w:rsidRPr="00321B46">
        <w:rPr>
          <w:i/>
        </w:rPr>
        <w:t>INVE</w:t>
      </w:r>
      <w:r w:rsidRPr="00321B46">
        <w:rPr>
          <w:i/>
          <w:vertAlign w:val="subscript"/>
        </w:rPr>
        <w:t>j,t</w:t>
      </w:r>
      <w:r w:rsidRPr="00321B46">
        <w:t xml:space="preserve"> es menor que 0,8.</w:t>
      </w:r>
    </w:p>
    <w:p w14:paraId="576242D0" w14:textId="77777777" w:rsidR="004F5947" w:rsidRPr="00321B46" w:rsidRDefault="004F5947" w:rsidP="00F30BCA">
      <w:r w:rsidRPr="00321B46">
        <w:t xml:space="preserve">La ejecución promedio del plan de inversiones, </w:t>
      </w:r>
      <w:r w:rsidRPr="00321B46">
        <w:rPr>
          <w:i/>
          <w:iCs/>
        </w:rPr>
        <w:t>INVE</w:t>
      </w:r>
      <w:r w:rsidRPr="00321B46">
        <w:rPr>
          <w:i/>
          <w:iCs/>
          <w:vertAlign w:val="subscript"/>
        </w:rPr>
        <w:t>j,t</w:t>
      </w:r>
      <w:r w:rsidRPr="00321B46">
        <w:t xml:space="preserve">, se calcula de la siguiente manera: </w:t>
      </w:r>
    </w:p>
    <w:p w14:paraId="6FA9F7FB" w14:textId="77777777" w:rsidR="004F5947" w:rsidRPr="00321B46" w:rsidRDefault="00651802" w:rsidP="00F30BCA">
      <m:oMathPara>
        <m:oMath>
          <m:sSub>
            <m:sSubPr>
              <m:ctrlPr>
                <w:rPr>
                  <w:rFonts w:ascii="Cambria Math" w:hAnsi="Cambria Math"/>
                  <w:i/>
                </w:rPr>
              </m:ctrlPr>
            </m:sSubPr>
            <m:e>
              <m:r>
                <w:rPr>
                  <w:rFonts w:ascii="Cambria Math" w:hAnsi="Cambria Math"/>
                </w:rPr>
                <m:t>INVE</m:t>
              </m:r>
            </m:e>
            <m:sub>
              <m:r>
                <w:rPr>
                  <w:rFonts w:ascii="Cambria Math" w:hAnsi="Cambria Math"/>
                </w:rPr>
                <m:t>j,t</m:t>
              </m:r>
            </m:sub>
          </m:sSub>
          <m:r>
            <w:rPr>
              <w:rFonts w:ascii="Cambria Math"/>
            </w:rPr>
            <m:t>=0,5</m:t>
          </m:r>
          <m:r>
            <w:rPr>
              <w:rFonts w:ascii="Cambria Math"/>
            </w:rPr>
            <m:t>*</m:t>
          </m:r>
          <m:nary>
            <m:naryPr>
              <m:chr m:val="∑"/>
              <m:limLoc m:val="undOvr"/>
              <m:ctrlPr>
                <w:rPr>
                  <w:rFonts w:ascii="Cambria Math" w:hAnsi="Cambria Math"/>
                  <w:i/>
                </w:rPr>
              </m:ctrlPr>
            </m:naryPr>
            <m:sub>
              <m:r>
                <w:rPr>
                  <w:rFonts w:ascii="Cambria Math" w:hAnsi="Cambria Math"/>
                </w:rPr>
                <m:t>t=t-2</m:t>
              </m:r>
            </m:sub>
            <m:sup>
              <m:r>
                <w:rPr>
                  <w:rFonts w:ascii="Cambria Math" w:hAnsi="Cambria Math"/>
                </w:rPr>
                <m:t>t-1</m:t>
              </m:r>
            </m:sup>
            <m:e>
              <m:f>
                <m:fPr>
                  <m:ctrlPr>
                    <w:rPr>
                      <w:rFonts w:ascii="Cambria Math" w:hAnsi="Cambria Math"/>
                      <w:i/>
                    </w:rPr>
                  </m:ctrlPr>
                </m:fPr>
                <m:num>
                  <m:r>
                    <w:rPr>
                      <w:rFonts w:ascii="Cambria Math"/>
                    </w:rPr>
                    <m:t xml:space="preserve"> </m:t>
                  </m:r>
                  <m:nary>
                    <m:naryPr>
                      <m:chr m:val="∑"/>
                      <m:limLoc m:val="undOvr"/>
                      <m:ctrlPr>
                        <w:rPr>
                          <w:rFonts w:ascii="Cambria Math" w:hAnsi="Cambria Math"/>
                          <w:i/>
                        </w:rPr>
                      </m:ctrlPr>
                    </m:naryPr>
                    <m:sub>
                      <m:r>
                        <w:rPr>
                          <w:rFonts w:ascii="Cambria Math" w:hAnsi="Cambria Math"/>
                        </w:rPr>
                        <m:t>k=1</m:t>
                      </m:r>
                    </m:sub>
                    <m:sup>
                      <m:sSub>
                        <m:sSubPr>
                          <m:ctrlPr>
                            <w:rPr>
                              <w:rFonts w:ascii="Cambria Math" w:hAnsi="Cambria Math"/>
                              <w:i/>
                            </w:rPr>
                          </m:ctrlPr>
                        </m:sSubPr>
                        <m:e>
                          <m:r>
                            <w:rPr>
                              <w:rFonts w:ascii="Cambria Math" w:hAnsi="Cambria Math"/>
                            </w:rPr>
                            <m:t>K</m:t>
                          </m:r>
                        </m:e>
                        <m:sub/>
                      </m:sSub>
                    </m:sup>
                    <m:e>
                      <m:sSub>
                        <m:sSubPr>
                          <m:ctrlPr>
                            <w:rPr>
                              <w:rFonts w:ascii="Cambria Math" w:hAnsi="Cambria Math"/>
                              <w:i/>
                            </w:rPr>
                          </m:ctrlPr>
                        </m:sSubPr>
                        <m:e>
                          <m:r>
                            <w:rPr>
                              <w:rFonts w:ascii="Cambria Math"/>
                            </w:rPr>
                            <m:t>INVR</m:t>
                          </m:r>
                        </m:e>
                        <m:sub>
                          <m:r>
                            <w:rPr>
                              <w:rFonts w:ascii="Cambria Math"/>
                            </w:rPr>
                            <m:t>j,k,t</m:t>
                          </m:r>
                        </m:sub>
                      </m:sSub>
                    </m:e>
                  </m:nary>
                </m:num>
                <m:den>
                  <m:nary>
                    <m:naryPr>
                      <m:chr m:val="∑"/>
                      <m:limLoc m:val="undOvr"/>
                      <m:ctrlPr>
                        <w:rPr>
                          <w:rFonts w:ascii="Cambria Math" w:hAnsi="Cambria Math"/>
                          <w:i/>
                        </w:rPr>
                      </m:ctrlPr>
                    </m:naryPr>
                    <m:sub>
                      <m:r>
                        <w:rPr>
                          <w:rFonts w:ascii="Cambria Math" w:hAnsi="Cambria Math"/>
                        </w:rPr>
                        <m:t>k=1</m:t>
                      </m:r>
                    </m:sub>
                    <m:sup>
                      <m:sSub>
                        <m:sSubPr>
                          <m:ctrlPr>
                            <w:rPr>
                              <w:rFonts w:ascii="Cambria Math" w:hAnsi="Cambria Math"/>
                              <w:i/>
                            </w:rPr>
                          </m:ctrlPr>
                        </m:sSubPr>
                        <m:e>
                          <m:r>
                            <w:rPr>
                              <w:rFonts w:ascii="Cambria Math" w:hAnsi="Cambria Math"/>
                            </w:rPr>
                            <m:t>K</m:t>
                          </m:r>
                        </m:e>
                        <m:sub/>
                      </m:sSub>
                    </m:sup>
                    <m:e>
                      <m:sSub>
                        <m:sSubPr>
                          <m:ctrlPr>
                            <w:rPr>
                              <w:rFonts w:ascii="Cambria Math" w:hAnsi="Cambria Math"/>
                              <w:i/>
                            </w:rPr>
                          </m:ctrlPr>
                        </m:sSubPr>
                        <m:e>
                          <m:r>
                            <w:rPr>
                              <w:rFonts w:ascii="Cambria Math"/>
                            </w:rPr>
                            <m:t>INVA</m:t>
                          </m:r>
                        </m:e>
                        <m:sub>
                          <m:r>
                            <w:rPr>
                              <w:rFonts w:ascii="Cambria Math"/>
                            </w:rPr>
                            <m:t>j,k,t</m:t>
                          </m:r>
                        </m:sub>
                      </m:sSub>
                    </m:e>
                  </m:nary>
                </m:den>
              </m:f>
            </m:e>
          </m:nary>
          <m:r>
            <w:rPr>
              <w:rFonts w:ascii="Cambria Math"/>
            </w:rPr>
            <m:t xml:space="preserve"> </m:t>
          </m:r>
        </m:oMath>
      </m:oMathPara>
    </w:p>
    <w:p w14:paraId="669B50E4" w14:textId="77777777" w:rsidR="004F5947" w:rsidRPr="00321B46" w:rsidRDefault="004F5947" w:rsidP="00F30BCA">
      <w:pPr>
        <w:tabs>
          <w:tab w:val="left" w:pos="1418"/>
        </w:tabs>
        <w:spacing w:before="120"/>
        <w:ind w:left="1418" w:hanging="1418"/>
        <w:rPr>
          <w:iCs/>
        </w:rPr>
      </w:pPr>
      <w:r w:rsidRPr="00321B46">
        <w:rPr>
          <w:iCs/>
        </w:rPr>
        <w:t>Donde:</w:t>
      </w:r>
    </w:p>
    <w:p w14:paraId="6F7B2CA4" w14:textId="77777777" w:rsidR="004F5947" w:rsidRPr="00321B46" w:rsidRDefault="004F5947" w:rsidP="00F30BCA">
      <w:pPr>
        <w:tabs>
          <w:tab w:val="left" w:pos="1418"/>
        </w:tabs>
        <w:spacing w:before="120"/>
        <w:ind w:left="1418" w:hanging="1418"/>
      </w:pPr>
      <w:r w:rsidRPr="00321B46">
        <w:rPr>
          <w:i/>
          <w:iCs/>
        </w:rPr>
        <w:t>INVE</w:t>
      </w:r>
      <w:r w:rsidRPr="00321B46">
        <w:rPr>
          <w:i/>
          <w:iCs/>
          <w:vertAlign w:val="subscript"/>
        </w:rPr>
        <w:t>j,t</w:t>
      </w:r>
      <w:r w:rsidRPr="00321B46">
        <w:t>:</w:t>
      </w:r>
      <w:r w:rsidRPr="00321B46">
        <w:tab/>
        <w:t xml:space="preserve">Ejecución promedio del plan de inversiones del </w:t>
      </w:r>
      <w:r w:rsidR="002219A9" w:rsidRPr="00321B46">
        <w:t>TN</w:t>
      </w:r>
      <w:r w:rsidRPr="00321B46">
        <w:t xml:space="preserve"> </w:t>
      </w:r>
      <w:r w:rsidRPr="00321B46">
        <w:rPr>
          <w:i/>
        </w:rPr>
        <w:t xml:space="preserve">j </w:t>
      </w:r>
      <w:r w:rsidRPr="00321B46">
        <w:t xml:space="preserve">para el año </w:t>
      </w:r>
      <w:r w:rsidRPr="00321B46">
        <w:rPr>
          <w:i/>
        </w:rPr>
        <w:t>t</w:t>
      </w:r>
      <w:r w:rsidRPr="00321B46">
        <w:t xml:space="preserve">. </w:t>
      </w:r>
    </w:p>
    <w:p w14:paraId="636C8C68" w14:textId="4A0070E5" w:rsidR="004F5947" w:rsidRPr="00321B46" w:rsidRDefault="004F5947" w:rsidP="00F30BCA">
      <w:pPr>
        <w:spacing w:before="120"/>
        <w:ind w:left="1418" w:hanging="1418"/>
        <w:rPr>
          <w:i/>
          <w:iCs/>
        </w:rPr>
      </w:pPr>
      <w:r w:rsidRPr="00321B46">
        <w:rPr>
          <w:i/>
          <w:iCs/>
        </w:rPr>
        <w:t>INVR</w:t>
      </w:r>
      <w:r w:rsidRPr="00321B46">
        <w:rPr>
          <w:i/>
          <w:iCs/>
          <w:vertAlign w:val="subscript"/>
        </w:rPr>
        <w:t>j,</w:t>
      </w:r>
      <w:r w:rsidR="002219A9" w:rsidRPr="00321B46">
        <w:rPr>
          <w:i/>
          <w:iCs/>
          <w:vertAlign w:val="subscript"/>
        </w:rPr>
        <w:t>k</w:t>
      </w:r>
      <w:r w:rsidRPr="00321B46">
        <w:rPr>
          <w:i/>
          <w:iCs/>
          <w:vertAlign w:val="subscript"/>
        </w:rPr>
        <w:t>,t</w:t>
      </w:r>
      <w:r w:rsidRPr="00321B46">
        <w:t>:</w:t>
      </w:r>
      <w:r w:rsidRPr="00321B46">
        <w:tab/>
        <w:t xml:space="preserve">Inversiones en activos puestos en operación en el sistema del </w:t>
      </w:r>
      <w:r w:rsidR="002219A9" w:rsidRPr="00321B46">
        <w:t xml:space="preserve">TN </w:t>
      </w:r>
      <w:r w:rsidR="002219A9" w:rsidRPr="00321B46">
        <w:rPr>
          <w:i/>
        </w:rPr>
        <w:t>j</w:t>
      </w:r>
      <w:r w:rsidR="002219A9" w:rsidRPr="00321B46">
        <w:t xml:space="preserve">, </w:t>
      </w:r>
      <w:r w:rsidR="002219A9" w:rsidRPr="00321B46">
        <w:rPr>
          <w:iCs/>
        </w:rPr>
        <w:t xml:space="preserve">en la categoría de activos </w:t>
      </w:r>
      <w:r w:rsidR="002219A9" w:rsidRPr="00321B46">
        <w:rPr>
          <w:i/>
          <w:iCs/>
        </w:rPr>
        <w:t>k</w:t>
      </w:r>
      <w:r w:rsidRPr="00321B46">
        <w:rPr>
          <w:iCs/>
        </w:rPr>
        <w:t xml:space="preserve"> </w:t>
      </w:r>
      <w:r w:rsidRPr="00321B46">
        <w:t xml:space="preserve">durante el año </w:t>
      </w:r>
      <w:r w:rsidRPr="00321B46">
        <w:rPr>
          <w:i/>
        </w:rPr>
        <w:t>t</w:t>
      </w:r>
      <w:r w:rsidR="0089080B" w:rsidRPr="00321B46">
        <w:t>, c</w:t>
      </w:r>
      <w:r w:rsidRPr="00321B46">
        <w:t xml:space="preserve">alculado según lo establecido en el numeral </w:t>
      </w:r>
      <w:r w:rsidRPr="00321B46">
        <w:fldChar w:fldCharType="begin"/>
      </w:r>
      <w:r w:rsidRPr="00321B46">
        <w:instrText xml:space="preserve"> REF _Ref443918667 \r \h </w:instrText>
      </w:r>
      <w:r w:rsidR="003276B5" w:rsidRPr="00321B46">
        <w:instrText xml:space="preserve"> \* MERGEFORMAT </w:instrText>
      </w:r>
      <w:r w:rsidRPr="00321B46">
        <w:fldChar w:fldCharType="separate"/>
      </w:r>
      <w:r w:rsidR="000F355F">
        <w:t>2.2.1.6</w:t>
      </w:r>
      <w:r w:rsidRPr="00321B46">
        <w:fldChar w:fldCharType="end"/>
      </w:r>
      <w:r w:rsidRPr="00321B46">
        <w:t>.</w:t>
      </w:r>
    </w:p>
    <w:p w14:paraId="5653634C" w14:textId="7A0A8305" w:rsidR="004F5947" w:rsidRPr="00321B46" w:rsidRDefault="004F5947" w:rsidP="00F30BCA">
      <w:pPr>
        <w:spacing w:before="120"/>
        <w:ind w:left="1418" w:hanging="1418"/>
        <w:rPr>
          <w:i/>
          <w:iCs/>
        </w:rPr>
      </w:pPr>
      <w:r w:rsidRPr="00321B46">
        <w:rPr>
          <w:i/>
          <w:iCs/>
        </w:rPr>
        <w:t>INVA</w:t>
      </w:r>
      <w:r w:rsidRPr="00321B46">
        <w:rPr>
          <w:i/>
          <w:iCs/>
          <w:vertAlign w:val="subscript"/>
        </w:rPr>
        <w:t>j,</w:t>
      </w:r>
      <w:r w:rsidR="00646C6C" w:rsidRPr="00321B46">
        <w:rPr>
          <w:i/>
          <w:iCs/>
          <w:vertAlign w:val="subscript"/>
        </w:rPr>
        <w:t>k</w:t>
      </w:r>
      <w:r w:rsidRPr="00321B46">
        <w:rPr>
          <w:i/>
          <w:iCs/>
          <w:vertAlign w:val="subscript"/>
        </w:rPr>
        <w:t>,t</w:t>
      </w:r>
      <w:r w:rsidRPr="00321B46">
        <w:t>:</w:t>
      </w:r>
      <w:r w:rsidRPr="00321B46">
        <w:tab/>
      </w:r>
      <w:r w:rsidRPr="00321B46">
        <w:rPr>
          <w:iCs/>
        </w:rPr>
        <w:t xml:space="preserve">Inversión aprobada en el plan de inversiones del </w:t>
      </w:r>
      <w:r w:rsidR="00646C6C" w:rsidRPr="00321B46">
        <w:t xml:space="preserve">TN </w:t>
      </w:r>
      <w:r w:rsidR="00646C6C" w:rsidRPr="00321B46">
        <w:rPr>
          <w:i/>
        </w:rPr>
        <w:t>j</w:t>
      </w:r>
      <w:r w:rsidR="00646C6C" w:rsidRPr="00321B46">
        <w:t xml:space="preserve">, </w:t>
      </w:r>
      <w:r w:rsidR="00646C6C" w:rsidRPr="00321B46">
        <w:rPr>
          <w:iCs/>
        </w:rPr>
        <w:t xml:space="preserve">en la categoría de activos </w:t>
      </w:r>
      <w:r w:rsidR="00646C6C" w:rsidRPr="00321B46">
        <w:rPr>
          <w:i/>
          <w:iCs/>
        </w:rPr>
        <w:t>k</w:t>
      </w:r>
      <w:r w:rsidRPr="00321B46">
        <w:rPr>
          <w:iCs/>
        </w:rPr>
        <w:t xml:space="preserve"> para el año </w:t>
      </w:r>
      <w:r w:rsidRPr="00321B46">
        <w:rPr>
          <w:i/>
          <w:iCs/>
        </w:rPr>
        <w:t>t</w:t>
      </w:r>
      <w:r w:rsidR="0089080B" w:rsidRPr="00321B46">
        <w:t>, c</w:t>
      </w:r>
      <w:r w:rsidRPr="00321B46">
        <w:t xml:space="preserve">alculado según lo establecido en los numerales </w:t>
      </w:r>
      <w:r w:rsidRPr="00321B46">
        <w:fldChar w:fldCharType="begin"/>
      </w:r>
      <w:r w:rsidRPr="00321B46">
        <w:instrText xml:space="preserve"> REF _Ref443918940 \r \h </w:instrText>
      </w:r>
      <w:r w:rsidR="003276B5" w:rsidRPr="00321B46">
        <w:instrText xml:space="preserve"> \* MERGEFORMAT </w:instrText>
      </w:r>
      <w:r w:rsidRPr="00321B46">
        <w:fldChar w:fldCharType="separate"/>
      </w:r>
      <w:r w:rsidR="000F355F">
        <w:t>2.2.1.5.1</w:t>
      </w:r>
      <w:r w:rsidRPr="00321B46">
        <w:fldChar w:fldCharType="end"/>
      </w:r>
      <w:r w:rsidRPr="00321B46">
        <w:t xml:space="preserve"> </w:t>
      </w:r>
      <w:r w:rsidR="0089080B" w:rsidRPr="00321B46">
        <w:t xml:space="preserve">o </w:t>
      </w:r>
      <w:r w:rsidRPr="00321B46">
        <w:fldChar w:fldCharType="begin"/>
      </w:r>
      <w:r w:rsidRPr="00321B46">
        <w:instrText xml:space="preserve"> REF _Ref443918943 \r \h </w:instrText>
      </w:r>
      <w:r w:rsidR="003276B5" w:rsidRPr="00321B46">
        <w:instrText xml:space="preserve"> \* MERGEFORMAT </w:instrText>
      </w:r>
      <w:r w:rsidRPr="00321B46">
        <w:fldChar w:fldCharType="separate"/>
      </w:r>
      <w:r w:rsidR="000F355F">
        <w:t>2.2.1.5.2</w:t>
      </w:r>
      <w:r w:rsidRPr="00321B46">
        <w:fldChar w:fldCharType="end"/>
      </w:r>
      <w:r w:rsidRPr="00321B46">
        <w:t>.</w:t>
      </w:r>
    </w:p>
    <w:p w14:paraId="58153B91" w14:textId="77777777" w:rsidR="004F5947" w:rsidRPr="00321B46" w:rsidRDefault="00646C6C" w:rsidP="00F30BCA">
      <w:r w:rsidRPr="00321B46">
        <w:rPr>
          <w:i/>
        </w:rPr>
        <w:t>K</w:t>
      </w:r>
      <w:r w:rsidR="004F5947" w:rsidRPr="00321B46">
        <w:t xml:space="preserve">: </w:t>
      </w:r>
      <w:r w:rsidR="004F5947" w:rsidRPr="00321B46">
        <w:tab/>
      </w:r>
      <w:r w:rsidR="004F5947" w:rsidRPr="00321B46">
        <w:tab/>
        <w:t>Cantidad de categorías de activos</w:t>
      </w:r>
      <w:r w:rsidR="006C71BD" w:rsidRPr="00321B46">
        <w:t>.</w:t>
      </w:r>
    </w:p>
    <w:p w14:paraId="419B052A" w14:textId="77777777" w:rsidR="004F5947" w:rsidRPr="00321B46" w:rsidRDefault="004F5947" w:rsidP="0004502D">
      <w:pPr>
        <w:pStyle w:val="Ttulo4"/>
      </w:pPr>
      <w:r w:rsidRPr="00321B46">
        <w:t>Ajuste de la BRAEN al final del periodo tarifario</w:t>
      </w:r>
    </w:p>
    <w:p w14:paraId="7321EDC7" w14:textId="77777777" w:rsidR="004F5947" w:rsidRPr="00321B46" w:rsidDel="009D5E4E" w:rsidRDefault="004F5947" w:rsidP="00F30BCA">
      <w:r w:rsidRPr="00321B46">
        <w:t>Al final del periodo tarifario debe calcularse la diferencia entre la BRAEN total reconocida y las inversiones puestas en operación durante el periodo tarifario, este valor se debe utilizar para ajustar la remuneración de las inversiones al inicio del siguiente periodo tarifario.</w:t>
      </w:r>
    </w:p>
    <w:p w14:paraId="77ABDD1B" w14:textId="77777777" w:rsidR="00E43449" w:rsidRPr="00321B46" w:rsidRDefault="00E43449" w:rsidP="0004502D">
      <w:pPr>
        <w:pStyle w:val="Ttulo4"/>
        <w:rPr>
          <w:szCs w:val="24"/>
        </w:rPr>
      </w:pPr>
      <w:bookmarkStart w:id="87" w:name="_Ref404004716"/>
      <w:r w:rsidRPr="00321B46">
        <w:rPr>
          <w:szCs w:val="24"/>
        </w:rPr>
        <w:t>Activos fuera de operación</w:t>
      </w:r>
      <w:bookmarkEnd w:id="87"/>
    </w:p>
    <w:p w14:paraId="174E51B8" w14:textId="77777777" w:rsidR="00E43449" w:rsidRPr="00321B46" w:rsidRDefault="00E43449" w:rsidP="00F30BCA">
      <w:pPr>
        <w:rPr>
          <w:lang w:val="es-ES_tradnl"/>
        </w:rPr>
      </w:pPr>
      <w:r w:rsidRPr="00321B46">
        <w:rPr>
          <w:lang w:val="es-ES_tradnl"/>
        </w:rPr>
        <w:t xml:space="preserve">En concordancia con los planes de reposición de activos, los TN deberán presentar la relación de activos incluidos en la base regulatoria inicial de activos que quedarán fuera de operación durante cada año del periodo tarifario. </w:t>
      </w:r>
    </w:p>
    <w:p w14:paraId="32A1AB87" w14:textId="77777777" w:rsidR="00D2516B" w:rsidRPr="00321B46" w:rsidRDefault="00D2516B" w:rsidP="00F30BCA">
      <w:pPr>
        <w:rPr>
          <w:lang w:val="es-ES_tradnl"/>
        </w:rPr>
      </w:pPr>
      <w:bookmarkStart w:id="88" w:name="_Ref398642842"/>
      <w:r w:rsidRPr="00321B46">
        <w:rPr>
          <w:lang w:val="es-ES_tradnl"/>
        </w:rPr>
        <w:t xml:space="preserve">El valor de la variable </w:t>
      </w:r>
      <w:r w:rsidRPr="00321B46">
        <w:rPr>
          <w:i/>
          <w:lang w:val="es-ES_tradnl"/>
        </w:rPr>
        <w:t>BRAFO</w:t>
      </w:r>
      <w:r w:rsidRPr="00321B46">
        <w:rPr>
          <w:i/>
          <w:vertAlign w:val="subscript"/>
          <w:lang w:val="es-ES_tradnl"/>
        </w:rPr>
        <w:t>j,t</w:t>
      </w:r>
      <w:r w:rsidRPr="00321B46">
        <w:rPr>
          <w:lang w:val="es-ES_tradnl"/>
        </w:rPr>
        <w:t xml:space="preserve"> se calcula con base en la siguiente expresión:</w:t>
      </w:r>
    </w:p>
    <w:p w14:paraId="7F3E2FE8" w14:textId="77777777" w:rsidR="00D2516B" w:rsidRPr="00321B46" w:rsidRDefault="00651802" w:rsidP="00F30BCA">
      <w:pP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BRAFO</m:t>
              </m:r>
            </m:e>
            <m:sub>
              <m:r>
                <w:rPr>
                  <w:rFonts w:ascii="Cambria Math" w:hAnsi="Cambria Math"/>
                  <w:color w:val="000000" w:themeColor="text1"/>
                </w:rPr>
                <m:t>j</m:t>
              </m:r>
              <m:r>
                <w:rPr>
                  <w:rFonts w:ascii="Cambria Math"/>
                  <w:color w:val="000000" w:themeColor="text1"/>
                </w:rPr>
                <m:t>,</m:t>
              </m:r>
              <m:r>
                <w:rPr>
                  <w:rFonts w:ascii="Cambria Math" w:hAnsi="Cambria Math"/>
                  <w:color w:val="000000" w:themeColor="text1"/>
                </w:rPr>
                <m:t>t</m:t>
              </m:r>
            </m:sub>
          </m:sSub>
          <m:r>
            <w:rPr>
              <w:rFonts w:ascii="Cambria Math"/>
              <w:color w:val="000000" w:themeColor="text1"/>
            </w:rPr>
            <m:t>=</m:t>
          </m:r>
          <m:nary>
            <m:naryPr>
              <m:chr m:val="∑"/>
              <m:limLoc m:val="undOvr"/>
              <m:ctrlPr>
                <w:rPr>
                  <w:rFonts w:ascii="Cambria Math" w:hAnsi="Cambria Math"/>
                  <w:i/>
                  <w:color w:val="000000" w:themeColor="text1"/>
                </w:rPr>
              </m:ctrlPr>
            </m:naryPr>
            <m:sub>
              <m:r>
                <w:rPr>
                  <w:rFonts w:ascii="Cambria Math"/>
                  <w:color w:val="000000" w:themeColor="text1"/>
                </w:rPr>
                <m:t>i=1</m:t>
              </m:r>
            </m:sub>
            <m:sup>
              <m:sSub>
                <m:sSubPr>
                  <m:ctrlPr>
                    <w:rPr>
                      <w:rFonts w:ascii="Cambria Math" w:hAnsi="Cambria Math"/>
                      <w:i/>
                      <w:color w:val="000000" w:themeColor="text1"/>
                    </w:rPr>
                  </m:ctrlPr>
                </m:sSubPr>
                <m:e>
                  <m:r>
                    <w:rPr>
                      <w:rFonts w:ascii="Cambria Math"/>
                      <w:color w:val="000000" w:themeColor="text1"/>
                    </w:rPr>
                    <m:t>NFO</m:t>
                  </m:r>
                </m:e>
                <m:sub>
                  <m:r>
                    <w:rPr>
                      <w:rFonts w:ascii="Cambria Math"/>
                      <w:color w:val="000000" w:themeColor="text1"/>
                    </w:rPr>
                    <m:t>j,t</m:t>
                  </m:r>
                  <m:r>
                    <w:rPr>
                      <w:rFonts w:ascii="Cambria Math"/>
                      <w:color w:val="000000" w:themeColor="text1"/>
                    </w:rPr>
                    <m:t>-</m:t>
                  </m:r>
                  <m:r>
                    <w:rPr>
                      <w:rFonts w:ascii="Cambria Math"/>
                      <w:color w:val="000000" w:themeColor="text1"/>
                    </w:rPr>
                    <m:t>1</m:t>
                  </m:r>
                </m:sub>
              </m:sSub>
            </m:sup>
            <m:e>
              <m:sSub>
                <m:sSubPr>
                  <m:ctrlPr>
                    <w:rPr>
                      <w:rFonts w:ascii="Cambria Math" w:hAnsi="Cambria Math"/>
                      <w:i/>
                      <w:color w:val="000000" w:themeColor="text1"/>
                    </w:rPr>
                  </m:ctrlPr>
                </m:sSubPr>
                <m:e>
                  <m:r>
                    <w:rPr>
                      <w:rFonts w:ascii="Cambria Math"/>
                      <w:color w:val="000000" w:themeColor="text1"/>
                    </w:rPr>
                    <m:t>BRAR</m:t>
                  </m:r>
                </m:e>
                <m:sub>
                  <m:r>
                    <w:rPr>
                      <w:rFonts w:ascii="Cambria Math"/>
                      <w:color w:val="000000" w:themeColor="text1"/>
                    </w:rPr>
                    <m:t>i,j,t</m:t>
                  </m:r>
                  <m:r>
                    <w:rPr>
                      <w:rFonts w:ascii="Cambria Math"/>
                      <w:color w:val="000000" w:themeColor="text1"/>
                    </w:rPr>
                    <m:t>-</m:t>
                  </m:r>
                  <m:r>
                    <w:rPr>
                      <w:rFonts w:ascii="Cambria Math"/>
                      <w:color w:val="000000" w:themeColor="text1"/>
                    </w:rPr>
                    <m:t>1</m:t>
                  </m:r>
                </m:sub>
              </m:sSub>
            </m:e>
          </m:nary>
        </m:oMath>
      </m:oMathPara>
    </w:p>
    <w:p w14:paraId="0FC0DDA2" w14:textId="77777777" w:rsidR="00D2516B" w:rsidRPr="00321B46" w:rsidRDefault="00D2516B" w:rsidP="00F30BCA">
      <w:pPr>
        <w:ind w:left="1410" w:hanging="1410"/>
        <w:rPr>
          <w:iCs/>
        </w:rPr>
      </w:pPr>
      <w:r w:rsidRPr="00321B46">
        <w:rPr>
          <w:iCs/>
        </w:rPr>
        <w:t>Donde:</w:t>
      </w:r>
    </w:p>
    <w:p w14:paraId="75033730" w14:textId="1BA487EB" w:rsidR="00D2516B" w:rsidRPr="00321B46" w:rsidRDefault="00D2516B" w:rsidP="00F30BCA">
      <w:pPr>
        <w:ind w:left="1412" w:hanging="1412"/>
      </w:pPr>
      <w:r w:rsidRPr="00321B46">
        <w:rPr>
          <w:i/>
          <w:iCs/>
        </w:rPr>
        <w:t>BRAFO</w:t>
      </w:r>
      <w:r w:rsidRPr="00321B46">
        <w:rPr>
          <w:i/>
          <w:iCs/>
          <w:vertAlign w:val="subscript"/>
        </w:rPr>
        <w:t>j,t</w:t>
      </w:r>
      <w:r w:rsidRPr="00321B46">
        <w:t>:</w:t>
      </w:r>
      <w:r w:rsidRPr="00321B46">
        <w:tab/>
        <w:t xml:space="preserve">Base regulatoria de activos eléctricos </w:t>
      </w:r>
      <w:r w:rsidR="0089080B" w:rsidRPr="00321B46">
        <w:t xml:space="preserve">que salen </w:t>
      </w:r>
      <w:r w:rsidRPr="00321B46">
        <w:t xml:space="preserve">de operación </w:t>
      </w:r>
      <w:r w:rsidR="0089080B" w:rsidRPr="00321B46">
        <w:t xml:space="preserve">en el sistema </w:t>
      </w:r>
      <w:r w:rsidRPr="00321B46">
        <w:t xml:space="preserve">del TN </w:t>
      </w:r>
      <w:r w:rsidRPr="00321B46">
        <w:rPr>
          <w:i/>
        </w:rPr>
        <w:t>j</w:t>
      </w:r>
      <w:r w:rsidRPr="00321B46">
        <w:t xml:space="preserve"> para el año </w:t>
      </w:r>
      <w:r w:rsidRPr="00321B46">
        <w:rPr>
          <w:i/>
        </w:rPr>
        <w:t>t</w:t>
      </w:r>
      <w:r w:rsidRPr="00321B46">
        <w:t>. Para el primer año del periodo tarifario esta variable es igual a cero.</w:t>
      </w:r>
    </w:p>
    <w:p w14:paraId="17691424" w14:textId="77777777" w:rsidR="00D2516B" w:rsidRPr="00321B46" w:rsidRDefault="00D2516B" w:rsidP="00F30BCA">
      <w:pPr>
        <w:ind w:left="1412" w:hanging="1412"/>
      </w:pPr>
      <w:r w:rsidRPr="00321B46">
        <w:rPr>
          <w:i/>
          <w:iCs/>
        </w:rPr>
        <w:t>NFO</w:t>
      </w:r>
      <w:r w:rsidRPr="00321B46">
        <w:rPr>
          <w:i/>
          <w:iCs/>
          <w:vertAlign w:val="subscript"/>
        </w:rPr>
        <w:t>j,t-1</w:t>
      </w:r>
      <w:r w:rsidRPr="00321B46">
        <w:t>:</w:t>
      </w:r>
      <w:r w:rsidRPr="00321B46">
        <w:tab/>
        <w:t xml:space="preserve">Número de UC incluidas en la base regulatoria de activos del TN </w:t>
      </w:r>
      <w:r w:rsidRPr="00321B46">
        <w:rPr>
          <w:i/>
          <w:iCs/>
        </w:rPr>
        <w:t>j</w:t>
      </w:r>
      <w:r w:rsidRPr="00321B46">
        <w:rPr>
          <w:iCs/>
        </w:rPr>
        <w:t xml:space="preserve"> </w:t>
      </w:r>
      <w:r w:rsidRPr="00321B46">
        <w:t xml:space="preserve">que salen de operación en el año </w:t>
      </w:r>
      <w:r w:rsidRPr="00321B46">
        <w:rPr>
          <w:i/>
        </w:rPr>
        <w:t>t-1</w:t>
      </w:r>
      <w:r w:rsidRPr="00321B46">
        <w:t>.</w:t>
      </w:r>
    </w:p>
    <w:p w14:paraId="03C86B66" w14:textId="42171499" w:rsidR="00D2516B" w:rsidRPr="00321B46" w:rsidRDefault="00D2516B" w:rsidP="00F30BCA">
      <w:pPr>
        <w:ind w:left="1412" w:hanging="1412"/>
      </w:pPr>
      <w:r w:rsidRPr="00321B46">
        <w:rPr>
          <w:i/>
          <w:iCs/>
        </w:rPr>
        <w:t>BRAR</w:t>
      </w:r>
      <w:r w:rsidRPr="00321B46">
        <w:rPr>
          <w:i/>
          <w:iCs/>
          <w:vertAlign w:val="subscript"/>
        </w:rPr>
        <w:t>i,j,t</w:t>
      </w:r>
      <w:r w:rsidRPr="00321B46">
        <w:t>:</w:t>
      </w:r>
      <w:r w:rsidRPr="00321B46">
        <w:tab/>
      </w:r>
      <w:r w:rsidR="0007138B" w:rsidRPr="00321B46">
        <w:t>Capital remanente</w:t>
      </w:r>
      <w:r w:rsidRPr="00321B46">
        <w:t xml:space="preserve"> de la UC </w:t>
      </w:r>
      <w:r w:rsidRPr="00321B46">
        <w:rPr>
          <w:i/>
        </w:rPr>
        <w:t>i</w:t>
      </w:r>
      <w:r w:rsidRPr="00321B46">
        <w:t xml:space="preserve"> del TN </w:t>
      </w:r>
      <w:r w:rsidRPr="00321B46">
        <w:rPr>
          <w:i/>
        </w:rPr>
        <w:t>j</w:t>
      </w:r>
      <w:r w:rsidRPr="00321B46">
        <w:t xml:space="preserve"> en el año </w:t>
      </w:r>
      <w:r w:rsidRPr="00321B46">
        <w:rPr>
          <w:i/>
        </w:rPr>
        <w:t>t</w:t>
      </w:r>
      <w:r w:rsidR="0007138B" w:rsidRPr="00321B46">
        <w:t xml:space="preserve">, </w:t>
      </w:r>
      <w:r w:rsidRPr="00321B46">
        <w:t>calcula</w:t>
      </w:r>
      <w:r w:rsidR="0007138B" w:rsidRPr="00321B46">
        <w:t>do</w:t>
      </w:r>
      <w:r w:rsidRPr="00321B46">
        <w:t xml:space="preserve"> de la siguiente manera:</w:t>
      </w:r>
    </w:p>
    <w:p w14:paraId="3ACCC880" w14:textId="00AE4F5F" w:rsidR="00D2516B" w:rsidRPr="00321B46" w:rsidRDefault="00651802" w:rsidP="00F30BCA">
      <m:oMathPara>
        <m:oMath>
          <m:sSub>
            <m:sSubPr>
              <m:ctrlPr>
                <w:rPr>
                  <w:rFonts w:ascii="Cambria Math" w:hAnsi="Cambria Math"/>
                  <w:i/>
                </w:rPr>
              </m:ctrlPr>
            </m:sSubPr>
            <m:e>
              <m:r>
                <w:rPr>
                  <w:rFonts w:ascii="Cambria Math" w:hAnsi="Cambria Math"/>
                </w:rPr>
                <m:t>BRAR</m:t>
              </m:r>
            </m:e>
            <m:sub>
              <m:r>
                <w:rPr>
                  <w:rFonts w:ascii="Cambria Math" w:hAnsi="Cambria Math"/>
                </w:rPr>
                <m:t>i,j,t</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FU</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RPP</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CRA</m:t>
                  </m:r>
                </m:e>
                <m:sub>
                  <m:r>
                    <w:rPr>
                      <w:rFonts w:ascii="Cambria Math" w:hAnsi="Cambria Math"/>
                    </w:rPr>
                    <m:t>i</m:t>
                  </m:r>
                </m:sub>
              </m:sSub>
            </m:e>
          </m:d>
          <m:r>
            <w:rPr>
              <w:rFonts w:ascii="Cambria Math" w:hAnsi="Cambria Math"/>
            </w:rPr>
            <m:t>*</m:t>
          </m:r>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t</m:t>
                  </m:r>
                </m:num>
                <m:den>
                  <m:sSub>
                    <m:sSubPr>
                      <m:ctrlPr>
                        <w:rPr>
                          <w:rFonts w:ascii="Cambria Math" w:hAnsi="Cambria Math"/>
                          <w:i/>
                        </w:rPr>
                      </m:ctrlPr>
                    </m:sSubPr>
                    <m:e>
                      <m:sSub>
                        <m:sSubPr>
                          <m:ctrlPr>
                            <w:rPr>
                              <w:rFonts w:ascii="Cambria Math" w:hAnsi="Cambria Math"/>
                              <w:i/>
                            </w:rPr>
                          </m:ctrlPr>
                        </m:sSubPr>
                        <m:e>
                          <m:r>
                            <w:rPr>
                              <w:rFonts w:ascii="Cambria Math" w:hAnsi="Cambria Math"/>
                            </w:rPr>
                            <m:t>VU</m:t>
                          </m:r>
                        </m:e>
                        <m:sub>
                          <m:r>
                            <w:rPr>
                              <w:rFonts w:ascii="Cambria Math" w:hAnsi="Cambria Math"/>
                            </w:rPr>
                            <m:t>i,k</m:t>
                          </m:r>
                        </m:sub>
                      </m:sSub>
                      <m:r>
                        <w:rPr>
                          <w:rFonts w:ascii="Cambria Math" w:hAnsi="Cambria Math"/>
                        </w:rPr>
                        <m:t>- AR</m:t>
                      </m:r>
                    </m:e>
                    <m:sub>
                      <m:r>
                        <w:rPr>
                          <w:rFonts w:ascii="Cambria Math" w:hAnsi="Cambria Math"/>
                        </w:rPr>
                        <m:t>i,l</m:t>
                      </m:r>
                    </m:sub>
                  </m:sSub>
                </m:den>
              </m:f>
            </m:e>
          </m:d>
        </m:oMath>
      </m:oMathPara>
    </w:p>
    <w:p w14:paraId="5D34A2ED" w14:textId="77777777" w:rsidR="00D2516B" w:rsidRPr="00321B46" w:rsidRDefault="00D2516B" w:rsidP="00F30BCA">
      <w:r w:rsidRPr="00321B46">
        <w:t>Donde:</w:t>
      </w:r>
      <w:r w:rsidR="001A10B3" w:rsidRPr="00321B46" w:rsidDel="001A10B3">
        <w:t xml:space="preserve"> </w:t>
      </w:r>
    </w:p>
    <w:p w14:paraId="131031C2" w14:textId="17A55694" w:rsidR="00D2516B" w:rsidRPr="00321B46" w:rsidRDefault="00D2516B" w:rsidP="00F30BCA">
      <w:pPr>
        <w:ind w:left="1416" w:hanging="1416"/>
      </w:pPr>
      <w:r w:rsidRPr="00321B46">
        <w:rPr>
          <w:i/>
        </w:rPr>
        <w:t>CR</w:t>
      </w:r>
      <w:r w:rsidRPr="00321B46">
        <w:rPr>
          <w:i/>
          <w:vertAlign w:val="subscript"/>
        </w:rPr>
        <w:t>i</w:t>
      </w:r>
      <w:r w:rsidRPr="00321B46">
        <w:t>:</w:t>
      </w:r>
      <w:r w:rsidRPr="00321B46">
        <w:tab/>
        <w:t xml:space="preserve">Valor de la UC </w:t>
      </w:r>
      <w:r w:rsidRPr="00321B46">
        <w:rPr>
          <w:i/>
        </w:rPr>
        <w:t>i</w:t>
      </w:r>
      <w:r w:rsidRPr="00321B46">
        <w:t xml:space="preserve">, que sale de operación en el año </w:t>
      </w:r>
      <w:r w:rsidRPr="00321B46">
        <w:rPr>
          <w:i/>
        </w:rPr>
        <w:t>t</w:t>
      </w:r>
      <w:r w:rsidRPr="00321B46">
        <w:t xml:space="preserve">, definido en el capítulo </w:t>
      </w:r>
      <w:r w:rsidR="006C5902" w:rsidRPr="00321B46">
        <w:fldChar w:fldCharType="begin"/>
      </w:r>
      <w:r w:rsidR="006C5902" w:rsidRPr="00321B46">
        <w:instrText xml:space="preserve"> REF _Ref465954654 \r \h \t</w:instrText>
      </w:r>
      <w:r w:rsidR="00321B46">
        <w:instrText xml:space="preserve"> \* MERGEFORMAT </w:instrText>
      </w:r>
      <w:r w:rsidR="006C5902" w:rsidRPr="00321B46">
        <w:fldChar w:fldCharType="separate"/>
      </w:r>
      <w:r w:rsidR="000F355F">
        <w:t>8</w:t>
      </w:r>
      <w:r w:rsidR="006C5902" w:rsidRPr="00321B46">
        <w:fldChar w:fldCharType="end"/>
      </w:r>
      <w:r w:rsidR="00457F1A" w:rsidRPr="00321B46">
        <w:t xml:space="preserve"> de este anexo</w:t>
      </w:r>
      <w:r w:rsidRPr="00321B46">
        <w:t>.</w:t>
      </w:r>
    </w:p>
    <w:p w14:paraId="6F519100" w14:textId="77777777" w:rsidR="00D2516B" w:rsidRPr="00321B46" w:rsidRDefault="00D2516B" w:rsidP="00F30BCA">
      <w:pPr>
        <w:ind w:left="1416" w:hanging="1416"/>
      </w:pPr>
      <w:r w:rsidRPr="00321B46">
        <w:rPr>
          <w:i/>
        </w:rPr>
        <w:t>PU</w:t>
      </w:r>
      <w:r w:rsidRPr="00321B46">
        <w:rPr>
          <w:i/>
          <w:vertAlign w:val="subscript"/>
        </w:rPr>
        <w:t>i</w:t>
      </w:r>
      <w:r w:rsidRPr="00321B46">
        <w:rPr>
          <w:i/>
        </w:rPr>
        <w:t>:</w:t>
      </w:r>
      <w:r w:rsidRPr="00321B46">
        <w:tab/>
        <w:t xml:space="preserve">Fracción del costo de la UC </w:t>
      </w:r>
      <w:r w:rsidRPr="00321B46">
        <w:rPr>
          <w:i/>
          <w:iCs/>
        </w:rPr>
        <w:t>i</w:t>
      </w:r>
      <w:r w:rsidRPr="00321B46">
        <w:t xml:space="preserve">, que sale de operación en el año </w:t>
      </w:r>
      <w:r w:rsidRPr="00321B46">
        <w:rPr>
          <w:i/>
        </w:rPr>
        <w:t>t</w:t>
      </w:r>
      <w:r w:rsidRPr="00321B46">
        <w:t>, y que es reconocida mediante cargos por uso.</w:t>
      </w:r>
    </w:p>
    <w:p w14:paraId="307211E0" w14:textId="77777777" w:rsidR="002630BF" w:rsidRPr="00321B46" w:rsidRDefault="002630BF" w:rsidP="0004502D">
      <w:pPr>
        <w:ind w:left="1416" w:hanging="1416"/>
        <w:rPr>
          <w:i/>
        </w:rPr>
      </w:pPr>
      <w:r w:rsidRPr="00321B46">
        <w:rPr>
          <w:i/>
          <w:iCs/>
        </w:rPr>
        <w:t>FU</w:t>
      </w:r>
      <w:r w:rsidRPr="00321B46">
        <w:rPr>
          <w:i/>
          <w:iCs/>
          <w:vertAlign w:val="subscript"/>
        </w:rPr>
        <w:t>i</w:t>
      </w:r>
      <w:r w:rsidRPr="00321B46">
        <w:rPr>
          <w:i/>
          <w:iCs/>
        </w:rPr>
        <w:t>:</w:t>
      </w:r>
      <w:r w:rsidRPr="00321B46">
        <w:rPr>
          <w:i/>
          <w:iCs/>
        </w:rPr>
        <w:tab/>
      </w:r>
      <w:r w:rsidRPr="00321B46">
        <w:t xml:space="preserve">Fracción del costo de la UC </w:t>
      </w:r>
      <w:r w:rsidRPr="00321B46">
        <w:rPr>
          <w:i/>
          <w:iCs/>
        </w:rPr>
        <w:t>i</w:t>
      </w:r>
      <w:r w:rsidRPr="00321B46">
        <w:t xml:space="preserve"> que es reconocida por reposiciones parciales de la UC. Este valor se calcula como el peso relativo del valor reconocido del elemento o los elementos reemplazados respecto al valor total de la UC.</w:t>
      </w:r>
    </w:p>
    <w:p w14:paraId="753AFC24" w14:textId="77777777" w:rsidR="00674134" w:rsidRPr="00321B46" w:rsidRDefault="00674134" w:rsidP="00F30BCA">
      <w:pPr>
        <w:tabs>
          <w:tab w:val="left" w:pos="1418"/>
        </w:tabs>
        <w:spacing w:before="120"/>
        <w:ind w:left="1418" w:hanging="1418"/>
      </w:pPr>
      <w:r w:rsidRPr="00321B46">
        <w:rPr>
          <w:i/>
          <w:iCs/>
        </w:rPr>
        <w:t>RPP</w:t>
      </w:r>
      <w:r w:rsidRPr="00321B46">
        <w:rPr>
          <w:i/>
          <w:iCs/>
          <w:vertAlign w:val="subscript"/>
        </w:rPr>
        <w:t>i</w:t>
      </w:r>
      <w:r w:rsidRPr="00321B46">
        <w:rPr>
          <w:i/>
          <w:iCs/>
        </w:rPr>
        <w:t>:</w:t>
      </w:r>
      <w:r w:rsidRPr="00321B46">
        <w:tab/>
        <w:t xml:space="preserve">Fracción del costo de la UC </w:t>
      </w:r>
      <w:r w:rsidRPr="00321B46">
        <w:rPr>
          <w:i/>
          <w:iCs/>
        </w:rPr>
        <w:t>i</w:t>
      </w:r>
      <w:r w:rsidRPr="00321B46">
        <w:t>, remunerada vía cargos por uso, que no se debe incluir en el cálculo de la tarifa.</w:t>
      </w:r>
    </w:p>
    <w:p w14:paraId="2B44514C" w14:textId="0051602A" w:rsidR="00D2516B" w:rsidRPr="00321B46" w:rsidRDefault="00D2516B" w:rsidP="00F30BCA">
      <w:pPr>
        <w:tabs>
          <w:tab w:val="left" w:pos="1418"/>
        </w:tabs>
        <w:spacing w:before="120"/>
        <w:ind w:left="1418" w:hanging="1418"/>
      </w:pPr>
      <w:r w:rsidRPr="00321B46">
        <w:rPr>
          <w:i/>
          <w:iCs/>
        </w:rPr>
        <w:t>CRA</w:t>
      </w:r>
      <w:r w:rsidRPr="00321B46">
        <w:rPr>
          <w:i/>
          <w:iCs/>
          <w:vertAlign w:val="subscript"/>
        </w:rPr>
        <w:t>i</w:t>
      </w:r>
      <w:r w:rsidRPr="00321B46">
        <w:rPr>
          <w:i/>
          <w:iCs/>
        </w:rPr>
        <w:t>:</w:t>
      </w:r>
      <w:r w:rsidRPr="00321B46">
        <w:tab/>
        <w:t xml:space="preserve">Factor de capital remanente de la UC </w:t>
      </w:r>
      <w:r w:rsidRPr="00321B46">
        <w:rPr>
          <w:i/>
        </w:rPr>
        <w:t xml:space="preserve">i, </w:t>
      </w:r>
      <w:r w:rsidRPr="00321B46">
        <w:t xml:space="preserve">que sale de operación en el año </w:t>
      </w:r>
      <w:r w:rsidRPr="00321B46">
        <w:rPr>
          <w:i/>
        </w:rPr>
        <w:t>t</w:t>
      </w:r>
      <w:r w:rsidRPr="00321B46">
        <w:t xml:space="preserve">, calculada de acuerdo con lo establecido en el numeral </w:t>
      </w:r>
      <w:r w:rsidRPr="00321B46">
        <w:fldChar w:fldCharType="begin"/>
      </w:r>
      <w:r w:rsidRPr="00321B46">
        <w:instrText xml:space="preserve"> REF _Ref439948508 \r \h </w:instrText>
      </w:r>
      <w:r w:rsidR="003276B5" w:rsidRPr="00321B46">
        <w:instrText xml:space="preserve"> \* MERGEFORMAT </w:instrText>
      </w:r>
      <w:r w:rsidRPr="00321B46">
        <w:fldChar w:fldCharType="separate"/>
      </w:r>
      <w:r w:rsidR="000F355F">
        <w:t>2.2.1.4</w:t>
      </w:r>
      <w:r w:rsidRPr="00321B46">
        <w:fldChar w:fldCharType="end"/>
      </w:r>
      <w:r w:rsidRPr="00321B46">
        <w:t>.</w:t>
      </w:r>
    </w:p>
    <w:p w14:paraId="76EF9517" w14:textId="0166378D" w:rsidR="00D2516B" w:rsidRPr="00321B46" w:rsidRDefault="00D2516B" w:rsidP="00F30BCA">
      <w:pPr>
        <w:ind w:left="1416" w:hanging="1416"/>
        <w:rPr>
          <w:i/>
        </w:rPr>
      </w:pPr>
      <w:r w:rsidRPr="00321B46">
        <w:rPr>
          <w:i/>
        </w:rPr>
        <w:t>VU</w:t>
      </w:r>
      <w:r w:rsidRPr="00321B46">
        <w:rPr>
          <w:i/>
          <w:vertAlign w:val="subscript"/>
        </w:rPr>
        <w:t>i,</w:t>
      </w:r>
      <w:r w:rsidR="00F66546" w:rsidRPr="00321B46">
        <w:rPr>
          <w:i/>
          <w:vertAlign w:val="subscript"/>
        </w:rPr>
        <w:t>k</w:t>
      </w:r>
      <w:r w:rsidRPr="00321B46">
        <w:rPr>
          <w:color w:val="000000" w:themeColor="text1"/>
        </w:rPr>
        <w:t xml:space="preserve">: </w:t>
      </w:r>
      <w:r w:rsidRPr="00321B46">
        <w:rPr>
          <w:color w:val="000000" w:themeColor="text1"/>
        </w:rPr>
        <w:tab/>
        <w:t>Vida útil re</w:t>
      </w:r>
      <w:r w:rsidR="007369C5" w:rsidRPr="00321B46">
        <w:rPr>
          <w:color w:val="000000" w:themeColor="text1"/>
        </w:rPr>
        <w:t>conocida para</w:t>
      </w:r>
      <w:r w:rsidRPr="00321B46">
        <w:rPr>
          <w:color w:val="000000" w:themeColor="text1"/>
        </w:rPr>
        <w:t xml:space="preserve"> la unidad constructiva </w:t>
      </w:r>
      <w:r w:rsidRPr="00321B46">
        <w:rPr>
          <w:i/>
          <w:color w:val="000000" w:themeColor="text1"/>
        </w:rPr>
        <w:t xml:space="preserve">i </w:t>
      </w:r>
      <w:r w:rsidRPr="00321B46">
        <w:rPr>
          <w:color w:val="000000" w:themeColor="text1"/>
        </w:rPr>
        <w:t xml:space="preserve">perteneciente a la categoría de activos </w:t>
      </w:r>
      <w:r w:rsidR="00F66546" w:rsidRPr="00321B46">
        <w:rPr>
          <w:i/>
          <w:color w:val="000000" w:themeColor="text1"/>
        </w:rPr>
        <w:t>k</w:t>
      </w:r>
      <w:r w:rsidRPr="00321B46">
        <w:rPr>
          <w:color w:val="000000" w:themeColor="text1"/>
        </w:rPr>
        <w:t xml:space="preserve">, según lo establecido en el numeral </w:t>
      </w:r>
      <w:r w:rsidR="005A25AF" w:rsidRPr="00321B46">
        <w:rPr>
          <w:color w:val="000000" w:themeColor="text1"/>
        </w:rPr>
        <w:fldChar w:fldCharType="begin"/>
      </w:r>
      <w:r w:rsidR="005A25AF" w:rsidRPr="00321B46">
        <w:rPr>
          <w:color w:val="000000" w:themeColor="text1"/>
        </w:rPr>
        <w:instrText xml:space="preserve"> REF _Ref445366424 \r \h  \* MERGEFORMAT </w:instrText>
      </w:r>
      <w:r w:rsidR="005A25AF" w:rsidRPr="00321B46">
        <w:rPr>
          <w:color w:val="000000" w:themeColor="text1"/>
        </w:rPr>
      </w:r>
      <w:r w:rsidR="005A25AF" w:rsidRPr="00321B46">
        <w:rPr>
          <w:color w:val="000000" w:themeColor="text1"/>
        </w:rPr>
        <w:fldChar w:fldCharType="separate"/>
      </w:r>
      <w:r w:rsidR="000F355F">
        <w:rPr>
          <w:color w:val="000000" w:themeColor="text1"/>
        </w:rPr>
        <w:t>8.3</w:t>
      </w:r>
      <w:r w:rsidR="005A25AF" w:rsidRPr="00321B46">
        <w:rPr>
          <w:color w:val="000000" w:themeColor="text1"/>
        </w:rPr>
        <w:fldChar w:fldCharType="end"/>
      </w:r>
      <w:r w:rsidRPr="00321B46">
        <w:rPr>
          <w:color w:val="000000" w:themeColor="text1"/>
        </w:rPr>
        <w:t>.</w:t>
      </w:r>
    </w:p>
    <w:p w14:paraId="6037944E" w14:textId="15C9CDB1" w:rsidR="00D2516B" w:rsidRPr="00321B46" w:rsidRDefault="00D2516B" w:rsidP="00F30BCA">
      <w:pPr>
        <w:ind w:left="1416" w:hanging="1416"/>
      </w:pPr>
      <w:r w:rsidRPr="00321B46">
        <w:rPr>
          <w:i/>
        </w:rPr>
        <w:t>AR</w:t>
      </w:r>
      <w:r w:rsidRPr="00321B46">
        <w:rPr>
          <w:i/>
          <w:vertAlign w:val="subscript"/>
        </w:rPr>
        <w:t>i,</w:t>
      </w:r>
      <w:r w:rsidR="005A25AF" w:rsidRPr="00321B46">
        <w:rPr>
          <w:i/>
          <w:vertAlign w:val="subscript"/>
        </w:rPr>
        <w:t>l</w:t>
      </w:r>
      <w:r w:rsidRPr="00321B46">
        <w:t>:</w:t>
      </w:r>
      <w:r w:rsidRPr="00321B46">
        <w:tab/>
        <w:t xml:space="preserve">Antigüedad de referencia de la unidad constructiva </w:t>
      </w:r>
      <w:r w:rsidRPr="00321B46">
        <w:rPr>
          <w:i/>
        </w:rPr>
        <w:t xml:space="preserve">i </w:t>
      </w:r>
      <w:r w:rsidRPr="00321B46">
        <w:t>perteneciente al</w:t>
      </w:r>
      <w:r w:rsidRPr="00321B46">
        <w:rPr>
          <w:i/>
        </w:rPr>
        <w:t xml:space="preserve"> </w:t>
      </w:r>
      <w:r w:rsidRPr="00321B46">
        <w:t xml:space="preserve">rango de activos </w:t>
      </w:r>
      <w:r w:rsidR="005A25AF" w:rsidRPr="00321B46">
        <w:rPr>
          <w:i/>
        </w:rPr>
        <w:t>l</w:t>
      </w:r>
      <w:r w:rsidRPr="00321B46">
        <w:t xml:space="preserve"> que sale de operación en el año </w:t>
      </w:r>
      <w:r w:rsidRPr="00321B46">
        <w:rPr>
          <w:i/>
        </w:rPr>
        <w:t>t</w:t>
      </w:r>
      <w:r w:rsidRPr="00321B46">
        <w:rPr>
          <w:color w:val="000000" w:themeColor="text1"/>
        </w:rPr>
        <w:t>, según lo establecido en la</w:t>
      </w:r>
      <w:r w:rsidRPr="00321B46">
        <w:t xml:space="preserve"> </w:t>
      </w:r>
      <w:r w:rsidR="005A25AF" w:rsidRPr="00321B46">
        <w:fldChar w:fldCharType="begin"/>
      </w:r>
      <w:r w:rsidR="005A25AF" w:rsidRPr="00321B46">
        <w:instrText xml:space="preserve"> REF _Ref445366524 \h </w:instrText>
      </w:r>
      <w:r w:rsidR="003276B5" w:rsidRPr="00321B46">
        <w:instrText xml:space="preserve"> \* MERGEFORMAT </w:instrText>
      </w:r>
      <w:r w:rsidR="005A25AF" w:rsidRPr="00321B46">
        <w:fldChar w:fldCharType="separate"/>
      </w:r>
      <w:r w:rsidR="000F355F" w:rsidRPr="00321B46">
        <w:t xml:space="preserve">Tabla </w:t>
      </w:r>
      <w:r w:rsidR="000F355F">
        <w:rPr>
          <w:noProof/>
        </w:rPr>
        <w:t>1</w:t>
      </w:r>
      <w:r w:rsidR="005A25AF" w:rsidRPr="00321B46">
        <w:fldChar w:fldCharType="end"/>
      </w:r>
      <w:r w:rsidRPr="00321B46">
        <w:t>.</w:t>
      </w:r>
    </w:p>
    <w:p w14:paraId="4F416567" w14:textId="77777777" w:rsidR="00823D54" w:rsidRPr="00321B46" w:rsidDel="00853546" w:rsidRDefault="00823D54" w:rsidP="0004502D">
      <w:pPr>
        <w:pStyle w:val="Ttulo3"/>
        <w:rPr>
          <w:szCs w:val="24"/>
        </w:rPr>
      </w:pPr>
      <w:bookmarkStart w:id="89" w:name="_Toc445390238"/>
      <w:bookmarkStart w:id="90" w:name="_Toc445392767"/>
      <w:bookmarkStart w:id="91" w:name="_Toc445390239"/>
      <w:bookmarkStart w:id="92" w:name="_Toc445392768"/>
      <w:bookmarkStart w:id="93" w:name="_Ref408219623"/>
      <w:bookmarkStart w:id="94" w:name="_Toc466392624"/>
      <w:bookmarkStart w:id="95" w:name="_Ref445302301"/>
      <w:bookmarkEnd w:id="89"/>
      <w:bookmarkEnd w:id="90"/>
      <w:bookmarkEnd w:id="91"/>
      <w:bookmarkEnd w:id="92"/>
      <w:r w:rsidRPr="00321B46" w:rsidDel="00853546">
        <w:rPr>
          <w:szCs w:val="24"/>
        </w:rPr>
        <w:t>Base regulatoria de activos no eléctricos</w:t>
      </w:r>
      <w:bookmarkEnd w:id="93"/>
      <w:bookmarkEnd w:id="94"/>
    </w:p>
    <w:p w14:paraId="1ADBFDEE" w14:textId="77777777" w:rsidR="00823D54" w:rsidRPr="00321B46" w:rsidDel="00853546" w:rsidRDefault="00823D54" w:rsidP="00F30BCA">
      <w:pPr>
        <w:rPr>
          <w:lang w:val="es-ES_tradnl"/>
        </w:rPr>
      </w:pPr>
      <w:r w:rsidRPr="00321B46" w:rsidDel="00853546">
        <w:rPr>
          <w:lang w:val="es-ES_tradnl"/>
        </w:rPr>
        <w:t>La base regulatoria de activos no eléctricos reconocida al TN se calcula de acuerdo con la siguiente expresión:</w:t>
      </w:r>
    </w:p>
    <w:p w14:paraId="04A96151" w14:textId="496DD0D2" w:rsidR="00823D54" w:rsidRPr="00321B46" w:rsidDel="00853546" w:rsidRDefault="00651802" w:rsidP="00F30BCA">
      <m:oMathPara>
        <m:oMath>
          <m:sSub>
            <m:sSubPr>
              <m:ctrlPr>
                <w:rPr>
                  <w:rFonts w:ascii="Cambria Math" w:hAnsi="Cambria Math"/>
                  <w:i/>
                </w:rPr>
              </m:ctrlPr>
            </m:sSubPr>
            <m:e>
              <m:r>
                <w:rPr>
                  <w:rFonts w:ascii="Cambria Math" w:hAnsi="Cambria Math"/>
                </w:rPr>
                <m:t>BRANE</m:t>
              </m:r>
            </m:e>
            <m:sub>
              <m:r>
                <w:rPr>
                  <w:rFonts w:ascii="Cambria Math" w:hAnsi="Cambria Math"/>
                </w:rPr>
                <m:t>j,t</m:t>
              </m:r>
            </m:sub>
          </m:sSub>
          <m:r>
            <w:rPr>
              <w:rFonts w:ascii="Cambria Math" w:hAnsi="Cambria Math"/>
            </w:rPr>
            <m:t>=NE*</m:t>
          </m:r>
          <m:sSub>
            <m:sSubPr>
              <m:ctrlPr>
                <w:rPr>
                  <w:rFonts w:ascii="Cambria Math" w:hAnsi="Cambria Math"/>
                  <w:i/>
                </w:rPr>
              </m:ctrlPr>
            </m:sSubPr>
            <m:e>
              <m:r>
                <w:rPr>
                  <w:rFonts w:ascii="Cambria Math" w:hAnsi="Cambria Math"/>
                </w:rPr>
                <m:t>BRAE</m:t>
              </m:r>
            </m:e>
            <m:sub>
              <m:r>
                <w:rPr>
                  <w:rFonts w:ascii="Cambria Math" w:hAnsi="Cambria Math"/>
                </w:rPr>
                <m:t>j,t</m:t>
              </m:r>
            </m:sub>
          </m:sSub>
        </m:oMath>
      </m:oMathPara>
    </w:p>
    <w:p w14:paraId="71070955" w14:textId="77777777" w:rsidR="00823D54" w:rsidRPr="00321B46" w:rsidDel="00853546" w:rsidRDefault="00823D54" w:rsidP="00F30BCA">
      <w:pPr>
        <w:ind w:left="1410" w:hanging="1410"/>
        <w:rPr>
          <w:iCs/>
        </w:rPr>
      </w:pPr>
      <w:r w:rsidRPr="00321B46" w:rsidDel="00853546">
        <w:rPr>
          <w:iCs/>
        </w:rPr>
        <w:t>Donde:</w:t>
      </w:r>
    </w:p>
    <w:p w14:paraId="35FE08D3" w14:textId="77777777" w:rsidR="00823D54" w:rsidRPr="00321B46" w:rsidDel="00853546" w:rsidRDefault="00823D54" w:rsidP="00F30BCA">
      <w:pPr>
        <w:ind w:left="1410" w:hanging="1410"/>
      </w:pPr>
      <w:r w:rsidRPr="00321B46" w:rsidDel="00853546">
        <w:rPr>
          <w:i/>
        </w:rPr>
        <w:t>BRANE</w:t>
      </w:r>
      <w:r w:rsidRPr="00321B46" w:rsidDel="00853546">
        <w:rPr>
          <w:i/>
          <w:vertAlign w:val="subscript"/>
        </w:rPr>
        <w:t>j,t</w:t>
      </w:r>
      <w:r w:rsidRPr="00321B46" w:rsidDel="00853546">
        <w:rPr>
          <w:i/>
        </w:rPr>
        <w:t>:</w:t>
      </w:r>
      <w:r w:rsidRPr="00321B46" w:rsidDel="00853546">
        <w:rPr>
          <w:i/>
        </w:rPr>
        <w:tab/>
      </w:r>
      <w:r w:rsidRPr="00321B46" w:rsidDel="00853546">
        <w:t xml:space="preserve">Base regulatoria de activos no eléctricos </w:t>
      </w:r>
      <w:r w:rsidRPr="00321B46" w:rsidDel="00853546">
        <w:rPr>
          <w:iCs/>
        </w:rPr>
        <w:t>del</w:t>
      </w:r>
      <w:r w:rsidRPr="00321B46" w:rsidDel="00853546">
        <w:rPr>
          <w:i/>
          <w:iCs/>
        </w:rPr>
        <w:t xml:space="preserve"> TN</w:t>
      </w:r>
      <w:r w:rsidRPr="00321B46" w:rsidDel="00853546">
        <w:t xml:space="preserve"> </w:t>
      </w:r>
      <w:r w:rsidRPr="00321B46" w:rsidDel="00853546">
        <w:rPr>
          <w:i/>
          <w:iCs/>
        </w:rPr>
        <w:t>j</w:t>
      </w:r>
      <w:r w:rsidRPr="00321B46" w:rsidDel="00853546">
        <w:rPr>
          <w:iCs/>
        </w:rPr>
        <w:t>,</w:t>
      </w:r>
      <w:r w:rsidRPr="00321B46" w:rsidDel="00853546">
        <w:t xml:space="preserve"> en el año </w:t>
      </w:r>
      <w:r w:rsidRPr="00321B46" w:rsidDel="00853546">
        <w:rPr>
          <w:i/>
        </w:rPr>
        <w:t>t.</w:t>
      </w:r>
    </w:p>
    <w:p w14:paraId="6DA565BC" w14:textId="77777777" w:rsidR="00823D54" w:rsidRPr="00321B46" w:rsidDel="00853546" w:rsidRDefault="00823D54" w:rsidP="00F30BCA">
      <w:pPr>
        <w:spacing w:before="120"/>
        <w:ind w:left="1418" w:hanging="1418"/>
      </w:pPr>
      <w:r w:rsidRPr="00321B46" w:rsidDel="00853546">
        <w:rPr>
          <w:i/>
          <w:iCs/>
        </w:rPr>
        <w:t>NE</w:t>
      </w:r>
      <w:r w:rsidRPr="00321B46" w:rsidDel="00853546">
        <w:t>:</w:t>
      </w:r>
      <w:r w:rsidRPr="00321B46" w:rsidDel="00853546">
        <w:tab/>
        <w:t xml:space="preserve">Fracción de la base regulatoria de activos eléctricos, que se reconoce como activos no eléctricos, es igual a 0,02. </w:t>
      </w:r>
    </w:p>
    <w:p w14:paraId="7D3CCA64" w14:textId="77777777" w:rsidR="00823D54" w:rsidRPr="00321B46" w:rsidDel="00853546" w:rsidRDefault="00823D54" w:rsidP="00F30BCA">
      <w:pPr>
        <w:spacing w:before="120"/>
        <w:ind w:left="1418" w:hanging="1418"/>
      </w:pPr>
      <w:r w:rsidRPr="00321B46" w:rsidDel="00853546">
        <w:rPr>
          <w:i/>
          <w:iCs/>
        </w:rPr>
        <w:t>BRAE</w:t>
      </w:r>
      <w:r w:rsidRPr="00321B46" w:rsidDel="00853546">
        <w:rPr>
          <w:i/>
          <w:iCs/>
          <w:vertAlign w:val="subscript"/>
        </w:rPr>
        <w:t>j,t</w:t>
      </w:r>
      <w:r w:rsidRPr="00321B46" w:rsidDel="00853546">
        <w:t>:</w:t>
      </w:r>
      <w:r w:rsidRPr="00321B46" w:rsidDel="00853546">
        <w:tab/>
        <w:t xml:space="preserve">Base regulatoria de activos eléctricos </w:t>
      </w:r>
      <w:r w:rsidRPr="00321B46" w:rsidDel="00853546">
        <w:rPr>
          <w:iCs/>
        </w:rPr>
        <w:t>del</w:t>
      </w:r>
      <w:r w:rsidRPr="00321B46" w:rsidDel="00853546">
        <w:rPr>
          <w:i/>
          <w:iCs/>
        </w:rPr>
        <w:t xml:space="preserve"> TN</w:t>
      </w:r>
      <w:r w:rsidRPr="00321B46" w:rsidDel="00853546">
        <w:t xml:space="preserve"> </w:t>
      </w:r>
      <w:r w:rsidRPr="00321B46" w:rsidDel="00853546">
        <w:rPr>
          <w:i/>
          <w:iCs/>
        </w:rPr>
        <w:t>j</w:t>
      </w:r>
      <w:r w:rsidRPr="00321B46" w:rsidDel="00853546">
        <w:rPr>
          <w:iCs/>
        </w:rPr>
        <w:t>,</w:t>
      </w:r>
      <w:r w:rsidRPr="00321B46" w:rsidDel="00853546">
        <w:t xml:space="preserve"> en el año </w:t>
      </w:r>
      <w:r w:rsidRPr="00321B46" w:rsidDel="00853546">
        <w:rPr>
          <w:i/>
        </w:rPr>
        <w:t>t</w:t>
      </w:r>
      <w:r w:rsidRPr="00321B46" w:rsidDel="00853546">
        <w:t>.</w:t>
      </w:r>
    </w:p>
    <w:p w14:paraId="04827C55" w14:textId="08037FBA" w:rsidR="00E43449" w:rsidRPr="00321B46" w:rsidRDefault="00E43449" w:rsidP="00BF7220">
      <w:pPr>
        <w:pStyle w:val="Ttulo2"/>
      </w:pPr>
      <w:bookmarkStart w:id="96" w:name="_Ref445386575"/>
      <w:bookmarkStart w:id="97" w:name="_Toc466392625"/>
      <w:r w:rsidRPr="00321B46">
        <w:t>Recuperación de capital</w:t>
      </w:r>
      <w:bookmarkEnd w:id="95"/>
      <w:r w:rsidRPr="00321B46">
        <w:t xml:space="preserve"> </w:t>
      </w:r>
      <w:bookmarkEnd w:id="88"/>
      <w:r w:rsidR="00044E99" w:rsidRPr="00321B46">
        <w:t>reconocida</w:t>
      </w:r>
      <w:bookmarkEnd w:id="96"/>
      <w:bookmarkEnd w:id="97"/>
    </w:p>
    <w:p w14:paraId="1CE88B45" w14:textId="77777777" w:rsidR="00044E99" w:rsidRPr="00321B46" w:rsidRDefault="00044E99" w:rsidP="00F30BCA">
      <w:bookmarkStart w:id="98" w:name="_Ref398642950"/>
      <w:r w:rsidRPr="00321B46">
        <w:t>La recuperación de capital reconocida para los activos remunerados en la base regulatoria de activos se calcula de la siguiente manera:</w:t>
      </w:r>
    </w:p>
    <w:p w14:paraId="203386FF" w14:textId="7293929E" w:rsidR="00044E99" w:rsidRPr="00321B46" w:rsidRDefault="00651802" w:rsidP="00F30BCA">
      <m:oMathPara>
        <m:oMath>
          <m:sSub>
            <m:sSubPr>
              <m:ctrlPr>
                <w:rPr>
                  <w:rFonts w:ascii="Cambria Math" w:hAnsi="Cambria Math"/>
                  <w:i/>
                </w:rPr>
              </m:ctrlPr>
            </m:sSubPr>
            <m:e>
              <m:r>
                <w:rPr>
                  <w:rFonts w:ascii="Cambria Math" w:hAnsi="Cambria Math"/>
                </w:rPr>
                <m:t>RC</m:t>
              </m:r>
            </m:e>
            <m:sub>
              <m:r>
                <w:rPr>
                  <w:rFonts w:ascii="Cambria Math" w:hAnsi="Cambria Math"/>
                </w:rPr>
                <m:t>j,t</m:t>
              </m:r>
            </m:sub>
          </m:sSub>
          <m:r>
            <w:rPr>
              <w:rFonts w:ascii="Cambria Math"/>
            </w:rPr>
            <m:t>=</m:t>
          </m:r>
          <m:sSub>
            <m:sSubPr>
              <m:ctrlPr>
                <w:rPr>
                  <w:rFonts w:ascii="Cambria Math" w:hAnsi="Cambria Math"/>
                  <w:i/>
                </w:rPr>
              </m:ctrlPr>
            </m:sSubPr>
            <m:e>
              <m:r>
                <w:rPr>
                  <w:rFonts w:ascii="Cambria Math"/>
                </w:rPr>
                <m:t>RCBIA</m:t>
              </m:r>
            </m:e>
            <m:sub>
              <m:r>
                <w:rPr>
                  <w:rFonts w:ascii="Cambria Math"/>
                </w:rPr>
                <m:t>j,t</m:t>
              </m:r>
            </m:sub>
          </m:sSub>
          <m:r>
            <w:rPr>
              <w:rFonts w:ascii="Cambria Math"/>
            </w:rPr>
            <m:t>+</m:t>
          </m:r>
          <m:sSub>
            <m:sSubPr>
              <m:ctrlPr>
                <w:rPr>
                  <w:rFonts w:ascii="Cambria Math" w:hAnsi="Cambria Math"/>
                  <w:i/>
                </w:rPr>
              </m:ctrlPr>
            </m:sSubPr>
            <m:e>
              <m:r>
                <w:rPr>
                  <w:rFonts w:ascii="Cambria Math"/>
                </w:rPr>
                <m:t>RCNA</m:t>
              </m:r>
            </m:e>
            <m:sub>
              <m:r>
                <w:rPr>
                  <w:rFonts w:ascii="Cambria Math"/>
                </w:rPr>
                <m:t>j,t</m:t>
              </m:r>
            </m:sub>
          </m:sSub>
        </m:oMath>
      </m:oMathPara>
    </w:p>
    <w:p w14:paraId="73CEAF90" w14:textId="77777777" w:rsidR="00044E99" w:rsidRPr="00321B46" w:rsidRDefault="00044E99" w:rsidP="00F30BCA">
      <w:pPr>
        <w:ind w:left="1410" w:hanging="1410"/>
        <w:rPr>
          <w:iCs/>
        </w:rPr>
      </w:pPr>
      <w:r w:rsidRPr="00321B46">
        <w:rPr>
          <w:iCs/>
        </w:rPr>
        <w:t>Donde:</w:t>
      </w:r>
    </w:p>
    <w:p w14:paraId="5B3219BA" w14:textId="77777777" w:rsidR="00044E99" w:rsidRPr="00321B46" w:rsidRDefault="00044E99" w:rsidP="00F30BCA">
      <w:pPr>
        <w:ind w:left="1410" w:hanging="1410"/>
        <w:rPr>
          <w:i/>
        </w:rPr>
      </w:pPr>
      <w:r w:rsidRPr="00321B46">
        <w:rPr>
          <w:i/>
          <w:iCs/>
        </w:rPr>
        <w:t>RC</w:t>
      </w:r>
      <w:r w:rsidRPr="00321B46">
        <w:rPr>
          <w:i/>
          <w:iCs/>
          <w:vertAlign w:val="subscript"/>
        </w:rPr>
        <w:t>j,t</w:t>
      </w:r>
      <w:r w:rsidRPr="00321B46">
        <w:t>:</w:t>
      </w:r>
      <w:r w:rsidRPr="00321B46">
        <w:tab/>
        <w:t xml:space="preserve">Recuperación de capital reconocida para los activos remunerados en la base regulatoria del TN </w:t>
      </w:r>
      <w:r w:rsidRPr="00321B46">
        <w:rPr>
          <w:i/>
        </w:rPr>
        <w:t>j</w:t>
      </w:r>
      <w:r w:rsidRPr="00321B46">
        <w:rPr>
          <w:iCs/>
        </w:rPr>
        <w:t>,</w:t>
      </w:r>
      <w:r w:rsidRPr="00321B46">
        <w:t xml:space="preserve"> en el año </w:t>
      </w:r>
      <w:r w:rsidRPr="00321B46">
        <w:rPr>
          <w:i/>
        </w:rPr>
        <w:t>t.</w:t>
      </w:r>
    </w:p>
    <w:p w14:paraId="2C11DC7F" w14:textId="77777777" w:rsidR="00044E99" w:rsidRPr="00321B46" w:rsidRDefault="00044E99" w:rsidP="00F30BCA">
      <w:pPr>
        <w:ind w:left="1410" w:hanging="1410"/>
      </w:pPr>
      <w:r w:rsidRPr="00321B46">
        <w:rPr>
          <w:i/>
          <w:iCs/>
        </w:rPr>
        <w:t>RCBIA</w:t>
      </w:r>
      <w:r w:rsidRPr="00321B46">
        <w:rPr>
          <w:i/>
          <w:iCs/>
          <w:vertAlign w:val="subscript"/>
        </w:rPr>
        <w:t>j,t</w:t>
      </w:r>
      <w:r w:rsidRPr="00321B46">
        <w:t>:</w:t>
      </w:r>
      <w:r w:rsidRPr="00321B46">
        <w:tab/>
        <w:t xml:space="preserve">Recuperación de capital reconocida para los activos incluidos en la base regulatoria inicial de activos del TN </w:t>
      </w:r>
      <w:r w:rsidRPr="00321B46">
        <w:rPr>
          <w:i/>
        </w:rPr>
        <w:t>j</w:t>
      </w:r>
      <w:r w:rsidRPr="00321B46">
        <w:rPr>
          <w:iCs/>
        </w:rPr>
        <w:t>,</w:t>
      </w:r>
      <w:r w:rsidRPr="00321B46">
        <w:t xml:space="preserve"> en el año </w:t>
      </w:r>
      <w:r w:rsidRPr="00321B46">
        <w:rPr>
          <w:i/>
        </w:rPr>
        <w:t>t.</w:t>
      </w:r>
      <w:r w:rsidRPr="00321B46">
        <w:t xml:space="preserve"> </w:t>
      </w:r>
    </w:p>
    <w:p w14:paraId="4444CB81" w14:textId="77777777" w:rsidR="00044E99" w:rsidRPr="00321B46" w:rsidRDefault="00044E99" w:rsidP="00F30BCA">
      <w:pPr>
        <w:ind w:left="1410" w:hanging="1410"/>
        <w:rPr>
          <w:i/>
        </w:rPr>
      </w:pPr>
      <w:r w:rsidRPr="00321B46">
        <w:rPr>
          <w:i/>
          <w:iCs/>
        </w:rPr>
        <w:t>RCNA</w:t>
      </w:r>
      <w:r w:rsidRPr="00321B46">
        <w:rPr>
          <w:i/>
          <w:iCs/>
          <w:vertAlign w:val="subscript"/>
        </w:rPr>
        <w:t>j,t</w:t>
      </w:r>
      <w:r w:rsidRPr="00321B46">
        <w:t>:</w:t>
      </w:r>
      <w:r w:rsidRPr="00321B46">
        <w:tab/>
        <w:t xml:space="preserve">Recuperación de capital reconocida para los activos del TN </w:t>
      </w:r>
      <w:r w:rsidRPr="00321B46">
        <w:rPr>
          <w:i/>
        </w:rPr>
        <w:t>j</w:t>
      </w:r>
      <w:r w:rsidRPr="00321B46">
        <w:t xml:space="preserve"> que entraron en operación a partir de la fecha de corte, en el año </w:t>
      </w:r>
      <w:r w:rsidRPr="00321B46">
        <w:rPr>
          <w:i/>
        </w:rPr>
        <w:t>t.</w:t>
      </w:r>
    </w:p>
    <w:p w14:paraId="0B021B17" w14:textId="77777777" w:rsidR="00F655F7" w:rsidRPr="00321B46" w:rsidRDefault="00F655F7" w:rsidP="00F30BCA">
      <w:pPr>
        <w:ind w:left="1410" w:hanging="1410"/>
        <w:rPr>
          <w:i/>
        </w:rPr>
      </w:pPr>
    </w:p>
    <w:p w14:paraId="145E31C6" w14:textId="77777777" w:rsidR="00044E99" w:rsidRPr="00321B46" w:rsidRDefault="00044E99" w:rsidP="0004502D">
      <w:pPr>
        <w:pStyle w:val="Ttulo3"/>
      </w:pPr>
      <w:bookmarkStart w:id="99" w:name="_Toc444667162"/>
      <w:bookmarkStart w:id="100" w:name="_Toc408493141"/>
      <w:bookmarkStart w:id="101" w:name="_Toc444667163"/>
      <w:bookmarkStart w:id="102" w:name="_Toc445214065"/>
      <w:bookmarkStart w:id="103" w:name="_Toc466392626"/>
      <w:bookmarkEnd w:id="99"/>
      <w:r w:rsidRPr="00321B46">
        <w:t>Recuperación de capital de activos de la BRA inicial</w:t>
      </w:r>
      <w:bookmarkEnd w:id="100"/>
      <w:bookmarkEnd w:id="101"/>
      <w:bookmarkEnd w:id="102"/>
      <w:bookmarkEnd w:id="103"/>
    </w:p>
    <w:p w14:paraId="7CA83ACA" w14:textId="77777777" w:rsidR="00044E99" w:rsidRPr="00321B46" w:rsidRDefault="00044E99" w:rsidP="00F30BCA">
      <w:pPr>
        <w:ind w:left="1410" w:hanging="1410"/>
      </w:pPr>
      <w:r w:rsidRPr="00321B46">
        <w:t xml:space="preserve">La variable </w:t>
      </w:r>
      <w:r w:rsidRPr="00321B46">
        <w:rPr>
          <w:i/>
          <w:iCs/>
        </w:rPr>
        <w:t>RCBIA</w:t>
      </w:r>
      <w:r w:rsidRPr="00321B46">
        <w:rPr>
          <w:i/>
          <w:iCs/>
          <w:vertAlign w:val="subscript"/>
        </w:rPr>
        <w:t>j,t</w:t>
      </w:r>
      <w:r w:rsidRPr="00321B46">
        <w:t xml:space="preserve"> se calcula de la siguiente manera:</w:t>
      </w:r>
    </w:p>
    <w:p w14:paraId="5CE44A9F" w14:textId="75D43084" w:rsidR="00044E99" w:rsidRPr="00321B46" w:rsidRDefault="00651802" w:rsidP="00F30BCA">
      <m:oMathPara>
        <m:oMath>
          <m:sSub>
            <m:sSubPr>
              <m:ctrlPr>
                <w:rPr>
                  <w:rFonts w:ascii="Cambria Math" w:hAnsi="Cambria Math"/>
                  <w:i/>
                </w:rPr>
              </m:ctrlPr>
            </m:sSubPr>
            <m:e>
              <m:r>
                <w:rPr>
                  <w:rFonts w:ascii="Cambria Math" w:hAnsi="Cambria Math"/>
                </w:rPr>
                <m:t>RCBIA</m:t>
              </m:r>
            </m:e>
            <m:sub>
              <m:r>
                <w:rPr>
                  <w:rFonts w:ascii="Cambria Math" w:hAnsi="Cambria Math"/>
                </w:rPr>
                <m:t>j</m:t>
              </m:r>
              <m:r>
                <w:rPr>
                  <w:rFonts w:ascii="Cambria Math"/>
                </w:rPr>
                <m:t>,t</m:t>
              </m:r>
            </m:sub>
          </m:sSub>
          <m:r>
            <w:rPr>
              <w:rFonts w:ascii="Cambria Math"/>
            </w:rPr>
            <m:t>=</m:t>
          </m:r>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k=1</m:t>
                  </m:r>
                </m:sub>
                <m:sup>
                  <m:sSub>
                    <m:sSubPr>
                      <m:ctrlPr>
                        <w:rPr>
                          <w:rFonts w:ascii="Cambria Math" w:hAnsi="Cambria Math"/>
                          <w:i/>
                        </w:rPr>
                      </m:ctrlPr>
                    </m:sSubPr>
                    <m:e>
                      <m:r>
                        <w:rPr>
                          <w:rFonts w:ascii="Cambria Math" w:hAnsi="Cambria Math"/>
                        </w:rPr>
                        <m:t>K</m:t>
                      </m:r>
                    </m:e>
                    <m:sub/>
                  </m:sSub>
                </m:sup>
                <m:e>
                  <m:nary>
                    <m:naryPr>
                      <m:chr m:val="∑"/>
                      <m:limLoc m:val="undOvr"/>
                      <m:ctrlPr>
                        <w:rPr>
                          <w:rFonts w:ascii="Cambria Math" w:hAnsi="Cambria Math"/>
                          <w:i/>
                        </w:rPr>
                      </m:ctrlPr>
                    </m:naryPr>
                    <m:sub>
                      <m:r>
                        <w:rPr>
                          <w:rFonts w:ascii="Cambria Math" w:hAnsi="Cambria Math"/>
                        </w:rPr>
                        <m:t>l=1</m:t>
                      </m:r>
                    </m:sub>
                    <m:sup>
                      <m:sSub>
                        <m:sSubPr>
                          <m:ctrlPr>
                            <w:rPr>
                              <w:rFonts w:ascii="Cambria Math" w:hAnsi="Cambria Math"/>
                              <w:i/>
                            </w:rPr>
                          </m:ctrlPr>
                        </m:sSubPr>
                        <m:e>
                          <m:r>
                            <w:rPr>
                              <w:rFonts w:ascii="Cambria Math" w:hAnsi="Cambria Math"/>
                            </w:rPr>
                            <m:t>L</m:t>
                          </m:r>
                        </m:e>
                        <m:sub/>
                      </m:sSub>
                    </m:sup>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CRE</m:t>
                                  </m:r>
                                </m:e>
                                <m:sub>
                                  <m:r>
                                    <w:rPr>
                                      <w:rFonts w:ascii="Cambria Math" w:hAnsi="Cambria Math"/>
                                    </w:rPr>
                                    <m:t>j,k,l</m:t>
                                  </m:r>
                                </m:sub>
                              </m:sSub>
                              <m:sSub>
                                <m:sSubPr>
                                  <m:ctrlPr>
                                    <w:rPr>
                                      <w:rFonts w:ascii="Cambria Math" w:hAnsi="Cambria Math"/>
                                      <w:i/>
                                    </w:rPr>
                                  </m:ctrlPr>
                                </m:sSubPr>
                                <m:e>
                                  <m:r>
                                    <w:rPr>
                                      <w:rFonts w:ascii="Cambria Math" w:hAnsi="Cambria Math"/>
                                    </w:rPr>
                                    <m:t>*CRA</m:t>
                                  </m:r>
                                </m:e>
                                <m:sub>
                                  <m:r>
                                    <w:rPr>
                                      <w:rFonts w:ascii="Cambria Math"/>
                                    </w:rPr>
                                    <m:t>l,vu</m:t>
                                  </m:r>
                                </m:sub>
                              </m:sSub>
                            </m:e>
                          </m:d>
                          <m:r>
                            <w:rPr>
                              <w:rFonts w:ascii="Cambria Math" w:hAnsi="Cambria Math"/>
                            </w:rPr>
                            <m:t>*(1+NE)</m:t>
                          </m:r>
                        </m:num>
                        <m:den>
                          <m:sSub>
                            <m:sSubPr>
                              <m:ctrlPr>
                                <w:rPr>
                                  <w:rFonts w:ascii="Cambria Math" w:hAnsi="Cambria Math"/>
                                  <w:i/>
                                </w:rPr>
                              </m:ctrlPr>
                            </m:sSubPr>
                            <m:e>
                              <m:r>
                                <w:rPr>
                                  <w:rFonts w:ascii="Cambria Math"/>
                                </w:rPr>
                                <m:t>VU</m:t>
                              </m:r>
                            </m:e>
                            <m:sub>
                              <m:r>
                                <w:rPr>
                                  <w:rFonts w:ascii="Cambria Math"/>
                                </w:rPr>
                                <m:t>k</m:t>
                              </m:r>
                            </m:sub>
                          </m:sSub>
                          <m:r>
                            <w:rPr>
                              <w:rFonts w:ascii="Cambria Math"/>
                            </w:rPr>
                            <m:t>-</m:t>
                          </m:r>
                          <m:sSub>
                            <m:sSubPr>
                              <m:ctrlPr>
                                <w:rPr>
                                  <w:rFonts w:ascii="Cambria Math" w:hAnsi="Cambria Math"/>
                                  <w:i/>
                                </w:rPr>
                              </m:ctrlPr>
                            </m:sSubPr>
                            <m:e>
                              <m:r>
                                <w:rPr>
                                  <w:rFonts w:ascii="Cambria Math"/>
                                </w:rPr>
                                <m:t>AR</m:t>
                              </m:r>
                            </m:e>
                            <m:sub>
                              <m:r>
                                <w:rPr>
                                  <w:rFonts w:ascii="Cambria Math"/>
                                </w:rPr>
                                <m:t>l</m:t>
                              </m:r>
                            </m:sub>
                          </m:sSub>
                        </m:den>
                      </m:f>
                    </m:e>
                  </m:nary>
                </m:e>
              </m:nary>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IPP</m:t>
                  </m:r>
                </m:e>
                <m:sub>
                  <m:r>
                    <w:rPr>
                      <w:rFonts w:ascii="Cambria Math" w:hAnsi="Cambria Math"/>
                    </w:rPr>
                    <m:t>FC</m:t>
                  </m:r>
                </m:sub>
              </m:sSub>
            </m:num>
            <m:den>
              <m:sSub>
                <m:sSubPr>
                  <m:ctrlPr>
                    <w:rPr>
                      <w:rFonts w:ascii="Cambria Math" w:hAnsi="Cambria Math"/>
                      <w:i/>
                    </w:rPr>
                  </m:ctrlPr>
                </m:sSubPr>
                <m:e>
                  <m:r>
                    <w:rPr>
                      <w:rFonts w:ascii="Cambria Math" w:hAnsi="Cambria Math"/>
                    </w:rPr>
                    <m:t>IPP</m:t>
                  </m:r>
                </m:e>
                <m:sub>
                  <m:r>
                    <w:rPr>
                      <w:rFonts w:ascii="Cambria Math"/>
                    </w:rPr>
                    <m:t>08</m:t>
                  </m:r>
                </m:sub>
              </m:sSub>
            </m:den>
          </m:f>
        </m:oMath>
      </m:oMathPara>
    </w:p>
    <w:p w14:paraId="3D0F9DB0" w14:textId="77777777" w:rsidR="00044E99" w:rsidRPr="00321B46" w:rsidRDefault="00044E99" w:rsidP="00F30BCA">
      <w:r w:rsidRPr="00321B46">
        <w:t>Donde:</w:t>
      </w:r>
    </w:p>
    <w:p w14:paraId="1B21404E" w14:textId="77777777" w:rsidR="00FB0F2C" w:rsidRPr="00321B46" w:rsidRDefault="00FB0F2C" w:rsidP="00F30BCA">
      <w:pPr>
        <w:ind w:left="1410" w:hanging="1410"/>
      </w:pPr>
      <w:r w:rsidRPr="00321B46">
        <w:rPr>
          <w:i/>
          <w:iCs/>
        </w:rPr>
        <w:t>RCBIA</w:t>
      </w:r>
      <w:r w:rsidRPr="00321B46">
        <w:rPr>
          <w:i/>
          <w:iCs/>
          <w:vertAlign w:val="subscript"/>
        </w:rPr>
        <w:t>j,t</w:t>
      </w:r>
      <w:r w:rsidRPr="00321B46">
        <w:t>:</w:t>
      </w:r>
      <w:r w:rsidRPr="00321B46">
        <w:tab/>
        <w:t xml:space="preserve">Recuperación de capital reconocida para los activos incluidos en la base regulatoria inicial de activos del TN </w:t>
      </w:r>
      <w:r w:rsidRPr="00321B46">
        <w:rPr>
          <w:i/>
        </w:rPr>
        <w:t>j</w:t>
      </w:r>
      <w:r w:rsidRPr="00321B46">
        <w:rPr>
          <w:iCs/>
        </w:rPr>
        <w:t>,</w:t>
      </w:r>
      <w:r w:rsidRPr="00321B46">
        <w:t xml:space="preserve"> en el año </w:t>
      </w:r>
      <w:r w:rsidRPr="00321B46">
        <w:rPr>
          <w:i/>
        </w:rPr>
        <w:t>t.</w:t>
      </w:r>
      <w:r w:rsidRPr="00321B46">
        <w:t xml:space="preserve"> </w:t>
      </w:r>
    </w:p>
    <w:p w14:paraId="65ACC23B" w14:textId="3CF73472" w:rsidR="00FB0F2C" w:rsidRPr="00321B46" w:rsidRDefault="00FB0F2C" w:rsidP="00F30BCA">
      <w:pPr>
        <w:spacing w:before="120"/>
        <w:ind w:left="1418" w:hanging="1418"/>
      </w:pPr>
      <w:r w:rsidRPr="00321B46">
        <w:rPr>
          <w:i/>
          <w:iCs/>
        </w:rPr>
        <w:t>CRE</w:t>
      </w:r>
      <w:r w:rsidRPr="00321B46">
        <w:rPr>
          <w:i/>
          <w:iCs/>
          <w:vertAlign w:val="subscript"/>
        </w:rPr>
        <w:t>j,k,l</w:t>
      </w:r>
      <w:r w:rsidRPr="00321B46">
        <w:t>:</w:t>
      </w:r>
      <w:r w:rsidRPr="00321B46">
        <w:tab/>
        <w:t>Costo de reposición de la inversión, aprobado al TN </w:t>
      </w:r>
      <w:r w:rsidRPr="00321B46">
        <w:rPr>
          <w:i/>
        </w:rPr>
        <w:t>j</w:t>
      </w:r>
      <w:r w:rsidRPr="00321B46">
        <w:t xml:space="preserve"> en aplicación de la metodología de la Resolución CREG 011 de 2009, para el rango de activos </w:t>
      </w:r>
      <w:r w:rsidRPr="00321B46">
        <w:rPr>
          <w:i/>
        </w:rPr>
        <w:t>l</w:t>
      </w:r>
      <w:r w:rsidRPr="00321B46">
        <w:t xml:space="preserve"> y la categoría de activos </w:t>
      </w:r>
      <w:r w:rsidRPr="00321B46">
        <w:rPr>
          <w:i/>
        </w:rPr>
        <w:t>k</w:t>
      </w:r>
      <w:r w:rsidRPr="00321B46">
        <w:t xml:space="preserve">, de acuerdo con lo establecido en el numeral </w:t>
      </w:r>
      <w:r w:rsidR="00581248" w:rsidRPr="00321B46">
        <w:fldChar w:fldCharType="begin"/>
      </w:r>
      <w:r w:rsidR="00581248" w:rsidRPr="00321B46">
        <w:instrText xml:space="preserve"> REF _Ref465925850 \r \h </w:instrText>
      </w:r>
      <w:r w:rsidR="00321B46">
        <w:instrText xml:space="preserve"> \* MERGEFORMAT </w:instrText>
      </w:r>
      <w:r w:rsidR="00581248" w:rsidRPr="00321B46">
        <w:fldChar w:fldCharType="separate"/>
      </w:r>
      <w:r w:rsidR="000F355F">
        <w:t>2.2.1.3</w:t>
      </w:r>
      <w:r w:rsidR="00581248" w:rsidRPr="00321B46">
        <w:fldChar w:fldCharType="end"/>
      </w:r>
      <w:r w:rsidRPr="00321B46">
        <w:t>.</w:t>
      </w:r>
    </w:p>
    <w:p w14:paraId="2FA43FBB" w14:textId="3E243F93" w:rsidR="00FB0F2C" w:rsidRPr="00321B46" w:rsidRDefault="00FB0F2C" w:rsidP="00F30BCA">
      <w:pPr>
        <w:tabs>
          <w:tab w:val="left" w:pos="1418"/>
        </w:tabs>
        <w:spacing w:before="120"/>
        <w:ind w:left="1418" w:hanging="1418"/>
      </w:pPr>
      <w:r w:rsidRPr="00321B46">
        <w:rPr>
          <w:i/>
          <w:iCs/>
        </w:rPr>
        <w:t>CRA</w:t>
      </w:r>
      <w:r w:rsidRPr="00321B46">
        <w:rPr>
          <w:i/>
          <w:iCs/>
          <w:vertAlign w:val="subscript"/>
        </w:rPr>
        <w:t>l,vu</w:t>
      </w:r>
      <w:r w:rsidRPr="00321B46">
        <w:rPr>
          <w:i/>
          <w:iCs/>
        </w:rPr>
        <w:t>:</w:t>
      </w:r>
      <w:r w:rsidRPr="00321B46">
        <w:tab/>
      </w:r>
      <w:r w:rsidR="00EE1DE7" w:rsidRPr="00321B46">
        <w:t xml:space="preserve">Factor de capital </w:t>
      </w:r>
      <w:r w:rsidRPr="00321B46">
        <w:t xml:space="preserve">remanente de los activos del TN </w:t>
      </w:r>
      <w:r w:rsidRPr="00321B46">
        <w:rPr>
          <w:i/>
        </w:rPr>
        <w:t>j,</w:t>
      </w:r>
      <w:r w:rsidRPr="00321B46">
        <w:t xml:space="preserve"> para el rango de activos </w:t>
      </w:r>
      <w:r w:rsidRPr="00321B46">
        <w:rPr>
          <w:i/>
        </w:rPr>
        <w:t xml:space="preserve">l </w:t>
      </w:r>
      <w:r w:rsidRPr="00321B46">
        <w:t xml:space="preserve">con vida útil </w:t>
      </w:r>
      <w:r w:rsidRPr="00321B46">
        <w:rPr>
          <w:i/>
        </w:rPr>
        <w:t>vu</w:t>
      </w:r>
      <w:r w:rsidRPr="00321B46">
        <w:t xml:space="preserve">, de acuerdo con lo establecido en el numeral </w:t>
      </w:r>
      <w:r w:rsidRPr="00321B46">
        <w:fldChar w:fldCharType="begin"/>
      </w:r>
      <w:r w:rsidRPr="00321B46">
        <w:instrText xml:space="preserve"> REF _Ref439948508 \r \h </w:instrText>
      </w:r>
      <w:r w:rsidR="003276B5" w:rsidRPr="00321B46">
        <w:instrText xml:space="preserve"> \* MERGEFORMAT </w:instrText>
      </w:r>
      <w:r w:rsidRPr="00321B46">
        <w:fldChar w:fldCharType="separate"/>
      </w:r>
      <w:r w:rsidR="000F355F">
        <w:t>2.2.1.4</w:t>
      </w:r>
      <w:r w:rsidRPr="00321B46">
        <w:fldChar w:fldCharType="end"/>
      </w:r>
      <w:r w:rsidRPr="00321B46">
        <w:t>.</w:t>
      </w:r>
    </w:p>
    <w:p w14:paraId="4B2DAACC" w14:textId="77777777" w:rsidR="00FB0F2C" w:rsidRPr="00321B46" w:rsidRDefault="00FB0F2C" w:rsidP="00F30BCA">
      <w:pPr>
        <w:spacing w:before="120"/>
        <w:ind w:left="1418" w:hanging="1418"/>
      </w:pPr>
      <w:r w:rsidRPr="00321B46">
        <w:rPr>
          <w:i/>
          <w:iCs/>
        </w:rPr>
        <w:t>NE</w:t>
      </w:r>
      <w:r w:rsidRPr="00321B46">
        <w:t>:</w:t>
      </w:r>
      <w:r w:rsidRPr="00321B46">
        <w:tab/>
        <w:t>Fracción de la base regulatoria de activos eléctricos, que se reconoce como activos no eléctricos, es igual a 0,02.</w:t>
      </w:r>
    </w:p>
    <w:p w14:paraId="31FE20FD" w14:textId="1C381A21" w:rsidR="00D71070" w:rsidRPr="00321B46" w:rsidRDefault="00D71070" w:rsidP="00F30BCA">
      <w:pPr>
        <w:ind w:left="1416" w:hanging="1416"/>
        <w:rPr>
          <w:i/>
        </w:rPr>
      </w:pPr>
      <w:r w:rsidRPr="00321B46">
        <w:rPr>
          <w:i/>
        </w:rPr>
        <w:t>VU</w:t>
      </w:r>
      <w:r w:rsidRPr="00321B46">
        <w:rPr>
          <w:i/>
          <w:vertAlign w:val="subscript"/>
        </w:rPr>
        <w:t>k</w:t>
      </w:r>
      <w:r w:rsidRPr="00321B46">
        <w:rPr>
          <w:color w:val="000000" w:themeColor="text1"/>
        </w:rPr>
        <w:t xml:space="preserve">: </w:t>
      </w:r>
      <w:r w:rsidRPr="00321B46">
        <w:rPr>
          <w:color w:val="000000" w:themeColor="text1"/>
        </w:rPr>
        <w:tab/>
        <w:t xml:space="preserve">Vida útil </w:t>
      </w:r>
      <w:r w:rsidR="00EE1DE7" w:rsidRPr="00321B46">
        <w:rPr>
          <w:color w:val="000000" w:themeColor="text1"/>
        </w:rPr>
        <w:t xml:space="preserve">reconocida </w:t>
      </w:r>
      <w:r w:rsidRPr="00321B46">
        <w:rPr>
          <w:color w:val="000000" w:themeColor="text1"/>
        </w:rPr>
        <w:t xml:space="preserve">de la unidad constructiva </w:t>
      </w:r>
      <w:r w:rsidRPr="00321B46">
        <w:rPr>
          <w:i/>
          <w:color w:val="000000" w:themeColor="text1"/>
        </w:rPr>
        <w:t xml:space="preserve">i </w:t>
      </w:r>
      <w:r w:rsidRPr="00321B46">
        <w:rPr>
          <w:color w:val="000000" w:themeColor="text1"/>
        </w:rPr>
        <w:t xml:space="preserve">perteneciente a la categoría de activos </w:t>
      </w:r>
      <w:r w:rsidRPr="00321B46">
        <w:rPr>
          <w:i/>
          <w:color w:val="000000" w:themeColor="text1"/>
        </w:rPr>
        <w:t>k</w:t>
      </w:r>
      <w:r w:rsidRPr="00321B46">
        <w:rPr>
          <w:color w:val="000000" w:themeColor="text1"/>
        </w:rPr>
        <w:t xml:space="preserve">, según lo establecido </w:t>
      </w:r>
      <w:r w:rsidR="003C5544" w:rsidRPr="00321B46">
        <w:t xml:space="preserve">en </w:t>
      </w:r>
      <w:r w:rsidR="00A203B5" w:rsidRPr="00321B46">
        <w:t xml:space="preserve">el numeral </w:t>
      </w:r>
      <w:r w:rsidR="00A203B5" w:rsidRPr="00321B46">
        <w:fldChar w:fldCharType="begin"/>
      </w:r>
      <w:r w:rsidR="00A203B5" w:rsidRPr="00321B46">
        <w:instrText xml:space="preserve"> REF _Ref445370460 \r \h </w:instrText>
      </w:r>
      <w:r w:rsidR="00321B46">
        <w:instrText xml:space="preserve"> \* MERGEFORMAT </w:instrText>
      </w:r>
      <w:r w:rsidR="00A203B5" w:rsidRPr="00321B46">
        <w:fldChar w:fldCharType="separate"/>
      </w:r>
      <w:r w:rsidR="000F355F">
        <w:t>7.5</w:t>
      </w:r>
      <w:r w:rsidR="00A203B5" w:rsidRPr="00321B46">
        <w:fldChar w:fldCharType="end"/>
      </w:r>
      <w:r w:rsidR="00185DBD">
        <w:t>.</w:t>
      </w:r>
    </w:p>
    <w:p w14:paraId="7D444B52" w14:textId="0950F062" w:rsidR="00FB0F2C" w:rsidRPr="00321B46" w:rsidRDefault="00FB0F2C" w:rsidP="00F30BCA">
      <w:pPr>
        <w:spacing w:before="120"/>
        <w:ind w:left="1418" w:hanging="1418"/>
      </w:pPr>
      <w:r w:rsidRPr="00321B46">
        <w:rPr>
          <w:i/>
        </w:rPr>
        <w:t>AR</w:t>
      </w:r>
      <w:r w:rsidR="00D71070" w:rsidRPr="00321B46">
        <w:rPr>
          <w:i/>
          <w:vertAlign w:val="subscript"/>
        </w:rPr>
        <w:t>l</w:t>
      </w:r>
      <w:r w:rsidRPr="00321B46">
        <w:t>:</w:t>
      </w:r>
      <w:r w:rsidRPr="00321B46">
        <w:tab/>
        <w:t xml:space="preserve">Antigüedad de referencia del rango de activos </w:t>
      </w:r>
      <w:r w:rsidR="00D71070" w:rsidRPr="00321B46">
        <w:rPr>
          <w:i/>
        </w:rPr>
        <w:t>l</w:t>
      </w:r>
      <w:r w:rsidRPr="00321B46">
        <w:rPr>
          <w:color w:val="000000" w:themeColor="text1"/>
        </w:rPr>
        <w:t>, según lo establecido en la</w:t>
      </w:r>
      <w:r w:rsidRPr="00321B46">
        <w:t xml:space="preserve"> </w:t>
      </w:r>
      <w:r w:rsidR="00D71070" w:rsidRPr="00321B46">
        <w:fldChar w:fldCharType="begin"/>
      </w:r>
      <w:r w:rsidR="00D71070" w:rsidRPr="00321B46">
        <w:instrText xml:space="preserve"> REF _Ref445366524 \h </w:instrText>
      </w:r>
      <w:r w:rsidR="003276B5" w:rsidRPr="00321B46">
        <w:instrText xml:space="preserve"> \* MERGEFORMAT </w:instrText>
      </w:r>
      <w:r w:rsidR="00D71070" w:rsidRPr="00321B46">
        <w:fldChar w:fldCharType="separate"/>
      </w:r>
      <w:r w:rsidR="000F355F" w:rsidRPr="00321B46">
        <w:t xml:space="preserve">Tabla </w:t>
      </w:r>
      <w:r w:rsidR="000F355F">
        <w:rPr>
          <w:noProof/>
        </w:rPr>
        <w:t>1</w:t>
      </w:r>
      <w:r w:rsidR="00D71070" w:rsidRPr="00321B46">
        <w:fldChar w:fldCharType="end"/>
      </w:r>
      <w:r w:rsidRPr="00321B46">
        <w:t>.</w:t>
      </w:r>
    </w:p>
    <w:p w14:paraId="400A7895" w14:textId="77777777" w:rsidR="00FB0F2C" w:rsidRPr="00321B46" w:rsidRDefault="00FB0F2C" w:rsidP="00F30BCA">
      <w:pPr>
        <w:tabs>
          <w:tab w:val="left" w:pos="1418"/>
        </w:tabs>
        <w:spacing w:before="120"/>
        <w:ind w:left="1418" w:hanging="1418"/>
      </w:pPr>
      <w:r w:rsidRPr="00321B46">
        <w:rPr>
          <w:i/>
          <w:iCs/>
        </w:rPr>
        <w:t>K:</w:t>
      </w:r>
      <w:r w:rsidRPr="00321B46">
        <w:t xml:space="preserve"> </w:t>
      </w:r>
      <w:r w:rsidRPr="00321B46">
        <w:tab/>
        <w:t>Cantidad de categorías de activos.</w:t>
      </w:r>
    </w:p>
    <w:p w14:paraId="6CC0C644" w14:textId="77777777" w:rsidR="00FB0F2C" w:rsidRPr="00321B46" w:rsidRDefault="00FB0F2C" w:rsidP="00F30BCA">
      <w:pPr>
        <w:tabs>
          <w:tab w:val="left" w:pos="1418"/>
        </w:tabs>
        <w:spacing w:before="120"/>
        <w:ind w:left="1418" w:hanging="1418"/>
      </w:pPr>
      <w:r w:rsidRPr="00321B46">
        <w:rPr>
          <w:i/>
          <w:iCs/>
        </w:rPr>
        <w:t>L:</w:t>
      </w:r>
      <w:r w:rsidRPr="00321B46">
        <w:t xml:space="preserve"> </w:t>
      </w:r>
      <w:r w:rsidRPr="00321B46">
        <w:tab/>
        <w:t>Cantidad de rangos de activos.</w:t>
      </w:r>
    </w:p>
    <w:p w14:paraId="3A830C40" w14:textId="77777777" w:rsidR="00044E99" w:rsidRPr="00321B46" w:rsidRDefault="00044E99" w:rsidP="00F30BCA">
      <w:pPr>
        <w:ind w:left="1410" w:hanging="1410"/>
      </w:pPr>
      <w:r w:rsidRPr="00321B46">
        <w:rPr>
          <w:i/>
          <w:iCs/>
        </w:rPr>
        <w:t>IPP</w:t>
      </w:r>
      <w:r w:rsidRPr="00321B46">
        <w:rPr>
          <w:i/>
          <w:iCs/>
          <w:vertAlign w:val="subscript"/>
        </w:rPr>
        <w:t>FC</w:t>
      </w:r>
      <w:r w:rsidRPr="00321B46">
        <w:t>:</w:t>
      </w:r>
      <w:r w:rsidRPr="00321B46">
        <w:tab/>
        <w:t>Índice de precios del productor</w:t>
      </w:r>
      <w:r w:rsidRPr="00321B46" w:rsidDel="004B5F5F">
        <w:t xml:space="preserve"> </w:t>
      </w:r>
      <w:r w:rsidRPr="00321B46">
        <w:t>correspondiente a la fecha de corte.</w:t>
      </w:r>
    </w:p>
    <w:p w14:paraId="5079BC4E" w14:textId="77777777" w:rsidR="00044E99" w:rsidRPr="00321B46" w:rsidRDefault="00044E99" w:rsidP="00F30BCA">
      <w:pPr>
        <w:spacing w:before="120"/>
        <w:ind w:left="1418" w:hanging="1418"/>
      </w:pPr>
      <w:r w:rsidRPr="00321B46">
        <w:rPr>
          <w:i/>
          <w:iCs/>
        </w:rPr>
        <w:t>IPP</w:t>
      </w:r>
      <w:r w:rsidR="00D71070" w:rsidRPr="00321B46">
        <w:rPr>
          <w:i/>
          <w:iCs/>
          <w:vertAlign w:val="subscript"/>
        </w:rPr>
        <w:t>08</w:t>
      </w:r>
      <w:r w:rsidRPr="00321B46">
        <w:t>:</w:t>
      </w:r>
      <w:r w:rsidRPr="00321B46">
        <w:tab/>
        <w:t>Índice de precios del productor correspondiente a diciembre de 200</w:t>
      </w:r>
      <w:r w:rsidR="00D71070" w:rsidRPr="00321B46">
        <w:t>8</w:t>
      </w:r>
      <w:r w:rsidRPr="00321B46">
        <w:t>.</w:t>
      </w:r>
    </w:p>
    <w:p w14:paraId="6939D9FE" w14:textId="427CBCDE" w:rsidR="00044E99" w:rsidRPr="00321B46" w:rsidRDefault="00044E99" w:rsidP="0004502D">
      <w:pPr>
        <w:pStyle w:val="Ttulo3"/>
      </w:pPr>
      <w:bookmarkStart w:id="104" w:name="_Toc444667164"/>
      <w:bookmarkStart w:id="105" w:name="_Toc408493142"/>
      <w:bookmarkStart w:id="106" w:name="_Toc444667165"/>
      <w:bookmarkStart w:id="107" w:name="_Toc445214066"/>
      <w:bookmarkStart w:id="108" w:name="_Toc466392627"/>
      <w:bookmarkEnd w:id="104"/>
      <w:r w:rsidRPr="00321B46">
        <w:t>Recuperación de capital de activos nuevos</w:t>
      </w:r>
      <w:bookmarkEnd w:id="105"/>
      <w:bookmarkEnd w:id="106"/>
      <w:bookmarkEnd w:id="107"/>
      <w:bookmarkEnd w:id="108"/>
    </w:p>
    <w:p w14:paraId="6B6CE76C" w14:textId="77777777" w:rsidR="00044E99" w:rsidRDefault="00044E99" w:rsidP="00F30BCA">
      <w:pPr>
        <w:ind w:left="1410" w:hanging="1410"/>
      </w:pPr>
      <w:r w:rsidRPr="00321B46">
        <w:t xml:space="preserve">La variable </w:t>
      </w:r>
      <w:r w:rsidRPr="00321B46">
        <w:rPr>
          <w:i/>
          <w:iCs/>
        </w:rPr>
        <w:t>RCNA</w:t>
      </w:r>
      <w:r w:rsidRPr="00321B46">
        <w:rPr>
          <w:i/>
          <w:iCs/>
          <w:vertAlign w:val="subscript"/>
        </w:rPr>
        <w:t>j,t</w:t>
      </w:r>
      <w:r w:rsidRPr="00321B46">
        <w:t xml:space="preserve"> se calcula de la siguiente manera:</w:t>
      </w:r>
    </w:p>
    <w:p w14:paraId="6ACBEBEF" w14:textId="77777777" w:rsidR="00684BDF" w:rsidRPr="00321B46" w:rsidRDefault="00684BDF" w:rsidP="00F30BCA">
      <w:pPr>
        <w:ind w:left="1410" w:hanging="1410"/>
      </w:pPr>
    </w:p>
    <w:p w14:paraId="4BF707A1" w14:textId="77777777" w:rsidR="00044E99" w:rsidRPr="00321B46" w:rsidRDefault="00651802" w:rsidP="00F30BCA">
      <m:oMathPara>
        <m:oMath>
          <m:sSub>
            <m:sSubPr>
              <m:ctrlPr>
                <w:rPr>
                  <w:rFonts w:ascii="Cambria Math" w:hAnsi="Cambria Math"/>
                  <w:i/>
                </w:rPr>
              </m:ctrlPr>
            </m:sSubPr>
            <m:e>
              <m:r>
                <w:rPr>
                  <w:rFonts w:ascii="Cambria Math" w:hAnsi="Cambria Math"/>
                </w:rPr>
                <m:t>RCNA</m:t>
              </m:r>
            </m:e>
            <m:sub>
              <m:r>
                <w:rPr>
                  <w:rFonts w:ascii="Cambria Math" w:hAnsi="Cambria Math"/>
                </w:rPr>
                <m:t>j,t</m:t>
              </m:r>
            </m:sub>
          </m:sSub>
          <m:r>
            <w:rPr>
              <w:rFonts w:ascii="Cambria Math"/>
            </w:rPr>
            <m:t>=</m:t>
          </m:r>
          <m:nary>
            <m:naryPr>
              <m:chr m:val="∑"/>
              <m:limLoc m:val="undOvr"/>
              <m:ctrlPr>
                <w:rPr>
                  <w:rFonts w:ascii="Cambria Math" w:hAnsi="Cambria Math"/>
                  <w:i/>
                </w:rPr>
              </m:ctrlPr>
            </m:naryPr>
            <m:sub>
              <m:r>
                <w:rPr>
                  <w:rFonts w:ascii="Cambria Math"/>
                </w:rPr>
                <m:t>t=1</m:t>
              </m:r>
            </m:sub>
            <m:sup>
              <m:r>
                <w:rPr>
                  <w:rFonts w:ascii="Cambria Math"/>
                </w:rPr>
                <m:t>T</m:t>
              </m:r>
            </m:sup>
            <m:e>
              <m:nary>
                <m:naryPr>
                  <m:chr m:val="∑"/>
                  <m:limLoc m:val="undOvr"/>
                  <m:ctrlPr>
                    <w:rPr>
                      <w:rFonts w:ascii="Cambria Math" w:hAnsi="Cambria Math"/>
                      <w:i/>
                    </w:rPr>
                  </m:ctrlPr>
                </m:naryPr>
                <m:sub>
                  <m:r>
                    <w:rPr>
                      <w:rFonts w:ascii="Cambria Math" w:hAnsi="Cambria Math"/>
                    </w:rPr>
                    <m:t>k=1</m:t>
                  </m:r>
                </m:sub>
                <m:sup>
                  <m:r>
                    <w:rPr>
                      <w:rFonts w:ascii="Cambria Math" w:hAnsi="Cambria Math"/>
                    </w:rPr>
                    <m:t>K</m:t>
                  </m:r>
                </m:sup>
                <m:e>
                  <m:sSub>
                    <m:sSubPr>
                      <m:ctrlPr>
                        <w:rPr>
                          <w:rFonts w:ascii="Cambria Math" w:hAnsi="Cambria Math"/>
                          <w:i/>
                        </w:rPr>
                      </m:ctrlPr>
                    </m:sSubPr>
                    <m:e>
                      <m:r>
                        <w:rPr>
                          <w:rFonts w:ascii="Cambria Math"/>
                        </w:rPr>
                        <m:t>RCNA</m:t>
                      </m:r>
                    </m:e>
                    <m:sub>
                      <m:r>
                        <w:rPr>
                          <w:rFonts w:ascii="Cambria Math"/>
                        </w:rPr>
                        <m:t>j,k,t</m:t>
                      </m:r>
                    </m:sub>
                  </m:sSub>
                </m:e>
              </m:nary>
            </m:e>
          </m:nary>
        </m:oMath>
      </m:oMathPara>
    </w:p>
    <w:p w14:paraId="5EEC8CD2" w14:textId="77777777" w:rsidR="00044E99" w:rsidRPr="00321B46" w:rsidRDefault="00044E99" w:rsidP="00F30BCA">
      <w:r w:rsidRPr="00321B46">
        <w:t>Donde:</w:t>
      </w:r>
    </w:p>
    <w:p w14:paraId="33E32C42" w14:textId="74116A9B" w:rsidR="00790D8E" w:rsidRPr="00321B46" w:rsidRDefault="00790D8E" w:rsidP="00F30BCA">
      <w:pPr>
        <w:ind w:left="1410" w:hanging="1410"/>
        <w:rPr>
          <w:i/>
        </w:rPr>
      </w:pPr>
      <w:r w:rsidRPr="00321B46">
        <w:rPr>
          <w:i/>
          <w:iCs/>
        </w:rPr>
        <w:t>RCNA</w:t>
      </w:r>
      <w:r w:rsidRPr="00321B46">
        <w:rPr>
          <w:i/>
          <w:iCs/>
          <w:vertAlign w:val="subscript"/>
        </w:rPr>
        <w:t>j,t</w:t>
      </w:r>
      <w:r w:rsidRPr="00321B46">
        <w:t>:</w:t>
      </w:r>
      <w:r w:rsidRPr="00321B46">
        <w:tab/>
        <w:t xml:space="preserve">Recuperación de capital reconocida para los activos del TN </w:t>
      </w:r>
      <w:r w:rsidRPr="00321B46">
        <w:rPr>
          <w:i/>
        </w:rPr>
        <w:t>j</w:t>
      </w:r>
      <w:r w:rsidRPr="00321B46">
        <w:t xml:space="preserve"> que entraron en operación en el año </w:t>
      </w:r>
      <w:r w:rsidRPr="00321B46">
        <w:rPr>
          <w:i/>
        </w:rPr>
        <w:t>t.</w:t>
      </w:r>
    </w:p>
    <w:p w14:paraId="2D259CE5" w14:textId="77777777" w:rsidR="00044E99" w:rsidRPr="00321B46" w:rsidRDefault="00044E99" w:rsidP="00F30BCA">
      <w:pPr>
        <w:ind w:left="1416" w:hanging="1416"/>
        <w:rPr>
          <w:i/>
        </w:rPr>
      </w:pPr>
      <w:r w:rsidRPr="00321B46">
        <w:rPr>
          <w:i/>
        </w:rPr>
        <w:t>T</w:t>
      </w:r>
      <w:r w:rsidRPr="00321B46">
        <w:t>:</w:t>
      </w:r>
      <w:r w:rsidRPr="00321B46">
        <w:tab/>
        <w:t>Años de aplicación de la metodología definida en esta resolución.</w:t>
      </w:r>
    </w:p>
    <w:p w14:paraId="1700CA85" w14:textId="1305E99D" w:rsidR="00044E99" w:rsidRPr="00321B46" w:rsidRDefault="00974CEF" w:rsidP="00F30BCA">
      <w:pPr>
        <w:ind w:left="1416" w:hanging="1416"/>
      </w:pPr>
      <w:r w:rsidRPr="00321B46">
        <w:rPr>
          <w:i/>
        </w:rPr>
        <w:t>K</w:t>
      </w:r>
      <w:r w:rsidR="00044E99" w:rsidRPr="00321B46">
        <w:rPr>
          <w:i/>
        </w:rPr>
        <w:t xml:space="preserve">: </w:t>
      </w:r>
      <w:r w:rsidR="00044E99" w:rsidRPr="00321B46">
        <w:rPr>
          <w:i/>
        </w:rPr>
        <w:tab/>
      </w:r>
      <w:r w:rsidR="00044E99" w:rsidRPr="00321B46">
        <w:t>Cantidad de categorías de activos</w:t>
      </w:r>
      <w:r w:rsidR="0030379F" w:rsidRPr="00321B46">
        <w:rPr>
          <w:color w:val="000000" w:themeColor="text1"/>
        </w:rPr>
        <w:t xml:space="preserve">, según lo establecido </w:t>
      </w:r>
      <w:r w:rsidR="0030379F" w:rsidRPr="00321B46">
        <w:t xml:space="preserve">en el numeral </w:t>
      </w:r>
      <w:r w:rsidR="0030379F" w:rsidRPr="00321B46">
        <w:fldChar w:fldCharType="begin"/>
      </w:r>
      <w:r w:rsidR="0030379F" w:rsidRPr="00321B46">
        <w:instrText xml:space="preserve"> REF _Ref445370460 \r \h </w:instrText>
      </w:r>
      <w:r w:rsidR="00321B46">
        <w:instrText xml:space="preserve"> \* MERGEFORMAT </w:instrText>
      </w:r>
      <w:r w:rsidR="0030379F" w:rsidRPr="00321B46">
        <w:fldChar w:fldCharType="separate"/>
      </w:r>
      <w:r w:rsidR="000F355F">
        <w:t>7.5</w:t>
      </w:r>
      <w:r w:rsidR="0030379F" w:rsidRPr="00321B46">
        <w:fldChar w:fldCharType="end"/>
      </w:r>
      <w:r w:rsidR="00044E99" w:rsidRPr="00321B46">
        <w:t>.</w:t>
      </w:r>
    </w:p>
    <w:p w14:paraId="2B47366A" w14:textId="2B547AE0" w:rsidR="00044E99" w:rsidRPr="00321B46" w:rsidRDefault="00044E99" w:rsidP="00F30BCA">
      <w:pPr>
        <w:ind w:left="1416" w:hanging="1416"/>
      </w:pPr>
      <w:r w:rsidRPr="00321B46">
        <w:rPr>
          <w:i/>
        </w:rPr>
        <w:t>RCNA</w:t>
      </w:r>
      <w:r w:rsidRPr="00321B46">
        <w:rPr>
          <w:i/>
          <w:vertAlign w:val="subscript"/>
        </w:rPr>
        <w:t>j,</w:t>
      </w:r>
      <w:r w:rsidR="00974CEF" w:rsidRPr="00321B46">
        <w:rPr>
          <w:i/>
          <w:vertAlign w:val="subscript"/>
        </w:rPr>
        <w:t>k</w:t>
      </w:r>
      <w:r w:rsidRPr="00321B46">
        <w:rPr>
          <w:i/>
          <w:vertAlign w:val="subscript"/>
        </w:rPr>
        <w:t>,t</w:t>
      </w:r>
      <w:r w:rsidRPr="00321B46">
        <w:t>:</w:t>
      </w:r>
      <w:r w:rsidRPr="00321B46">
        <w:tab/>
        <w:t xml:space="preserve">Base regulatoria de activos eléctricos nuevos del </w:t>
      </w:r>
      <w:r w:rsidR="00974CEF" w:rsidRPr="00321B46">
        <w:t>TN</w:t>
      </w:r>
      <w:r w:rsidRPr="00321B46">
        <w:t xml:space="preserve"> </w:t>
      </w:r>
      <w:r w:rsidR="00974CEF" w:rsidRPr="00321B46">
        <w:rPr>
          <w:i/>
        </w:rPr>
        <w:t>j</w:t>
      </w:r>
      <w:r w:rsidRPr="00321B46">
        <w:t>,</w:t>
      </w:r>
      <w:r w:rsidRPr="00321B46">
        <w:rPr>
          <w:i/>
        </w:rPr>
        <w:t xml:space="preserve"> </w:t>
      </w:r>
      <w:r w:rsidRPr="00321B46">
        <w:t>para la categoría de activos</w:t>
      </w:r>
      <w:r w:rsidRPr="00321B46">
        <w:rPr>
          <w:i/>
        </w:rPr>
        <w:t xml:space="preserve"> </w:t>
      </w:r>
      <w:r w:rsidR="00974CEF" w:rsidRPr="00321B46">
        <w:rPr>
          <w:i/>
        </w:rPr>
        <w:t>k</w:t>
      </w:r>
      <w:r w:rsidRPr="00321B46">
        <w:t xml:space="preserve"> en el año </w:t>
      </w:r>
      <w:r w:rsidRPr="00321B46">
        <w:rPr>
          <w:i/>
        </w:rPr>
        <w:t>t</w:t>
      </w:r>
      <w:r w:rsidR="00605DA7" w:rsidRPr="00321B46">
        <w:t>, calculada</w:t>
      </w:r>
      <w:r w:rsidRPr="00321B46">
        <w:t xml:space="preserve"> de la siguiente manera: </w:t>
      </w:r>
    </w:p>
    <w:p w14:paraId="65FF5CE4" w14:textId="733F18E4" w:rsidR="00044E99" w:rsidRPr="00321B46" w:rsidRDefault="00651802" w:rsidP="00F30BCA">
      <m:oMathPara>
        <m:oMath>
          <m:sSub>
            <m:sSubPr>
              <m:ctrlPr>
                <w:rPr>
                  <w:rFonts w:ascii="Cambria Math" w:hAnsi="Cambria Math"/>
                  <w:i/>
                  <w:sz w:val="22"/>
                </w:rPr>
              </m:ctrlPr>
            </m:sSubPr>
            <m:e>
              <m:r>
                <w:rPr>
                  <w:rFonts w:ascii="Cambria Math" w:hAnsi="Cambria Math"/>
                  <w:sz w:val="22"/>
                </w:rPr>
                <m:t>RCNA</m:t>
              </m:r>
            </m:e>
            <m:sub>
              <m:r>
                <w:rPr>
                  <w:rFonts w:ascii="Cambria Math" w:hAnsi="Cambria Math"/>
                  <w:sz w:val="22"/>
                </w:rPr>
                <m:t>j</m:t>
              </m:r>
              <m:r>
                <w:rPr>
                  <w:rFonts w:ascii="Cambria Math"/>
                  <w:sz w:val="22"/>
                </w:rPr>
                <m:t>,</m:t>
              </m:r>
              <m:r>
                <w:rPr>
                  <w:rFonts w:ascii="Cambria Math" w:hAnsi="Cambria Math"/>
                  <w:sz w:val="22"/>
                </w:rPr>
                <m:t>k,t</m:t>
              </m:r>
            </m:sub>
          </m:sSub>
          <m:r>
            <w:rPr>
              <w:rFonts w:ascii="Cambria Math"/>
              <w:sz w:val="22"/>
            </w:rPr>
            <m:t>=</m:t>
          </m:r>
          <m:d>
            <m:dPr>
              <m:ctrlPr>
                <w:rPr>
                  <w:rFonts w:ascii="Cambria Math" w:hAnsi="Cambria Math"/>
                  <w:i/>
                  <w:sz w:val="22"/>
                </w:rPr>
              </m:ctrlPr>
            </m:dPr>
            <m:e>
              <m:sSub>
                <m:sSubPr>
                  <m:ctrlPr>
                    <w:rPr>
                      <w:rFonts w:ascii="Cambria Math" w:hAnsi="Cambria Math"/>
                      <w:i/>
                      <w:sz w:val="22"/>
                    </w:rPr>
                  </m:ctrlPr>
                </m:sSubPr>
                <m:e>
                  <m:r>
                    <w:rPr>
                      <w:rFonts w:ascii="Cambria Math"/>
                      <w:sz w:val="22"/>
                    </w:rPr>
                    <m:t>IAPA</m:t>
                  </m:r>
                </m:e>
                <m:sub>
                  <m:r>
                    <w:rPr>
                      <w:rFonts w:ascii="Cambria Math"/>
                      <w:sz w:val="22"/>
                    </w:rPr>
                    <m:t>j,t</m:t>
                  </m:r>
                </m:sub>
              </m:sSub>
              <m:r>
                <w:rPr>
                  <w:rFonts w:ascii="Cambria Math"/>
                  <w:sz w:val="22"/>
                </w:rPr>
                <m:t>*</m:t>
              </m:r>
              <m:sSub>
                <m:sSubPr>
                  <m:ctrlPr>
                    <w:rPr>
                      <w:rFonts w:ascii="Cambria Math" w:hAnsi="Cambria Math"/>
                      <w:i/>
                      <w:sz w:val="22"/>
                    </w:rPr>
                  </m:ctrlPr>
                </m:sSubPr>
                <m:e>
                  <m:r>
                    <w:rPr>
                      <w:rFonts w:ascii="Cambria Math"/>
                      <w:sz w:val="22"/>
                    </w:rPr>
                    <m:t>INVA</m:t>
                  </m:r>
                </m:e>
                <m:sub>
                  <m:r>
                    <w:rPr>
                      <w:rFonts w:ascii="Cambria Math"/>
                      <w:sz w:val="22"/>
                    </w:rPr>
                    <m:t>j,k,t</m:t>
                  </m:r>
                </m:sub>
              </m:sSub>
              <m:r>
                <w:rPr>
                  <w:rFonts w:ascii="Cambria Math"/>
                  <w:sz w:val="22"/>
                </w:rPr>
                <m:t xml:space="preserve">+ </m:t>
              </m:r>
              <m:sSub>
                <m:sSubPr>
                  <m:ctrlPr>
                    <w:rPr>
                      <w:rFonts w:ascii="Cambria Math" w:hAnsi="Cambria Math"/>
                      <w:i/>
                      <w:sz w:val="22"/>
                    </w:rPr>
                  </m:ctrlPr>
                </m:sSubPr>
                <m:e>
                  <m:r>
                    <w:rPr>
                      <w:rFonts w:ascii="Cambria Math"/>
                      <w:sz w:val="22"/>
                    </w:rPr>
                    <m:t>INVR</m:t>
                  </m:r>
                </m:e>
                <m:sub>
                  <m:r>
                    <w:rPr>
                      <w:rFonts w:ascii="Cambria Math"/>
                      <w:sz w:val="22"/>
                    </w:rPr>
                    <m:t>j,k,t</m:t>
                  </m:r>
                  <m:r>
                    <w:rPr>
                      <w:rFonts w:ascii="Cambria Math"/>
                      <w:sz w:val="22"/>
                    </w:rPr>
                    <m:t>-</m:t>
                  </m:r>
                  <m:r>
                    <w:rPr>
                      <w:rFonts w:ascii="Cambria Math"/>
                      <w:sz w:val="22"/>
                    </w:rPr>
                    <m:t>1</m:t>
                  </m:r>
                </m:sub>
              </m:sSub>
              <m:r>
                <w:rPr>
                  <w:rFonts w:ascii="Cambria Math" w:hAnsi="Cambria Math"/>
                  <w:sz w:val="22"/>
                </w:rPr>
                <m:t>-</m:t>
              </m:r>
              <m:sSub>
                <m:sSubPr>
                  <m:ctrlPr>
                    <w:rPr>
                      <w:rFonts w:ascii="Cambria Math" w:hAnsi="Cambria Math"/>
                      <w:i/>
                      <w:sz w:val="22"/>
                    </w:rPr>
                  </m:ctrlPr>
                </m:sSubPr>
                <m:e>
                  <m:r>
                    <w:rPr>
                      <w:rFonts w:ascii="Cambria Math"/>
                      <w:sz w:val="22"/>
                    </w:rPr>
                    <m:t>IAPA</m:t>
                  </m:r>
                </m:e>
                <m:sub>
                  <m:r>
                    <w:rPr>
                      <w:rFonts w:ascii="Cambria Math"/>
                      <w:sz w:val="22"/>
                    </w:rPr>
                    <m:t>j,t</m:t>
                  </m:r>
                  <m:r>
                    <w:rPr>
                      <w:rFonts w:ascii="Cambria Math"/>
                      <w:sz w:val="22"/>
                    </w:rPr>
                    <m:t>-</m:t>
                  </m:r>
                  <m:r>
                    <w:rPr>
                      <w:rFonts w:ascii="Cambria Math"/>
                      <w:sz w:val="22"/>
                    </w:rPr>
                    <m:t>1</m:t>
                  </m:r>
                </m:sub>
              </m:sSub>
              <m:r>
                <w:rPr>
                  <w:rFonts w:ascii="Cambria Math"/>
                  <w:sz w:val="22"/>
                </w:rPr>
                <m:t>*</m:t>
              </m:r>
              <m:sSub>
                <m:sSubPr>
                  <m:ctrlPr>
                    <w:rPr>
                      <w:rFonts w:ascii="Cambria Math" w:hAnsi="Cambria Math"/>
                      <w:i/>
                      <w:sz w:val="22"/>
                    </w:rPr>
                  </m:ctrlPr>
                </m:sSubPr>
                <m:e>
                  <m:r>
                    <w:rPr>
                      <w:rFonts w:ascii="Cambria Math"/>
                      <w:sz w:val="22"/>
                    </w:rPr>
                    <m:t>INVA</m:t>
                  </m:r>
                </m:e>
                <m:sub>
                  <m:r>
                    <w:rPr>
                      <w:rFonts w:ascii="Cambria Math"/>
                      <w:sz w:val="22"/>
                    </w:rPr>
                    <m:t>j,k,t</m:t>
                  </m:r>
                  <m:r>
                    <w:rPr>
                      <w:rFonts w:ascii="Cambria Math"/>
                      <w:sz w:val="22"/>
                    </w:rPr>
                    <m:t>-</m:t>
                  </m:r>
                  <m:r>
                    <w:rPr>
                      <w:rFonts w:ascii="Cambria Math"/>
                      <w:sz w:val="22"/>
                    </w:rPr>
                    <m:t>1</m:t>
                  </m:r>
                </m:sub>
              </m:sSub>
            </m:e>
          </m:d>
          <m:r>
            <w:rPr>
              <w:rFonts w:ascii="Cambria Math" w:hAnsi="Cambria Math"/>
              <w:sz w:val="22"/>
            </w:rPr>
            <m:t>*</m:t>
          </m:r>
          <m:f>
            <m:fPr>
              <m:ctrlPr>
                <w:rPr>
                  <w:rFonts w:ascii="Cambria Math" w:hAnsi="Cambria Math"/>
                  <w:i/>
                  <w:sz w:val="22"/>
                </w:rPr>
              </m:ctrlPr>
            </m:fPr>
            <m:num>
              <m:d>
                <m:dPr>
                  <m:ctrlPr>
                    <w:rPr>
                      <w:rFonts w:ascii="Cambria Math" w:hAnsi="Cambria Math"/>
                      <w:i/>
                      <w:sz w:val="22"/>
                    </w:rPr>
                  </m:ctrlPr>
                </m:dPr>
                <m:e>
                  <m:r>
                    <w:rPr>
                      <w:rFonts w:ascii="Cambria Math" w:hAnsi="Cambria Math"/>
                      <w:sz w:val="22"/>
                    </w:rPr>
                    <m:t>1+NE</m:t>
                  </m:r>
                </m:e>
              </m:d>
            </m:num>
            <m:den>
              <m:sSub>
                <m:sSubPr>
                  <m:ctrlPr>
                    <w:rPr>
                      <w:rFonts w:ascii="Cambria Math" w:hAnsi="Cambria Math"/>
                      <w:i/>
                      <w:sz w:val="22"/>
                    </w:rPr>
                  </m:ctrlPr>
                </m:sSubPr>
                <m:e>
                  <m:r>
                    <w:rPr>
                      <w:rFonts w:ascii="Cambria Math"/>
                      <w:sz w:val="22"/>
                    </w:rPr>
                    <m:t>VU</m:t>
                  </m:r>
                </m:e>
                <m:sub>
                  <m:r>
                    <w:rPr>
                      <w:rFonts w:ascii="Cambria Math"/>
                      <w:sz w:val="22"/>
                    </w:rPr>
                    <m:t>k</m:t>
                  </m:r>
                </m:sub>
              </m:sSub>
            </m:den>
          </m:f>
        </m:oMath>
      </m:oMathPara>
    </w:p>
    <w:p w14:paraId="109B959C" w14:textId="5B33AAC0" w:rsidR="00044E99" w:rsidRPr="00321B46" w:rsidRDefault="00F028B3" w:rsidP="00F30BCA">
      <w:pPr>
        <w:ind w:left="1418" w:hanging="1412"/>
      </w:pPr>
      <w:r w:rsidRPr="00321B46">
        <w:rPr>
          <w:i/>
          <w:iCs/>
        </w:rPr>
        <w:t>IAPA</w:t>
      </w:r>
      <w:r w:rsidRPr="00321B46">
        <w:rPr>
          <w:i/>
          <w:iCs/>
          <w:vertAlign w:val="subscript"/>
        </w:rPr>
        <w:t>j,t</w:t>
      </w:r>
      <w:r w:rsidRPr="00321B46">
        <w:rPr>
          <w:iCs/>
        </w:rPr>
        <w:t>:</w:t>
      </w:r>
      <w:r w:rsidRPr="00321B46">
        <w:rPr>
          <w:iCs/>
        </w:rPr>
        <w:tab/>
        <w:t>Índice de ajuste por ejecución del plan de inversiones del TN </w:t>
      </w:r>
      <w:r w:rsidRPr="00321B46">
        <w:rPr>
          <w:i/>
          <w:iCs/>
        </w:rPr>
        <w:t>j</w:t>
      </w:r>
      <w:r w:rsidRPr="00321B46">
        <w:rPr>
          <w:iCs/>
        </w:rPr>
        <w:t xml:space="preserve"> para el año </w:t>
      </w:r>
      <w:r w:rsidRPr="00321B46">
        <w:rPr>
          <w:i/>
          <w:iCs/>
        </w:rPr>
        <w:t>t</w:t>
      </w:r>
      <w:r w:rsidRPr="00321B46">
        <w:rPr>
          <w:iCs/>
        </w:rPr>
        <w:t xml:space="preserve">, calculado con base en lo previsto en el numeral </w:t>
      </w:r>
      <w:r w:rsidR="00340B17" w:rsidRPr="00321B46">
        <w:rPr>
          <w:iCs/>
        </w:rPr>
        <w:fldChar w:fldCharType="begin"/>
      </w:r>
      <w:r w:rsidR="00340B17" w:rsidRPr="00321B46">
        <w:rPr>
          <w:iCs/>
        </w:rPr>
        <w:instrText xml:space="preserve"> REF _Ref461090798 \r \h </w:instrText>
      </w:r>
      <w:r w:rsidR="003276B5" w:rsidRPr="00321B46">
        <w:rPr>
          <w:iCs/>
        </w:rPr>
        <w:instrText xml:space="preserve"> \* MERGEFORMAT </w:instrText>
      </w:r>
      <w:r w:rsidR="00340B17" w:rsidRPr="00321B46">
        <w:rPr>
          <w:iCs/>
        </w:rPr>
      </w:r>
      <w:r w:rsidR="00340B17" w:rsidRPr="00321B46">
        <w:rPr>
          <w:iCs/>
        </w:rPr>
        <w:fldChar w:fldCharType="separate"/>
      </w:r>
      <w:r w:rsidR="000F355F">
        <w:rPr>
          <w:iCs/>
        </w:rPr>
        <w:t>2.2.1.7</w:t>
      </w:r>
      <w:r w:rsidR="00340B17" w:rsidRPr="00321B46">
        <w:rPr>
          <w:iCs/>
        </w:rPr>
        <w:fldChar w:fldCharType="end"/>
      </w:r>
    </w:p>
    <w:p w14:paraId="3BC74209" w14:textId="4132FE62" w:rsidR="000A7416" w:rsidRPr="00321B46" w:rsidRDefault="000A7416" w:rsidP="00F30BCA">
      <w:pPr>
        <w:spacing w:before="120"/>
        <w:ind w:left="1418" w:hanging="1418"/>
        <w:rPr>
          <w:i/>
          <w:iCs/>
        </w:rPr>
      </w:pPr>
      <w:r w:rsidRPr="00321B46">
        <w:rPr>
          <w:i/>
          <w:iCs/>
        </w:rPr>
        <w:t>INVA</w:t>
      </w:r>
      <w:r w:rsidRPr="00321B46">
        <w:rPr>
          <w:i/>
          <w:iCs/>
          <w:vertAlign w:val="subscript"/>
        </w:rPr>
        <w:t>j,k,t</w:t>
      </w:r>
      <w:r w:rsidRPr="00321B46">
        <w:t>:</w:t>
      </w:r>
      <w:r w:rsidRPr="00321B46">
        <w:tab/>
      </w:r>
      <w:r w:rsidRPr="00321B46">
        <w:rPr>
          <w:iCs/>
        </w:rPr>
        <w:t xml:space="preserve">Inversión aprobada en el plan de inversiones del </w:t>
      </w:r>
      <w:r w:rsidRPr="00321B46">
        <w:t xml:space="preserve">TN </w:t>
      </w:r>
      <w:r w:rsidRPr="00321B46">
        <w:rPr>
          <w:i/>
        </w:rPr>
        <w:t>j</w:t>
      </w:r>
      <w:r w:rsidRPr="00321B46">
        <w:t xml:space="preserve">, </w:t>
      </w:r>
      <w:r w:rsidRPr="00321B46">
        <w:rPr>
          <w:iCs/>
        </w:rPr>
        <w:t xml:space="preserve">en la categoría de activos </w:t>
      </w:r>
      <w:r w:rsidRPr="00321B46">
        <w:rPr>
          <w:i/>
          <w:iCs/>
        </w:rPr>
        <w:t>k</w:t>
      </w:r>
      <w:r w:rsidRPr="00321B46">
        <w:rPr>
          <w:iCs/>
        </w:rPr>
        <w:t xml:space="preserve"> para el año </w:t>
      </w:r>
      <w:r w:rsidRPr="00321B46">
        <w:rPr>
          <w:i/>
          <w:iCs/>
        </w:rPr>
        <w:t>t</w:t>
      </w:r>
      <w:r w:rsidRPr="00321B46">
        <w:t xml:space="preserve">. Calculado según lo establecido en los numerales </w:t>
      </w:r>
      <w:r w:rsidRPr="00321B46">
        <w:fldChar w:fldCharType="begin"/>
      </w:r>
      <w:r w:rsidRPr="00321B46">
        <w:instrText xml:space="preserve"> REF _Ref443918940 \r \h </w:instrText>
      </w:r>
      <w:r w:rsidR="003276B5" w:rsidRPr="00321B46">
        <w:instrText xml:space="preserve"> \* MERGEFORMAT </w:instrText>
      </w:r>
      <w:r w:rsidRPr="00321B46">
        <w:fldChar w:fldCharType="separate"/>
      </w:r>
      <w:r w:rsidR="000F355F">
        <w:t>2.2.1.5.1</w:t>
      </w:r>
      <w:r w:rsidRPr="00321B46">
        <w:fldChar w:fldCharType="end"/>
      </w:r>
      <w:r w:rsidRPr="00321B46">
        <w:t xml:space="preserve"> y </w:t>
      </w:r>
      <w:r w:rsidRPr="00321B46">
        <w:fldChar w:fldCharType="begin"/>
      </w:r>
      <w:r w:rsidRPr="00321B46">
        <w:instrText xml:space="preserve"> REF _Ref443918943 \r \h </w:instrText>
      </w:r>
      <w:r w:rsidR="003276B5" w:rsidRPr="00321B46">
        <w:instrText xml:space="preserve"> \* MERGEFORMAT </w:instrText>
      </w:r>
      <w:r w:rsidRPr="00321B46">
        <w:fldChar w:fldCharType="separate"/>
      </w:r>
      <w:r w:rsidR="000F355F">
        <w:t>2.2.1.5.2</w:t>
      </w:r>
      <w:r w:rsidRPr="00321B46">
        <w:fldChar w:fldCharType="end"/>
      </w:r>
      <w:r w:rsidRPr="00321B46">
        <w:t>.</w:t>
      </w:r>
    </w:p>
    <w:p w14:paraId="663D2E3B" w14:textId="5C55D5E2" w:rsidR="000A7416" w:rsidRPr="00321B46" w:rsidRDefault="000A7416" w:rsidP="00F30BCA">
      <w:pPr>
        <w:spacing w:before="120"/>
        <w:ind w:left="1418" w:hanging="1418"/>
        <w:rPr>
          <w:i/>
          <w:iCs/>
        </w:rPr>
      </w:pPr>
      <w:r w:rsidRPr="00321B46">
        <w:rPr>
          <w:i/>
          <w:iCs/>
        </w:rPr>
        <w:t>INVR</w:t>
      </w:r>
      <w:r w:rsidRPr="00321B46">
        <w:rPr>
          <w:i/>
          <w:iCs/>
          <w:vertAlign w:val="subscript"/>
        </w:rPr>
        <w:t>j,k,t</w:t>
      </w:r>
      <w:r w:rsidRPr="00321B46">
        <w:t>:</w:t>
      </w:r>
      <w:r w:rsidRPr="00321B46">
        <w:tab/>
        <w:t xml:space="preserve">Inversiones en activos puestos en operación en el sistema del TN </w:t>
      </w:r>
      <w:r w:rsidRPr="00321B46">
        <w:rPr>
          <w:i/>
        </w:rPr>
        <w:t>j</w:t>
      </w:r>
      <w:r w:rsidRPr="00321B46">
        <w:t xml:space="preserve">, </w:t>
      </w:r>
      <w:r w:rsidRPr="00321B46">
        <w:rPr>
          <w:iCs/>
        </w:rPr>
        <w:t xml:space="preserve">en la categoría de activos </w:t>
      </w:r>
      <w:r w:rsidRPr="00321B46">
        <w:rPr>
          <w:i/>
          <w:iCs/>
        </w:rPr>
        <w:t>k</w:t>
      </w:r>
      <w:r w:rsidRPr="00321B46">
        <w:rPr>
          <w:iCs/>
        </w:rPr>
        <w:t xml:space="preserve"> </w:t>
      </w:r>
      <w:r w:rsidRPr="00321B46">
        <w:t xml:space="preserve">durante el año </w:t>
      </w:r>
      <w:r w:rsidRPr="00321B46">
        <w:rPr>
          <w:i/>
        </w:rPr>
        <w:t>t</w:t>
      </w:r>
      <w:r w:rsidRPr="00321B46">
        <w:t xml:space="preserve">. Calculado según lo establecido en el numeral </w:t>
      </w:r>
      <w:r w:rsidRPr="00321B46">
        <w:fldChar w:fldCharType="begin"/>
      </w:r>
      <w:r w:rsidRPr="00321B46">
        <w:instrText xml:space="preserve"> REF _Ref443918667 \r \h </w:instrText>
      </w:r>
      <w:r w:rsidR="003276B5" w:rsidRPr="00321B46">
        <w:instrText xml:space="preserve"> \* MERGEFORMAT </w:instrText>
      </w:r>
      <w:r w:rsidRPr="00321B46">
        <w:fldChar w:fldCharType="separate"/>
      </w:r>
      <w:r w:rsidR="000F355F">
        <w:t>2.2.1.6</w:t>
      </w:r>
      <w:r w:rsidRPr="00321B46">
        <w:fldChar w:fldCharType="end"/>
      </w:r>
      <w:r w:rsidRPr="00321B46">
        <w:t>.</w:t>
      </w:r>
    </w:p>
    <w:p w14:paraId="54237AE7" w14:textId="77777777" w:rsidR="00044E99" w:rsidRPr="00321B46" w:rsidRDefault="00044E99" w:rsidP="00F30BCA">
      <w:pPr>
        <w:spacing w:before="120"/>
        <w:ind w:left="1418" w:hanging="1412"/>
      </w:pPr>
      <w:r w:rsidRPr="00321B46">
        <w:rPr>
          <w:i/>
          <w:iCs/>
        </w:rPr>
        <w:t>NE</w:t>
      </w:r>
      <w:r w:rsidRPr="00321B46">
        <w:t>:</w:t>
      </w:r>
      <w:r w:rsidRPr="00321B46">
        <w:tab/>
        <w:t xml:space="preserve">Fracción de la base regulatoria de activos eléctricos, que se reconoce como activos no eléctricos, es igual a 0,02. </w:t>
      </w:r>
    </w:p>
    <w:p w14:paraId="702ED837" w14:textId="6A9DF79B" w:rsidR="005678DE" w:rsidRPr="00321B46" w:rsidRDefault="005678DE" w:rsidP="00F30BCA">
      <w:pPr>
        <w:ind w:left="1416" w:hanging="1416"/>
        <w:rPr>
          <w:i/>
        </w:rPr>
      </w:pPr>
      <w:bookmarkStart w:id="109" w:name="_Toc445214067"/>
      <w:r w:rsidRPr="00321B46">
        <w:rPr>
          <w:i/>
        </w:rPr>
        <w:t>VU</w:t>
      </w:r>
      <w:r w:rsidRPr="00321B46">
        <w:rPr>
          <w:i/>
          <w:vertAlign w:val="subscript"/>
        </w:rPr>
        <w:t>k</w:t>
      </w:r>
      <w:r w:rsidRPr="00321B46">
        <w:rPr>
          <w:color w:val="000000" w:themeColor="text1"/>
        </w:rPr>
        <w:t xml:space="preserve">: </w:t>
      </w:r>
      <w:r w:rsidRPr="00321B46">
        <w:rPr>
          <w:color w:val="000000" w:themeColor="text1"/>
        </w:rPr>
        <w:tab/>
        <w:t>Vida útil re</w:t>
      </w:r>
      <w:r w:rsidR="003C5544" w:rsidRPr="00321B46">
        <w:rPr>
          <w:color w:val="000000" w:themeColor="text1"/>
        </w:rPr>
        <w:t>conocida para</w:t>
      </w:r>
      <w:r w:rsidRPr="00321B46">
        <w:rPr>
          <w:color w:val="000000" w:themeColor="text1"/>
        </w:rPr>
        <w:t xml:space="preserve"> la unidad constructiva </w:t>
      </w:r>
      <w:r w:rsidRPr="00321B46">
        <w:rPr>
          <w:i/>
          <w:color w:val="000000" w:themeColor="text1"/>
        </w:rPr>
        <w:t xml:space="preserve">i </w:t>
      </w:r>
      <w:r w:rsidRPr="00321B46">
        <w:rPr>
          <w:color w:val="000000" w:themeColor="text1"/>
        </w:rPr>
        <w:t xml:space="preserve">perteneciente a la categoría de activos </w:t>
      </w:r>
      <w:r w:rsidRPr="00321B46">
        <w:rPr>
          <w:i/>
          <w:color w:val="000000" w:themeColor="text1"/>
        </w:rPr>
        <w:t>k</w:t>
      </w:r>
      <w:r w:rsidRPr="00321B46">
        <w:rPr>
          <w:color w:val="000000" w:themeColor="text1"/>
        </w:rPr>
        <w:t xml:space="preserve">, según lo establecido </w:t>
      </w:r>
      <w:r w:rsidR="003C5544" w:rsidRPr="00321B46">
        <w:t xml:space="preserve">en </w:t>
      </w:r>
      <w:r w:rsidR="00185DBD" w:rsidRPr="00321B46">
        <w:t xml:space="preserve">el numeral </w:t>
      </w:r>
      <w:r w:rsidR="00185DBD" w:rsidRPr="00321B46">
        <w:fldChar w:fldCharType="begin"/>
      </w:r>
      <w:r w:rsidR="00185DBD" w:rsidRPr="00321B46">
        <w:instrText xml:space="preserve"> REF _Ref445370460 \r \h </w:instrText>
      </w:r>
      <w:r w:rsidR="00185DBD">
        <w:instrText xml:space="preserve"> \* MERGEFORMAT </w:instrText>
      </w:r>
      <w:r w:rsidR="00185DBD" w:rsidRPr="00321B46">
        <w:fldChar w:fldCharType="separate"/>
      </w:r>
      <w:r w:rsidR="000F355F">
        <w:t>7.5</w:t>
      </w:r>
      <w:r w:rsidR="00185DBD" w:rsidRPr="00321B46">
        <w:fldChar w:fldCharType="end"/>
      </w:r>
      <w:r w:rsidR="00185DBD">
        <w:t>.</w:t>
      </w:r>
    </w:p>
    <w:p w14:paraId="45FDB473" w14:textId="77777777" w:rsidR="00C9732D" w:rsidRPr="00321B46" w:rsidRDefault="00C9732D" w:rsidP="0004502D">
      <w:pPr>
        <w:pStyle w:val="Ttulo3"/>
      </w:pPr>
      <w:bookmarkStart w:id="110" w:name="_Toc445214068"/>
      <w:bookmarkStart w:id="111" w:name="_Toc466392628"/>
      <w:bookmarkEnd w:id="109"/>
      <w:r w:rsidRPr="00321B46">
        <w:t>Ajuste de la variable recuperación de capital al final del periodo tarifario</w:t>
      </w:r>
      <w:bookmarkEnd w:id="110"/>
      <w:bookmarkEnd w:id="111"/>
    </w:p>
    <w:p w14:paraId="3100745F" w14:textId="77777777" w:rsidR="00C9732D" w:rsidRPr="00321B46" w:rsidRDefault="00C9732D" w:rsidP="00F30BCA">
      <w:pPr>
        <w:rPr>
          <w:color w:val="000000" w:themeColor="text1"/>
        </w:rPr>
      </w:pPr>
      <w:r w:rsidRPr="00321B46">
        <w:t>Al final del periodo tarifario debe calcularse la diferencia entre la recuperación de capital total reconocida y la recuperación de capital asociada con las inversiones puestas en operación durante el periodo tarifario. Este valor se debe utilizar para ajustar la remuneración de las inversiones al inicio del siguiente periodo tarifario.</w:t>
      </w:r>
    </w:p>
    <w:p w14:paraId="797D3D1F" w14:textId="71850907" w:rsidR="00E43449" w:rsidRPr="00321B46" w:rsidDel="00853546" w:rsidRDefault="00E43449" w:rsidP="00BF7220">
      <w:pPr>
        <w:pStyle w:val="Ttulo2"/>
      </w:pPr>
      <w:bookmarkStart w:id="112" w:name="_Ref445420249"/>
      <w:bookmarkStart w:id="113" w:name="_Toc466392629"/>
      <w:r w:rsidRPr="00321B46" w:rsidDel="00853546">
        <w:t>Base regulatoria de terrenos</w:t>
      </w:r>
      <w:bookmarkEnd w:id="98"/>
      <w:bookmarkEnd w:id="112"/>
      <w:bookmarkEnd w:id="113"/>
    </w:p>
    <w:p w14:paraId="4CA67B96" w14:textId="77777777" w:rsidR="0030379F" w:rsidRPr="00321B46" w:rsidRDefault="0030379F" w:rsidP="0030379F">
      <w:r w:rsidRPr="00321B46">
        <w:t xml:space="preserve">La base regulatoria de terreros reconocida se calcula de la siguiente manera: </w:t>
      </w:r>
    </w:p>
    <w:p w14:paraId="549EBB95" w14:textId="3956E6EB" w:rsidR="00E43449" w:rsidRPr="00321B46" w:rsidDel="00853546" w:rsidRDefault="00651802" w:rsidP="00F30BCA">
      <m:oMathPara>
        <m:oMath>
          <m:sSub>
            <m:sSubPr>
              <m:ctrlPr>
                <w:rPr>
                  <w:rFonts w:ascii="Cambria Math" w:hAnsi="Cambria Math"/>
                  <w:i/>
                </w:rPr>
              </m:ctrlPr>
            </m:sSubPr>
            <m:e>
              <m:r>
                <w:rPr>
                  <w:rFonts w:ascii="Cambria Math" w:hAnsi="Cambria Math"/>
                </w:rPr>
                <m:t>BRT</m:t>
              </m:r>
            </m:e>
            <m:sub>
              <m:r>
                <w:rPr>
                  <w:rFonts w:ascii="Cambria Math" w:hAnsi="Cambria Math"/>
                </w:rPr>
                <m:t>j,t</m:t>
              </m:r>
            </m:sub>
          </m:sSub>
          <m:r>
            <w:rPr>
              <w:rFonts w:ascii="Cambria Math" w:hAnsi="Cambria Math"/>
            </w:rPr>
            <m:t>=R*</m:t>
          </m:r>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NS</m:t>
                  </m:r>
                </m:e>
                <m:sub>
                  <m:r>
                    <w:rPr>
                      <w:rFonts w:ascii="Cambria Math" w:hAnsi="Cambria Math"/>
                    </w:rPr>
                    <m:t>j,t</m:t>
                  </m:r>
                </m:sub>
              </m:sSub>
            </m:sup>
            <m:e>
              <m:sSub>
                <m:sSubPr>
                  <m:ctrlPr>
                    <w:rPr>
                      <w:rFonts w:ascii="Cambria Math" w:hAnsi="Cambria Math"/>
                      <w:i/>
                    </w:rPr>
                  </m:ctrlPr>
                </m:sSubPr>
                <m:e>
                  <m:r>
                    <w:rPr>
                      <w:rFonts w:ascii="Cambria Math" w:hAnsi="Cambria Math"/>
                    </w:rPr>
                    <m:t>AT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m:t>
                  </m:r>
                </m:e>
                <m:sub>
                  <m:r>
                    <w:rPr>
                      <w:rFonts w:ascii="Cambria Math" w:hAnsi="Cambria Math"/>
                    </w:rPr>
                    <m:t>j,i</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1-RPP</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VCT</m:t>
                  </m:r>
                </m:e>
                <m:sub>
                  <m:r>
                    <w:rPr>
                      <w:rFonts w:ascii="Cambria Math" w:hAnsi="Cambria Math"/>
                    </w:rPr>
                    <m:t>i</m:t>
                  </m:r>
                </m:sub>
              </m:sSub>
            </m:e>
          </m:nary>
        </m:oMath>
      </m:oMathPara>
    </w:p>
    <w:p w14:paraId="688F1D91" w14:textId="77777777" w:rsidR="00E43449" w:rsidRPr="00321B46" w:rsidDel="00853546" w:rsidRDefault="00E43449" w:rsidP="00F30BCA">
      <w:pPr>
        <w:ind w:left="1410" w:hanging="1410"/>
        <w:rPr>
          <w:iCs/>
        </w:rPr>
      </w:pPr>
      <w:r w:rsidRPr="00321B46" w:rsidDel="00853546">
        <w:rPr>
          <w:iCs/>
        </w:rPr>
        <w:t>Donde:</w:t>
      </w:r>
    </w:p>
    <w:p w14:paraId="556E26BB" w14:textId="77777777" w:rsidR="00E43449" w:rsidRPr="00321B46" w:rsidDel="00853546" w:rsidRDefault="00E43449" w:rsidP="00F30BCA">
      <w:pPr>
        <w:spacing w:before="120"/>
        <w:ind w:left="1418" w:hanging="1418"/>
      </w:pPr>
      <w:r w:rsidRPr="00321B46" w:rsidDel="00853546">
        <w:rPr>
          <w:i/>
          <w:iCs/>
        </w:rPr>
        <w:t>BRT</w:t>
      </w:r>
      <w:r w:rsidRPr="00321B46" w:rsidDel="00853546">
        <w:rPr>
          <w:i/>
          <w:iCs/>
          <w:vertAlign w:val="subscript"/>
        </w:rPr>
        <w:t>j,t</w:t>
      </w:r>
      <w:r w:rsidRPr="00321B46" w:rsidDel="00853546">
        <w:t>:</w:t>
      </w:r>
      <w:r w:rsidRPr="00321B46" w:rsidDel="00853546">
        <w:tab/>
        <w:t xml:space="preserve">Base regulatoria de terrenos </w:t>
      </w:r>
      <w:r w:rsidRPr="00321B46" w:rsidDel="00853546">
        <w:rPr>
          <w:iCs/>
        </w:rPr>
        <w:t>del</w:t>
      </w:r>
      <w:r w:rsidRPr="00321B46" w:rsidDel="00853546">
        <w:rPr>
          <w:i/>
          <w:iCs/>
        </w:rPr>
        <w:t xml:space="preserve"> TN</w:t>
      </w:r>
      <w:r w:rsidRPr="00321B46" w:rsidDel="00853546">
        <w:t xml:space="preserve"> </w:t>
      </w:r>
      <w:r w:rsidRPr="00321B46" w:rsidDel="00853546">
        <w:rPr>
          <w:i/>
          <w:iCs/>
        </w:rPr>
        <w:t>j</w:t>
      </w:r>
      <w:r w:rsidRPr="00321B46" w:rsidDel="00853546">
        <w:rPr>
          <w:iCs/>
        </w:rPr>
        <w:t>,</w:t>
      </w:r>
      <w:r w:rsidRPr="00321B46" w:rsidDel="00853546">
        <w:t xml:space="preserve"> en el año </w:t>
      </w:r>
      <w:r w:rsidRPr="00321B46" w:rsidDel="00853546">
        <w:rPr>
          <w:i/>
        </w:rPr>
        <w:t>t</w:t>
      </w:r>
      <w:r w:rsidRPr="00321B46" w:rsidDel="00853546">
        <w:t>.</w:t>
      </w:r>
    </w:p>
    <w:p w14:paraId="7DD0B2B7" w14:textId="77777777" w:rsidR="00E43449" w:rsidRPr="00321B46" w:rsidDel="00853546" w:rsidRDefault="00E43449" w:rsidP="00F30BCA">
      <w:pPr>
        <w:tabs>
          <w:tab w:val="left" w:pos="1418"/>
        </w:tabs>
        <w:spacing w:before="120"/>
        <w:ind w:left="1418" w:hanging="1418"/>
      </w:pPr>
      <w:r w:rsidRPr="00321B46" w:rsidDel="00853546">
        <w:rPr>
          <w:i/>
          <w:iCs/>
        </w:rPr>
        <w:t>R</w:t>
      </w:r>
      <w:r w:rsidRPr="00321B46" w:rsidDel="00853546">
        <w:t>:</w:t>
      </w:r>
      <w:r w:rsidRPr="00321B46" w:rsidDel="00853546">
        <w:tab/>
        <w:t>Porcentaje anual reconocido sobre del valor de los terrenos, es igual a 6,9%.</w:t>
      </w:r>
    </w:p>
    <w:p w14:paraId="4A650E11" w14:textId="6547AA38" w:rsidR="00E43449" w:rsidRPr="00321B46" w:rsidDel="00853546" w:rsidRDefault="00E43449" w:rsidP="00F30BCA">
      <w:pPr>
        <w:tabs>
          <w:tab w:val="left" w:pos="1418"/>
        </w:tabs>
        <w:spacing w:before="120"/>
        <w:ind w:left="1418" w:hanging="1418"/>
      </w:pPr>
      <w:r w:rsidRPr="00321B46" w:rsidDel="00853546">
        <w:rPr>
          <w:i/>
          <w:iCs/>
        </w:rPr>
        <w:t>NS</w:t>
      </w:r>
      <w:r w:rsidRPr="00321B46" w:rsidDel="00853546">
        <w:rPr>
          <w:i/>
          <w:iCs/>
          <w:vertAlign w:val="subscript"/>
        </w:rPr>
        <w:t>j,t</w:t>
      </w:r>
      <w:r w:rsidRPr="00321B46" w:rsidDel="00853546">
        <w:t>:</w:t>
      </w:r>
      <w:r w:rsidRPr="00321B46" w:rsidDel="00853546">
        <w:tab/>
        <w:t xml:space="preserve">Número de UC de </w:t>
      </w:r>
      <w:r w:rsidR="00793119" w:rsidRPr="00321B46" w:rsidDel="00853546">
        <w:t>subestaci</w:t>
      </w:r>
      <w:r w:rsidR="00793119" w:rsidRPr="00321B46">
        <w:t>ón</w:t>
      </w:r>
      <w:r w:rsidR="00793119" w:rsidRPr="00321B46" w:rsidDel="00853546">
        <w:t xml:space="preserve"> </w:t>
      </w:r>
      <w:r w:rsidRPr="00321B46" w:rsidDel="00853546">
        <w:t xml:space="preserve">del TN </w:t>
      </w:r>
      <w:r w:rsidRPr="00321B46" w:rsidDel="00853546">
        <w:rPr>
          <w:i/>
          <w:iCs/>
        </w:rPr>
        <w:t>j</w:t>
      </w:r>
      <w:r w:rsidRPr="00321B46" w:rsidDel="00853546">
        <w:t xml:space="preserve">, para el año </w:t>
      </w:r>
      <w:r w:rsidRPr="00321B46" w:rsidDel="00853546">
        <w:rPr>
          <w:i/>
        </w:rPr>
        <w:t>t</w:t>
      </w:r>
      <w:r w:rsidRPr="00321B46" w:rsidDel="00853546">
        <w:t>, sobre las cuales se reconocen áreas de terrenos.</w:t>
      </w:r>
    </w:p>
    <w:p w14:paraId="21D9781F" w14:textId="62970E60" w:rsidR="00E43449" w:rsidRPr="00321B46" w:rsidDel="00853546" w:rsidRDefault="00E43449" w:rsidP="00F30BCA">
      <w:pPr>
        <w:tabs>
          <w:tab w:val="left" w:pos="1418"/>
        </w:tabs>
        <w:spacing w:before="120"/>
        <w:ind w:left="1418" w:hanging="1418"/>
      </w:pPr>
      <w:r w:rsidRPr="00321B46" w:rsidDel="00853546">
        <w:rPr>
          <w:i/>
          <w:iCs/>
        </w:rPr>
        <w:t>AT</w:t>
      </w:r>
      <w:r w:rsidRPr="00321B46" w:rsidDel="00853546">
        <w:rPr>
          <w:i/>
          <w:iCs/>
          <w:vertAlign w:val="subscript"/>
        </w:rPr>
        <w:t>i</w:t>
      </w:r>
      <w:r w:rsidRPr="00321B46" w:rsidDel="00853546">
        <w:rPr>
          <w:i/>
          <w:iCs/>
        </w:rPr>
        <w:t>:</w:t>
      </w:r>
      <w:r w:rsidRPr="00321B46" w:rsidDel="00853546">
        <w:tab/>
        <w:t xml:space="preserve">Área reconocida </w:t>
      </w:r>
      <w:r w:rsidR="00674134" w:rsidRPr="00321B46">
        <w:t>par</w:t>
      </w:r>
      <w:r w:rsidRPr="00321B46" w:rsidDel="00853546">
        <w:t xml:space="preserve">a la UC </w:t>
      </w:r>
      <w:r w:rsidRPr="00321B46" w:rsidDel="00853546">
        <w:rPr>
          <w:i/>
          <w:iCs/>
        </w:rPr>
        <w:t xml:space="preserve">i </w:t>
      </w:r>
      <w:r w:rsidRPr="00321B46" w:rsidDel="00853546">
        <w:rPr>
          <w:iCs/>
        </w:rPr>
        <w:t xml:space="preserve">en </w:t>
      </w:r>
      <w:r w:rsidRPr="00321B46" w:rsidDel="00853546">
        <w:t>m</w:t>
      </w:r>
      <w:r w:rsidRPr="00321B46" w:rsidDel="00853546">
        <w:rPr>
          <w:vertAlign w:val="superscript"/>
        </w:rPr>
        <w:t>2</w:t>
      </w:r>
      <w:r w:rsidRPr="00321B46" w:rsidDel="00853546">
        <w:t xml:space="preserve">, según lo establecido </w:t>
      </w:r>
      <w:r w:rsidR="00270CDF" w:rsidRPr="00321B46">
        <w:t xml:space="preserve">en el capítulo </w:t>
      </w:r>
      <w:r w:rsidR="00847275" w:rsidRPr="00321B46">
        <w:rPr>
          <w:rFonts w:cs="Arial"/>
        </w:rPr>
        <w:fldChar w:fldCharType="begin"/>
      </w:r>
      <w:r w:rsidR="00847275" w:rsidRPr="00321B46">
        <w:rPr>
          <w:rFonts w:cs="Arial"/>
        </w:rPr>
        <w:instrText xml:space="preserve"> REF _Ref404776490 \r \h \t \* MERGEFORMAT </w:instrText>
      </w:r>
      <w:r w:rsidR="00847275" w:rsidRPr="00321B46">
        <w:rPr>
          <w:rFonts w:cs="Arial"/>
        </w:rPr>
      </w:r>
      <w:r w:rsidR="00847275" w:rsidRPr="00321B46">
        <w:rPr>
          <w:rFonts w:cs="Arial"/>
        </w:rPr>
        <w:fldChar w:fldCharType="separate"/>
      </w:r>
      <w:r w:rsidR="000F355F">
        <w:rPr>
          <w:rFonts w:cs="Arial"/>
        </w:rPr>
        <w:t>7</w:t>
      </w:r>
      <w:r w:rsidR="00847275" w:rsidRPr="00321B46">
        <w:rPr>
          <w:rFonts w:cs="Arial"/>
        </w:rPr>
        <w:fldChar w:fldCharType="end"/>
      </w:r>
      <w:r w:rsidR="0061728F" w:rsidRPr="00321B46">
        <w:t xml:space="preserve"> de este anexo</w:t>
      </w:r>
      <w:r w:rsidR="00FC3F5A" w:rsidRPr="00321B46">
        <w:t>.</w:t>
      </w:r>
    </w:p>
    <w:p w14:paraId="2EE1FDDA" w14:textId="77777777" w:rsidR="00E43449" w:rsidRPr="00321B46" w:rsidDel="00853546" w:rsidRDefault="00E43449" w:rsidP="00F30BCA">
      <w:pPr>
        <w:tabs>
          <w:tab w:val="left" w:pos="1418"/>
        </w:tabs>
        <w:spacing w:before="120"/>
        <w:ind w:left="1418" w:hanging="1418"/>
      </w:pPr>
      <w:r w:rsidRPr="00321B46" w:rsidDel="00853546">
        <w:rPr>
          <w:i/>
          <w:iCs/>
        </w:rPr>
        <w:t>PU</w:t>
      </w:r>
      <w:r w:rsidRPr="00321B46" w:rsidDel="00853546">
        <w:rPr>
          <w:i/>
          <w:iCs/>
          <w:vertAlign w:val="subscript"/>
        </w:rPr>
        <w:t>j,i</w:t>
      </w:r>
      <w:r w:rsidRPr="00321B46" w:rsidDel="00853546">
        <w:rPr>
          <w:i/>
          <w:iCs/>
        </w:rPr>
        <w:t>:</w:t>
      </w:r>
      <w:r w:rsidRPr="00321B46" w:rsidDel="00853546">
        <w:tab/>
        <w:t xml:space="preserve">Porcentaje del costo total de la UC </w:t>
      </w:r>
      <w:r w:rsidRPr="00321B46" w:rsidDel="00853546">
        <w:rPr>
          <w:i/>
          <w:iCs/>
        </w:rPr>
        <w:t>i</w:t>
      </w:r>
      <w:r w:rsidRPr="00321B46" w:rsidDel="00853546">
        <w:t xml:space="preserve"> que es remunerado vía cargos por uso al TN </w:t>
      </w:r>
      <w:r w:rsidRPr="00321B46" w:rsidDel="00853546">
        <w:rPr>
          <w:i/>
        </w:rPr>
        <w:t>j</w:t>
      </w:r>
      <w:r w:rsidRPr="00321B46" w:rsidDel="00853546">
        <w:t>.</w:t>
      </w:r>
    </w:p>
    <w:p w14:paraId="50352A94" w14:textId="77777777" w:rsidR="00674134" w:rsidRPr="00321B46" w:rsidRDefault="00674134" w:rsidP="00F30BCA">
      <w:pPr>
        <w:tabs>
          <w:tab w:val="left" w:pos="1418"/>
        </w:tabs>
        <w:spacing w:before="120"/>
        <w:ind w:left="1418" w:hanging="1418"/>
      </w:pPr>
      <w:r w:rsidRPr="00321B46">
        <w:rPr>
          <w:i/>
          <w:iCs/>
        </w:rPr>
        <w:t>RPP</w:t>
      </w:r>
      <w:r w:rsidRPr="00321B46">
        <w:rPr>
          <w:i/>
          <w:iCs/>
          <w:vertAlign w:val="subscript"/>
        </w:rPr>
        <w:t>i</w:t>
      </w:r>
      <w:r w:rsidRPr="00321B46">
        <w:rPr>
          <w:i/>
          <w:iCs/>
        </w:rPr>
        <w:t>:</w:t>
      </w:r>
      <w:r w:rsidRPr="00321B46">
        <w:tab/>
        <w:t xml:space="preserve">Fracción del costo de la UC </w:t>
      </w:r>
      <w:r w:rsidRPr="00321B46">
        <w:rPr>
          <w:i/>
          <w:iCs/>
        </w:rPr>
        <w:t>i</w:t>
      </w:r>
      <w:r w:rsidRPr="00321B46">
        <w:t>, remunerada vía cargos por uso, que no se debe incluir en el cálculo de la tarifa.</w:t>
      </w:r>
    </w:p>
    <w:p w14:paraId="241B7D23" w14:textId="4CB07D15" w:rsidR="00E43449" w:rsidRPr="00321B46" w:rsidDel="00853546" w:rsidRDefault="00E43449" w:rsidP="00F30BCA">
      <w:pPr>
        <w:ind w:left="1410" w:hanging="1410"/>
        <w:rPr>
          <w:lang w:val="es-ES_tradnl"/>
        </w:rPr>
      </w:pPr>
      <w:r w:rsidRPr="00321B46" w:rsidDel="00853546">
        <w:rPr>
          <w:i/>
          <w:iCs/>
        </w:rPr>
        <w:t>VCT</w:t>
      </w:r>
      <w:r w:rsidRPr="00321B46" w:rsidDel="00853546">
        <w:rPr>
          <w:i/>
          <w:iCs/>
          <w:vertAlign w:val="subscript"/>
        </w:rPr>
        <w:t>i</w:t>
      </w:r>
      <w:r w:rsidRPr="00321B46" w:rsidDel="00853546">
        <w:rPr>
          <w:i/>
          <w:iCs/>
        </w:rPr>
        <w:t>:</w:t>
      </w:r>
      <w:r w:rsidRPr="00321B46" w:rsidDel="00853546">
        <w:tab/>
      </w:r>
      <w:r w:rsidRPr="00321B46" w:rsidDel="00853546">
        <w:tab/>
        <w:t xml:space="preserve">Valor catastral del terreno </w:t>
      </w:r>
      <w:r w:rsidR="00793119" w:rsidRPr="00321B46">
        <w:t>de</w:t>
      </w:r>
      <w:r w:rsidRPr="00321B46" w:rsidDel="00853546">
        <w:t xml:space="preserve"> la subestación en la cual se encuentra la UC </w:t>
      </w:r>
      <w:r w:rsidRPr="00321B46" w:rsidDel="00853546">
        <w:rPr>
          <w:i/>
          <w:iCs/>
        </w:rPr>
        <w:t>i</w:t>
      </w:r>
      <w:r w:rsidRPr="00321B46" w:rsidDel="00853546">
        <w:t>,</w:t>
      </w:r>
      <w:r w:rsidRPr="00321B46" w:rsidDel="00853546">
        <w:rPr>
          <w:lang w:val="es-ES_tradnl"/>
        </w:rPr>
        <w:t xml:space="preserve"> </w:t>
      </w:r>
      <w:r w:rsidRPr="00321B46" w:rsidDel="00853546">
        <w:t>en $/m</w:t>
      </w:r>
      <w:r w:rsidRPr="00321B46" w:rsidDel="00853546">
        <w:rPr>
          <w:vertAlign w:val="superscript"/>
        </w:rPr>
        <w:t>2</w:t>
      </w:r>
      <w:r w:rsidRPr="00321B46" w:rsidDel="00853546">
        <w:t xml:space="preserve"> de la fecha de corte</w:t>
      </w:r>
      <w:r w:rsidR="00FC3F5A" w:rsidRPr="00321B46">
        <w:t>.</w:t>
      </w:r>
      <w:r w:rsidR="00793119" w:rsidRPr="00321B46">
        <w:t xml:space="preserve"> Los valores catastrales y el área del terreno deben ser presentados por el TN </w:t>
      </w:r>
      <w:r w:rsidR="00891B29" w:rsidRPr="00321B46">
        <w:t>junto con</w:t>
      </w:r>
      <w:r w:rsidR="00793119" w:rsidRPr="00321B46">
        <w:t xml:space="preserve"> la solicitud de ingresos</w:t>
      </w:r>
      <w:r w:rsidR="00891B29" w:rsidRPr="00321B46">
        <w:t>,</w:t>
      </w:r>
      <w:r w:rsidR="00793119" w:rsidRPr="00321B46">
        <w:t xml:space="preserve"> con su respectivo soporte.</w:t>
      </w:r>
    </w:p>
    <w:p w14:paraId="3780E029" w14:textId="77777777" w:rsidR="00E43449" w:rsidRPr="00321B46" w:rsidRDefault="00E43449" w:rsidP="00E43449">
      <w:pPr>
        <w:spacing w:before="0" w:after="0"/>
        <w:jc w:val="left"/>
        <w:rPr>
          <w:lang w:val="es-CO"/>
        </w:rPr>
      </w:pPr>
      <w:r w:rsidRPr="00321B46">
        <w:rPr>
          <w:lang w:val="es-CO"/>
        </w:rPr>
        <w:br w:type="page"/>
      </w:r>
    </w:p>
    <w:p w14:paraId="6624476E" w14:textId="77777777" w:rsidR="00E43449" w:rsidRPr="00321B46" w:rsidRDefault="00E43449">
      <w:pPr>
        <w:pStyle w:val="Ttulo1"/>
      </w:pPr>
      <w:bookmarkStart w:id="114" w:name="_Ref403984011"/>
      <w:bookmarkStart w:id="115" w:name="_Ref406683085"/>
      <w:bookmarkStart w:id="116" w:name="_Toc466392630"/>
      <w:r w:rsidRPr="00321B46">
        <w:t>GASTOS DE ADMINISTRACIÓN, OPERACIÓN Y MANTENIMIENTO</w:t>
      </w:r>
      <w:bookmarkEnd w:id="114"/>
      <w:bookmarkEnd w:id="115"/>
      <w:bookmarkEnd w:id="116"/>
    </w:p>
    <w:p w14:paraId="18D52C31" w14:textId="77777777" w:rsidR="007F1C50" w:rsidRPr="00321B46" w:rsidRDefault="00E43449" w:rsidP="00E43449">
      <w:r w:rsidRPr="00321B46">
        <w:t>En este capítulo se establece la metodología para definir el valor de gastos de AOM a reconocer a cada TN durante cada uno de los años del periodo regulatorio.</w:t>
      </w:r>
    </w:p>
    <w:p w14:paraId="450D167D" w14:textId="43E57082" w:rsidR="007F1C50" w:rsidRPr="00321B46" w:rsidRDefault="007F1C50" w:rsidP="007F1C50">
      <w:r w:rsidRPr="00321B46">
        <w:t xml:space="preserve">Dentro de los costos y gastos AOM a reconocer en la actividad de </w:t>
      </w:r>
      <w:r w:rsidR="00E92A1B" w:rsidRPr="00321B46">
        <w:t xml:space="preserve">transmisión </w:t>
      </w:r>
      <w:r w:rsidRPr="00321B46">
        <w:t>de energía eléctrica no deben incluirse valores que correspondan con los siguientes conceptos, sin perjuicio que la CREG defina otros en resolución aparte:</w:t>
      </w:r>
    </w:p>
    <w:p w14:paraId="22248637" w14:textId="77777777" w:rsidR="00E43449" w:rsidRPr="00321B46" w:rsidRDefault="00E43449" w:rsidP="00E43449">
      <w:pPr>
        <w:pStyle w:val="Prrafodelista"/>
        <w:numPr>
          <w:ilvl w:val="0"/>
          <w:numId w:val="11"/>
        </w:numPr>
        <w:spacing w:before="120" w:after="0"/>
        <w:rPr>
          <w:szCs w:val="24"/>
        </w:rPr>
      </w:pPr>
      <w:r w:rsidRPr="00321B46">
        <w:rPr>
          <w:szCs w:val="24"/>
        </w:rPr>
        <w:t>asociados con otras actividades de la cadena de prestación del servicio;</w:t>
      </w:r>
    </w:p>
    <w:p w14:paraId="6E3DA66C" w14:textId="77777777" w:rsidR="00E43449" w:rsidRPr="00321B46" w:rsidRDefault="00E43449" w:rsidP="00E43449">
      <w:pPr>
        <w:pStyle w:val="Prrafodelista"/>
        <w:numPr>
          <w:ilvl w:val="0"/>
          <w:numId w:val="11"/>
        </w:numPr>
        <w:spacing w:before="120" w:after="0"/>
        <w:rPr>
          <w:szCs w:val="24"/>
        </w:rPr>
      </w:pPr>
      <w:r w:rsidRPr="00321B46">
        <w:rPr>
          <w:szCs w:val="24"/>
        </w:rPr>
        <w:t>asociados con los servicios prestados a otros agentes;</w:t>
      </w:r>
    </w:p>
    <w:p w14:paraId="4E267126" w14:textId="77777777" w:rsidR="00E43449" w:rsidRPr="00321B46" w:rsidRDefault="00E43449" w:rsidP="00E43449">
      <w:pPr>
        <w:pStyle w:val="Prrafodelista"/>
        <w:numPr>
          <w:ilvl w:val="0"/>
          <w:numId w:val="11"/>
        </w:numPr>
        <w:spacing w:before="120" w:after="0"/>
        <w:rPr>
          <w:szCs w:val="24"/>
        </w:rPr>
      </w:pPr>
      <w:r w:rsidRPr="00321B46">
        <w:rPr>
          <w:szCs w:val="24"/>
        </w:rPr>
        <w:t>asociados a activos de conexión de usuarios del STN;</w:t>
      </w:r>
    </w:p>
    <w:p w14:paraId="33CF98A5" w14:textId="77777777" w:rsidR="00E43449" w:rsidRPr="00321B46" w:rsidRDefault="00E43449" w:rsidP="00E43449">
      <w:pPr>
        <w:pStyle w:val="Prrafodelista"/>
        <w:numPr>
          <w:ilvl w:val="0"/>
          <w:numId w:val="11"/>
        </w:numPr>
        <w:spacing w:before="120" w:after="0"/>
        <w:rPr>
          <w:szCs w:val="24"/>
        </w:rPr>
      </w:pPr>
      <w:r w:rsidRPr="00321B46">
        <w:rPr>
          <w:szCs w:val="24"/>
        </w:rPr>
        <w:t>asociados a activos ejecutados mediante convocatorias públicas;</w:t>
      </w:r>
    </w:p>
    <w:p w14:paraId="3E1FC39D" w14:textId="77777777" w:rsidR="00E43449" w:rsidRPr="00321B46" w:rsidRDefault="00E43449" w:rsidP="00E43449">
      <w:pPr>
        <w:pStyle w:val="Prrafodelista"/>
        <w:numPr>
          <w:ilvl w:val="0"/>
          <w:numId w:val="11"/>
        </w:numPr>
        <w:spacing w:before="120" w:after="0"/>
        <w:rPr>
          <w:szCs w:val="24"/>
        </w:rPr>
      </w:pPr>
      <w:r w:rsidRPr="00321B46">
        <w:rPr>
          <w:szCs w:val="24"/>
        </w:rPr>
        <w:t>asociados con servicios prestados a terceros;</w:t>
      </w:r>
    </w:p>
    <w:p w14:paraId="63A0376C" w14:textId="7CF91425" w:rsidR="00E43449" w:rsidRPr="00321B46" w:rsidRDefault="00E43449" w:rsidP="00E43449">
      <w:pPr>
        <w:pStyle w:val="Prrafodelista"/>
        <w:numPr>
          <w:ilvl w:val="0"/>
          <w:numId w:val="11"/>
        </w:numPr>
        <w:spacing w:before="120" w:after="0"/>
        <w:rPr>
          <w:szCs w:val="24"/>
        </w:rPr>
      </w:pPr>
      <w:r w:rsidRPr="00321B46">
        <w:rPr>
          <w:szCs w:val="24"/>
        </w:rPr>
        <w:t>asociados con las inversiones requeridas para la reposición de activos;</w:t>
      </w:r>
      <w:r w:rsidR="00605DA7" w:rsidRPr="00321B46">
        <w:rPr>
          <w:szCs w:val="24"/>
        </w:rPr>
        <w:t xml:space="preserve"> o</w:t>
      </w:r>
    </w:p>
    <w:p w14:paraId="147B1ED3" w14:textId="0367380D" w:rsidR="007F1C50" w:rsidRPr="00321B46" w:rsidRDefault="00E43449" w:rsidP="00E43449">
      <w:pPr>
        <w:pStyle w:val="Prrafodelista"/>
        <w:numPr>
          <w:ilvl w:val="0"/>
          <w:numId w:val="11"/>
        </w:numPr>
        <w:spacing w:before="120" w:after="0"/>
        <w:rPr>
          <w:szCs w:val="24"/>
        </w:rPr>
      </w:pPr>
      <w:r w:rsidRPr="00321B46">
        <w:rPr>
          <w:szCs w:val="24"/>
        </w:rPr>
        <w:t>asociados al costo de la prima por lucro cesante por efecto de indisponibilidad ocasionada por fuerza mayor</w:t>
      </w:r>
      <w:r w:rsidR="00605DA7" w:rsidRPr="00321B46">
        <w:rPr>
          <w:szCs w:val="24"/>
        </w:rPr>
        <w:t>.</w:t>
      </w:r>
    </w:p>
    <w:p w14:paraId="427148D4" w14:textId="77777777" w:rsidR="00F30BCA" w:rsidRPr="00321B46" w:rsidRDefault="00F30BCA" w:rsidP="00BF7220">
      <w:pPr>
        <w:pStyle w:val="Ttulo2"/>
      </w:pPr>
      <w:bookmarkStart w:id="117" w:name="_Ref465925630"/>
      <w:bookmarkStart w:id="118" w:name="_Toc466392631"/>
      <w:r w:rsidRPr="00321B46">
        <w:t>Ingreso anual por AOM</w:t>
      </w:r>
      <w:bookmarkEnd w:id="117"/>
      <w:bookmarkEnd w:id="118"/>
    </w:p>
    <w:p w14:paraId="0F03B360" w14:textId="77777777" w:rsidR="00F30BCA" w:rsidRPr="00321B46" w:rsidRDefault="00F30BCA" w:rsidP="00F30BCA">
      <w:pPr>
        <w:jc w:val="left"/>
      </w:pPr>
      <w:r w:rsidRPr="00321B46">
        <w:t>El valor del ingreso anual de referencia por gastos AOM para cada TN será:</w:t>
      </w:r>
    </w:p>
    <w:p w14:paraId="1C0532DC" w14:textId="77777777" w:rsidR="00F30BCA" w:rsidRPr="00321B46" w:rsidRDefault="00651802" w:rsidP="00F30BCA">
      <w:pPr>
        <w:jc w:val="left"/>
      </w:pPr>
      <m:oMathPara>
        <m:oMath>
          <m:sSub>
            <m:sSubPr>
              <m:ctrlPr>
                <w:rPr>
                  <w:rFonts w:ascii="Cambria Math" w:hAnsi="Cambria Math"/>
                  <w:i/>
                </w:rPr>
              </m:ctrlPr>
            </m:sSubPr>
            <m:e>
              <m:r>
                <w:rPr>
                  <w:rFonts w:ascii="Cambria Math" w:hAnsi="Cambria Math"/>
                </w:rPr>
                <m:t>IAAOM</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AOMbase</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AOMNI</m:t>
              </m:r>
            </m:e>
            <m:sub>
              <m:r>
                <w:rPr>
                  <w:rFonts w:ascii="Cambria Math" w:hAnsi="Cambria Math"/>
                </w:rPr>
                <m:t>j,t</m:t>
              </m:r>
            </m:sub>
          </m:sSub>
          <m:r>
            <w:rPr>
              <w:rFonts w:ascii="Cambria Math" w:hAnsi="Cambria Math"/>
            </w:rPr>
            <m:t>+</m:t>
          </m:r>
          <m:sSub>
            <m:sSubPr>
              <m:ctrlPr>
                <w:rPr>
                  <w:rFonts w:ascii="Cambria Math" w:hAnsi="Cambria Math"/>
                  <w:i/>
                  <w:lang w:val="es-ES_tradnl"/>
                </w:rPr>
              </m:ctrlPr>
            </m:sSubPr>
            <m:e>
              <m:r>
                <w:rPr>
                  <w:rFonts w:ascii="Cambria Math" w:hAnsi="Cambria Math"/>
                  <w:lang w:val="es-ES_tradnl"/>
                </w:rPr>
                <m:t xml:space="preserve">AINCG </m:t>
              </m:r>
            </m:e>
            <m:sub>
              <m:r>
                <w:rPr>
                  <w:rFonts w:ascii="Cambria Math" w:hAnsi="Cambria Math"/>
                  <w:lang w:val="es-ES_tradnl"/>
                </w:rPr>
                <m:t>j,t-1</m:t>
              </m:r>
            </m:sub>
          </m:sSub>
        </m:oMath>
      </m:oMathPara>
    </w:p>
    <w:p w14:paraId="0E7CD241" w14:textId="77777777" w:rsidR="00F30BCA" w:rsidRPr="00321B46" w:rsidRDefault="00F30BCA" w:rsidP="00F30BCA">
      <w:pPr>
        <w:ind w:left="1560" w:hanging="1560"/>
        <w:rPr>
          <w:lang w:val="es-MX"/>
        </w:rPr>
      </w:pPr>
      <w:r w:rsidRPr="00321B46">
        <w:rPr>
          <w:i/>
        </w:rPr>
        <w:t>IAAOM</w:t>
      </w:r>
      <w:r w:rsidRPr="00321B46">
        <w:rPr>
          <w:i/>
          <w:vertAlign w:val="subscript"/>
        </w:rPr>
        <w:t>j,t</w:t>
      </w:r>
      <w:r w:rsidRPr="00321B46">
        <w:rPr>
          <w:lang w:val="es-MX"/>
        </w:rPr>
        <w:t>:</w:t>
      </w:r>
      <w:r w:rsidRPr="00321B46">
        <w:rPr>
          <w:lang w:val="es-MX"/>
        </w:rPr>
        <w:tab/>
        <w:t xml:space="preserve">Ingreso anual por concepto de AOM del TN </w:t>
      </w:r>
      <w:r w:rsidRPr="00321B46">
        <w:rPr>
          <w:i/>
          <w:lang w:val="es-MX"/>
        </w:rPr>
        <w:t>j</w:t>
      </w:r>
      <w:r w:rsidRPr="00321B46">
        <w:rPr>
          <w:lang w:val="es-MX"/>
        </w:rPr>
        <w:t xml:space="preserve">, para el año </w:t>
      </w:r>
      <w:r w:rsidRPr="00321B46">
        <w:rPr>
          <w:i/>
          <w:lang w:val="es-MX"/>
        </w:rPr>
        <w:t>t</w:t>
      </w:r>
      <w:r w:rsidRPr="00321B46">
        <w:rPr>
          <w:lang w:val="es-MX"/>
        </w:rPr>
        <w:t>, expresado en pesos de la fecha de corte.</w:t>
      </w:r>
    </w:p>
    <w:p w14:paraId="659AC128" w14:textId="77777777" w:rsidR="00F30BCA" w:rsidRPr="00321B46" w:rsidRDefault="00F30BCA" w:rsidP="00F30BCA">
      <w:pPr>
        <w:ind w:left="1560" w:hanging="1560"/>
        <w:rPr>
          <w:lang w:val="es-MX"/>
        </w:rPr>
      </w:pPr>
      <w:r w:rsidRPr="00321B46">
        <w:rPr>
          <w:i/>
        </w:rPr>
        <w:t>AOMbase</w:t>
      </w:r>
      <w:r w:rsidRPr="00321B46">
        <w:rPr>
          <w:i/>
          <w:vertAlign w:val="subscript"/>
        </w:rPr>
        <w:t>j,t</w:t>
      </w:r>
      <w:r w:rsidRPr="00321B46">
        <w:rPr>
          <w:lang w:val="es-MX"/>
        </w:rPr>
        <w:t>:</w:t>
      </w:r>
      <w:r w:rsidRPr="00321B46">
        <w:rPr>
          <w:lang w:val="es-MX"/>
        </w:rPr>
        <w:tab/>
        <w:t xml:space="preserve">Valor del AOM base del TN </w:t>
      </w:r>
      <w:r w:rsidRPr="00321B46">
        <w:rPr>
          <w:i/>
          <w:lang w:val="es-MX"/>
        </w:rPr>
        <w:t>j</w:t>
      </w:r>
      <w:r w:rsidRPr="00321B46">
        <w:rPr>
          <w:lang w:val="es-MX"/>
        </w:rPr>
        <w:t xml:space="preserve">, para el año </w:t>
      </w:r>
      <w:r w:rsidRPr="00321B46">
        <w:rPr>
          <w:i/>
          <w:lang w:val="es-MX"/>
        </w:rPr>
        <w:t>t</w:t>
      </w:r>
      <w:r w:rsidRPr="00321B46">
        <w:rPr>
          <w:lang w:val="es-MX"/>
        </w:rPr>
        <w:t xml:space="preserve">, calculado de acuerdo con lo previsto en el numeral </w:t>
      </w:r>
      <w:r w:rsidRPr="00321B46">
        <w:rPr>
          <w:lang w:val="es-MX"/>
        </w:rPr>
        <w:fldChar w:fldCharType="begin"/>
      </w:r>
      <w:r w:rsidRPr="00321B46">
        <w:rPr>
          <w:lang w:val="es-MX"/>
        </w:rPr>
        <w:instrText xml:space="preserve"> REF _Ref408428063 \r \h  \* MERGEFORMAT </w:instrText>
      </w:r>
      <w:r w:rsidRPr="00321B46">
        <w:rPr>
          <w:lang w:val="es-MX"/>
        </w:rPr>
      </w:r>
      <w:r w:rsidRPr="00321B46">
        <w:rPr>
          <w:lang w:val="es-MX"/>
        </w:rPr>
        <w:fldChar w:fldCharType="separate"/>
      </w:r>
      <w:r w:rsidR="000F355F">
        <w:rPr>
          <w:lang w:val="es-MX"/>
        </w:rPr>
        <w:t>3.2</w:t>
      </w:r>
      <w:r w:rsidRPr="00321B46">
        <w:rPr>
          <w:lang w:val="es-MX"/>
        </w:rPr>
        <w:fldChar w:fldCharType="end"/>
      </w:r>
      <w:r w:rsidRPr="00321B46">
        <w:rPr>
          <w:lang w:val="es-MX"/>
        </w:rPr>
        <w:t>, expresado en pesos de la fecha de corte.</w:t>
      </w:r>
    </w:p>
    <w:p w14:paraId="7CF1088C" w14:textId="77777777" w:rsidR="00F30BCA" w:rsidRPr="00321B46" w:rsidRDefault="00F30BCA" w:rsidP="00F30BCA">
      <w:pPr>
        <w:ind w:left="1560" w:hanging="1560"/>
        <w:rPr>
          <w:lang w:val="es-MX"/>
        </w:rPr>
      </w:pPr>
      <w:r w:rsidRPr="00321B46">
        <w:rPr>
          <w:i/>
          <w:lang w:val="es-MX"/>
        </w:rPr>
        <w:t>AOMNI</w:t>
      </w:r>
      <w:r w:rsidRPr="00321B46">
        <w:rPr>
          <w:i/>
          <w:vertAlign w:val="subscript"/>
          <w:lang w:val="es-MX"/>
        </w:rPr>
        <w:t>j,t</w:t>
      </w:r>
      <w:r w:rsidRPr="00321B46">
        <w:rPr>
          <w:lang w:val="es-MX"/>
        </w:rPr>
        <w:t>:</w:t>
      </w:r>
      <w:r w:rsidRPr="00321B46">
        <w:rPr>
          <w:lang w:val="es-MX"/>
        </w:rPr>
        <w:tab/>
        <w:t xml:space="preserve">Valor del AOM para nuevas inversiones, diferentes a reposición, del TN </w:t>
      </w:r>
      <w:r w:rsidRPr="00321B46">
        <w:rPr>
          <w:i/>
          <w:lang w:val="es-MX"/>
        </w:rPr>
        <w:t>j</w:t>
      </w:r>
      <w:r w:rsidRPr="00321B46">
        <w:rPr>
          <w:lang w:val="es-MX"/>
        </w:rPr>
        <w:t xml:space="preserve">, para el año </w:t>
      </w:r>
      <w:r w:rsidRPr="00321B46">
        <w:rPr>
          <w:i/>
          <w:lang w:val="es-MX"/>
        </w:rPr>
        <w:t>t</w:t>
      </w:r>
      <w:r w:rsidRPr="00321B46">
        <w:rPr>
          <w:lang w:val="es-MX"/>
        </w:rPr>
        <w:t xml:space="preserve">, calculado de acuerdo con lo previsto en el numeral </w:t>
      </w:r>
      <w:r w:rsidRPr="00321B46">
        <w:rPr>
          <w:lang w:val="es-MX"/>
        </w:rPr>
        <w:fldChar w:fldCharType="begin"/>
      </w:r>
      <w:r w:rsidRPr="00321B46">
        <w:rPr>
          <w:lang w:val="es-MX"/>
        </w:rPr>
        <w:instrText xml:space="preserve"> REF _Ref403576479 \r \h  \* MERGEFORMAT </w:instrText>
      </w:r>
      <w:r w:rsidRPr="00321B46">
        <w:rPr>
          <w:lang w:val="es-MX"/>
        </w:rPr>
      </w:r>
      <w:r w:rsidRPr="00321B46">
        <w:rPr>
          <w:lang w:val="es-MX"/>
        </w:rPr>
        <w:fldChar w:fldCharType="separate"/>
      </w:r>
      <w:r w:rsidR="000F355F">
        <w:rPr>
          <w:lang w:val="es-MX"/>
        </w:rPr>
        <w:t>3.2.4</w:t>
      </w:r>
      <w:r w:rsidRPr="00321B46">
        <w:rPr>
          <w:lang w:val="es-MX"/>
        </w:rPr>
        <w:fldChar w:fldCharType="end"/>
      </w:r>
      <w:r w:rsidRPr="00321B46">
        <w:rPr>
          <w:lang w:val="es-MX"/>
        </w:rPr>
        <w:t>, expresado en pesos de la fecha de corte.</w:t>
      </w:r>
    </w:p>
    <w:p w14:paraId="45E1EE13" w14:textId="77777777" w:rsidR="00F30BCA" w:rsidRPr="00321B46" w:rsidRDefault="00F30BCA" w:rsidP="00F30BCA">
      <w:pPr>
        <w:ind w:left="1560" w:hanging="1560"/>
        <w:rPr>
          <w:i/>
        </w:rPr>
      </w:pPr>
      <w:r w:rsidRPr="00321B46">
        <w:rPr>
          <w:i/>
          <w:iCs/>
        </w:rPr>
        <w:t>AINCG</w:t>
      </w:r>
      <w:r w:rsidRPr="00321B46">
        <w:rPr>
          <w:i/>
          <w:iCs/>
          <w:vertAlign w:val="subscript"/>
        </w:rPr>
        <w:t>j,t</w:t>
      </w:r>
      <w:r w:rsidRPr="00321B46">
        <w:t>:</w:t>
      </w:r>
      <w:r w:rsidRPr="00321B46">
        <w:tab/>
        <w:t xml:space="preserve">Ajuste al ingreso anual por gastos asociados con la eficiencia en los gastos del TN </w:t>
      </w:r>
      <w:r w:rsidRPr="00321B46">
        <w:rPr>
          <w:i/>
        </w:rPr>
        <w:t xml:space="preserve">j </w:t>
      </w:r>
      <w:r w:rsidRPr="00321B46">
        <w:t xml:space="preserve">en el año </w:t>
      </w:r>
      <w:r w:rsidRPr="00321B46">
        <w:rPr>
          <w:i/>
        </w:rPr>
        <w:t xml:space="preserve">t. </w:t>
      </w:r>
      <w:r w:rsidRPr="00321B46">
        <w:t>Para el primer año es igual a cero.</w:t>
      </w:r>
    </w:p>
    <w:p w14:paraId="6DCB71C2" w14:textId="77777777" w:rsidR="00E43449" w:rsidRPr="00321B46" w:rsidRDefault="00E43449" w:rsidP="00BF7220">
      <w:pPr>
        <w:pStyle w:val="Ttulo2"/>
      </w:pPr>
      <w:bookmarkStart w:id="119" w:name="_Toc465917082"/>
      <w:bookmarkStart w:id="120" w:name="_Toc465926025"/>
      <w:bookmarkStart w:id="121" w:name="_Toc465926287"/>
      <w:bookmarkStart w:id="122" w:name="_Toc465926548"/>
      <w:bookmarkStart w:id="123" w:name="_Toc465926809"/>
      <w:bookmarkStart w:id="124" w:name="_Toc465928016"/>
      <w:bookmarkStart w:id="125" w:name="_Toc461090322"/>
      <w:bookmarkStart w:id="126" w:name="_Toc461091471"/>
      <w:bookmarkStart w:id="127" w:name="_Toc461092552"/>
      <w:bookmarkStart w:id="128" w:name="_Toc461092881"/>
      <w:bookmarkStart w:id="129" w:name="_Toc461093357"/>
      <w:bookmarkStart w:id="130" w:name="_Toc461093432"/>
      <w:bookmarkStart w:id="131" w:name="_Ref408231406"/>
      <w:bookmarkStart w:id="132" w:name="_Ref408428063"/>
      <w:bookmarkStart w:id="133" w:name="_Toc466392632"/>
      <w:bookmarkEnd w:id="119"/>
      <w:bookmarkEnd w:id="120"/>
      <w:bookmarkEnd w:id="121"/>
      <w:bookmarkEnd w:id="122"/>
      <w:bookmarkEnd w:id="123"/>
      <w:bookmarkEnd w:id="124"/>
      <w:bookmarkEnd w:id="125"/>
      <w:bookmarkEnd w:id="126"/>
      <w:bookmarkEnd w:id="127"/>
      <w:bookmarkEnd w:id="128"/>
      <w:bookmarkEnd w:id="129"/>
      <w:bookmarkEnd w:id="130"/>
      <w:r w:rsidRPr="00321B46">
        <w:t xml:space="preserve">AOM </w:t>
      </w:r>
      <w:r w:rsidR="009954EA" w:rsidRPr="00321B46">
        <w:t>base a reconocer</w:t>
      </w:r>
      <w:bookmarkEnd w:id="131"/>
      <w:bookmarkEnd w:id="132"/>
      <w:bookmarkEnd w:id="133"/>
    </w:p>
    <w:p w14:paraId="30D8005C" w14:textId="77777777" w:rsidR="00E43449" w:rsidRPr="00321B46" w:rsidRDefault="00E43449" w:rsidP="00E43449">
      <w:r w:rsidRPr="00321B46">
        <w:t>Para el cálculo del valor anual de AOM, se obtendrá uno a partir de los valores de AOM remunerado y de AOM demostrado de cada transmisor nacional, durante los años 2009 a 201</w:t>
      </w:r>
      <w:r w:rsidR="00172371" w:rsidRPr="00321B46">
        <w:t>4</w:t>
      </w:r>
      <w:r w:rsidRPr="00321B46">
        <w:t>. Dichos valores se calcularán como se muestra a continuación.</w:t>
      </w:r>
    </w:p>
    <w:p w14:paraId="69929E04" w14:textId="77777777" w:rsidR="00E43449" w:rsidRPr="00321B46" w:rsidRDefault="00E43449" w:rsidP="00E43449">
      <w:pPr>
        <w:rPr>
          <w:lang w:val="es-MX"/>
        </w:rPr>
      </w:pPr>
      <w:bookmarkStart w:id="134" w:name="_Toc209706059"/>
      <w:bookmarkStart w:id="135" w:name="_Ref209710429"/>
      <w:bookmarkStart w:id="136" w:name="_Toc210187944"/>
      <w:bookmarkStart w:id="137" w:name="_Toc210616082"/>
      <w:bookmarkStart w:id="138" w:name="_Ref403571321"/>
      <w:r w:rsidRPr="00321B46">
        <w:rPr>
          <w:lang w:val="es-MX"/>
        </w:rPr>
        <w:t>El valor de AOM base a reconocer por los activos existentes a la fecha de corte se determina con las siguientes fórmulas:</w:t>
      </w:r>
    </w:p>
    <w:p w14:paraId="38C4DC11" w14:textId="6D47855F" w:rsidR="00172371" w:rsidRPr="00321B46" w:rsidRDefault="00651802" w:rsidP="00172371">
      <w:pPr>
        <w:jc w:val="center"/>
        <w:rPr>
          <w:lang w:val="es-MX"/>
        </w:rPr>
      </w:pPr>
      <m:oMathPara>
        <m:oMath>
          <m:sSub>
            <m:sSubPr>
              <m:ctrlPr>
                <w:rPr>
                  <w:rFonts w:ascii="Cambria Math" w:hAnsi="Cambria Math"/>
                  <w:i/>
                  <w:lang w:val="es-MX"/>
                </w:rPr>
              </m:ctrlPr>
            </m:sSubPr>
            <m:e>
              <m:r>
                <w:rPr>
                  <w:rFonts w:ascii="Cambria Math" w:hAnsi="Cambria Math"/>
                  <w:lang w:val="es-MX"/>
                </w:rPr>
                <m:t>AOMbase</m:t>
              </m:r>
            </m:e>
            <m:sub>
              <m:r>
                <w:rPr>
                  <w:rFonts w:ascii="Cambria Math" w:hAnsi="Cambria Math"/>
                  <w:lang w:val="es-MX"/>
                </w:rPr>
                <m:t>j,t</m:t>
              </m:r>
            </m:sub>
          </m:sSub>
          <m:r>
            <w:rPr>
              <w:rFonts w:ascii="Cambria Math" w:hAnsi="Cambria Math"/>
              <w:lang w:val="es-MX"/>
            </w:rPr>
            <m:t>=mín</m:t>
          </m:r>
          <m:d>
            <m:dPr>
              <m:begChr m:val="["/>
              <m:endChr m:val="]"/>
              <m:ctrlPr>
                <w:rPr>
                  <w:rFonts w:ascii="Cambria Math" w:hAnsi="Cambria Math"/>
                  <w:i/>
                  <w:lang w:val="es-MX"/>
                </w:rPr>
              </m:ctrlPr>
            </m:dPr>
            <m:e>
              <m:d>
                <m:dPr>
                  <m:ctrlPr>
                    <w:rPr>
                      <w:rFonts w:ascii="Cambria Math" w:hAnsi="Cambria Math"/>
                      <w:i/>
                      <w:lang w:val="es-MX"/>
                    </w:rPr>
                  </m:ctrlPr>
                </m:dPr>
                <m:e>
                  <m:d>
                    <m:dPr>
                      <m:ctrlPr>
                        <w:rPr>
                          <w:rFonts w:ascii="Cambria Math" w:hAnsi="Cambria Math"/>
                          <w:i/>
                          <w:lang w:val="es-MX"/>
                        </w:rPr>
                      </m:ctrlPr>
                    </m:dPr>
                    <m:e>
                      <m:r>
                        <w:rPr>
                          <w:rFonts w:ascii="Cambria Math" w:hAnsi="Cambria Math"/>
                          <w:lang w:val="es-MX"/>
                        </w:rPr>
                        <m:t>3,4%+</m:t>
                      </m:r>
                      <m:sSub>
                        <m:sSubPr>
                          <m:ctrlPr>
                            <w:rPr>
                              <w:rFonts w:ascii="Cambria Math" w:hAnsi="Cambria Math"/>
                              <w:i/>
                              <w:lang w:val="es-MX"/>
                            </w:rPr>
                          </m:ctrlPr>
                        </m:sSubPr>
                        <m:e>
                          <m:r>
                            <w:rPr>
                              <w:rFonts w:ascii="Cambria Math" w:hAnsi="Cambria Math"/>
                              <w:lang w:val="es-MX"/>
                            </w:rPr>
                            <m:t>AMB</m:t>
                          </m:r>
                        </m:e>
                        <m:sub>
                          <m:r>
                            <w:rPr>
                              <w:rFonts w:ascii="Cambria Math" w:hAnsi="Cambria Math"/>
                              <w:lang w:val="es-MX"/>
                            </w:rPr>
                            <m:t>j</m:t>
                          </m:r>
                        </m:sub>
                      </m:sSub>
                    </m:e>
                  </m:d>
                  <m:r>
                    <w:rPr>
                      <w:rFonts w:ascii="Cambria Math" w:hAnsi="Cambria Math"/>
                      <w:lang w:val="es-MX"/>
                    </w:rPr>
                    <m:t xml:space="preserve"> *</m:t>
                  </m:r>
                  <m:sSub>
                    <m:sSubPr>
                      <m:ctrlPr>
                        <w:rPr>
                          <w:rFonts w:ascii="Cambria Math" w:hAnsi="Cambria Math"/>
                          <w:i/>
                          <w:lang w:val="es-MX"/>
                        </w:rPr>
                      </m:ctrlPr>
                    </m:sSubPr>
                    <m:e>
                      <m:r>
                        <w:rPr>
                          <w:rFonts w:ascii="Cambria Math" w:hAnsi="Cambria Math"/>
                          <w:lang w:val="es-MX"/>
                        </w:rPr>
                        <m:t>CRE</m:t>
                      </m:r>
                    </m:e>
                    <m:sub>
                      <m:r>
                        <w:rPr>
                          <w:rFonts w:ascii="Cambria Math" w:hAnsi="Cambria Math"/>
                          <w:lang w:val="es-MX"/>
                        </w:rPr>
                        <m:t>j,2014</m:t>
                      </m:r>
                    </m:sub>
                  </m:sSub>
                </m:e>
              </m:d>
              <m:r>
                <w:rPr>
                  <w:rFonts w:ascii="Cambria Math" w:hAnsi="Cambria Math"/>
                  <w:lang w:val="es-MX"/>
                </w:rPr>
                <m:t xml:space="preserve">, </m:t>
              </m:r>
              <m:f>
                <m:fPr>
                  <m:ctrlPr>
                    <w:rPr>
                      <w:rFonts w:ascii="Cambria Math" w:hAnsi="Cambria Math"/>
                      <w:i/>
                      <w:lang w:val="es-MX"/>
                    </w:rPr>
                  </m:ctrlPr>
                </m:fPr>
                <m:num>
                  <m:sSub>
                    <m:sSubPr>
                      <m:ctrlPr>
                        <w:rPr>
                          <w:rFonts w:ascii="Cambria Math" w:hAnsi="Cambria Math"/>
                          <w:i/>
                          <w:lang w:val="es-MX"/>
                        </w:rPr>
                      </m:ctrlPr>
                    </m:sSubPr>
                    <m:e>
                      <m:r>
                        <w:rPr>
                          <w:rFonts w:ascii="Cambria Math" w:hAnsi="Cambria Math"/>
                          <w:lang w:val="es-MX"/>
                        </w:rPr>
                        <m:t>AOMD</m:t>
                      </m:r>
                    </m:e>
                    <m:sub>
                      <m:r>
                        <w:rPr>
                          <w:rFonts w:ascii="Cambria Math" w:hAnsi="Cambria Math"/>
                          <w:lang w:val="es-MX"/>
                        </w:rPr>
                        <m:t>j,09-14</m:t>
                      </m:r>
                    </m:sub>
                  </m:sSub>
                  <m:r>
                    <w:rPr>
                      <w:rFonts w:ascii="Cambria Math" w:hAnsi="Cambria Math"/>
                      <w:lang w:val="es-MX"/>
                    </w:rPr>
                    <m:t>+</m:t>
                  </m:r>
                  <m:sSub>
                    <m:sSubPr>
                      <m:ctrlPr>
                        <w:rPr>
                          <w:rFonts w:ascii="Cambria Math" w:hAnsi="Cambria Math"/>
                          <w:i/>
                          <w:lang w:val="es-MX"/>
                        </w:rPr>
                      </m:ctrlPr>
                    </m:sSubPr>
                    <m:e>
                      <m:r>
                        <w:rPr>
                          <w:rFonts w:ascii="Cambria Math" w:hAnsi="Cambria Math"/>
                          <w:lang w:val="es-MX"/>
                        </w:rPr>
                        <m:t>AOMR</m:t>
                      </m:r>
                    </m:e>
                    <m:sub>
                      <m:r>
                        <w:rPr>
                          <w:rFonts w:ascii="Cambria Math" w:hAnsi="Cambria Math"/>
                          <w:lang w:val="es-MX"/>
                        </w:rPr>
                        <m:t>j,09-14</m:t>
                      </m:r>
                    </m:sub>
                  </m:sSub>
                </m:num>
                <m:den>
                  <m:r>
                    <w:rPr>
                      <w:rFonts w:ascii="Cambria Math" w:hAnsi="Cambria Math"/>
                      <w:lang w:val="es-MX"/>
                    </w:rPr>
                    <m:t>2</m:t>
                  </m:r>
                </m:den>
              </m:f>
            </m:e>
          </m:d>
          <m:r>
            <w:rPr>
              <w:rFonts w:ascii="Cambria Math" w:hAnsi="Cambria Math"/>
              <w:lang w:val="es-MX"/>
            </w:rPr>
            <m:t>*</m:t>
          </m:r>
          <m:f>
            <m:fPr>
              <m:ctrlPr>
                <w:rPr>
                  <w:rFonts w:ascii="Cambria Math" w:hAnsi="Cambria Math"/>
                  <w:i/>
                  <w:lang w:val="es-MX"/>
                </w:rPr>
              </m:ctrlPr>
            </m:fPr>
            <m:num>
              <m:sSub>
                <m:sSubPr>
                  <m:ctrlPr>
                    <w:rPr>
                      <w:rFonts w:ascii="Cambria Math" w:hAnsi="Cambria Math"/>
                      <w:i/>
                      <w:lang w:val="es-MX"/>
                    </w:rPr>
                  </m:ctrlPr>
                </m:sSubPr>
                <m:e>
                  <m:r>
                    <w:rPr>
                      <w:rFonts w:ascii="Cambria Math" w:hAnsi="Cambria Math"/>
                      <w:lang w:val="es-MX"/>
                    </w:rPr>
                    <m:t>IPP</m:t>
                  </m:r>
                </m:e>
                <m:sub>
                  <m:r>
                    <w:rPr>
                      <w:rFonts w:ascii="Cambria Math" w:hAnsi="Cambria Math"/>
                      <w:lang w:val="es-MX"/>
                    </w:rPr>
                    <m:t>FC</m:t>
                  </m:r>
                </m:sub>
              </m:sSub>
            </m:num>
            <m:den>
              <m:sSub>
                <m:sSubPr>
                  <m:ctrlPr>
                    <w:rPr>
                      <w:rFonts w:ascii="Cambria Math" w:hAnsi="Cambria Math"/>
                      <w:i/>
                      <w:lang w:val="es-MX"/>
                    </w:rPr>
                  </m:ctrlPr>
                </m:sSubPr>
                <m:e>
                  <m:r>
                    <w:rPr>
                      <w:rFonts w:ascii="Cambria Math" w:hAnsi="Cambria Math"/>
                      <w:lang w:val="es-MX"/>
                    </w:rPr>
                    <m:t>IPP</m:t>
                  </m:r>
                </m:e>
                <m:sub>
                  <m:r>
                    <w:rPr>
                      <w:rFonts w:ascii="Cambria Math" w:hAnsi="Cambria Math"/>
                      <w:lang w:val="es-MX"/>
                    </w:rPr>
                    <m:t>14</m:t>
                  </m:r>
                </m:sub>
              </m:sSub>
            </m:den>
          </m:f>
        </m:oMath>
      </m:oMathPara>
    </w:p>
    <w:p w14:paraId="733B3F21" w14:textId="3A2C087A" w:rsidR="00172371" w:rsidRPr="00321B46" w:rsidRDefault="00172371" w:rsidP="00172371">
      <w:pPr>
        <w:spacing w:before="0" w:after="0"/>
        <w:jc w:val="left"/>
        <w:rPr>
          <w:lang w:val="es-MX"/>
        </w:rPr>
      </w:pPr>
      <w:r w:rsidRPr="00321B46">
        <w:rPr>
          <w:lang w:val="es-MX"/>
        </w:rPr>
        <w:t>Donde:</w:t>
      </w:r>
    </w:p>
    <w:p w14:paraId="42F1D5B7" w14:textId="77777777" w:rsidR="00172371" w:rsidRPr="00321B46" w:rsidRDefault="00172371" w:rsidP="00172371">
      <w:pPr>
        <w:ind w:left="1560" w:hanging="1560"/>
        <w:rPr>
          <w:lang w:val="es-MX"/>
        </w:rPr>
      </w:pPr>
      <w:r w:rsidRPr="00321B46">
        <w:rPr>
          <w:i/>
        </w:rPr>
        <w:t>AOMbase</w:t>
      </w:r>
      <w:r w:rsidRPr="00321B46">
        <w:rPr>
          <w:i/>
          <w:vertAlign w:val="subscript"/>
        </w:rPr>
        <w:t>j,t</w:t>
      </w:r>
      <w:r w:rsidRPr="00321B46">
        <w:rPr>
          <w:lang w:val="es-MX"/>
        </w:rPr>
        <w:t>:</w:t>
      </w:r>
      <w:r w:rsidRPr="00321B46">
        <w:rPr>
          <w:lang w:val="es-MX"/>
        </w:rPr>
        <w:tab/>
        <w:t xml:space="preserve">Valor del AOM base para el TN </w:t>
      </w:r>
      <w:r w:rsidRPr="00321B46">
        <w:rPr>
          <w:i/>
          <w:lang w:val="es-MX"/>
        </w:rPr>
        <w:t>j</w:t>
      </w:r>
      <w:r w:rsidRPr="00321B46">
        <w:rPr>
          <w:lang w:val="es-MX"/>
        </w:rPr>
        <w:t xml:space="preserve">, para el año </w:t>
      </w:r>
      <w:r w:rsidRPr="00321B46">
        <w:rPr>
          <w:i/>
          <w:lang w:val="es-MX"/>
        </w:rPr>
        <w:t>i</w:t>
      </w:r>
      <w:r w:rsidRPr="00321B46">
        <w:rPr>
          <w:lang w:val="es-MX"/>
        </w:rPr>
        <w:t>, expresado en pesos de la fecha de corte.</w:t>
      </w:r>
    </w:p>
    <w:p w14:paraId="52A0A9B7" w14:textId="0E2342A0" w:rsidR="00172371" w:rsidRPr="00321B46" w:rsidRDefault="00172371" w:rsidP="00172371">
      <w:pPr>
        <w:ind w:left="1560" w:hanging="1560"/>
        <w:rPr>
          <w:lang w:val="es-MX"/>
        </w:rPr>
      </w:pPr>
      <w:r w:rsidRPr="00321B46">
        <w:rPr>
          <w:i/>
        </w:rPr>
        <w:t>AOMD</w:t>
      </w:r>
      <w:r w:rsidRPr="00321B46">
        <w:rPr>
          <w:i/>
          <w:vertAlign w:val="subscript"/>
        </w:rPr>
        <w:t>j,09-</w:t>
      </w:r>
      <w:r w:rsidR="00592A68" w:rsidRPr="00321B46">
        <w:rPr>
          <w:i/>
          <w:vertAlign w:val="subscript"/>
        </w:rPr>
        <w:t>14</w:t>
      </w:r>
      <w:r w:rsidRPr="00321B46">
        <w:rPr>
          <w:lang w:val="es-MX"/>
        </w:rPr>
        <w:t>:</w:t>
      </w:r>
      <w:r w:rsidRPr="00321B46">
        <w:rPr>
          <w:lang w:val="es-MX"/>
        </w:rPr>
        <w:tab/>
        <w:t xml:space="preserve">Valor del AOM demostrado por el TN </w:t>
      </w:r>
      <w:r w:rsidRPr="00321B46">
        <w:rPr>
          <w:i/>
          <w:lang w:val="es-MX"/>
        </w:rPr>
        <w:t>j</w:t>
      </w:r>
      <w:r w:rsidRPr="00321B46">
        <w:rPr>
          <w:lang w:val="es-MX"/>
        </w:rPr>
        <w:t xml:space="preserve">, calculado de acuerdo con lo previsto en el numeral </w:t>
      </w:r>
      <w:r w:rsidRPr="00321B46">
        <w:rPr>
          <w:lang w:val="es-MX"/>
        </w:rPr>
        <w:fldChar w:fldCharType="begin"/>
      </w:r>
      <w:r w:rsidRPr="00321B46">
        <w:rPr>
          <w:lang w:val="es-MX"/>
        </w:rPr>
        <w:instrText xml:space="preserve"> REF _Ref409016063 \r \h </w:instrText>
      </w:r>
      <w:r w:rsidR="003276B5" w:rsidRPr="00321B46">
        <w:rPr>
          <w:lang w:val="es-MX"/>
        </w:rPr>
        <w:instrText xml:space="preserve"> \* MERGEFORMAT </w:instrText>
      </w:r>
      <w:r w:rsidRPr="00321B46">
        <w:rPr>
          <w:lang w:val="es-MX"/>
        </w:rPr>
      </w:r>
      <w:r w:rsidRPr="00321B46">
        <w:rPr>
          <w:lang w:val="es-MX"/>
        </w:rPr>
        <w:fldChar w:fldCharType="separate"/>
      </w:r>
      <w:r w:rsidR="000F355F">
        <w:rPr>
          <w:lang w:val="es-MX"/>
        </w:rPr>
        <w:t>3.2.1</w:t>
      </w:r>
      <w:r w:rsidRPr="00321B46">
        <w:rPr>
          <w:lang w:val="es-MX"/>
        </w:rPr>
        <w:fldChar w:fldCharType="end"/>
      </w:r>
      <w:r w:rsidRPr="00321B46">
        <w:rPr>
          <w:lang w:val="es-MX"/>
        </w:rPr>
        <w:t>.</w:t>
      </w:r>
    </w:p>
    <w:p w14:paraId="789BC252" w14:textId="79BFAB09" w:rsidR="00172371" w:rsidRPr="00321B46" w:rsidRDefault="00172371" w:rsidP="00172371">
      <w:pPr>
        <w:ind w:left="1560" w:hanging="1560"/>
        <w:rPr>
          <w:lang w:val="es-MX"/>
        </w:rPr>
      </w:pPr>
      <w:r w:rsidRPr="00321B46">
        <w:rPr>
          <w:i/>
        </w:rPr>
        <w:t>AOMR</w:t>
      </w:r>
      <w:r w:rsidRPr="00321B46">
        <w:rPr>
          <w:i/>
          <w:vertAlign w:val="subscript"/>
        </w:rPr>
        <w:t>j,09-</w:t>
      </w:r>
      <w:r w:rsidR="00592A68" w:rsidRPr="00321B46">
        <w:rPr>
          <w:i/>
          <w:vertAlign w:val="subscript"/>
        </w:rPr>
        <w:t>14</w:t>
      </w:r>
      <w:r w:rsidRPr="00321B46">
        <w:rPr>
          <w:lang w:val="es-MX"/>
        </w:rPr>
        <w:t>:</w:t>
      </w:r>
      <w:r w:rsidRPr="00321B46">
        <w:rPr>
          <w:lang w:val="es-MX"/>
        </w:rPr>
        <w:tab/>
        <w:t xml:space="preserve">Valor del AOM remunerado al TN </w:t>
      </w:r>
      <w:r w:rsidRPr="00321B46">
        <w:rPr>
          <w:i/>
          <w:lang w:val="es-MX"/>
        </w:rPr>
        <w:t>j</w:t>
      </w:r>
      <w:r w:rsidRPr="00321B46">
        <w:rPr>
          <w:lang w:val="es-MX"/>
        </w:rPr>
        <w:t xml:space="preserve">, calculado de acuerdo con lo previsto en el numeral </w:t>
      </w:r>
      <w:r w:rsidRPr="00321B46">
        <w:rPr>
          <w:lang w:val="es-MX"/>
        </w:rPr>
        <w:fldChar w:fldCharType="begin"/>
      </w:r>
      <w:r w:rsidRPr="00321B46">
        <w:rPr>
          <w:lang w:val="es-MX"/>
        </w:rPr>
        <w:instrText xml:space="preserve"> REF _Ref403571324 \r \h  \* MERGEFORMAT </w:instrText>
      </w:r>
      <w:r w:rsidRPr="00321B46">
        <w:rPr>
          <w:lang w:val="es-MX"/>
        </w:rPr>
      </w:r>
      <w:r w:rsidRPr="00321B46">
        <w:rPr>
          <w:lang w:val="es-MX"/>
        </w:rPr>
        <w:fldChar w:fldCharType="separate"/>
      </w:r>
      <w:r w:rsidR="000F355F">
        <w:rPr>
          <w:lang w:val="es-MX"/>
        </w:rPr>
        <w:t>3.2.2</w:t>
      </w:r>
      <w:r w:rsidRPr="00321B46">
        <w:rPr>
          <w:lang w:val="es-MX"/>
        </w:rPr>
        <w:fldChar w:fldCharType="end"/>
      </w:r>
      <w:r w:rsidRPr="00321B46">
        <w:rPr>
          <w:lang w:val="es-MX"/>
        </w:rPr>
        <w:t>.</w:t>
      </w:r>
    </w:p>
    <w:p w14:paraId="0A7AB2C3" w14:textId="5F716DAC" w:rsidR="00172371" w:rsidRPr="00321B46" w:rsidRDefault="00172371" w:rsidP="00172371">
      <w:pPr>
        <w:ind w:left="1560" w:hanging="1560"/>
        <w:rPr>
          <w:lang w:val="es-MX"/>
        </w:rPr>
      </w:pPr>
      <w:r w:rsidRPr="00321B46">
        <w:rPr>
          <w:i/>
        </w:rPr>
        <w:t>CRE</w:t>
      </w:r>
      <w:r w:rsidR="00952612" w:rsidRPr="00321B46">
        <w:rPr>
          <w:i/>
          <w:vertAlign w:val="subscript"/>
        </w:rPr>
        <w:t>j,2014</w:t>
      </w:r>
      <w:r w:rsidRPr="00321B46">
        <w:rPr>
          <w:lang w:val="es-MX"/>
        </w:rPr>
        <w:t>:</w:t>
      </w:r>
      <w:r w:rsidRPr="00321B46">
        <w:rPr>
          <w:lang w:val="es-MX"/>
        </w:rPr>
        <w:tab/>
        <w:t xml:space="preserve">Valor de reposición de la inversión del TN </w:t>
      </w:r>
      <w:r w:rsidRPr="00321B46">
        <w:rPr>
          <w:i/>
          <w:lang w:val="es-MX"/>
        </w:rPr>
        <w:t>j</w:t>
      </w:r>
      <w:r w:rsidRPr="00321B46">
        <w:rPr>
          <w:lang w:val="es-MX"/>
        </w:rPr>
        <w:t xml:space="preserve"> utilizada para calcular el </w:t>
      </w:r>
      <w:r w:rsidRPr="00321B46">
        <w:rPr>
          <w:i/>
          <w:lang w:val="es-MX"/>
        </w:rPr>
        <w:t>PAOMD</w:t>
      </w:r>
      <w:r w:rsidRPr="00321B46">
        <w:rPr>
          <w:i/>
          <w:vertAlign w:val="subscript"/>
          <w:lang w:val="es-MX"/>
        </w:rPr>
        <w:t>j,201</w:t>
      </w:r>
      <w:r w:rsidR="00952612" w:rsidRPr="00321B46">
        <w:rPr>
          <w:i/>
          <w:vertAlign w:val="subscript"/>
          <w:lang w:val="es-MX"/>
        </w:rPr>
        <w:t>4</w:t>
      </w:r>
      <w:r w:rsidRPr="00321B46">
        <w:rPr>
          <w:lang w:val="es-MX"/>
        </w:rPr>
        <w:t xml:space="preserve">, de acuerdo con lo señalado en el numeral </w:t>
      </w:r>
      <w:r w:rsidR="00C03AD3" w:rsidRPr="00321B46">
        <w:rPr>
          <w:lang w:val="es-MX"/>
        </w:rPr>
        <w:t>2</w:t>
      </w:r>
      <w:r w:rsidRPr="00321B46">
        <w:rPr>
          <w:lang w:val="es-MX"/>
        </w:rPr>
        <w:t>.3 del anexo general de la Resolución CREG 011 de 2009.</w:t>
      </w:r>
    </w:p>
    <w:p w14:paraId="60A9E883" w14:textId="49116EB2" w:rsidR="00592A68" w:rsidRPr="00321B46" w:rsidRDefault="00592A68" w:rsidP="00592A68">
      <w:pPr>
        <w:ind w:left="1560" w:hanging="1560"/>
        <w:rPr>
          <w:lang w:val="es-MX"/>
        </w:rPr>
      </w:pPr>
      <w:r w:rsidRPr="00321B46">
        <w:rPr>
          <w:i/>
        </w:rPr>
        <w:t>AMB</w:t>
      </w:r>
      <w:r w:rsidRPr="00321B46">
        <w:rPr>
          <w:i/>
          <w:vertAlign w:val="subscript"/>
        </w:rPr>
        <w:t>j</w:t>
      </w:r>
      <w:r w:rsidRPr="00321B46">
        <w:rPr>
          <w:lang w:val="es-MX"/>
        </w:rPr>
        <w:t>:</w:t>
      </w:r>
      <w:r w:rsidRPr="00321B46">
        <w:rPr>
          <w:lang w:val="es-MX"/>
        </w:rPr>
        <w:tab/>
        <w:t xml:space="preserve">Porcentaje adicional de AOM a reconocer al TN </w:t>
      </w:r>
      <w:r w:rsidRPr="00321B46">
        <w:rPr>
          <w:i/>
          <w:lang w:val="es-MX"/>
        </w:rPr>
        <w:t>j</w:t>
      </w:r>
      <w:r w:rsidRPr="00321B46">
        <w:rPr>
          <w:lang w:val="es-MX"/>
        </w:rPr>
        <w:t xml:space="preserve"> por condiciones ambientales, calculado de acuerdo con lo previsto en el numeral </w:t>
      </w:r>
      <w:r w:rsidR="004A2E52" w:rsidRPr="00321B46">
        <w:rPr>
          <w:lang w:val="es-MX"/>
        </w:rPr>
        <w:fldChar w:fldCharType="begin"/>
      </w:r>
      <w:r w:rsidR="004A2E52" w:rsidRPr="00321B46">
        <w:rPr>
          <w:lang w:val="es-MX"/>
        </w:rPr>
        <w:instrText xml:space="preserve"> REF _Ref460521511 \r \h </w:instrText>
      </w:r>
      <w:r w:rsidR="003276B5" w:rsidRPr="00321B46">
        <w:rPr>
          <w:lang w:val="es-MX"/>
        </w:rPr>
        <w:instrText xml:space="preserve"> \* MERGEFORMAT </w:instrText>
      </w:r>
      <w:r w:rsidR="004A2E52" w:rsidRPr="00321B46">
        <w:rPr>
          <w:lang w:val="es-MX"/>
        </w:rPr>
      </w:r>
      <w:r w:rsidR="004A2E52" w:rsidRPr="00321B46">
        <w:rPr>
          <w:lang w:val="es-MX"/>
        </w:rPr>
        <w:fldChar w:fldCharType="separate"/>
      </w:r>
      <w:r w:rsidR="000F355F">
        <w:rPr>
          <w:lang w:val="es-MX"/>
        </w:rPr>
        <w:t>3.2.3</w:t>
      </w:r>
      <w:r w:rsidR="004A2E52" w:rsidRPr="00321B46">
        <w:rPr>
          <w:lang w:val="es-MX"/>
        </w:rPr>
        <w:fldChar w:fldCharType="end"/>
      </w:r>
      <w:r w:rsidRPr="00321B46">
        <w:rPr>
          <w:lang w:val="es-MX"/>
        </w:rPr>
        <w:t>.</w:t>
      </w:r>
    </w:p>
    <w:p w14:paraId="202896C4" w14:textId="77777777" w:rsidR="00172371" w:rsidRPr="00321B46" w:rsidRDefault="004A1AF8" w:rsidP="00172371">
      <w:pPr>
        <w:ind w:left="1560" w:hanging="1560"/>
        <w:rPr>
          <w:lang w:val="es-MX"/>
        </w:rPr>
      </w:pPr>
      <w:r w:rsidRPr="00321B46">
        <w:rPr>
          <w:i/>
          <w:lang w:val="es-MX"/>
        </w:rPr>
        <w:t>IPP</w:t>
      </w:r>
      <w:r w:rsidRPr="00321B46">
        <w:rPr>
          <w:i/>
          <w:vertAlign w:val="subscript"/>
          <w:lang w:val="es-MX"/>
        </w:rPr>
        <w:t>FC</w:t>
      </w:r>
      <w:r w:rsidR="00952612" w:rsidRPr="00321B46">
        <w:rPr>
          <w:lang w:val="es-MX"/>
        </w:rPr>
        <w:t>:</w:t>
      </w:r>
      <w:r w:rsidR="00952612" w:rsidRPr="00321B46">
        <w:rPr>
          <w:lang w:val="es-MX"/>
        </w:rPr>
        <w:tab/>
      </w:r>
      <w:r w:rsidR="00172371" w:rsidRPr="00321B46">
        <w:rPr>
          <w:lang w:val="es-MX"/>
        </w:rPr>
        <w:t xml:space="preserve">Índice de precios </w:t>
      </w:r>
      <w:r w:rsidR="00952612" w:rsidRPr="00321B46">
        <w:rPr>
          <w:lang w:val="es-MX"/>
        </w:rPr>
        <w:t>de</w:t>
      </w:r>
      <w:r w:rsidR="00172371" w:rsidRPr="00321B46">
        <w:rPr>
          <w:lang w:val="es-MX"/>
        </w:rPr>
        <w:t>l productor en la fecha de corte.</w:t>
      </w:r>
    </w:p>
    <w:p w14:paraId="502CB252" w14:textId="77777777" w:rsidR="00172371" w:rsidRPr="00321B46" w:rsidRDefault="00172371" w:rsidP="00172371">
      <w:pPr>
        <w:spacing w:before="0" w:after="0"/>
        <w:ind w:left="1560" w:hanging="1560"/>
        <w:rPr>
          <w:lang w:val="es-MX"/>
        </w:rPr>
      </w:pPr>
      <w:r w:rsidRPr="00321B46">
        <w:rPr>
          <w:i/>
          <w:lang w:val="es-MX"/>
        </w:rPr>
        <w:t>IPP</w:t>
      </w:r>
      <w:r w:rsidRPr="00321B46">
        <w:rPr>
          <w:i/>
          <w:vertAlign w:val="subscript"/>
          <w:lang w:val="es-MX"/>
        </w:rPr>
        <w:t>1</w:t>
      </w:r>
      <w:r w:rsidR="00952612" w:rsidRPr="00321B46">
        <w:rPr>
          <w:i/>
          <w:vertAlign w:val="subscript"/>
          <w:lang w:val="es-MX"/>
        </w:rPr>
        <w:t>4</w:t>
      </w:r>
      <w:r w:rsidRPr="00321B46">
        <w:rPr>
          <w:lang w:val="es-MX"/>
        </w:rPr>
        <w:t>:</w:t>
      </w:r>
      <w:r w:rsidRPr="00321B46">
        <w:rPr>
          <w:lang w:val="es-MX"/>
        </w:rPr>
        <w:tab/>
        <w:t xml:space="preserve">Índice de precios </w:t>
      </w:r>
      <w:r w:rsidR="00952612" w:rsidRPr="00321B46">
        <w:rPr>
          <w:lang w:val="es-MX"/>
        </w:rPr>
        <w:t>de</w:t>
      </w:r>
      <w:r w:rsidRPr="00321B46">
        <w:rPr>
          <w:lang w:val="es-MX"/>
        </w:rPr>
        <w:t>l productor de diciembre de 201</w:t>
      </w:r>
      <w:r w:rsidR="00952612" w:rsidRPr="00321B46">
        <w:rPr>
          <w:lang w:val="es-MX"/>
        </w:rPr>
        <w:t>4</w:t>
      </w:r>
      <w:r w:rsidRPr="00321B46">
        <w:rPr>
          <w:lang w:val="es-MX"/>
        </w:rPr>
        <w:t>.</w:t>
      </w:r>
    </w:p>
    <w:p w14:paraId="5DC1DAD0" w14:textId="77777777" w:rsidR="00E43449" w:rsidRPr="00321B46" w:rsidRDefault="00E43449" w:rsidP="009A7C14">
      <w:pPr>
        <w:ind w:left="1560" w:hanging="1560"/>
        <w:rPr>
          <w:lang w:val="es-MX"/>
        </w:rPr>
      </w:pPr>
      <w:r w:rsidRPr="00321B46">
        <w:rPr>
          <w:i/>
          <w:lang w:val="es-MX"/>
        </w:rPr>
        <w:t>t</w:t>
      </w:r>
      <w:r w:rsidRPr="00321B46">
        <w:rPr>
          <w:lang w:val="es-MX"/>
        </w:rPr>
        <w:t>:</w:t>
      </w:r>
      <w:r w:rsidRPr="00321B46">
        <w:rPr>
          <w:lang w:val="es-MX"/>
        </w:rPr>
        <w:tab/>
        <w:t>Variable que cuenta el número de años de aplicación de esta metodología. Es igual a 1 para el año en el que se inicia la aplicación de la metodología aprobada en esta resolución.</w:t>
      </w:r>
    </w:p>
    <w:p w14:paraId="70F45465" w14:textId="77777777" w:rsidR="00E43449" w:rsidRPr="00321B46" w:rsidRDefault="00E43449" w:rsidP="00E43449">
      <w:pPr>
        <w:pStyle w:val="Ttulo3"/>
        <w:rPr>
          <w:szCs w:val="24"/>
        </w:rPr>
      </w:pPr>
      <w:bookmarkStart w:id="139" w:name="_Ref409016039"/>
      <w:bookmarkStart w:id="140" w:name="_Ref409016063"/>
      <w:bookmarkStart w:id="141" w:name="_Toc466392633"/>
      <w:r w:rsidRPr="00321B46">
        <w:rPr>
          <w:szCs w:val="24"/>
        </w:rPr>
        <w:t>AOM demostrado</w:t>
      </w:r>
      <w:bookmarkEnd w:id="134"/>
      <w:bookmarkEnd w:id="135"/>
      <w:bookmarkEnd w:id="136"/>
      <w:bookmarkEnd w:id="137"/>
      <w:bookmarkEnd w:id="138"/>
      <w:bookmarkEnd w:id="139"/>
      <w:bookmarkEnd w:id="140"/>
      <w:bookmarkEnd w:id="141"/>
    </w:p>
    <w:p w14:paraId="6856AA0A" w14:textId="77777777" w:rsidR="00E43449" w:rsidRPr="00321B46" w:rsidRDefault="00E43449" w:rsidP="00E43449">
      <w:pPr>
        <w:rPr>
          <w:lang w:val="es-MX"/>
        </w:rPr>
      </w:pPr>
      <w:r w:rsidRPr="00321B46">
        <w:t xml:space="preserve">Para calcular el valor de AOM demostrado, </w:t>
      </w:r>
      <w:r w:rsidRPr="00321B46">
        <w:rPr>
          <w:i/>
        </w:rPr>
        <w:t>AOMD</w:t>
      </w:r>
      <w:r w:rsidRPr="00321B46">
        <w:rPr>
          <w:i/>
          <w:vertAlign w:val="subscript"/>
        </w:rPr>
        <w:t>j,09-</w:t>
      </w:r>
      <w:r w:rsidR="00952612" w:rsidRPr="00321B46">
        <w:rPr>
          <w:i/>
          <w:vertAlign w:val="subscript"/>
        </w:rPr>
        <w:t>14</w:t>
      </w:r>
      <w:r w:rsidRPr="00321B46">
        <w:t>, a cada TN se obtiene:</w:t>
      </w:r>
    </w:p>
    <w:p w14:paraId="5FC62B81" w14:textId="77777777" w:rsidR="00E43449" w:rsidRPr="00321B46" w:rsidRDefault="00E43449" w:rsidP="00E43449">
      <w:pPr>
        <w:pStyle w:val="Prrafodelista"/>
        <w:numPr>
          <w:ilvl w:val="0"/>
          <w:numId w:val="12"/>
        </w:numPr>
        <w:rPr>
          <w:szCs w:val="24"/>
          <w:lang w:val="es-MX"/>
        </w:rPr>
      </w:pPr>
      <w:r w:rsidRPr="00321B46">
        <w:rPr>
          <w:szCs w:val="24"/>
          <w:lang w:val="es-MX"/>
        </w:rPr>
        <w:t xml:space="preserve">El valor de AOM demostrado para cada año desde 2009 a </w:t>
      </w:r>
      <w:r w:rsidR="00952612" w:rsidRPr="00321B46">
        <w:rPr>
          <w:szCs w:val="24"/>
          <w:lang w:val="es-MX"/>
        </w:rPr>
        <w:t>2014</w:t>
      </w:r>
      <w:r w:rsidRPr="00321B46">
        <w:rPr>
          <w:szCs w:val="24"/>
          <w:lang w:val="es-MX"/>
        </w:rPr>
        <w:t xml:space="preserve">, calculado  conforme a lo establecido en la Resolución CREG 011 de 2009, actualizado con la variación del IPP desde diciembre del respectivo año hasta diciembre de </w:t>
      </w:r>
      <w:r w:rsidR="00952612" w:rsidRPr="00321B46">
        <w:rPr>
          <w:szCs w:val="24"/>
          <w:lang w:val="es-MX"/>
        </w:rPr>
        <w:t>2014</w:t>
      </w:r>
      <w:r w:rsidRPr="00321B46">
        <w:rPr>
          <w:szCs w:val="24"/>
          <w:lang w:val="es-MX"/>
        </w:rPr>
        <w:t>.</w:t>
      </w:r>
    </w:p>
    <w:p w14:paraId="507FE6F4" w14:textId="77777777" w:rsidR="00E43449" w:rsidRPr="00321B46" w:rsidRDefault="00E43449" w:rsidP="00E43449">
      <w:pPr>
        <w:pStyle w:val="Prrafodelista"/>
        <w:numPr>
          <w:ilvl w:val="0"/>
          <w:numId w:val="12"/>
        </w:numPr>
        <w:rPr>
          <w:szCs w:val="24"/>
          <w:lang w:val="es-MX"/>
        </w:rPr>
      </w:pPr>
      <w:r w:rsidRPr="00321B46">
        <w:rPr>
          <w:szCs w:val="24"/>
          <w:lang w:val="es-MX"/>
        </w:rPr>
        <w:t xml:space="preserve">A partir de los valores actualizados se obtiene un promedio aritmético de ellos que corresponderá al </w:t>
      </w:r>
      <w:r w:rsidRPr="00321B46">
        <w:rPr>
          <w:szCs w:val="24"/>
        </w:rPr>
        <w:t xml:space="preserve">AOM demostrado, </w:t>
      </w:r>
      <w:r w:rsidRPr="00321B46">
        <w:rPr>
          <w:i/>
          <w:szCs w:val="24"/>
        </w:rPr>
        <w:t>AOMD</w:t>
      </w:r>
      <w:r w:rsidRPr="00321B46">
        <w:rPr>
          <w:i/>
          <w:szCs w:val="24"/>
          <w:vertAlign w:val="subscript"/>
        </w:rPr>
        <w:t>j,09-</w:t>
      </w:r>
      <w:r w:rsidR="00952612" w:rsidRPr="00321B46">
        <w:rPr>
          <w:i/>
          <w:szCs w:val="24"/>
          <w:vertAlign w:val="subscript"/>
        </w:rPr>
        <w:t>14</w:t>
      </w:r>
      <w:r w:rsidRPr="00321B46">
        <w:rPr>
          <w:szCs w:val="24"/>
        </w:rPr>
        <w:t>.</w:t>
      </w:r>
    </w:p>
    <w:p w14:paraId="55CBF87B" w14:textId="77777777" w:rsidR="00E43449" w:rsidRPr="00321B46" w:rsidRDefault="00E43449" w:rsidP="00E43449">
      <w:pPr>
        <w:pStyle w:val="Ttulo3"/>
        <w:rPr>
          <w:szCs w:val="24"/>
        </w:rPr>
      </w:pPr>
      <w:bookmarkStart w:id="142" w:name="_Ref403571324"/>
      <w:bookmarkStart w:id="143" w:name="_Toc466392634"/>
      <w:r w:rsidRPr="00321B46">
        <w:rPr>
          <w:szCs w:val="24"/>
        </w:rPr>
        <w:t>AOM remunerado</w:t>
      </w:r>
      <w:bookmarkEnd w:id="142"/>
      <w:bookmarkEnd w:id="143"/>
    </w:p>
    <w:p w14:paraId="0D08585C" w14:textId="77777777" w:rsidR="00E43449" w:rsidRPr="00321B46" w:rsidRDefault="00E43449" w:rsidP="00E43449">
      <w:pPr>
        <w:rPr>
          <w:lang w:val="es-MX"/>
        </w:rPr>
      </w:pPr>
      <w:r w:rsidRPr="00321B46">
        <w:t xml:space="preserve">Para calcular el valor de AOM remunerado, </w:t>
      </w:r>
      <w:r w:rsidRPr="00321B46">
        <w:rPr>
          <w:i/>
        </w:rPr>
        <w:t>AOMR</w:t>
      </w:r>
      <w:r w:rsidRPr="00321B46">
        <w:rPr>
          <w:i/>
          <w:vertAlign w:val="subscript"/>
        </w:rPr>
        <w:t>j,09-</w:t>
      </w:r>
      <w:r w:rsidR="00306EFB" w:rsidRPr="00321B46">
        <w:rPr>
          <w:i/>
          <w:vertAlign w:val="subscript"/>
        </w:rPr>
        <w:t>14</w:t>
      </w:r>
      <w:r w:rsidRPr="00321B46">
        <w:t>, a cada TN se obtiene:</w:t>
      </w:r>
    </w:p>
    <w:p w14:paraId="14327473" w14:textId="77777777" w:rsidR="00E43449" w:rsidRPr="00321B46" w:rsidRDefault="00E43449" w:rsidP="00E43449">
      <w:pPr>
        <w:pStyle w:val="Prrafodelista"/>
        <w:numPr>
          <w:ilvl w:val="0"/>
          <w:numId w:val="13"/>
        </w:numPr>
        <w:spacing w:before="160" w:after="160"/>
        <w:rPr>
          <w:szCs w:val="24"/>
          <w:lang w:val="es-MX"/>
        </w:rPr>
      </w:pPr>
      <w:bookmarkStart w:id="144" w:name="_Ref403569863"/>
      <w:r w:rsidRPr="00321B46">
        <w:rPr>
          <w:szCs w:val="24"/>
          <w:lang w:val="es-MX"/>
        </w:rPr>
        <w:t>El porcentaje de AOM a reconocer para el año 2009, establecido en la resolución particular de cada TN de acuerdo con la Resolución CREG 011 de 2009.</w:t>
      </w:r>
      <w:bookmarkEnd w:id="144"/>
      <w:r w:rsidRPr="00321B46">
        <w:rPr>
          <w:szCs w:val="24"/>
          <w:lang w:val="es-MX"/>
        </w:rPr>
        <w:t xml:space="preserve"> </w:t>
      </w:r>
    </w:p>
    <w:p w14:paraId="6EAA2E00" w14:textId="77777777" w:rsidR="00E43449" w:rsidRPr="00321B46" w:rsidRDefault="00E43449" w:rsidP="00E43449">
      <w:pPr>
        <w:pStyle w:val="Prrafodelista"/>
        <w:numPr>
          <w:ilvl w:val="0"/>
          <w:numId w:val="13"/>
        </w:numPr>
        <w:spacing w:before="160" w:after="160"/>
        <w:rPr>
          <w:szCs w:val="24"/>
          <w:lang w:val="es-MX"/>
        </w:rPr>
      </w:pPr>
      <w:bookmarkStart w:id="145" w:name="_Ref403570167"/>
      <w:r w:rsidRPr="00321B46">
        <w:rPr>
          <w:szCs w:val="24"/>
          <w:lang w:val="es-MX"/>
        </w:rPr>
        <w:t xml:space="preserve">El porcentaje de AOM a reconocer para cada uno de los años desde 2010 a </w:t>
      </w:r>
      <w:r w:rsidR="00306EFB" w:rsidRPr="00321B46">
        <w:rPr>
          <w:szCs w:val="24"/>
          <w:lang w:val="es-MX"/>
        </w:rPr>
        <w:t>2014</w:t>
      </w:r>
      <w:r w:rsidRPr="00321B46">
        <w:rPr>
          <w:szCs w:val="24"/>
          <w:lang w:val="es-MX"/>
        </w:rPr>
        <w:t>, calculado  conforme a lo establecido en la Resolución CREG 011 de 2009. El TN deberá anexar en su solicitud la evidencia de que este porcentaje fue comunicado a la Superintendencia de Servicios Públicos Domiciliarios con la oportunidad establecida en la regulación.</w:t>
      </w:r>
      <w:bookmarkEnd w:id="145"/>
    </w:p>
    <w:p w14:paraId="11B3A81E" w14:textId="77777777" w:rsidR="004A1AF8" w:rsidRPr="00321B46" w:rsidRDefault="004A1AF8" w:rsidP="009A7C14">
      <w:pPr>
        <w:pStyle w:val="Prrafodelista"/>
        <w:spacing w:before="160" w:after="160"/>
        <w:ind w:left="360"/>
        <w:rPr>
          <w:lang w:val="es-MX"/>
        </w:rPr>
      </w:pPr>
      <w:r w:rsidRPr="00321B46">
        <w:rPr>
          <w:lang w:val="es-MX"/>
        </w:rPr>
        <w:t xml:space="preserve">Si hubo más de un porcentaje de AOM a reconocer entre una y otra actualización anual de AOM, se tomará el promedio de ellos. Sin embargo, si el cambio, diferente al de la actualización anual, se originó por una corrección detectada por el TN o por la </w:t>
      </w:r>
      <w:r w:rsidRPr="00321B46">
        <w:t xml:space="preserve">Superintendencia de Servicios Públicos Domiciliarios, </w:t>
      </w:r>
      <w:r w:rsidRPr="00321B46">
        <w:rPr>
          <w:lang w:val="es-MX"/>
        </w:rPr>
        <w:t>SSPD, se tomará el mínimo porcentaje utilizado en ese año.</w:t>
      </w:r>
    </w:p>
    <w:p w14:paraId="344552F4" w14:textId="77777777" w:rsidR="00E43449" w:rsidRPr="00321B46" w:rsidRDefault="00E43449" w:rsidP="00E43449">
      <w:pPr>
        <w:pStyle w:val="Prrafodelista"/>
        <w:numPr>
          <w:ilvl w:val="0"/>
          <w:numId w:val="13"/>
        </w:numPr>
        <w:spacing w:before="160" w:after="160"/>
        <w:rPr>
          <w:szCs w:val="24"/>
          <w:lang w:val="es-MX"/>
        </w:rPr>
      </w:pPr>
      <w:bookmarkStart w:id="146" w:name="_Ref403569923"/>
      <w:r w:rsidRPr="00321B46">
        <w:rPr>
          <w:szCs w:val="24"/>
          <w:lang w:val="es-MX"/>
        </w:rPr>
        <w:t xml:space="preserve">El valor del </w:t>
      </w:r>
      <w:r w:rsidRPr="00321B46">
        <w:rPr>
          <w:i/>
          <w:szCs w:val="24"/>
          <w:lang w:val="es-MX"/>
        </w:rPr>
        <w:t>CRE</w:t>
      </w:r>
      <w:r w:rsidRPr="00321B46">
        <w:rPr>
          <w:i/>
          <w:szCs w:val="24"/>
          <w:vertAlign w:val="subscript"/>
          <w:lang w:val="es-MX"/>
        </w:rPr>
        <w:t>j</w:t>
      </w:r>
      <w:r w:rsidRPr="00321B46">
        <w:rPr>
          <w:szCs w:val="24"/>
          <w:lang w:val="es-MX"/>
        </w:rPr>
        <w:t xml:space="preserve"> aprobado a cada TN en su respectiva resolución particular.</w:t>
      </w:r>
      <w:bookmarkEnd w:id="146"/>
    </w:p>
    <w:p w14:paraId="628C1C20" w14:textId="77777777" w:rsidR="00E43449" w:rsidRPr="00321B46" w:rsidRDefault="00E43449" w:rsidP="00E43449">
      <w:pPr>
        <w:pStyle w:val="Prrafodelista"/>
        <w:numPr>
          <w:ilvl w:val="0"/>
          <w:numId w:val="13"/>
        </w:numPr>
        <w:spacing w:before="160" w:after="160"/>
        <w:rPr>
          <w:szCs w:val="24"/>
          <w:lang w:val="es-MX"/>
        </w:rPr>
      </w:pPr>
      <w:bookmarkStart w:id="147" w:name="_Ref404094490"/>
      <w:r w:rsidRPr="00321B46">
        <w:rPr>
          <w:szCs w:val="24"/>
          <w:lang w:val="es-MX"/>
        </w:rPr>
        <w:t xml:space="preserve">El valor del </w:t>
      </w:r>
      <w:r w:rsidRPr="00321B46">
        <w:rPr>
          <w:i/>
          <w:szCs w:val="24"/>
          <w:lang w:val="es-MX"/>
        </w:rPr>
        <w:t>CRE</w:t>
      </w:r>
      <w:r w:rsidRPr="00321B46">
        <w:rPr>
          <w:i/>
          <w:szCs w:val="24"/>
          <w:vertAlign w:val="subscript"/>
          <w:lang w:val="es-MX"/>
        </w:rPr>
        <w:t xml:space="preserve">j </w:t>
      </w:r>
      <w:r w:rsidRPr="00321B46">
        <w:rPr>
          <w:szCs w:val="24"/>
          <w:lang w:val="es-MX"/>
        </w:rPr>
        <w:t xml:space="preserve">utilizado por cada TN para calcular el porcentaje de AOM demostrado para cada uno de los años desde 2009 a </w:t>
      </w:r>
      <w:r w:rsidR="00306EFB" w:rsidRPr="00321B46">
        <w:rPr>
          <w:szCs w:val="24"/>
          <w:lang w:val="es-MX"/>
        </w:rPr>
        <w:t>2013</w:t>
      </w:r>
      <w:r w:rsidRPr="00321B46">
        <w:rPr>
          <w:szCs w:val="24"/>
          <w:lang w:val="es-MX"/>
        </w:rPr>
        <w:t>, actualizado con la variación del IPP hasta diciembre del año para el que se calcula el AOM demostrado.</w:t>
      </w:r>
      <w:bookmarkEnd w:id="147"/>
    </w:p>
    <w:p w14:paraId="341FEE63" w14:textId="77777777" w:rsidR="00E43449" w:rsidRPr="00321B46" w:rsidRDefault="00E43449" w:rsidP="00E43449">
      <w:pPr>
        <w:pStyle w:val="Prrafodelista"/>
        <w:numPr>
          <w:ilvl w:val="0"/>
          <w:numId w:val="13"/>
        </w:numPr>
        <w:spacing w:before="160" w:after="160"/>
        <w:rPr>
          <w:szCs w:val="24"/>
          <w:lang w:val="es-MX"/>
        </w:rPr>
      </w:pPr>
      <w:bookmarkStart w:id="148" w:name="_Ref403570176"/>
      <w:r w:rsidRPr="00321B46">
        <w:rPr>
          <w:szCs w:val="24"/>
          <w:lang w:val="es-MX"/>
        </w:rPr>
        <w:t xml:space="preserve">Para el año 2009 se calcula el AOM remunerado multiplicando el porcentaje de AOM a reconocer, señalado en el literal </w:t>
      </w:r>
      <w:r w:rsidRPr="00321B46">
        <w:rPr>
          <w:szCs w:val="24"/>
          <w:lang w:val="es-MX"/>
        </w:rPr>
        <w:fldChar w:fldCharType="begin"/>
      </w:r>
      <w:r w:rsidRPr="00321B46">
        <w:rPr>
          <w:szCs w:val="24"/>
          <w:lang w:val="es-MX"/>
        </w:rPr>
        <w:instrText xml:space="preserve"> REF _Ref403569863 \r \h  \* MERGEFORMAT </w:instrText>
      </w:r>
      <w:r w:rsidRPr="00321B46">
        <w:rPr>
          <w:szCs w:val="24"/>
          <w:lang w:val="es-MX"/>
        </w:rPr>
      </w:r>
      <w:r w:rsidRPr="00321B46">
        <w:rPr>
          <w:szCs w:val="24"/>
          <w:lang w:val="es-MX"/>
        </w:rPr>
        <w:fldChar w:fldCharType="separate"/>
      </w:r>
      <w:r w:rsidR="000F355F">
        <w:rPr>
          <w:szCs w:val="24"/>
          <w:lang w:val="es-MX"/>
        </w:rPr>
        <w:t>a</w:t>
      </w:r>
      <w:r w:rsidRPr="00321B46">
        <w:rPr>
          <w:szCs w:val="24"/>
          <w:lang w:val="es-MX"/>
        </w:rPr>
        <w:fldChar w:fldCharType="end"/>
      </w:r>
      <w:r w:rsidRPr="00321B46">
        <w:rPr>
          <w:szCs w:val="24"/>
          <w:lang w:val="es-MX"/>
        </w:rPr>
        <w:t xml:space="preserve"> de este aparte, por el valor del </w:t>
      </w:r>
      <w:r w:rsidRPr="00321B46">
        <w:rPr>
          <w:i/>
          <w:szCs w:val="24"/>
          <w:lang w:val="es-MX"/>
        </w:rPr>
        <w:t>CRE</w:t>
      </w:r>
      <w:r w:rsidRPr="00321B46">
        <w:rPr>
          <w:i/>
          <w:szCs w:val="24"/>
          <w:vertAlign w:val="subscript"/>
          <w:lang w:val="es-MX"/>
        </w:rPr>
        <w:t>j</w:t>
      </w:r>
      <w:r w:rsidRPr="00321B46">
        <w:rPr>
          <w:szCs w:val="24"/>
          <w:lang w:val="es-MX"/>
        </w:rPr>
        <w:t xml:space="preserve"> del año 2008, señalado en el literal </w:t>
      </w:r>
      <w:r w:rsidRPr="00321B46">
        <w:rPr>
          <w:szCs w:val="24"/>
          <w:lang w:val="es-MX"/>
        </w:rPr>
        <w:fldChar w:fldCharType="begin"/>
      </w:r>
      <w:r w:rsidRPr="00321B46">
        <w:rPr>
          <w:szCs w:val="24"/>
          <w:lang w:val="es-MX"/>
        </w:rPr>
        <w:instrText xml:space="preserve"> REF _Ref403569923 \r \h  \* MERGEFORMAT </w:instrText>
      </w:r>
      <w:r w:rsidRPr="00321B46">
        <w:rPr>
          <w:szCs w:val="24"/>
          <w:lang w:val="es-MX"/>
        </w:rPr>
      </w:r>
      <w:r w:rsidRPr="00321B46">
        <w:rPr>
          <w:szCs w:val="24"/>
          <w:lang w:val="es-MX"/>
        </w:rPr>
        <w:fldChar w:fldCharType="separate"/>
      </w:r>
      <w:r w:rsidR="000F355F">
        <w:rPr>
          <w:szCs w:val="24"/>
          <w:lang w:val="es-MX"/>
        </w:rPr>
        <w:t>c</w:t>
      </w:r>
      <w:r w:rsidRPr="00321B46">
        <w:rPr>
          <w:szCs w:val="24"/>
          <w:lang w:val="es-MX"/>
        </w:rPr>
        <w:fldChar w:fldCharType="end"/>
      </w:r>
      <w:r w:rsidRPr="00321B46">
        <w:rPr>
          <w:szCs w:val="24"/>
          <w:lang w:val="es-MX"/>
        </w:rPr>
        <w:t xml:space="preserve"> de este aparte. En forma análoga, para los años de 2010 a </w:t>
      </w:r>
      <w:r w:rsidR="00306EFB" w:rsidRPr="00321B46">
        <w:rPr>
          <w:szCs w:val="24"/>
          <w:lang w:val="es-MX"/>
        </w:rPr>
        <w:t xml:space="preserve">2014 </w:t>
      </w:r>
      <w:r w:rsidRPr="00321B46">
        <w:rPr>
          <w:szCs w:val="24"/>
          <w:lang w:val="es-MX"/>
        </w:rPr>
        <w:t xml:space="preserve">se calcula el AOM remunerado multiplicando el respectivo porcentaje de AOM a reconocer, señalado en el literal </w:t>
      </w:r>
      <w:r w:rsidRPr="00321B46">
        <w:rPr>
          <w:szCs w:val="24"/>
          <w:lang w:val="es-MX"/>
        </w:rPr>
        <w:fldChar w:fldCharType="begin"/>
      </w:r>
      <w:r w:rsidRPr="00321B46">
        <w:rPr>
          <w:szCs w:val="24"/>
          <w:lang w:val="es-MX"/>
        </w:rPr>
        <w:instrText xml:space="preserve"> REF _Ref403570167 \r \h  \* MERGEFORMAT </w:instrText>
      </w:r>
      <w:r w:rsidRPr="00321B46">
        <w:rPr>
          <w:szCs w:val="24"/>
          <w:lang w:val="es-MX"/>
        </w:rPr>
      </w:r>
      <w:r w:rsidRPr="00321B46">
        <w:rPr>
          <w:szCs w:val="24"/>
          <w:lang w:val="es-MX"/>
        </w:rPr>
        <w:fldChar w:fldCharType="separate"/>
      </w:r>
      <w:r w:rsidR="000F355F">
        <w:rPr>
          <w:szCs w:val="24"/>
          <w:lang w:val="es-MX"/>
        </w:rPr>
        <w:t>b</w:t>
      </w:r>
      <w:r w:rsidRPr="00321B46">
        <w:rPr>
          <w:szCs w:val="24"/>
          <w:lang w:val="es-MX"/>
        </w:rPr>
        <w:fldChar w:fldCharType="end"/>
      </w:r>
      <w:r w:rsidRPr="00321B46">
        <w:rPr>
          <w:szCs w:val="24"/>
          <w:lang w:val="es-MX"/>
        </w:rPr>
        <w:t xml:space="preserve"> de este aparte, por el valor del </w:t>
      </w:r>
      <w:r w:rsidRPr="00321B46">
        <w:rPr>
          <w:i/>
          <w:szCs w:val="24"/>
          <w:lang w:val="es-MX"/>
        </w:rPr>
        <w:t>CRE</w:t>
      </w:r>
      <w:r w:rsidRPr="00321B46">
        <w:rPr>
          <w:i/>
          <w:szCs w:val="24"/>
          <w:vertAlign w:val="subscript"/>
          <w:lang w:val="es-MX"/>
        </w:rPr>
        <w:t>j</w:t>
      </w:r>
      <w:r w:rsidRPr="00321B46">
        <w:rPr>
          <w:szCs w:val="24"/>
          <w:lang w:val="es-MX"/>
        </w:rPr>
        <w:t xml:space="preserve">, señalado en el literal </w:t>
      </w:r>
      <w:r w:rsidRPr="00321B46">
        <w:rPr>
          <w:szCs w:val="24"/>
          <w:lang w:val="es-MX"/>
        </w:rPr>
        <w:fldChar w:fldCharType="begin"/>
      </w:r>
      <w:r w:rsidRPr="00321B46">
        <w:rPr>
          <w:szCs w:val="24"/>
          <w:lang w:val="es-MX"/>
        </w:rPr>
        <w:instrText xml:space="preserve"> REF _Ref404094490 \r \h  \* MERGEFORMAT </w:instrText>
      </w:r>
      <w:r w:rsidRPr="00321B46">
        <w:rPr>
          <w:szCs w:val="24"/>
          <w:lang w:val="es-MX"/>
        </w:rPr>
      </w:r>
      <w:r w:rsidRPr="00321B46">
        <w:rPr>
          <w:szCs w:val="24"/>
          <w:lang w:val="es-MX"/>
        </w:rPr>
        <w:fldChar w:fldCharType="separate"/>
      </w:r>
      <w:r w:rsidR="000F355F">
        <w:rPr>
          <w:szCs w:val="24"/>
          <w:lang w:val="es-MX"/>
        </w:rPr>
        <w:t>d</w:t>
      </w:r>
      <w:r w:rsidRPr="00321B46">
        <w:rPr>
          <w:szCs w:val="24"/>
          <w:lang w:val="es-MX"/>
        </w:rPr>
        <w:fldChar w:fldCharType="end"/>
      </w:r>
      <w:r w:rsidRPr="00321B46">
        <w:rPr>
          <w:szCs w:val="24"/>
          <w:lang w:val="es-MX"/>
        </w:rPr>
        <w:t xml:space="preserve"> de este aparte.</w:t>
      </w:r>
      <w:bookmarkEnd w:id="148"/>
    </w:p>
    <w:p w14:paraId="480921FB" w14:textId="77777777" w:rsidR="00E43449" w:rsidRPr="00321B46" w:rsidRDefault="00E43449" w:rsidP="00E43449">
      <w:pPr>
        <w:pStyle w:val="Prrafodelista"/>
        <w:numPr>
          <w:ilvl w:val="0"/>
          <w:numId w:val="13"/>
        </w:numPr>
        <w:spacing w:before="160" w:after="160"/>
        <w:rPr>
          <w:szCs w:val="24"/>
          <w:lang w:val="es-MX"/>
        </w:rPr>
      </w:pPr>
      <w:r w:rsidRPr="00321B46">
        <w:rPr>
          <w:szCs w:val="24"/>
          <w:lang w:val="es-MX"/>
        </w:rPr>
        <w:t xml:space="preserve">Los valores remunerados, calculados en el literal anterior, se actualizan con la variación del IPP desde diciembre del respectivo año hasta diciembre de </w:t>
      </w:r>
      <w:r w:rsidR="00306EFB" w:rsidRPr="00321B46">
        <w:rPr>
          <w:szCs w:val="24"/>
          <w:lang w:val="es-MX"/>
        </w:rPr>
        <w:t>2014</w:t>
      </w:r>
      <w:r w:rsidRPr="00321B46">
        <w:rPr>
          <w:szCs w:val="24"/>
          <w:lang w:val="es-MX"/>
        </w:rPr>
        <w:t xml:space="preserve">. El promedio aritmético de estos valores actualizados corresponde al </w:t>
      </w:r>
      <w:r w:rsidRPr="00321B46">
        <w:rPr>
          <w:szCs w:val="24"/>
        </w:rPr>
        <w:t xml:space="preserve">AOM remunerado, </w:t>
      </w:r>
      <w:r w:rsidRPr="00321B46">
        <w:rPr>
          <w:i/>
          <w:szCs w:val="24"/>
        </w:rPr>
        <w:t>AOMR</w:t>
      </w:r>
      <w:r w:rsidRPr="00321B46">
        <w:rPr>
          <w:i/>
          <w:szCs w:val="24"/>
          <w:vertAlign w:val="subscript"/>
        </w:rPr>
        <w:t>j,09-</w:t>
      </w:r>
      <w:r w:rsidR="00306EFB" w:rsidRPr="00321B46">
        <w:rPr>
          <w:i/>
          <w:szCs w:val="24"/>
          <w:vertAlign w:val="subscript"/>
        </w:rPr>
        <w:t>14</w:t>
      </w:r>
      <w:r w:rsidRPr="00321B46">
        <w:rPr>
          <w:szCs w:val="24"/>
        </w:rPr>
        <w:t>.</w:t>
      </w:r>
      <w:r w:rsidRPr="00321B46">
        <w:rPr>
          <w:szCs w:val="24"/>
          <w:lang w:val="es-MX"/>
        </w:rPr>
        <w:t xml:space="preserve"> </w:t>
      </w:r>
    </w:p>
    <w:p w14:paraId="4C4C3BAD" w14:textId="57CD37C4" w:rsidR="00592A68" w:rsidRPr="00321B46" w:rsidRDefault="00592A68" w:rsidP="00592A68">
      <w:pPr>
        <w:pStyle w:val="Ttulo3"/>
        <w:rPr>
          <w:szCs w:val="24"/>
        </w:rPr>
      </w:pPr>
      <w:bookmarkStart w:id="149" w:name="_Ref460521511"/>
      <w:bookmarkStart w:id="150" w:name="_Toc466392635"/>
      <w:r w:rsidRPr="00321B46">
        <w:rPr>
          <w:szCs w:val="24"/>
        </w:rPr>
        <w:t>Porcentaje adicional de AOM</w:t>
      </w:r>
      <w:bookmarkEnd w:id="149"/>
      <w:bookmarkEnd w:id="150"/>
    </w:p>
    <w:p w14:paraId="0E13F103" w14:textId="4F8ABA8A" w:rsidR="0000027C" w:rsidRPr="00321B46" w:rsidRDefault="00592A68" w:rsidP="003276B5">
      <w:pPr>
        <w:rPr>
          <w:lang w:val="es-MX"/>
        </w:rPr>
      </w:pPr>
      <w:r w:rsidRPr="00321B46">
        <w:t>El porcentaje adicional de AOM por condiciones ambientales para cada TN se obtiene a partir de</w:t>
      </w:r>
      <w:r w:rsidR="0000027C" w:rsidRPr="00321B46">
        <w:t xml:space="preserve"> l</w:t>
      </w:r>
      <w:r w:rsidRPr="00321B46">
        <w:rPr>
          <w:lang w:val="es-MX"/>
        </w:rPr>
        <w:t xml:space="preserve">a identificación </w:t>
      </w:r>
      <w:r w:rsidR="00F91C84" w:rsidRPr="00321B46">
        <w:rPr>
          <w:lang w:val="es-MX"/>
        </w:rPr>
        <w:t xml:space="preserve">de los activos del </w:t>
      </w:r>
      <w:r w:rsidR="00ED4B5D" w:rsidRPr="00321B46">
        <w:rPr>
          <w:lang w:val="es-MX"/>
        </w:rPr>
        <w:t>TN</w:t>
      </w:r>
      <w:r w:rsidR="00F91C84" w:rsidRPr="00321B46">
        <w:rPr>
          <w:lang w:val="es-MX"/>
        </w:rPr>
        <w:t xml:space="preserve"> que están a menos de 20 km de la orilla del mar</w:t>
      </w:r>
      <w:r w:rsidR="0000027C" w:rsidRPr="00321B46">
        <w:rPr>
          <w:lang w:val="es-MX"/>
        </w:rPr>
        <w:t>, así:</w:t>
      </w:r>
    </w:p>
    <w:p w14:paraId="3128C776" w14:textId="1871170F" w:rsidR="0000027C" w:rsidRPr="00321B46" w:rsidRDefault="00651802" w:rsidP="003276B5">
      <w:pPr>
        <w:rPr>
          <w:lang w:val="es-MX"/>
        </w:rPr>
      </w:pPr>
      <m:oMathPara>
        <m:oMath>
          <m:sSub>
            <m:sSubPr>
              <m:ctrlPr>
                <w:rPr>
                  <w:rFonts w:ascii="Cambria Math" w:hAnsi="Cambria Math"/>
                  <w:i/>
                  <w:lang w:val="es-MX"/>
                </w:rPr>
              </m:ctrlPr>
            </m:sSubPr>
            <m:e>
              <m:r>
                <w:rPr>
                  <w:rFonts w:ascii="Cambria Math" w:hAnsi="Cambria Math"/>
                  <w:lang w:val="es-MX"/>
                </w:rPr>
                <m:t>AMB</m:t>
              </m:r>
            </m:e>
            <m:sub>
              <m:r>
                <w:rPr>
                  <w:rFonts w:ascii="Cambria Math" w:hAnsi="Cambria Math"/>
                  <w:lang w:val="es-MX"/>
                </w:rPr>
                <m:t>j</m:t>
              </m:r>
            </m:sub>
          </m:sSub>
          <m:r>
            <w:rPr>
              <w:rFonts w:ascii="Cambria Math" w:hAnsi="Cambria Math"/>
              <w:lang w:val="es-MX"/>
            </w:rPr>
            <m:t>=0,5%*</m:t>
          </m:r>
          <m:f>
            <m:fPr>
              <m:ctrlPr>
                <w:rPr>
                  <w:rFonts w:ascii="Cambria Math" w:hAnsi="Cambria Math"/>
                  <w:i/>
                  <w:lang w:val="es-MX"/>
                </w:rPr>
              </m:ctrlPr>
            </m:fPr>
            <m:num>
              <m:nary>
                <m:naryPr>
                  <m:chr m:val="∑"/>
                  <m:limLoc m:val="undOvr"/>
                  <m:ctrlPr>
                    <w:rPr>
                      <w:rFonts w:ascii="Cambria Math" w:hAnsi="Cambria Math"/>
                      <w:i/>
                      <w:lang w:val="es-MX"/>
                    </w:rPr>
                  </m:ctrlPr>
                </m:naryPr>
                <m:sub>
                  <m:r>
                    <w:rPr>
                      <w:rFonts w:ascii="Cambria Math" w:hAnsi="Cambria Math"/>
                      <w:lang w:val="es-MX"/>
                    </w:rPr>
                    <m:t>i=1</m:t>
                  </m:r>
                </m:sub>
                <m:sup>
                  <m:sSub>
                    <m:sSubPr>
                      <m:ctrlPr>
                        <w:rPr>
                          <w:rFonts w:ascii="Cambria Math" w:hAnsi="Cambria Math"/>
                          <w:i/>
                          <w:lang w:val="es-MX"/>
                        </w:rPr>
                      </m:ctrlPr>
                    </m:sSubPr>
                    <m:e>
                      <m:r>
                        <w:rPr>
                          <w:rFonts w:ascii="Cambria Math" w:hAnsi="Cambria Math"/>
                          <w:lang w:val="es-MX"/>
                        </w:rPr>
                        <m:t>nuc</m:t>
                      </m:r>
                    </m:e>
                    <m:sub>
                      <m:r>
                        <w:rPr>
                          <w:rFonts w:ascii="Cambria Math" w:hAnsi="Cambria Math"/>
                          <w:lang w:val="es-MX"/>
                        </w:rPr>
                        <m:t>j,m</m:t>
                      </m:r>
                    </m:sub>
                  </m:sSub>
                </m:sup>
                <m:e>
                  <m:d>
                    <m:dPr>
                      <m:ctrlPr>
                        <w:rPr>
                          <w:rFonts w:ascii="Cambria Math" w:hAnsi="Cambria Math"/>
                          <w:i/>
                          <w:lang w:val="es-MX"/>
                        </w:rPr>
                      </m:ctrlPr>
                    </m:dPr>
                    <m:e>
                      <m:sSub>
                        <m:sSubPr>
                          <m:ctrlPr>
                            <w:rPr>
                              <w:rFonts w:ascii="Cambria Math" w:hAnsi="Cambria Math"/>
                              <w:i/>
                              <w:lang w:val="es-MX"/>
                            </w:rPr>
                          </m:ctrlPr>
                        </m:sSubPr>
                        <m:e>
                          <m:r>
                            <w:rPr>
                              <w:rFonts w:ascii="Cambria Math" w:hAnsi="Cambria Math"/>
                              <w:lang w:val="es-MX"/>
                            </w:rPr>
                            <m:t>CR</m:t>
                          </m:r>
                        </m:e>
                        <m:sub>
                          <m:r>
                            <w:rPr>
                              <w:rFonts w:ascii="Cambria Math" w:hAnsi="Cambria Math"/>
                              <w:lang w:val="es-MX"/>
                            </w:rPr>
                            <m:t>i,m</m:t>
                          </m:r>
                        </m:sub>
                      </m:sSub>
                      <m:r>
                        <w:rPr>
                          <w:rFonts w:ascii="Cambria Math" w:hAnsi="Cambria Math"/>
                          <w:lang w:val="es-MX"/>
                        </w:rPr>
                        <m:t>*</m:t>
                      </m:r>
                      <m:sSub>
                        <m:sSubPr>
                          <m:ctrlPr>
                            <w:rPr>
                              <w:rFonts w:ascii="Cambria Math" w:hAnsi="Cambria Math"/>
                              <w:i/>
                              <w:lang w:val="es-MX"/>
                            </w:rPr>
                          </m:ctrlPr>
                        </m:sSubPr>
                        <m:e>
                          <m:r>
                            <w:rPr>
                              <w:rFonts w:ascii="Cambria Math" w:hAnsi="Cambria Math"/>
                              <w:lang w:val="es-MX"/>
                            </w:rPr>
                            <m:t>PU</m:t>
                          </m:r>
                        </m:e>
                        <m:sub>
                          <m:r>
                            <w:rPr>
                              <w:rFonts w:ascii="Cambria Math" w:hAnsi="Cambria Math"/>
                              <w:lang w:val="es-MX"/>
                            </w:rPr>
                            <m:t>i,j</m:t>
                          </m:r>
                        </m:sub>
                      </m:sSub>
                    </m:e>
                  </m:d>
                </m:e>
              </m:nary>
            </m:num>
            <m:den>
              <m:nary>
                <m:naryPr>
                  <m:chr m:val="∑"/>
                  <m:limLoc m:val="undOvr"/>
                  <m:ctrlPr>
                    <w:rPr>
                      <w:rFonts w:ascii="Cambria Math" w:hAnsi="Cambria Math"/>
                      <w:i/>
                      <w:lang w:val="es-MX"/>
                    </w:rPr>
                  </m:ctrlPr>
                </m:naryPr>
                <m:sub>
                  <m:r>
                    <w:rPr>
                      <w:rFonts w:ascii="Cambria Math" w:hAnsi="Cambria Math"/>
                      <w:lang w:val="es-MX"/>
                    </w:rPr>
                    <m:t>i=1</m:t>
                  </m:r>
                </m:sub>
                <m:sup>
                  <m:sSub>
                    <m:sSubPr>
                      <m:ctrlPr>
                        <w:rPr>
                          <w:rFonts w:ascii="Cambria Math" w:hAnsi="Cambria Math"/>
                          <w:i/>
                          <w:lang w:val="es-MX"/>
                        </w:rPr>
                      </m:ctrlPr>
                    </m:sSubPr>
                    <m:e>
                      <m:r>
                        <w:rPr>
                          <w:rFonts w:ascii="Cambria Math" w:hAnsi="Cambria Math"/>
                          <w:lang w:val="es-MX"/>
                        </w:rPr>
                        <m:t>nuc</m:t>
                      </m:r>
                    </m:e>
                    <m:sub>
                      <m:r>
                        <w:rPr>
                          <w:rFonts w:ascii="Cambria Math" w:hAnsi="Cambria Math"/>
                          <w:lang w:val="es-MX"/>
                        </w:rPr>
                        <m:t>j</m:t>
                      </m:r>
                    </m:sub>
                  </m:sSub>
                </m:sup>
                <m:e>
                  <m:d>
                    <m:dPr>
                      <m:ctrlPr>
                        <w:rPr>
                          <w:rFonts w:ascii="Cambria Math" w:hAnsi="Cambria Math"/>
                          <w:i/>
                          <w:lang w:val="es-MX"/>
                        </w:rPr>
                      </m:ctrlPr>
                    </m:dPr>
                    <m:e>
                      <m:sSub>
                        <m:sSubPr>
                          <m:ctrlPr>
                            <w:rPr>
                              <w:rFonts w:ascii="Cambria Math" w:hAnsi="Cambria Math"/>
                              <w:i/>
                              <w:lang w:val="es-MX"/>
                            </w:rPr>
                          </m:ctrlPr>
                        </m:sSubPr>
                        <m:e>
                          <m:r>
                            <w:rPr>
                              <w:rFonts w:ascii="Cambria Math" w:hAnsi="Cambria Math"/>
                              <w:lang w:val="es-MX"/>
                            </w:rPr>
                            <m:t>CR</m:t>
                          </m:r>
                        </m:e>
                        <m:sub>
                          <m:r>
                            <w:rPr>
                              <w:rFonts w:ascii="Cambria Math" w:hAnsi="Cambria Math"/>
                              <w:lang w:val="es-MX"/>
                            </w:rPr>
                            <m:t>i</m:t>
                          </m:r>
                        </m:sub>
                      </m:sSub>
                      <m:r>
                        <w:rPr>
                          <w:rFonts w:ascii="Cambria Math" w:hAnsi="Cambria Math"/>
                          <w:lang w:val="es-MX"/>
                        </w:rPr>
                        <m:t>*</m:t>
                      </m:r>
                      <m:sSub>
                        <m:sSubPr>
                          <m:ctrlPr>
                            <w:rPr>
                              <w:rFonts w:ascii="Cambria Math" w:hAnsi="Cambria Math"/>
                              <w:i/>
                              <w:lang w:val="es-MX"/>
                            </w:rPr>
                          </m:ctrlPr>
                        </m:sSubPr>
                        <m:e>
                          <m:r>
                            <w:rPr>
                              <w:rFonts w:ascii="Cambria Math" w:hAnsi="Cambria Math"/>
                              <w:lang w:val="es-MX"/>
                            </w:rPr>
                            <m:t>PU</m:t>
                          </m:r>
                        </m:e>
                        <m:sub>
                          <m:r>
                            <w:rPr>
                              <w:rFonts w:ascii="Cambria Math" w:hAnsi="Cambria Math"/>
                              <w:lang w:val="es-MX"/>
                            </w:rPr>
                            <m:t>i</m:t>
                          </m:r>
                        </m:sub>
                      </m:sSub>
                    </m:e>
                  </m:d>
                </m:e>
              </m:nary>
            </m:den>
          </m:f>
        </m:oMath>
      </m:oMathPara>
    </w:p>
    <w:p w14:paraId="5DDCD07A" w14:textId="77777777" w:rsidR="00637CA5" w:rsidRPr="00321B46" w:rsidRDefault="00637CA5" w:rsidP="00637CA5">
      <w:pPr>
        <w:spacing w:before="0" w:after="0"/>
        <w:jc w:val="left"/>
        <w:rPr>
          <w:lang w:val="es-MX"/>
        </w:rPr>
      </w:pPr>
      <w:r w:rsidRPr="00321B46">
        <w:rPr>
          <w:lang w:val="es-MX"/>
        </w:rPr>
        <w:t>Donde:</w:t>
      </w:r>
    </w:p>
    <w:p w14:paraId="371B863F" w14:textId="4E976DF8" w:rsidR="00637CA5" w:rsidRPr="00321B46" w:rsidRDefault="00637CA5" w:rsidP="00AE046B">
      <w:pPr>
        <w:ind w:left="1276" w:hanging="1276"/>
        <w:rPr>
          <w:i/>
        </w:rPr>
      </w:pPr>
      <w:r w:rsidRPr="00321B46">
        <w:rPr>
          <w:i/>
        </w:rPr>
        <w:t>AMB</w:t>
      </w:r>
      <w:r w:rsidRPr="00321B46">
        <w:rPr>
          <w:i/>
          <w:vertAlign w:val="subscript"/>
        </w:rPr>
        <w:t>j</w:t>
      </w:r>
      <w:r w:rsidRPr="00321B46">
        <w:rPr>
          <w:lang w:val="es-MX"/>
        </w:rPr>
        <w:t>:</w:t>
      </w:r>
      <w:r w:rsidRPr="00321B46">
        <w:rPr>
          <w:lang w:val="es-MX"/>
        </w:rPr>
        <w:tab/>
        <w:t xml:space="preserve">Porcentaje adicional de AOM a reconocer al TN </w:t>
      </w:r>
      <w:r w:rsidRPr="00321B46">
        <w:rPr>
          <w:i/>
          <w:lang w:val="es-MX"/>
        </w:rPr>
        <w:t>j</w:t>
      </w:r>
      <w:r w:rsidRPr="00321B46">
        <w:rPr>
          <w:lang w:val="es-MX"/>
        </w:rPr>
        <w:t xml:space="preserve"> por condiciones ambientales</w:t>
      </w:r>
    </w:p>
    <w:p w14:paraId="61466462" w14:textId="58F3916E" w:rsidR="00916161" w:rsidRPr="00321B46" w:rsidRDefault="00F91C84" w:rsidP="00AE046B">
      <w:pPr>
        <w:ind w:left="1276" w:hanging="1276"/>
        <w:rPr>
          <w:lang w:val="es-MX"/>
        </w:rPr>
      </w:pPr>
      <w:r w:rsidRPr="00321B46">
        <w:rPr>
          <w:i/>
        </w:rPr>
        <w:t>CR</w:t>
      </w:r>
      <w:r w:rsidRPr="00321B46">
        <w:rPr>
          <w:i/>
          <w:vertAlign w:val="subscript"/>
        </w:rPr>
        <w:t>i</w:t>
      </w:r>
      <w:r w:rsidR="00916161" w:rsidRPr="00321B46">
        <w:rPr>
          <w:i/>
          <w:vertAlign w:val="subscript"/>
        </w:rPr>
        <w:t>,m</w:t>
      </w:r>
      <w:r w:rsidR="00916161" w:rsidRPr="00321B46">
        <w:rPr>
          <w:lang w:val="es-MX"/>
        </w:rPr>
        <w:t>:</w:t>
      </w:r>
      <w:r w:rsidR="00916161" w:rsidRPr="00321B46">
        <w:rPr>
          <w:lang w:val="es-MX"/>
        </w:rPr>
        <w:tab/>
        <w:t xml:space="preserve">Valor de la UC </w:t>
      </w:r>
      <w:r w:rsidR="00916161" w:rsidRPr="00321B46">
        <w:rPr>
          <w:i/>
          <w:lang w:val="es-MX"/>
        </w:rPr>
        <w:t>i</w:t>
      </w:r>
      <w:r w:rsidR="00916161" w:rsidRPr="00321B46">
        <w:rPr>
          <w:lang w:val="es-MX"/>
        </w:rPr>
        <w:t xml:space="preserve"> ubicada </w:t>
      </w:r>
      <w:r w:rsidRPr="00321B46">
        <w:rPr>
          <w:lang w:val="es-MX"/>
        </w:rPr>
        <w:t>cerca de la orilla del mar. Para el caso de líneas este valor corresponde al resultado de multiplicar el valor del kilómetro de conductor por el número de kilómetros instalados cerca del mar, más los respectivos apoyos</w:t>
      </w:r>
      <w:r w:rsidR="00916161" w:rsidRPr="00321B46">
        <w:rPr>
          <w:lang w:val="es-MX"/>
        </w:rPr>
        <w:t>.</w:t>
      </w:r>
    </w:p>
    <w:p w14:paraId="6485FB8F" w14:textId="2862AC8C" w:rsidR="00916161" w:rsidRPr="00321B46" w:rsidRDefault="00F91C84" w:rsidP="00AE046B">
      <w:pPr>
        <w:ind w:left="1276" w:hanging="1276"/>
        <w:rPr>
          <w:lang w:val="es-MX"/>
        </w:rPr>
      </w:pPr>
      <w:r w:rsidRPr="00321B46">
        <w:rPr>
          <w:i/>
        </w:rPr>
        <w:t>CR</w:t>
      </w:r>
      <w:r w:rsidRPr="00321B46">
        <w:rPr>
          <w:i/>
          <w:vertAlign w:val="subscript"/>
        </w:rPr>
        <w:t>i</w:t>
      </w:r>
      <w:r w:rsidR="00916161" w:rsidRPr="00321B46">
        <w:rPr>
          <w:lang w:val="es-MX"/>
        </w:rPr>
        <w:t>:</w:t>
      </w:r>
      <w:r w:rsidR="00916161" w:rsidRPr="00321B46">
        <w:rPr>
          <w:lang w:val="es-MX"/>
        </w:rPr>
        <w:tab/>
        <w:t xml:space="preserve">Valor de la UC </w:t>
      </w:r>
      <w:r w:rsidR="00916161" w:rsidRPr="00321B46">
        <w:rPr>
          <w:i/>
          <w:lang w:val="es-MX"/>
        </w:rPr>
        <w:t>i</w:t>
      </w:r>
      <w:r w:rsidR="00916161" w:rsidRPr="00321B46">
        <w:rPr>
          <w:lang w:val="es-MX"/>
        </w:rPr>
        <w:t xml:space="preserve">. Para el caso de líneas este valor corresponde al resultado de multiplicar el valor del kilómetro </w:t>
      </w:r>
      <w:r w:rsidRPr="00321B46">
        <w:rPr>
          <w:lang w:val="es-MX"/>
        </w:rPr>
        <w:t>de conductor por el número total de kilómetros de la línea, más los respectivos apoyos</w:t>
      </w:r>
      <w:r w:rsidR="00916161" w:rsidRPr="00321B46">
        <w:rPr>
          <w:lang w:val="es-MX"/>
        </w:rPr>
        <w:t>.</w:t>
      </w:r>
    </w:p>
    <w:p w14:paraId="1CCE378A" w14:textId="77777777" w:rsidR="00916161" w:rsidRPr="00321B46" w:rsidDel="00853546" w:rsidRDefault="00916161" w:rsidP="00AE046B">
      <w:pPr>
        <w:tabs>
          <w:tab w:val="left" w:pos="1418"/>
        </w:tabs>
        <w:spacing w:before="120"/>
        <w:ind w:left="1276" w:hanging="1276"/>
      </w:pPr>
      <w:r w:rsidRPr="00321B46" w:rsidDel="00853546">
        <w:rPr>
          <w:i/>
          <w:iCs/>
        </w:rPr>
        <w:t>PU</w:t>
      </w:r>
      <w:r w:rsidRPr="00321B46" w:rsidDel="00853546">
        <w:rPr>
          <w:i/>
          <w:iCs/>
          <w:vertAlign w:val="subscript"/>
        </w:rPr>
        <w:t>j,i</w:t>
      </w:r>
      <w:r w:rsidRPr="00321B46" w:rsidDel="00853546">
        <w:rPr>
          <w:i/>
          <w:iCs/>
        </w:rPr>
        <w:t>:</w:t>
      </w:r>
      <w:r w:rsidRPr="00321B46" w:rsidDel="00853546">
        <w:tab/>
        <w:t xml:space="preserve">Porcentaje del costo total de la UC </w:t>
      </w:r>
      <w:r w:rsidRPr="00321B46" w:rsidDel="00853546">
        <w:rPr>
          <w:i/>
          <w:iCs/>
        </w:rPr>
        <w:t>i</w:t>
      </w:r>
      <w:r w:rsidRPr="00321B46" w:rsidDel="00853546">
        <w:t xml:space="preserve"> que es remunerado vía cargos por uso al TN </w:t>
      </w:r>
      <w:r w:rsidRPr="00321B46" w:rsidDel="00853546">
        <w:rPr>
          <w:i/>
        </w:rPr>
        <w:t>j</w:t>
      </w:r>
      <w:r w:rsidRPr="00321B46" w:rsidDel="00853546">
        <w:t>.</w:t>
      </w:r>
    </w:p>
    <w:p w14:paraId="0A720625" w14:textId="184FAA77" w:rsidR="00AE046B" w:rsidRPr="00321B46" w:rsidRDefault="00AE046B" w:rsidP="00AE046B">
      <w:pPr>
        <w:ind w:left="1276" w:hanging="1276"/>
        <w:rPr>
          <w:lang w:val="es-MX"/>
        </w:rPr>
      </w:pPr>
      <w:r w:rsidRPr="00321B46">
        <w:rPr>
          <w:i/>
        </w:rPr>
        <w:t>nuc</w:t>
      </w:r>
      <w:r w:rsidRPr="00321B46">
        <w:rPr>
          <w:i/>
          <w:vertAlign w:val="subscript"/>
        </w:rPr>
        <w:t>j,m</w:t>
      </w:r>
      <w:r w:rsidRPr="00321B46">
        <w:rPr>
          <w:lang w:val="es-MX"/>
        </w:rPr>
        <w:t>:</w:t>
      </w:r>
      <w:r w:rsidRPr="00321B46">
        <w:rPr>
          <w:lang w:val="es-MX"/>
        </w:rPr>
        <w:tab/>
        <w:t xml:space="preserve">Número de unidades constructivas que el TN </w:t>
      </w:r>
      <w:r w:rsidRPr="00321B46">
        <w:rPr>
          <w:i/>
          <w:lang w:val="es-MX"/>
        </w:rPr>
        <w:t>j</w:t>
      </w:r>
      <w:r w:rsidRPr="00321B46">
        <w:rPr>
          <w:lang w:val="es-MX"/>
        </w:rPr>
        <w:t xml:space="preserve"> tiene instaladas </w:t>
      </w:r>
      <w:r w:rsidR="00F91C84" w:rsidRPr="00321B46">
        <w:rPr>
          <w:lang w:val="es-MX"/>
        </w:rPr>
        <w:t>cerca del mar</w:t>
      </w:r>
    </w:p>
    <w:p w14:paraId="53627CCD" w14:textId="0BBF2713" w:rsidR="00AE046B" w:rsidRPr="00321B46" w:rsidRDefault="00AE046B" w:rsidP="00AE046B">
      <w:pPr>
        <w:ind w:left="1276" w:hanging="1276"/>
        <w:rPr>
          <w:lang w:val="es-MX"/>
        </w:rPr>
      </w:pPr>
      <w:r w:rsidRPr="00321B46">
        <w:rPr>
          <w:i/>
        </w:rPr>
        <w:t>nuc</w:t>
      </w:r>
      <w:r w:rsidRPr="00321B46">
        <w:rPr>
          <w:i/>
          <w:vertAlign w:val="subscript"/>
        </w:rPr>
        <w:t>j</w:t>
      </w:r>
      <w:r w:rsidRPr="00321B46">
        <w:rPr>
          <w:lang w:val="es-MX"/>
        </w:rPr>
        <w:t>:</w:t>
      </w:r>
      <w:r w:rsidRPr="00321B46">
        <w:rPr>
          <w:lang w:val="es-MX"/>
        </w:rPr>
        <w:tab/>
        <w:t xml:space="preserve">Número </w:t>
      </w:r>
      <w:r w:rsidR="00F91C84" w:rsidRPr="00321B46">
        <w:rPr>
          <w:lang w:val="es-MX"/>
        </w:rPr>
        <w:t xml:space="preserve">total </w:t>
      </w:r>
      <w:r w:rsidRPr="00321B46">
        <w:rPr>
          <w:lang w:val="es-MX"/>
        </w:rPr>
        <w:t xml:space="preserve">de unidades constructivas que el TN </w:t>
      </w:r>
      <w:r w:rsidRPr="00321B46">
        <w:rPr>
          <w:i/>
          <w:lang w:val="es-MX"/>
        </w:rPr>
        <w:t>j</w:t>
      </w:r>
      <w:r w:rsidRPr="00321B46">
        <w:rPr>
          <w:lang w:val="es-MX"/>
        </w:rPr>
        <w:t xml:space="preserve"> tiene instaladas.</w:t>
      </w:r>
    </w:p>
    <w:p w14:paraId="20CEB073" w14:textId="64DFF131" w:rsidR="007C2E1E" w:rsidRPr="00321B46" w:rsidRDefault="007C2E1E" w:rsidP="007C2E1E">
      <w:pPr>
        <w:rPr>
          <w:lang w:val="es-MX"/>
        </w:rPr>
      </w:pPr>
      <w:r w:rsidRPr="00321B46">
        <w:rPr>
          <w:lang w:val="es-MX"/>
        </w:rPr>
        <w:t xml:space="preserve">Para este cálculo solo se tienen en cuenta las unidades constructivas de subestación y de líneas, con los valores contenidos en el capítulo </w:t>
      </w:r>
      <w:r w:rsidR="0000774E" w:rsidRPr="00321B46">
        <w:rPr>
          <w:lang w:val="es-MX"/>
        </w:rPr>
        <w:fldChar w:fldCharType="begin"/>
      </w:r>
      <w:r w:rsidR="0000774E" w:rsidRPr="00321B46">
        <w:rPr>
          <w:lang w:val="es-MX"/>
        </w:rPr>
        <w:instrText xml:space="preserve"> REF _Ref465954654 \r \h \t</w:instrText>
      </w:r>
      <w:r w:rsidR="00321B46">
        <w:rPr>
          <w:lang w:val="es-MX"/>
        </w:rPr>
        <w:instrText xml:space="preserve"> \* MERGEFORMAT </w:instrText>
      </w:r>
      <w:r w:rsidR="0000774E" w:rsidRPr="00321B46">
        <w:rPr>
          <w:lang w:val="es-MX"/>
        </w:rPr>
      </w:r>
      <w:r w:rsidR="0000774E" w:rsidRPr="00321B46">
        <w:rPr>
          <w:lang w:val="es-MX"/>
        </w:rPr>
        <w:fldChar w:fldCharType="separate"/>
      </w:r>
      <w:r w:rsidR="000F355F">
        <w:rPr>
          <w:lang w:val="es-MX"/>
        </w:rPr>
        <w:t>8</w:t>
      </w:r>
      <w:r w:rsidR="0000774E" w:rsidRPr="00321B46">
        <w:rPr>
          <w:lang w:val="es-MX"/>
        </w:rPr>
        <w:fldChar w:fldCharType="end"/>
      </w:r>
      <w:r w:rsidR="0061728F" w:rsidRPr="00321B46">
        <w:t xml:space="preserve"> de este anexo</w:t>
      </w:r>
      <w:r w:rsidRPr="00321B46">
        <w:rPr>
          <w:lang w:val="es-MX"/>
        </w:rPr>
        <w:t>.</w:t>
      </w:r>
    </w:p>
    <w:p w14:paraId="2169881B" w14:textId="77777777" w:rsidR="00E43449" w:rsidRPr="00321B46" w:rsidRDefault="00E43449" w:rsidP="00E43449">
      <w:pPr>
        <w:pStyle w:val="Ttulo3"/>
        <w:rPr>
          <w:szCs w:val="24"/>
        </w:rPr>
      </w:pPr>
      <w:bookmarkStart w:id="151" w:name="_Toc461090327"/>
      <w:bookmarkStart w:id="152" w:name="_Toc461091476"/>
      <w:bookmarkStart w:id="153" w:name="_Toc461092557"/>
      <w:bookmarkStart w:id="154" w:name="_Toc461092886"/>
      <w:bookmarkStart w:id="155" w:name="_Toc461093362"/>
      <w:bookmarkStart w:id="156" w:name="_Toc461093437"/>
      <w:bookmarkStart w:id="157" w:name="_Toc440388881"/>
      <w:bookmarkStart w:id="158" w:name="_Toc440388882"/>
      <w:bookmarkStart w:id="159" w:name="_Toc440388883"/>
      <w:bookmarkStart w:id="160" w:name="_Toc440388884"/>
      <w:bookmarkStart w:id="161" w:name="_Toc440388885"/>
      <w:bookmarkStart w:id="162" w:name="_Toc440388892"/>
      <w:bookmarkStart w:id="163" w:name="_Toc440388893"/>
      <w:bookmarkStart w:id="164" w:name="_Ref403576479"/>
      <w:bookmarkStart w:id="165" w:name="_Toc466392636"/>
      <w:bookmarkEnd w:id="151"/>
      <w:bookmarkEnd w:id="152"/>
      <w:bookmarkEnd w:id="153"/>
      <w:bookmarkEnd w:id="154"/>
      <w:bookmarkEnd w:id="155"/>
      <w:bookmarkEnd w:id="156"/>
      <w:bookmarkEnd w:id="157"/>
      <w:bookmarkEnd w:id="158"/>
      <w:bookmarkEnd w:id="159"/>
      <w:bookmarkEnd w:id="160"/>
      <w:bookmarkEnd w:id="161"/>
      <w:bookmarkEnd w:id="162"/>
      <w:bookmarkEnd w:id="163"/>
      <w:r w:rsidRPr="00321B46">
        <w:rPr>
          <w:szCs w:val="24"/>
        </w:rPr>
        <w:t>Valor de AOM para nuevas inversiones</w:t>
      </w:r>
      <w:bookmarkEnd w:id="164"/>
      <w:bookmarkEnd w:id="165"/>
    </w:p>
    <w:p w14:paraId="68973931" w14:textId="77777777" w:rsidR="00E43449" w:rsidRPr="00321B46" w:rsidRDefault="00E43449" w:rsidP="00E43449">
      <w:pPr>
        <w:rPr>
          <w:lang w:val="es-MX"/>
        </w:rPr>
      </w:pPr>
      <w:r w:rsidRPr="00321B46">
        <w:rPr>
          <w:lang w:val="es-MX"/>
        </w:rPr>
        <w:t>Para las nuevas inversiones, diferentes a reposición, se reconoce un valor anual de AOM así:</w:t>
      </w:r>
    </w:p>
    <w:p w14:paraId="0C79EE49" w14:textId="77777777" w:rsidR="00E43449" w:rsidRPr="00321B46" w:rsidRDefault="00651802" w:rsidP="00E43449">
      <w:pPr>
        <w:jc w:val="center"/>
        <w:rPr>
          <w:lang w:val="es-MX"/>
        </w:rPr>
      </w:pPr>
      <m:oMath>
        <m:sSub>
          <m:sSubPr>
            <m:ctrlPr>
              <w:rPr>
                <w:rFonts w:ascii="Cambria Math" w:hAnsi="Cambria Math"/>
                <w:i/>
                <w:lang w:val="es-MX"/>
              </w:rPr>
            </m:ctrlPr>
          </m:sSubPr>
          <m:e>
            <m:r>
              <w:rPr>
                <w:rFonts w:ascii="Cambria Math" w:hAnsi="Cambria Math"/>
                <w:lang w:val="es-MX"/>
              </w:rPr>
              <m:t>AOMNI</m:t>
            </m:r>
          </m:e>
          <m:sub>
            <m:r>
              <w:rPr>
                <w:rFonts w:ascii="Cambria Math" w:hAnsi="Cambria Math"/>
                <w:lang w:val="es-MX"/>
              </w:rPr>
              <m:t>j,t</m:t>
            </m:r>
          </m:sub>
        </m:sSub>
        <m:r>
          <w:rPr>
            <w:rFonts w:ascii="Cambria Math" w:hAnsi="Cambria Math"/>
            <w:lang w:val="es-MX"/>
          </w:rPr>
          <m:t>=2,5%*</m:t>
        </m:r>
        <m:sSub>
          <m:sSubPr>
            <m:ctrlPr>
              <w:rPr>
                <w:rFonts w:ascii="Cambria Math" w:hAnsi="Cambria Math"/>
                <w:i/>
                <w:lang w:val="es-MX"/>
              </w:rPr>
            </m:ctrlPr>
          </m:sSubPr>
          <m:e>
            <m:r>
              <w:rPr>
                <w:rFonts w:ascii="Cambria Math" w:hAnsi="Cambria Math"/>
                <w:lang w:val="es-MX"/>
              </w:rPr>
              <m:t>VACNI</m:t>
            </m:r>
          </m:e>
          <m:sub>
            <m:r>
              <w:rPr>
                <w:rFonts w:ascii="Cambria Math" w:hAnsi="Cambria Math"/>
                <w:lang w:val="es-MX"/>
              </w:rPr>
              <m:t>j,t</m:t>
            </m:r>
          </m:sub>
        </m:sSub>
      </m:oMath>
      <w:r w:rsidR="00E43449" w:rsidRPr="00321B46">
        <w:rPr>
          <w:lang w:val="es-MX"/>
        </w:rPr>
        <w:t xml:space="preserve">     </w:t>
      </w:r>
    </w:p>
    <w:p w14:paraId="3CB7260F" w14:textId="77777777" w:rsidR="00E43449" w:rsidRPr="00321B46" w:rsidRDefault="00E43449" w:rsidP="00AE046B">
      <w:pPr>
        <w:spacing w:before="0"/>
        <w:ind w:left="1418" w:hanging="1418"/>
        <w:rPr>
          <w:lang w:val="es-MX"/>
        </w:rPr>
      </w:pPr>
      <w:r w:rsidRPr="00321B46">
        <w:rPr>
          <w:i/>
          <w:lang w:val="es-MX"/>
        </w:rPr>
        <w:t>AOMNI</w:t>
      </w:r>
      <w:r w:rsidRPr="00321B46">
        <w:rPr>
          <w:i/>
          <w:vertAlign w:val="subscript"/>
          <w:lang w:val="es-MX"/>
        </w:rPr>
        <w:t>j,t</w:t>
      </w:r>
      <w:r w:rsidRPr="00321B46">
        <w:rPr>
          <w:lang w:val="es-MX"/>
        </w:rPr>
        <w:t>:</w:t>
      </w:r>
      <w:r w:rsidRPr="00321B46">
        <w:rPr>
          <w:lang w:val="es-MX"/>
        </w:rPr>
        <w:tab/>
        <w:t xml:space="preserve">Valor del AOM para las nuevas inversiones del TN </w:t>
      </w:r>
      <w:r w:rsidRPr="00321B46">
        <w:rPr>
          <w:i/>
          <w:lang w:val="es-MX"/>
        </w:rPr>
        <w:t>j</w:t>
      </w:r>
      <w:r w:rsidRPr="00321B46">
        <w:rPr>
          <w:lang w:val="es-MX"/>
        </w:rPr>
        <w:t>, expresado en pesos de la fecha de corte.</w:t>
      </w:r>
    </w:p>
    <w:p w14:paraId="593BE87C" w14:textId="77777777" w:rsidR="00E041CD" w:rsidRPr="00321B46" w:rsidRDefault="00E43449" w:rsidP="00AE046B">
      <w:pPr>
        <w:ind w:left="1418" w:hanging="1418"/>
        <w:rPr>
          <w:lang w:val="es-MX"/>
        </w:rPr>
      </w:pPr>
      <w:r w:rsidRPr="00321B46">
        <w:rPr>
          <w:i/>
          <w:lang w:val="es-MX"/>
        </w:rPr>
        <w:t>VACNI</w:t>
      </w:r>
      <w:r w:rsidRPr="00321B46">
        <w:rPr>
          <w:i/>
          <w:vertAlign w:val="subscript"/>
          <w:lang w:val="es-MX"/>
        </w:rPr>
        <w:t>j,t</w:t>
      </w:r>
      <w:r w:rsidRPr="00321B46">
        <w:rPr>
          <w:lang w:val="es-MX"/>
        </w:rPr>
        <w:t>:</w:t>
      </w:r>
      <w:r w:rsidRPr="00321B46">
        <w:rPr>
          <w:lang w:val="es-MX"/>
        </w:rPr>
        <w:tab/>
        <w:t xml:space="preserve">Valor acumulado hasta el año </w:t>
      </w:r>
      <w:r w:rsidRPr="00321B46">
        <w:rPr>
          <w:i/>
          <w:lang w:val="es-MX"/>
        </w:rPr>
        <w:t>t</w:t>
      </w:r>
      <w:r w:rsidRPr="00321B46">
        <w:rPr>
          <w:lang w:val="es-MX"/>
        </w:rPr>
        <w:t xml:space="preserve"> de las nuevas inversiones, diferentes a reposición, para el TN </w:t>
      </w:r>
      <w:r w:rsidRPr="00321B46">
        <w:rPr>
          <w:i/>
          <w:lang w:val="es-MX"/>
        </w:rPr>
        <w:t>j</w:t>
      </w:r>
      <w:r w:rsidRPr="00321B46">
        <w:rPr>
          <w:lang w:val="es-MX"/>
        </w:rPr>
        <w:t>, expresado en pesos de la fecha de corte.</w:t>
      </w:r>
      <w:r w:rsidR="00E041CD" w:rsidRPr="00321B46">
        <w:rPr>
          <w:lang w:val="es-MX"/>
        </w:rPr>
        <w:t xml:space="preserve"> Se calcula de la siguiente forma:</w:t>
      </w:r>
    </w:p>
    <w:p w14:paraId="6A52D17C" w14:textId="77777777" w:rsidR="00E041CD" w:rsidRPr="00321B46" w:rsidRDefault="00651802" w:rsidP="00E041CD">
      <w:pPr>
        <w:ind w:hanging="1701"/>
        <w:rPr>
          <w:i/>
          <w:lang w:val="es-MX"/>
        </w:rPr>
      </w:pPr>
      <m:oMathPara>
        <m:oMath>
          <m:sSub>
            <m:sSubPr>
              <m:ctrlPr>
                <w:rPr>
                  <w:rFonts w:ascii="Cambria Math" w:hAnsi="Cambria Math"/>
                  <w:i/>
                  <w:lang w:val="es-MX"/>
                </w:rPr>
              </m:ctrlPr>
            </m:sSubPr>
            <m:e>
              <m:r>
                <w:rPr>
                  <w:rFonts w:ascii="Cambria Math" w:hAnsi="Cambria Math"/>
                  <w:lang w:val="es-MX"/>
                </w:rPr>
                <m:t>VACNI</m:t>
              </m:r>
            </m:e>
            <m:sub>
              <m:r>
                <w:rPr>
                  <w:rFonts w:ascii="Cambria Math" w:hAnsi="Cambria Math"/>
                  <w:lang w:val="es-MX"/>
                </w:rPr>
                <m:t>j,t</m:t>
              </m:r>
            </m:sub>
          </m:sSub>
          <m:r>
            <w:rPr>
              <w:rFonts w:ascii="Cambria Math" w:hAnsi="Cambria Math"/>
              <w:lang w:val="es-MX"/>
            </w:rPr>
            <m:t>=</m:t>
          </m:r>
          <m:sSub>
            <m:sSubPr>
              <m:ctrlPr>
                <w:rPr>
                  <w:rFonts w:ascii="Cambria Math" w:hAnsi="Cambria Math"/>
                  <w:i/>
                  <w:lang w:val="es-MX"/>
                </w:rPr>
              </m:ctrlPr>
            </m:sSubPr>
            <m:e>
              <m:r>
                <w:rPr>
                  <w:rFonts w:ascii="Cambria Math" w:hAnsi="Cambria Math"/>
                  <w:lang w:val="es-MX"/>
                </w:rPr>
                <m:t>VACNI</m:t>
              </m:r>
            </m:e>
            <m:sub>
              <m:r>
                <w:rPr>
                  <w:rFonts w:ascii="Cambria Math" w:hAnsi="Cambria Math"/>
                  <w:lang w:val="es-MX"/>
                </w:rPr>
                <m:t>j,t-1</m:t>
              </m:r>
            </m:sub>
          </m:sSub>
          <m:r>
            <w:rPr>
              <w:rFonts w:ascii="Cambria Math" w:hAnsi="Cambria Math"/>
              <w:lang w:val="es-MX"/>
            </w:rPr>
            <m:t>+</m:t>
          </m:r>
          <m:sSub>
            <m:sSubPr>
              <m:ctrlPr>
                <w:rPr>
                  <w:rFonts w:ascii="Cambria Math" w:hAnsi="Cambria Math"/>
                  <w:i/>
                  <w:lang w:val="es-MX"/>
                </w:rPr>
              </m:ctrlPr>
            </m:sSubPr>
            <m:e>
              <m:r>
                <w:rPr>
                  <w:rFonts w:ascii="Cambria Math" w:hAnsi="Cambria Math"/>
                  <w:lang w:val="es-MX"/>
                </w:rPr>
                <m:t>BRAEN</m:t>
              </m:r>
            </m:e>
            <m:sub>
              <m:r>
                <w:rPr>
                  <w:rFonts w:ascii="Cambria Math" w:hAnsi="Cambria Math"/>
                  <w:lang w:val="es-MX"/>
                </w:rPr>
                <m:t>j,t-1</m:t>
              </m:r>
            </m:sub>
          </m:sSub>
          <m:r>
            <w:rPr>
              <w:rFonts w:ascii="Cambria Math" w:hAnsi="Cambria Math"/>
              <w:lang w:val="es-MX"/>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K</m:t>
              </m:r>
            </m:sup>
            <m:e>
              <m:sSub>
                <m:sSubPr>
                  <m:ctrlPr>
                    <w:rPr>
                      <w:rFonts w:ascii="Cambria Math" w:hAnsi="Cambria Math"/>
                      <w:i/>
                    </w:rPr>
                  </m:ctrlPr>
                </m:sSubPr>
                <m:e>
                  <m:r>
                    <w:rPr>
                      <w:rFonts w:ascii="Cambria Math" w:hAnsi="Cambria Math"/>
                    </w:rPr>
                    <m:t>INVTR</m:t>
                  </m:r>
                </m:e>
                <m:sub>
                  <m:r>
                    <w:rPr>
                      <w:rFonts w:ascii="Cambria Math" w:hAnsi="Cambria Math"/>
                    </w:rPr>
                    <m:t>j</m:t>
                  </m:r>
                  <m:r>
                    <w:rPr>
                      <w:rFonts w:ascii="Cambria Math"/>
                    </w:rPr>
                    <m:t>,TI,k,t</m:t>
                  </m:r>
                  <m:r>
                    <w:rPr>
                      <w:rFonts w:ascii="Cambria Math"/>
                    </w:rPr>
                    <m:t>-</m:t>
                  </m:r>
                  <m:r>
                    <w:rPr>
                      <w:rFonts w:ascii="Cambria Math"/>
                    </w:rPr>
                    <m:t>1</m:t>
                  </m:r>
                </m:sub>
              </m:sSub>
            </m:e>
          </m:nary>
        </m:oMath>
      </m:oMathPara>
    </w:p>
    <w:p w14:paraId="063B663B" w14:textId="434B569F" w:rsidR="00E041CD" w:rsidRPr="00321B46" w:rsidRDefault="00E041CD" w:rsidP="009A7C14">
      <w:pPr>
        <w:ind w:left="2127" w:hanging="1701"/>
      </w:pPr>
      <w:r w:rsidRPr="00321B46">
        <w:rPr>
          <w:i/>
          <w:iCs/>
        </w:rPr>
        <w:t>BRAEN</w:t>
      </w:r>
      <w:r w:rsidRPr="00321B46">
        <w:rPr>
          <w:i/>
          <w:iCs/>
          <w:vertAlign w:val="subscript"/>
        </w:rPr>
        <w:t>j,t</w:t>
      </w:r>
      <w:r w:rsidR="006108F8" w:rsidRPr="00321B46">
        <w:rPr>
          <w:i/>
          <w:iCs/>
          <w:vertAlign w:val="subscript"/>
        </w:rPr>
        <w:t>-1</w:t>
      </w:r>
      <w:r w:rsidRPr="00321B46">
        <w:t>:</w:t>
      </w:r>
      <w:r w:rsidRPr="00321B46">
        <w:tab/>
        <w:t xml:space="preserve">Base regulatoria de activos eléctricos nuevos </w:t>
      </w:r>
      <w:r w:rsidRPr="00321B46">
        <w:rPr>
          <w:iCs/>
        </w:rPr>
        <w:t>del</w:t>
      </w:r>
      <w:r w:rsidRPr="00321B46">
        <w:rPr>
          <w:i/>
          <w:iCs/>
        </w:rPr>
        <w:t xml:space="preserve"> TN</w:t>
      </w:r>
      <w:r w:rsidRPr="00321B46">
        <w:t xml:space="preserve"> </w:t>
      </w:r>
      <w:r w:rsidRPr="00321B46">
        <w:rPr>
          <w:i/>
          <w:iCs/>
        </w:rPr>
        <w:t>j</w:t>
      </w:r>
      <w:r w:rsidRPr="00321B46">
        <w:rPr>
          <w:iCs/>
        </w:rPr>
        <w:t>,</w:t>
      </w:r>
      <w:r w:rsidRPr="00321B46">
        <w:t xml:space="preserve"> en el año </w:t>
      </w:r>
      <w:r w:rsidRPr="00321B46">
        <w:rPr>
          <w:i/>
        </w:rPr>
        <w:t>t</w:t>
      </w:r>
      <w:r w:rsidR="006108F8" w:rsidRPr="00321B46">
        <w:rPr>
          <w:i/>
        </w:rPr>
        <w:t>-1</w:t>
      </w:r>
      <w:r w:rsidRPr="00321B46">
        <w:t xml:space="preserve">, según lo establecido en los numerales </w:t>
      </w:r>
      <w:r w:rsidRPr="00321B46">
        <w:fldChar w:fldCharType="begin"/>
      </w:r>
      <w:r w:rsidRPr="00321B46">
        <w:instrText xml:space="preserve"> REF _Ref404004686 \r \h  \* MERGEFORMAT </w:instrText>
      </w:r>
      <w:r w:rsidRPr="00321B46">
        <w:fldChar w:fldCharType="separate"/>
      </w:r>
      <w:r w:rsidR="000F355F">
        <w:t>2.2.1.5</w:t>
      </w:r>
      <w:r w:rsidRPr="00321B46">
        <w:fldChar w:fldCharType="end"/>
      </w:r>
      <w:r w:rsidRPr="00321B46">
        <w:t xml:space="preserve">. </w:t>
      </w:r>
    </w:p>
    <w:p w14:paraId="2FCD934B" w14:textId="29373736" w:rsidR="00E041CD" w:rsidRPr="00321B46" w:rsidRDefault="00E041CD" w:rsidP="00E041CD">
      <w:pPr>
        <w:spacing w:before="120"/>
        <w:ind w:left="2127" w:hanging="1701"/>
      </w:pPr>
      <w:r w:rsidRPr="00321B46">
        <w:rPr>
          <w:i/>
          <w:iCs/>
        </w:rPr>
        <w:t>INVTR</w:t>
      </w:r>
      <w:r w:rsidRPr="00321B46">
        <w:rPr>
          <w:i/>
          <w:iCs/>
          <w:vertAlign w:val="subscript"/>
        </w:rPr>
        <w:t>j,TI,</w:t>
      </w:r>
      <w:r w:rsidR="006108F8" w:rsidRPr="00321B46">
        <w:rPr>
          <w:i/>
          <w:iCs/>
          <w:vertAlign w:val="subscript"/>
        </w:rPr>
        <w:t>k</w:t>
      </w:r>
      <w:r w:rsidRPr="00321B46">
        <w:rPr>
          <w:i/>
          <w:iCs/>
          <w:vertAlign w:val="subscript"/>
        </w:rPr>
        <w:t>,t-1</w:t>
      </w:r>
      <w:r w:rsidRPr="00321B46">
        <w:t>:</w:t>
      </w:r>
      <w:r w:rsidRPr="00321B46">
        <w:tab/>
        <w:t>Valor de la i</w:t>
      </w:r>
      <w:r w:rsidRPr="00321B46">
        <w:rPr>
          <w:iCs/>
        </w:rPr>
        <w:t xml:space="preserve">nversión puesta en operación en el sistema del </w:t>
      </w:r>
      <w:r w:rsidR="006108F8" w:rsidRPr="00321B46">
        <w:rPr>
          <w:iCs/>
        </w:rPr>
        <w:t>TN</w:t>
      </w:r>
      <w:r w:rsidRPr="00321B46">
        <w:rPr>
          <w:iCs/>
        </w:rPr>
        <w:t xml:space="preserve"> </w:t>
      </w:r>
      <w:r w:rsidRPr="00321B46">
        <w:rPr>
          <w:i/>
          <w:iCs/>
        </w:rPr>
        <w:t xml:space="preserve">j, </w:t>
      </w:r>
      <w:r w:rsidRPr="00321B46">
        <w:rPr>
          <w:iCs/>
        </w:rPr>
        <w:t xml:space="preserve">en la categoría de activos </w:t>
      </w:r>
      <w:r w:rsidR="006108F8" w:rsidRPr="00321B46">
        <w:rPr>
          <w:i/>
          <w:iCs/>
        </w:rPr>
        <w:t>k</w:t>
      </w:r>
      <w:r w:rsidRPr="00321B46">
        <w:rPr>
          <w:iCs/>
        </w:rPr>
        <w:t xml:space="preserve"> para el año </w:t>
      </w:r>
      <w:r w:rsidRPr="00321B46">
        <w:rPr>
          <w:i/>
          <w:iCs/>
        </w:rPr>
        <w:t>t</w:t>
      </w:r>
      <w:r w:rsidRPr="00321B46">
        <w:rPr>
          <w:i/>
          <w:iCs/>
        </w:rPr>
        <w:noBreakHyphen/>
        <w:t>1</w:t>
      </w:r>
      <w:r w:rsidRPr="00321B46">
        <w:rPr>
          <w:iCs/>
        </w:rPr>
        <w:t xml:space="preserve">. </w:t>
      </w:r>
      <w:r w:rsidRPr="00321B46">
        <w:t xml:space="preserve">Calculada de acuerdo con lo previsto en el numeral </w:t>
      </w:r>
      <w:r w:rsidR="00154391" w:rsidRPr="00321B46">
        <w:fldChar w:fldCharType="begin"/>
      </w:r>
      <w:r w:rsidR="00154391" w:rsidRPr="00321B46">
        <w:instrText xml:space="preserve"> REF _Ref445419611 \r \h </w:instrText>
      </w:r>
      <w:r w:rsidR="002C1A78" w:rsidRPr="00321B46">
        <w:instrText xml:space="preserve"> \* MERGEFORMAT </w:instrText>
      </w:r>
      <w:r w:rsidR="00154391" w:rsidRPr="00321B46">
        <w:fldChar w:fldCharType="separate"/>
      </w:r>
      <w:r w:rsidR="000F355F">
        <w:t>6.5</w:t>
      </w:r>
      <w:r w:rsidR="00154391" w:rsidRPr="00321B46">
        <w:fldChar w:fldCharType="end"/>
      </w:r>
      <w:r w:rsidRPr="00321B46">
        <w:t xml:space="preserve">, para </w:t>
      </w:r>
      <w:r w:rsidR="002C1A78" w:rsidRPr="00321B46">
        <w:t>el</w:t>
      </w:r>
      <w:r w:rsidRPr="00321B46">
        <w:t xml:space="preserve"> </w:t>
      </w:r>
      <w:r w:rsidRPr="00321B46">
        <w:rPr>
          <w:iCs/>
        </w:rPr>
        <w:t xml:space="preserve">tipo de inversión </w:t>
      </w:r>
      <w:r w:rsidRPr="00321B46">
        <w:rPr>
          <w:i/>
          <w:iCs/>
        </w:rPr>
        <w:t>TI</w:t>
      </w:r>
      <w:r w:rsidRPr="00321B46">
        <w:rPr>
          <w:iCs/>
        </w:rPr>
        <w:t xml:space="preserve"> = II</w:t>
      </w:r>
    </w:p>
    <w:p w14:paraId="7C985E03" w14:textId="7E34D7BD" w:rsidR="00E041CD" w:rsidRPr="00321B46" w:rsidRDefault="006108F8" w:rsidP="00E041CD">
      <w:pPr>
        <w:tabs>
          <w:tab w:val="left" w:pos="2127"/>
        </w:tabs>
        <w:spacing w:before="120"/>
        <w:ind w:left="2127" w:hanging="1701"/>
      </w:pPr>
      <w:r w:rsidRPr="00321B46">
        <w:rPr>
          <w:i/>
          <w:iCs/>
        </w:rPr>
        <w:t>K</w:t>
      </w:r>
      <w:r w:rsidR="00E041CD" w:rsidRPr="00321B46">
        <w:rPr>
          <w:i/>
          <w:iCs/>
        </w:rPr>
        <w:t>:</w:t>
      </w:r>
      <w:r w:rsidR="00E041CD" w:rsidRPr="00321B46">
        <w:rPr>
          <w:i/>
          <w:iCs/>
        </w:rPr>
        <w:tab/>
      </w:r>
      <w:r w:rsidR="00E041CD" w:rsidRPr="00321B46">
        <w:t>Cantidad de categorías de activos</w:t>
      </w:r>
      <w:r w:rsidR="00AC3138" w:rsidRPr="00321B46">
        <w:rPr>
          <w:color w:val="000000" w:themeColor="text1"/>
        </w:rPr>
        <w:t xml:space="preserve">, según lo establecido </w:t>
      </w:r>
      <w:r w:rsidR="00AC3138" w:rsidRPr="00321B46">
        <w:t xml:space="preserve">en el numeral </w:t>
      </w:r>
      <w:r w:rsidR="00AC3138" w:rsidRPr="00321B46">
        <w:fldChar w:fldCharType="begin"/>
      </w:r>
      <w:r w:rsidR="00AC3138" w:rsidRPr="00321B46">
        <w:instrText xml:space="preserve"> REF _Ref445370460 \r \h </w:instrText>
      </w:r>
      <w:r w:rsidR="00321B46">
        <w:instrText xml:space="preserve"> \* MERGEFORMAT </w:instrText>
      </w:r>
      <w:r w:rsidR="00AC3138" w:rsidRPr="00321B46">
        <w:fldChar w:fldCharType="separate"/>
      </w:r>
      <w:r w:rsidR="000F355F">
        <w:t>7.5</w:t>
      </w:r>
      <w:r w:rsidR="00AC3138" w:rsidRPr="00321B46">
        <w:fldChar w:fldCharType="end"/>
      </w:r>
      <w:r w:rsidR="00E041CD" w:rsidRPr="00321B46">
        <w:t>.</w:t>
      </w:r>
    </w:p>
    <w:p w14:paraId="7C5B9B03" w14:textId="77777777" w:rsidR="00E43449" w:rsidRPr="00321B46" w:rsidRDefault="00E43449" w:rsidP="00BF7220">
      <w:pPr>
        <w:pStyle w:val="Ttulo2"/>
      </w:pPr>
      <w:bookmarkStart w:id="166" w:name="_Toc445388105"/>
      <w:bookmarkStart w:id="167" w:name="_Toc445390253"/>
      <w:bookmarkStart w:id="168" w:name="_Toc445392782"/>
      <w:bookmarkStart w:id="169" w:name="_Toc445392944"/>
      <w:bookmarkStart w:id="170" w:name="_Toc445395167"/>
      <w:bookmarkStart w:id="171" w:name="_Toc445412123"/>
      <w:bookmarkStart w:id="172" w:name="_Toc445412353"/>
      <w:bookmarkStart w:id="173" w:name="_Toc445419498"/>
      <w:bookmarkStart w:id="174" w:name="_Toc445419953"/>
      <w:bookmarkStart w:id="175" w:name="_Toc445420035"/>
      <w:bookmarkStart w:id="176" w:name="_Toc445420325"/>
      <w:bookmarkStart w:id="177" w:name="_Toc445422112"/>
      <w:bookmarkStart w:id="178" w:name="_Toc445388106"/>
      <w:bookmarkStart w:id="179" w:name="_Toc445390254"/>
      <w:bookmarkStart w:id="180" w:name="_Toc445392783"/>
      <w:bookmarkStart w:id="181" w:name="_Toc445392945"/>
      <w:bookmarkStart w:id="182" w:name="_Toc445395168"/>
      <w:bookmarkStart w:id="183" w:name="_Toc445412124"/>
      <w:bookmarkStart w:id="184" w:name="_Toc445412354"/>
      <w:bookmarkStart w:id="185" w:name="_Toc445419499"/>
      <w:bookmarkStart w:id="186" w:name="_Toc445419954"/>
      <w:bookmarkStart w:id="187" w:name="_Toc445420036"/>
      <w:bookmarkStart w:id="188" w:name="_Toc445420326"/>
      <w:bookmarkStart w:id="189" w:name="_Toc445422113"/>
      <w:bookmarkStart w:id="190" w:name="_Ref465924246"/>
      <w:bookmarkStart w:id="191" w:name="_Toc466392637"/>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321B46">
        <w:t>V</w:t>
      </w:r>
      <w:r w:rsidR="009954EA" w:rsidRPr="00321B46">
        <w:t xml:space="preserve">erificación del valor anual de </w:t>
      </w:r>
      <w:r w:rsidRPr="00321B46">
        <w:t>AOM</w:t>
      </w:r>
      <w:bookmarkEnd w:id="190"/>
      <w:bookmarkEnd w:id="191"/>
    </w:p>
    <w:p w14:paraId="6156C117" w14:textId="77777777" w:rsidR="00E43449" w:rsidRPr="00321B46" w:rsidRDefault="00E43449" w:rsidP="00E43449">
      <w:r w:rsidRPr="00321B46">
        <w:t xml:space="preserve">Con el propósito de verificar la información de AOM, los TN deberán reportarla cada año adjuntado un concepto por parte de </w:t>
      </w:r>
      <w:r w:rsidRPr="00321B46">
        <w:rPr>
          <w:spacing w:val="-3"/>
        </w:rPr>
        <w:t xml:space="preserve">una firma </w:t>
      </w:r>
      <w:r w:rsidR="00306EFB" w:rsidRPr="00321B46">
        <w:rPr>
          <w:spacing w:val="-3"/>
        </w:rPr>
        <w:t>verificadora</w:t>
      </w:r>
      <w:r w:rsidRPr="00321B46">
        <w:rPr>
          <w:spacing w:val="-3"/>
        </w:rPr>
        <w:t>.</w:t>
      </w:r>
    </w:p>
    <w:p w14:paraId="583A8B10" w14:textId="77777777" w:rsidR="00E43449" w:rsidRPr="00321B46" w:rsidRDefault="00E43449" w:rsidP="00E43449">
      <w:r w:rsidRPr="00321B46">
        <w:t xml:space="preserve">El informe que entregue el </w:t>
      </w:r>
      <w:r w:rsidR="00306EFB" w:rsidRPr="00321B46">
        <w:t xml:space="preserve">verificador </w:t>
      </w:r>
      <w:r w:rsidRPr="00321B46">
        <w:t xml:space="preserve">sobre la </w:t>
      </w:r>
      <w:r w:rsidR="00306EFB" w:rsidRPr="00321B46">
        <w:t xml:space="preserve">revisión </w:t>
      </w:r>
      <w:r w:rsidRPr="00321B46">
        <w:t>de la información de AOM debe incluir, entre otros, el formulario debidamente diligenciado y su concepto de visto bueno o de salvedad sobre la información entregada por el TN.</w:t>
      </w:r>
    </w:p>
    <w:p w14:paraId="58F5BA61" w14:textId="6D25B5D6" w:rsidR="00E43449" w:rsidRPr="00321B46" w:rsidRDefault="00E43449" w:rsidP="00E956C5">
      <w:bookmarkStart w:id="192" w:name="_Ref257126074"/>
      <w:r w:rsidRPr="00321B46">
        <w:t xml:space="preserve">Los TN deben entregar a la </w:t>
      </w:r>
      <w:r w:rsidR="00E956C5" w:rsidRPr="00321B46">
        <w:t xml:space="preserve">SSPD </w:t>
      </w:r>
      <w:r w:rsidRPr="00321B46">
        <w:t xml:space="preserve">la información de AOM del año anterior junto con el informe del </w:t>
      </w:r>
      <w:r w:rsidR="00306EFB" w:rsidRPr="00321B46">
        <w:t xml:space="preserve">verificador </w:t>
      </w:r>
      <w:r w:rsidRPr="00321B46">
        <w:t>contratado</w:t>
      </w:r>
      <w:r w:rsidR="00E956C5" w:rsidRPr="00321B46">
        <w:t>. La información a entregar, los plazos y los demás requisitos de los informes serán dados a conocer por la CREG en forma separada</w:t>
      </w:r>
      <w:bookmarkEnd w:id="192"/>
      <w:r w:rsidRPr="00321B46">
        <w:t>.</w:t>
      </w:r>
    </w:p>
    <w:p w14:paraId="65FC05B6" w14:textId="77777777" w:rsidR="00E43449" w:rsidRPr="00321B46" w:rsidRDefault="00E43449" w:rsidP="00E43449">
      <w:pPr>
        <w:spacing w:before="0" w:after="0"/>
        <w:jc w:val="left"/>
        <w:rPr>
          <w:lang w:val="es-CO"/>
        </w:rPr>
      </w:pPr>
      <w:r w:rsidRPr="00321B46">
        <w:rPr>
          <w:lang w:val="es-CO"/>
        </w:rPr>
        <w:br w:type="page"/>
      </w:r>
    </w:p>
    <w:p w14:paraId="1073F53B" w14:textId="28B231A5" w:rsidR="009954EA" w:rsidRPr="00321B46" w:rsidRDefault="009954EA">
      <w:pPr>
        <w:pStyle w:val="Ttulo1"/>
      </w:pPr>
      <w:bookmarkStart w:id="193" w:name="_Ref404080507"/>
      <w:bookmarkStart w:id="194" w:name="_Toc408493152"/>
      <w:bookmarkStart w:id="195" w:name="_Toc411243797"/>
      <w:bookmarkStart w:id="196" w:name="_Toc445214079"/>
      <w:bookmarkStart w:id="197" w:name="_Toc466392638"/>
      <w:bookmarkStart w:id="198" w:name="_Ref403650856"/>
      <w:bookmarkStart w:id="199" w:name="_Ref406660862"/>
      <w:r w:rsidRPr="00321B46">
        <w:t>INGRESO ANUAL POR INCENTIVOS</w:t>
      </w:r>
      <w:bookmarkEnd w:id="193"/>
      <w:bookmarkEnd w:id="194"/>
      <w:bookmarkEnd w:id="195"/>
      <w:bookmarkEnd w:id="196"/>
      <w:bookmarkEnd w:id="197"/>
    </w:p>
    <w:p w14:paraId="4BE76DB5" w14:textId="1C7DE117" w:rsidR="005B5446" w:rsidRPr="00321B46" w:rsidRDefault="005B5446" w:rsidP="005B5446">
      <w:r w:rsidRPr="00321B46">
        <w:t xml:space="preserve">La remuneración de las nuevas inversiones, de acuerdo con lo definido en el capítulo </w:t>
      </w:r>
      <w:r w:rsidR="00D766CC" w:rsidRPr="00321B46">
        <w:fldChar w:fldCharType="begin"/>
      </w:r>
      <w:r w:rsidR="00D766CC" w:rsidRPr="00321B46">
        <w:instrText xml:space="preserve"> REF _Ref403571468 \r \h \t</w:instrText>
      </w:r>
      <w:r w:rsidR="00321B46">
        <w:instrText xml:space="preserve"> \* MERGEFORMAT </w:instrText>
      </w:r>
      <w:r w:rsidR="00D766CC" w:rsidRPr="00321B46">
        <w:fldChar w:fldCharType="separate"/>
      </w:r>
      <w:r w:rsidR="000F355F">
        <w:t>2</w:t>
      </w:r>
      <w:r w:rsidR="00D766CC" w:rsidRPr="00321B46">
        <w:fldChar w:fldCharType="end"/>
      </w:r>
      <w:r w:rsidR="0061728F" w:rsidRPr="00321B46">
        <w:t xml:space="preserve"> de este anexo</w:t>
      </w:r>
      <w:r w:rsidRPr="00321B46">
        <w:t>, se hace con base en los valores de referencia de las UC</w:t>
      </w:r>
      <w:r w:rsidR="00E268E2" w:rsidRPr="00321B46">
        <w:t>;</w:t>
      </w:r>
      <w:r w:rsidRPr="00321B46">
        <w:t xml:space="preserve"> de igual manera, la remuneración de los gastos de AOM se hace con base en los gastos de AOM de referencia definidos en el capítulo </w:t>
      </w:r>
      <w:r w:rsidR="00D766CC" w:rsidRPr="00321B46">
        <w:fldChar w:fldCharType="begin"/>
      </w:r>
      <w:r w:rsidR="00D766CC" w:rsidRPr="00321B46">
        <w:instrText xml:space="preserve"> REF _Ref403984011 \r \h \t</w:instrText>
      </w:r>
      <w:r w:rsidR="00321B46">
        <w:instrText xml:space="preserve"> \* MERGEFORMAT </w:instrText>
      </w:r>
      <w:r w:rsidR="00D766CC" w:rsidRPr="00321B46">
        <w:fldChar w:fldCharType="separate"/>
      </w:r>
      <w:r w:rsidR="000F355F">
        <w:t>3</w:t>
      </w:r>
      <w:r w:rsidR="00D766CC" w:rsidRPr="00321B46">
        <w:fldChar w:fldCharType="end"/>
      </w:r>
      <w:r w:rsidR="0061728F" w:rsidRPr="00321B46">
        <w:t xml:space="preserve"> de este anexo</w:t>
      </w:r>
      <w:r w:rsidRPr="00321B46">
        <w:t>.</w:t>
      </w:r>
    </w:p>
    <w:p w14:paraId="0868A182" w14:textId="2D0DED9C" w:rsidR="005B5446" w:rsidRPr="00321B46" w:rsidRDefault="005B5446" w:rsidP="005B5446">
      <w:r w:rsidRPr="00321B46">
        <w:t xml:space="preserve">La diferencia entre el valor anual ejecutado por el </w:t>
      </w:r>
      <w:r w:rsidR="00E268E2" w:rsidRPr="00321B46">
        <w:t>TN</w:t>
      </w:r>
      <w:r w:rsidRPr="00321B46">
        <w:t xml:space="preserve"> y el valor de referencia reconocido, tanto en inversiones como en gastos de AOM, se distribuye entre los usuarios y el </w:t>
      </w:r>
      <w:r w:rsidR="00E268E2" w:rsidRPr="00321B46">
        <w:t>TN</w:t>
      </w:r>
      <w:r w:rsidRPr="00321B46">
        <w:t xml:space="preserve"> en los porcentajes definidos en este capítulo, según el </w:t>
      </w:r>
      <w:r w:rsidR="0090317E" w:rsidRPr="00321B46">
        <w:t>incentivo alcanzado</w:t>
      </w:r>
      <w:r w:rsidRPr="00321B46">
        <w:t xml:space="preserve">. </w:t>
      </w:r>
    </w:p>
    <w:p w14:paraId="3108A928" w14:textId="2430E89A" w:rsidR="005B5446" w:rsidRPr="00321B46" w:rsidRDefault="005B5446" w:rsidP="005B5446">
      <w:r w:rsidRPr="00321B46">
        <w:t xml:space="preserve">El ingreso total a recibir por el </w:t>
      </w:r>
      <w:r w:rsidR="00030D32" w:rsidRPr="00321B46">
        <w:t>TN</w:t>
      </w:r>
      <w:r w:rsidRPr="00321B46">
        <w:t xml:space="preserve"> corresponde al valor de la inversión o gasto ejecutado más el incentivo alcanzado. En la </w:t>
      </w:r>
      <w:r w:rsidRPr="00321B46">
        <w:fldChar w:fldCharType="begin"/>
      </w:r>
      <w:r w:rsidRPr="00321B46">
        <w:instrText xml:space="preserve"> REF _Ref460935472 \h </w:instrText>
      </w:r>
      <w:r w:rsidR="00321B46">
        <w:instrText xml:space="preserve"> \* MERGEFORMAT </w:instrText>
      </w:r>
      <w:r w:rsidRPr="00321B46">
        <w:fldChar w:fldCharType="separate"/>
      </w:r>
      <w:r w:rsidR="000F355F" w:rsidRPr="00321B46">
        <w:t xml:space="preserve">Tabla </w:t>
      </w:r>
      <w:r w:rsidR="000F355F">
        <w:rPr>
          <w:noProof/>
        </w:rPr>
        <w:t>3</w:t>
      </w:r>
      <w:r w:rsidRPr="00321B46">
        <w:fldChar w:fldCharType="end"/>
      </w:r>
      <w:r w:rsidRPr="00321B46">
        <w:t xml:space="preserve"> se encuentra el porcentaje de incentivo </w:t>
      </w:r>
      <w:r w:rsidR="0090317E" w:rsidRPr="00321B46">
        <w:t>que recibe</w:t>
      </w:r>
      <w:r w:rsidRPr="00321B46">
        <w:t xml:space="preserve"> el </w:t>
      </w:r>
      <w:r w:rsidR="00030D32" w:rsidRPr="00321B46">
        <w:t>TN</w:t>
      </w:r>
      <w:r w:rsidRPr="00321B46">
        <w:t xml:space="preserve"> por el nivel de eficiencia </w:t>
      </w:r>
      <w:r w:rsidR="0090317E" w:rsidRPr="00321B46">
        <w:t xml:space="preserve">alcanzado </w:t>
      </w:r>
      <w:r w:rsidRPr="00321B46">
        <w:t xml:space="preserve">respecto a las inversiones y gastos de referencia. </w:t>
      </w:r>
    </w:p>
    <w:p w14:paraId="344E2E76" w14:textId="2BDB3160" w:rsidR="005B5446" w:rsidRPr="00321B46" w:rsidRDefault="005B5446" w:rsidP="005B5446">
      <w:r w:rsidRPr="00321B46">
        <w:t xml:space="preserve">Al inicio del periodo tarifario el </w:t>
      </w:r>
      <w:r w:rsidR="00030D32" w:rsidRPr="00321B46">
        <w:t>TN</w:t>
      </w:r>
      <w:r w:rsidRPr="00321B46">
        <w:t xml:space="preserve"> debe declarar el nivel de inversiones y gastos esperados respecto a los valores de inversiones y gastos de referencia, </w:t>
      </w:r>
      <w:r w:rsidR="0090317E" w:rsidRPr="00321B46">
        <w:t xml:space="preserve">es decir selecciona una de las columnas de la </w:t>
      </w:r>
      <w:r w:rsidR="0090317E" w:rsidRPr="00321B46">
        <w:fldChar w:fldCharType="begin"/>
      </w:r>
      <w:r w:rsidR="0090317E" w:rsidRPr="00321B46">
        <w:instrText xml:space="preserve"> REF _Ref460935472 \h </w:instrText>
      </w:r>
      <w:r w:rsidR="00321B46">
        <w:instrText xml:space="preserve"> \* MERGEFORMAT </w:instrText>
      </w:r>
      <w:r w:rsidR="0090317E" w:rsidRPr="00321B46">
        <w:fldChar w:fldCharType="separate"/>
      </w:r>
      <w:r w:rsidR="000F355F" w:rsidRPr="00321B46">
        <w:t xml:space="preserve">Tabla </w:t>
      </w:r>
      <w:r w:rsidR="000F355F">
        <w:rPr>
          <w:noProof/>
        </w:rPr>
        <w:t>3</w:t>
      </w:r>
      <w:r w:rsidR="0090317E" w:rsidRPr="00321B46">
        <w:fldChar w:fldCharType="end"/>
      </w:r>
      <w:r w:rsidR="0090317E" w:rsidRPr="00321B46">
        <w:t>. Al</w:t>
      </w:r>
      <w:r w:rsidRPr="00321B46">
        <w:t xml:space="preserve"> finalizar </w:t>
      </w:r>
      <w:r w:rsidR="0090317E" w:rsidRPr="00321B46">
        <w:t xml:space="preserve">cada </w:t>
      </w:r>
      <w:r w:rsidRPr="00321B46">
        <w:t xml:space="preserve">año el </w:t>
      </w:r>
      <w:r w:rsidR="00030D32" w:rsidRPr="00321B46">
        <w:t>TN</w:t>
      </w:r>
      <w:r w:rsidRPr="00321B46">
        <w:t xml:space="preserve"> debe calcular el nivel de inversiones y gastos ejecutados, </w:t>
      </w:r>
      <w:r w:rsidR="0090317E" w:rsidRPr="00321B46">
        <w:t xml:space="preserve">el cual corresponde a una de las filas de la </w:t>
      </w:r>
      <w:r w:rsidR="0090317E" w:rsidRPr="00321B46">
        <w:fldChar w:fldCharType="begin"/>
      </w:r>
      <w:r w:rsidR="0090317E" w:rsidRPr="00321B46">
        <w:instrText xml:space="preserve"> REF _Ref460935472 \h </w:instrText>
      </w:r>
      <w:r w:rsidR="00321B46">
        <w:instrText xml:space="preserve"> \* MERGEFORMAT </w:instrText>
      </w:r>
      <w:r w:rsidR="0090317E" w:rsidRPr="00321B46">
        <w:fldChar w:fldCharType="separate"/>
      </w:r>
      <w:r w:rsidR="000F355F" w:rsidRPr="00321B46">
        <w:t xml:space="preserve">Tabla </w:t>
      </w:r>
      <w:r w:rsidR="000F355F">
        <w:rPr>
          <w:noProof/>
        </w:rPr>
        <w:t>3</w:t>
      </w:r>
      <w:r w:rsidR="0090317E" w:rsidRPr="00321B46">
        <w:fldChar w:fldCharType="end"/>
      </w:r>
      <w:r w:rsidR="0090317E" w:rsidRPr="00321B46">
        <w:t xml:space="preserve">. El </w:t>
      </w:r>
      <w:r w:rsidRPr="00321B46">
        <w:t>incentivo alcanzado</w:t>
      </w:r>
      <w:r w:rsidR="0090317E" w:rsidRPr="00321B46">
        <w:t xml:space="preserve">, </w:t>
      </w:r>
      <w:r w:rsidR="0090317E" w:rsidRPr="00321B46">
        <w:rPr>
          <w:i/>
        </w:rPr>
        <w:t>INCAI/INCAG</w:t>
      </w:r>
      <w:r w:rsidR="0090317E" w:rsidRPr="00321B46">
        <w:t>,</w:t>
      </w:r>
      <w:r w:rsidRPr="00321B46">
        <w:t xml:space="preserve"> es el porcentaje correspondiente a la intersección entre el nivel de inversiones o gastos declarados, </w:t>
      </w:r>
      <w:r w:rsidR="00A52A8A" w:rsidRPr="00321B46">
        <w:t xml:space="preserve">columna </w:t>
      </w:r>
      <w:r w:rsidRPr="00321B46">
        <w:rPr>
          <w:i/>
        </w:rPr>
        <w:t>NID/NGD</w:t>
      </w:r>
      <w:r w:rsidRPr="00321B46">
        <w:t xml:space="preserve">, y el nivel de inversiones o gastos ejecutados, </w:t>
      </w:r>
      <w:r w:rsidR="00A52A8A" w:rsidRPr="00321B46">
        <w:t xml:space="preserve">fila </w:t>
      </w:r>
      <w:r w:rsidRPr="00321B46">
        <w:rPr>
          <w:i/>
        </w:rPr>
        <w:t>NIE/NGE</w:t>
      </w:r>
      <w:r w:rsidRPr="00321B46">
        <w:t xml:space="preserve"> de la </w:t>
      </w:r>
      <w:r w:rsidRPr="00321B46">
        <w:fldChar w:fldCharType="begin"/>
      </w:r>
      <w:r w:rsidRPr="00321B46">
        <w:instrText xml:space="preserve"> REF _Ref460935472 \h </w:instrText>
      </w:r>
      <w:r w:rsidR="00321B46">
        <w:instrText xml:space="preserve"> \* MERGEFORMAT </w:instrText>
      </w:r>
      <w:r w:rsidRPr="00321B46">
        <w:fldChar w:fldCharType="separate"/>
      </w:r>
      <w:r w:rsidR="000F355F" w:rsidRPr="00321B46">
        <w:t xml:space="preserve">Tabla </w:t>
      </w:r>
      <w:r w:rsidR="000F355F">
        <w:rPr>
          <w:noProof/>
        </w:rPr>
        <w:t>3</w:t>
      </w:r>
      <w:r w:rsidRPr="00321B46">
        <w:fldChar w:fldCharType="end"/>
      </w:r>
      <w:r w:rsidRPr="00321B46">
        <w:t>.</w:t>
      </w:r>
    </w:p>
    <w:p w14:paraId="365930EC" w14:textId="47CBF250" w:rsidR="005B5446" w:rsidRPr="00321B46" w:rsidRDefault="005B5446" w:rsidP="005B5446">
      <w:pPr>
        <w:pStyle w:val="Descripcin"/>
      </w:pPr>
      <w:bookmarkStart w:id="200" w:name="_Ref460935472"/>
      <w:r w:rsidRPr="00321B46">
        <w:t xml:space="preserve">Tabla </w:t>
      </w:r>
      <w:r w:rsidRPr="00321B46">
        <w:fldChar w:fldCharType="begin"/>
      </w:r>
      <w:r w:rsidRPr="00321B46">
        <w:instrText xml:space="preserve"> SEQ Tabla \* ARABIC </w:instrText>
      </w:r>
      <w:r w:rsidRPr="00321B46">
        <w:fldChar w:fldCharType="separate"/>
      </w:r>
      <w:r w:rsidR="000F355F">
        <w:rPr>
          <w:noProof/>
        </w:rPr>
        <w:t>3</w:t>
      </w:r>
      <w:r w:rsidRPr="00321B46">
        <w:fldChar w:fldCharType="end"/>
      </w:r>
      <w:bookmarkEnd w:id="200"/>
      <w:r w:rsidRPr="00321B46">
        <w:t xml:space="preserve"> Incentivo alcanzado por eficiencia en inversiones o gastos, INCAI/INCAG</w:t>
      </w:r>
    </w:p>
    <w:tbl>
      <w:tblPr>
        <w:tblW w:w="0" w:type="auto"/>
        <w:jc w:val="center"/>
        <w:tblCellMar>
          <w:left w:w="70" w:type="dxa"/>
          <w:right w:w="70" w:type="dxa"/>
        </w:tblCellMar>
        <w:tblLook w:val="04A0" w:firstRow="1" w:lastRow="0" w:firstColumn="1" w:lastColumn="0" w:noHBand="0" w:noVBand="1"/>
      </w:tblPr>
      <w:tblGrid>
        <w:gridCol w:w="725"/>
        <w:gridCol w:w="767"/>
        <w:gridCol w:w="767"/>
        <w:gridCol w:w="767"/>
        <w:gridCol w:w="767"/>
        <w:gridCol w:w="767"/>
        <w:gridCol w:w="783"/>
        <w:gridCol w:w="783"/>
        <w:gridCol w:w="783"/>
        <w:gridCol w:w="783"/>
        <w:gridCol w:w="783"/>
        <w:gridCol w:w="783"/>
      </w:tblGrid>
      <w:tr w:rsidR="005B5446" w:rsidRPr="00321B46" w14:paraId="6B3E37D3" w14:textId="77777777" w:rsidTr="00E268E2">
        <w:trPr>
          <w:trHeight w:val="300"/>
          <w:tblHeader/>
          <w:jc w:val="center"/>
        </w:trPr>
        <w:tc>
          <w:tcPr>
            <w:tcW w:w="0" w:type="auto"/>
            <w:tcBorders>
              <w:bottom w:val="nil"/>
              <w:right w:val="single" w:sz="4" w:space="0" w:color="auto"/>
            </w:tcBorders>
            <w:shd w:val="clear" w:color="auto" w:fill="auto"/>
            <w:vAlign w:val="center"/>
            <w:hideMark/>
          </w:tcPr>
          <w:p w14:paraId="16B68F39" w14:textId="77777777" w:rsidR="005B5446" w:rsidRPr="00321B46" w:rsidRDefault="005B5446" w:rsidP="00E268E2">
            <w:pPr>
              <w:spacing w:before="0" w:after="0"/>
              <w:jc w:val="center"/>
              <w:rPr>
                <w:b/>
                <w:color w:val="000000"/>
                <w:sz w:val="20"/>
                <w:szCs w:val="20"/>
                <w:lang w:val="es-CO" w:eastAsia="es-CO"/>
              </w:rPr>
            </w:pPr>
          </w:p>
        </w:tc>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74A14E1A" w14:textId="77777777" w:rsidR="005B5446" w:rsidRPr="00321B46" w:rsidRDefault="005B5446" w:rsidP="00E268E2">
            <w:pPr>
              <w:spacing w:before="0" w:after="0"/>
              <w:jc w:val="center"/>
              <w:rPr>
                <w:b/>
                <w:color w:val="000000"/>
                <w:sz w:val="22"/>
                <w:szCs w:val="22"/>
                <w:lang w:val="es-CO" w:eastAsia="es-CO"/>
              </w:rPr>
            </w:pPr>
            <w:r w:rsidRPr="00321B46">
              <w:rPr>
                <w:b/>
                <w:color w:val="000000"/>
                <w:sz w:val="22"/>
                <w:szCs w:val="22"/>
                <w:lang w:val="es-CO" w:eastAsia="es-CO"/>
              </w:rPr>
              <w:t>VALOR DECLARADO – NID/NGD</w:t>
            </w:r>
          </w:p>
        </w:tc>
      </w:tr>
      <w:tr w:rsidR="005B5446" w:rsidRPr="00321B46" w14:paraId="65BE9CB6" w14:textId="77777777" w:rsidTr="00E268E2">
        <w:trPr>
          <w:trHeight w:val="315"/>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CF08792" w14:textId="77777777" w:rsidR="005B5446" w:rsidRPr="00321B46" w:rsidRDefault="005B5446" w:rsidP="00E268E2">
            <w:pPr>
              <w:spacing w:before="0" w:after="0"/>
              <w:jc w:val="center"/>
              <w:rPr>
                <w:b/>
                <w:color w:val="000000"/>
                <w:sz w:val="20"/>
                <w:szCs w:val="20"/>
                <w:lang w:val="es-CO" w:eastAsia="es-CO"/>
              </w:rPr>
            </w:pPr>
            <w:r w:rsidRPr="00321B46">
              <w:rPr>
                <w:b/>
                <w:color w:val="000000"/>
                <w:sz w:val="20"/>
                <w:szCs w:val="20"/>
                <w:lang w:val="es-CO" w:eastAsia="es-CO"/>
              </w:rPr>
              <w:t>NIE</w:t>
            </w:r>
          </w:p>
          <w:p w14:paraId="428DD7DC" w14:textId="77777777" w:rsidR="005B5446" w:rsidRPr="00321B46" w:rsidRDefault="005B5446" w:rsidP="00E268E2">
            <w:pPr>
              <w:spacing w:before="0" w:after="0"/>
              <w:jc w:val="center"/>
              <w:rPr>
                <w:b/>
                <w:color w:val="000000"/>
                <w:sz w:val="20"/>
                <w:szCs w:val="20"/>
                <w:lang w:val="es-CO" w:eastAsia="es-CO"/>
              </w:rPr>
            </w:pPr>
            <w:r w:rsidRPr="00321B46">
              <w:rPr>
                <w:b/>
                <w:color w:val="000000"/>
                <w:sz w:val="20"/>
                <w:szCs w:val="20"/>
                <w:lang w:val="es-CO" w:eastAsia="es-CO"/>
              </w:rPr>
              <w:t>/NGE</w:t>
            </w:r>
          </w:p>
        </w:tc>
        <w:tc>
          <w:tcPr>
            <w:tcW w:w="0" w:type="auto"/>
            <w:tcBorders>
              <w:top w:val="nil"/>
              <w:left w:val="nil"/>
              <w:bottom w:val="single" w:sz="4" w:space="0" w:color="auto"/>
              <w:right w:val="single" w:sz="4" w:space="0" w:color="auto"/>
            </w:tcBorders>
            <w:shd w:val="clear" w:color="auto" w:fill="auto"/>
            <w:noWrap/>
            <w:vAlign w:val="center"/>
          </w:tcPr>
          <w:p w14:paraId="569EFB5F" w14:textId="77777777" w:rsidR="005B5446" w:rsidRPr="00321B46" w:rsidRDefault="005B5446" w:rsidP="00E268E2">
            <w:pPr>
              <w:spacing w:before="0" w:after="0"/>
              <w:jc w:val="center"/>
              <w:rPr>
                <w:color w:val="000000"/>
                <w:sz w:val="22"/>
                <w:szCs w:val="22"/>
                <w:lang w:val="es-CO" w:eastAsia="es-CO"/>
              </w:rPr>
            </w:pPr>
            <w:r w:rsidRPr="00321B46">
              <w:rPr>
                <w:b/>
                <w:color w:val="000000"/>
                <w:sz w:val="22"/>
                <w:szCs w:val="22"/>
                <w:lang w:val="es-CO" w:eastAsia="es-CO"/>
              </w:rPr>
              <w:t>90%</w:t>
            </w:r>
          </w:p>
        </w:tc>
        <w:tc>
          <w:tcPr>
            <w:tcW w:w="0" w:type="auto"/>
            <w:tcBorders>
              <w:top w:val="nil"/>
              <w:left w:val="nil"/>
              <w:bottom w:val="single" w:sz="4" w:space="0" w:color="auto"/>
              <w:right w:val="single" w:sz="4" w:space="0" w:color="auto"/>
            </w:tcBorders>
            <w:shd w:val="clear" w:color="auto" w:fill="auto"/>
            <w:noWrap/>
            <w:vAlign w:val="center"/>
          </w:tcPr>
          <w:p w14:paraId="2C1E4D4B" w14:textId="77777777" w:rsidR="005B5446" w:rsidRPr="00321B46" w:rsidRDefault="005B5446" w:rsidP="00E268E2">
            <w:pPr>
              <w:spacing w:before="0" w:after="0"/>
              <w:jc w:val="center"/>
              <w:rPr>
                <w:color w:val="000000"/>
                <w:sz w:val="22"/>
                <w:szCs w:val="22"/>
                <w:lang w:val="es-CO" w:eastAsia="es-CO"/>
              </w:rPr>
            </w:pPr>
            <w:r w:rsidRPr="00321B46">
              <w:rPr>
                <w:b/>
                <w:color w:val="000000"/>
                <w:sz w:val="22"/>
                <w:szCs w:val="22"/>
                <w:lang w:val="es-CO" w:eastAsia="es-CO"/>
              </w:rPr>
              <w:t>92%</w:t>
            </w:r>
          </w:p>
        </w:tc>
        <w:tc>
          <w:tcPr>
            <w:tcW w:w="0" w:type="auto"/>
            <w:tcBorders>
              <w:top w:val="nil"/>
              <w:left w:val="nil"/>
              <w:bottom w:val="single" w:sz="4" w:space="0" w:color="auto"/>
              <w:right w:val="single" w:sz="4" w:space="0" w:color="auto"/>
            </w:tcBorders>
            <w:shd w:val="clear" w:color="auto" w:fill="auto"/>
            <w:noWrap/>
            <w:vAlign w:val="center"/>
          </w:tcPr>
          <w:p w14:paraId="218811A9" w14:textId="77777777" w:rsidR="005B5446" w:rsidRPr="00321B46" w:rsidRDefault="005B5446" w:rsidP="00E268E2">
            <w:pPr>
              <w:spacing w:before="0" w:after="0"/>
              <w:jc w:val="center"/>
              <w:rPr>
                <w:color w:val="000000"/>
                <w:sz w:val="22"/>
                <w:szCs w:val="22"/>
                <w:lang w:val="es-CO" w:eastAsia="es-CO"/>
              </w:rPr>
            </w:pPr>
            <w:r w:rsidRPr="00321B46">
              <w:rPr>
                <w:b/>
                <w:color w:val="000000"/>
                <w:sz w:val="22"/>
                <w:szCs w:val="22"/>
                <w:lang w:val="es-CO" w:eastAsia="es-CO"/>
              </w:rPr>
              <w:t>94%</w:t>
            </w:r>
          </w:p>
        </w:tc>
        <w:tc>
          <w:tcPr>
            <w:tcW w:w="0" w:type="auto"/>
            <w:tcBorders>
              <w:top w:val="nil"/>
              <w:left w:val="nil"/>
              <w:bottom w:val="single" w:sz="4" w:space="0" w:color="auto"/>
              <w:right w:val="single" w:sz="4" w:space="0" w:color="auto"/>
            </w:tcBorders>
            <w:shd w:val="clear" w:color="auto" w:fill="auto"/>
            <w:noWrap/>
            <w:vAlign w:val="center"/>
          </w:tcPr>
          <w:p w14:paraId="7C1A4AF2" w14:textId="77777777" w:rsidR="005B5446" w:rsidRPr="00321B46" w:rsidRDefault="005B5446" w:rsidP="00E268E2">
            <w:pPr>
              <w:spacing w:before="0" w:after="0"/>
              <w:jc w:val="center"/>
              <w:rPr>
                <w:color w:val="000000"/>
                <w:sz w:val="22"/>
                <w:szCs w:val="22"/>
                <w:lang w:val="es-CO" w:eastAsia="es-CO"/>
              </w:rPr>
            </w:pPr>
            <w:r w:rsidRPr="00321B46">
              <w:rPr>
                <w:b/>
                <w:color w:val="000000"/>
                <w:sz w:val="22"/>
                <w:szCs w:val="22"/>
                <w:lang w:val="es-CO" w:eastAsia="es-CO"/>
              </w:rPr>
              <w:t>96%</w:t>
            </w:r>
          </w:p>
        </w:tc>
        <w:tc>
          <w:tcPr>
            <w:tcW w:w="0" w:type="auto"/>
            <w:tcBorders>
              <w:top w:val="nil"/>
              <w:left w:val="nil"/>
              <w:bottom w:val="single" w:sz="4" w:space="0" w:color="auto"/>
              <w:right w:val="single" w:sz="4" w:space="0" w:color="auto"/>
            </w:tcBorders>
            <w:shd w:val="clear" w:color="auto" w:fill="auto"/>
            <w:noWrap/>
            <w:vAlign w:val="center"/>
          </w:tcPr>
          <w:p w14:paraId="17BA1BDB" w14:textId="77777777" w:rsidR="005B5446" w:rsidRPr="00321B46" w:rsidRDefault="005B5446" w:rsidP="00E268E2">
            <w:pPr>
              <w:spacing w:before="0" w:after="0"/>
              <w:jc w:val="center"/>
              <w:rPr>
                <w:color w:val="000000"/>
                <w:sz w:val="22"/>
                <w:szCs w:val="22"/>
                <w:lang w:val="es-CO" w:eastAsia="es-CO"/>
              </w:rPr>
            </w:pPr>
            <w:r w:rsidRPr="00321B46">
              <w:rPr>
                <w:b/>
                <w:color w:val="000000"/>
                <w:sz w:val="22"/>
                <w:szCs w:val="22"/>
                <w:lang w:val="es-CO" w:eastAsia="es-CO"/>
              </w:rPr>
              <w:t>98%</w:t>
            </w:r>
          </w:p>
        </w:tc>
        <w:tc>
          <w:tcPr>
            <w:tcW w:w="0" w:type="auto"/>
            <w:tcBorders>
              <w:top w:val="nil"/>
              <w:left w:val="nil"/>
              <w:bottom w:val="single" w:sz="4" w:space="0" w:color="auto"/>
              <w:right w:val="single" w:sz="4" w:space="0" w:color="auto"/>
            </w:tcBorders>
            <w:shd w:val="clear" w:color="auto" w:fill="auto"/>
            <w:noWrap/>
            <w:vAlign w:val="center"/>
          </w:tcPr>
          <w:p w14:paraId="59CB5070" w14:textId="77777777" w:rsidR="005B5446" w:rsidRPr="00321B46" w:rsidRDefault="005B5446" w:rsidP="00E268E2">
            <w:pPr>
              <w:spacing w:before="0" w:after="0"/>
              <w:jc w:val="center"/>
              <w:rPr>
                <w:color w:val="000000"/>
                <w:sz w:val="22"/>
                <w:szCs w:val="22"/>
                <w:lang w:val="es-CO" w:eastAsia="es-CO"/>
              </w:rPr>
            </w:pPr>
            <w:r w:rsidRPr="00321B46">
              <w:rPr>
                <w:b/>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vAlign w:val="center"/>
          </w:tcPr>
          <w:p w14:paraId="67D9B526" w14:textId="77777777" w:rsidR="005B5446" w:rsidRPr="00321B46" w:rsidRDefault="005B5446" w:rsidP="00E268E2">
            <w:pPr>
              <w:spacing w:before="0" w:after="0"/>
              <w:jc w:val="center"/>
              <w:rPr>
                <w:color w:val="000000"/>
                <w:sz w:val="22"/>
                <w:szCs w:val="22"/>
                <w:lang w:val="es-CO" w:eastAsia="es-CO"/>
              </w:rPr>
            </w:pPr>
            <w:r w:rsidRPr="00321B46">
              <w:rPr>
                <w:b/>
                <w:color w:val="000000"/>
                <w:sz w:val="22"/>
                <w:szCs w:val="22"/>
                <w:lang w:val="es-CO" w:eastAsia="es-CO"/>
              </w:rPr>
              <w:t>102%</w:t>
            </w:r>
          </w:p>
        </w:tc>
        <w:tc>
          <w:tcPr>
            <w:tcW w:w="0" w:type="auto"/>
            <w:tcBorders>
              <w:top w:val="nil"/>
              <w:left w:val="nil"/>
              <w:bottom w:val="single" w:sz="4" w:space="0" w:color="auto"/>
              <w:right w:val="single" w:sz="4" w:space="0" w:color="auto"/>
            </w:tcBorders>
            <w:shd w:val="clear" w:color="auto" w:fill="auto"/>
            <w:noWrap/>
            <w:vAlign w:val="center"/>
          </w:tcPr>
          <w:p w14:paraId="26075231" w14:textId="77777777" w:rsidR="005B5446" w:rsidRPr="00321B46" w:rsidRDefault="005B5446" w:rsidP="00E268E2">
            <w:pPr>
              <w:spacing w:before="0" w:after="0"/>
              <w:jc w:val="center"/>
              <w:rPr>
                <w:color w:val="000000"/>
                <w:sz w:val="22"/>
                <w:szCs w:val="22"/>
                <w:lang w:val="es-CO" w:eastAsia="es-CO"/>
              </w:rPr>
            </w:pPr>
            <w:r w:rsidRPr="00321B46">
              <w:rPr>
                <w:b/>
                <w:color w:val="000000"/>
                <w:sz w:val="22"/>
                <w:szCs w:val="22"/>
                <w:lang w:val="es-CO" w:eastAsia="es-CO"/>
              </w:rPr>
              <w:t>104%</w:t>
            </w:r>
          </w:p>
        </w:tc>
        <w:tc>
          <w:tcPr>
            <w:tcW w:w="0" w:type="auto"/>
            <w:tcBorders>
              <w:top w:val="nil"/>
              <w:left w:val="nil"/>
              <w:bottom w:val="single" w:sz="4" w:space="0" w:color="auto"/>
              <w:right w:val="single" w:sz="4" w:space="0" w:color="auto"/>
            </w:tcBorders>
            <w:shd w:val="clear" w:color="auto" w:fill="auto"/>
            <w:noWrap/>
            <w:vAlign w:val="center"/>
          </w:tcPr>
          <w:p w14:paraId="01E8DE0C" w14:textId="77777777" w:rsidR="005B5446" w:rsidRPr="00321B46" w:rsidRDefault="005B5446" w:rsidP="00E268E2">
            <w:pPr>
              <w:spacing w:before="0" w:after="0"/>
              <w:jc w:val="center"/>
              <w:rPr>
                <w:color w:val="000000"/>
                <w:sz w:val="22"/>
                <w:szCs w:val="22"/>
                <w:lang w:val="es-CO" w:eastAsia="es-CO"/>
              </w:rPr>
            </w:pPr>
            <w:r w:rsidRPr="00321B46">
              <w:rPr>
                <w:b/>
                <w:color w:val="000000"/>
                <w:sz w:val="22"/>
                <w:szCs w:val="22"/>
                <w:lang w:val="es-CO" w:eastAsia="es-CO"/>
              </w:rPr>
              <w:t>106%</w:t>
            </w:r>
          </w:p>
        </w:tc>
        <w:tc>
          <w:tcPr>
            <w:tcW w:w="0" w:type="auto"/>
            <w:tcBorders>
              <w:top w:val="nil"/>
              <w:left w:val="nil"/>
              <w:bottom w:val="single" w:sz="4" w:space="0" w:color="auto"/>
              <w:right w:val="single" w:sz="4" w:space="0" w:color="auto"/>
            </w:tcBorders>
            <w:shd w:val="clear" w:color="auto" w:fill="auto"/>
            <w:noWrap/>
            <w:vAlign w:val="center"/>
          </w:tcPr>
          <w:p w14:paraId="5D9B2755" w14:textId="77777777" w:rsidR="005B5446" w:rsidRPr="00321B46" w:rsidRDefault="005B5446" w:rsidP="00E268E2">
            <w:pPr>
              <w:spacing w:before="0" w:after="0"/>
              <w:jc w:val="center"/>
              <w:rPr>
                <w:color w:val="000000"/>
                <w:sz w:val="22"/>
                <w:szCs w:val="22"/>
                <w:lang w:val="es-CO" w:eastAsia="es-CO"/>
              </w:rPr>
            </w:pPr>
            <w:r w:rsidRPr="00321B46">
              <w:rPr>
                <w:b/>
                <w:color w:val="000000"/>
                <w:sz w:val="22"/>
                <w:szCs w:val="22"/>
                <w:lang w:val="es-CO" w:eastAsia="es-CO"/>
              </w:rPr>
              <w:t>108%</w:t>
            </w:r>
          </w:p>
        </w:tc>
        <w:tc>
          <w:tcPr>
            <w:tcW w:w="0" w:type="auto"/>
            <w:tcBorders>
              <w:top w:val="nil"/>
              <w:left w:val="nil"/>
              <w:bottom w:val="single" w:sz="4" w:space="0" w:color="auto"/>
              <w:right w:val="single" w:sz="4" w:space="0" w:color="auto"/>
            </w:tcBorders>
            <w:shd w:val="clear" w:color="auto" w:fill="auto"/>
            <w:noWrap/>
            <w:vAlign w:val="center"/>
          </w:tcPr>
          <w:p w14:paraId="2440D1D5" w14:textId="77777777" w:rsidR="005B5446" w:rsidRPr="00321B46" w:rsidRDefault="005B5446" w:rsidP="00E268E2">
            <w:pPr>
              <w:spacing w:before="0" w:after="0"/>
              <w:jc w:val="center"/>
              <w:rPr>
                <w:color w:val="000000"/>
                <w:sz w:val="22"/>
                <w:szCs w:val="22"/>
                <w:lang w:val="es-CO" w:eastAsia="es-CO"/>
              </w:rPr>
            </w:pPr>
            <w:r w:rsidRPr="00321B46">
              <w:rPr>
                <w:b/>
                <w:color w:val="000000"/>
                <w:sz w:val="22"/>
                <w:szCs w:val="22"/>
                <w:lang w:val="es-CO" w:eastAsia="es-CO"/>
              </w:rPr>
              <w:t>110%</w:t>
            </w:r>
          </w:p>
        </w:tc>
      </w:tr>
      <w:tr w:rsidR="00A52A8A" w:rsidRPr="00321B46" w14:paraId="2AFA35A5" w14:textId="77777777" w:rsidTr="00D2014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EE521" w14:textId="77777777" w:rsidR="00A52A8A" w:rsidRPr="00321B46" w:rsidRDefault="00A52A8A" w:rsidP="00A52A8A">
            <w:pPr>
              <w:spacing w:before="0" w:after="0"/>
              <w:jc w:val="left"/>
              <w:rPr>
                <w:b/>
                <w:color w:val="000000"/>
                <w:sz w:val="20"/>
                <w:szCs w:val="20"/>
                <w:lang w:val="es-CO" w:eastAsia="es-CO"/>
              </w:rPr>
            </w:pPr>
            <w:r w:rsidRPr="00321B46">
              <w:rPr>
                <w:b/>
                <w:color w:val="000000"/>
                <w:sz w:val="20"/>
                <w:szCs w:val="20"/>
                <w:lang w:val="es-CO" w:eastAsia="es-CO"/>
              </w:rPr>
              <w:t>90%</w:t>
            </w:r>
          </w:p>
        </w:tc>
        <w:tc>
          <w:tcPr>
            <w:tcW w:w="0" w:type="auto"/>
            <w:tcBorders>
              <w:top w:val="nil"/>
              <w:left w:val="nil"/>
              <w:bottom w:val="single" w:sz="4" w:space="0" w:color="auto"/>
              <w:right w:val="single" w:sz="4" w:space="0" w:color="auto"/>
            </w:tcBorders>
            <w:shd w:val="clear" w:color="auto" w:fill="auto"/>
            <w:noWrap/>
            <w:vAlign w:val="center"/>
            <w:hideMark/>
          </w:tcPr>
          <w:p w14:paraId="70F91C38" w14:textId="542644E3" w:rsidR="00A52A8A" w:rsidRPr="00321B46" w:rsidRDefault="00A52A8A" w:rsidP="00A52A8A">
            <w:pPr>
              <w:spacing w:before="0" w:after="0"/>
              <w:jc w:val="right"/>
              <w:rPr>
                <w:color w:val="000000"/>
                <w:sz w:val="22"/>
                <w:szCs w:val="22"/>
                <w:lang w:val="es-CO" w:eastAsia="es-CO"/>
              </w:rPr>
            </w:pPr>
            <w:r w:rsidRPr="00321B46">
              <w:rPr>
                <w:color w:val="000000"/>
                <w:sz w:val="18"/>
                <w:szCs w:val="22"/>
              </w:rPr>
              <w:t>6,50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FBC8C81" w14:textId="5B2D9214" w:rsidR="00A52A8A" w:rsidRPr="00321B46" w:rsidRDefault="00A52A8A" w:rsidP="00A52A8A">
            <w:pPr>
              <w:spacing w:before="0" w:after="0"/>
              <w:jc w:val="right"/>
              <w:rPr>
                <w:color w:val="000000"/>
                <w:sz w:val="22"/>
                <w:szCs w:val="22"/>
                <w:lang w:val="es-CO" w:eastAsia="es-CO"/>
              </w:rPr>
            </w:pPr>
            <w:r w:rsidRPr="00321B46">
              <w:rPr>
                <w:color w:val="000000"/>
                <w:sz w:val="18"/>
                <w:szCs w:val="22"/>
              </w:rPr>
              <w:t>6,48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F66E398" w14:textId="7E49EC64" w:rsidR="00A52A8A" w:rsidRPr="00321B46" w:rsidRDefault="00A52A8A" w:rsidP="00A52A8A">
            <w:pPr>
              <w:spacing w:before="0" w:after="0"/>
              <w:jc w:val="right"/>
              <w:rPr>
                <w:color w:val="000000"/>
                <w:sz w:val="22"/>
                <w:szCs w:val="22"/>
                <w:lang w:val="es-CO" w:eastAsia="es-CO"/>
              </w:rPr>
            </w:pPr>
            <w:r w:rsidRPr="00321B46">
              <w:rPr>
                <w:color w:val="000000"/>
                <w:sz w:val="18"/>
                <w:szCs w:val="22"/>
              </w:rPr>
              <w:t>6,42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935F092" w14:textId="74FEC471" w:rsidR="00A52A8A" w:rsidRPr="00321B46" w:rsidRDefault="00A52A8A" w:rsidP="00A52A8A">
            <w:pPr>
              <w:spacing w:before="0" w:after="0"/>
              <w:jc w:val="right"/>
              <w:rPr>
                <w:color w:val="000000"/>
                <w:sz w:val="22"/>
                <w:szCs w:val="22"/>
                <w:lang w:val="es-CO" w:eastAsia="es-CO"/>
              </w:rPr>
            </w:pPr>
            <w:r w:rsidRPr="00321B46">
              <w:rPr>
                <w:color w:val="000000"/>
                <w:sz w:val="18"/>
                <w:szCs w:val="22"/>
              </w:rPr>
              <w:t>6,32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55AED47" w14:textId="6CC316AA" w:rsidR="00A52A8A" w:rsidRPr="00321B46" w:rsidRDefault="00A52A8A" w:rsidP="00A52A8A">
            <w:pPr>
              <w:spacing w:before="0" w:after="0"/>
              <w:jc w:val="right"/>
              <w:rPr>
                <w:color w:val="000000"/>
                <w:sz w:val="22"/>
                <w:szCs w:val="22"/>
                <w:lang w:val="es-CO" w:eastAsia="es-CO"/>
              </w:rPr>
            </w:pPr>
            <w:r w:rsidRPr="00321B46">
              <w:rPr>
                <w:color w:val="000000"/>
                <w:sz w:val="18"/>
                <w:szCs w:val="22"/>
              </w:rPr>
              <w:t>6,18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C4D8745" w14:textId="13495C17" w:rsidR="00A52A8A" w:rsidRPr="00321B46" w:rsidRDefault="00A52A8A" w:rsidP="00A52A8A">
            <w:pPr>
              <w:spacing w:before="0" w:after="0"/>
              <w:jc w:val="right"/>
              <w:rPr>
                <w:color w:val="000000"/>
                <w:sz w:val="22"/>
                <w:szCs w:val="22"/>
                <w:lang w:val="es-CO" w:eastAsia="es-CO"/>
              </w:rPr>
            </w:pPr>
            <w:r w:rsidRPr="00321B46">
              <w:rPr>
                <w:color w:val="000000"/>
                <w:sz w:val="18"/>
                <w:szCs w:val="22"/>
              </w:rPr>
              <w:t>6,00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54B5109" w14:textId="005E9A3A" w:rsidR="00A52A8A" w:rsidRPr="00321B46" w:rsidRDefault="00A52A8A" w:rsidP="00A52A8A">
            <w:pPr>
              <w:spacing w:before="0" w:after="0"/>
              <w:jc w:val="right"/>
              <w:rPr>
                <w:color w:val="000000"/>
                <w:sz w:val="22"/>
                <w:szCs w:val="22"/>
                <w:lang w:val="es-CO" w:eastAsia="es-CO"/>
              </w:rPr>
            </w:pPr>
            <w:r w:rsidRPr="00321B46">
              <w:rPr>
                <w:color w:val="000000"/>
                <w:sz w:val="18"/>
                <w:szCs w:val="22"/>
              </w:rPr>
              <w:t>5,53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570A08E" w14:textId="484F5B91" w:rsidR="00A52A8A" w:rsidRPr="00321B46" w:rsidRDefault="00A52A8A" w:rsidP="00A52A8A">
            <w:pPr>
              <w:spacing w:before="0" w:after="0"/>
              <w:jc w:val="right"/>
              <w:rPr>
                <w:color w:val="000000"/>
                <w:sz w:val="22"/>
                <w:szCs w:val="22"/>
                <w:lang w:val="es-CO" w:eastAsia="es-CO"/>
              </w:rPr>
            </w:pPr>
            <w:r w:rsidRPr="00321B46">
              <w:rPr>
                <w:color w:val="000000"/>
                <w:sz w:val="18"/>
                <w:szCs w:val="22"/>
              </w:rPr>
              <w:t>5,27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CCC6310" w14:textId="2778A1DF" w:rsidR="00A52A8A" w:rsidRPr="00321B46" w:rsidRDefault="00A52A8A" w:rsidP="00A52A8A">
            <w:pPr>
              <w:spacing w:before="0" w:after="0"/>
              <w:jc w:val="right"/>
              <w:rPr>
                <w:color w:val="000000"/>
                <w:sz w:val="22"/>
                <w:szCs w:val="22"/>
                <w:lang w:val="es-CO" w:eastAsia="es-CO"/>
              </w:rPr>
            </w:pPr>
            <w:r w:rsidRPr="00321B46">
              <w:rPr>
                <w:color w:val="000000"/>
                <w:sz w:val="18"/>
                <w:szCs w:val="22"/>
              </w:rPr>
              <w:t>4,97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8016A34" w14:textId="59E6A1DB" w:rsidR="00A52A8A" w:rsidRPr="00321B46" w:rsidRDefault="00A52A8A" w:rsidP="00A52A8A">
            <w:pPr>
              <w:spacing w:before="0" w:after="0"/>
              <w:jc w:val="right"/>
              <w:rPr>
                <w:color w:val="000000"/>
                <w:sz w:val="22"/>
                <w:szCs w:val="22"/>
                <w:lang w:val="es-CO" w:eastAsia="es-CO"/>
              </w:rPr>
            </w:pPr>
            <w:r w:rsidRPr="00321B46">
              <w:rPr>
                <w:color w:val="000000"/>
                <w:sz w:val="18"/>
                <w:szCs w:val="22"/>
              </w:rPr>
              <w:t>4,63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9541D6F" w14:textId="7FDC3116" w:rsidR="00A52A8A" w:rsidRPr="00321B46" w:rsidRDefault="00A52A8A" w:rsidP="00A52A8A">
            <w:pPr>
              <w:spacing w:before="0" w:after="0"/>
              <w:jc w:val="right"/>
              <w:rPr>
                <w:color w:val="000000"/>
                <w:sz w:val="22"/>
                <w:szCs w:val="22"/>
                <w:lang w:val="es-CO" w:eastAsia="es-CO"/>
              </w:rPr>
            </w:pPr>
            <w:r w:rsidRPr="00321B46">
              <w:rPr>
                <w:color w:val="000000"/>
                <w:sz w:val="18"/>
                <w:szCs w:val="22"/>
              </w:rPr>
              <w:t>4</w:t>
            </w:r>
            <w:r w:rsidRPr="00321B46">
              <w:rPr>
                <w:color w:val="000000"/>
                <w:sz w:val="18"/>
              </w:rPr>
              <w:t>,25%</w:t>
            </w:r>
          </w:p>
        </w:tc>
      </w:tr>
      <w:tr w:rsidR="00A52A8A" w:rsidRPr="00321B46" w14:paraId="3DEAE576" w14:textId="77777777" w:rsidTr="00D2014B">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E8BA67" w14:textId="77777777" w:rsidR="00A52A8A" w:rsidRPr="00321B46" w:rsidRDefault="00A52A8A" w:rsidP="00A52A8A">
            <w:pPr>
              <w:spacing w:before="0" w:after="0"/>
              <w:jc w:val="left"/>
              <w:rPr>
                <w:b/>
                <w:color w:val="000000"/>
                <w:sz w:val="20"/>
                <w:szCs w:val="20"/>
                <w:lang w:val="es-CO" w:eastAsia="es-CO"/>
              </w:rPr>
            </w:pPr>
            <w:r w:rsidRPr="00321B46">
              <w:rPr>
                <w:b/>
                <w:color w:val="000000"/>
                <w:sz w:val="20"/>
                <w:szCs w:val="20"/>
                <w:lang w:val="es-CO" w:eastAsia="es-CO"/>
              </w:rPr>
              <w:t>92%</w:t>
            </w:r>
          </w:p>
        </w:tc>
        <w:tc>
          <w:tcPr>
            <w:tcW w:w="0" w:type="auto"/>
            <w:tcBorders>
              <w:top w:val="nil"/>
              <w:left w:val="nil"/>
              <w:bottom w:val="single" w:sz="4" w:space="0" w:color="auto"/>
              <w:right w:val="single" w:sz="4" w:space="0" w:color="auto"/>
            </w:tcBorders>
            <w:shd w:val="clear" w:color="auto" w:fill="auto"/>
            <w:noWrap/>
            <w:vAlign w:val="center"/>
            <w:hideMark/>
          </w:tcPr>
          <w:p w14:paraId="0A43FBDB" w14:textId="3D5413BA" w:rsidR="00A52A8A" w:rsidRPr="00321B46" w:rsidRDefault="00A52A8A" w:rsidP="00A52A8A">
            <w:pPr>
              <w:spacing w:before="0" w:after="0"/>
              <w:jc w:val="right"/>
              <w:rPr>
                <w:color w:val="000000"/>
                <w:sz w:val="22"/>
                <w:szCs w:val="22"/>
                <w:lang w:val="es-CO" w:eastAsia="es-CO"/>
              </w:rPr>
            </w:pPr>
            <w:r w:rsidRPr="00321B46">
              <w:rPr>
                <w:color w:val="000000"/>
                <w:sz w:val="18"/>
                <w:szCs w:val="22"/>
              </w:rPr>
              <w:t>5,10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D21AC64" w14:textId="5D858E6D" w:rsidR="00A52A8A" w:rsidRPr="00321B46" w:rsidRDefault="00A52A8A" w:rsidP="00A52A8A">
            <w:pPr>
              <w:spacing w:before="0" w:after="0"/>
              <w:jc w:val="right"/>
              <w:rPr>
                <w:color w:val="000000"/>
                <w:sz w:val="22"/>
                <w:szCs w:val="22"/>
                <w:lang w:val="es-CO" w:eastAsia="es-CO"/>
              </w:rPr>
            </w:pPr>
            <w:r w:rsidRPr="00321B46">
              <w:rPr>
                <w:color w:val="000000"/>
                <w:sz w:val="18"/>
                <w:szCs w:val="22"/>
              </w:rPr>
              <w:t>5,12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FDF5C22" w14:textId="67B5CCDA" w:rsidR="00A52A8A" w:rsidRPr="00321B46" w:rsidRDefault="00A52A8A" w:rsidP="00A52A8A">
            <w:pPr>
              <w:spacing w:before="0" w:after="0"/>
              <w:jc w:val="right"/>
              <w:rPr>
                <w:color w:val="000000"/>
                <w:sz w:val="22"/>
                <w:szCs w:val="22"/>
                <w:lang w:val="es-CO" w:eastAsia="es-CO"/>
              </w:rPr>
            </w:pPr>
            <w:r w:rsidRPr="00321B46">
              <w:rPr>
                <w:color w:val="000000"/>
                <w:sz w:val="18"/>
                <w:szCs w:val="22"/>
              </w:rPr>
              <w:t>5,10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6DE5C17" w14:textId="4480BE8E" w:rsidR="00A52A8A" w:rsidRPr="00321B46" w:rsidRDefault="00A52A8A" w:rsidP="00A52A8A">
            <w:pPr>
              <w:spacing w:before="0" w:after="0"/>
              <w:jc w:val="right"/>
              <w:rPr>
                <w:color w:val="000000"/>
                <w:sz w:val="22"/>
                <w:szCs w:val="22"/>
                <w:lang w:val="es-CO" w:eastAsia="es-CO"/>
              </w:rPr>
            </w:pPr>
            <w:r w:rsidRPr="00321B46">
              <w:rPr>
                <w:color w:val="000000"/>
                <w:sz w:val="18"/>
                <w:szCs w:val="22"/>
              </w:rPr>
              <w:t>5,04</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B7FD318" w14:textId="1A1B34FD" w:rsidR="00A52A8A" w:rsidRPr="00321B46" w:rsidRDefault="00A52A8A" w:rsidP="00A52A8A">
            <w:pPr>
              <w:spacing w:before="0" w:after="0"/>
              <w:jc w:val="right"/>
              <w:rPr>
                <w:color w:val="000000"/>
                <w:sz w:val="22"/>
                <w:szCs w:val="22"/>
                <w:lang w:val="es-CO" w:eastAsia="es-CO"/>
              </w:rPr>
            </w:pPr>
            <w:r w:rsidRPr="00321B46">
              <w:rPr>
                <w:color w:val="000000"/>
                <w:sz w:val="18"/>
                <w:szCs w:val="22"/>
              </w:rPr>
              <w:t>4,94</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1D21990" w14:textId="20CC9ADD" w:rsidR="00A52A8A" w:rsidRPr="00321B46" w:rsidRDefault="00A52A8A" w:rsidP="00A52A8A">
            <w:pPr>
              <w:spacing w:before="0" w:after="0"/>
              <w:jc w:val="right"/>
              <w:rPr>
                <w:color w:val="000000"/>
                <w:sz w:val="22"/>
                <w:szCs w:val="22"/>
                <w:lang w:val="es-CO" w:eastAsia="es-CO"/>
              </w:rPr>
            </w:pPr>
            <w:r w:rsidRPr="00321B46">
              <w:rPr>
                <w:color w:val="000000"/>
                <w:sz w:val="18"/>
                <w:szCs w:val="22"/>
              </w:rPr>
              <w:t>4</w:t>
            </w:r>
            <w:r w:rsidRPr="00321B46">
              <w:rPr>
                <w:color w:val="000000"/>
                <w:sz w:val="18"/>
              </w:rPr>
              <w:t>,80%</w:t>
            </w:r>
          </w:p>
        </w:tc>
        <w:tc>
          <w:tcPr>
            <w:tcW w:w="0" w:type="auto"/>
            <w:tcBorders>
              <w:top w:val="nil"/>
              <w:left w:val="nil"/>
              <w:bottom w:val="single" w:sz="4" w:space="0" w:color="auto"/>
              <w:right w:val="single" w:sz="4" w:space="0" w:color="auto"/>
            </w:tcBorders>
            <w:shd w:val="clear" w:color="auto" w:fill="auto"/>
            <w:noWrap/>
            <w:vAlign w:val="center"/>
            <w:hideMark/>
          </w:tcPr>
          <w:p w14:paraId="742B549E" w14:textId="645DD8AA" w:rsidR="00A52A8A" w:rsidRPr="00321B46" w:rsidRDefault="00A52A8A" w:rsidP="00A52A8A">
            <w:pPr>
              <w:spacing w:before="0" w:after="0"/>
              <w:jc w:val="right"/>
              <w:rPr>
                <w:color w:val="000000"/>
                <w:sz w:val="22"/>
                <w:szCs w:val="22"/>
                <w:lang w:val="es-CO" w:eastAsia="es-CO"/>
              </w:rPr>
            </w:pPr>
            <w:r w:rsidRPr="00321B46">
              <w:rPr>
                <w:color w:val="000000"/>
                <w:sz w:val="18"/>
                <w:szCs w:val="22"/>
              </w:rPr>
              <w:t>4,37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D5A3127" w14:textId="7F4DDD6D" w:rsidR="00A52A8A" w:rsidRPr="00321B46" w:rsidRDefault="00A52A8A" w:rsidP="00A52A8A">
            <w:pPr>
              <w:spacing w:before="0" w:after="0"/>
              <w:jc w:val="right"/>
              <w:rPr>
                <w:color w:val="000000"/>
                <w:sz w:val="22"/>
                <w:szCs w:val="22"/>
                <w:lang w:val="es-CO" w:eastAsia="es-CO"/>
              </w:rPr>
            </w:pPr>
            <w:r w:rsidRPr="00321B46">
              <w:rPr>
                <w:color w:val="000000"/>
                <w:sz w:val="18"/>
                <w:szCs w:val="22"/>
              </w:rPr>
              <w:t>4,15</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81C8A65" w14:textId="69349F79" w:rsidR="00A52A8A" w:rsidRPr="00321B46" w:rsidRDefault="00A52A8A" w:rsidP="00A52A8A">
            <w:pPr>
              <w:spacing w:before="0" w:after="0"/>
              <w:jc w:val="right"/>
              <w:rPr>
                <w:color w:val="000000"/>
                <w:sz w:val="22"/>
                <w:szCs w:val="22"/>
                <w:lang w:val="es-CO" w:eastAsia="es-CO"/>
              </w:rPr>
            </w:pPr>
            <w:r w:rsidRPr="00321B46">
              <w:rPr>
                <w:color w:val="000000"/>
                <w:sz w:val="18"/>
                <w:szCs w:val="22"/>
              </w:rPr>
              <w:t>3,89</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9F62DBF" w14:textId="22D6CEFC" w:rsidR="00A52A8A" w:rsidRPr="00321B46" w:rsidRDefault="00A52A8A" w:rsidP="00A52A8A">
            <w:pPr>
              <w:spacing w:before="0" w:after="0"/>
              <w:jc w:val="right"/>
              <w:rPr>
                <w:color w:val="000000"/>
                <w:sz w:val="22"/>
                <w:szCs w:val="22"/>
                <w:lang w:val="es-CO" w:eastAsia="es-CO"/>
              </w:rPr>
            </w:pPr>
            <w:r w:rsidRPr="00321B46">
              <w:rPr>
                <w:color w:val="000000"/>
                <w:sz w:val="18"/>
                <w:szCs w:val="22"/>
              </w:rPr>
              <w:t>3,59</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4459ED3" w14:textId="25CF4DD9" w:rsidR="00A52A8A" w:rsidRPr="00321B46" w:rsidRDefault="00A52A8A" w:rsidP="00A52A8A">
            <w:pPr>
              <w:spacing w:before="0" w:after="0"/>
              <w:jc w:val="right"/>
              <w:rPr>
                <w:color w:val="000000"/>
                <w:sz w:val="22"/>
                <w:szCs w:val="22"/>
                <w:lang w:val="es-CO" w:eastAsia="es-CO"/>
              </w:rPr>
            </w:pPr>
            <w:r w:rsidRPr="00321B46">
              <w:rPr>
                <w:color w:val="000000"/>
                <w:sz w:val="18"/>
                <w:szCs w:val="22"/>
              </w:rPr>
              <w:t>3,25</w:t>
            </w:r>
            <w:r w:rsidRPr="00321B46">
              <w:rPr>
                <w:color w:val="000000"/>
                <w:sz w:val="18"/>
              </w:rPr>
              <w:t>%</w:t>
            </w:r>
          </w:p>
        </w:tc>
      </w:tr>
      <w:tr w:rsidR="00A52A8A" w:rsidRPr="00321B46" w14:paraId="4DB484AE" w14:textId="77777777" w:rsidTr="00D2014B">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71AD6A" w14:textId="77777777" w:rsidR="00A52A8A" w:rsidRPr="00321B46" w:rsidRDefault="00A52A8A" w:rsidP="00A52A8A">
            <w:pPr>
              <w:spacing w:before="0" w:after="0"/>
              <w:jc w:val="left"/>
              <w:rPr>
                <w:b/>
                <w:color w:val="000000"/>
                <w:sz w:val="20"/>
                <w:szCs w:val="20"/>
                <w:lang w:val="es-CO" w:eastAsia="es-CO"/>
              </w:rPr>
            </w:pPr>
            <w:r w:rsidRPr="00321B46">
              <w:rPr>
                <w:b/>
                <w:color w:val="000000"/>
                <w:sz w:val="20"/>
                <w:szCs w:val="20"/>
                <w:lang w:val="es-CO" w:eastAsia="es-CO"/>
              </w:rPr>
              <w:t>94%</w:t>
            </w:r>
          </w:p>
        </w:tc>
        <w:tc>
          <w:tcPr>
            <w:tcW w:w="0" w:type="auto"/>
            <w:tcBorders>
              <w:top w:val="nil"/>
              <w:left w:val="nil"/>
              <w:bottom w:val="single" w:sz="4" w:space="0" w:color="auto"/>
              <w:right w:val="single" w:sz="4" w:space="0" w:color="auto"/>
            </w:tcBorders>
            <w:shd w:val="clear" w:color="auto" w:fill="auto"/>
            <w:noWrap/>
            <w:vAlign w:val="center"/>
            <w:hideMark/>
          </w:tcPr>
          <w:p w14:paraId="5F16BBA2" w14:textId="1CEA4F6E" w:rsidR="00A52A8A" w:rsidRPr="00321B46" w:rsidRDefault="00A52A8A" w:rsidP="00A52A8A">
            <w:pPr>
              <w:spacing w:before="0" w:after="0"/>
              <w:jc w:val="right"/>
              <w:rPr>
                <w:color w:val="000000"/>
                <w:sz w:val="22"/>
                <w:szCs w:val="22"/>
                <w:lang w:val="es-CO" w:eastAsia="es-CO"/>
              </w:rPr>
            </w:pPr>
            <w:r w:rsidRPr="00321B46">
              <w:rPr>
                <w:color w:val="000000"/>
                <w:sz w:val="18"/>
                <w:szCs w:val="22"/>
              </w:rPr>
              <w:t>3,70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6292712" w14:textId="63F60161" w:rsidR="00A52A8A" w:rsidRPr="00321B46" w:rsidRDefault="00A52A8A" w:rsidP="00A52A8A">
            <w:pPr>
              <w:spacing w:before="0" w:after="0"/>
              <w:jc w:val="right"/>
              <w:rPr>
                <w:color w:val="000000"/>
                <w:sz w:val="22"/>
                <w:szCs w:val="22"/>
                <w:lang w:val="es-CO" w:eastAsia="es-CO"/>
              </w:rPr>
            </w:pPr>
            <w:r w:rsidRPr="00321B46">
              <w:rPr>
                <w:color w:val="000000"/>
                <w:sz w:val="18"/>
                <w:szCs w:val="22"/>
              </w:rPr>
              <w:t>3,76</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3CCA29F" w14:textId="6F9FDEF2" w:rsidR="00A52A8A" w:rsidRPr="00321B46" w:rsidRDefault="00A52A8A" w:rsidP="00A52A8A">
            <w:pPr>
              <w:spacing w:before="0" w:after="0"/>
              <w:jc w:val="right"/>
              <w:rPr>
                <w:color w:val="000000"/>
                <w:sz w:val="22"/>
                <w:szCs w:val="22"/>
                <w:lang w:val="es-CO" w:eastAsia="es-CO"/>
              </w:rPr>
            </w:pPr>
            <w:r w:rsidRPr="00321B46">
              <w:rPr>
                <w:color w:val="000000"/>
                <w:sz w:val="18"/>
                <w:szCs w:val="22"/>
              </w:rPr>
              <w:t>3,78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C8799BD" w14:textId="6338DBA7" w:rsidR="00A52A8A" w:rsidRPr="00321B46" w:rsidRDefault="00A52A8A" w:rsidP="00A52A8A">
            <w:pPr>
              <w:spacing w:before="0" w:after="0"/>
              <w:jc w:val="right"/>
              <w:rPr>
                <w:color w:val="000000"/>
                <w:sz w:val="22"/>
                <w:szCs w:val="22"/>
                <w:lang w:val="es-CO" w:eastAsia="es-CO"/>
              </w:rPr>
            </w:pPr>
            <w:r w:rsidRPr="00321B46">
              <w:rPr>
                <w:color w:val="000000"/>
                <w:sz w:val="18"/>
                <w:szCs w:val="22"/>
              </w:rPr>
              <w:t>3,76</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9219165" w14:textId="174F8BAF" w:rsidR="00A52A8A" w:rsidRPr="00321B46" w:rsidRDefault="00A52A8A" w:rsidP="00A52A8A">
            <w:pPr>
              <w:spacing w:before="0" w:after="0"/>
              <w:jc w:val="right"/>
              <w:rPr>
                <w:color w:val="000000"/>
                <w:sz w:val="22"/>
                <w:szCs w:val="22"/>
                <w:lang w:val="es-CO" w:eastAsia="es-CO"/>
              </w:rPr>
            </w:pPr>
            <w:r w:rsidRPr="00321B46">
              <w:rPr>
                <w:color w:val="000000"/>
                <w:sz w:val="18"/>
                <w:szCs w:val="22"/>
              </w:rPr>
              <w:t>3,70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7D3B033" w14:textId="61AE6F45" w:rsidR="00A52A8A" w:rsidRPr="00321B46" w:rsidRDefault="00A52A8A" w:rsidP="00A52A8A">
            <w:pPr>
              <w:spacing w:before="0" w:after="0"/>
              <w:jc w:val="right"/>
              <w:rPr>
                <w:color w:val="000000"/>
                <w:sz w:val="22"/>
                <w:szCs w:val="22"/>
                <w:lang w:val="es-CO" w:eastAsia="es-CO"/>
              </w:rPr>
            </w:pPr>
            <w:r w:rsidRPr="00321B46">
              <w:rPr>
                <w:color w:val="000000"/>
                <w:sz w:val="18"/>
                <w:szCs w:val="22"/>
              </w:rPr>
              <w:t>3,60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F1B6C91" w14:textId="7BEF9AD5" w:rsidR="00A52A8A" w:rsidRPr="00321B46" w:rsidRDefault="00A52A8A" w:rsidP="00A52A8A">
            <w:pPr>
              <w:spacing w:before="0" w:after="0"/>
              <w:jc w:val="right"/>
              <w:rPr>
                <w:color w:val="000000"/>
                <w:sz w:val="22"/>
                <w:szCs w:val="22"/>
                <w:lang w:val="es-CO" w:eastAsia="es-CO"/>
              </w:rPr>
            </w:pPr>
            <w:r w:rsidRPr="00321B46">
              <w:rPr>
                <w:color w:val="000000"/>
                <w:sz w:val="18"/>
                <w:szCs w:val="22"/>
              </w:rPr>
              <w:t>3,21</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A20E0EC" w14:textId="3213C561" w:rsidR="00A52A8A" w:rsidRPr="00321B46" w:rsidRDefault="00A52A8A" w:rsidP="00A52A8A">
            <w:pPr>
              <w:spacing w:before="0" w:after="0"/>
              <w:jc w:val="right"/>
              <w:rPr>
                <w:color w:val="000000"/>
                <w:sz w:val="22"/>
                <w:szCs w:val="22"/>
                <w:lang w:val="es-CO" w:eastAsia="es-CO"/>
              </w:rPr>
            </w:pPr>
            <w:r w:rsidRPr="00321B46">
              <w:rPr>
                <w:color w:val="000000"/>
                <w:sz w:val="18"/>
                <w:szCs w:val="22"/>
              </w:rPr>
              <w:t>3,03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A61AD74" w14:textId="3B87F893" w:rsidR="00A52A8A" w:rsidRPr="00321B46" w:rsidRDefault="00A52A8A" w:rsidP="00A52A8A">
            <w:pPr>
              <w:spacing w:before="0" w:after="0"/>
              <w:jc w:val="right"/>
              <w:rPr>
                <w:color w:val="000000"/>
                <w:sz w:val="22"/>
                <w:szCs w:val="22"/>
                <w:lang w:val="es-CO" w:eastAsia="es-CO"/>
              </w:rPr>
            </w:pPr>
            <w:r w:rsidRPr="00321B46">
              <w:rPr>
                <w:color w:val="000000"/>
                <w:sz w:val="18"/>
                <w:szCs w:val="22"/>
              </w:rPr>
              <w:t>2,81</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0480E4F" w14:textId="6A57ED2D" w:rsidR="00A52A8A" w:rsidRPr="00321B46" w:rsidRDefault="00A52A8A" w:rsidP="00A52A8A">
            <w:pPr>
              <w:spacing w:before="0" w:after="0"/>
              <w:jc w:val="right"/>
              <w:rPr>
                <w:color w:val="000000"/>
                <w:sz w:val="22"/>
                <w:szCs w:val="22"/>
                <w:lang w:val="es-CO" w:eastAsia="es-CO"/>
              </w:rPr>
            </w:pPr>
            <w:r w:rsidRPr="00321B46">
              <w:rPr>
                <w:color w:val="000000"/>
                <w:sz w:val="18"/>
                <w:szCs w:val="22"/>
              </w:rPr>
              <w:t>2,55</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759DE5D" w14:textId="4A32C604" w:rsidR="00A52A8A" w:rsidRPr="00321B46" w:rsidRDefault="00A52A8A" w:rsidP="00A52A8A">
            <w:pPr>
              <w:spacing w:before="0" w:after="0"/>
              <w:jc w:val="right"/>
              <w:rPr>
                <w:color w:val="000000"/>
                <w:sz w:val="22"/>
                <w:szCs w:val="22"/>
                <w:lang w:val="es-CO" w:eastAsia="es-CO"/>
              </w:rPr>
            </w:pPr>
            <w:r w:rsidRPr="00321B46">
              <w:rPr>
                <w:color w:val="000000"/>
                <w:sz w:val="18"/>
                <w:szCs w:val="22"/>
              </w:rPr>
              <w:t>2,25</w:t>
            </w:r>
            <w:r w:rsidRPr="00321B46">
              <w:rPr>
                <w:color w:val="000000"/>
                <w:sz w:val="18"/>
              </w:rPr>
              <w:t>%</w:t>
            </w:r>
          </w:p>
        </w:tc>
      </w:tr>
      <w:tr w:rsidR="00A52A8A" w:rsidRPr="00321B46" w14:paraId="437CB3AA" w14:textId="77777777" w:rsidTr="00D2014B">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52DA75" w14:textId="77777777" w:rsidR="00A52A8A" w:rsidRPr="00321B46" w:rsidRDefault="00A52A8A" w:rsidP="00A52A8A">
            <w:pPr>
              <w:spacing w:before="0" w:after="0"/>
              <w:jc w:val="left"/>
              <w:rPr>
                <w:b/>
                <w:color w:val="000000"/>
                <w:sz w:val="20"/>
                <w:szCs w:val="20"/>
                <w:lang w:val="es-CO" w:eastAsia="es-CO"/>
              </w:rPr>
            </w:pPr>
            <w:r w:rsidRPr="00321B46">
              <w:rPr>
                <w:b/>
                <w:color w:val="000000"/>
                <w:sz w:val="20"/>
                <w:szCs w:val="20"/>
                <w:lang w:val="es-CO" w:eastAsia="es-CO"/>
              </w:rPr>
              <w:t>96%</w:t>
            </w:r>
          </w:p>
        </w:tc>
        <w:tc>
          <w:tcPr>
            <w:tcW w:w="0" w:type="auto"/>
            <w:tcBorders>
              <w:top w:val="nil"/>
              <w:left w:val="nil"/>
              <w:bottom w:val="single" w:sz="4" w:space="0" w:color="auto"/>
              <w:right w:val="single" w:sz="4" w:space="0" w:color="auto"/>
            </w:tcBorders>
            <w:shd w:val="clear" w:color="auto" w:fill="auto"/>
            <w:noWrap/>
            <w:vAlign w:val="center"/>
            <w:hideMark/>
          </w:tcPr>
          <w:p w14:paraId="02938CC7" w14:textId="18E36C29" w:rsidR="00A52A8A" w:rsidRPr="00321B46" w:rsidRDefault="00A52A8A" w:rsidP="00A52A8A">
            <w:pPr>
              <w:spacing w:before="0" w:after="0"/>
              <w:jc w:val="right"/>
              <w:rPr>
                <w:color w:val="000000"/>
                <w:sz w:val="22"/>
                <w:szCs w:val="22"/>
                <w:lang w:val="es-CO" w:eastAsia="es-CO"/>
              </w:rPr>
            </w:pPr>
            <w:r w:rsidRPr="00321B46">
              <w:rPr>
                <w:color w:val="000000"/>
                <w:sz w:val="18"/>
                <w:szCs w:val="22"/>
              </w:rPr>
              <w:t>2,30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18C72B3" w14:textId="67B9192A" w:rsidR="00A52A8A" w:rsidRPr="00321B46" w:rsidRDefault="00A52A8A" w:rsidP="00A52A8A">
            <w:pPr>
              <w:spacing w:before="0" w:after="0"/>
              <w:jc w:val="right"/>
              <w:rPr>
                <w:color w:val="000000"/>
                <w:sz w:val="22"/>
                <w:szCs w:val="22"/>
                <w:lang w:val="es-CO" w:eastAsia="es-CO"/>
              </w:rPr>
            </w:pPr>
            <w:r w:rsidRPr="00321B46">
              <w:rPr>
                <w:color w:val="000000"/>
                <w:sz w:val="18"/>
                <w:szCs w:val="22"/>
              </w:rPr>
              <w:t>2</w:t>
            </w:r>
            <w:r w:rsidRPr="00321B46">
              <w:rPr>
                <w:color w:val="000000"/>
                <w:sz w:val="18"/>
              </w:rPr>
              <w:t>,40%</w:t>
            </w:r>
          </w:p>
        </w:tc>
        <w:tc>
          <w:tcPr>
            <w:tcW w:w="0" w:type="auto"/>
            <w:tcBorders>
              <w:top w:val="nil"/>
              <w:left w:val="nil"/>
              <w:bottom w:val="single" w:sz="4" w:space="0" w:color="auto"/>
              <w:right w:val="single" w:sz="4" w:space="0" w:color="auto"/>
            </w:tcBorders>
            <w:shd w:val="clear" w:color="auto" w:fill="auto"/>
            <w:noWrap/>
            <w:vAlign w:val="center"/>
            <w:hideMark/>
          </w:tcPr>
          <w:p w14:paraId="34193704" w14:textId="430749E8" w:rsidR="00A52A8A" w:rsidRPr="00321B46" w:rsidRDefault="00A52A8A" w:rsidP="00A52A8A">
            <w:pPr>
              <w:spacing w:before="0" w:after="0"/>
              <w:jc w:val="right"/>
              <w:rPr>
                <w:color w:val="000000"/>
                <w:sz w:val="22"/>
                <w:szCs w:val="22"/>
                <w:lang w:val="es-CO" w:eastAsia="es-CO"/>
              </w:rPr>
            </w:pPr>
            <w:r w:rsidRPr="00321B46">
              <w:rPr>
                <w:color w:val="000000"/>
                <w:sz w:val="18"/>
                <w:szCs w:val="22"/>
              </w:rPr>
              <w:t>2,46</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66053EB" w14:textId="09AB2778" w:rsidR="00A52A8A" w:rsidRPr="00321B46" w:rsidRDefault="00A52A8A" w:rsidP="00A52A8A">
            <w:pPr>
              <w:spacing w:before="0" w:after="0"/>
              <w:jc w:val="right"/>
              <w:rPr>
                <w:color w:val="000000"/>
                <w:sz w:val="22"/>
                <w:szCs w:val="22"/>
                <w:lang w:val="es-CO" w:eastAsia="es-CO"/>
              </w:rPr>
            </w:pPr>
            <w:r w:rsidRPr="00321B46">
              <w:rPr>
                <w:color w:val="000000"/>
                <w:sz w:val="18"/>
                <w:szCs w:val="22"/>
              </w:rPr>
              <w:t>2,48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8803270" w14:textId="0615E670" w:rsidR="00A52A8A" w:rsidRPr="00321B46" w:rsidRDefault="00A52A8A" w:rsidP="00A52A8A">
            <w:pPr>
              <w:spacing w:before="0" w:after="0"/>
              <w:jc w:val="right"/>
              <w:rPr>
                <w:color w:val="000000"/>
                <w:sz w:val="22"/>
                <w:szCs w:val="22"/>
                <w:lang w:val="es-CO" w:eastAsia="es-CO"/>
              </w:rPr>
            </w:pPr>
            <w:r w:rsidRPr="00321B46">
              <w:rPr>
                <w:color w:val="000000"/>
                <w:sz w:val="18"/>
                <w:szCs w:val="22"/>
              </w:rPr>
              <w:t>2,46</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91BEB3F" w14:textId="113600E0" w:rsidR="00A52A8A" w:rsidRPr="00321B46" w:rsidRDefault="00A52A8A" w:rsidP="00A52A8A">
            <w:pPr>
              <w:spacing w:before="0" w:after="0"/>
              <w:jc w:val="right"/>
              <w:rPr>
                <w:color w:val="000000"/>
                <w:sz w:val="22"/>
                <w:szCs w:val="22"/>
                <w:lang w:val="es-CO" w:eastAsia="es-CO"/>
              </w:rPr>
            </w:pPr>
            <w:r w:rsidRPr="00321B46">
              <w:rPr>
                <w:color w:val="000000"/>
                <w:sz w:val="18"/>
                <w:szCs w:val="22"/>
              </w:rPr>
              <w:t>2</w:t>
            </w:r>
            <w:r w:rsidRPr="00321B46">
              <w:rPr>
                <w:color w:val="000000"/>
                <w:sz w:val="18"/>
              </w:rPr>
              <w:t>,40%</w:t>
            </w:r>
          </w:p>
        </w:tc>
        <w:tc>
          <w:tcPr>
            <w:tcW w:w="0" w:type="auto"/>
            <w:tcBorders>
              <w:top w:val="nil"/>
              <w:left w:val="nil"/>
              <w:bottom w:val="single" w:sz="4" w:space="0" w:color="auto"/>
              <w:right w:val="single" w:sz="4" w:space="0" w:color="auto"/>
            </w:tcBorders>
            <w:shd w:val="clear" w:color="auto" w:fill="auto"/>
            <w:noWrap/>
            <w:vAlign w:val="center"/>
            <w:hideMark/>
          </w:tcPr>
          <w:p w14:paraId="6F1CB3C3" w14:textId="5FCC4EF7" w:rsidR="00A52A8A" w:rsidRPr="00321B46" w:rsidRDefault="00A52A8A" w:rsidP="00A52A8A">
            <w:pPr>
              <w:spacing w:before="0" w:after="0"/>
              <w:jc w:val="right"/>
              <w:rPr>
                <w:color w:val="000000"/>
                <w:sz w:val="22"/>
                <w:szCs w:val="22"/>
                <w:lang w:val="es-CO" w:eastAsia="es-CO"/>
              </w:rPr>
            </w:pPr>
            <w:r w:rsidRPr="00321B46">
              <w:rPr>
                <w:color w:val="000000"/>
                <w:sz w:val="18"/>
                <w:szCs w:val="22"/>
              </w:rPr>
              <w:t>2,05</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B2944EA" w14:textId="3BFE3F69" w:rsidR="00A52A8A" w:rsidRPr="00321B46" w:rsidRDefault="00A52A8A" w:rsidP="00A52A8A">
            <w:pPr>
              <w:spacing w:before="0" w:after="0"/>
              <w:jc w:val="right"/>
              <w:rPr>
                <w:color w:val="000000"/>
                <w:sz w:val="22"/>
                <w:szCs w:val="22"/>
                <w:lang w:val="es-CO" w:eastAsia="es-CO"/>
              </w:rPr>
            </w:pPr>
            <w:r w:rsidRPr="00321B46">
              <w:rPr>
                <w:color w:val="000000"/>
                <w:sz w:val="18"/>
              </w:rPr>
              <w:t>1,</w:t>
            </w:r>
            <w:r w:rsidRPr="00321B46">
              <w:rPr>
                <w:color w:val="000000"/>
                <w:sz w:val="18"/>
                <w:szCs w:val="22"/>
              </w:rPr>
              <w:t>91</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9458F43" w14:textId="23D36548" w:rsidR="00A52A8A" w:rsidRPr="00321B46" w:rsidRDefault="00A52A8A" w:rsidP="00A52A8A">
            <w:pPr>
              <w:spacing w:before="0" w:after="0"/>
              <w:jc w:val="right"/>
              <w:rPr>
                <w:color w:val="000000"/>
                <w:sz w:val="22"/>
                <w:szCs w:val="22"/>
                <w:lang w:val="es-CO" w:eastAsia="es-CO"/>
              </w:rPr>
            </w:pPr>
            <w:r w:rsidRPr="00321B46">
              <w:rPr>
                <w:color w:val="000000"/>
                <w:sz w:val="18"/>
                <w:szCs w:val="22"/>
              </w:rPr>
              <w:t>1,73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C95D767" w14:textId="7FE12F3A" w:rsidR="00A52A8A" w:rsidRPr="00321B46" w:rsidRDefault="00A52A8A" w:rsidP="00A52A8A">
            <w:pPr>
              <w:spacing w:before="0" w:after="0"/>
              <w:jc w:val="right"/>
              <w:rPr>
                <w:color w:val="000000"/>
                <w:sz w:val="22"/>
                <w:szCs w:val="22"/>
                <w:lang w:val="es-CO" w:eastAsia="es-CO"/>
              </w:rPr>
            </w:pPr>
            <w:r w:rsidRPr="00321B46">
              <w:rPr>
                <w:color w:val="000000"/>
                <w:sz w:val="18"/>
                <w:szCs w:val="22"/>
              </w:rPr>
              <w:t>1,51</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B7570FE" w14:textId="7CDDCD7C" w:rsidR="00A52A8A" w:rsidRPr="00321B46" w:rsidRDefault="00A52A8A" w:rsidP="00A52A8A">
            <w:pPr>
              <w:spacing w:before="0" w:after="0"/>
              <w:jc w:val="right"/>
              <w:rPr>
                <w:color w:val="000000"/>
                <w:sz w:val="22"/>
                <w:szCs w:val="22"/>
                <w:lang w:val="es-CO" w:eastAsia="es-CO"/>
              </w:rPr>
            </w:pPr>
            <w:r w:rsidRPr="00321B46">
              <w:rPr>
                <w:color w:val="000000"/>
                <w:sz w:val="18"/>
                <w:szCs w:val="22"/>
              </w:rPr>
              <w:t>1,25</w:t>
            </w:r>
            <w:r w:rsidRPr="00321B46">
              <w:rPr>
                <w:color w:val="000000"/>
                <w:sz w:val="18"/>
              </w:rPr>
              <w:t>%</w:t>
            </w:r>
          </w:p>
        </w:tc>
      </w:tr>
      <w:tr w:rsidR="00A52A8A" w:rsidRPr="00321B46" w14:paraId="50642767" w14:textId="77777777" w:rsidTr="00D2014B">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5501C" w14:textId="77777777" w:rsidR="00A52A8A" w:rsidRPr="00321B46" w:rsidRDefault="00A52A8A" w:rsidP="00A52A8A">
            <w:pPr>
              <w:spacing w:before="0" w:after="0"/>
              <w:jc w:val="left"/>
              <w:rPr>
                <w:b/>
                <w:color w:val="000000"/>
                <w:sz w:val="20"/>
                <w:szCs w:val="20"/>
                <w:lang w:val="es-CO" w:eastAsia="es-CO"/>
              </w:rPr>
            </w:pPr>
            <w:r w:rsidRPr="00321B46">
              <w:rPr>
                <w:b/>
                <w:color w:val="000000"/>
                <w:sz w:val="20"/>
                <w:szCs w:val="20"/>
                <w:lang w:val="es-CO" w:eastAsia="es-CO"/>
              </w:rPr>
              <w:t>98%</w:t>
            </w:r>
          </w:p>
        </w:tc>
        <w:tc>
          <w:tcPr>
            <w:tcW w:w="0" w:type="auto"/>
            <w:tcBorders>
              <w:top w:val="nil"/>
              <w:left w:val="nil"/>
              <w:bottom w:val="single" w:sz="4" w:space="0" w:color="auto"/>
              <w:right w:val="single" w:sz="4" w:space="0" w:color="auto"/>
            </w:tcBorders>
            <w:shd w:val="clear" w:color="auto" w:fill="auto"/>
            <w:noWrap/>
            <w:vAlign w:val="center"/>
            <w:hideMark/>
          </w:tcPr>
          <w:p w14:paraId="40DF035C" w14:textId="64211358" w:rsidR="00A52A8A" w:rsidRPr="00321B46" w:rsidRDefault="00A52A8A" w:rsidP="00A52A8A">
            <w:pPr>
              <w:spacing w:before="0" w:after="0"/>
              <w:jc w:val="right"/>
              <w:rPr>
                <w:color w:val="000000"/>
                <w:sz w:val="22"/>
                <w:szCs w:val="22"/>
                <w:lang w:val="es-CO" w:eastAsia="es-CO"/>
              </w:rPr>
            </w:pPr>
            <w:r w:rsidRPr="00321B46">
              <w:rPr>
                <w:color w:val="000000"/>
                <w:sz w:val="18"/>
              </w:rPr>
              <w:t>0,</w:t>
            </w:r>
            <w:r w:rsidRPr="00321B46">
              <w:rPr>
                <w:color w:val="000000"/>
                <w:sz w:val="18"/>
                <w:szCs w:val="22"/>
              </w:rPr>
              <w:t>90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690BB4F" w14:textId="63EFF633" w:rsidR="00A52A8A" w:rsidRPr="00321B46" w:rsidRDefault="00A52A8A" w:rsidP="00A52A8A">
            <w:pPr>
              <w:spacing w:before="0" w:after="0"/>
              <w:jc w:val="right"/>
              <w:rPr>
                <w:color w:val="000000"/>
                <w:sz w:val="22"/>
                <w:szCs w:val="22"/>
                <w:lang w:val="es-CO" w:eastAsia="es-CO"/>
              </w:rPr>
            </w:pPr>
            <w:r w:rsidRPr="00321B46">
              <w:rPr>
                <w:color w:val="000000"/>
                <w:sz w:val="18"/>
                <w:szCs w:val="22"/>
              </w:rPr>
              <w:t>1,04</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96EAC34" w14:textId="07C4FD90" w:rsidR="00A52A8A" w:rsidRPr="00321B46" w:rsidRDefault="00A52A8A" w:rsidP="00A52A8A">
            <w:pPr>
              <w:spacing w:before="0" w:after="0"/>
              <w:jc w:val="right"/>
              <w:rPr>
                <w:color w:val="000000"/>
                <w:sz w:val="22"/>
                <w:szCs w:val="22"/>
                <w:lang w:val="es-CO" w:eastAsia="es-CO"/>
              </w:rPr>
            </w:pPr>
            <w:r w:rsidRPr="00321B46">
              <w:rPr>
                <w:color w:val="000000"/>
                <w:sz w:val="18"/>
                <w:szCs w:val="22"/>
              </w:rPr>
              <w:t>1,14</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5D10CF2" w14:textId="2B403A88" w:rsidR="00A52A8A" w:rsidRPr="00321B46" w:rsidRDefault="00A52A8A" w:rsidP="00A52A8A">
            <w:pPr>
              <w:spacing w:before="0" w:after="0"/>
              <w:jc w:val="right"/>
              <w:rPr>
                <w:color w:val="000000"/>
                <w:sz w:val="22"/>
                <w:szCs w:val="22"/>
                <w:lang w:val="es-CO" w:eastAsia="es-CO"/>
              </w:rPr>
            </w:pPr>
            <w:r w:rsidRPr="00321B46">
              <w:rPr>
                <w:color w:val="000000"/>
                <w:sz w:val="18"/>
                <w:szCs w:val="22"/>
              </w:rPr>
              <w:t>1,20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FEA99C0" w14:textId="5A12363E" w:rsidR="00A52A8A" w:rsidRPr="00321B46" w:rsidRDefault="00A52A8A" w:rsidP="00A52A8A">
            <w:pPr>
              <w:spacing w:before="0" w:after="0"/>
              <w:jc w:val="right"/>
              <w:rPr>
                <w:color w:val="000000"/>
                <w:sz w:val="22"/>
                <w:szCs w:val="22"/>
                <w:lang w:val="es-CO" w:eastAsia="es-CO"/>
              </w:rPr>
            </w:pPr>
            <w:r w:rsidRPr="00321B46">
              <w:rPr>
                <w:color w:val="000000"/>
                <w:sz w:val="18"/>
                <w:szCs w:val="22"/>
              </w:rPr>
              <w:t>1,22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6191B91" w14:textId="07B7C344" w:rsidR="00A52A8A" w:rsidRPr="00321B46" w:rsidRDefault="00A52A8A" w:rsidP="00A52A8A">
            <w:pPr>
              <w:spacing w:before="0" w:after="0"/>
              <w:jc w:val="right"/>
              <w:rPr>
                <w:color w:val="000000"/>
                <w:sz w:val="22"/>
                <w:szCs w:val="22"/>
                <w:lang w:val="es-CO" w:eastAsia="es-CO"/>
              </w:rPr>
            </w:pPr>
            <w:r w:rsidRPr="00321B46">
              <w:rPr>
                <w:color w:val="000000"/>
                <w:sz w:val="18"/>
                <w:szCs w:val="22"/>
              </w:rPr>
              <w:t>1,20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C4341BA" w14:textId="2FCAB9E8" w:rsidR="00A52A8A" w:rsidRPr="00321B46" w:rsidRDefault="00A52A8A" w:rsidP="00A52A8A">
            <w:pPr>
              <w:spacing w:before="0" w:after="0"/>
              <w:jc w:val="right"/>
              <w:rPr>
                <w:color w:val="000000"/>
                <w:sz w:val="22"/>
                <w:szCs w:val="22"/>
                <w:lang w:val="es-CO" w:eastAsia="es-CO"/>
              </w:rPr>
            </w:pPr>
            <w:r w:rsidRPr="00321B46">
              <w:rPr>
                <w:color w:val="000000"/>
                <w:sz w:val="18"/>
              </w:rPr>
              <w:t>0,</w:t>
            </w:r>
            <w:r w:rsidRPr="00321B46">
              <w:rPr>
                <w:color w:val="000000"/>
                <w:sz w:val="18"/>
                <w:szCs w:val="22"/>
              </w:rPr>
              <w:t>89</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B3D2AF4" w14:textId="0F4AC796" w:rsidR="00A52A8A" w:rsidRPr="00321B46" w:rsidRDefault="00A52A8A" w:rsidP="00A52A8A">
            <w:pPr>
              <w:spacing w:before="0" w:after="0"/>
              <w:jc w:val="right"/>
              <w:rPr>
                <w:color w:val="000000"/>
                <w:sz w:val="22"/>
                <w:szCs w:val="22"/>
                <w:lang w:val="es-CO" w:eastAsia="es-CO"/>
              </w:rPr>
            </w:pPr>
            <w:r w:rsidRPr="00321B46">
              <w:rPr>
                <w:color w:val="000000"/>
                <w:sz w:val="18"/>
              </w:rPr>
              <w:t>0,</w:t>
            </w:r>
            <w:r w:rsidRPr="00321B46">
              <w:rPr>
                <w:color w:val="000000"/>
                <w:sz w:val="18"/>
                <w:szCs w:val="22"/>
              </w:rPr>
              <w:t>79</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4A596D3" w14:textId="42D771DA" w:rsidR="00A52A8A" w:rsidRPr="00321B46" w:rsidRDefault="00A52A8A" w:rsidP="00A52A8A">
            <w:pPr>
              <w:spacing w:before="0" w:after="0"/>
              <w:jc w:val="right"/>
              <w:rPr>
                <w:color w:val="000000"/>
                <w:sz w:val="22"/>
                <w:szCs w:val="22"/>
                <w:lang w:val="es-CO" w:eastAsia="es-CO"/>
              </w:rPr>
            </w:pPr>
            <w:r w:rsidRPr="00321B46">
              <w:rPr>
                <w:color w:val="000000"/>
                <w:sz w:val="18"/>
              </w:rPr>
              <w:t>0,</w:t>
            </w:r>
            <w:r w:rsidRPr="00321B46">
              <w:rPr>
                <w:color w:val="000000"/>
                <w:sz w:val="18"/>
                <w:szCs w:val="22"/>
              </w:rPr>
              <w:t>65</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F9801BC" w14:textId="123853FC" w:rsidR="00A52A8A" w:rsidRPr="00321B46" w:rsidRDefault="00A52A8A" w:rsidP="00A52A8A">
            <w:pPr>
              <w:spacing w:before="0" w:after="0"/>
              <w:jc w:val="right"/>
              <w:rPr>
                <w:color w:val="000000"/>
                <w:sz w:val="22"/>
                <w:szCs w:val="22"/>
                <w:lang w:val="es-CO" w:eastAsia="es-CO"/>
              </w:rPr>
            </w:pPr>
            <w:r w:rsidRPr="00321B46">
              <w:rPr>
                <w:color w:val="000000"/>
                <w:sz w:val="18"/>
              </w:rPr>
              <w:t>0,</w:t>
            </w:r>
            <w:r w:rsidRPr="00321B46">
              <w:rPr>
                <w:color w:val="000000"/>
                <w:sz w:val="18"/>
                <w:szCs w:val="22"/>
              </w:rPr>
              <w:t>47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5873E0C" w14:textId="4939ED1D" w:rsidR="00A52A8A" w:rsidRPr="00321B46" w:rsidRDefault="00A52A8A" w:rsidP="00A52A8A">
            <w:pPr>
              <w:spacing w:before="0" w:after="0"/>
              <w:jc w:val="right"/>
              <w:rPr>
                <w:color w:val="000000"/>
                <w:sz w:val="22"/>
                <w:szCs w:val="22"/>
                <w:lang w:val="es-CO" w:eastAsia="es-CO"/>
              </w:rPr>
            </w:pPr>
            <w:r w:rsidRPr="00321B46">
              <w:rPr>
                <w:color w:val="000000"/>
                <w:sz w:val="18"/>
              </w:rPr>
              <w:t>0,</w:t>
            </w:r>
            <w:r w:rsidRPr="00321B46">
              <w:rPr>
                <w:color w:val="000000"/>
                <w:sz w:val="18"/>
                <w:szCs w:val="22"/>
              </w:rPr>
              <w:t>25</w:t>
            </w:r>
            <w:r w:rsidRPr="00321B46">
              <w:rPr>
                <w:color w:val="000000"/>
                <w:sz w:val="18"/>
              </w:rPr>
              <w:t>%</w:t>
            </w:r>
          </w:p>
        </w:tc>
      </w:tr>
      <w:tr w:rsidR="00A52A8A" w:rsidRPr="00321B46" w14:paraId="0F17FC7A" w14:textId="77777777" w:rsidTr="00D2014B">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487A7A" w14:textId="77777777" w:rsidR="00A52A8A" w:rsidRPr="00321B46" w:rsidRDefault="00A52A8A" w:rsidP="00A52A8A">
            <w:pPr>
              <w:spacing w:before="0" w:after="0"/>
              <w:jc w:val="left"/>
              <w:rPr>
                <w:b/>
                <w:color w:val="000000"/>
                <w:sz w:val="20"/>
                <w:szCs w:val="20"/>
                <w:lang w:val="es-CO" w:eastAsia="es-CO"/>
              </w:rPr>
            </w:pPr>
            <w:r w:rsidRPr="00321B46">
              <w:rPr>
                <w:b/>
                <w:color w:val="000000"/>
                <w:sz w:val="20"/>
                <w:szCs w:val="20"/>
                <w:lang w:val="es-CO" w:eastAsia="es-CO"/>
              </w:rPr>
              <w:t>100%</w:t>
            </w:r>
          </w:p>
        </w:tc>
        <w:tc>
          <w:tcPr>
            <w:tcW w:w="0" w:type="auto"/>
            <w:tcBorders>
              <w:top w:val="nil"/>
              <w:left w:val="nil"/>
              <w:bottom w:val="single" w:sz="4" w:space="0" w:color="auto"/>
              <w:right w:val="single" w:sz="4" w:space="0" w:color="auto"/>
            </w:tcBorders>
            <w:shd w:val="clear" w:color="auto" w:fill="auto"/>
            <w:noWrap/>
            <w:vAlign w:val="center"/>
            <w:hideMark/>
          </w:tcPr>
          <w:p w14:paraId="508F6EEA" w14:textId="4E4A3E7C" w:rsidR="00A52A8A" w:rsidRPr="00321B46" w:rsidRDefault="00A52A8A" w:rsidP="00A52A8A">
            <w:pPr>
              <w:spacing w:before="0" w:after="0"/>
              <w:jc w:val="right"/>
              <w:rPr>
                <w:color w:val="000000"/>
                <w:sz w:val="22"/>
                <w:szCs w:val="22"/>
                <w:lang w:val="es-CO" w:eastAsia="es-CO"/>
              </w:rPr>
            </w:pPr>
            <w:r w:rsidRPr="00321B46">
              <w:rPr>
                <w:color w:val="000000"/>
                <w:sz w:val="18"/>
              </w:rPr>
              <w:t>-0,</w:t>
            </w:r>
            <w:r w:rsidRPr="00321B46">
              <w:rPr>
                <w:color w:val="000000"/>
                <w:sz w:val="18"/>
                <w:szCs w:val="22"/>
              </w:rPr>
              <w:t>50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99EE39F" w14:textId="114C09CB" w:rsidR="00A52A8A" w:rsidRPr="00321B46" w:rsidRDefault="00A52A8A" w:rsidP="00A52A8A">
            <w:pPr>
              <w:spacing w:before="0" w:after="0"/>
              <w:jc w:val="right"/>
              <w:rPr>
                <w:color w:val="000000"/>
                <w:sz w:val="22"/>
                <w:szCs w:val="22"/>
                <w:lang w:val="es-CO" w:eastAsia="es-CO"/>
              </w:rPr>
            </w:pPr>
            <w:r w:rsidRPr="00321B46">
              <w:rPr>
                <w:color w:val="000000"/>
                <w:sz w:val="18"/>
              </w:rPr>
              <w:t>-0,</w:t>
            </w:r>
            <w:r w:rsidRPr="00321B46">
              <w:rPr>
                <w:color w:val="000000"/>
                <w:sz w:val="18"/>
                <w:szCs w:val="22"/>
              </w:rPr>
              <w:t>32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F8F11B8" w14:textId="2D20760E" w:rsidR="00A52A8A" w:rsidRPr="00321B46" w:rsidRDefault="00A52A8A" w:rsidP="00A52A8A">
            <w:pPr>
              <w:spacing w:before="0" w:after="0"/>
              <w:jc w:val="right"/>
              <w:rPr>
                <w:color w:val="000000"/>
                <w:sz w:val="22"/>
                <w:szCs w:val="22"/>
                <w:lang w:val="es-CO" w:eastAsia="es-CO"/>
              </w:rPr>
            </w:pPr>
            <w:r w:rsidRPr="00321B46">
              <w:rPr>
                <w:color w:val="000000"/>
                <w:sz w:val="18"/>
              </w:rPr>
              <w:t>-0,</w:t>
            </w:r>
            <w:r w:rsidRPr="00321B46">
              <w:rPr>
                <w:color w:val="000000"/>
                <w:sz w:val="18"/>
                <w:szCs w:val="22"/>
              </w:rPr>
              <w:t>18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EA79A35" w14:textId="515DD199" w:rsidR="00A52A8A" w:rsidRPr="00321B46" w:rsidRDefault="00A52A8A" w:rsidP="00A52A8A">
            <w:pPr>
              <w:spacing w:before="0" w:after="0"/>
              <w:jc w:val="right"/>
              <w:rPr>
                <w:color w:val="000000"/>
                <w:sz w:val="22"/>
                <w:szCs w:val="22"/>
                <w:lang w:val="es-CO" w:eastAsia="es-CO"/>
              </w:rPr>
            </w:pPr>
            <w:r w:rsidRPr="00321B46">
              <w:rPr>
                <w:color w:val="000000"/>
                <w:sz w:val="18"/>
              </w:rPr>
              <w:t>-0,</w:t>
            </w:r>
            <w:r w:rsidRPr="00321B46">
              <w:rPr>
                <w:color w:val="000000"/>
                <w:sz w:val="18"/>
                <w:szCs w:val="22"/>
              </w:rPr>
              <w:t>08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ED3BF57" w14:textId="173EC49C" w:rsidR="00A52A8A" w:rsidRPr="00321B46" w:rsidRDefault="00A52A8A" w:rsidP="00A52A8A">
            <w:pPr>
              <w:spacing w:before="0" w:after="0"/>
              <w:jc w:val="right"/>
              <w:rPr>
                <w:color w:val="000000"/>
                <w:sz w:val="22"/>
                <w:szCs w:val="22"/>
                <w:lang w:val="es-CO" w:eastAsia="es-CO"/>
              </w:rPr>
            </w:pPr>
            <w:r w:rsidRPr="00321B46">
              <w:rPr>
                <w:color w:val="000000"/>
                <w:sz w:val="18"/>
              </w:rPr>
              <w:t>-0,</w:t>
            </w:r>
            <w:r w:rsidRPr="00321B46">
              <w:rPr>
                <w:color w:val="000000"/>
                <w:sz w:val="18"/>
                <w:szCs w:val="22"/>
              </w:rPr>
              <w:t>02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C604F82" w14:textId="7134456D" w:rsidR="00A52A8A" w:rsidRPr="00321B46" w:rsidRDefault="00A52A8A" w:rsidP="00A52A8A">
            <w:pPr>
              <w:spacing w:before="0" w:after="0"/>
              <w:jc w:val="right"/>
              <w:rPr>
                <w:color w:val="000000"/>
                <w:sz w:val="22"/>
                <w:szCs w:val="22"/>
                <w:lang w:val="es-CO" w:eastAsia="es-CO"/>
              </w:rPr>
            </w:pPr>
            <w:r w:rsidRPr="00321B46">
              <w:rPr>
                <w:color w:val="000000"/>
                <w:sz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75D7256F" w14:textId="5E0948F8" w:rsidR="00A52A8A" w:rsidRPr="00321B46" w:rsidRDefault="00A52A8A" w:rsidP="00A52A8A">
            <w:pPr>
              <w:spacing w:before="0" w:after="0"/>
              <w:jc w:val="right"/>
              <w:rPr>
                <w:color w:val="000000"/>
                <w:sz w:val="22"/>
                <w:szCs w:val="22"/>
                <w:lang w:val="es-CO" w:eastAsia="es-CO"/>
              </w:rPr>
            </w:pPr>
            <w:r w:rsidRPr="00321B46">
              <w:rPr>
                <w:color w:val="000000"/>
                <w:sz w:val="18"/>
              </w:rPr>
              <w:t>-0,</w:t>
            </w:r>
            <w:r w:rsidRPr="00321B46">
              <w:rPr>
                <w:color w:val="000000"/>
                <w:sz w:val="18"/>
                <w:szCs w:val="22"/>
              </w:rPr>
              <w:t>27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9C41327" w14:textId="25414A0E" w:rsidR="00A52A8A" w:rsidRPr="00321B46" w:rsidRDefault="00A52A8A" w:rsidP="00A52A8A">
            <w:pPr>
              <w:spacing w:before="0" w:after="0"/>
              <w:jc w:val="right"/>
              <w:rPr>
                <w:color w:val="000000"/>
                <w:sz w:val="22"/>
                <w:szCs w:val="22"/>
                <w:lang w:val="es-CO" w:eastAsia="es-CO"/>
              </w:rPr>
            </w:pPr>
            <w:r w:rsidRPr="00321B46">
              <w:rPr>
                <w:color w:val="000000"/>
                <w:sz w:val="18"/>
              </w:rPr>
              <w:t>-0,</w:t>
            </w:r>
            <w:r w:rsidRPr="00321B46">
              <w:rPr>
                <w:color w:val="000000"/>
                <w:sz w:val="18"/>
                <w:szCs w:val="22"/>
              </w:rPr>
              <w:t>33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21F9483" w14:textId="54C2CD82" w:rsidR="00A52A8A" w:rsidRPr="00321B46" w:rsidRDefault="00A52A8A" w:rsidP="00A52A8A">
            <w:pPr>
              <w:spacing w:before="0" w:after="0"/>
              <w:jc w:val="right"/>
              <w:rPr>
                <w:color w:val="000000"/>
                <w:sz w:val="22"/>
                <w:szCs w:val="22"/>
                <w:lang w:val="es-CO" w:eastAsia="es-CO"/>
              </w:rPr>
            </w:pPr>
            <w:r w:rsidRPr="00321B46">
              <w:rPr>
                <w:color w:val="000000"/>
                <w:sz w:val="18"/>
              </w:rPr>
              <w:t>-0,</w:t>
            </w:r>
            <w:r w:rsidRPr="00321B46">
              <w:rPr>
                <w:color w:val="000000"/>
                <w:sz w:val="18"/>
                <w:szCs w:val="22"/>
              </w:rPr>
              <w:t>43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0913B29" w14:textId="5052C692" w:rsidR="00A52A8A" w:rsidRPr="00321B46" w:rsidRDefault="00A52A8A" w:rsidP="00A52A8A">
            <w:pPr>
              <w:spacing w:before="0" w:after="0"/>
              <w:jc w:val="right"/>
              <w:rPr>
                <w:color w:val="000000"/>
                <w:sz w:val="22"/>
                <w:szCs w:val="22"/>
                <w:lang w:val="es-CO" w:eastAsia="es-CO"/>
              </w:rPr>
            </w:pPr>
            <w:r w:rsidRPr="00321B46">
              <w:rPr>
                <w:color w:val="000000"/>
                <w:sz w:val="18"/>
              </w:rPr>
              <w:t>-0,</w:t>
            </w:r>
            <w:r w:rsidRPr="00321B46">
              <w:rPr>
                <w:color w:val="000000"/>
                <w:sz w:val="18"/>
                <w:szCs w:val="22"/>
              </w:rPr>
              <w:t>57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E975800" w14:textId="5EA3A40C" w:rsidR="00A52A8A" w:rsidRPr="00321B46" w:rsidRDefault="00A52A8A" w:rsidP="00A52A8A">
            <w:pPr>
              <w:spacing w:before="0" w:after="0"/>
              <w:jc w:val="right"/>
              <w:rPr>
                <w:color w:val="000000"/>
                <w:sz w:val="22"/>
                <w:szCs w:val="22"/>
                <w:lang w:val="es-CO" w:eastAsia="es-CO"/>
              </w:rPr>
            </w:pPr>
            <w:r w:rsidRPr="00321B46">
              <w:rPr>
                <w:color w:val="000000"/>
                <w:sz w:val="18"/>
              </w:rPr>
              <w:t>-0,75%</w:t>
            </w:r>
          </w:p>
        </w:tc>
      </w:tr>
      <w:tr w:rsidR="00A52A8A" w:rsidRPr="00321B46" w14:paraId="7ED97E9E" w14:textId="77777777" w:rsidTr="00D2014B">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3D8D31" w14:textId="77777777" w:rsidR="00A52A8A" w:rsidRPr="00321B46" w:rsidRDefault="00A52A8A" w:rsidP="00A52A8A">
            <w:pPr>
              <w:spacing w:before="0" w:after="0"/>
              <w:jc w:val="left"/>
              <w:rPr>
                <w:b/>
                <w:color w:val="000000"/>
                <w:sz w:val="20"/>
                <w:szCs w:val="20"/>
                <w:lang w:val="es-CO" w:eastAsia="es-CO"/>
              </w:rPr>
            </w:pPr>
            <w:r w:rsidRPr="00321B46">
              <w:rPr>
                <w:b/>
                <w:color w:val="000000"/>
                <w:sz w:val="20"/>
                <w:szCs w:val="20"/>
                <w:lang w:val="es-CO" w:eastAsia="es-CO"/>
              </w:rPr>
              <w:t>102%</w:t>
            </w:r>
          </w:p>
        </w:tc>
        <w:tc>
          <w:tcPr>
            <w:tcW w:w="0" w:type="auto"/>
            <w:tcBorders>
              <w:top w:val="nil"/>
              <w:left w:val="nil"/>
              <w:bottom w:val="single" w:sz="4" w:space="0" w:color="auto"/>
              <w:right w:val="single" w:sz="4" w:space="0" w:color="auto"/>
            </w:tcBorders>
            <w:shd w:val="clear" w:color="auto" w:fill="auto"/>
            <w:noWrap/>
            <w:vAlign w:val="center"/>
            <w:hideMark/>
          </w:tcPr>
          <w:p w14:paraId="225E6579" w14:textId="1298C0C9" w:rsidR="00A52A8A" w:rsidRPr="00321B46" w:rsidRDefault="00A52A8A" w:rsidP="00A52A8A">
            <w:pPr>
              <w:spacing w:before="0" w:after="0"/>
              <w:jc w:val="right"/>
              <w:rPr>
                <w:color w:val="000000"/>
                <w:sz w:val="22"/>
                <w:szCs w:val="22"/>
                <w:lang w:val="es-CO" w:eastAsia="es-CO"/>
              </w:rPr>
            </w:pPr>
            <w:r w:rsidRPr="00321B46">
              <w:rPr>
                <w:color w:val="000000"/>
                <w:sz w:val="18"/>
              </w:rPr>
              <w:t>-1,</w:t>
            </w:r>
            <w:r w:rsidRPr="00321B46">
              <w:rPr>
                <w:color w:val="000000"/>
                <w:sz w:val="18"/>
                <w:szCs w:val="22"/>
              </w:rPr>
              <w:t>90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A67902D" w14:textId="09288829" w:rsidR="00A52A8A" w:rsidRPr="00321B46" w:rsidRDefault="00A52A8A" w:rsidP="00A52A8A">
            <w:pPr>
              <w:spacing w:before="0" w:after="0"/>
              <w:jc w:val="right"/>
              <w:rPr>
                <w:color w:val="000000"/>
                <w:sz w:val="22"/>
                <w:szCs w:val="22"/>
                <w:lang w:val="es-CO" w:eastAsia="es-CO"/>
              </w:rPr>
            </w:pPr>
            <w:r w:rsidRPr="00321B46">
              <w:rPr>
                <w:color w:val="000000"/>
                <w:sz w:val="18"/>
              </w:rPr>
              <w:t>-1,</w:t>
            </w:r>
            <w:r w:rsidRPr="00321B46">
              <w:rPr>
                <w:color w:val="000000"/>
                <w:sz w:val="18"/>
                <w:szCs w:val="22"/>
              </w:rPr>
              <w:t>68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212D130" w14:textId="72FC35A7" w:rsidR="00A52A8A" w:rsidRPr="00321B46" w:rsidRDefault="00A52A8A" w:rsidP="00A52A8A">
            <w:pPr>
              <w:spacing w:before="0" w:after="0"/>
              <w:jc w:val="right"/>
              <w:rPr>
                <w:color w:val="000000"/>
                <w:sz w:val="22"/>
                <w:szCs w:val="22"/>
                <w:lang w:val="es-CO" w:eastAsia="es-CO"/>
              </w:rPr>
            </w:pPr>
            <w:r w:rsidRPr="00321B46">
              <w:rPr>
                <w:color w:val="000000"/>
                <w:sz w:val="18"/>
              </w:rPr>
              <w:t>-1,</w:t>
            </w:r>
            <w:r w:rsidRPr="00321B46">
              <w:rPr>
                <w:color w:val="000000"/>
                <w:sz w:val="18"/>
                <w:szCs w:val="22"/>
              </w:rPr>
              <w:t>50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6EFD2CF" w14:textId="50A340AD"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1,36</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9774E20" w14:textId="21F5142D"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1,26</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0FD1671" w14:textId="5213C854"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1,20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852A759" w14:textId="5BF93161"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1,43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5EAC0F3" w14:textId="01E8418A"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1,45</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9F8E5EC" w14:textId="462702CE"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1,51</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C9958AF" w14:textId="61A3711A"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1,61</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1EC3C7E" w14:textId="5636E23D" w:rsidR="00A52A8A" w:rsidRPr="00321B46" w:rsidRDefault="00A52A8A" w:rsidP="00A52A8A">
            <w:pPr>
              <w:spacing w:before="0" w:after="0"/>
              <w:jc w:val="right"/>
              <w:rPr>
                <w:color w:val="000000"/>
                <w:sz w:val="22"/>
                <w:szCs w:val="22"/>
                <w:lang w:val="es-CO" w:eastAsia="es-CO"/>
              </w:rPr>
            </w:pPr>
            <w:r w:rsidRPr="00321B46">
              <w:rPr>
                <w:color w:val="000000"/>
                <w:sz w:val="18"/>
              </w:rPr>
              <w:t>-1,</w:t>
            </w:r>
            <w:r w:rsidRPr="00321B46">
              <w:rPr>
                <w:color w:val="000000"/>
                <w:sz w:val="18"/>
                <w:szCs w:val="22"/>
              </w:rPr>
              <w:t>75</w:t>
            </w:r>
            <w:r w:rsidRPr="00321B46">
              <w:rPr>
                <w:color w:val="000000"/>
                <w:sz w:val="18"/>
              </w:rPr>
              <w:t>%</w:t>
            </w:r>
          </w:p>
        </w:tc>
      </w:tr>
      <w:tr w:rsidR="00A52A8A" w:rsidRPr="00321B46" w14:paraId="42335BEB" w14:textId="77777777" w:rsidTr="00D2014B">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DB7339" w14:textId="77777777" w:rsidR="00A52A8A" w:rsidRPr="00321B46" w:rsidRDefault="00A52A8A" w:rsidP="00A52A8A">
            <w:pPr>
              <w:spacing w:before="0" w:after="0"/>
              <w:jc w:val="left"/>
              <w:rPr>
                <w:b/>
                <w:color w:val="000000"/>
                <w:sz w:val="20"/>
                <w:szCs w:val="20"/>
                <w:lang w:val="es-CO" w:eastAsia="es-CO"/>
              </w:rPr>
            </w:pPr>
            <w:r w:rsidRPr="00321B46">
              <w:rPr>
                <w:b/>
                <w:color w:val="000000"/>
                <w:sz w:val="20"/>
                <w:szCs w:val="20"/>
                <w:lang w:val="es-CO" w:eastAsia="es-CO"/>
              </w:rPr>
              <w:t>104%</w:t>
            </w:r>
          </w:p>
        </w:tc>
        <w:tc>
          <w:tcPr>
            <w:tcW w:w="0" w:type="auto"/>
            <w:tcBorders>
              <w:top w:val="nil"/>
              <w:left w:val="nil"/>
              <w:bottom w:val="single" w:sz="4" w:space="0" w:color="auto"/>
              <w:right w:val="single" w:sz="4" w:space="0" w:color="auto"/>
            </w:tcBorders>
            <w:shd w:val="clear" w:color="auto" w:fill="auto"/>
            <w:noWrap/>
            <w:vAlign w:val="center"/>
            <w:hideMark/>
          </w:tcPr>
          <w:p w14:paraId="15E04D6B" w14:textId="1292184D"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3,30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906B126" w14:textId="09BB0928"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3,04</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0C6F03E" w14:textId="675B0C6F" w:rsidR="00A52A8A" w:rsidRPr="00321B46" w:rsidRDefault="00A52A8A" w:rsidP="00A52A8A">
            <w:pPr>
              <w:spacing w:before="0" w:after="0"/>
              <w:jc w:val="right"/>
              <w:rPr>
                <w:color w:val="000000"/>
                <w:sz w:val="22"/>
                <w:szCs w:val="22"/>
                <w:lang w:val="es-CO" w:eastAsia="es-CO"/>
              </w:rPr>
            </w:pPr>
            <w:r w:rsidRPr="00321B46">
              <w:rPr>
                <w:color w:val="000000"/>
                <w:sz w:val="18"/>
              </w:rPr>
              <w:t>-2,</w:t>
            </w:r>
            <w:r w:rsidRPr="00321B46">
              <w:rPr>
                <w:color w:val="000000"/>
                <w:sz w:val="18"/>
                <w:szCs w:val="22"/>
              </w:rPr>
              <w:t>82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AFB7AE1" w14:textId="2AF8F46A"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2,64</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CA5C30F" w14:textId="2BC5442D"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2,50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E38EE91" w14:textId="49D538A1"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2</w:t>
            </w:r>
            <w:r w:rsidRPr="00321B46">
              <w:rPr>
                <w:color w:val="000000"/>
                <w:sz w:val="18"/>
              </w:rPr>
              <w:t>,40%</w:t>
            </w:r>
          </w:p>
        </w:tc>
        <w:tc>
          <w:tcPr>
            <w:tcW w:w="0" w:type="auto"/>
            <w:tcBorders>
              <w:top w:val="nil"/>
              <w:left w:val="nil"/>
              <w:bottom w:val="single" w:sz="4" w:space="0" w:color="auto"/>
              <w:right w:val="single" w:sz="4" w:space="0" w:color="auto"/>
            </w:tcBorders>
            <w:shd w:val="clear" w:color="auto" w:fill="auto"/>
            <w:noWrap/>
            <w:vAlign w:val="center"/>
            <w:hideMark/>
          </w:tcPr>
          <w:p w14:paraId="2924FB88" w14:textId="13EA60DE"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2,59</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AD2557E" w14:textId="2192D91A"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2,57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2268862" w14:textId="199F739E"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2,59</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B4AE7A0" w14:textId="15233E95"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2,65</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3A4BEAA" w14:textId="042486DD"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2,75</w:t>
            </w:r>
            <w:r w:rsidRPr="00321B46">
              <w:rPr>
                <w:color w:val="000000"/>
                <w:sz w:val="18"/>
              </w:rPr>
              <w:t>%</w:t>
            </w:r>
          </w:p>
        </w:tc>
      </w:tr>
      <w:tr w:rsidR="00A52A8A" w:rsidRPr="00321B46" w14:paraId="738F5F14" w14:textId="77777777" w:rsidTr="00D2014B">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5A303F" w14:textId="77777777" w:rsidR="00A52A8A" w:rsidRPr="00321B46" w:rsidRDefault="00A52A8A" w:rsidP="00A52A8A">
            <w:pPr>
              <w:spacing w:before="0" w:after="0"/>
              <w:jc w:val="left"/>
              <w:rPr>
                <w:b/>
                <w:color w:val="000000"/>
                <w:sz w:val="20"/>
                <w:szCs w:val="20"/>
                <w:lang w:val="es-CO" w:eastAsia="es-CO"/>
              </w:rPr>
            </w:pPr>
            <w:r w:rsidRPr="00321B46">
              <w:rPr>
                <w:b/>
                <w:color w:val="000000"/>
                <w:sz w:val="20"/>
                <w:szCs w:val="20"/>
                <w:lang w:val="es-CO" w:eastAsia="es-CO"/>
              </w:rPr>
              <w:t>106%</w:t>
            </w:r>
          </w:p>
        </w:tc>
        <w:tc>
          <w:tcPr>
            <w:tcW w:w="0" w:type="auto"/>
            <w:tcBorders>
              <w:top w:val="nil"/>
              <w:left w:val="nil"/>
              <w:bottom w:val="single" w:sz="4" w:space="0" w:color="auto"/>
              <w:right w:val="single" w:sz="4" w:space="0" w:color="auto"/>
            </w:tcBorders>
            <w:shd w:val="clear" w:color="auto" w:fill="auto"/>
            <w:noWrap/>
            <w:vAlign w:val="center"/>
            <w:hideMark/>
          </w:tcPr>
          <w:p w14:paraId="69F9AD9C" w14:textId="085690A0"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4,70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A8639E0" w14:textId="7BF6F069"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4,40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A67180B" w14:textId="4B71E561"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4,14</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0125DBF" w14:textId="6B79902E"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3,92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BA35D0D" w14:textId="319D1BAA"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3,74</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5358E73" w14:textId="733B1269"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3,60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2A67344" w14:textId="3C3E3530"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3,75</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6A0FF52" w14:textId="398B53C5"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3,69</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96FE44D" w14:textId="31198489"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3,67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4962D05" w14:textId="3AFE38B0"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3,69</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04A0ADC" w14:textId="45D18543"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3,75</w:t>
            </w:r>
            <w:r w:rsidRPr="00321B46">
              <w:rPr>
                <w:color w:val="000000"/>
                <w:sz w:val="18"/>
              </w:rPr>
              <w:t>%</w:t>
            </w:r>
          </w:p>
        </w:tc>
      </w:tr>
      <w:tr w:rsidR="00A52A8A" w:rsidRPr="00321B46" w14:paraId="69A2F234" w14:textId="77777777" w:rsidTr="00D2014B">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3F7534" w14:textId="77777777" w:rsidR="00A52A8A" w:rsidRPr="00321B46" w:rsidRDefault="00A52A8A" w:rsidP="00A52A8A">
            <w:pPr>
              <w:spacing w:before="0" w:after="0"/>
              <w:jc w:val="left"/>
              <w:rPr>
                <w:b/>
                <w:color w:val="000000"/>
                <w:sz w:val="20"/>
                <w:szCs w:val="20"/>
                <w:lang w:val="es-CO" w:eastAsia="es-CO"/>
              </w:rPr>
            </w:pPr>
            <w:r w:rsidRPr="00321B46">
              <w:rPr>
                <w:b/>
                <w:color w:val="000000"/>
                <w:sz w:val="20"/>
                <w:szCs w:val="20"/>
                <w:lang w:val="es-CO" w:eastAsia="es-CO"/>
              </w:rPr>
              <w:t>108%</w:t>
            </w:r>
          </w:p>
        </w:tc>
        <w:tc>
          <w:tcPr>
            <w:tcW w:w="0" w:type="auto"/>
            <w:tcBorders>
              <w:top w:val="nil"/>
              <w:left w:val="nil"/>
              <w:bottom w:val="single" w:sz="4" w:space="0" w:color="auto"/>
              <w:right w:val="single" w:sz="4" w:space="0" w:color="auto"/>
            </w:tcBorders>
            <w:shd w:val="clear" w:color="auto" w:fill="auto"/>
            <w:noWrap/>
            <w:vAlign w:val="center"/>
            <w:hideMark/>
          </w:tcPr>
          <w:p w14:paraId="43803E4E" w14:textId="11F24691"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6,10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9E31E30" w14:textId="1689D962"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5,76</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909E7D7" w14:textId="41653AA0"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5,46</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C0FD2C2" w14:textId="6386E48A"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5,20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6154A65" w14:textId="48FA68DC"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4,98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9D3F070" w14:textId="49959AE2"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4</w:t>
            </w:r>
            <w:r w:rsidRPr="00321B46">
              <w:rPr>
                <w:color w:val="000000"/>
                <w:sz w:val="18"/>
              </w:rPr>
              <w:t>,80%</w:t>
            </w:r>
          </w:p>
        </w:tc>
        <w:tc>
          <w:tcPr>
            <w:tcW w:w="0" w:type="auto"/>
            <w:tcBorders>
              <w:top w:val="nil"/>
              <w:left w:val="nil"/>
              <w:bottom w:val="single" w:sz="4" w:space="0" w:color="auto"/>
              <w:right w:val="single" w:sz="4" w:space="0" w:color="auto"/>
            </w:tcBorders>
            <w:shd w:val="clear" w:color="auto" w:fill="auto"/>
            <w:noWrap/>
            <w:vAlign w:val="center"/>
            <w:hideMark/>
          </w:tcPr>
          <w:p w14:paraId="32BBDA2C" w14:textId="0B63BD93"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4,91</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BAD8985" w14:textId="0C6C7258"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4,81</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B81B4B7" w14:textId="376B4773"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4,75</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9FEC4FF" w14:textId="29A0EA6F"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4,73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DD82F7E" w14:textId="1D4E6E22"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4,75</w:t>
            </w:r>
            <w:r w:rsidRPr="00321B46">
              <w:rPr>
                <w:color w:val="000000"/>
                <w:sz w:val="18"/>
              </w:rPr>
              <w:t>%</w:t>
            </w:r>
          </w:p>
        </w:tc>
      </w:tr>
      <w:tr w:rsidR="00A52A8A" w:rsidRPr="00321B46" w14:paraId="224B9F4F" w14:textId="77777777" w:rsidTr="00D2014B">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32916E" w14:textId="77777777" w:rsidR="00A52A8A" w:rsidRPr="00321B46" w:rsidRDefault="00A52A8A" w:rsidP="00A52A8A">
            <w:pPr>
              <w:spacing w:before="0" w:after="0"/>
              <w:jc w:val="left"/>
              <w:rPr>
                <w:b/>
                <w:color w:val="000000"/>
                <w:sz w:val="20"/>
                <w:szCs w:val="20"/>
                <w:lang w:val="es-CO" w:eastAsia="es-CO"/>
              </w:rPr>
            </w:pPr>
            <w:r w:rsidRPr="00321B46">
              <w:rPr>
                <w:b/>
                <w:color w:val="000000"/>
                <w:sz w:val="20"/>
                <w:szCs w:val="20"/>
                <w:lang w:val="es-CO" w:eastAsia="es-CO"/>
              </w:rPr>
              <w:t>110%</w:t>
            </w:r>
          </w:p>
        </w:tc>
        <w:tc>
          <w:tcPr>
            <w:tcW w:w="0" w:type="auto"/>
            <w:tcBorders>
              <w:top w:val="nil"/>
              <w:left w:val="nil"/>
              <w:bottom w:val="single" w:sz="4" w:space="0" w:color="auto"/>
              <w:right w:val="single" w:sz="4" w:space="0" w:color="auto"/>
            </w:tcBorders>
            <w:shd w:val="clear" w:color="auto" w:fill="auto"/>
            <w:noWrap/>
            <w:vAlign w:val="center"/>
            <w:hideMark/>
          </w:tcPr>
          <w:p w14:paraId="4E01E8F3" w14:textId="64E3BE9A"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7,50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A5290C3" w14:textId="10141940"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7,12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C88648E" w14:textId="6E197707"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6,78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7865BA6" w14:textId="61F82C05"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6,48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876D4C2" w14:textId="08BDABFD"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6,22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1CCEE11" w14:textId="6F7BB929"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6,00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DD5E8FA" w14:textId="787B5932"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6,07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257A0C0" w14:textId="2F19C462"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5,93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6BECF1A" w14:textId="0A8FA8C4"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5,83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11BDAE9" w14:textId="444A0D6B"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5,77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4A9D48B" w14:textId="67F18DC5" w:rsidR="00A52A8A" w:rsidRPr="00321B46" w:rsidRDefault="00A52A8A" w:rsidP="00A52A8A">
            <w:pPr>
              <w:spacing w:before="0" w:after="0"/>
              <w:jc w:val="right"/>
              <w:rPr>
                <w:color w:val="000000"/>
                <w:sz w:val="22"/>
                <w:szCs w:val="22"/>
                <w:lang w:val="es-CO" w:eastAsia="es-CO"/>
              </w:rPr>
            </w:pPr>
            <w:r w:rsidRPr="00321B46">
              <w:rPr>
                <w:color w:val="000000"/>
                <w:sz w:val="18"/>
              </w:rPr>
              <w:t>-</w:t>
            </w:r>
            <w:r w:rsidRPr="00321B46">
              <w:rPr>
                <w:color w:val="000000"/>
                <w:sz w:val="18"/>
                <w:szCs w:val="22"/>
              </w:rPr>
              <w:t>5</w:t>
            </w:r>
            <w:r w:rsidRPr="00321B46">
              <w:rPr>
                <w:color w:val="000000"/>
                <w:sz w:val="18"/>
              </w:rPr>
              <w:t>,75%</w:t>
            </w:r>
          </w:p>
        </w:tc>
      </w:tr>
    </w:tbl>
    <w:p w14:paraId="18D65AA7" w14:textId="15FE7318" w:rsidR="00A475D8" w:rsidRPr="00321B46" w:rsidRDefault="00A475D8" w:rsidP="00A475D8">
      <w:bookmarkStart w:id="201" w:name="_Toc465917091"/>
      <w:bookmarkStart w:id="202" w:name="_Toc465926034"/>
      <w:bookmarkStart w:id="203" w:name="_Toc465926296"/>
      <w:bookmarkStart w:id="204" w:name="_Toc465926557"/>
      <w:bookmarkStart w:id="205" w:name="_Toc465926818"/>
      <w:bookmarkStart w:id="206" w:name="_Toc465928025"/>
      <w:bookmarkStart w:id="207" w:name="_Ref403628804"/>
      <w:bookmarkStart w:id="208" w:name="_Toc408493153"/>
      <w:bookmarkStart w:id="209" w:name="_Toc411243798"/>
      <w:bookmarkStart w:id="210" w:name="_Toc445214081"/>
      <w:bookmarkEnd w:id="201"/>
      <w:bookmarkEnd w:id="202"/>
      <w:bookmarkEnd w:id="203"/>
      <w:bookmarkEnd w:id="204"/>
      <w:bookmarkEnd w:id="205"/>
      <w:bookmarkEnd w:id="206"/>
      <w:r w:rsidRPr="00321B46">
        <w:t xml:space="preserve">Para la aplicación de este esquema los </w:t>
      </w:r>
      <w:r w:rsidR="00247538">
        <w:t>TN</w:t>
      </w:r>
      <w:r w:rsidRPr="00321B46">
        <w:t xml:space="preserve"> deben entregar anualmente la información solicitada en este numeral, en caso de que no se entregue la información detallada que soporte la aplicación del incentivo, para el siguiente año se aplicará un valor de NIE/NGE equivalente al valor más eficiente de 90%. </w:t>
      </w:r>
    </w:p>
    <w:p w14:paraId="6C185D52" w14:textId="38430B6C" w:rsidR="009954EA" w:rsidRPr="00321B46" w:rsidRDefault="009954EA" w:rsidP="00BF7220">
      <w:pPr>
        <w:pStyle w:val="Ttulo2"/>
      </w:pPr>
      <w:bookmarkStart w:id="211" w:name="_Toc466392639"/>
      <w:r w:rsidRPr="00321B46">
        <w:t>Incentivos por eficiencia en inversiones</w:t>
      </w:r>
      <w:bookmarkEnd w:id="207"/>
      <w:bookmarkEnd w:id="208"/>
      <w:bookmarkEnd w:id="209"/>
      <w:bookmarkEnd w:id="210"/>
      <w:bookmarkEnd w:id="211"/>
    </w:p>
    <w:p w14:paraId="7DC10859" w14:textId="641F7BFF" w:rsidR="009954EA" w:rsidRPr="00321B46" w:rsidRDefault="009954EA">
      <w:pPr>
        <w:rPr>
          <w:lang w:val="es-ES_tradnl"/>
        </w:rPr>
      </w:pPr>
      <w:r w:rsidRPr="00321B46">
        <w:t xml:space="preserve">El </w:t>
      </w:r>
      <w:r w:rsidR="00A475D8" w:rsidRPr="00321B46">
        <w:t xml:space="preserve">valor del </w:t>
      </w:r>
      <w:r w:rsidRPr="00321B46">
        <w:t xml:space="preserve">incentivo </w:t>
      </w:r>
      <w:r w:rsidR="00A475D8" w:rsidRPr="00321B46">
        <w:t xml:space="preserve">alcanzado, </w:t>
      </w:r>
      <w:r w:rsidRPr="00321B46">
        <w:t>asociado con la eficiencia en la ejecución del plan de inversiones</w:t>
      </w:r>
      <w:r w:rsidR="00A475D8" w:rsidRPr="00321B46">
        <w:t>,</w:t>
      </w:r>
      <w:r w:rsidRPr="00321B46">
        <w:t xml:space="preserve"> se </w:t>
      </w:r>
      <w:r w:rsidRPr="00321B46">
        <w:rPr>
          <w:lang w:val="es-ES_tradnl"/>
        </w:rPr>
        <w:t>calcula de la siguiente manera:</w:t>
      </w:r>
    </w:p>
    <w:p w14:paraId="716A3E62" w14:textId="6CA5A2CF" w:rsidR="009954EA" w:rsidRPr="00321B46" w:rsidRDefault="00651802">
      <w:pPr>
        <w:jc w:val="center"/>
        <w:rPr>
          <w:lang w:val="es-ES_tradnl"/>
        </w:rPr>
      </w:pPr>
      <m:oMath>
        <m:sSub>
          <m:sSubPr>
            <m:ctrlPr>
              <w:rPr>
                <w:rFonts w:ascii="Cambria Math" w:hAnsi="Cambria Math"/>
                <w:i/>
                <w:lang w:val="es-ES_tradnl"/>
              </w:rPr>
            </m:ctrlPr>
          </m:sSubPr>
          <m:e>
            <m:r>
              <w:rPr>
                <w:rFonts w:ascii="Cambria Math" w:hAnsi="Cambria Math"/>
                <w:lang w:val="es-ES_tradnl"/>
              </w:rPr>
              <m:t>INCI</m:t>
            </m:r>
          </m:e>
          <m:sub>
            <m:r>
              <w:rPr>
                <w:rFonts w:ascii="Cambria Math" w:hAnsi="Cambria Math"/>
                <w:lang w:val="es-ES_tradnl"/>
              </w:rPr>
              <m:t>j,t</m:t>
            </m:r>
          </m:sub>
        </m:sSub>
        <m:r>
          <w:rPr>
            <w:rFonts w:ascii="Cambria Math" w:hAnsi="Cambria Math"/>
            <w:lang w:val="es-ES_tradnl"/>
          </w:rPr>
          <m:t>=</m:t>
        </m:r>
        <m:sSub>
          <m:sSubPr>
            <m:ctrlPr>
              <w:rPr>
                <w:rFonts w:ascii="Cambria Math" w:hAnsi="Cambria Math"/>
                <w:i/>
              </w:rPr>
            </m:ctrlPr>
          </m:sSubPr>
          <m:e>
            <m:r>
              <w:rPr>
                <w:rFonts w:ascii="Cambria Math"/>
              </w:rPr>
              <m:t>INVR</m:t>
            </m:r>
          </m:e>
          <m:sub>
            <m:r>
              <w:rPr>
                <w:rFonts w:ascii="Cambria Math"/>
              </w:rPr>
              <m:t>j,t</m:t>
            </m:r>
          </m:sub>
        </m:sSub>
        <m:r>
          <w:rPr>
            <w:rFonts w:ascii="Cambria Math" w:hAnsi="Cambria Math"/>
            <w:lang w:val="es-ES_tradnl"/>
          </w:rPr>
          <m:t>*</m:t>
        </m:r>
        <m:sSub>
          <m:sSubPr>
            <m:ctrlPr>
              <w:rPr>
                <w:rFonts w:ascii="Cambria Math" w:hAnsi="Cambria Math"/>
                <w:i/>
                <w:lang w:val="es-ES_tradnl"/>
              </w:rPr>
            </m:ctrlPr>
          </m:sSubPr>
          <m:e>
            <m:r>
              <w:rPr>
                <w:rFonts w:ascii="Cambria Math" w:hAnsi="Cambria Math"/>
                <w:lang w:val="es-ES_tradnl"/>
              </w:rPr>
              <m:t>INCAI</m:t>
            </m:r>
          </m:e>
          <m:sub>
            <m:r>
              <w:rPr>
                <w:rFonts w:ascii="Cambria Math" w:hAnsi="Cambria Math"/>
                <w:lang w:val="es-ES_tradnl"/>
              </w:rPr>
              <m:t>j,t</m:t>
            </m:r>
          </m:sub>
        </m:sSub>
      </m:oMath>
      <w:r w:rsidR="009954EA" w:rsidRPr="00321B46">
        <w:rPr>
          <w:lang w:val="es-ES_tradnl"/>
        </w:rPr>
        <w:t xml:space="preserve"> </w:t>
      </w:r>
    </w:p>
    <w:p w14:paraId="13E81FC7" w14:textId="77777777" w:rsidR="009954EA" w:rsidRPr="00321B46" w:rsidRDefault="009954EA">
      <w:pPr>
        <w:rPr>
          <w:lang w:val="es-ES_tradnl"/>
        </w:rPr>
      </w:pPr>
      <w:r w:rsidRPr="00321B46">
        <w:rPr>
          <w:lang w:val="es-ES_tradnl"/>
        </w:rPr>
        <w:t>Donde:</w:t>
      </w:r>
    </w:p>
    <w:p w14:paraId="4B17D79B" w14:textId="77777777" w:rsidR="008F49B0" w:rsidRPr="00321B46" w:rsidRDefault="008F49B0" w:rsidP="008F49B0">
      <w:pPr>
        <w:ind w:left="1410" w:hanging="1410"/>
        <w:rPr>
          <w:rFonts w:cs="Arial"/>
          <w:i/>
          <w:lang w:val="es-ES_tradnl"/>
        </w:rPr>
      </w:pPr>
      <w:r w:rsidRPr="00321B46">
        <w:rPr>
          <w:i/>
          <w:iCs/>
        </w:rPr>
        <w:t>INCI</w:t>
      </w:r>
      <w:r w:rsidRPr="00321B46">
        <w:rPr>
          <w:i/>
          <w:iCs/>
          <w:vertAlign w:val="subscript"/>
        </w:rPr>
        <w:t>j,t</w:t>
      </w:r>
      <w:r w:rsidRPr="00321B46">
        <w:t>:</w:t>
      </w:r>
      <w:r w:rsidRPr="00321B46">
        <w:tab/>
        <w:t xml:space="preserve">Ingreso anual por incentivos asociados con la eficiencia en las inversiones del TN </w:t>
      </w:r>
      <w:r w:rsidRPr="00321B46">
        <w:rPr>
          <w:i/>
        </w:rPr>
        <w:t>j</w:t>
      </w:r>
      <w:r w:rsidRPr="00321B46">
        <w:rPr>
          <w:iCs/>
        </w:rPr>
        <w:t>,</w:t>
      </w:r>
      <w:r w:rsidRPr="00321B46">
        <w:t xml:space="preserve"> en el año </w:t>
      </w:r>
      <w:r w:rsidRPr="00321B46">
        <w:rPr>
          <w:i/>
        </w:rPr>
        <w:t>t.</w:t>
      </w:r>
    </w:p>
    <w:p w14:paraId="6CB725A1" w14:textId="7481A690" w:rsidR="009954EA" w:rsidRPr="00321B46" w:rsidRDefault="009954EA" w:rsidP="008F49B0">
      <w:pPr>
        <w:ind w:left="1410" w:hanging="1410"/>
        <w:rPr>
          <w:rFonts w:cs="Arial"/>
          <w:lang w:val="es-ES_tradnl"/>
        </w:rPr>
      </w:pPr>
      <w:r w:rsidRPr="00321B46">
        <w:rPr>
          <w:rFonts w:cs="Arial"/>
          <w:i/>
          <w:lang w:val="es-ES_tradnl"/>
        </w:rPr>
        <w:t>INVR</w:t>
      </w:r>
      <w:r w:rsidRPr="00321B46">
        <w:rPr>
          <w:rFonts w:cs="Arial"/>
          <w:i/>
          <w:vertAlign w:val="subscript"/>
          <w:lang w:val="es-ES_tradnl"/>
        </w:rPr>
        <w:t>j,t</w:t>
      </w:r>
      <w:r w:rsidRPr="00321B46">
        <w:rPr>
          <w:rFonts w:cs="Arial"/>
          <w:lang w:val="es-ES_tradnl"/>
        </w:rPr>
        <w:t>:</w:t>
      </w:r>
      <w:r w:rsidRPr="00321B46">
        <w:rPr>
          <w:rFonts w:cs="Arial"/>
          <w:lang w:val="es-ES_tradnl"/>
        </w:rPr>
        <w:tab/>
        <w:t xml:space="preserve">Inversiones de referencia del </w:t>
      </w:r>
      <w:r w:rsidR="008F49B0" w:rsidRPr="00321B46">
        <w:rPr>
          <w:rFonts w:cs="Arial"/>
          <w:lang w:val="es-ES_tradnl"/>
        </w:rPr>
        <w:t>TN</w:t>
      </w:r>
      <w:r w:rsidRPr="00321B46">
        <w:rPr>
          <w:rFonts w:cs="Arial"/>
          <w:lang w:val="es-ES_tradnl"/>
        </w:rPr>
        <w:t xml:space="preserve"> </w:t>
      </w:r>
      <w:r w:rsidRPr="00321B46">
        <w:rPr>
          <w:rFonts w:cs="Arial"/>
          <w:i/>
          <w:lang w:val="es-ES_tradnl"/>
        </w:rPr>
        <w:t>j,</w:t>
      </w:r>
      <w:r w:rsidRPr="00321B46">
        <w:rPr>
          <w:rFonts w:cs="Arial"/>
          <w:lang w:val="es-ES_tradnl"/>
        </w:rPr>
        <w:t xml:space="preserve"> para </w:t>
      </w:r>
      <w:r w:rsidRPr="00321B46">
        <w:rPr>
          <w:lang w:val="es-ES_tradnl"/>
        </w:rPr>
        <w:t xml:space="preserve">el año </w:t>
      </w:r>
      <w:r w:rsidRPr="00321B46">
        <w:rPr>
          <w:i/>
          <w:lang w:val="es-ES_tradnl"/>
        </w:rPr>
        <w:t>t</w:t>
      </w:r>
      <w:r w:rsidRPr="00321B46">
        <w:rPr>
          <w:rFonts w:cs="Arial"/>
          <w:lang w:val="es-ES_tradnl"/>
        </w:rPr>
        <w:t>.</w:t>
      </w:r>
      <w:r w:rsidR="008F49B0" w:rsidRPr="00321B46">
        <w:rPr>
          <w:rFonts w:cs="Arial"/>
          <w:lang w:val="es-ES_tradnl"/>
        </w:rPr>
        <w:t xml:space="preserve"> Según lo establecido en el numeral </w:t>
      </w:r>
      <w:r w:rsidR="008F49B0" w:rsidRPr="00321B46">
        <w:rPr>
          <w:rFonts w:cs="Arial"/>
          <w:lang w:val="es-ES_tradnl"/>
        </w:rPr>
        <w:fldChar w:fldCharType="begin"/>
      </w:r>
      <w:r w:rsidR="008F49B0" w:rsidRPr="00321B46">
        <w:rPr>
          <w:rFonts w:cs="Arial"/>
          <w:lang w:val="es-ES_tradnl"/>
        </w:rPr>
        <w:instrText xml:space="preserve"> REF _Ref444766586 \r \h </w:instrText>
      </w:r>
      <w:r w:rsidR="003276B5" w:rsidRPr="00321B46">
        <w:rPr>
          <w:rFonts w:cs="Arial"/>
          <w:lang w:val="es-ES_tradnl"/>
        </w:rPr>
        <w:instrText xml:space="preserve"> \* MERGEFORMAT </w:instrText>
      </w:r>
      <w:r w:rsidR="008F49B0" w:rsidRPr="00321B46">
        <w:rPr>
          <w:rFonts w:cs="Arial"/>
          <w:lang w:val="es-ES_tradnl"/>
        </w:rPr>
      </w:r>
      <w:r w:rsidR="008F49B0" w:rsidRPr="00321B46">
        <w:rPr>
          <w:rFonts w:cs="Arial"/>
          <w:lang w:val="es-ES_tradnl"/>
        </w:rPr>
        <w:fldChar w:fldCharType="separate"/>
      </w:r>
      <w:r w:rsidR="000F355F">
        <w:rPr>
          <w:rFonts w:cs="Arial"/>
          <w:lang w:val="es-ES_tradnl"/>
        </w:rPr>
        <w:t>4.3.1.2</w:t>
      </w:r>
      <w:r w:rsidR="008F49B0" w:rsidRPr="00321B46">
        <w:rPr>
          <w:rFonts w:cs="Arial"/>
          <w:lang w:val="es-ES_tradnl"/>
        </w:rPr>
        <w:fldChar w:fldCharType="end"/>
      </w:r>
      <w:r w:rsidR="008F49B0" w:rsidRPr="00321B46">
        <w:rPr>
          <w:rFonts w:cs="Arial"/>
          <w:lang w:val="es-ES_tradnl"/>
        </w:rPr>
        <w:t>.</w:t>
      </w:r>
    </w:p>
    <w:p w14:paraId="25E317AC" w14:textId="1301F902" w:rsidR="009954EA" w:rsidRPr="00321B46" w:rsidRDefault="009954EA" w:rsidP="008F49B0">
      <w:pPr>
        <w:ind w:left="1410" w:hanging="1410"/>
        <w:rPr>
          <w:rFonts w:cs="Arial"/>
          <w:lang w:val="es-ES_tradnl"/>
        </w:rPr>
      </w:pPr>
      <w:r w:rsidRPr="00321B46">
        <w:rPr>
          <w:rFonts w:cs="Arial"/>
          <w:i/>
          <w:lang w:val="es-ES_tradnl"/>
        </w:rPr>
        <w:t xml:space="preserve">INCAI </w:t>
      </w:r>
      <w:r w:rsidRPr="00321B46">
        <w:rPr>
          <w:rFonts w:cs="Arial"/>
          <w:i/>
          <w:vertAlign w:val="subscript"/>
          <w:lang w:val="es-ES_tradnl"/>
        </w:rPr>
        <w:t>j,t</w:t>
      </w:r>
      <w:r w:rsidRPr="00321B46">
        <w:rPr>
          <w:rFonts w:cs="Arial"/>
          <w:lang w:val="es-ES_tradnl"/>
        </w:rPr>
        <w:t>:</w:t>
      </w:r>
      <w:r w:rsidRPr="00321B46">
        <w:rPr>
          <w:rFonts w:cs="Arial"/>
          <w:lang w:val="es-ES_tradnl"/>
        </w:rPr>
        <w:tab/>
      </w:r>
      <w:r w:rsidRPr="00321B46">
        <w:rPr>
          <w:rFonts w:cs="Arial"/>
          <w:lang w:val="es-ES_tradnl"/>
        </w:rPr>
        <w:tab/>
      </w:r>
      <w:r w:rsidRPr="00321B46">
        <w:rPr>
          <w:lang w:val="es-ES_tradnl"/>
        </w:rPr>
        <w:t xml:space="preserve">Incentivo por eficiencia alcanzado </w:t>
      </w:r>
      <w:r w:rsidR="007357A4" w:rsidRPr="00321B46">
        <w:rPr>
          <w:lang w:val="es-ES_tradnl"/>
        </w:rPr>
        <w:t xml:space="preserve">por eficiencia </w:t>
      </w:r>
      <w:r w:rsidRPr="00321B46">
        <w:rPr>
          <w:lang w:val="es-ES_tradnl"/>
        </w:rPr>
        <w:t xml:space="preserve">en inversiones por el </w:t>
      </w:r>
      <w:r w:rsidR="008F49B0" w:rsidRPr="00321B46">
        <w:rPr>
          <w:lang w:val="es-ES_tradnl"/>
        </w:rPr>
        <w:t>TN</w:t>
      </w:r>
      <w:r w:rsidRPr="00321B46">
        <w:rPr>
          <w:lang w:val="es-ES_tradnl"/>
        </w:rPr>
        <w:t xml:space="preserve"> </w:t>
      </w:r>
      <w:r w:rsidRPr="00321B46">
        <w:rPr>
          <w:i/>
          <w:lang w:val="es-ES_tradnl"/>
        </w:rPr>
        <w:t>j</w:t>
      </w:r>
      <w:r w:rsidRPr="00321B46">
        <w:rPr>
          <w:lang w:val="es-ES_tradnl"/>
        </w:rPr>
        <w:t xml:space="preserve"> en el año </w:t>
      </w:r>
      <w:r w:rsidRPr="00321B46">
        <w:rPr>
          <w:i/>
          <w:lang w:val="es-ES_tradnl"/>
        </w:rPr>
        <w:t>t</w:t>
      </w:r>
      <w:r w:rsidR="00A475D8" w:rsidRPr="00321B46">
        <w:rPr>
          <w:lang w:val="es-ES_tradnl"/>
        </w:rPr>
        <w:t>, tomado</w:t>
      </w:r>
      <w:r w:rsidR="007357A4" w:rsidRPr="00321B46">
        <w:rPr>
          <w:rFonts w:cs="Arial"/>
          <w:lang w:val="es-ES_tradnl"/>
        </w:rPr>
        <w:t xml:space="preserve"> de la </w:t>
      </w:r>
      <w:r w:rsidR="007357A4" w:rsidRPr="00321B46">
        <w:fldChar w:fldCharType="begin"/>
      </w:r>
      <w:r w:rsidR="007357A4" w:rsidRPr="00321B46">
        <w:instrText xml:space="preserve"> REF _Ref460935472 \h </w:instrText>
      </w:r>
      <w:r w:rsidR="00321B46">
        <w:instrText xml:space="preserve"> \* MERGEFORMAT </w:instrText>
      </w:r>
      <w:r w:rsidR="007357A4" w:rsidRPr="00321B46">
        <w:fldChar w:fldCharType="separate"/>
      </w:r>
      <w:r w:rsidR="000F355F" w:rsidRPr="00321B46">
        <w:t xml:space="preserve">Tabla </w:t>
      </w:r>
      <w:r w:rsidR="000F355F">
        <w:rPr>
          <w:noProof/>
        </w:rPr>
        <w:t>3</w:t>
      </w:r>
      <w:r w:rsidR="007357A4" w:rsidRPr="00321B46">
        <w:fldChar w:fldCharType="end"/>
      </w:r>
      <w:r w:rsidRPr="00321B46">
        <w:rPr>
          <w:rFonts w:cs="Arial"/>
          <w:lang w:val="es-ES_tradnl"/>
        </w:rPr>
        <w:t>.</w:t>
      </w:r>
    </w:p>
    <w:p w14:paraId="6D639C96" w14:textId="77777777" w:rsidR="00A6140C" w:rsidRPr="00321B46" w:rsidRDefault="00A6140C" w:rsidP="00BF7220">
      <w:pPr>
        <w:pStyle w:val="Ttulo2"/>
      </w:pPr>
      <w:bookmarkStart w:id="212" w:name="_Toc466392640"/>
      <w:r w:rsidRPr="00321B46">
        <w:t>Incentivos por eficiencia en AOM</w:t>
      </w:r>
      <w:bookmarkEnd w:id="212"/>
    </w:p>
    <w:p w14:paraId="217B07C0" w14:textId="7613CC9F" w:rsidR="00A6140C" w:rsidRPr="00321B46" w:rsidRDefault="00A6140C" w:rsidP="00A6140C">
      <w:pPr>
        <w:rPr>
          <w:lang w:val="es-ES_tradnl"/>
        </w:rPr>
      </w:pPr>
      <w:r w:rsidRPr="00321B46">
        <w:t xml:space="preserve">El </w:t>
      </w:r>
      <w:r w:rsidR="00A475D8" w:rsidRPr="00321B46">
        <w:t xml:space="preserve">valor del </w:t>
      </w:r>
      <w:r w:rsidRPr="00321B46">
        <w:t xml:space="preserve">incentivo </w:t>
      </w:r>
      <w:r w:rsidR="00A475D8" w:rsidRPr="00321B46">
        <w:t xml:space="preserve">alcanzado, </w:t>
      </w:r>
      <w:r w:rsidRPr="00321B46">
        <w:t>asociado con la eficiencia en los gastos de administración, operación y mantenimiento</w:t>
      </w:r>
      <w:r w:rsidR="00A475D8" w:rsidRPr="00321B46">
        <w:t>,</w:t>
      </w:r>
      <w:r w:rsidRPr="00321B46">
        <w:t xml:space="preserve"> se </w:t>
      </w:r>
      <w:r w:rsidRPr="00321B46">
        <w:rPr>
          <w:lang w:val="es-ES_tradnl"/>
        </w:rPr>
        <w:t xml:space="preserve">calcula de la siguiente manera: </w:t>
      </w:r>
    </w:p>
    <w:p w14:paraId="07E521E7" w14:textId="47C72F49" w:rsidR="00A6140C" w:rsidRPr="00321B46" w:rsidRDefault="00651802" w:rsidP="00A6140C">
      <w:pPr>
        <w:rPr>
          <w:lang w:val="es-ES_tradnl"/>
        </w:rPr>
      </w:pPr>
      <m:oMathPara>
        <m:oMath>
          <m:sSub>
            <m:sSubPr>
              <m:ctrlPr>
                <w:rPr>
                  <w:rFonts w:ascii="Cambria Math" w:hAnsi="Cambria Math"/>
                  <w:i/>
                  <w:lang w:val="es-ES_tradnl"/>
                </w:rPr>
              </m:ctrlPr>
            </m:sSubPr>
            <m:e>
              <m:r>
                <w:rPr>
                  <w:rFonts w:ascii="Cambria Math" w:hAnsi="Cambria Math"/>
                  <w:lang w:val="es-ES_tradnl"/>
                </w:rPr>
                <m:t xml:space="preserve">INCG </m:t>
              </m:r>
            </m:e>
            <m:sub>
              <m:r>
                <w:rPr>
                  <w:rFonts w:ascii="Cambria Math" w:hAnsi="Cambria Math"/>
                  <w:lang w:val="es-ES_tradnl"/>
                </w:rPr>
                <m:t>j,t</m:t>
              </m:r>
            </m:sub>
          </m:sSub>
          <m:r>
            <w:rPr>
              <w:rFonts w:ascii="Cambria Math" w:hAnsi="Cambria Math"/>
              <w:lang w:val="es-ES_tradnl"/>
            </w:rPr>
            <m:t>=</m:t>
          </m:r>
          <m:d>
            <m:dPr>
              <m:ctrlPr>
                <w:rPr>
                  <w:rFonts w:ascii="Cambria Math" w:hAnsi="Cambria Math"/>
                  <w:i/>
                  <w:lang w:val="es-ES_tradnl"/>
                </w:rPr>
              </m:ctrlPr>
            </m:dPr>
            <m:e>
              <m:sSub>
                <m:sSubPr>
                  <m:ctrlPr>
                    <w:rPr>
                      <w:rFonts w:ascii="Cambria Math" w:hAnsi="Cambria Math"/>
                      <w:i/>
                    </w:rPr>
                  </m:ctrlPr>
                </m:sSubPr>
                <m:e>
                  <m:r>
                    <w:rPr>
                      <w:rFonts w:ascii="Cambria Math" w:hAnsi="Cambria Math"/>
                    </w:rPr>
                    <m:t>AOMbase</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AOMNI</m:t>
                  </m:r>
                </m:e>
                <m:sub>
                  <m:r>
                    <w:rPr>
                      <w:rFonts w:ascii="Cambria Math" w:hAnsi="Cambria Math"/>
                    </w:rPr>
                    <m:t>j,t</m:t>
                  </m:r>
                </m:sub>
              </m:sSub>
            </m:e>
          </m:d>
          <m:r>
            <w:rPr>
              <w:rFonts w:ascii="Cambria Math" w:hAnsi="Cambria Math"/>
              <w:lang w:val="es-ES_tradnl"/>
            </w:rPr>
            <m:t>*</m:t>
          </m:r>
          <m:sSub>
            <m:sSubPr>
              <m:ctrlPr>
                <w:rPr>
                  <w:rFonts w:ascii="Cambria Math" w:hAnsi="Cambria Math"/>
                  <w:i/>
                  <w:lang w:val="es-ES_tradnl"/>
                </w:rPr>
              </m:ctrlPr>
            </m:sSubPr>
            <m:e>
              <m:r>
                <w:rPr>
                  <w:rFonts w:ascii="Cambria Math" w:hAnsi="Cambria Math"/>
                  <w:lang w:val="es-ES_tradnl"/>
                </w:rPr>
                <m:t>INCAG</m:t>
              </m:r>
            </m:e>
            <m:sub>
              <m:r>
                <w:rPr>
                  <w:rFonts w:ascii="Cambria Math" w:hAnsi="Cambria Math"/>
                  <w:lang w:val="es-ES_tradnl"/>
                </w:rPr>
                <m:t>j,t</m:t>
              </m:r>
            </m:sub>
          </m:sSub>
        </m:oMath>
      </m:oMathPara>
    </w:p>
    <w:p w14:paraId="7C524387" w14:textId="77777777" w:rsidR="00A6140C" w:rsidRPr="00321B46" w:rsidRDefault="00A6140C" w:rsidP="00A6140C">
      <w:pPr>
        <w:rPr>
          <w:lang w:val="es-ES_tradnl"/>
        </w:rPr>
      </w:pPr>
      <w:r w:rsidRPr="00321B46">
        <w:rPr>
          <w:lang w:val="es-ES_tradnl"/>
        </w:rPr>
        <w:t>Donde:</w:t>
      </w:r>
    </w:p>
    <w:p w14:paraId="7AF57D1D" w14:textId="77777777" w:rsidR="00A6140C" w:rsidRPr="00321B46" w:rsidRDefault="00A6140C" w:rsidP="007B75F9">
      <w:pPr>
        <w:ind w:left="1418" w:hanging="1418"/>
        <w:rPr>
          <w:rFonts w:cs="Arial"/>
          <w:i/>
          <w:lang w:val="es-ES_tradnl"/>
        </w:rPr>
      </w:pPr>
      <w:r w:rsidRPr="00321B46">
        <w:rPr>
          <w:i/>
          <w:iCs/>
        </w:rPr>
        <w:t>INCG</w:t>
      </w:r>
      <w:r w:rsidRPr="00321B46">
        <w:rPr>
          <w:i/>
          <w:iCs/>
          <w:vertAlign w:val="subscript"/>
        </w:rPr>
        <w:t>j,t</w:t>
      </w:r>
      <w:r w:rsidRPr="00321B46">
        <w:t>:</w:t>
      </w:r>
      <w:r w:rsidRPr="00321B46">
        <w:tab/>
        <w:t>Ingreso anual por incentivos asociados con la eficiencia en los gastos de administración, operación y mantenimiento</w:t>
      </w:r>
      <w:r w:rsidRPr="00321B46">
        <w:rPr>
          <w:i/>
          <w:iCs/>
        </w:rPr>
        <w:t xml:space="preserve"> </w:t>
      </w:r>
      <w:r w:rsidRPr="00321B46">
        <w:rPr>
          <w:iCs/>
        </w:rPr>
        <w:t>del</w:t>
      </w:r>
      <w:r w:rsidRPr="00321B46">
        <w:rPr>
          <w:i/>
          <w:iCs/>
        </w:rPr>
        <w:t xml:space="preserve"> </w:t>
      </w:r>
      <w:r w:rsidRPr="00321B46">
        <w:t xml:space="preserve">TN </w:t>
      </w:r>
      <w:r w:rsidRPr="00321B46">
        <w:rPr>
          <w:i/>
          <w:iCs/>
        </w:rPr>
        <w:t>j</w:t>
      </w:r>
      <w:r w:rsidRPr="00321B46">
        <w:t xml:space="preserve"> en el año </w:t>
      </w:r>
      <w:r w:rsidRPr="00321B46">
        <w:rPr>
          <w:i/>
        </w:rPr>
        <w:t>t.</w:t>
      </w:r>
    </w:p>
    <w:p w14:paraId="1C3B0AF5" w14:textId="77777777" w:rsidR="007B75F9" w:rsidRPr="00321B46" w:rsidRDefault="007B75F9" w:rsidP="007B75F9">
      <w:pPr>
        <w:ind w:left="1418" w:hanging="1418"/>
        <w:rPr>
          <w:lang w:val="es-MX"/>
        </w:rPr>
      </w:pPr>
      <w:r w:rsidRPr="00321B46">
        <w:rPr>
          <w:i/>
        </w:rPr>
        <w:t>AOMbase</w:t>
      </w:r>
      <w:r w:rsidRPr="00321B46">
        <w:rPr>
          <w:i/>
          <w:vertAlign w:val="subscript"/>
        </w:rPr>
        <w:t>j,t</w:t>
      </w:r>
      <w:r w:rsidRPr="00321B46">
        <w:rPr>
          <w:lang w:val="es-MX"/>
        </w:rPr>
        <w:t>:</w:t>
      </w:r>
      <w:r w:rsidRPr="00321B46">
        <w:rPr>
          <w:lang w:val="es-MX"/>
        </w:rPr>
        <w:tab/>
        <w:t xml:space="preserve">Valor del AOM base del TN </w:t>
      </w:r>
      <w:r w:rsidRPr="00321B46">
        <w:rPr>
          <w:i/>
          <w:lang w:val="es-MX"/>
        </w:rPr>
        <w:t>j</w:t>
      </w:r>
      <w:r w:rsidRPr="00321B46">
        <w:rPr>
          <w:lang w:val="es-MX"/>
        </w:rPr>
        <w:t xml:space="preserve">, para el año </w:t>
      </w:r>
      <w:r w:rsidRPr="00321B46">
        <w:rPr>
          <w:i/>
          <w:lang w:val="es-MX"/>
        </w:rPr>
        <w:t>t</w:t>
      </w:r>
      <w:r w:rsidRPr="00321B46">
        <w:rPr>
          <w:lang w:val="es-MX"/>
        </w:rPr>
        <w:t xml:space="preserve">, calculado de acuerdo con lo previsto en el numeral </w:t>
      </w:r>
      <w:r w:rsidRPr="00321B46">
        <w:rPr>
          <w:lang w:val="es-MX"/>
        </w:rPr>
        <w:fldChar w:fldCharType="begin"/>
      </w:r>
      <w:r w:rsidRPr="00321B46">
        <w:rPr>
          <w:lang w:val="es-MX"/>
        </w:rPr>
        <w:instrText xml:space="preserve"> REF _Ref408428063 \r \h  \* MERGEFORMAT </w:instrText>
      </w:r>
      <w:r w:rsidRPr="00321B46">
        <w:rPr>
          <w:lang w:val="es-MX"/>
        </w:rPr>
      </w:r>
      <w:r w:rsidRPr="00321B46">
        <w:rPr>
          <w:lang w:val="es-MX"/>
        </w:rPr>
        <w:fldChar w:fldCharType="separate"/>
      </w:r>
      <w:r w:rsidR="000F355F">
        <w:rPr>
          <w:lang w:val="es-MX"/>
        </w:rPr>
        <w:t>3.2</w:t>
      </w:r>
      <w:r w:rsidRPr="00321B46">
        <w:rPr>
          <w:lang w:val="es-MX"/>
        </w:rPr>
        <w:fldChar w:fldCharType="end"/>
      </w:r>
      <w:r w:rsidRPr="00321B46">
        <w:rPr>
          <w:lang w:val="es-MX"/>
        </w:rPr>
        <w:t>, expresado en pesos de la fecha de corte.</w:t>
      </w:r>
    </w:p>
    <w:p w14:paraId="202013C0" w14:textId="77777777" w:rsidR="007B75F9" w:rsidRPr="00321B46" w:rsidRDefault="007B75F9" w:rsidP="007B75F9">
      <w:pPr>
        <w:ind w:left="1418" w:hanging="1418"/>
        <w:rPr>
          <w:lang w:val="es-MX"/>
        </w:rPr>
      </w:pPr>
      <w:r w:rsidRPr="00321B46">
        <w:rPr>
          <w:i/>
          <w:lang w:val="es-MX"/>
        </w:rPr>
        <w:t>AOMNI</w:t>
      </w:r>
      <w:r w:rsidRPr="00321B46">
        <w:rPr>
          <w:i/>
          <w:vertAlign w:val="subscript"/>
          <w:lang w:val="es-MX"/>
        </w:rPr>
        <w:t>j,t</w:t>
      </w:r>
      <w:r w:rsidRPr="00321B46">
        <w:rPr>
          <w:lang w:val="es-MX"/>
        </w:rPr>
        <w:t>:</w:t>
      </w:r>
      <w:r w:rsidRPr="00321B46">
        <w:rPr>
          <w:lang w:val="es-MX"/>
        </w:rPr>
        <w:tab/>
        <w:t xml:space="preserve">Valor del AOM para nuevas inversiones, diferentes a reposición, del TN </w:t>
      </w:r>
      <w:r w:rsidRPr="00321B46">
        <w:rPr>
          <w:i/>
          <w:lang w:val="es-MX"/>
        </w:rPr>
        <w:t>j</w:t>
      </w:r>
      <w:r w:rsidRPr="00321B46">
        <w:rPr>
          <w:lang w:val="es-MX"/>
        </w:rPr>
        <w:t xml:space="preserve">, para el año </w:t>
      </w:r>
      <w:r w:rsidRPr="00321B46">
        <w:rPr>
          <w:i/>
          <w:lang w:val="es-MX"/>
        </w:rPr>
        <w:t>t</w:t>
      </w:r>
      <w:r w:rsidRPr="00321B46">
        <w:rPr>
          <w:lang w:val="es-MX"/>
        </w:rPr>
        <w:t xml:space="preserve">, calculado de acuerdo con lo previsto en el numeral </w:t>
      </w:r>
      <w:r w:rsidRPr="00321B46">
        <w:rPr>
          <w:lang w:val="es-MX"/>
        </w:rPr>
        <w:fldChar w:fldCharType="begin"/>
      </w:r>
      <w:r w:rsidRPr="00321B46">
        <w:rPr>
          <w:lang w:val="es-MX"/>
        </w:rPr>
        <w:instrText xml:space="preserve"> REF _Ref403576479 \r \h  \* MERGEFORMAT </w:instrText>
      </w:r>
      <w:r w:rsidRPr="00321B46">
        <w:rPr>
          <w:lang w:val="es-MX"/>
        </w:rPr>
      </w:r>
      <w:r w:rsidRPr="00321B46">
        <w:rPr>
          <w:lang w:val="es-MX"/>
        </w:rPr>
        <w:fldChar w:fldCharType="separate"/>
      </w:r>
      <w:r w:rsidR="000F355F">
        <w:rPr>
          <w:lang w:val="es-MX"/>
        </w:rPr>
        <w:t>3.2.4</w:t>
      </w:r>
      <w:r w:rsidRPr="00321B46">
        <w:rPr>
          <w:lang w:val="es-MX"/>
        </w:rPr>
        <w:fldChar w:fldCharType="end"/>
      </w:r>
      <w:r w:rsidRPr="00321B46">
        <w:rPr>
          <w:lang w:val="es-MX"/>
        </w:rPr>
        <w:t>, expresado en pesos de la fecha de corte.</w:t>
      </w:r>
    </w:p>
    <w:p w14:paraId="0C101E1F" w14:textId="4DBA7FFE" w:rsidR="00A6140C" w:rsidRPr="00321B46" w:rsidRDefault="00A6140C" w:rsidP="007B75F9">
      <w:pPr>
        <w:ind w:left="1418" w:hanging="1418"/>
        <w:rPr>
          <w:i/>
          <w:lang w:val="es-ES_tradnl"/>
        </w:rPr>
      </w:pPr>
      <w:r w:rsidRPr="00321B46">
        <w:rPr>
          <w:rFonts w:cs="Arial"/>
          <w:i/>
          <w:lang w:val="es-ES_tradnl"/>
        </w:rPr>
        <w:t>INCAG</w:t>
      </w:r>
      <w:r w:rsidRPr="00321B46">
        <w:rPr>
          <w:rFonts w:cs="Arial"/>
          <w:i/>
          <w:vertAlign w:val="subscript"/>
          <w:lang w:val="es-ES_tradnl"/>
        </w:rPr>
        <w:t>j,t</w:t>
      </w:r>
      <w:r w:rsidRPr="00321B46">
        <w:rPr>
          <w:rFonts w:cs="Arial"/>
          <w:lang w:val="es-ES_tradnl"/>
        </w:rPr>
        <w:t>:</w:t>
      </w:r>
      <w:r w:rsidRPr="00321B46">
        <w:rPr>
          <w:rFonts w:cs="Arial"/>
          <w:lang w:val="es-ES_tradnl"/>
        </w:rPr>
        <w:tab/>
      </w:r>
      <w:r w:rsidRPr="00321B46">
        <w:rPr>
          <w:lang w:val="es-ES_tradnl"/>
        </w:rPr>
        <w:t xml:space="preserve">Incentivo alcanzado por eficiencia en gastos de AOM del TN </w:t>
      </w:r>
      <w:r w:rsidRPr="00321B46">
        <w:rPr>
          <w:i/>
          <w:lang w:val="es-ES_tradnl"/>
        </w:rPr>
        <w:t>j</w:t>
      </w:r>
      <w:r w:rsidRPr="00321B46">
        <w:rPr>
          <w:lang w:val="es-ES_tradnl"/>
        </w:rPr>
        <w:t xml:space="preserve"> en el año </w:t>
      </w:r>
      <w:r w:rsidRPr="00321B46">
        <w:rPr>
          <w:i/>
          <w:lang w:val="es-ES_tradnl"/>
        </w:rPr>
        <w:t>t</w:t>
      </w:r>
      <w:r w:rsidR="00A475D8" w:rsidRPr="00321B46">
        <w:rPr>
          <w:lang w:val="es-ES_tradnl"/>
        </w:rPr>
        <w:t>, tomado</w:t>
      </w:r>
      <w:r w:rsidR="000F535D" w:rsidRPr="00321B46">
        <w:rPr>
          <w:rFonts w:cs="Arial"/>
          <w:lang w:val="es-ES_tradnl"/>
        </w:rPr>
        <w:t xml:space="preserve"> de la </w:t>
      </w:r>
      <w:r w:rsidR="000F535D" w:rsidRPr="00321B46">
        <w:fldChar w:fldCharType="begin"/>
      </w:r>
      <w:r w:rsidR="000F535D" w:rsidRPr="00321B46">
        <w:instrText xml:space="preserve"> REF _Ref460935472 \h </w:instrText>
      </w:r>
      <w:r w:rsidR="00321B46">
        <w:instrText xml:space="preserve"> \* MERGEFORMAT </w:instrText>
      </w:r>
      <w:r w:rsidR="000F535D" w:rsidRPr="00321B46">
        <w:fldChar w:fldCharType="separate"/>
      </w:r>
      <w:r w:rsidR="000F355F" w:rsidRPr="00321B46">
        <w:t xml:space="preserve">Tabla </w:t>
      </w:r>
      <w:r w:rsidR="000F355F">
        <w:rPr>
          <w:noProof/>
        </w:rPr>
        <w:t>3</w:t>
      </w:r>
      <w:r w:rsidR="000F535D" w:rsidRPr="00321B46">
        <w:fldChar w:fldCharType="end"/>
      </w:r>
      <w:r w:rsidR="000F535D" w:rsidRPr="00321B46">
        <w:rPr>
          <w:rFonts w:cs="Arial"/>
          <w:lang w:val="es-ES_tradnl"/>
        </w:rPr>
        <w:t>.</w:t>
      </w:r>
    </w:p>
    <w:p w14:paraId="47C7B567" w14:textId="173A7293" w:rsidR="000F535D" w:rsidRPr="00321B46" w:rsidRDefault="000F535D" w:rsidP="00BF7220">
      <w:pPr>
        <w:pStyle w:val="Ttulo2"/>
      </w:pPr>
      <w:bookmarkStart w:id="213" w:name="_Toc461112201"/>
      <w:bookmarkStart w:id="214" w:name="_Toc461114677"/>
      <w:bookmarkStart w:id="215" w:name="_Toc466392641"/>
      <w:r w:rsidRPr="00321B46">
        <w:t>Ajuste por incentivo alcanzado</w:t>
      </w:r>
      <w:bookmarkEnd w:id="213"/>
      <w:bookmarkEnd w:id="214"/>
      <w:bookmarkEnd w:id="215"/>
      <w:r w:rsidRPr="00321B46">
        <w:t xml:space="preserve"> </w:t>
      </w:r>
    </w:p>
    <w:p w14:paraId="53870B4E" w14:textId="07F1AF4A" w:rsidR="000F535D" w:rsidRPr="00321B46" w:rsidRDefault="000F535D" w:rsidP="000F535D">
      <w:r w:rsidRPr="00321B46">
        <w:t xml:space="preserve">Los ingresos por inversiones y gastos del TN </w:t>
      </w:r>
      <w:r w:rsidR="00A475D8" w:rsidRPr="00321B46">
        <w:t>se ajustan</w:t>
      </w:r>
      <w:r w:rsidRPr="00321B46">
        <w:t xml:space="preserve"> considerando lo siguiente:</w:t>
      </w:r>
    </w:p>
    <w:p w14:paraId="0B7D965C" w14:textId="5DDE697F" w:rsidR="00A475D8" w:rsidRPr="00321B46" w:rsidRDefault="00A475D8" w:rsidP="00A475D8">
      <w:pPr>
        <w:pStyle w:val="Prrafodelista"/>
        <w:numPr>
          <w:ilvl w:val="0"/>
          <w:numId w:val="60"/>
        </w:numPr>
      </w:pPr>
      <w:bookmarkStart w:id="216" w:name="_Ref461108573"/>
      <w:r w:rsidRPr="00321B46">
        <w:t xml:space="preserve">Los ingresos recibidos por el TN por inversiones o gastos en un año se obtienen a partir de los valores de referencia, estos ingresos pueden ser mayores o menores a los ingresos a reconocer al TN en función del nivel de eficiencia en la ejecución. </w:t>
      </w:r>
    </w:p>
    <w:p w14:paraId="16861F2B" w14:textId="65B6D4BB" w:rsidR="000F535D" w:rsidRPr="00321B46" w:rsidRDefault="00A475D8" w:rsidP="000F535D">
      <w:pPr>
        <w:pStyle w:val="Prrafodelista"/>
        <w:numPr>
          <w:ilvl w:val="0"/>
          <w:numId w:val="60"/>
        </w:numPr>
      </w:pPr>
      <w:r w:rsidRPr="00321B46">
        <w:t>El incentivo alcanzado se calcula con base en el desempeño del año anterior y se incorpora en los ingresos del año de cálculo</w:t>
      </w:r>
      <w:bookmarkEnd w:id="216"/>
      <w:r w:rsidR="000F535D" w:rsidRPr="00321B46">
        <w:t xml:space="preserve">. </w:t>
      </w:r>
    </w:p>
    <w:p w14:paraId="326661CE" w14:textId="66BDBCDF" w:rsidR="000F535D" w:rsidRPr="00321B46" w:rsidRDefault="000F535D" w:rsidP="000F535D">
      <w:pPr>
        <w:pStyle w:val="Prrafodelista"/>
        <w:numPr>
          <w:ilvl w:val="0"/>
          <w:numId w:val="60"/>
        </w:numPr>
      </w:pPr>
      <w:r w:rsidRPr="00321B46">
        <w:t xml:space="preserve">Cuando las inversiones o gastos ejecutados en </w:t>
      </w:r>
      <w:r w:rsidR="00A475D8" w:rsidRPr="00321B46">
        <w:t xml:space="preserve">un </w:t>
      </w:r>
      <w:r w:rsidRPr="00321B46">
        <w:t xml:space="preserve">año son menores </w:t>
      </w:r>
      <w:r w:rsidR="00A475D8" w:rsidRPr="00321B46">
        <w:t xml:space="preserve">que </w:t>
      </w:r>
      <w:r w:rsidRPr="00321B46">
        <w:t xml:space="preserve">los </w:t>
      </w:r>
      <w:r w:rsidR="00A475D8" w:rsidRPr="00321B46">
        <w:t xml:space="preserve">valores </w:t>
      </w:r>
      <w:r w:rsidRPr="00321B46">
        <w:t xml:space="preserve">de referencia del mismo año, el ingreso </w:t>
      </w:r>
      <w:r w:rsidR="00A475D8" w:rsidRPr="00321B46">
        <w:t>recibido es mayor que el ingreso a</w:t>
      </w:r>
      <w:r w:rsidRPr="00321B46">
        <w:t xml:space="preserve"> reconocer, por lo cual, para el siguiente </w:t>
      </w:r>
      <w:r w:rsidR="003B67A1" w:rsidRPr="00321B46">
        <w:t xml:space="preserve">año </w:t>
      </w:r>
      <w:r w:rsidRPr="00321B46">
        <w:t>debe descontarse la diferencia entre</w:t>
      </w:r>
      <w:r w:rsidR="003B67A1" w:rsidRPr="00321B46">
        <w:t>:</w:t>
      </w:r>
      <w:r w:rsidRPr="00321B46">
        <w:t xml:space="preserve"> </w:t>
      </w:r>
      <w:r w:rsidR="003B67A1" w:rsidRPr="00321B46">
        <w:t xml:space="preserve">i) </w:t>
      </w:r>
      <w:r w:rsidRPr="00321B46">
        <w:t xml:space="preserve">las inversiones o gastos de referencia y </w:t>
      </w:r>
      <w:r w:rsidR="003B67A1" w:rsidRPr="00321B46">
        <w:t xml:space="preserve">ii) </w:t>
      </w:r>
      <w:r w:rsidRPr="00321B46">
        <w:t>las inversiones o gastos ejecutados más el incentivo alcanzado.</w:t>
      </w:r>
    </w:p>
    <w:p w14:paraId="1CC2E39F" w14:textId="4B623D4D" w:rsidR="000F535D" w:rsidRPr="00321B46" w:rsidRDefault="000F535D" w:rsidP="000F535D">
      <w:pPr>
        <w:pStyle w:val="Prrafodelista"/>
        <w:numPr>
          <w:ilvl w:val="0"/>
          <w:numId w:val="60"/>
        </w:numPr>
      </w:pPr>
      <w:r w:rsidRPr="00321B46">
        <w:t xml:space="preserve">Cuando las inversiones o gastos ejecutados en </w:t>
      </w:r>
      <w:r w:rsidR="003B67A1" w:rsidRPr="00321B46">
        <w:t xml:space="preserve">un </w:t>
      </w:r>
      <w:r w:rsidRPr="00321B46">
        <w:t xml:space="preserve">año son mayores que los </w:t>
      </w:r>
      <w:r w:rsidR="003B67A1" w:rsidRPr="00321B46">
        <w:t xml:space="preserve">valores </w:t>
      </w:r>
      <w:r w:rsidRPr="00321B46">
        <w:t xml:space="preserve">de referencia del mismo año, el ingreso </w:t>
      </w:r>
      <w:r w:rsidR="003B67A1" w:rsidRPr="00321B46">
        <w:t xml:space="preserve">recibido es menor que el ingreso </w:t>
      </w:r>
      <w:r w:rsidRPr="00321B46">
        <w:t xml:space="preserve">a reconocer, por lo cual, para el siguiente </w:t>
      </w:r>
      <w:r w:rsidR="003B67A1" w:rsidRPr="00321B46">
        <w:t xml:space="preserve">año </w:t>
      </w:r>
      <w:r w:rsidRPr="00321B46">
        <w:t>debe sumarse la diferencia entre</w:t>
      </w:r>
      <w:r w:rsidR="003B67A1" w:rsidRPr="00321B46">
        <w:t>: i)</w:t>
      </w:r>
      <w:r w:rsidRPr="00321B46">
        <w:t xml:space="preserve"> las inversiones o gastos ejecutados más el incentivo y </w:t>
      </w:r>
      <w:r w:rsidR="003B67A1" w:rsidRPr="00321B46">
        <w:t>ii) </w:t>
      </w:r>
      <w:r w:rsidRPr="00321B46">
        <w:t>las inversiones o gastos de referencia.</w:t>
      </w:r>
    </w:p>
    <w:p w14:paraId="37117B0F" w14:textId="150A6627" w:rsidR="000F535D" w:rsidRPr="00321B46" w:rsidRDefault="003B67A1" w:rsidP="003B67A1">
      <w:r w:rsidRPr="00321B46">
        <w:t xml:space="preserve">Los porcentajes de ajuste en los ingresos por aplicación del incentivo corresponden a los de </w:t>
      </w:r>
      <w:r w:rsidR="000F535D" w:rsidRPr="00321B46">
        <w:t>la</w:t>
      </w:r>
      <w:r w:rsidR="000F535D" w:rsidRPr="00321B46">
        <w:fldChar w:fldCharType="begin"/>
      </w:r>
      <w:r w:rsidR="000F535D" w:rsidRPr="00321B46">
        <w:instrText xml:space="preserve"> REF _Ref460937727 \h </w:instrText>
      </w:r>
      <w:r w:rsidR="0004502D" w:rsidRPr="00321B46">
        <w:instrText xml:space="preserve"> \* MERGEFORMAT </w:instrText>
      </w:r>
      <w:r w:rsidR="000F535D" w:rsidRPr="00321B46">
        <w:fldChar w:fldCharType="separate"/>
      </w:r>
      <w:r w:rsidR="000F355F" w:rsidRPr="00321B46">
        <w:t xml:space="preserve">Tabla </w:t>
      </w:r>
      <w:r w:rsidR="000F355F">
        <w:rPr>
          <w:noProof/>
        </w:rPr>
        <w:t>4</w:t>
      </w:r>
      <w:r w:rsidR="000F535D" w:rsidRPr="00321B46">
        <w:fldChar w:fldCharType="end"/>
      </w:r>
      <w:r w:rsidR="000F535D" w:rsidRPr="00321B46">
        <w:t xml:space="preserve">. </w:t>
      </w:r>
    </w:p>
    <w:p w14:paraId="34AAAF1D" w14:textId="0223B0C4" w:rsidR="000F535D" w:rsidRPr="00321B46" w:rsidRDefault="000F535D" w:rsidP="000F535D">
      <w:pPr>
        <w:pStyle w:val="Descripcin"/>
      </w:pPr>
      <w:bookmarkStart w:id="217" w:name="_Ref460937727"/>
      <w:r w:rsidRPr="00321B46">
        <w:t xml:space="preserve">Tabla </w:t>
      </w:r>
      <w:r w:rsidRPr="00321B46">
        <w:fldChar w:fldCharType="begin"/>
      </w:r>
      <w:r w:rsidRPr="00321B46">
        <w:instrText xml:space="preserve"> SEQ Tabla \* ARABIC </w:instrText>
      </w:r>
      <w:r w:rsidRPr="00321B46">
        <w:fldChar w:fldCharType="separate"/>
      </w:r>
      <w:r w:rsidR="000F355F">
        <w:rPr>
          <w:noProof/>
        </w:rPr>
        <w:t>4</w:t>
      </w:r>
      <w:r w:rsidRPr="00321B46">
        <w:fldChar w:fldCharType="end"/>
      </w:r>
      <w:bookmarkEnd w:id="217"/>
      <w:r w:rsidRPr="00321B46">
        <w:t xml:space="preserve"> Porcentajes para ajuste de los ingresos según el incentivo alcanzado</w:t>
      </w:r>
      <w:r w:rsidR="003B67A1" w:rsidRPr="00321B46">
        <w:t xml:space="preserve"> </w:t>
      </w:r>
      <w:r w:rsidR="003B67A1" w:rsidRPr="00321B46">
        <w:rPr>
          <w:i/>
        </w:rPr>
        <w:t>AINCAI/AI</w:t>
      </w:r>
      <w:r w:rsidR="00404B04" w:rsidRPr="00321B46">
        <w:rPr>
          <w:i/>
        </w:rPr>
        <w:t>N</w:t>
      </w:r>
      <w:r w:rsidR="003B67A1" w:rsidRPr="00321B46">
        <w:rPr>
          <w:i/>
        </w:rPr>
        <w:t>CAG</w:t>
      </w:r>
    </w:p>
    <w:tbl>
      <w:tblPr>
        <w:tblW w:w="0" w:type="auto"/>
        <w:jc w:val="center"/>
        <w:tblCellMar>
          <w:left w:w="70" w:type="dxa"/>
          <w:right w:w="70" w:type="dxa"/>
        </w:tblCellMar>
        <w:tblLook w:val="04A0" w:firstRow="1" w:lastRow="0" w:firstColumn="1" w:lastColumn="0" w:noHBand="0" w:noVBand="1"/>
      </w:tblPr>
      <w:tblGrid>
        <w:gridCol w:w="725"/>
        <w:gridCol w:w="767"/>
        <w:gridCol w:w="767"/>
        <w:gridCol w:w="767"/>
        <w:gridCol w:w="767"/>
        <w:gridCol w:w="767"/>
        <w:gridCol w:w="783"/>
        <w:gridCol w:w="783"/>
        <w:gridCol w:w="783"/>
        <w:gridCol w:w="783"/>
        <w:gridCol w:w="783"/>
        <w:gridCol w:w="783"/>
      </w:tblGrid>
      <w:tr w:rsidR="000F535D" w:rsidRPr="00321B46" w14:paraId="02D1B0EC" w14:textId="77777777" w:rsidTr="00BF2DD0">
        <w:trPr>
          <w:cantSplit/>
          <w:trHeight w:val="291"/>
          <w:tblHeader/>
          <w:jc w:val="center"/>
        </w:trPr>
        <w:tc>
          <w:tcPr>
            <w:tcW w:w="0" w:type="auto"/>
            <w:tcBorders>
              <w:top w:val="nil"/>
              <w:left w:val="nil"/>
              <w:bottom w:val="nil"/>
              <w:right w:val="nil"/>
            </w:tcBorders>
            <w:shd w:val="clear" w:color="auto" w:fill="auto"/>
            <w:noWrap/>
            <w:vAlign w:val="bottom"/>
            <w:hideMark/>
          </w:tcPr>
          <w:p w14:paraId="130CBC03" w14:textId="77777777" w:rsidR="000F535D" w:rsidRPr="00321B46" w:rsidRDefault="000F535D" w:rsidP="00BF2DD0">
            <w:pPr>
              <w:spacing w:before="0" w:after="0"/>
              <w:jc w:val="left"/>
              <w:rPr>
                <w:sz w:val="20"/>
                <w:szCs w:val="20"/>
                <w:lang w:val="es-CO" w:eastAsia="es-CO"/>
              </w:rPr>
            </w:pPr>
          </w:p>
        </w:tc>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575B6" w14:textId="77777777" w:rsidR="000F535D" w:rsidRPr="00321B46" w:rsidRDefault="000F535D" w:rsidP="00BF2DD0">
            <w:pPr>
              <w:spacing w:before="0" w:after="0"/>
              <w:jc w:val="center"/>
              <w:rPr>
                <w:b/>
                <w:bCs/>
                <w:color w:val="000000"/>
                <w:sz w:val="22"/>
                <w:szCs w:val="22"/>
                <w:lang w:val="es-CO" w:eastAsia="es-CO"/>
              </w:rPr>
            </w:pPr>
            <w:r w:rsidRPr="00321B46">
              <w:rPr>
                <w:b/>
                <w:bCs/>
                <w:color w:val="000000"/>
                <w:sz w:val="22"/>
                <w:szCs w:val="22"/>
                <w:lang w:val="es-CO" w:eastAsia="es-CO"/>
              </w:rPr>
              <w:t>VALOR DECLARADO – NID/NGD </w:t>
            </w:r>
          </w:p>
        </w:tc>
      </w:tr>
      <w:tr w:rsidR="000F535D" w:rsidRPr="00321B46" w14:paraId="69FDA3C9" w14:textId="77777777" w:rsidTr="00BF2DD0">
        <w:trPr>
          <w:cantSplit/>
          <w:trHeight w:val="30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17CED21" w14:textId="77777777" w:rsidR="000F535D" w:rsidRPr="00321B46" w:rsidRDefault="000F535D" w:rsidP="00BF2DD0">
            <w:pPr>
              <w:spacing w:before="0" w:after="0"/>
              <w:jc w:val="center"/>
              <w:rPr>
                <w:b/>
                <w:bCs/>
                <w:color w:val="000000"/>
                <w:sz w:val="20"/>
                <w:szCs w:val="20"/>
                <w:lang w:val="es-CO" w:eastAsia="es-CO"/>
              </w:rPr>
            </w:pPr>
            <w:r w:rsidRPr="00321B46">
              <w:rPr>
                <w:b/>
                <w:bCs/>
                <w:color w:val="000000"/>
                <w:sz w:val="20"/>
                <w:szCs w:val="20"/>
                <w:lang w:val="es-CO" w:eastAsia="es-CO"/>
              </w:rPr>
              <w:t>NIE</w:t>
            </w:r>
          </w:p>
          <w:p w14:paraId="70A1E8F3" w14:textId="77777777" w:rsidR="000F535D" w:rsidRPr="00321B46" w:rsidRDefault="000F535D" w:rsidP="00BF2DD0">
            <w:pPr>
              <w:spacing w:before="0" w:after="0"/>
              <w:jc w:val="center"/>
              <w:rPr>
                <w:b/>
                <w:bCs/>
                <w:color w:val="000000"/>
                <w:sz w:val="20"/>
                <w:szCs w:val="20"/>
                <w:lang w:val="es-CO" w:eastAsia="es-CO"/>
              </w:rPr>
            </w:pPr>
            <w:r w:rsidRPr="00321B46">
              <w:rPr>
                <w:b/>
                <w:bCs/>
                <w:color w:val="000000"/>
                <w:sz w:val="20"/>
                <w:szCs w:val="20"/>
                <w:lang w:val="es-CO" w:eastAsia="es-CO"/>
              </w:rPr>
              <w:t>NGD</w:t>
            </w:r>
          </w:p>
        </w:tc>
        <w:tc>
          <w:tcPr>
            <w:tcW w:w="0" w:type="auto"/>
            <w:tcBorders>
              <w:top w:val="nil"/>
              <w:left w:val="nil"/>
              <w:bottom w:val="single" w:sz="4" w:space="0" w:color="auto"/>
              <w:right w:val="single" w:sz="4" w:space="0" w:color="auto"/>
            </w:tcBorders>
            <w:shd w:val="clear" w:color="auto" w:fill="auto"/>
            <w:noWrap/>
            <w:vAlign w:val="bottom"/>
            <w:hideMark/>
          </w:tcPr>
          <w:p w14:paraId="0E729A95" w14:textId="77777777" w:rsidR="000F535D" w:rsidRPr="00321B46" w:rsidRDefault="000F535D" w:rsidP="00BF2DD0">
            <w:pPr>
              <w:spacing w:before="0" w:after="0"/>
              <w:jc w:val="center"/>
              <w:rPr>
                <w:b/>
                <w:bCs/>
                <w:color w:val="000000"/>
                <w:sz w:val="22"/>
                <w:szCs w:val="22"/>
                <w:lang w:val="es-CO" w:eastAsia="es-CO"/>
              </w:rPr>
            </w:pPr>
            <w:r w:rsidRPr="00321B46">
              <w:rPr>
                <w:b/>
                <w:bCs/>
                <w:color w:val="000000"/>
                <w:sz w:val="22"/>
                <w:szCs w:val="22"/>
                <w:lang w:val="es-CO" w:eastAsia="es-CO"/>
              </w:rPr>
              <w:t>90%</w:t>
            </w:r>
          </w:p>
        </w:tc>
        <w:tc>
          <w:tcPr>
            <w:tcW w:w="0" w:type="auto"/>
            <w:tcBorders>
              <w:top w:val="nil"/>
              <w:left w:val="nil"/>
              <w:bottom w:val="single" w:sz="4" w:space="0" w:color="auto"/>
              <w:right w:val="single" w:sz="4" w:space="0" w:color="auto"/>
            </w:tcBorders>
            <w:shd w:val="clear" w:color="auto" w:fill="auto"/>
            <w:noWrap/>
            <w:vAlign w:val="bottom"/>
            <w:hideMark/>
          </w:tcPr>
          <w:p w14:paraId="5DA0F39C" w14:textId="77777777" w:rsidR="000F535D" w:rsidRPr="00321B46" w:rsidRDefault="000F535D" w:rsidP="00BF2DD0">
            <w:pPr>
              <w:spacing w:before="0" w:after="0"/>
              <w:jc w:val="center"/>
              <w:rPr>
                <w:b/>
                <w:bCs/>
                <w:color w:val="000000"/>
                <w:sz w:val="22"/>
                <w:szCs w:val="22"/>
                <w:lang w:val="es-CO" w:eastAsia="es-CO"/>
              </w:rPr>
            </w:pPr>
            <w:r w:rsidRPr="00321B46">
              <w:rPr>
                <w:b/>
                <w:bCs/>
                <w:color w:val="000000"/>
                <w:sz w:val="22"/>
                <w:szCs w:val="22"/>
                <w:lang w:val="es-CO" w:eastAsia="es-CO"/>
              </w:rPr>
              <w:t>92%</w:t>
            </w:r>
          </w:p>
        </w:tc>
        <w:tc>
          <w:tcPr>
            <w:tcW w:w="0" w:type="auto"/>
            <w:tcBorders>
              <w:top w:val="nil"/>
              <w:left w:val="nil"/>
              <w:bottom w:val="single" w:sz="4" w:space="0" w:color="auto"/>
              <w:right w:val="single" w:sz="4" w:space="0" w:color="auto"/>
            </w:tcBorders>
            <w:shd w:val="clear" w:color="auto" w:fill="auto"/>
            <w:noWrap/>
            <w:vAlign w:val="bottom"/>
            <w:hideMark/>
          </w:tcPr>
          <w:p w14:paraId="02AE8B55" w14:textId="77777777" w:rsidR="000F535D" w:rsidRPr="00321B46" w:rsidRDefault="000F535D" w:rsidP="00BF2DD0">
            <w:pPr>
              <w:spacing w:before="0" w:after="0"/>
              <w:jc w:val="center"/>
              <w:rPr>
                <w:b/>
                <w:bCs/>
                <w:color w:val="000000"/>
                <w:sz w:val="22"/>
                <w:szCs w:val="22"/>
                <w:lang w:val="es-CO" w:eastAsia="es-CO"/>
              </w:rPr>
            </w:pPr>
            <w:r w:rsidRPr="00321B46">
              <w:rPr>
                <w:b/>
                <w:bCs/>
                <w:color w:val="000000"/>
                <w:sz w:val="22"/>
                <w:szCs w:val="22"/>
                <w:lang w:val="es-CO" w:eastAsia="es-CO"/>
              </w:rPr>
              <w:t>94%</w:t>
            </w:r>
          </w:p>
        </w:tc>
        <w:tc>
          <w:tcPr>
            <w:tcW w:w="0" w:type="auto"/>
            <w:tcBorders>
              <w:top w:val="nil"/>
              <w:left w:val="nil"/>
              <w:bottom w:val="single" w:sz="4" w:space="0" w:color="auto"/>
              <w:right w:val="single" w:sz="4" w:space="0" w:color="auto"/>
            </w:tcBorders>
            <w:shd w:val="clear" w:color="auto" w:fill="auto"/>
            <w:noWrap/>
            <w:vAlign w:val="bottom"/>
            <w:hideMark/>
          </w:tcPr>
          <w:p w14:paraId="7D23DF51" w14:textId="77777777" w:rsidR="000F535D" w:rsidRPr="00321B46" w:rsidRDefault="000F535D" w:rsidP="00BF2DD0">
            <w:pPr>
              <w:spacing w:before="0" w:after="0"/>
              <w:jc w:val="center"/>
              <w:rPr>
                <w:b/>
                <w:bCs/>
                <w:color w:val="000000"/>
                <w:sz w:val="22"/>
                <w:szCs w:val="22"/>
                <w:lang w:val="es-CO" w:eastAsia="es-CO"/>
              </w:rPr>
            </w:pPr>
            <w:r w:rsidRPr="00321B46">
              <w:rPr>
                <w:b/>
                <w:bCs/>
                <w:color w:val="000000"/>
                <w:sz w:val="22"/>
                <w:szCs w:val="22"/>
                <w:lang w:val="es-CO" w:eastAsia="es-CO"/>
              </w:rPr>
              <w:t>96%</w:t>
            </w:r>
          </w:p>
        </w:tc>
        <w:tc>
          <w:tcPr>
            <w:tcW w:w="0" w:type="auto"/>
            <w:tcBorders>
              <w:top w:val="nil"/>
              <w:left w:val="nil"/>
              <w:bottom w:val="single" w:sz="4" w:space="0" w:color="auto"/>
              <w:right w:val="single" w:sz="4" w:space="0" w:color="auto"/>
            </w:tcBorders>
            <w:shd w:val="clear" w:color="auto" w:fill="auto"/>
            <w:noWrap/>
            <w:vAlign w:val="bottom"/>
            <w:hideMark/>
          </w:tcPr>
          <w:p w14:paraId="643B2368" w14:textId="77777777" w:rsidR="000F535D" w:rsidRPr="00321B46" w:rsidRDefault="000F535D" w:rsidP="00BF2DD0">
            <w:pPr>
              <w:spacing w:before="0" w:after="0"/>
              <w:jc w:val="center"/>
              <w:rPr>
                <w:b/>
                <w:bCs/>
                <w:color w:val="000000"/>
                <w:sz w:val="22"/>
                <w:szCs w:val="22"/>
                <w:lang w:val="es-CO" w:eastAsia="es-CO"/>
              </w:rPr>
            </w:pPr>
            <w:r w:rsidRPr="00321B46">
              <w:rPr>
                <w:b/>
                <w:bCs/>
                <w:color w:val="000000"/>
                <w:sz w:val="22"/>
                <w:szCs w:val="22"/>
                <w:lang w:val="es-CO" w:eastAsia="es-CO"/>
              </w:rPr>
              <w:t>98%</w:t>
            </w:r>
          </w:p>
        </w:tc>
        <w:tc>
          <w:tcPr>
            <w:tcW w:w="0" w:type="auto"/>
            <w:tcBorders>
              <w:top w:val="nil"/>
              <w:left w:val="nil"/>
              <w:bottom w:val="single" w:sz="4" w:space="0" w:color="auto"/>
              <w:right w:val="single" w:sz="4" w:space="0" w:color="auto"/>
            </w:tcBorders>
            <w:shd w:val="clear" w:color="auto" w:fill="auto"/>
            <w:noWrap/>
            <w:vAlign w:val="bottom"/>
            <w:hideMark/>
          </w:tcPr>
          <w:p w14:paraId="4BCA3CCC" w14:textId="77777777" w:rsidR="000F535D" w:rsidRPr="00321B46" w:rsidRDefault="000F535D" w:rsidP="00BF2DD0">
            <w:pPr>
              <w:spacing w:before="0" w:after="0"/>
              <w:jc w:val="center"/>
              <w:rPr>
                <w:b/>
                <w:bCs/>
                <w:color w:val="000000"/>
                <w:sz w:val="22"/>
                <w:szCs w:val="22"/>
                <w:lang w:val="es-CO" w:eastAsia="es-CO"/>
              </w:rPr>
            </w:pPr>
            <w:r w:rsidRPr="00321B46">
              <w:rPr>
                <w:b/>
                <w:bCs/>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vAlign w:val="bottom"/>
            <w:hideMark/>
          </w:tcPr>
          <w:p w14:paraId="288B4D28" w14:textId="77777777" w:rsidR="000F535D" w:rsidRPr="00321B46" w:rsidRDefault="000F535D" w:rsidP="00BF2DD0">
            <w:pPr>
              <w:spacing w:before="0" w:after="0"/>
              <w:jc w:val="center"/>
              <w:rPr>
                <w:b/>
                <w:bCs/>
                <w:color w:val="000000"/>
                <w:sz w:val="22"/>
                <w:szCs w:val="22"/>
                <w:lang w:val="es-CO" w:eastAsia="es-CO"/>
              </w:rPr>
            </w:pPr>
            <w:r w:rsidRPr="00321B46">
              <w:rPr>
                <w:b/>
                <w:bCs/>
                <w:color w:val="000000"/>
                <w:sz w:val="22"/>
                <w:szCs w:val="22"/>
                <w:lang w:val="es-CO" w:eastAsia="es-CO"/>
              </w:rPr>
              <w:t>102%</w:t>
            </w:r>
          </w:p>
        </w:tc>
        <w:tc>
          <w:tcPr>
            <w:tcW w:w="0" w:type="auto"/>
            <w:tcBorders>
              <w:top w:val="nil"/>
              <w:left w:val="nil"/>
              <w:bottom w:val="single" w:sz="4" w:space="0" w:color="auto"/>
              <w:right w:val="single" w:sz="4" w:space="0" w:color="auto"/>
            </w:tcBorders>
            <w:shd w:val="clear" w:color="auto" w:fill="auto"/>
            <w:noWrap/>
            <w:vAlign w:val="bottom"/>
            <w:hideMark/>
          </w:tcPr>
          <w:p w14:paraId="031BB25B" w14:textId="77777777" w:rsidR="000F535D" w:rsidRPr="00321B46" w:rsidRDefault="000F535D" w:rsidP="00BF2DD0">
            <w:pPr>
              <w:spacing w:before="0" w:after="0"/>
              <w:jc w:val="center"/>
              <w:rPr>
                <w:b/>
                <w:bCs/>
                <w:color w:val="000000"/>
                <w:sz w:val="22"/>
                <w:szCs w:val="22"/>
                <w:lang w:val="es-CO" w:eastAsia="es-CO"/>
              </w:rPr>
            </w:pPr>
            <w:r w:rsidRPr="00321B46">
              <w:rPr>
                <w:b/>
                <w:bCs/>
                <w:color w:val="000000"/>
                <w:sz w:val="22"/>
                <w:szCs w:val="22"/>
                <w:lang w:val="es-CO" w:eastAsia="es-CO"/>
              </w:rPr>
              <w:t>104%</w:t>
            </w:r>
          </w:p>
        </w:tc>
        <w:tc>
          <w:tcPr>
            <w:tcW w:w="0" w:type="auto"/>
            <w:tcBorders>
              <w:top w:val="nil"/>
              <w:left w:val="nil"/>
              <w:bottom w:val="single" w:sz="4" w:space="0" w:color="auto"/>
              <w:right w:val="single" w:sz="4" w:space="0" w:color="auto"/>
            </w:tcBorders>
            <w:shd w:val="clear" w:color="auto" w:fill="auto"/>
            <w:noWrap/>
            <w:vAlign w:val="bottom"/>
            <w:hideMark/>
          </w:tcPr>
          <w:p w14:paraId="5895F0B9" w14:textId="77777777" w:rsidR="000F535D" w:rsidRPr="00321B46" w:rsidRDefault="000F535D" w:rsidP="00BF2DD0">
            <w:pPr>
              <w:spacing w:before="0" w:after="0"/>
              <w:jc w:val="center"/>
              <w:rPr>
                <w:b/>
                <w:bCs/>
                <w:color w:val="000000"/>
                <w:sz w:val="22"/>
                <w:szCs w:val="22"/>
                <w:lang w:val="es-CO" w:eastAsia="es-CO"/>
              </w:rPr>
            </w:pPr>
            <w:r w:rsidRPr="00321B46">
              <w:rPr>
                <w:b/>
                <w:bCs/>
                <w:color w:val="000000"/>
                <w:sz w:val="22"/>
                <w:szCs w:val="22"/>
                <w:lang w:val="es-CO" w:eastAsia="es-CO"/>
              </w:rPr>
              <w:t>106%</w:t>
            </w:r>
          </w:p>
        </w:tc>
        <w:tc>
          <w:tcPr>
            <w:tcW w:w="0" w:type="auto"/>
            <w:tcBorders>
              <w:top w:val="nil"/>
              <w:left w:val="nil"/>
              <w:bottom w:val="single" w:sz="4" w:space="0" w:color="auto"/>
              <w:right w:val="single" w:sz="4" w:space="0" w:color="auto"/>
            </w:tcBorders>
            <w:shd w:val="clear" w:color="auto" w:fill="auto"/>
            <w:noWrap/>
            <w:vAlign w:val="bottom"/>
            <w:hideMark/>
          </w:tcPr>
          <w:p w14:paraId="0B40D4BC" w14:textId="77777777" w:rsidR="000F535D" w:rsidRPr="00321B46" w:rsidRDefault="000F535D" w:rsidP="00BF2DD0">
            <w:pPr>
              <w:spacing w:before="0" w:after="0"/>
              <w:jc w:val="center"/>
              <w:rPr>
                <w:b/>
                <w:bCs/>
                <w:color w:val="000000"/>
                <w:sz w:val="22"/>
                <w:szCs w:val="22"/>
                <w:lang w:val="es-CO" w:eastAsia="es-CO"/>
              </w:rPr>
            </w:pPr>
            <w:r w:rsidRPr="00321B46">
              <w:rPr>
                <w:b/>
                <w:bCs/>
                <w:color w:val="000000"/>
                <w:sz w:val="22"/>
                <w:szCs w:val="22"/>
                <w:lang w:val="es-CO" w:eastAsia="es-CO"/>
              </w:rPr>
              <w:t>108%</w:t>
            </w:r>
          </w:p>
        </w:tc>
        <w:tc>
          <w:tcPr>
            <w:tcW w:w="0" w:type="auto"/>
            <w:tcBorders>
              <w:top w:val="nil"/>
              <w:left w:val="nil"/>
              <w:bottom w:val="single" w:sz="4" w:space="0" w:color="auto"/>
              <w:right w:val="single" w:sz="4" w:space="0" w:color="auto"/>
            </w:tcBorders>
            <w:shd w:val="clear" w:color="auto" w:fill="auto"/>
            <w:noWrap/>
            <w:vAlign w:val="bottom"/>
            <w:hideMark/>
          </w:tcPr>
          <w:p w14:paraId="512DED83" w14:textId="77777777" w:rsidR="000F535D" w:rsidRPr="00321B46" w:rsidRDefault="000F535D" w:rsidP="00BF2DD0">
            <w:pPr>
              <w:spacing w:before="0" w:after="0"/>
              <w:jc w:val="center"/>
              <w:rPr>
                <w:b/>
                <w:bCs/>
                <w:color w:val="000000"/>
                <w:sz w:val="22"/>
                <w:szCs w:val="22"/>
                <w:lang w:val="es-CO" w:eastAsia="es-CO"/>
              </w:rPr>
            </w:pPr>
            <w:r w:rsidRPr="00321B46">
              <w:rPr>
                <w:b/>
                <w:bCs/>
                <w:color w:val="000000"/>
                <w:sz w:val="22"/>
                <w:szCs w:val="22"/>
                <w:lang w:val="es-CO" w:eastAsia="es-CO"/>
              </w:rPr>
              <w:t>110%</w:t>
            </w:r>
          </w:p>
        </w:tc>
      </w:tr>
      <w:tr w:rsidR="00DC3A3F" w:rsidRPr="00321B46" w14:paraId="79348820" w14:textId="77777777" w:rsidTr="00D201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81571F" w14:textId="77777777" w:rsidR="00DC3A3F" w:rsidRPr="00321B46" w:rsidRDefault="00DC3A3F" w:rsidP="00DC3A3F">
            <w:pPr>
              <w:spacing w:before="0" w:after="0"/>
              <w:jc w:val="center"/>
              <w:rPr>
                <w:b/>
                <w:bCs/>
                <w:color w:val="000000"/>
                <w:sz w:val="20"/>
                <w:szCs w:val="20"/>
                <w:lang w:val="es-CO" w:eastAsia="es-CO"/>
              </w:rPr>
            </w:pPr>
            <w:r w:rsidRPr="00321B46">
              <w:rPr>
                <w:b/>
                <w:bCs/>
                <w:color w:val="000000"/>
                <w:sz w:val="20"/>
                <w:szCs w:val="20"/>
                <w:lang w:val="es-CO" w:eastAsia="es-CO"/>
              </w:rPr>
              <w:t>90%</w:t>
            </w:r>
          </w:p>
        </w:tc>
        <w:tc>
          <w:tcPr>
            <w:tcW w:w="0" w:type="auto"/>
            <w:tcBorders>
              <w:top w:val="nil"/>
              <w:left w:val="nil"/>
              <w:bottom w:val="single" w:sz="4" w:space="0" w:color="auto"/>
              <w:right w:val="single" w:sz="4" w:space="0" w:color="auto"/>
            </w:tcBorders>
            <w:shd w:val="clear" w:color="auto" w:fill="auto"/>
            <w:noWrap/>
            <w:vAlign w:val="center"/>
            <w:hideMark/>
          </w:tcPr>
          <w:p w14:paraId="76F818D3" w14:textId="650A2B87"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3,50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6DD4B51" w14:textId="5234B60E"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3,52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29F353A" w14:textId="4B391306"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3,58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0C99A89" w14:textId="679BA225"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3,68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13A308B" w14:textId="58A864E5"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3,82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06515DF" w14:textId="4F337DE8"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4,00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104D4FF" w14:textId="05720986"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4,47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16BEAF7" w14:textId="02E3FDCD"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4,73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421E5A5" w14:textId="7F8C43B6"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5,03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37396BC" w14:textId="430E9DB2"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5,37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46A9DCD" w14:textId="22C49AE5"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5</w:t>
            </w:r>
            <w:r w:rsidRPr="00321B46">
              <w:rPr>
                <w:color w:val="000000"/>
                <w:sz w:val="18"/>
              </w:rPr>
              <w:t>,75%</w:t>
            </w:r>
          </w:p>
        </w:tc>
      </w:tr>
      <w:tr w:rsidR="00DC3A3F" w:rsidRPr="00321B46" w14:paraId="18AE12AC" w14:textId="77777777" w:rsidTr="00D201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573ED7" w14:textId="77777777" w:rsidR="00DC3A3F" w:rsidRPr="00321B46" w:rsidRDefault="00DC3A3F" w:rsidP="00DC3A3F">
            <w:pPr>
              <w:spacing w:before="0" w:after="0"/>
              <w:jc w:val="center"/>
              <w:rPr>
                <w:b/>
                <w:bCs/>
                <w:color w:val="000000"/>
                <w:sz w:val="20"/>
                <w:szCs w:val="20"/>
                <w:lang w:val="es-CO" w:eastAsia="es-CO"/>
              </w:rPr>
            </w:pPr>
            <w:r w:rsidRPr="00321B46">
              <w:rPr>
                <w:b/>
                <w:bCs/>
                <w:color w:val="000000"/>
                <w:sz w:val="20"/>
                <w:szCs w:val="20"/>
                <w:lang w:val="es-CO" w:eastAsia="es-CO"/>
              </w:rPr>
              <w:t>92%</w:t>
            </w:r>
          </w:p>
        </w:tc>
        <w:tc>
          <w:tcPr>
            <w:tcW w:w="0" w:type="auto"/>
            <w:tcBorders>
              <w:top w:val="nil"/>
              <w:left w:val="nil"/>
              <w:bottom w:val="single" w:sz="4" w:space="0" w:color="auto"/>
              <w:right w:val="single" w:sz="4" w:space="0" w:color="auto"/>
            </w:tcBorders>
            <w:shd w:val="clear" w:color="auto" w:fill="auto"/>
            <w:noWrap/>
            <w:vAlign w:val="center"/>
            <w:hideMark/>
          </w:tcPr>
          <w:p w14:paraId="0112AAD5" w14:textId="6B7705E0"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2,90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4305012" w14:textId="5029558A"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2,88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C7CA034" w14:textId="5CC37003"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2,90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41AABC8" w14:textId="50AD1DF9"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2,96</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E3CD6AC" w14:textId="1C63AF1A"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3,06</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F04551B" w14:textId="37414386"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3</w:t>
            </w:r>
            <w:r w:rsidRPr="00321B46">
              <w:rPr>
                <w:color w:val="000000"/>
                <w:sz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1441D7BC" w14:textId="5DC845AB"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3,63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CFE0291" w14:textId="672590BA"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3,85</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7B54226" w14:textId="272E2715"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4,11</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FB7A4F6" w14:textId="309E1F9B"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4,41</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34066A1" w14:textId="3D2F4205"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4,75</w:t>
            </w:r>
            <w:r w:rsidRPr="00321B46">
              <w:rPr>
                <w:color w:val="000000"/>
                <w:sz w:val="18"/>
              </w:rPr>
              <w:t>%</w:t>
            </w:r>
          </w:p>
        </w:tc>
      </w:tr>
      <w:tr w:rsidR="00DC3A3F" w:rsidRPr="00321B46" w14:paraId="48D84E16" w14:textId="77777777" w:rsidTr="00D201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0EFE57" w14:textId="77777777" w:rsidR="00DC3A3F" w:rsidRPr="00321B46" w:rsidRDefault="00DC3A3F" w:rsidP="00DC3A3F">
            <w:pPr>
              <w:spacing w:before="0" w:after="0"/>
              <w:jc w:val="center"/>
              <w:rPr>
                <w:b/>
                <w:bCs/>
                <w:color w:val="000000"/>
                <w:sz w:val="20"/>
                <w:szCs w:val="20"/>
                <w:lang w:val="es-CO" w:eastAsia="es-CO"/>
              </w:rPr>
            </w:pPr>
            <w:r w:rsidRPr="00321B46">
              <w:rPr>
                <w:b/>
                <w:bCs/>
                <w:color w:val="000000"/>
                <w:sz w:val="20"/>
                <w:szCs w:val="20"/>
                <w:lang w:val="es-CO" w:eastAsia="es-CO"/>
              </w:rPr>
              <w:t>94%</w:t>
            </w:r>
          </w:p>
        </w:tc>
        <w:tc>
          <w:tcPr>
            <w:tcW w:w="0" w:type="auto"/>
            <w:tcBorders>
              <w:top w:val="nil"/>
              <w:left w:val="nil"/>
              <w:bottom w:val="single" w:sz="4" w:space="0" w:color="auto"/>
              <w:right w:val="single" w:sz="4" w:space="0" w:color="auto"/>
            </w:tcBorders>
            <w:shd w:val="clear" w:color="auto" w:fill="auto"/>
            <w:noWrap/>
            <w:vAlign w:val="center"/>
            <w:hideMark/>
          </w:tcPr>
          <w:p w14:paraId="7F402FBC" w14:textId="590482F2"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2,30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C744139" w14:textId="1D20628C"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2,24</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2F70058" w14:textId="7E714629"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2,22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8D52B9B" w14:textId="5A9D80AA"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2,24</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4F681B1" w14:textId="675DD7A4"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2,30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FDA5FD5" w14:textId="16269F46"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2,40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79B4405" w14:textId="62B8FB19"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2,79</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A8D6542" w14:textId="6D85D089"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2,97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D726EF8" w14:textId="419E0B89"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3,19</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A17D957" w14:textId="672D52AB"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3,45</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FF9AFC1" w14:textId="50C96A66"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3,75</w:t>
            </w:r>
            <w:r w:rsidRPr="00321B46">
              <w:rPr>
                <w:color w:val="000000"/>
                <w:sz w:val="18"/>
              </w:rPr>
              <w:t>%</w:t>
            </w:r>
          </w:p>
        </w:tc>
      </w:tr>
      <w:tr w:rsidR="00DC3A3F" w:rsidRPr="00321B46" w14:paraId="5C51B20F" w14:textId="77777777" w:rsidTr="00D201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388D11" w14:textId="77777777" w:rsidR="00DC3A3F" w:rsidRPr="00321B46" w:rsidRDefault="00DC3A3F" w:rsidP="00DC3A3F">
            <w:pPr>
              <w:spacing w:before="0" w:after="0"/>
              <w:jc w:val="center"/>
              <w:rPr>
                <w:b/>
                <w:bCs/>
                <w:color w:val="000000"/>
                <w:sz w:val="20"/>
                <w:szCs w:val="20"/>
                <w:lang w:val="es-CO" w:eastAsia="es-CO"/>
              </w:rPr>
            </w:pPr>
            <w:r w:rsidRPr="00321B46">
              <w:rPr>
                <w:b/>
                <w:bCs/>
                <w:color w:val="000000"/>
                <w:sz w:val="20"/>
                <w:szCs w:val="20"/>
                <w:lang w:val="es-CO" w:eastAsia="es-CO"/>
              </w:rPr>
              <w:t>96%</w:t>
            </w:r>
          </w:p>
        </w:tc>
        <w:tc>
          <w:tcPr>
            <w:tcW w:w="0" w:type="auto"/>
            <w:tcBorders>
              <w:top w:val="nil"/>
              <w:left w:val="nil"/>
              <w:bottom w:val="single" w:sz="4" w:space="0" w:color="auto"/>
              <w:right w:val="single" w:sz="4" w:space="0" w:color="auto"/>
            </w:tcBorders>
            <w:shd w:val="clear" w:color="auto" w:fill="auto"/>
            <w:noWrap/>
            <w:vAlign w:val="center"/>
            <w:hideMark/>
          </w:tcPr>
          <w:p w14:paraId="6D888E4E" w14:textId="5A03A3B2"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1,70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AC82AF7" w14:textId="58ABB8EE"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1</w:t>
            </w:r>
            <w:r w:rsidRPr="00321B46">
              <w:rPr>
                <w:color w:val="000000"/>
                <w:sz w:val="18"/>
              </w:rPr>
              <w:t>,60%</w:t>
            </w:r>
          </w:p>
        </w:tc>
        <w:tc>
          <w:tcPr>
            <w:tcW w:w="0" w:type="auto"/>
            <w:tcBorders>
              <w:top w:val="nil"/>
              <w:left w:val="nil"/>
              <w:bottom w:val="single" w:sz="4" w:space="0" w:color="auto"/>
              <w:right w:val="single" w:sz="4" w:space="0" w:color="auto"/>
            </w:tcBorders>
            <w:shd w:val="clear" w:color="auto" w:fill="auto"/>
            <w:noWrap/>
            <w:vAlign w:val="center"/>
            <w:hideMark/>
          </w:tcPr>
          <w:p w14:paraId="5C251D78" w14:textId="4EE2776C"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1,54</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6E87956" w14:textId="610C58D4"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1,52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F838B91" w14:textId="31B89AC1"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1,54</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48E23C7" w14:textId="12159A82"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1</w:t>
            </w:r>
            <w:r w:rsidRPr="00321B46">
              <w:rPr>
                <w:color w:val="000000"/>
                <w:sz w:val="18"/>
              </w:rPr>
              <w:t>,60%</w:t>
            </w:r>
          </w:p>
        </w:tc>
        <w:tc>
          <w:tcPr>
            <w:tcW w:w="0" w:type="auto"/>
            <w:tcBorders>
              <w:top w:val="nil"/>
              <w:left w:val="nil"/>
              <w:bottom w:val="single" w:sz="4" w:space="0" w:color="auto"/>
              <w:right w:val="single" w:sz="4" w:space="0" w:color="auto"/>
            </w:tcBorders>
            <w:shd w:val="clear" w:color="auto" w:fill="auto"/>
            <w:noWrap/>
            <w:vAlign w:val="center"/>
            <w:hideMark/>
          </w:tcPr>
          <w:p w14:paraId="7BFF448F" w14:textId="61D53023"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1,95</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AF615CB" w14:textId="4AA4906C" w:rsidR="00DC3A3F" w:rsidRPr="00321B46" w:rsidRDefault="00DC3A3F" w:rsidP="00DC3A3F">
            <w:pPr>
              <w:spacing w:before="0" w:after="0"/>
              <w:jc w:val="right"/>
              <w:rPr>
                <w:color w:val="000000"/>
                <w:sz w:val="22"/>
                <w:szCs w:val="22"/>
                <w:lang w:val="es-CO" w:eastAsia="es-CO"/>
              </w:rPr>
            </w:pPr>
            <w:r w:rsidRPr="00321B46">
              <w:rPr>
                <w:color w:val="000000"/>
                <w:sz w:val="18"/>
              </w:rPr>
              <w:t>-2,</w:t>
            </w:r>
            <w:r w:rsidRPr="00321B46">
              <w:rPr>
                <w:color w:val="000000"/>
                <w:sz w:val="18"/>
                <w:szCs w:val="22"/>
              </w:rPr>
              <w:t>09</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DAEB955" w14:textId="264553AE"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2,27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308A847" w14:textId="4CA808E3"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2,49</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E2C80B1" w14:textId="6569BBA9"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2,75</w:t>
            </w:r>
            <w:r w:rsidRPr="00321B46">
              <w:rPr>
                <w:color w:val="000000"/>
                <w:sz w:val="18"/>
              </w:rPr>
              <w:t>%</w:t>
            </w:r>
          </w:p>
        </w:tc>
      </w:tr>
      <w:tr w:rsidR="00DC3A3F" w:rsidRPr="00321B46" w14:paraId="3241F707" w14:textId="77777777" w:rsidTr="00D201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28C649" w14:textId="77777777" w:rsidR="00DC3A3F" w:rsidRPr="00321B46" w:rsidRDefault="00DC3A3F" w:rsidP="00DC3A3F">
            <w:pPr>
              <w:spacing w:before="0" w:after="0"/>
              <w:jc w:val="center"/>
              <w:rPr>
                <w:b/>
                <w:bCs/>
                <w:color w:val="000000"/>
                <w:sz w:val="20"/>
                <w:szCs w:val="20"/>
                <w:lang w:val="es-CO" w:eastAsia="es-CO"/>
              </w:rPr>
            </w:pPr>
            <w:r w:rsidRPr="00321B46">
              <w:rPr>
                <w:b/>
                <w:bCs/>
                <w:color w:val="000000"/>
                <w:sz w:val="20"/>
                <w:szCs w:val="20"/>
                <w:lang w:val="es-CO" w:eastAsia="es-CO"/>
              </w:rPr>
              <w:t>98%</w:t>
            </w:r>
          </w:p>
        </w:tc>
        <w:tc>
          <w:tcPr>
            <w:tcW w:w="0" w:type="auto"/>
            <w:tcBorders>
              <w:top w:val="nil"/>
              <w:left w:val="nil"/>
              <w:bottom w:val="single" w:sz="4" w:space="0" w:color="auto"/>
              <w:right w:val="single" w:sz="4" w:space="0" w:color="auto"/>
            </w:tcBorders>
            <w:shd w:val="clear" w:color="auto" w:fill="auto"/>
            <w:noWrap/>
            <w:vAlign w:val="center"/>
            <w:hideMark/>
          </w:tcPr>
          <w:p w14:paraId="484BBA62" w14:textId="24514260" w:rsidR="00DC3A3F" w:rsidRPr="00321B46" w:rsidRDefault="00DC3A3F" w:rsidP="00DC3A3F">
            <w:pPr>
              <w:spacing w:before="0" w:after="0"/>
              <w:jc w:val="right"/>
              <w:rPr>
                <w:color w:val="000000"/>
                <w:sz w:val="22"/>
                <w:szCs w:val="22"/>
                <w:lang w:val="es-CO" w:eastAsia="es-CO"/>
              </w:rPr>
            </w:pPr>
            <w:r w:rsidRPr="00321B46">
              <w:rPr>
                <w:color w:val="000000"/>
                <w:sz w:val="18"/>
              </w:rPr>
              <w:t>-1,</w:t>
            </w:r>
            <w:r w:rsidRPr="00321B46">
              <w:rPr>
                <w:color w:val="000000"/>
                <w:sz w:val="18"/>
                <w:szCs w:val="22"/>
              </w:rPr>
              <w:t>10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C3A0F9B" w14:textId="5C6C19A4"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0,96</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A756427" w14:textId="3A208E55"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0,86</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4902AE0" w14:textId="0E011FFC"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0,80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9C98CD9" w14:textId="5C34B680"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0,78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42D2086" w14:textId="6D4A2FED"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0,80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245774B" w14:textId="521D98B9" w:rsidR="00DC3A3F" w:rsidRPr="00321B46" w:rsidRDefault="00DC3A3F" w:rsidP="00DC3A3F">
            <w:pPr>
              <w:spacing w:before="0" w:after="0"/>
              <w:jc w:val="right"/>
              <w:rPr>
                <w:color w:val="000000"/>
                <w:sz w:val="22"/>
                <w:szCs w:val="22"/>
                <w:lang w:val="es-CO" w:eastAsia="es-CO"/>
              </w:rPr>
            </w:pPr>
            <w:r w:rsidRPr="00321B46">
              <w:rPr>
                <w:color w:val="000000"/>
                <w:sz w:val="18"/>
              </w:rPr>
              <w:t>-1,</w:t>
            </w:r>
            <w:r w:rsidRPr="00321B46">
              <w:rPr>
                <w:color w:val="000000"/>
                <w:sz w:val="18"/>
                <w:szCs w:val="22"/>
              </w:rPr>
              <w:t>11</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DFE3E13" w14:textId="5478D456" w:rsidR="00DC3A3F" w:rsidRPr="00321B46" w:rsidRDefault="00DC3A3F" w:rsidP="00DC3A3F">
            <w:pPr>
              <w:spacing w:before="0" w:after="0"/>
              <w:jc w:val="right"/>
              <w:rPr>
                <w:color w:val="000000"/>
                <w:sz w:val="22"/>
                <w:szCs w:val="22"/>
                <w:lang w:val="es-CO" w:eastAsia="es-CO"/>
              </w:rPr>
            </w:pPr>
            <w:r w:rsidRPr="00321B46">
              <w:rPr>
                <w:color w:val="000000"/>
                <w:sz w:val="18"/>
              </w:rPr>
              <w:t>-1,</w:t>
            </w:r>
            <w:r w:rsidRPr="00321B46">
              <w:rPr>
                <w:color w:val="000000"/>
                <w:sz w:val="18"/>
                <w:szCs w:val="22"/>
              </w:rPr>
              <w:t>21</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DA06A32" w14:textId="3A76CCFF" w:rsidR="00DC3A3F" w:rsidRPr="00321B46" w:rsidRDefault="00DC3A3F" w:rsidP="00DC3A3F">
            <w:pPr>
              <w:spacing w:before="0" w:after="0"/>
              <w:jc w:val="right"/>
              <w:rPr>
                <w:color w:val="000000"/>
                <w:sz w:val="22"/>
                <w:szCs w:val="22"/>
                <w:lang w:val="es-CO" w:eastAsia="es-CO"/>
              </w:rPr>
            </w:pPr>
            <w:r w:rsidRPr="00321B46">
              <w:rPr>
                <w:color w:val="000000"/>
                <w:sz w:val="18"/>
              </w:rPr>
              <w:t>-1,</w:t>
            </w:r>
            <w:r w:rsidRPr="00321B46">
              <w:rPr>
                <w:color w:val="000000"/>
                <w:sz w:val="18"/>
                <w:szCs w:val="22"/>
              </w:rPr>
              <w:t>35</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E16CD6B" w14:textId="7AA31FBC"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1,53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BD33FC3" w14:textId="5F056BFA" w:rsidR="00DC3A3F" w:rsidRPr="00321B46" w:rsidRDefault="00DC3A3F" w:rsidP="00DC3A3F">
            <w:pPr>
              <w:spacing w:before="0" w:after="0"/>
              <w:jc w:val="right"/>
              <w:rPr>
                <w:color w:val="000000"/>
                <w:sz w:val="22"/>
                <w:szCs w:val="22"/>
                <w:lang w:val="es-CO" w:eastAsia="es-CO"/>
              </w:rPr>
            </w:pPr>
            <w:r w:rsidRPr="00321B46">
              <w:rPr>
                <w:color w:val="000000"/>
                <w:sz w:val="18"/>
              </w:rPr>
              <w:t>-</w:t>
            </w:r>
            <w:r w:rsidRPr="00321B46">
              <w:rPr>
                <w:color w:val="000000"/>
                <w:sz w:val="18"/>
                <w:szCs w:val="22"/>
              </w:rPr>
              <w:t>1,75</w:t>
            </w:r>
            <w:r w:rsidRPr="00321B46">
              <w:rPr>
                <w:color w:val="000000"/>
                <w:sz w:val="18"/>
              </w:rPr>
              <w:t>%</w:t>
            </w:r>
          </w:p>
        </w:tc>
      </w:tr>
      <w:tr w:rsidR="00DC3A3F" w:rsidRPr="00321B46" w14:paraId="21600059" w14:textId="77777777" w:rsidTr="00D201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AEA38F" w14:textId="77777777" w:rsidR="00DC3A3F" w:rsidRPr="00321B46" w:rsidRDefault="00DC3A3F" w:rsidP="00DC3A3F">
            <w:pPr>
              <w:spacing w:before="0" w:after="0"/>
              <w:jc w:val="center"/>
              <w:rPr>
                <w:b/>
                <w:bCs/>
                <w:color w:val="000000"/>
                <w:sz w:val="20"/>
                <w:szCs w:val="20"/>
                <w:lang w:val="es-CO" w:eastAsia="es-CO"/>
              </w:rPr>
            </w:pPr>
            <w:r w:rsidRPr="00321B46">
              <w:rPr>
                <w:b/>
                <w:bCs/>
                <w:color w:val="000000"/>
                <w:sz w:val="20"/>
                <w:szCs w:val="20"/>
                <w:lang w:val="es-CO" w:eastAsia="es-CO"/>
              </w:rPr>
              <w:t>100%</w:t>
            </w:r>
          </w:p>
        </w:tc>
        <w:tc>
          <w:tcPr>
            <w:tcW w:w="0" w:type="auto"/>
            <w:tcBorders>
              <w:top w:val="nil"/>
              <w:left w:val="nil"/>
              <w:bottom w:val="single" w:sz="4" w:space="0" w:color="auto"/>
              <w:right w:val="single" w:sz="4" w:space="0" w:color="auto"/>
            </w:tcBorders>
            <w:shd w:val="clear" w:color="auto" w:fill="auto"/>
            <w:noWrap/>
            <w:vAlign w:val="center"/>
            <w:hideMark/>
          </w:tcPr>
          <w:p w14:paraId="71C55A85" w14:textId="6E0C393F" w:rsidR="00DC3A3F" w:rsidRPr="00321B46" w:rsidRDefault="00DC3A3F" w:rsidP="00DC3A3F">
            <w:pPr>
              <w:spacing w:before="0" w:after="0"/>
              <w:jc w:val="right"/>
              <w:rPr>
                <w:color w:val="000000"/>
                <w:sz w:val="22"/>
                <w:szCs w:val="22"/>
                <w:lang w:val="es-CO" w:eastAsia="es-CO"/>
              </w:rPr>
            </w:pPr>
            <w:r w:rsidRPr="00321B46">
              <w:rPr>
                <w:color w:val="000000"/>
                <w:sz w:val="18"/>
              </w:rPr>
              <w:t>-0,</w:t>
            </w:r>
            <w:r w:rsidRPr="00321B46">
              <w:rPr>
                <w:color w:val="000000"/>
                <w:sz w:val="18"/>
                <w:szCs w:val="22"/>
              </w:rPr>
              <w:t>50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B2E9BA6" w14:textId="65FD2783" w:rsidR="00DC3A3F" w:rsidRPr="00321B46" w:rsidRDefault="00DC3A3F" w:rsidP="00DC3A3F">
            <w:pPr>
              <w:spacing w:before="0" w:after="0"/>
              <w:jc w:val="right"/>
              <w:rPr>
                <w:color w:val="000000"/>
                <w:sz w:val="22"/>
                <w:szCs w:val="22"/>
                <w:lang w:val="es-CO" w:eastAsia="es-CO"/>
              </w:rPr>
            </w:pPr>
            <w:r w:rsidRPr="00321B46">
              <w:rPr>
                <w:color w:val="000000"/>
                <w:sz w:val="18"/>
              </w:rPr>
              <w:t>-0,</w:t>
            </w:r>
            <w:r w:rsidRPr="00321B46">
              <w:rPr>
                <w:color w:val="000000"/>
                <w:sz w:val="18"/>
                <w:szCs w:val="22"/>
              </w:rPr>
              <w:t>32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616088C" w14:textId="3BE1AFB8" w:rsidR="00DC3A3F" w:rsidRPr="00321B46" w:rsidRDefault="00DC3A3F" w:rsidP="00DC3A3F">
            <w:pPr>
              <w:spacing w:before="0" w:after="0"/>
              <w:jc w:val="right"/>
              <w:rPr>
                <w:color w:val="000000"/>
                <w:sz w:val="22"/>
                <w:szCs w:val="22"/>
                <w:lang w:val="es-CO" w:eastAsia="es-CO"/>
              </w:rPr>
            </w:pPr>
            <w:r w:rsidRPr="00321B46">
              <w:rPr>
                <w:color w:val="000000"/>
                <w:sz w:val="18"/>
              </w:rPr>
              <w:t>-0,</w:t>
            </w:r>
            <w:r w:rsidRPr="00321B46">
              <w:rPr>
                <w:color w:val="000000"/>
                <w:sz w:val="18"/>
                <w:szCs w:val="22"/>
              </w:rPr>
              <w:t>18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652A327" w14:textId="5C1F0B98" w:rsidR="00DC3A3F" w:rsidRPr="00321B46" w:rsidRDefault="00DC3A3F" w:rsidP="00DC3A3F">
            <w:pPr>
              <w:spacing w:before="0" w:after="0"/>
              <w:jc w:val="right"/>
              <w:rPr>
                <w:color w:val="000000"/>
                <w:sz w:val="22"/>
                <w:szCs w:val="22"/>
                <w:lang w:val="es-CO" w:eastAsia="es-CO"/>
              </w:rPr>
            </w:pPr>
            <w:r w:rsidRPr="00321B46">
              <w:rPr>
                <w:color w:val="000000"/>
                <w:sz w:val="18"/>
              </w:rPr>
              <w:t>-0,</w:t>
            </w:r>
            <w:r w:rsidRPr="00321B46">
              <w:rPr>
                <w:color w:val="000000"/>
                <w:sz w:val="18"/>
                <w:szCs w:val="22"/>
              </w:rPr>
              <w:t>08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B49BCCC" w14:textId="2E0CB9AF" w:rsidR="00DC3A3F" w:rsidRPr="00321B46" w:rsidRDefault="00DC3A3F" w:rsidP="00DC3A3F">
            <w:pPr>
              <w:spacing w:before="0" w:after="0"/>
              <w:jc w:val="right"/>
              <w:rPr>
                <w:color w:val="000000"/>
                <w:sz w:val="22"/>
                <w:szCs w:val="22"/>
                <w:lang w:val="es-CO" w:eastAsia="es-CO"/>
              </w:rPr>
            </w:pPr>
            <w:r w:rsidRPr="00321B46">
              <w:rPr>
                <w:color w:val="000000"/>
                <w:sz w:val="18"/>
              </w:rPr>
              <w:t>-0,</w:t>
            </w:r>
            <w:r w:rsidRPr="00321B46">
              <w:rPr>
                <w:color w:val="000000"/>
                <w:sz w:val="18"/>
                <w:szCs w:val="22"/>
              </w:rPr>
              <w:t>02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6DCCFB3" w14:textId="01550D66" w:rsidR="00DC3A3F" w:rsidRPr="00321B46" w:rsidRDefault="00DC3A3F" w:rsidP="00DC3A3F">
            <w:pPr>
              <w:spacing w:before="0" w:after="0"/>
              <w:jc w:val="right"/>
              <w:rPr>
                <w:color w:val="000000"/>
                <w:sz w:val="22"/>
                <w:szCs w:val="22"/>
                <w:lang w:val="es-CO" w:eastAsia="es-CO"/>
              </w:rPr>
            </w:pPr>
            <w:r w:rsidRPr="00321B46">
              <w:rPr>
                <w:color w:val="000000"/>
                <w:sz w:val="18"/>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18EDF3" w14:textId="393C44E4" w:rsidR="00DC3A3F" w:rsidRPr="00321B46" w:rsidRDefault="00DC3A3F" w:rsidP="00DC3A3F">
            <w:pPr>
              <w:spacing w:before="0" w:after="0"/>
              <w:jc w:val="right"/>
              <w:rPr>
                <w:color w:val="000000"/>
                <w:sz w:val="22"/>
                <w:szCs w:val="22"/>
                <w:lang w:val="es-CO" w:eastAsia="es-CO"/>
              </w:rPr>
            </w:pPr>
            <w:r w:rsidRPr="00321B46">
              <w:rPr>
                <w:color w:val="000000"/>
                <w:sz w:val="18"/>
              </w:rPr>
              <w:t>-0,</w:t>
            </w:r>
            <w:r w:rsidRPr="00321B46">
              <w:rPr>
                <w:color w:val="000000"/>
                <w:sz w:val="18"/>
                <w:szCs w:val="22"/>
              </w:rPr>
              <w:t>27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76D8103" w14:textId="582BC242" w:rsidR="00DC3A3F" w:rsidRPr="00321B46" w:rsidRDefault="00DC3A3F" w:rsidP="00DC3A3F">
            <w:pPr>
              <w:spacing w:before="0" w:after="0"/>
              <w:jc w:val="right"/>
              <w:rPr>
                <w:color w:val="000000"/>
                <w:sz w:val="22"/>
                <w:szCs w:val="22"/>
                <w:lang w:val="es-CO" w:eastAsia="es-CO"/>
              </w:rPr>
            </w:pPr>
            <w:r w:rsidRPr="00321B46">
              <w:rPr>
                <w:color w:val="000000"/>
                <w:sz w:val="18"/>
              </w:rPr>
              <w:t>-0,</w:t>
            </w:r>
            <w:r w:rsidRPr="00321B46">
              <w:rPr>
                <w:color w:val="000000"/>
                <w:sz w:val="18"/>
                <w:szCs w:val="22"/>
              </w:rPr>
              <w:t>33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EFAFBC7" w14:textId="21C8393E" w:rsidR="00DC3A3F" w:rsidRPr="00321B46" w:rsidRDefault="00DC3A3F" w:rsidP="00DC3A3F">
            <w:pPr>
              <w:spacing w:before="0" w:after="0"/>
              <w:jc w:val="right"/>
              <w:rPr>
                <w:color w:val="000000"/>
                <w:sz w:val="22"/>
                <w:szCs w:val="22"/>
                <w:lang w:val="es-CO" w:eastAsia="es-CO"/>
              </w:rPr>
            </w:pPr>
            <w:r w:rsidRPr="00321B46">
              <w:rPr>
                <w:color w:val="000000"/>
                <w:sz w:val="18"/>
              </w:rPr>
              <w:t>-0,</w:t>
            </w:r>
            <w:r w:rsidRPr="00321B46">
              <w:rPr>
                <w:color w:val="000000"/>
                <w:sz w:val="18"/>
                <w:szCs w:val="22"/>
              </w:rPr>
              <w:t>43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D99B0CC" w14:textId="1948BC25" w:rsidR="00DC3A3F" w:rsidRPr="00321B46" w:rsidRDefault="00DC3A3F" w:rsidP="00DC3A3F">
            <w:pPr>
              <w:spacing w:before="0" w:after="0"/>
              <w:jc w:val="right"/>
              <w:rPr>
                <w:color w:val="000000"/>
                <w:sz w:val="22"/>
                <w:szCs w:val="22"/>
                <w:lang w:val="es-CO" w:eastAsia="es-CO"/>
              </w:rPr>
            </w:pPr>
            <w:r w:rsidRPr="00321B46">
              <w:rPr>
                <w:color w:val="000000"/>
                <w:sz w:val="18"/>
              </w:rPr>
              <w:t>-0,</w:t>
            </w:r>
            <w:r w:rsidRPr="00321B46">
              <w:rPr>
                <w:color w:val="000000"/>
                <w:sz w:val="18"/>
                <w:szCs w:val="22"/>
              </w:rPr>
              <w:t>57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C206218" w14:textId="188C6FDB" w:rsidR="00DC3A3F" w:rsidRPr="00321B46" w:rsidRDefault="00DC3A3F" w:rsidP="00DC3A3F">
            <w:pPr>
              <w:spacing w:before="0" w:after="0"/>
              <w:jc w:val="right"/>
              <w:rPr>
                <w:color w:val="000000"/>
                <w:sz w:val="22"/>
                <w:szCs w:val="22"/>
                <w:lang w:val="es-CO" w:eastAsia="es-CO"/>
              </w:rPr>
            </w:pPr>
            <w:r w:rsidRPr="00321B46">
              <w:rPr>
                <w:color w:val="000000"/>
                <w:sz w:val="18"/>
              </w:rPr>
              <w:t>-0,75%</w:t>
            </w:r>
          </w:p>
        </w:tc>
      </w:tr>
      <w:tr w:rsidR="00DC3A3F" w:rsidRPr="00321B46" w14:paraId="0C7B8ABC" w14:textId="77777777" w:rsidTr="00D201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FA10B3" w14:textId="77777777" w:rsidR="00DC3A3F" w:rsidRPr="00321B46" w:rsidRDefault="00DC3A3F" w:rsidP="00DC3A3F">
            <w:pPr>
              <w:spacing w:before="0" w:after="0"/>
              <w:jc w:val="center"/>
              <w:rPr>
                <w:b/>
                <w:bCs/>
                <w:color w:val="000000"/>
                <w:sz w:val="20"/>
                <w:szCs w:val="20"/>
                <w:lang w:val="es-CO" w:eastAsia="es-CO"/>
              </w:rPr>
            </w:pPr>
            <w:r w:rsidRPr="00321B46">
              <w:rPr>
                <w:b/>
                <w:bCs/>
                <w:color w:val="000000"/>
                <w:sz w:val="20"/>
                <w:szCs w:val="20"/>
                <w:lang w:val="es-CO" w:eastAsia="es-CO"/>
              </w:rPr>
              <w:t>102%</w:t>
            </w:r>
          </w:p>
        </w:tc>
        <w:tc>
          <w:tcPr>
            <w:tcW w:w="0" w:type="auto"/>
            <w:tcBorders>
              <w:top w:val="nil"/>
              <w:left w:val="nil"/>
              <w:bottom w:val="single" w:sz="4" w:space="0" w:color="auto"/>
              <w:right w:val="single" w:sz="4" w:space="0" w:color="auto"/>
            </w:tcBorders>
            <w:shd w:val="clear" w:color="auto" w:fill="auto"/>
            <w:noWrap/>
            <w:vAlign w:val="center"/>
            <w:hideMark/>
          </w:tcPr>
          <w:p w14:paraId="665F8FF9" w14:textId="166688E6" w:rsidR="00DC3A3F" w:rsidRPr="00321B46" w:rsidRDefault="00DC3A3F" w:rsidP="00DC3A3F">
            <w:pPr>
              <w:spacing w:before="0" w:after="0"/>
              <w:jc w:val="right"/>
              <w:rPr>
                <w:color w:val="000000"/>
                <w:sz w:val="22"/>
                <w:szCs w:val="22"/>
                <w:lang w:val="es-CO" w:eastAsia="es-CO"/>
              </w:rPr>
            </w:pPr>
            <w:r w:rsidRPr="00321B46">
              <w:rPr>
                <w:color w:val="000000"/>
                <w:sz w:val="18"/>
              </w:rPr>
              <w:t>0,</w:t>
            </w:r>
            <w:r w:rsidRPr="00321B46">
              <w:rPr>
                <w:color w:val="000000"/>
                <w:sz w:val="18"/>
                <w:szCs w:val="22"/>
              </w:rPr>
              <w:t>10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B23217D" w14:textId="769E8E88" w:rsidR="00DC3A3F" w:rsidRPr="00321B46" w:rsidRDefault="00DC3A3F" w:rsidP="00DC3A3F">
            <w:pPr>
              <w:spacing w:before="0" w:after="0"/>
              <w:jc w:val="right"/>
              <w:rPr>
                <w:color w:val="000000"/>
                <w:sz w:val="22"/>
                <w:szCs w:val="22"/>
                <w:lang w:val="es-CO" w:eastAsia="es-CO"/>
              </w:rPr>
            </w:pPr>
            <w:r w:rsidRPr="00321B46">
              <w:rPr>
                <w:color w:val="000000"/>
                <w:sz w:val="18"/>
              </w:rPr>
              <w:t>0,</w:t>
            </w:r>
            <w:r w:rsidRPr="00321B46">
              <w:rPr>
                <w:color w:val="000000"/>
                <w:sz w:val="18"/>
                <w:szCs w:val="22"/>
              </w:rPr>
              <w:t>32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DC8B70B" w14:textId="3BCEF357" w:rsidR="00DC3A3F" w:rsidRPr="00321B46" w:rsidRDefault="00DC3A3F" w:rsidP="00DC3A3F">
            <w:pPr>
              <w:spacing w:before="0" w:after="0"/>
              <w:jc w:val="right"/>
              <w:rPr>
                <w:color w:val="000000"/>
                <w:sz w:val="22"/>
                <w:szCs w:val="22"/>
                <w:lang w:val="es-CO" w:eastAsia="es-CO"/>
              </w:rPr>
            </w:pPr>
            <w:r w:rsidRPr="00321B46">
              <w:rPr>
                <w:color w:val="000000"/>
                <w:sz w:val="18"/>
              </w:rPr>
              <w:t>0,</w:t>
            </w:r>
            <w:r w:rsidRPr="00321B46">
              <w:rPr>
                <w:color w:val="000000"/>
                <w:sz w:val="18"/>
                <w:szCs w:val="22"/>
              </w:rPr>
              <w:t>50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822D392" w14:textId="0D5A14DE" w:rsidR="00DC3A3F" w:rsidRPr="00321B46" w:rsidRDefault="00DC3A3F" w:rsidP="00DC3A3F">
            <w:pPr>
              <w:spacing w:before="0" w:after="0"/>
              <w:jc w:val="right"/>
              <w:rPr>
                <w:color w:val="000000"/>
                <w:sz w:val="22"/>
                <w:szCs w:val="22"/>
                <w:lang w:val="es-CO" w:eastAsia="es-CO"/>
              </w:rPr>
            </w:pPr>
            <w:r w:rsidRPr="00321B46">
              <w:rPr>
                <w:color w:val="000000"/>
                <w:sz w:val="18"/>
                <w:szCs w:val="22"/>
              </w:rPr>
              <w:t>0,64</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B1B792F" w14:textId="53DF4E55" w:rsidR="00DC3A3F" w:rsidRPr="00321B46" w:rsidRDefault="00DC3A3F" w:rsidP="00DC3A3F">
            <w:pPr>
              <w:spacing w:before="0" w:after="0"/>
              <w:jc w:val="right"/>
              <w:rPr>
                <w:color w:val="000000"/>
                <w:sz w:val="22"/>
                <w:szCs w:val="22"/>
                <w:lang w:val="es-CO" w:eastAsia="es-CO"/>
              </w:rPr>
            </w:pPr>
            <w:r w:rsidRPr="00321B46">
              <w:rPr>
                <w:color w:val="000000"/>
                <w:sz w:val="18"/>
                <w:szCs w:val="22"/>
              </w:rPr>
              <w:t>0,74</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804BE32" w14:textId="38CCE9DF" w:rsidR="00DC3A3F" w:rsidRPr="00321B46" w:rsidRDefault="00DC3A3F" w:rsidP="00DC3A3F">
            <w:pPr>
              <w:spacing w:before="0" w:after="0"/>
              <w:jc w:val="right"/>
              <w:rPr>
                <w:color w:val="000000"/>
                <w:sz w:val="22"/>
                <w:szCs w:val="22"/>
                <w:lang w:val="es-CO" w:eastAsia="es-CO"/>
              </w:rPr>
            </w:pPr>
            <w:r w:rsidRPr="00321B46">
              <w:rPr>
                <w:color w:val="000000"/>
                <w:sz w:val="18"/>
                <w:szCs w:val="22"/>
              </w:rPr>
              <w:t>0,80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9012788" w14:textId="2834E56F" w:rsidR="00DC3A3F" w:rsidRPr="00321B46" w:rsidRDefault="00DC3A3F" w:rsidP="00DC3A3F">
            <w:pPr>
              <w:spacing w:before="0" w:after="0"/>
              <w:jc w:val="right"/>
              <w:rPr>
                <w:color w:val="000000"/>
                <w:sz w:val="22"/>
                <w:szCs w:val="22"/>
                <w:lang w:val="es-CO" w:eastAsia="es-CO"/>
              </w:rPr>
            </w:pPr>
            <w:r w:rsidRPr="00321B46">
              <w:rPr>
                <w:color w:val="000000"/>
                <w:sz w:val="18"/>
                <w:szCs w:val="22"/>
              </w:rPr>
              <w:t>0,57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C565C0D" w14:textId="10528980" w:rsidR="00DC3A3F" w:rsidRPr="00321B46" w:rsidRDefault="00DC3A3F" w:rsidP="00DC3A3F">
            <w:pPr>
              <w:spacing w:before="0" w:after="0"/>
              <w:jc w:val="right"/>
              <w:rPr>
                <w:color w:val="000000"/>
                <w:sz w:val="22"/>
                <w:szCs w:val="22"/>
                <w:lang w:val="es-CO" w:eastAsia="es-CO"/>
              </w:rPr>
            </w:pPr>
            <w:r w:rsidRPr="00321B46">
              <w:rPr>
                <w:color w:val="000000"/>
                <w:sz w:val="18"/>
                <w:szCs w:val="22"/>
              </w:rPr>
              <w:t>0,55</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8166226" w14:textId="4971B37D" w:rsidR="00DC3A3F" w:rsidRPr="00321B46" w:rsidRDefault="00DC3A3F" w:rsidP="00DC3A3F">
            <w:pPr>
              <w:spacing w:before="0" w:after="0"/>
              <w:jc w:val="right"/>
              <w:rPr>
                <w:color w:val="000000"/>
                <w:sz w:val="22"/>
                <w:szCs w:val="22"/>
                <w:lang w:val="es-CO" w:eastAsia="es-CO"/>
              </w:rPr>
            </w:pPr>
            <w:r w:rsidRPr="00321B46">
              <w:rPr>
                <w:color w:val="000000"/>
                <w:sz w:val="18"/>
                <w:szCs w:val="22"/>
              </w:rPr>
              <w:t>0,49</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DC0165C" w14:textId="29FFA0E5" w:rsidR="00DC3A3F" w:rsidRPr="00321B46" w:rsidRDefault="00DC3A3F" w:rsidP="00DC3A3F">
            <w:pPr>
              <w:spacing w:before="0" w:after="0"/>
              <w:jc w:val="right"/>
              <w:rPr>
                <w:color w:val="000000"/>
                <w:sz w:val="22"/>
                <w:szCs w:val="22"/>
                <w:lang w:val="es-CO" w:eastAsia="es-CO"/>
              </w:rPr>
            </w:pPr>
            <w:r w:rsidRPr="00321B46">
              <w:rPr>
                <w:color w:val="000000"/>
                <w:sz w:val="18"/>
                <w:szCs w:val="22"/>
              </w:rPr>
              <w:t>0,39</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D2696FF" w14:textId="4ECC4CE7" w:rsidR="00DC3A3F" w:rsidRPr="00321B46" w:rsidRDefault="00DC3A3F" w:rsidP="00DC3A3F">
            <w:pPr>
              <w:spacing w:before="0" w:after="0"/>
              <w:jc w:val="right"/>
              <w:rPr>
                <w:color w:val="000000"/>
                <w:sz w:val="22"/>
                <w:szCs w:val="22"/>
                <w:lang w:val="es-CO" w:eastAsia="es-CO"/>
              </w:rPr>
            </w:pPr>
            <w:r w:rsidRPr="00321B46">
              <w:rPr>
                <w:color w:val="000000"/>
                <w:sz w:val="18"/>
              </w:rPr>
              <w:t>0,</w:t>
            </w:r>
            <w:r w:rsidRPr="00321B46">
              <w:rPr>
                <w:color w:val="000000"/>
                <w:sz w:val="18"/>
                <w:szCs w:val="22"/>
              </w:rPr>
              <w:t>25</w:t>
            </w:r>
            <w:r w:rsidRPr="00321B46">
              <w:rPr>
                <w:color w:val="000000"/>
                <w:sz w:val="18"/>
              </w:rPr>
              <w:t>%</w:t>
            </w:r>
          </w:p>
        </w:tc>
      </w:tr>
      <w:tr w:rsidR="00DC3A3F" w:rsidRPr="00321B46" w14:paraId="60448417" w14:textId="77777777" w:rsidTr="00D201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85F675" w14:textId="77777777" w:rsidR="00DC3A3F" w:rsidRPr="00321B46" w:rsidRDefault="00DC3A3F" w:rsidP="00DC3A3F">
            <w:pPr>
              <w:spacing w:before="0" w:after="0"/>
              <w:jc w:val="center"/>
              <w:rPr>
                <w:b/>
                <w:bCs/>
                <w:color w:val="000000"/>
                <w:sz w:val="20"/>
                <w:szCs w:val="20"/>
                <w:lang w:val="es-CO" w:eastAsia="es-CO"/>
              </w:rPr>
            </w:pPr>
            <w:r w:rsidRPr="00321B46">
              <w:rPr>
                <w:b/>
                <w:bCs/>
                <w:color w:val="000000"/>
                <w:sz w:val="20"/>
                <w:szCs w:val="20"/>
                <w:lang w:val="es-CO" w:eastAsia="es-CO"/>
              </w:rPr>
              <w:t>104%</w:t>
            </w:r>
          </w:p>
        </w:tc>
        <w:tc>
          <w:tcPr>
            <w:tcW w:w="0" w:type="auto"/>
            <w:tcBorders>
              <w:top w:val="nil"/>
              <w:left w:val="nil"/>
              <w:bottom w:val="single" w:sz="4" w:space="0" w:color="auto"/>
              <w:right w:val="single" w:sz="4" w:space="0" w:color="auto"/>
            </w:tcBorders>
            <w:shd w:val="clear" w:color="auto" w:fill="auto"/>
            <w:noWrap/>
            <w:vAlign w:val="center"/>
            <w:hideMark/>
          </w:tcPr>
          <w:p w14:paraId="004CCE22" w14:textId="0EAF2059" w:rsidR="00DC3A3F" w:rsidRPr="00321B46" w:rsidRDefault="00DC3A3F" w:rsidP="00DC3A3F">
            <w:pPr>
              <w:spacing w:before="0" w:after="0"/>
              <w:jc w:val="right"/>
              <w:rPr>
                <w:color w:val="000000"/>
                <w:sz w:val="22"/>
                <w:szCs w:val="22"/>
                <w:lang w:val="es-CO" w:eastAsia="es-CO"/>
              </w:rPr>
            </w:pPr>
            <w:r w:rsidRPr="00321B46">
              <w:rPr>
                <w:color w:val="000000"/>
                <w:sz w:val="18"/>
                <w:szCs w:val="22"/>
              </w:rPr>
              <w:t>0,70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D8CA9EC" w14:textId="6F78B56B" w:rsidR="00DC3A3F" w:rsidRPr="00321B46" w:rsidRDefault="00DC3A3F" w:rsidP="00DC3A3F">
            <w:pPr>
              <w:spacing w:before="0" w:after="0"/>
              <w:jc w:val="right"/>
              <w:rPr>
                <w:color w:val="000000"/>
                <w:sz w:val="22"/>
                <w:szCs w:val="22"/>
                <w:lang w:val="es-CO" w:eastAsia="es-CO"/>
              </w:rPr>
            </w:pPr>
            <w:r w:rsidRPr="00321B46">
              <w:rPr>
                <w:color w:val="000000"/>
                <w:sz w:val="18"/>
                <w:szCs w:val="22"/>
              </w:rPr>
              <w:t>0,96</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85F85B9" w14:textId="04D4C7D4" w:rsidR="00DC3A3F" w:rsidRPr="00321B46" w:rsidRDefault="00DC3A3F" w:rsidP="00DC3A3F">
            <w:pPr>
              <w:spacing w:before="0" w:after="0"/>
              <w:jc w:val="right"/>
              <w:rPr>
                <w:color w:val="000000"/>
                <w:sz w:val="22"/>
                <w:szCs w:val="22"/>
                <w:lang w:val="es-CO" w:eastAsia="es-CO"/>
              </w:rPr>
            </w:pPr>
            <w:r w:rsidRPr="00321B46">
              <w:rPr>
                <w:color w:val="000000"/>
                <w:sz w:val="18"/>
              </w:rPr>
              <w:t>1,</w:t>
            </w:r>
            <w:r w:rsidRPr="00321B46">
              <w:rPr>
                <w:color w:val="000000"/>
                <w:sz w:val="18"/>
                <w:szCs w:val="22"/>
              </w:rPr>
              <w:t>18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399DAE8" w14:textId="7202D087" w:rsidR="00DC3A3F" w:rsidRPr="00321B46" w:rsidRDefault="00DC3A3F" w:rsidP="00DC3A3F">
            <w:pPr>
              <w:spacing w:before="0" w:after="0"/>
              <w:jc w:val="right"/>
              <w:rPr>
                <w:color w:val="000000"/>
                <w:sz w:val="22"/>
                <w:szCs w:val="22"/>
                <w:lang w:val="es-CO" w:eastAsia="es-CO"/>
              </w:rPr>
            </w:pPr>
            <w:r w:rsidRPr="00321B46">
              <w:rPr>
                <w:color w:val="000000"/>
                <w:sz w:val="18"/>
                <w:szCs w:val="22"/>
              </w:rPr>
              <w:t>1,36</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06FC1D0" w14:textId="7106B3F1" w:rsidR="00DC3A3F" w:rsidRPr="00321B46" w:rsidRDefault="00DC3A3F" w:rsidP="00DC3A3F">
            <w:pPr>
              <w:spacing w:before="0" w:after="0"/>
              <w:jc w:val="right"/>
              <w:rPr>
                <w:color w:val="000000"/>
                <w:sz w:val="22"/>
                <w:szCs w:val="22"/>
                <w:lang w:val="es-CO" w:eastAsia="es-CO"/>
              </w:rPr>
            </w:pPr>
            <w:r w:rsidRPr="00321B46">
              <w:rPr>
                <w:color w:val="000000"/>
                <w:sz w:val="18"/>
                <w:szCs w:val="22"/>
              </w:rPr>
              <w:t>1,50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A6AFFA2" w14:textId="293209C8" w:rsidR="00DC3A3F" w:rsidRPr="00321B46" w:rsidRDefault="00DC3A3F" w:rsidP="00DC3A3F">
            <w:pPr>
              <w:spacing w:before="0" w:after="0"/>
              <w:jc w:val="right"/>
              <w:rPr>
                <w:color w:val="000000"/>
                <w:sz w:val="22"/>
                <w:szCs w:val="22"/>
                <w:lang w:val="es-CO" w:eastAsia="es-CO"/>
              </w:rPr>
            </w:pPr>
            <w:r w:rsidRPr="00321B46">
              <w:rPr>
                <w:color w:val="000000"/>
                <w:sz w:val="18"/>
                <w:szCs w:val="22"/>
              </w:rPr>
              <w:t>1</w:t>
            </w:r>
            <w:r w:rsidRPr="00321B46">
              <w:rPr>
                <w:color w:val="000000"/>
                <w:sz w:val="18"/>
              </w:rPr>
              <w:t>,60%</w:t>
            </w:r>
          </w:p>
        </w:tc>
        <w:tc>
          <w:tcPr>
            <w:tcW w:w="0" w:type="auto"/>
            <w:tcBorders>
              <w:top w:val="nil"/>
              <w:left w:val="nil"/>
              <w:bottom w:val="single" w:sz="4" w:space="0" w:color="auto"/>
              <w:right w:val="single" w:sz="4" w:space="0" w:color="auto"/>
            </w:tcBorders>
            <w:shd w:val="clear" w:color="auto" w:fill="auto"/>
            <w:noWrap/>
            <w:vAlign w:val="center"/>
            <w:hideMark/>
          </w:tcPr>
          <w:p w14:paraId="55DDD719" w14:textId="7FAE006A" w:rsidR="00DC3A3F" w:rsidRPr="00321B46" w:rsidRDefault="00DC3A3F" w:rsidP="00DC3A3F">
            <w:pPr>
              <w:spacing w:before="0" w:after="0"/>
              <w:jc w:val="right"/>
              <w:rPr>
                <w:color w:val="000000"/>
                <w:sz w:val="22"/>
                <w:szCs w:val="22"/>
                <w:lang w:val="es-CO" w:eastAsia="es-CO"/>
              </w:rPr>
            </w:pPr>
            <w:r w:rsidRPr="00321B46">
              <w:rPr>
                <w:color w:val="000000"/>
                <w:sz w:val="18"/>
                <w:szCs w:val="22"/>
              </w:rPr>
              <w:t>1,41</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A91B8F1" w14:textId="5152DCA4" w:rsidR="00DC3A3F" w:rsidRPr="00321B46" w:rsidRDefault="00DC3A3F" w:rsidP="00DC3A3F">
            <w:pPr>
              <w:spacing w:before="0" w:after="0"/>
              <w:jc w:val="right"/>
              <w:rPr>
                <w:color w:val="000000"/>
                <w:sz w:val="22"/>
                <w:szCs w:val="22"/>
                <w:lang w:val="es-CO" w:eastAsia="es-CO"/>
              </w:rPr>
            </w:pPr>
            <w:r w:rsidRPr="00321B46">
              <w:rPr>
                <w:color w:val="000000"/>
                <w:sz w:val="18"/>
                <w:szCs w:val="22"/>
              </w:rPr>
              <w:t>1,43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370CDBF" w14:textId="72E75C69" w:rsidR="00DC3A3F" w:rsidRPr="00321B46" w:rsidRDefault="00DC3A3F" w:rsidP="00DC3A3F">
            <w:pPr>
              <w:spacing w:before="0" w:after="0"/>
              <w:jc w:val="right"/>
              <w:rPr>
                <w:color w:val="000000"/>
                <w:sz w:val="22"/>
                <w:szCs w:val="22"/>
                <w:lang w:val="es-CO" w:eastAsia="es-CO"/>
              </w:rPr>
            </w:pPr>
            <w:r w:rsidRPr="00321B46">
              <w:rPr>
                <w:color w:val="000000"/>
                <w:sz w:val="18"/>
                <w:szCs w:val="22"/>
              </w:rPr>
              <w:t>1,41</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991C3D9" w14:textId="30D12A5F" w:rsidR="00DC3A3F" w:rsidRPr="00321B46" w:rsidRDefault="00DC3A3F" w:rsidP="00DC3A3F">
            <w:pPr>
              <w:spacing w:before="0" w:after="0"/>
              <w:jc w:val="right"/>
              <w:rPr>
                <w:color w:val="000000"/>
                <w:sz w:val="22"/>
                <w:szCs w:val="22"/>
                <w:lang w:val="es-CO" w:eastAsia="es-CO"/>
              </w:rPr>
            </w:pPr>
            <w:r w:rsidRPr="00321B46">
              <w:rPr>
                <w:color w:val="000000"/>
                <w:sz w:val="18"/>
                <w:szCs w:val="22"/>
              </w:rPr>
              <w:t>1,35</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8131CCC" w14:textId="63534CA9" w:rsidR="00DC3A3F" w:rsidRPr="00321B46" w:rsidRDefault="00DC3A3F" w:rsidP="00DC3A3F">
            <w:pPr>
              <w:spacing w:before="0" w:after="0"/>
              <w:jc w:val="right"/>
              <w:rPr>
                <w:color w:val="000000"/>
                <w:sz w:val="22"/>
                <w:szCs w:val="22"/>
                <w:lang w:val="es-CO" w:eastAsia="es-CO"/>
              </w:rPr>
            </w:pPr>
            <w:r w:rsidRPr="00321B46">
              <w:rPr>
                <w:color w:val="000000"/>
                <w:sz w:val="18"/>
                <w:szCs w:val="22"/>
              </w:rPr>
              <w:t>1,25</w:t>
            </w:r>
            <w:r w:rsidRPr="00321B46">
              <w:rPr>
                <w:color w:val="000000"/>
                <w:sz w:val="18"/>
              </w:rPr>
              <w:t>%</w:t>
            </w:r>
          </w:p>
        </w:tc>
      </w:tr>
      <w:tr w:rsidR="00DC3A3F" w:rsidRPr="00321B46" w14:paraId="1D4A2BFA" w14:textId="77777777" w:rsidTr="00D201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8C5939" w14:textId="77777777" w:rsidR="00DC3A3F" w:rsidRPr="00321B46" w:rsidRDefault="00DC3A3F" w:rsidP="00DC3A3F">
            <w:pPr>
              <w:spacing w:before="0" w:after="0"/>
              <w:jc w:val="center"/>
              <w:rPr>
                <w:b/>
                <w:bCs/>
                <w:color w:val="000000"/>
                <w:sz w:val="20"/>
                <w:szCs w:val="20"/>
                <w:lang w:val="es-CO" w:eastAsia="es-CO"/>
              </w:rPr>
            </w:pPr>
            <w:r w:rsidRPr="00321B46">
              <w:rPr>
                <w:b/>
                <w:bCs/>
                <w:color w:val="000000"/>
                <w:sz w:val="20"/>
                <w:szCs w:val="20"/>
                <w:lang w:val="es-CO" w:eastAsia="es-CO"/>
              </w:rPr>
              <w:t>106%</w:t>
            </w:r>
          </w:p>
        </w:tc>
        <w:tc>
          <w:tcPr>
            <w:tcW w:w="0" w:type="auto"/>
            <w:tcBorders>
              <w:top w:val="nil"/>
              <w:left w:val="nil"/>
              <w:bottom w:val="single" w:sz="4" w:space="0" w:color="auto"/>
              <w:right w:val="single" w:sz="4" w:space="0" w:color="auto"/>
            </w:tcBorders>
            <w:shd w:val="clear" w:color="auto" w:fill="auto"/>
            <w:noWrap/>
            <w:vAlign w:val="center"/>
            <w:hideMark/>
          </w:tcPr>
          <w:p w14:paraId="0647A4A5" w14:textId="0DB0DA8C" w:rsidR="00DC3A3F" w:rsidRPr="00321B46" w:rsidRDefault="00DC3A3F" w:rsidP="00DC3A3F">
            <w:pPr>
              <w:spacing w:before="0" w:after="0"/>
              <w:jc w:val="right"/>
              <w:rPr>
                <w:color w:val="000000"/>
                <w:sz w:val="22"/>
                <w:szCs w:val="22"/>
                <w:lang w:val="es-CO" w:eastAsia="es-CO"/>
              </w:rPr>
            </w:pPr>
            <w:r w:rsidRPr="00321B46">
              <w:rPr>
                <w:color w:val="000000"/>
                <w:sz w:val="18"/>
                <w:szCs w:val="22"/>
              </w:rPr>
              <w:t>1,30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584059E" w14:textId="54BCD698" w:rsidR="00DC3A3F" w:rsidRPr="00321B46" w:rsidRDefault="00DC3A3F" w:rsidP="00DC3A3F">
            <w:pPr>
              <w:spacing w:before="0" w:after="0"/>
              <w:jc w:val="right"/>
              <w:rPr>
                <w:color w:val="000000"/>
                <w:sz w:val="22"/>
                <w:szCs w:val="22"/>
                <w:lang w:val="es-CO" w:eastAsia="es-CO"/>
              </w:rPr>
            </w:pPr>
            <w:r w:rsidRPr="00321B46">
              <w:rPr>
                <w:color w:val="000000"/>
                <w:sz w:val="18"/>
                <w:szCs w:val="22"/>
              </w:rPr>
              <w:t>1,60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4D8304D" w14:textId="6B8165B9" w:rsidR="00DC3A3F" w:rsidRPr="00321B46" w:rsidRDefault="00DC3A3F" w:rsidP="00DC3A3F">
            <w:pPr>
              <w:spacing w:before="0" w:after="0"/>
              <w:jc w:val="right"/>
              <w:rPr>
                <w:color w:val="000000"/>
                <w:sz w:val="22"/>
                <w:szCs w:val="22"/>
                <w:lang w:val="es-CO" w:eastAsia="es-CO"/>
              </w:rPr>
            </w:pPr>
            <w:r w:rsidRPr="00321B46">
              <w:rPr>
                <w:color w:val="000000"/>
                <w:sz w:val="18"/>
                <w:szCs w:val="22"/>
              </w:rPr>
              <w:t>1,86</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4C1D2C3" w14:textId="5E28689C" w:rsidR="00DC3A3F" w:rsidRPr="00321B46" w:rsidRDefault="00DC3A3F" w:rsidP="00DC3A3F">
            <w:pPr>
              <w:spacing w:before="0" w:after="0"/>
              <w:jc w:val="right"/>
              <w:rPr>
                <w:color w:val="000000"/>
                <w:sz w:val="22"/>
                <w:szCs w:val="22"/>
                <w:lang w:val="es-CO" w:eastAsia="es-CO"/>
              </w:rPr>
            </w:pPr>
            <w:r w:rsidRPr="00321B46">
              <w:rPr>
                <w:color w:val="000000"/>
                <w:sz w:val="18"/>
                <w:szCs w:val="22"/>
              </w:rPr>
              <w:t>2,08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ABF660B" w14:textId="4F4212FF" w:rsidR="00DC3A3F" w:rsidRPr="00321B46" w:rsidRDefault="00DC3A3F" w:rsidP="00DC3A3F">
            <w:pPr>
              <w:spacing w:before="0" w:after="0"/>
              <w:jc w:val="right"/>
              <w:rPr>
                <w:color w:val="000000"/>
                <w:sz w:val="22"/>
                <w:szCs w:val="22"/>
                <w:lang w:val="es-CO" w:eastAsia="es-CO"/>
              </w:rPr>
            </w:pPr>
            <w:r w:rsidRPr="00321B46">
              <w:rPr>
                <w:color w:val="000000"/>
                <w:sz w:val="18"/>
                <w:szCs w:val="22"/>
              </w:rPr>
              <w:t>2,26</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BBAA0B8" w14:textId="34DF90D0" w:rsidR="00DC3A3F" w:rsidRPr="00321B46" w:rsidRDefault="00DC3A3F" w:rsidP="00DC3A3F">
            <w:pPr>
              <w:spacing w:before="0" w:after="0"/>
              <w:jc w:val="right"/>
              <w:rPr>
                <w:color w:val="000000"/>
                <w:sz w:val="22"/>
                <w:szCs w:val="22"/>
                <w:lang w:val="es-CO" w:eastAsia="es-CO"/>
              </w:rPr>
            </w:pPr>
            <w:r w:rsidRPr="00321B46">
              <w:rPr>
                <w:color w:val="000000"/>
                <w:sz w:val="18"/>
                <w:szCs w:val="22"/>
              </w:rPr>
              <w:t>2,40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1B47BE6" w14:textId="7FC33CAC" w:rsidR="00DC3A3F" w:rsidRPr="00321B46" w:rsidRDefault="00DC3A3F" w:rsidP="00DC3A3F">
            <w:pPr>
              <w:spacing w:before="0" w:after="0"/>
              <w:jc w:val="right"/>
              <w:rPr>
                <w:color w:val="000000"/>
                <w:sz w:val="22"/>
                <w:szCs w:val="22"/>
                <w:lang w:val="es-CO" w:eastAsia="es-CO"/>
              </w:rPr>
            </w:pPr>
            <w:r w:rsidRPr="00321B46">
              <w:rPr>
                <w:color w:val="000000"/>
                <w:sz w:val="18"/>
                <w:szCs w:val="22"/>
              </w:rPr>
              <w:t>2,25</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64020437" w14:textId="7FFB8CC4" w:rsidR="00DC3A3F" w:rsidRPr="00321B46" w:rsidRDefault="00DC3A3F" w:rsidP="00DC3A3F">
            <w:pPr>
              <w:spacing w:before="0" w:after="0"/>
              <w:jc w:val="right"/>
              <w:rPr>
                <w:color w:val="000000"/>
                <w:sz w:val="22"/>
                <w:szCs w:val="22"/>
                <w:lang w:val="es-CO" w:eastAsia="es-CO"/>
              </w:rPr>
            </w:pPr>
            <w:r w:rsidRPr="00321B46">
              <w:rPr>
                <w:color w:val="000000"/>
                <w:sz w:val="18"/>
                <w:szCs w:val="22"/>
              </w:rPr>
              <w:t>2,31</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C688DC5" w14:textId="705425D3" w:rsidR="00DC3A3F" w:rsidRPr="00321B46" w:rsidRDefault="00DC3A3F" w:rsidP="00DC3A3F">
            <w:pPr>
              <w:spacing w:before="0" w:after="0"/>
              <w:jc w:val="right"/>
              <w:rPr>
                <w:color w:val="000000"/>
                <w:sz w:val="22"/>
                <w:szCs w:val="22"/>
                <w:lang w:val="es-CO" w:eastAsia="es-CO"/>
              </w:rPr>
            </w:pPr>
            <w:r w:rsidRPr="00321B46">
              <w:rPr>
                <w:color w:val="000000"/>
                <w:sz w:val="18"/>
                <w:szCs w:val="22"/>
              </w:rPr>
              <w:t>2,33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213859A" w14:textId="673BFBC6" w:rsidR="00DC3A3F" w:rsidRPr="00321B46" w:rsidRDefault="00DC3A3F" w:rsidP="00DC3A3F">
            <w:pPr>
              <w:spacing w:before="0" w:after="0"/>
              <w:jc w:val="right"/>
              <w:rPr>
                <w:color w:val="000000"/>
                <w:sz w:val="22"/>
                <w:szCs w:val="22"/>
                <w:lang w:val="es-CO" w:eastAsia="es-CO"/>
              </w:rPr>
            </w:pPr>
            <w:r w:rsidRPr="00321B46">
              <w:rPr>
                <w:color w:val="000000"/>
                <w:sz w:val="18"/>
                <w:szCs w:val="22"/>
              </w:rPr>
              <w:t>2,31</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1F91FEB" w14:textId="0336B8F8" w:rsidR="00DC3A3F" w:rsidRPr="00321B46" w:rsidRDefault="00DC3A3F" w:rsidP="00DC3A3F">
            <w:pPr>
              <w:spacing w:before="0" w:after="0"/>
              <w:jc w:val="right"/>
              <w:rPr>
                <w:color w:val="000000"/>
                <w:sz w:val="22"/>
                <w:szCs w:val="22"/>
                <w:lang w:val="es-CO" w:eastAsia="es-CO"/>
              </w:rPr>
            </w:pPr>
            <w:r w:rsidRPr="00321B46">
              <w:rPr>
                <w:color w:val="000000"/>
                <w:sz w:val="18"/>
                <w:szCs w:val="22"/>
              </w:rPr>
              <w:t>2,25</w:t>
            </w:r>
            <w:r w:rsidRPr="00321B46">
              <w:rPr>
                <w:color w:val="000000"/>
                <w:sz w:val="18"/>
              </w:rPr>
              <w:t>%</w:t>
            </w:r>
          </w:p>
        </w:tc>
      </w:tr>
      <w:tr w:rsidR="00DC3A3F" w:rsidRPr="00321B46" w14:paraId="74197376" w14:textId="77777777" w:rsidTr="00D201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85D2BD" w14:textId="77777777" w:rsidR="00DC3A3F" w:rsidRPr="00321B46" w:rsidRDefault="00DC3A3F" w:rsidP="00DC3A3F">
            <w:pPr>
              <w:spacing w:before="0" w:after="0"/>
              <w:jc w:val="center"/>
              <w:rPr>
                <w:b/>
                <w:bCs/>
                <w:color w:val="000000"/>
                <w:sz w:val="20"/>
                <w:szCs w:val="20"/>
                <w:lang w:val="es-CO" w:eastAsia="es-CO"/>
              </w:rPr>
            </w:pPr>
            <w:r w:rsidRPr="00321B46">
              <w:rPr>
                <w:b/>
                <w:bCs/>
                <w:color w:val="000000"/>
                <w:sz w:val="20"/>
                <w:szCs w:val="20"/>
                <w:lang w:val="es-CO" w:eastAsia="es-CO"/>
              </w:rPr>
              <w:t>108%</w:t>
            </w:r>
          </w:p>
        </w:tc>
        <w:tc>
          <w:tcPr>
            <w:tcW w:w="0" w:type="auto"/>
            <w:tcBorders>
              <w:top w:val="nil"/>
              <w:left w:val="nil"/>
              <w:bottom w:val="single" w:sz="4" w:space="0" w:color="auto"/>
              <w:right w:val="single" w:sz="4" w:space="0" w:color="auto"/>
            </w:tcBorders>
            <w:shd w:val="clear" w:color="auto" w:fill="auto"/>
            <w:noWrap/>
            <w:vAlign w:val="center"/>
            <w:hideMark/>
          </w:tcPr>
          <w:p w14:paraId="45F269FC" w14:textId="6562B3FE" w:rsidR="00DC3A3F" w:rsidRPr="00321B46" w:rsidRDefault="00DC3A3F" w:rsidP="00DC3A3F">
            <w:pPr>
              <w:spacing w:before="0" w:after="0"/>
              <w:jc w:val="right"/>
              <w:rPr>
                <w:color w:val="000000"/>
                <w:sz w:val="22"/>
                <w:szCs w:val="22"/>
                <w:lang w:val="es-CO" w:eastAsia="es-CO"/>
              </w:rPr>
            </w:pPr>
            <w:r w:rsidRPr="00321B46">
              <w:rPr>
                <w:color w:val="000000"/>
                <w:sz w:val="18"/>
                <w:szCs w:val="22"/>
              </w:rPr>
              <w:t>1,90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FD8D3C4" w14:textId="16A0166F" w:rsidR="00DC3A3F" w:rsidRPr="00321B46" w:rsidRDefault="00DC3A3F" w:rsidP="00DC3A3F">
            <w:pPr>
              <w:spacing w:before="0" w:after="0"/>
              <w:jc w:val="right"/>
              <w:rPr>
                <w:color w:val="000000"/>
                <w:sz w:val="22"/>
                <w:szCs w:val="22"/>
                <w:lang w:val="es-CO" w:eastAsia="es-CO"/>
              </w:rPr>
            </w:pPr>
            <w:r w:rsidRPr="00321B46">
              <w:rPr>
                <w:color w:val="000000"/>
                <w:sz w:val="18"/>
                <w:szCs w:val="22"/>
              </w:rPr>
              <w:t>2,24</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C4103A2" w14:textId="16894DCF" w:rsidR="00DC3A3F" w:rsidRPr="00321B46" w:rsidRDefault="00DC3A3F" w:rsidP="00DC3A3F">
            <w:pPr>
              <w:spacing w:before="0" w:after="0"/>
              <w:jc w:val="right"/>
              <w:rPr>
                <w:color w:val="000000"/>
                <w:sz w:val="22"/>
                <w:szCs w:val="22"/>
                <w:lang w:val="es-CO" w:eastAsia="es-CO"/>
              </w:rPr>
            </w:pPr>
            <w:r w:rsidRPr="00321B46">
              <w:rPr>
                <w:color w:val="000000"/>
                <w:sz w:val="18"/>
                <w:szCs w:val="22"/>
              </w:rPr>
              <w:t>2,54</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5353A64" w14:textId="2C7ABB7E" w:rsidR="00DC3A3F" w:rsidRPr="00321B46" w:rsidRDefault="00DC3A3F" w:rsidP="00DC3A3F">
            <w:pPr>
              <w:spacing w:before="0" w:after="0"/>
              <w:jc w:val="right"/>
              <w:rPr>
                <w:color w:val="000000"/>
                <w:sz w:val="22"/>
                <w:szCs w:val="22"/>
                <w:lang w:val="es-CO" w:eastAsia="es-CO"/>
              </w:rPr>
            </w:pPr>
            <w:r w:rsidRPr="00321B46">
              <w:rPr>
                <w:color w:val="000000"/>
                <w:sz w:val="18"/>
                <w:szCs w:val="22"/>
              </w:rPr>
              <w:t>2,80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60DCE52" w14:textId="7B779A93" w:rsidR="00DC3A3F" w:rsidRPr="00321B46" w:rsidRDefault="00DC3A3F" w:rsidP="00DC3A3F">
            <w:pPr>
              <w:spacing w:before="0" w:after="0"/>
              <w:jc w:val="right"/>
              <w:rPr>
                <w:color w:val="000000"/>
                <w:sz w:val="22"/>
                <w:szCs w:val="22"/>
                <w:lang w:val="es-CO" w:eastAsia="es-CO"/>
              </w:rPr>
            </w:pPr>
            <w:r w:rsidRPr="00321B46">
              <w:rPr>
                <w:color w:val="000000"/>
                <w:sz w:val="18"/>
                <w:szCs w:val="22"/>
              </w:rPr>
              <w:t>3,02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AB0D7E9" w14:textId="3671F662" w:rsidR="00DC3A3F" w:rsidRPr="00321B46" w:rsidRDefault="00DC3A3F" w:rsidP="00DC3A3F">
            <w:pPr>
              <w:spacing w:before="0" w:after="0"/>
              <w:jc w:val="right"/>
              <w:rPr>
                <w:color w:val="000000"/>
                <w:sz w:val="22"/>
                <w:szCs w:val="22"/>
                <w:lang w:val="es-CO" w:eastAsia="es-CO"/>
              </w:rPr>
            </w:pPr>
            <w:r w:rsidRPr="00321B46">
              <w:rPr>
                <w:color w:val="000000"/>
                <w:sz w:val="18"/>
                <w:szCs w:val="22"/>
              </w:rPr>
              <w:t>3</w:t>
            </w:r>
            <w:r w:rsidRPr="00321B46">
              <w:rPr>
                <w:color w:val="000000"/>
                <w:sz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4D57E15B" w14:textId="4D05E68A" w:rsidR="00DC3A3F" w:rsidRPr="00321B46" w:rsidRDefault="00DC3A3F" w:rsidP="00DC3A3F">
            <w:pPr>
              <w:spacing w:before="0" w:after="0"/>
              <w:jc w:val="right"/>
              <w:rPr>
                <w:color w:val="000000"/>
                <w:sz w:val="22"/>
                <w:szCs w:val="22"/>
                <w:lang w:val="es-CO" w:eastAsia="es-CO"/>
              </w:rPr>
            </w:pPr>
            <w:r w:rsidRPr="00321B46">
              <w:rPr>
                <w:color w:val="000000"/>
                <w:sz w:val="18"/>
                <w:szCs w:val="22"/>
              </w:rPr>
              <w:t>3,09</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3F6D467C" w14:textId="766A2D46" w:rsidR="00DC3A3F" w:rsidRPr="00321B46" w:rsidRDefault="00DC3A3F" w:rsidP="00DC3A3F">
            <w:pPr>
              <w:spacing w:before="0" w:after="0"/>
              <w:jc w:val="right"/>
              <w:rPr>
                <w:color w:val="000000"/>
                <w:sz w:val="22"/>
                <w:szCs w:val="22"/>
                <w:lang w:val="es-CO" w:eastAsia="es-CO"/>
              </w:rPr>
            </w:pPr>
            <w:r w:rsidRPr="00321B46">
              <w:rPr>
                <w:color w:val="000000"/>
                <w:sz w:val="18"/>
                <w:szCs w:val="22"/>
              </w:rPr>
              <w:t>3,19</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E35E880" w14:textId="6257BAE8" w:rsidR="00DC3A3F" w:rsidRPr="00321B46" w:rsidRDefault="00DC3A3F" w:rsidP="00DC3A3F">
            <w:pPr>
              <w:spacing w:before="0" w:after="0"/>
              <w:jc w:val="right"/>
              <w:rPr>
                <w:color w:val="000000"/>
                <w:sz w:val="22"/>
                <w:szCs w:val="22"/>
                <w:lang w:val="es-CO" w:eastAsia="es-CO"/>
              </w:rPr>
            </w:pPr>
            <w:r w:rsidRPr="00321B46">
              <w:rPr>
                <w:color w:val="000000"/>
                <w:sz w:val="18"/>
                <w:szCs w:val="22"/>
              </w:rPr>
              <w:t>3,25</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5254E17" w14:textId="5AAA4673" w:rsidR="00DC3A3F" w:rsidRPr="00321B46" w:rsidRDefault="00DC3A3F" w:rsidP="00DC3A3F">
            <w:pPr>
              <w:spacing w:before="0" w:after="0"/>
              <w:jc w:val="right"/>
              <w:rPr>
                <w:color w:val="000000"/>
                <w:sz w:val="22"/>
                <w:szCs w:val="22"/>
                <w:lang w:val="es-CO" w:eastAsia="es-CO"/>
              </w:rPr>
            </w:pPr>
            <w:r w:rsidRPr="00321B46">
              <w:rPr>
                <w:color w:val="000000"/>
                <w:sz w:val="18"/>
                <w:szCs w:val="22"/>
              </w:rPr>
              <w:t>3,27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331AF29" w14:textId="515D8065" w:rsidR="00DC3A3F" w:rsidRPr="00321B46" w:rsidRDefault="00DC3A3F" w:rsidP="00DC3A3F">
            <w:pPr>
              <w:spacing w:before="0" w:after="0"/>
              <w:jc w:val="right"/>
              <w:rPr>
                <w:color w:val="000000"/>
                <w:sz w:val="22"/>
                <w:szCs w:val="22"/>
                <w:lang w:val="es-CO" w:eastAsia="es-CO"/>
              </w:rPr>
            </w:pPr>
            <w:r w:rsidRPr="00321B46">
              <w:rPr>
                <w:color w:val="000000"/>
                <w:sz w:val="18"/>
                <w:szCs w:val="22"/>
              </w:rPr>
              <w:t>3,25</w:t>
            </w:r>
            <w:r w:rsidRPr="00321B46">
              <w:rPr>
                <w:color w:val="000000"/>
                <w:sz w:val="18"/>
              </w:rPr>
              <w:t>%</w:t>
            </w:r>
          </w:p>
        </w:tc>
      </w:tr>
      <w:tr w:rsidR="00DC3A3F" w:rsidRPr="00321B46" w14:paraId="487C7AEB" w14:textId="77777777" w:rsidTr="00D2014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6F5F38" w14:textId="77777777" w:rsidR="00DC3A3F" w:rsidRPr="00321B46" w:rsidRDefault="00DC3A3F" w:rsidP="00DC3A3F">
            <w:pPr>
              <w:spacing w:before="0" w:after="0"/>
              <w:jc w:val="center"/>
              <w:rPr>
                <w:b/>
                <w:bCs/>
                <w:color w:val="000000"/>
                <w:sz w:val="20"/>
                <w:szCs w:val="20"/>
                <w:lang w:val="es-CO" w:eastAsia="es-CO"/>
              </w:rPr>
            </w:pPr>
            <w:r w:rsidRPr="00321B46">
              <w:rPr>
                <w:b/>
                <w:bCs/>
                <w:color w:val="000000"/>
                <w:sz w:val="20"/>
                <w:szCs w:val="20"/>
                <w:lang w:val="es-CO" w:eastAsia="es-CO"/>
              </w:rPr>
              <w:t>110%</w:t>
            </w:r>
          </w:p>
        </w:tc>
        <w:tc>
          <w:tcPr>
            <w:tcW w:w="0" w:type="auto"/>
            <w:tcBorders>
              <w:top w:val="nil"/>
              <w:left w:val="nil"/>
              <w:bottom w:val="single" w:sz="4" w:space="0" w:color="auto"/>
              <w:right w:val="single" w:sz="4" w:space="0" w:color="auto"/>
            </w:tcBorders>
            <w:shd w:val="clear" w:color="auto" w:fill="auto"/>
            <w:noWrap/>
            <w:vAlign w:val="center"/>
            <w:hideMark/>
          </w:tcPr>
          <w:p w14:paraId="3EA4A9CE" w14:textId="0B137BA3" w:rsidR="00DC3A3F" w:rsidRPr="00321B46" w:rsidRDefault="00DC3A3F" w:rsidP="00DC3A3F">
            <w:pPr>
              <w:spacing w:before="0" w:after="0"/>
              <w:jc w:val="right"/>
              <w:rPr>
                <w:color w:val="000000"/>
                <w:sz w:val="22"/>
                <w:szCs w:val="22"/>
                <w:lang w:val="es-CO" w:eastAsia="es-CO"/>
              </w:rPr>
            </w:pPr>
            <w:r w:rsidRPr="00321B46">
              <w:rPr>
                <w:color w:val="000000"/>
                <w:sz w:val="18"/>
                <w:szCs w:val="22"/>
              </w:rPr>
              <w:t>2,50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E132218" w14:textId="057AC0A2" w:rsidR="00DC3A3F" w:rsidRPr="00321B46" w:rsidRDefault="00DC3A3F" w:rsidP="00DC3A3F">
            <w:pPr>
              <w:spacing w:before="0" w:after="0"/>
              <w:jc w:val="right"/>
              <w:rPr>
                <w:color w:val="000000"/>
                <w:sz w:val="22"/>
                <w:szCs w:val="22"/>
                <w:lang w:val="es-CO" w:eastAsia="es-CO"/>
              </w:rPr>
            </w:pPr>
            <w:r w:rsidRPr="00321B46">
              <w:rPr>
                <w:color w:val="000000"/>
                <w:sz w:val="18"/>
                <w:szCs w:val="22"/>
              </w:rPr>
              <w:t>2,88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4F0FDFE4" w14:textId="513CC4F7" w:rsidR="00DC3A3F" w:rsidRPr="00321B46" w:rsidRDefault="00DC3A3F" w:rsidP="00DC3A3F">
            <w:pPr>
              <w:spacing w:before="0" w:after="0"/>
              <w:jc w:val="right"/>
              <w:rPr>
                <w:color w:val="000000"/>
                <w:sz w:val="22"/>
                <w:szCs w:val="22"/>
                <w:lang w:val="es-CO" w:eastAsia="es-CO"/>
              </w:rPr>
            </w:pPr>
            <w:r w:rsidRPr="00321B46">
              <w:rPr>
                <w:color w:val="000000"/>
                <w:sz w:val="18"/>
                <w:szCs w:val="22"/>
              </w:rPr>
              <w:t>3,22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2F0CFA42" w14:textId="235D27D3" w:rsidR="00DC3A3F" w:rsidRPr="00321B46" w:rsidRDefault="00DC3A3F" w:rsidP="00DC3A3F">
            <w:pPr>
              <w:spacing w:before="0" w:after="0"/>
              <w:jc w:val="right"/>
              <w:rPr>
                <w:color w:val="000000"/>
                <w:sz w:val="22"/>
                <w:szCs w:val="22"/>
                <w:lang w:val="es-CO" w:eastAsia="es-CO"/>
              </w:rPr>
            </w:pPr>
            <w:r w:rsidRPr="00321B46">
              <w:rPr>
                <w:color w:val="000000"/>
                <w:sz w:val="18"/>
                <w:szCs w:val="22"/>
              </w:rPr>
              <w:t>3,52</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1FE973F2" w14:textId="47CD994D" w:rsidR="00DC3A3F" w:rsidRPr="00321B46" w:rsidRDefault="00DC3A3F" w:rsidP="00DC3A3F">
            <w:pPr>
              <w:spacing w:before="0" w:after="0"/>
              <w:jc w:val="right"/>
              <w:rPr>
                <w:color w:val="000000"/>
                <w:sz w:val="22"/>
                <w:szCs w:val="22"/>
                <w:lang w:val="es-CO" w:eastAsia="es-CO"/>
              </w:rPr>
            </w:pPr>
            <w:r w:rsidRPr="00321B46">
              <w:rPr>
                <w:color w:val="000000"/>
                <w:sz w:val="18"/>
                <w:szCs w:val="22"/>
              </w:rPr>
              <w:t>3,78</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5A11C6B5" w14:textId="357EFC09" w:rsidR="00DC3A3F" w:rsidRPr="00321B46" w:rsidRDefault="00DC3A3F" w:rsidP="00DC3A3F">
            <w:pPr>
              <w:spacing w:before="0" w:after="0"/>
              <w:jc w:val="right"/>
              <w:rPr>
                <w:color w:val="000000"/>
                <w:sz w:val="22"/>
                <w:szCs w:val="22"/>
                <w:lang w:val="es-CO" w:eastAsia="es-CO"/>
              </w:rPr>
            </w:pPr>
            <w:r w:rsidRPr="00321B46">
              <w:rPr>
                <w:color w:val="000000"/>
                <w:sz w:val="18"/>
                <w:szCs w:val="22"/>
              </w:rPr>
              <w:t>4,00</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700E5A4" w14:textId="6397AFAC" w:rsidR="00DC3A3F" w:rsidRPr="00321B46" w:rsidRDefault="00DC3A3F" w:rsidP="00DC3A3F">
            <w:pPr>
              <w:spacing w:before="0" w:after="0"/>
              <w:jc w:val="right"/>
              <w:rPr>
                <w:color w:val="000000"/>
                <w:sz w:val="22"/>
                <w:szCs w:val="22"/>
                <w:lang w:val="es-CO" w:eastAsia="es-CO"/>
              </w:rPr>
            </w:pPr>
            <w:r w:rsidRPr="00321B46">
              <w:rPr>
                <w:color w:val="000000"/>
                <w:sz w:val="18"/>
                <w:szCs w:val="22"/>
              </w:rPr>
              <w:t>3,93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876C740" w14:textId="4D3B417C" w:rsidR="00DC3A3F" w:rsidRPr="00321B46" w:rsidRDefault="00DC3A3F" w:rsidP="00DC3A3F">
            <w:pPr>
              <w:spacing w:before="0" w:after="0"/>
              <w:jc w:val="right"/>
              <w:rPr>
                <w:color w:val="000000"/>
                <w:sz w:val="22"/>
                <w:szCs w:val="22"/>
                <w:lang w:val="es-CO" w:eastAsia="es-CO"/>
              </w:rPr>
            </w:pPr>
            <w:r w:rsidRPr="00321B46">
              <w:rPr>
                <w:color w:val="000000"/>
                <w:sz w:val="18"/>
                <w:szCs w:val="22"/>
              </w:rPr>
              <w:t>4,07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FC6DA0F" w14:textId="754C1061" w:rsidR="00DC3A3F" w:rsidRPr="00321B46" w:rsidRDefault="00DC3A3F" w:rsidP="00DC3A3F">
            <w:pPr>
              <w:spacing w:before="0" w:after="0"/>
              <w:jc w:val="right"/>
              <w:rPr>
                <w:color w:val="000000"/>
                <w:sz w:val="22"/>
                <w:szCs w:val="22"/>
                <w:lang w:val="es-CO" w:eastAsia="es-CO"/>
              </w:rPr>
            </w:pPr>
            <w:r w:rsidRPr="00321B46">
              <w:rPr>
                <w:color w:val="000000"/>
                <w:sz w:val="18"/>
                <w:szCs w:val="22"/>
              </w:rPr>
              <w:t>4,17</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0AA85C60" w14:textId="021D4D62" w:rsidR="00DC3A3F" w:rsidRPr="00321B46" w:rsidRDefault="00DC3A3F" w:rsidP="00DC3A3F">
            <w:pPr>
              <w:spacing w:before="0" w:after="0"/>
              <w:jc w:val="right"/>
              <w:rPr>
                <w:color w:val="000000"/>
                <w:sz w:val="22"/>
                <w:szCs w:val="22"/>
                <w:lang w:val="es-CO" w:eastAsia="es-CO"/>
              </w:rPr>
            </w:pPr>
            <w:r w:rsidRPr="00321B46">
              <w:rPr>
                <w:color w:val="000000"/>
                <w:sz w:val="18"/>
                <w:szCs w:val="22"/>
              </w:rPr>
              <w:t>4,23</w:t>
            </w:r>
            <w:r w:rsidRPr="00321B46">
              <w:rPr>
                <w:color w:val="000000"/>
                <w:sz w:val="18"/>
              </w:rPr>
              <w:t>%</w:t>
            </w:r>
          </w:p>
        </w:tc>
        <w:tc>
          <w:tcPr>
            <w:tcW w:w="0" w:type="auto"/>
            <w:tcBorders>
              <w:top w:val="nil"/>
              <w:left w:val="nil"/>
              <w:bottom w:val="single" w:sz="4" w:space="0" w:color="auto"/>
              <w:right w:val="single" w:sz="4" w:space="0" w:color="auto"/>
            </w:tcBorders>
            <w:shd w:val="clear" w:color="auto" w:fill="auto"/>
            <w:noWrap/>
            <w:vAlign w:val="center"/>
            <w:hideMark/>
          </w:tcPr>
          <w:p w14:paraId="77EC8A24" w14:textId="392E4AB2" w:rsidR="00DC3A3F" w:rsidRPr="00321B46" w:rsidRDefault="00DC3A3F" w:rsidP="00DC3A3F">
            <w:pPr>
              <w:spacing w:before="0" w:after="0"/>
              <w:jc w:val="right"/>
              <w:rPr>
                <w:color w:val="000000"/>
                <w:sz w:val="22"/>
                <w:szCs w:val="22"/>
                <w:lang w:val="es-CO" w:eastAsia="es-CO"/>
              </w:rPr>
            </w:pPr>
            <w:r w:rsidRPr="00321B46">
              <w:rPr>
                <w:color w:val="000000"/>
                <w:sz w:val="18"/>
                <w:szCs w:val="22"/>
              </w:rPr>
              <w:t>4</w:t>
            </w:r>
            <w:r w:rsidRPr="00321B46">
              <w:rPr>
                <w:color w:val="000000"/>
                <w:sz w:val="18"/>
              </w:rPr>
              <w:t>,25%</w:t>
            </w:r>
          </w:p>
        </w:tc>
      </w:tr>
    </w:tbl>
    <w:p w14:paraId="72D66C2F" w14:textId="77777777" w:rsidR="000F535D" w:rsidRPr="00321B46" w:rsidRDefault="000F535D" w:rsidP="0004502D">
      <w:pPr>
        <w:pStyle w:val="Ttulo3"/>
      </w:pPr>
      <w:bookmarkStart w:id="218" w:name="_Ref461110297"/>
      <w:bookmarkStart w:id="219" w:name="_Toc466392642"/>
      <w:r w:rsidRPr="00321B46">
        <w:t>Ajuste por ingresos de inversiones</w:t>
      </w:r>
      <w:bookmarkEnd w:id="218"/>
      <w:bookmarkEnd w:id="219"/>
    </w:p>
    <w:p w14:paraId="27014255" w14:textId="77777777" w:rsidR="000F535D" w:rsidRPr="00321B46" w:rsidRDefault="000F535D" w:rsidP="000F535D">
      <w:r w:rsidRPr="00321B46">
        <w:t>El ajuste en los ingresos por la eficiencia en inversiones se calcula con base en la siguiente expresión:</w:t>
      </w:r>
    </w:p>
    <w:p w14:paraId="765A8912" w14:textId="42D6EA76" w:rsidR="000F535D" w:rsidRPr="00321B46" w:rsidRDefault="000F535D" w:rsidP="000F535D">
      <w:pPr>
        <w:rPr>
          <w:lang w:val="es-ES_tradnl"/>
        </w:rPr>
      </w:pPr>
      <m:oMathPara>
        <m:oMath>
          <m:r>
            <w:rPr>
              <w:rFonts w:ascii="Cambria Math" w:hAnsi="Cambria Math"/>
              <w:sz w:val="28"/>
              <w:lang w:val="es-ES_tradnl"/>
            </w:rPr>
            <m:t>A</m:t>
          </m:r>
          <m:sSub>
            <m:sSubPr>
              <m:ctrlPr>
                <w:rPr>
                  <w:rFonts w:ascii="Cambria Math" w:hAnsi="Cambria Math"/>
                  <w:i/>
                  <w:sz w:val="28"/>
                  <w:lang w:val="es-ES_tradnl"/>
                </w:rPr>
              </m:ctrlPr>
            </m:sSubPr>
            <m:e>
              <m:r>
                <w:rPr>
                  <w:rFonts w:ascii="Cambria Math" w:hAnsi="Cambria Math"/>
                  <w:sz w:val="28"/>
                  <w:lang w:val="es-ES_tradnl"/>
                </w:rPr>
                <m:t xml:space="preserve">INCI </m:t>
              </m:r>
            </m:e>
            <m:sub>
              <m:r>
                <w:rPr>
                  <w:rFonts w:ascii="Cambria Math" w:hAnsi="Cambria Math"/>
                  <w:sz w:val="28"/>
                  <w:lang w:val="es-ES_tradnl"/>
                </w:rPr>
                <m:t>j,t</m:t>
              </m:r>
            </m:sub>
          </m:sSub>
          <m:r>
            <w:rPr>
              <w:rFonts w:ascii="Cambria Math" w:hAnsi="Cambria Math"/>
              <w:sz w:val="28"/>
              <w:lang w:val="es-ES_tradnl"/>
            </w:rPr>
            <m:t>=</m:t>
          </m:r>
          <m:sSub>
            <m:sSubPr>
              <m:ctrlPr>
                <w:rPr>
                  <w:rFonts w:ascii="Cambria Math" w:hAnsi="Cambria Math"/>
                  <w:i/>
                  <w:sz w:val="28"/>
                </w:rPr>
              </m:ctrlPr>
            </m:sSubPr>
            <m:e>
              <m:r>
                <w:rPr>
                  <w:rFonts w:ascii="Cambria Math"/>
                  <w:sz w:val="28"/>
                </w:rPr>
                <m:t>INVR</m:t>
              </m:r>
            </m:e>
            <m:sub>
              <m:r>
                <w:rPr>
                  <w:rFonts w:ascii="Cambria Math"/>
                  <w:sz w:val="28"/>
                </w:rPr>
                <m:t>j,t</m:t>
              </m:r>
            </m:sub>
          </m:sSub>
          <m:sSub>
            <m:sSubPr>
              <m:ctrlPr>
                <w:rPr>
                  <w:rFonts w:ascii="Cambria Math" w:hAnsi="Cambria Math"/>
                  <w:i/>
                  <w:sz w:val="28"/>
                  <w:lang w:val="es-ES_tradnl"/>
                </w:rPr>
              </m:ctrlPr>
            </m:sSubPr>
            <m:e>
              <m:r>
                <w:rPr>
                  <w:rFonts w:ascii="Cambria Math" w:hAnsi="Cambria Math"/>
                  <w:sz w:val="28"/>
                  <w:lang w:val="es-ES_tradnl"/>
                </w:rPr>
                <m:t>*AINCAI</m:t>
              </m:r>
            </m:e>
            <m:sub>
              <m:r>
                <w:rPr>
                  <w:rFonts w:ascii="Cambria Math" w:hAnsi="Cambria Math"/>
                  <w:sz w:val="28"/>
                  <w:lang w:val="es-ES_tradnl"/>
                </w:rPr>
                <m:t>j,t</m:t>
              </m:r>
            </m:sub>
          </m:sSub>
        </m:oMath>
      </m:oMathPara>
    </w:p>
    <w:p w14:paraId="0A4981B6" w14:textId="77777777" w:rsidR="000F535D" w:rsidRPr="00321B46" w:rsidRDefault="000F535D" w:rsidP="000F535D">
      <w:pPr>
        <w:rPr>
          <w:lang w:val="es-ES_tradnl"/>
        </w:rPr>
      </w:pPr>
      <w:r w:rsidRPr="00321B46">
        <w:rPr>
          <w:lang w:val="es-ES_tradnl"/>
        </w:rPr>
        <w:t>Donde:</w:t>
      </w:r>
    </w:p>
    <w:p w14:paraId="4101D47F" w14:textId="3542A7FD" w:rsidR="000F535D" w:rsidRPr="00321B46" w:rsidRDefault="000F535D" w:rsidP="000F535D">
      <w:pPr>
        <w:ind w:left="1410" w:hanging="1410"/>
        <w:rPr>
          <w:rFonts w:cs="Arial"/>
          <w:i/>
          <w:lang w:val="es-ES_tradnl"/>
        </w:rPr>
      </w:pPr>
      <w:r w:rsidRPr="00321B46">
        <w:rPr>
          <w:i/>
          <w:iCs/>
        </w:rPr>
        <w:t>AINCI</w:t>
      </w:r>
      <w:r w:rsidRPr="00321B46">
        <w:rPr>
          <w:i/>
          <w:iCs/>
          <w:vertAlign w:val="subscript"/>
        </w:rPr>
        <w:t>j,t</w:t>
      </w:r>
      <w:r w:rsidRPr="00321B46">
        <w:t>:</w:t>
      </w:r>
      <w:r w:rsidRPr="00321B46">
        <w:tab/>
        <w:t xml:space="preserve">Ajuste al ingreso anual por incentivos asociados con la eficiencia en las inversiones del </w:t>
      </w:r>
      <w:r w:rsidR="003771D9" w:rsidRPr="00321B46">
        <w:t>TN</w:t>
      </w:r>
      <w:r w:rsidRPr="00321B46">
        <w:t xml:space="preserve"> </w:t>
      </w:r>
      <w:r w:rsidRPr="00321B46">
        <w:rPr>
          <w:i/>
        </w:rPr>
        <w:t xml:space="preserve">j </w:t>
      </w:r>
      <w:r w:rsidRPr="00321B46">
        <w:t xml:space="preserve">en el año </w:t>
      </w:r>
      <w:r w:rsidRPr="00321B46">
        <w:rPr>
          <w:i/>
        </w:rPr>
        <w:t>t.</w:t>
      </w:r>
    </w:p>
    <w:p w14:paraId="2DCC66F8" w14:textId="06CD0AF1" w:rsidR="000F535D" w:rsidRPr="00321B46" w:rsidRDefault="000F535D" w:rsidP="000F535D">
      <w:pPr>
        <w:ind w:left="1410" w:hanging="1410"/>
        <w:rPr>
          <w:rFonts w:cs="Arial"/>
          <w:i/>
          <w:lang w:val="es-ES_tradnl"/>
        </w:rPr>
      </w:pPr>
      <w:r w:rsidRPr="00321B46">
        <w:rPr>
          <w:rFonts w:cs="Arial"/>
          <w:i/>
          <w:lang w:val="es-ES_tradnl"/>
        </w:rPr>
        <w:t>INVR</w:t>
      </w:r>
      <w:r w:rsidRPr="00321B46">
        <w:rPr>
          <w:rFonts w:cs="Arial"/>
          <w:i/>
          <w:vertAlign w:val="subscript"/>
          <w:lang w:val="es-ES_tradnl"/>
        </w:rPr>
        <w:t>j,t</w:t>
      </w:r>
      <w:r w:rsidRPr="00321B46">
        <w:rPr>
          <w:rFonts w:cs="Arial"/>
          <w:lang w:val="es-ES_tradnl"/>
        </w:rPr>
        <w:t>:</w:t>
      </w:r>
      <w:r w:rsidRPr="00321B46">
        <w:rPr>
          <w:rFonts w:cs="Arial"/>
          <w:lang w:val="es-ES_tradnl"/>
        </w:rPr>
        <w:tab/>
        <w:t xml:space="preserve">Inversiones de referencia del </w:t>
      </w:r>
      <w:r w:rsidR="003771D9" w:rsidRPr="00321B46">
        <w:rPr>
          <w:rFonts w:cs="Arial"/>
          <w:lang w:val="es-ES_tradnl"/>
        </w:rPr>
        <w:t>TN</w:t>
      </w:r>
      <w:r w:rsidRPr="00321B46">
        <w:rPr>
          <w:rFonts w:cs="Arial"/>
          <w:lang w:val="es-ES_tradnl"/>
        </w:rPr>
        <w:t xml:space="preserve"> </w:t>
      </w:r>
      <w:r w:rsidRPr="00321B46">
        <w:rPr>
          <w:rFonts w:cs="Arial"/>
          <w:i/>
          <w:lang w:val="es-ES_tradnl"/>
        </w:rPr>
        <w:t>j,</w:t>
      </w:r>
      <w:r w:rsidRPr="00321B46">
        <w:rPr>
          <w:rFonts w:cs="Arial"/>
          <w:lang w:val="es-ES_tradnl"/>
        </w:rPr>
        <w:t xml:space="preserve"> para </w:t>
      </w:r>
      <w:r w:rsidRPr="00321B46">
        <w:rPr>
          <w:lang w:val="es-ES_tradnl"/>
        </w:rPr>
        <w:t xml:space="preserve">el año </w:t>
      </w:r>
      <w:r w:rsidRPr="00321B46">
        <w:rPr>
          <w:i/>
          <w:lang w:val="es-ES_tradnl"/>
        </w:rPr>
        <w:t>t</w:t>
      </w:r>
      <w:r w:rsidRPr="00321B46">
        <w:rPr>
          <w:rFonts w:cs="Arial"/>
          <w:lang w:val="es-ES_tradnl"/>
        </w:rPr>
        <w:t xml:space="preserve">. Según lo establecido en el numeral </w:t>
      </w:r>
      <w:r w:rsidRPr="00321B46">
        <w:rPr>
          <w:rFonts w:cs="Arial"/>
          <w:lang w:val="es-ES_tradnl"/>
        </w:rPr>
        <w:fldChar w:fldCharType="begin"/>
      </w:r>
      <w:r w:rsidRPr="00321B46">
        <w:rPr>
          <w:rFonts w:cs="Arial"/>
          <w:lang w:val="es-ES_tradnl"/>
        </w:rPr>
        <w:instrText xml:space="preserve"> REF _Ref444766586 \r \h </w:instrText>
      </w:r>
      <w:r w:rsidR="00321B46">
        <w:rPr>
          <w:rFonts w:cs="Arial"/>
          <w:lang w:val="es-ES_tradnl"/>
        </w:rPr>
        <w:instrText xml:space="preserve"> \* MERGEFORMAT </w:instrText>
      </w:r>
      <w:r w:rsidRPr="00321B46">
        <w:rPr>
          <w:rFonts w:cs="Arial"/>
          <w:lang w:val="es-ES_tradnl"/>
        </w:rPr>
      </w:r>
      <w:r w:rsidRPr="00321B46">
        <w:rPr>
          <w:rFonts w:cs="Arial"/>
          <w:lang w:val="es-ES_tradnl"/>
        </w:rPr>
        <w:fldChar w:fldCharType="separate"/>
      </w:r>
      <w:r w:rsidR="000F355F">
        <w:rPr>
          <w:rFonts w:cs="Arial"/>
          <w:lang w:val="es-ES_tradnl"/>
        </w:rPr>
        <w:t>4.3.1.2</w:t>
      </w:r>
      <w:r w:rsidRPr="00321B46">
        <w:rPr>
          <w:rFonts w:cs="Arial"/>
          <w:lang w:val="es-ES_tradnl"/>
        </w:rPr>
        <w:fldChar w:fldCharType="end"/>
      </w:r>
      <w:r w:rsidRPr="00321B46">
        <w:rPr>
          <w:rFonts w:cs="Arial"/>
          <w:lang w:val="es-ES_tradnl"/>
        </w:rPr>
        <w:t>.</w:t>
      </w:r>
    </w:p>
    <w:p w14:paraId="1596FA55" w14:textId="032986F6" w:rsidR="000F535D" w:rsidRPr="00321B46" w:rsidRDefault="000F535D" w:rsidP="000F535D">
      <w:pPr>
        <w:ind w:left="1410" w:hanging="1410"/>
        <w:rPr>
          <w:i/>
          <w:lang w:val="es-ES_tradnl"/>
        </w:rPr>
      </w:pPr>
      <w:r w:rsidRPr="00321B46">
        <w:rPr>
          <w:rFonts w:cs="Arial"/>
          <w:i/>
          <w:lang w:val="es-ES_tradnl"/>
        </w:rPr>
        <w:t xml:space="preserve">AINCAI </w:t>
      </w:r>
      <w:r w:rsidRPr="00321B46">
        <w:rPr>
          <w:rFonts w:cs="Arial"/>
          <w:i/>
          <w:vertAlign w:val="subscript"/>
          <w:lang w:val="es-ES_tradnl"/>
        </w:rPr>
        <w:t>j,t</w:t>
      </w:r>
      <w:r w:rsidRPr="00321B46">
        <w:rPr>
          <w:rFonts w:cs="Arial"/>
          <w:lang w:val="es-ES_tradnl"/>
        </w:rPr>
        <w:t>:</w:t>
      </w:r>
      <w:r w:rsidRPr="00321B46">
        <w:rPr>
          <w:rFonts w:cs="Arial"/>
          <w:lang w:val="es-ES_tradnl"/>
        </w:rPr>
        <w:tab/>
      </w:r>
      <w:r w:rsidRPr="00321B46">
        <w:rPr>
          <w:rFonts w:cs="Arial"/>
          <w:lang w:val="es-ES_tradnl"/>
        </w:rPr>
        <w:tab/>
        <w:t xml:space="preserve">Ajuste de ingresos </w:t>
      </w:r>
      <w:r w:rsidRPr="00321B46">
        <w:rPr>
          <w:lang w:val="es-ES_tradnl"/>
        </w:rPr>
        <w:t xml:space="preserve">por eficiencia en inversiones por el </w:t>
      </w:r>
      <w:r w:rsidR="003771D9" w:rsidRPr="00321B46">
        <w:rPr>
          <w:lang w:val="es-ES_tradnl"/>
        </w:rPr>
        <w:t>TN</w:t>
      </w:r>
      <w:r w:rsidRPr="00321B46">
        <w:rPr>
          <w:lang w:val="es-ES_tradnl"/>
        </w:rPr>
        <w:t xml:space="preserve"> </w:t>
      </w:r>
      <w:r w:rsidRPr="00321B46">
        <w:rPr>
          <w:i/>
          <w:lang w:val="es-ES_tradnl"/>
        </w:rPr>
        <w:t>j</w:t>
      </w:r>
      <w:r w:rsidRPr="00321B46">
        <w:rPr>
          <w:lang w:val="es-ES_tradnl"/>
        </w:rPr>
        <w:t xml:space="preserve"> en el año</w:t>
      </w:r>
      <w:r w:rsidR="003771D9" w:rsidRPr="00321B46">
        <w:rPr>
          <w:lang w:val="es-ES_tradnl"/>
        </w:rPr>
        <w:t> </w:t>
      </w:r>
      <w:r w:rsidRPr="00321B46">
        <w:rPr>
          <w:i/>
          <w:lang w:val="es-ES_tradnl"/>
        </w:rPr>
        <w:t>t</w:t>
      </w:r>
      <w:r w:rsidR="00D2014B" w:rsidRPr="00321B46">
        <w:rPr>
          <w:lang w:val="es-ES_tradnl"/>
        </w:rPr>
        <w:t xml:space="preserve">, tomado </w:t>
      </w:r>
      <w:r w:rsidRPr="00321B46">
        <w:rPr>
          <w:rFonts w:cs="Arial"/>
          <w:lang w:val="es-ES_tradnl"/>
        </w:rPr>
        <w:t xml:space="preserve">de la </w:t>
      </w:r>
      <w:r w:rsidRPr="00321B46">
        <w:rPr>
          <w:rFonts w:cs="Arial"/>
          <w:lang w:val="es-ES_tradnl"/>
        </w:rPr>
        <w:fldChar w:fldCharType="begin"/>
      </w:r>
      <w:r w:rsidRPr="00321B46">
        <w:rPr>
          <w:rFonts w:cs="Arial"/>
          <w:lang w:val="es-ES_tradnl"/>
        </w:rPr>
        <w:instrText xml:space="preserve"> REF _Ref460937727 \h </w:instrText>
      </w:r>
      <w:r w:rsidR="00321B46">
        <w:rPr>
          <w:rFonts w:cs="Arial"/>
          <w:lang w:val="es-ES_tradnl"/>
        </w:rPr>
        <w:instrText xml:space="preserve"> \* MERGEFORMAT </w:instrText>
      </w:r>
      <w:r w:rsidRPr="00321B46">
        <w:rPr>
          <w:rFonts w:cs="Arial"/>
          <w:lang w:val="es-ES_tradnl"/>
        </w:rPr>
      </w:r>
      <w:r w:rsidRPr="00321B46">
        <w:rPr>
          <w:rFonts w:cs="Arial"/>
          <w:lang w:val="es-ES_tradnl"/>
        </w:rPr>
        <w:fldChar w:fldCharType="separate"/>
      </w:r>
      <w:r w:rsidR="000F355F" w:rsidRPr="00321B46">
        <w:t xml:space="preserve">Tabla </w:t>
      </w:r>
      <w:r w:rsidR="000F355F">
        <w:rPr>
          <w:noProof/>
        </w:rPr>
        <w:t>4</w:t>
      </w:r>
      <w:r w:rsidRPr="00321B46">
        <w:rPr>
          <w:rFonts w:cs="Arial"/>
          <w:lang w:val="es-ES_tradnl"/>
        </w:rPr>
        <w:fldChar w:fldCharType="end"/>
      </w:r>
      <w:r w:rsidRPr="00321B46">
        <w:rPr>
          <w:rFonts w:cs="Arial"/>
          <w:lang w:val="es-ES_tradnl"/>
        </w:rPr>
        <w:t>.</w:t>
      </w:r>
    </w:p>
    <w:p w14:paraId="140FED77" w14:textId="77777777" w:rsidR="009954EA" w:rsidRPr="00321B46" w:rsidRDefault="009954EA" w:rsidP="003448EC">
      <w:pPr>
        <w:pStyle w:val="Ttulo4"/>
      </w:pPr>
      <w:bookmarkStart w:id="220" w:name="_Toc465926043"/>
      <w:bookmarkStart w:id="221" w:name="_Toc465926305"/>
      <w:bookmarkStart w:id="222" w:name="_Toc465926566"/>
      <w:bookmarkStart w:id="223" w:name="_Toc465926827"/>
      <w:bookmarkStart w:id="224" w:name="_Toc465928034"/>
      <w:bookmarkStart w:id="225" w:name="_Ref444766497"/>
      <w:bookmarkStart w:id="226" w:name="_Toc408493154"/>
      <w:bookmarkStart w:id="227" w:name="_Toc411243799"/>
      <w:bookmarkStart w:id="228" w:name="_Ref444766431"/>
      <w:bookmarkEnd w:id="220"/>
      <w:bookmarkEnd w:id="221"/>
      <w:bookmarkEnd w:id="222"/>
      <w:bookmarkEnd w:id="223"/>
      <w:bookmarkEnd w:id="224"/>
      <w:r w:rsidRPr="00321B46">
        <w:t>Inversiones aprobadas</w:t>
      </w:r>
      <w:bookmarkEnd w:id="225"/>
    </w:p>
    <w:p w14:paraId="4215A8C0" w14:textId="34D953DD" w:rsidR="009954EA" w:rsidRPr="00321B46" w:rsidRDefault="009954EA" w:rsidP="009954EA">
      <w:r w:rsidRPr="00321B46">
        <w:t xml:space="preserve">Las inversiones aprobadas en el plan de inversiones, </w:t>
      </w:r>
      <w:r w:rsidRPr="00321B46">
        <w:rPr>
          <w:i/>
        </w:rPr>
        <w:t>INVA</w:t>
      </w:r>
      <w:r w:rsidR="008F49B0" w:rsidRPr="00321B46">
        <w:rPr>
          <w:i/>
          <w:iCs/>
          <w:vertAlign w:val="subscript"/>
        </w:rPr>
        <w:t>j</w:t>
      </w:r>
      <w:r w:rsidRPr="00321B46">
        <w:rPr>
          <w:i/>
          <w:iCs/>
          <w:vertAlign w:val="subscript"/>
        </w:rPr>
        <w:t>,t</w:t>
      </w:r>
      <w:r w:rsidR="00674134" w:rsidRPr="00321B46">
        <w:t xml:space="preserve">, </w:t>
      </w:r>
      <w:r w:rsidRPr="00321B46">
        <w:t>se calculan de la siguiente manera:</w:t>
      </w:r>
    </w:p>
    <w:p w14:paraId="53F7A245" w14:textId="77777777" w:rsidR="009954EA" w:rsidRPr="00321B46" w:rsidRDefault="00651802" w:rsidP="009954EA">
      <m:oMathPara>
        <m:oMath>
          <m:sSub>
            <m:sSubPr>
              <m:ctrlPr>
                <w:rPr>
                  <w:rFonts w:ascii="Cambria Math" w:hAnsi="Cambria Math"/>
                  <w:i/>
                </w:rPr>
              </m:ctrlPr>
            </m:sSubPr>
            <m:e>
              <m:r>
                <w:rPr>
                  <w:rFonts w:ascii="Cambria Math" w:hAnsi="Cambria Math"/>
                </w:rPr>
                <m:t>INVA</m:t>
              </m:r>
            </m:e>
            <m:sub>
              <m:r>
                <w:rPr>
                  <w:rFonts w:ascii="Cambria Math" w:hAnsi="Cambria Math"/>
                </w:rPr>
                <m:t>j</m:t>
              </m:r>
              <m:r>
                <w:rPr>
                  <w:rFonts w:ascii="Cambria Math"/>
                </w:rPr>
                <m:t>,t</m:t>
              </m:r>
            </m:sub>
          </m:sSub>
          <m:r>
            <w:rPr>
              <w:rFonts w:ascii="Cambria Math"/>
            </w:rPr>
            <m:t>=</m:t>
          </m:r>
          <m:nary>
            <m:naryPr>
              <m:chr m:val="∑"/>
              <m:limLoc m:val="undOvr"/>
              <m:ctrlPr>
                <w:rPr>
                  <w:rFonts w:ascii="Cambria Math" w:hAnsi="Cambria Math"/>
                  <w:i/>
                </w:rPr>
              </m:ctrlPr>
            </m:naryPr>
            <m:sub>
              <m:r>
                <w:rPr>
                  <w:rFonts w:ascii="Cambria Math"/>
                </w:rPr>
                <m:t>k=1</m:t>
              </m:r>
            </m:sub>
            <m:sup>
              <m:r>
                <w:rPr>
                  <w:rFonts w:ascii="Cambria Math" w:hAnsi="Cambria Math"/>
                </w:rPr>
                <m:t>K</m:t>
              </m:r>
            </m:sup>
            <m:e>
              <m:sSub>
                <m:sSubPr>
                  <m:ctrlPr>
                    <w:rPr>
                      <w:rFonts w:ascii="Cambria Math" w:hAnsi="Cambria Math"/>
                      <w:i/>
                    </w:rPr>
                  </m:ctrlPr>
                </m:sSubPr>
                <m:e>
                  <m:r>
                    <w:rPr>
                      <w:rFonts w:ascii="Cambria Math"/>
                    </w:rPr>
                    <m:t>INVA</m:t>
                  </m:r>
                </m:e>
                <m:sub>
                  <m:r>
                    <w:rPr>
                      <w:rFonts w:ascii="Cambria Math"/>
                    </w:rPr>
                    <m:t>j,k,t</m:t>
                  </m:r>
                </m:sub>
              </m:sSub>
            </m:e>
          </m:nary>
        </m:oMath>
      </m:oMathPara>
    </w:p>
    <w:p w14:paraId="5E1906B5" w14:textId="77777777" w:rsidR="009954EA" w:rsidRPr="00321B46" w:rsidRDefault="009954EA" w:rsidP="008F49B0">
      <w:r w:rsidRPr="00321B46">
        <w:t>Donde:</w:t>
      </w:r>
    </w:p>
    <w:p w14:paraId="01233F33" w14:textId="77777777" w:rsidR="009954EA" w:rsidRPr="00321B46" w:rsidRDefault="009954EA" w:rsidP="008F49B0">
      <w:pPr>
        <w:spacing w:before="120"/>
        <w:ind w:left="1418" w:hanging="1418"/>
        <w:rPr>
          <w:i/>
          <w:iCs/>
        </w:rPr>
      </w:pPr>
      <w:r w:rsidRPr="00321B46">
        <w:rPr>
          <w:i/>
          <w:iCs/>
        </w:rPr>
        <w:t>INVA</w:t>
      </w:r>
      <w:r w:rsidR="00C40C3C" w:rsidRPr="00321B46">
        <w:rPr>
          <w:i/>
          <w:iCs/>
          <w:vertAlign w:val="subscript"/>
        </w:rPr>
        <w:t>j</w:t>
      </w:r>
      <w:r w:rsidRPr="00321B46">
        <w:rPr>
          <w:i/>
          <w:iCs/>
          <w:vertAlign w:val="subscript"/>
        </w:rPr>
        <w:t>,t</w:t>
      </w:r>
      <w:r w:rsidRPr="00321B46">
        <w:t>:</w:t>
      </w:r>
      <w:r w:rsidRPr="00321B46">
        <w:tab/>
        <w:t xml:space="preserve">Inversiones en activos aprobados en el plan de inversiones del </w:t>
      </w:r>
      <w:r w:rsidR="00C40C3C" w:rsidRPr="00321B46">
        <w:t>TN</w:t>
      </w:r>
      <w:r w:rsidRPr="00321B46">
        <w:t xml:space="preserve"> </w:t>
      </w:r>
      <w:r w:rsidRPr="00321B46">
        <w:rPr>
          <w:i/>
        </w:rPr>
        <w:t xml:space="preserve">j </w:t>
      </w:r>
      <w:r w:rsidRPr="00321B46">
        <w:t xml:space="preserve">durante el año </w:t>
      </w:r>
      <w:r w:rsidRPr="00321B46">
        <w:rPr>
          <w:i/>
        </w:rPr>
        <w:t>t</w:t>
      </w:r>
      <w:r w:rsidRPr="00321B46">
        <w:t>.</w:t>
      </w:r>
    </w:p>
    <w:p w14:paraId="403C3B27" w14:textId="640FDEC9" w:rsidR="009954EA" w:rsidRPr="00321B46" w:rsidRDefault="009954EA" w:rsidP="008F49B0">
      <w:pPr>
        <w:spacing w:before="120"/>
        <w:ind w:left="1418" w:hanging="1418"/>
        <w:rPr>
          <w:iCs/>
        </w:rPr>
      </w:pPr>
      <w:r w:rsidRPr="00321B46">
        <w:rPr>
          <w:i/>
          <w:iCs/>
        </w:rPr>
        <w:t>INVA</w:t>
      </w:r>
      <w:r w:rsidRPr="00321B46">
        <w:rPr>
          <w:i/>
          <w:iCs/>
          <w:vertAlign w:val="subscript"/>
        </w:rPr>
        <w:t>j,</w:t>
      </w:r>
      <w:r w:rsidR="00C40C3C" w:rsidRPr="00321B46">
        <w:rPr>
          <w:i/>
          <w:iCs/>
          <w:vertAlign w:val="subscript"/>
        </w:rPr>
        <w:t>k</w:t>
      </w:r>
      <w:r w:rsidRPr="00321B46">
        <w:rPr>
          <w:i/>
          <w:iCs/>
          <w:vertAlign w:val="subscript"/>
        </w:rPr>
        <w:t>,t</w:t>
      </w:r>
      <w:r w:rsidRPr="00321B46">
        <w:t>:</w:t>
      </w:r>
      <w:r w:rsidRPr="00321B46">
        <w:tab/>
        <w:t xml:space="preserve">Inversiones aprobadas en el plan de inversiones del </w:t>
      </w:r>
      <w:r w:rsidR="006E3F01" w:rsidRPr="00321B46">
        <w:t>TN</w:t>
      </w:r>
      <w:r w:rsidRPr="00321B46">
        <w:t xml:space="preserve"> </w:t>
      </w:r>
      <w:r w:rsidRPr="00321B46">
        <w:rPr>
          <w:i/>
        </w:rPr>
        <w:t xml:space="preserve">j </w:t>
      </w:r>
      <w:r w:rsidRPr="00321B46">
        <w:rPr>
          <w:iCs/>
        </w:rPr>
        <w:t xml:space="preserve">en la categoría de activos </w:t>
      </w:r>
      <w:r w:rsidR="006E3F01" w:rsidRPr="00321B46">
        <w:rPr>
          <w:i/>
          <w:iCs/>
        </w:rPr>
        <w:t>k</w:t>
      </w:r>
      <w:r w:rsidRPr="00321B46">
        <w:rPr>
          <w:iCs/>
        </w:rPr>
        <w:t xml:space="preserve"> </w:t>
      </w:r>
      <w:r w:rsidRPr="00321B46">
        <w:t xml:space="preserve">durante el año </w:t>
      </w:r>
      <w:r w:rsidRPr="00321B46">
        <w:rPr>
          <w:i/>
        </w:rPr>
        <w:t>t</w:t>
      </w:r>
      <w:r w:rsidRPr="00321B46">
        <w:t xml:space="preserve">, calculado según lo establecido en </w:t>
      </w:r>
      <w:r w:rsidR="006E3F01" w:rsidRPr="00321B46">
        <w:t>e</w:t>
      </w:r>
      <w:r w:rsidRPr="00321B46">
        <w:t>l numeral</w:t>
      </w:r>
      <w:r w:rsidR="006E3F01" w:rsidRPr="00321B46">
        <w:t xml:space="preserve"> </w:t>
      </w:r>
      <w:r w:rsidR="006E3F01" w:rsidRPr="00321B46">
        <w:fldChar w:fldCharType="begin"/>
      </w:r>
      <w:r w:rsidR="006E3F01" w:rsidRPr="00321B46">
        <w:instrText xml:space="preserve"> REF _Ref404004686 \r \h </w:instrText>
      </w:r>
      <w:r w:rsidR="003276B5" w:rsidRPr="00321B46">
        <w:instrText xml:space="preserve"> \* MERGEFORMAT </w:instrText>
      </w:r>
      <w:r w:rsidR="006E3F01" w:rsidRPr="00321B46">
        <w:fldChar w:fldCharType="separate"/>
      </w:r>
      <w:r w:rsidR="000F355F">
        <w:t>2.2.1.5</w:t>
      </w:r>
      <w:r w:rsidR="006E3F01" w:rsidRPr="00321B46">
        <w:fldChar w:fldCharType="end"/>
      </w:r>
      <w:r w:rsidRPr="00321B46">
        <w:t>.</w:t>
      </w:r>
    </w:p>
    <w:p w14:paraId="61B626C7" w14:textId="77777777" w:rsidR="009954EA" w:rsidRPr="00321B46" w:rsidRDefault="006E3F01" w:rsidP="002715CD">
      <w:r w:rsidRPr="00321B46">
        <w:rPr>
          <w:i/>
        </w:rPr>
        <w:t>K</w:t>
      </w:r>
      <w:r w:rsidR="009954EA" w:rsidRPr="00321B46">
        <w:t xml:space="preserve">: </w:t>
      </w:r>
      <w:r w:rsidR="009954EA" w:rsidRPr="00321B46">
        <w:tab/>
      </w:r>
      <w:r w:rsidR="009954EA" w:rsidRPr="00321B46">
        <w:tab/>
        <w:t>Cantidad de categorías de activos</w:t>
      </w:r>
      <w:r w:rsidR="009954EA" w:rsidRPr="00321B46">
        <w:rPr>
          <w:i/>
        </w:rPr>
        <w:t>.</w:t>
      </w:r>
    </w:p>
    <w:p w14:paraId="23FA7CE8" w14:textId="77777777" w:rsidR="009954EA" w:rsidRPr="00321B46" w:rsidRDefault="009954EA" w:rsidP="003448EC">
      <w:pPr>
        <w:pStyle w:val="Ttulo4"/>
      </w:pPr>
      <w:bookmarkStart w:id="229" w:name="_Ref444766586"/>
      <w:r w:rsidRPr="00321B46">
        <w:t>Inversiones de referencia</w:t>
      </w:r>
      <w:bookmarkEnd w:id="226"/>
      <w:bookmarkEnd w:id="227"/>
      <w:bookmarkEnd w:id="228"/>
      <w:bookmarkEnd w:id="229"/>
    </w:p>
    <w:p w14:paraId="5B96973D" w14:textId="107303B4" w:rsidR="009954EA" w:rsidRPr="00321B46" w:rsidRDefault="009954EA" w:rsidP="009954EA">
      <w:r w:rsidRPr="00321B46">
        <w:t xml:space="preserve">Las inversiones de referencia para el incentivo, </w:t>
      </w:r>
      <w:r w:rsidRPr="00321B46">
        <w:rPr>
          <w:i/>
        </w:rPr>
        <w:t>INVR</w:t>
      </w:r>
      <w:r w:rsidR="006E3F01" w:rsidRPr="00321B46">
        <w:rPr>
          <w:i/>
          <w:iCs/>
          <w:vertAlign w:val="subscript"/>
        </w:rPr>
        <w:t>j</w:t>
      </w:r>
      <w:r w:rsidRPr="00321B46">
        <w:rPr>
          <w:i/>
          <w:iCs/>
          <w:vertAlign w:val="subscript"/>
        </w:rPr>
        <w:t>,t</w:t>
      </w:r>
      <w:r w:rsidR="00674134" w:rsidRPr="00321B46">
        <w:t xml:space="preserve">, </w:t>
      </w:r>
      <w:r w:rsidRPr="00321B46">
        <w:t>se calculan de la siguiente manera:</w:t>
      </w:r>
    </w:p>
    <w:p w14:paraId="3B34D986" w14:textId="77777777" w:rsidR="009954EA" w:rsidRPr="00321B46" w:rsidRDefault="00651802" w:rsidP="009954EA">
      <m:oMathPara>
        <m:oMath>
          <m:sSub>
            <m:sSubPr>
              <m:ctrlPr>
                <w:rPr>
                  <w:rFonts w:ascii="Cambria Math" w:hAnsi="Cambria Math"/>
                  <w:i/>
                </w:rPr>
              </m:ctrlPr>
            </m:sSubPr>
            <m:e>
              <m:r>
                <w:rPr>
                  <w:rFonts w:ascii="Cambria Math" w:hAnsi="Cambria Math"/>
                </w:rPr>
                <m:t>INVR</m:t>
              </m:r>
            </m:e>
            <m:sub>
              <m:r>
                <w:rPr>
                  <w:rFonts w:ascii="Cambria Math" w:hAnsi="Cambria Math"/>
                </w:rPr>
                <m:t>j</m:t>
              </m:r>
              <m:r>
                <w:rPr>
                  <w:rFonts w:ascii="Cambria Math"/>
                </w:rPr>
                <m:t>,t</m:t>
              </m:r>
            </m:sub>
          </m:sSub>
          <m:r>
            <w:rPr>
              <w:rFonts w:ascii="Cambria Math"/>
            </w:rPr>
            <m:t>=</m:t>
          </m:r>
          <m:nary>
            <m:naryPr>
              <m:chr m:val="∑"/>
              <m:limLoc m:val="undOvr"/>
              <m:ctrlPr>
                <w:rPr>
                  <w:rFonts w:ascii="Cambria Math" w:hAnsi="Cambria Math"/>
                  <w:i/>
                </w:rPr>
              </m:ctrlPr>
            </m:naryPr>
            <m:sub>
              <m:r>
                <w:rPr>
                  <w:rFonts w:ascii="Cambria Math"/>
                </w:rPr>
                <m:t>k=1</m:t>
              </m:r>
            </m:sub>
            <m:sup>
              <m:r>
                <w:rPr>
                  <w:rFonts w:ascii="Cambria Math" w:hAnsi="Cambria Math"/>
                </w:rPr>
                <m:t>K</m:t>
              </m:r>
            </m:sup>
            <m:e>
              <m:sSub>
                <m:sSubPr>
                  <m:ctrlPr>
                    <w:rPr>
                      <w:rFonts w:ascii="Cambria Math" w:hAnsi="Cambria Math"/>
                      <w:i/>
                    </w:rPr>
                  </m:ctrlPr>
                </m:sSubPr>
                <m:e>
                  <m:r>
                    <w:rPr>
                      <w:rFonts w:ascii="Cambria Math"/>
                    </w:rPr>
                    <m:t>INVR</m:t>
                  </m:r>
                </m:e>
                <m:sub>
                  <m:r>
                    <w:rPr>
                      <w:rFonts w:ascii="Cambria Math"/>
                    </w:rPr>
                    <m:t>j,k,t</m:t>
                  </m:r>
                </m:sub>
              </m:sSub>
            </m:e>
          </m:nary>
        </m:oMath>
      </m:oMathPara>
    </w:p>
    <w:p w14:paraId="7589C5C3" w14:textId="77777777" w:rsidR="009954EA" w:rsidRPr="00321B46" w:rsidRDefault="009954EA" w:rsidP="008F49B0">
      <w:r w:rsidRPr="00321B46">
        <w:t>Donde:</w:t>
      </w:r>
    </w:p>
    <w:p w14:paraId="4174D31C" w14:textId="77777777" w:rsidR="009954EA" w:rsidRPr="00321B46" w:rsidRDefault="009954EA" w:rsidP="002715CD">
      <w:pPr>
        <w:spacing w:before="120"/>
        <w:ind w:left="1418" w:hanging="1418"/>
        <w:rPr>
          <w:i/>
          <w:iCs/>
        </w:rPr>
      </w:pPr>
      <w:r w:rsidRPr="00321B46">
        <w:rPr>
          <w:i/>
          <w:iCs/>
        </w:rPr>
        <w:t>INVR</w:t>
      </w:r>
      <w:r w:rsidRPr="00321B46">
        <w:rPr>
          <w:i/>
          <w:iCs/>
          <w:vertAlign w:val="subscript"/>
        </w:rPr>
        <w:t>j,t</w:t>
      </w:r>
      <w:r w:rsidRPr="00321B46">
        <w:t>:</w:t>
      </w:r>
      <w:r w:rsidRPr="00321B46">
        <w:tab/>
        <w:t xml:space="preserve">Inversiones en activos puestos en operación en el sistema del </w:t>
      </w:r>
      <w:r w:rsidR="002715CD" w:rsidRPr="00321B46">
        <w:t>TN</w:t>
      </w:r>
      <w:r w:rsidRPr="00321B46">
        <w:t xml:space="preserve"> </w:t>
      </w:r>
      <w:r w:rsidRPr="00321B46">
        <w:rPr>
          <w:i/>
        </w:rPr>
        <w:t xml:space="preserve">j </w:t>
      </w:r>
      <w:r w:rsidRPr="00321B46">
        <w:t xml:space="preserve">durante el año </w:t>
      </w:r>
      <w:r w:rsidRPr="00321B46">
        <w:rPr>
          <w:i/>
        </w:rPr>
        <w:t>t</w:t>
      </w:r>
      <w:r w:rsidRPr="00321B46">
        <w:t>.</w:t>
      </w:r>
    </w:p>
    <w:p w14:paraId="39D3AA05" w14:textId="4FE2AA9F" w:rsidR="009954EA" w:rsidRPr="00321B46" w:rsidRDefault="009954EA" w:rsidP="002715CD">
      <w:pPr>
        <w:spacing w:before="120"/>
        <w:ind w:left="1418" w:hanging="1418"/>
        <w:rPr>
          <w:iCs/>
        </w:rPr>
      </w:pPr>
      <w:r w:rsidRPr="00321B46">
        <w:rPr>
          <w:i/>
          <w:iCs/>
        </w:rPr>
        <w:t>INVR</w:t>
      </w:r>
      <w:r w:rsidRPr="00321B46">
        <w:rPr>
          <w:i/>
          <w:iCs/>
          <w:vertAlign w:val="subscript"/>
        </w:rPr>
        <w:t>j,</w:t>
      </w:r>
      <w:r w:rsidR="002715CD" w:rsidRPr="00321B46">
        <w:rPr>
          <w:i/>
          <w:iCs/>
          <w:vertAlign w:val="subscript"/>
        </w:rPr>
        <w:t>k</w:t>
      </w:r>
      <w:r w:rsidRPr="00321B46">
        <w:rPr>
          <w:i/>
          <w:iCs/>
          <w:vertAlign w:val="subscript"/>
        </w:rPr>
        <w:t>,t</w:t>
      </w:r>
      <w:r w:rsidRPr="00321B46">
        <w:t>:</w:t>
      </w:r>
      <w:r w:rsidRPr="00321B46">
        <w:tab/>
        <w:t xml:space="preserve">Inversiones en activos puestos en operación en el sistema del </w:t>
      </w:r>
      <w:r w:rsidR="002715CD" w:rsidRPr="00321B46">
        <w:t>TN</w:t>
      </w:r>
      <w:r w:rsidRPr="00321B46">
        <w:t xml:space="preserve"> </w:t>
      </w:r>
      <w:r w:rsidRPr="00321B46">
        <w:rPr>
          <w:i/>
        </w:rPr>
        <w:t xml:space="preserve">j </w:t>
      </w:r>
      <w:r w:rsidRPr="00321B46">
        <w:rPr>
          <w:iCs/>
        </w:rPr>
        <w:t xml:space="preserve">en la categoría de activos </w:t>
      </w:r>
      <w:r w:rsidR="002715CD" w:rsidRPr="00321B46">
        <w:rPr>
          <w:i/>
          <w:iCs/>
        </w:rPr>
        <w:t>k</w:t>
      </w:r>
      <w:r w:rsidRPr="00321B46">
        <w:rPr>
          <w:iCs/>
        </w:rPr>
        <w:t xml:space="preserve"> </w:t>
      </w:r>
      <w:r w:rsidRPr="00321B46">
        <w:t xml:space="preserve">durante el año </w:t>
      </w:r>
      <w:r w:rsidRPr="00321B46">
        <w:rPr>
          <w:i/>
        </w:rPr>
        <w:t>t</w:t>
      </w:r>
      <w:r w:rsidRPr="00321B46">
        <w:t xml:space="preserve">, calculado según lo establecido en el numeral </w:t>
      </w:r>
      <w:r w:rsidR="006E3F01" w:rsidRPr="00321B46">
        <w:fldChar w:fldCharType="begin"/>
      </w:r>
      <w:r w:rsidR="006E3F01" w:rsidRPr="00321B46">
        <w:instrText xml:space="preserve"> REF _Ref443918667 \r \h </w:instrText>
      </w:r>
      <w:r w:rsidR="003276B5" w:rsidRPr="00321B46">
        <w:instrText xml:space="preserve"> \* MERGEFORMAT </w:instrText>
      </w:r>
      <w:r w:rsidR="006E3F01" w:rsidRPr="00321B46">
        <w:fldChar w:fldCharType="separate"/>
      </w:r>
      <w:r w:rsidR="000F355F">
        <w:t>2.2.1.6</w:t>
      </w:r>
      <w:r w:rsidR="006E3F01" w:rsidRPr="00321B46">
        <w:fldChar w:fldCharType="end"/>
      </w:r>
      <w:r w:rsidRPr="00321B46">
        <w:t xml:space="preserve"> </w:t>
      </w:r>
    </w:p>
    <w:p w14:paraId="082E5B49" w14:textId="77777777" w:rsidR="009954EA" w:rsidRPr="00321B46" w:rsidRDefault="006E3F01" w:rsidP="002715CD">
      <w:r w:rsidRPr="00321B46">
        <w:rPr>
          <w:i/>
        </w:rPr>
        <w:t>K</w:t>
      </w:r>
      <w:r w:rsidR="009954EA" w:rsidRPr="00321B46">
        <w:t xml:space="preserve">: </w:t>
      </w:r>
      <w:r w:rsidR="009954EA" w:rsidRPr="00321B46">
        <w:tab/>
      </w:r>
      <w:r w:rsidR="009954EA" w:rsidRPr="00321B46">
        <w:tab/>
        <w:t>Cantidad de categorías de activos</w:t>
      </w:r>
      <w:r w:rsidR="009954EA" w:rsidRPr="00321B46">
        <w:rPr>
          <w:i/>
        </w:rPr>
        <w:t>.</w:t>
      </w:r>
    </w:p>
    <w:p w14:paraId="3F90FAAE" w14:textId="77777777" w:rsidR="009954EA" w:rsidRPr="00321B46" w:rsidRDefault="009954EA" w:rsidP="003448EC">
      <w:pPr>
        <w:pStyle w:val="Ttulo4"/>
      </w:pPr>
      <w:bookmarkStart w:id="230" w:name="_Ref443468391"/>
      <w:r w:rsidRPr="00321B46">
        <w:t>Nivel de inversiones ejecutadas</w:t>
      </w:r>
      <w:bookmarkEnd w:id="230"/>
    </w:p>
    <w:p w14:paraId="37EDA9EC" w14:textId="3337224A" w:rsidR="009954EA" w:rsidRPr="00321B46" w:rsidRDefault="009954EA">
      <w:pPr>
        <w:rPr>
          <w:lang w:val="es-ES_tradnl"/>
        </w:rPr>
      </w:pPr>
      <w:r w:rsidRPr="00321B46">
        <w:rPr>
          <w:lang w:val="es-ES_tradnl"/>
        </w:rPr>
        <w:t xml:space="preserve">El nivel de inversiones ejecutadas, </w:t>
      </w:r>
      <w:r w:rsidRPr="00321B46">
        <w:rPr>
          <w:i/>
          <w:lang w:val="es-ES_tradnl"/>
        </w:rPr>
        <w:t>NIE</w:t>
      </w:r>
      <w:r w:rsidR="0078271C" w:rsidRPr="00321B46">
        <w:rPr>
          <w:i/>
          <w:vertAlign w:val="subscript"/>
          <w:lang w:val="es-ES_tradnl"/>
        </w:rPr>
        <w:t>j</w:t>
      </w:r>
      <w:r w:rsidRPr="00321B46">
        <w:rPr>
          <w:i/>
          <w:vertAlign w:val="subscript"/>
          <w:lang w:val="es-ES_tradnl"/>
        </w:rPr>
        <w:t>,t</w:t>
      </w:r>
      <w:r w:rsidRPr="00321B46">
        <w:rPr>
          <w:lang w:val="es-ES_tradnl"/>
        </w:rPr>
        <w:t xml:space="preserve">, por el </w:t>
      </w:r>
      <w:r w:rsidR="0078271C" w:rsidRPr="00321B46">
        <w:rPr>
          <w:lang w:val="es-ES_tradnl"/>
        </w:rPr>
        <w:t>TN</w:t>
      </w:r>
      <w:r w:rsidRPr="00321B46">
        <w:rPr>
          <w:lang w:val="es-ES_tradnl"/>
        </w:rPr>
        <w:t xml:space="preserve"> </w:t>
      </w:r>
      <w:r w:rsidR="003B184D" w:rsidRPr="00321B46">
        <w:rPr>
          <w:lang w:val="es-ES_tradnl"/>
        </w:rPr>
        <w:t xml:space="preserve">en </w:t>
      </w:r>
      <w:r w:rsidRPr="00321B46">
        <w:rPr>
          <w:lang w:val="es-ES_tradnl"/>
        </w:rPr>
        <w:t xml:space="preserve">el año </w:t>
      </w:r>
      <w:r w:rsidRPr="00321B46">
        <w:rPr>
          <w:i/>
          <w:lang w:val="es-ES_tradnl"/>
        </w:rPr>
        <w:t>t</w:t>
      </w:r>
      <w:r w:rsidRPr="00321B46">
        <w:rPr>
          <w:lang w:val="es-ES_tradnl"/>
        </w:rPr>
        <w:t xml:space="preserve"> se calcula de la siguiente manera: </w:t>
      </w:r>
    </w:p>
    <w:p w14:paraId="339C8BDE" w14:textId="77777777" w:rsidR="009954EA" w:rsidRPr="00321B46" w:rsidRDefault="00651802">
      <w:pPr>
        <w:rPr>
          <w:lang w:val="es-ES_tradnl"/>
        </w:rPr>
      </w:pPr>
      <m:oMathPara>
        <m:oMath>
          <m:sSub>
            <m:sSubPr>
              <m:ctrlPr>
                <w:rPr>
                  <w:rFonts w:ascii="Cambria Math" w:hAnsi="Cambria Math"/>
                  <w:i/>
                  <w:lang w:val="es-ES_tradnl"/>
                </w:rPr>
              </m:ctrlPr>
            </m:sSubPr>
            <m:e>
              <m:r>
                <w:rPr>
                  <w:rFonts w:ascii="Cambria Math" w:hAnsi="Cambria Math"/>
                  <w:lang w:val="es-ES_tradnl"/>
                </w:rPr>
                <m:t xml:space="preserve">NIE </m:t>
              </m:r>
            </m:e>
            <m:sub>
              <m:r>
                <w:rPr>
                  <w:rFonts w:ascii="Cambria Math" w:hAnsi="Cambria Math"/>
                  <w:lang w:val="es-ES_tradnl"/>
                </w:rPr>
                <m:t>j,t</m:t>
              </m:r>
            </m:sub>
          </m:sSub>
          <m:r>
            <w:rPr>
              <w:rFonts w:ascii="Cambria Math" w:hAnsi="Cambria Math"/>
              <w:lang w:val="es-ES_tradnl"/>
            </w:rPr>
            <m:t>=</m:t>
          </m:r>
          <m:f>
            <m:fPr>
              <m:ctrlPr>
                <w:rPr>
                  <w:rFonts w:ascii="Cambria Math" w:hAnsi="Cambria Math"/>
                  <w:i/>
                  <w:lang w:val="es-ES_tradnl"/>
                </w:rPr>
              </m:ctrlPr>
            </m:fPr>
            <m:num>
              <m:sSub>
                <m:sSubPr>
                  <m:ctrlPr>
                    <w:rPr>
                      <w:rFonts w:ascii="Cambria Math" w:hAnsi="Cambria Math"/>
                      <w:i/>
                      <w:lang w:val="es-ES_tradnl"/>
                    </w:rPr>
                  </m:ctrlPr>
                </m:sSubPr>
                <m:e>
                  <m:r>
                    <w:rPr>
                      <w:rFonts w:ascii="Cambria Math" w:hAnsi="Cambria Math"/>
                      <w:lang w:val="es-ES_tradnl"/>
                    </w:rPr>
                    <m:t>INVE</m:t>
                  </m:r>
                </m:e>
                <m:sub>
                  <m:r>
                    <w:rPr>
                      <w:rFonts w:ascii="Cambria Math" w:hAnsi="Cambria Math"/>
                      <w:lang w:val="es-ES_tradnl"/>
                    </w:rPr>
                    <m:t>j,t</m:t>
                  </m:r>
                </m:sub>
              </m:sSub>
            </m:num>
            <m:den>
              <m:sSub>
                <m:sSubPr>
                  <m:ctrlPr>
                    <w:rPr>
                      <w:rFonts w:ascii="Cambria Math" w:hAnsi="Cambria Math"/>
                      <w:i/>
                      <w:lang w:val="es-ES_tradnl"/>
                    </w:rPr>
                  </m:ctrlPr>
                </m:sSubPr>
                <m:e>
                  <m:r>
                    <w:rPr>
                      <w:rFonts w:ascii="Cambria Math" w:hAnsi="Cambria Math"/>
                      <w:lang w:val="es-ES_tradnl"/>
                    </w:rPr>
                    <m:t>INVR</m:t>
                  </m:r>
                </m:e>
                <m:sub>
                  <m:r>
                    <w:rPr>
                      <w:rFonts w:ascii="Cambria Math" w:hAnsi="Cambria Math"/>
                      <w:lang w:val="es-ES_tradnl"/>
                    </w:rPr>
                    <m:t>j,t</m:t>
                  </m:r>
                </m:sub>
              </m:sSub>
            </m:den>
          </m:f>
          <m:r>
            <w:rPr>
              <w:rFonts w:ascii="Cambria Math" w:hAnsi="Cambria Math"/>
              <w:lang w:val="es-ES_tradnl"/>
            </w:rPr>
            <m:t>*100</m:t>
          </m:r>
        </m:oMath>
      </m:oMathPara>
    </w:p>
    <w:p w14:paraId="17AE81EB" w14:textId="77777777" w:rsidR="009954EA" w:rsidRPr="00321B46" w:rsidRDefault="009954EA">
      <w:pPr>
        <w:rPr>
          <w:lang w:val="es-ES_tradnl"/>
        </w:rPr>
      </w:pPr>
      <w:r w:rsidRPr="00321B46">
        <w:rPr>
          <w:lang w:val="es-ES_tradnl"/>
        </w:rPr>
        <w:t xml:space="preserve">Donde: </w:t>
      </w:r>
    </w:p>
    <w:p w14:paraId="1CBAC5AD" w14:textId="6B2B42D0" w:rsidR="009954EA" w:rsidRPr="00321B46" w:rsidRDefault="009954EA">
      <w:pPr>
        <w:ind w:left="1410" w:hanging="1410"/>
        <w:rPr>
          <w:rFonts w:cs="Arial"/>
          <w:lang w:val="es-ES_tradnl"/>
        </w:rPr>
      </w:pPr>
      <w:r w:rsidRPr="00321B46">
        <w:rPr>
          <w:i/>
          <w:lang w:val="es-ES_tradnl"/>
        </w:rPr>
        <w:t>NIE</w:t>
      </w:r>
      <w:r w:rsidR="0078271C" w:rsidRPr="00321B46">
        <w:rPr>
          <w:i/>
          <w:vertAlign w:val="subscript"/>
          <w:lang w:val="es-ES_tradnl"/>
        </w:rPr>
        <w:t>j</w:t>
      </w:r>
      <w:r w:rsidRPr="00321B46">
        <w:rPr>
          <w:i/>
          <w:vertAlign w:val="subscript"/>
          <w:lang w:val="es-ES_tradnl"/>
        </w:rPr>
        <w:t>,t</w:t>
      </w:r>
      <w:r w:rsidRPr="00321B46">
        <w:rPr>
          <w:lang w:val="es-ES_tradnl"/>
        </w:rPr>
        <w:t xml:space="preserve">: </w:t>
      </w:r>
      <w:r w:rsidRPr="00321B46">
        <w:rPr>
          <w:lang w:val="es-ES_tradnl"/>
        </w:rPr>
        <w:tab/>
        <w:t xml:space="preserve">Nivel de inversiones ejecutadas por el </w:t>
      </w:r>
      <w:r w:rsidR="0078271C" w:rsidRPr="00321B46">
        <w:rPr>
          <w:lang w:val="es-ES_tradnl"/>
        </w:rPr>
        <w:t>TN</w:t>
      </w:r>
      <w:r w:rsidRPr="00321B46">
        <w:rPr>
          <w:lang w:val="es-ES_tradnl"/>
        </w:rPr>
        <w:t xml:space="preserve"> </w:t>
      </w:r>
      <w:r w:rsidRPr="00321B46">
        <w:rPr>
          <w:i/>
          <w:lang w:val="es-ES_tradnl"/>
        </w:rPr>
        <w:t>j</w:t>
      </w:r>
      <w:r w:rsidRPr="00321B46">
        <w:rPr>
          <w:lang w:val="es-ES_tradnl"/>
        </w:rPr>
        <w:t xml:space="preserve"> durante el año </w:t>
      </w:r>
      <w:r w:rsidRPr="00321B46">
        <w:rPr>
          <w:i/>
          <w:lang w:val="es-ES_tradnl"/>
        </w:rPr>
        <w:t xml:space="preserve">t. </w:t>
      </w:r>
      <w:r w:rsidRPr="00321B46">
        <w:rPr>
          <w:rFonts w:cs="Arial"/>
          <w:lang w:val="es-ES_tradnl"/>
        </w:rPr>
        <w:t xml:space="preserve">El valor de esta variable </w:t>
      </w:r>
      <w:r w:rsidR="00E9292A" w:rsidRPr="00321B46">
        <w:rPr>
          <w:rFonts w:cs="Arial"/>
          <w:lang w:val="es-ES_tradnl"/>
        </w:rPr>
        <w:t xml:space="preserve">se encuentra entre 90% y 110% y debe aproximarse al valor entero más cercano de la </w:t>
      </w:r>
      <w:r w:rsidR="00E9292A" w:rsidRPr="00321B46">
        <w:rPr>
          <w:rFonts w:cs="Arial"/>
          <w:lang w:val="es-ES_tradnl"/>
        </w:rPr>
        <w:fldChar w:fldCharType="begin"/>
      </w:r>
      <w:r w:rsidR="00E9292A" w:rsidRPr="00321B46">
        <w:rPr>
          <w:rFonts w:cs="Arial"/>
          <w:lang w:val="es-ES_tradnl"/>
        </w:rPr>
        <w:instrText xml:space="preserve"> REF _Ref460937727 \h </w:instrText>
      </w:r>
      <w:r w:rsidR="00321B46">
        <w:rPr>
          <w:rFonts w:cs="Arial"/>
          <w:lang w:val="es-ES_tradnl"/>
        </w:rPr>
        <w:instrText xml:space="preserve"> \* MERGEFORMAT </w:instrText>
      </w:r>
      <w:r w:rsidR="00E9292A" w:rsidRPr="00321B46">
        <w:rPr>
          <w:rFonts w:cs="Arial"/>
          <w:lang w:val="es-ES_tradnl"/>
        </w:rPr>
      </w:r>
      <w:r w:rsidR="00E9292A" w:rsidRPr="00321B46">
        <w:rPr>
          <w:rFonts w:cs="Arial"/>
          <w:lang w:val="es-ES_tradnl"/>
        </w:rPr>
        <w:fldChar w:fldCharType="separate"/>
      </w:r>
      <w:r w:rsidR="000F355F" w:rsidRPr="00321B46">
        <w:t xml:space="preserve">Tabla </w:t>
      </w:r>
      <w:r w:rsidR="000F355F">
        <w:rPr>
          <w:noProof/>
        </w:rPr>
        <w:t>4</w:t>
      </w:r>
      <w:r w:rsidR="00E9292A" w:rsidRPr="00321B46">
        <w:rPr>
          <w:rFonts w:cs="Arial"/>
          <w:lang w:val="es-ES_tradnl"/>
        </w:rPr>
        <w:fldChar w:fldCharType="end"/>
      </w:r>
      <w:r w:rsidRPr="00321B46">
        <w:rPr>
          <w:rFonts w:cs="Arial"/>
          <w:lang w:val="es-ES_tradnl"/>
        </w:rPr>
        <w:t>.</w:t>
      </w:r>
    </w:p>
    <w:p w14:paraId="443E4541" w14:textId="77777777" w:rsidR="009954EA" w:rsidRPr="00321B46" w:rsidRDefault="009954EA">
      <w:pPr>
        <w:ind w:left="1410" w:hanging="1410"/>
        <w:rPr>
          <w:lang w:val="es-ES_tradnl"/>
        </w:rPr>
      </w:pPr>
      <w:r w:rsidRPr="00321B46">
        <w:rPr>
          <w:rFonts w:cs="Arial"/>
          <w:i/>
          <w:lang w:val="es-ES_tradnl"/>
        </w:rPr>
        <w:t>INVE</w:t>
      </w:r>
      <w:r w:rsidRPr="00321B46">
        <w:rPr>
          <w:rFonts w:cs="Arial"/>
          <w:i/>
          <w:vertAlign w:val="subscript"/>
          <w:lang w:val="es-ES_tradnl"/>
        </w:rPr>
        <w:t>j,t</w:t>
      </w:r>
      <w:r w:rsidRPr="00321B46">
        <w:rPr>
          <w:rFonts w:cs="Arial"/>
          <w:lang w:val="es-ES_tradnl"/>
        </w:rPr>
        <w:t>:</w:t>
      </w:r>
      <w:r w:rsidRPr="00321B46">
        <w:rPr>
          <w:rFonts w:cs="Arial"/>
          <w:lang w:val="es-ES_tradnl"/>
        </w:rPr>
        <w:tab/>
        <w:t xml:space="preserve">Inversiones en activos puestos en operación en el sistema del </w:t>
      </w:r>
      <w:r w:rsidR="0078271C" w:rsidRPr="00321B46">
        <w:rPr>
          <w:rFonts w:cs="Arial"/>
          <w:lang w:val="es-ES_tradnl"/>
        </w:rPr>
        <w:t>TN</w:t>
      </w:r>
      <w:r w:rsidRPr="00321B46">
        <w:rPr>
          <w:rFonts w:cs="Arial"/>
          <w:lang w:val="es-ES_tradnl"/>
        </w:rPr>
        <w:t xml:space="preserve"> </w:t>
      </w:r>
      <w:r w:rsidRPr="00321B46">
        <w:rPr>
          <w:rFonts w:cs="Arial"/>
          <w:i/>
          <w:lang w:val="es-ES_tradnl"/>
        </w:rPr>
        <w:t>j</w:t>
      </w:r>
      <w:r w:rsidRPr="00321B46">
        <w:rPr>
          <w:rFonts w:cs="Arial"/>
          <w:lang w:val="es-ES_tradnl"/>
        </w:rPr>
        <w:t xml:space="preserve">, durante el año </w:t>
      </w:r>
      <w:r w:rsidRPr="00321B46">
        <w:rPr>
          <w:rFonts w:cs="Arial"/>
          <w:i/>
          <w:lang w:val="es-ES_tradnl"/>
        </w:rPr>
        <w:t>t</w:t>
      </w:r>
      <w:r w:rsidRPr="00321B46">
        <w:rPr>
          <w:rFonts w:cs="Arial"/>
          <w:lang w:val="es-ES_tradnl"/>
        </w:rPr>
        <w:t>,</w:t>
      </w:r>
      <w:r w:rsidRPr="00321B46">
        <w:rPr>
          <w:lang w:val="es-ES_tradnl"/>
        </w:rPr>
        <w:t xml:space="preserve"> valoradas con los costos del </w:t>
      </w:r>
      <w:r w:rsidR="0078271C" w:rsidRPr="00321B46">
        <w:rPr>
          <w:lang w:val="es-ES_tradnl"/>
        </w:rPr>
        <w:t>TN</w:t>
      </w:r>
      <w:r w:rsidRPr="00321B46">
        <w:rPr>
          <w:lang w:val="es-ES_tradnl"/>
        </w:rPr>
        <w:t>.</w:t>
      </w:r>
    </w:p>
    <w:p w14:paraId="23F3AC6D" w14:textId="1F0ACBB8" w:rsidR="009954EA" w:rsidRPr="00321B46" w:rsidRDefault="009954EA">
      <w:pPr>
        <w:ind w:left="1410" w:hanging="1410"/>
        <w:rPr>
          <w:rFonts w:cs="Arial"/>
          <w:lang w:val="es-ES_tradnl"/>
        </w:rPr>
      </w:pPr>
      <w:r w:rsidRPr="00321B46">
        <w:rPr>
          <w:rFonts w:cs="Arial"/>
          <w:i/>
          <w:lang w:val="es-ES_tradnl"/>
        </w:rPr>
        <w:t>INVR</w:t>
      </w:r>
      <w:r w:rsidR="0078271C" w:rsidRPr="00321B46">
        <w:rPr>
          <w:rFonts w:cs="Arial"/>
          <w:i/>
          <w:vertAlign w:val="subscript"/>
          <w:lang w:val="es-ES_tradnl"/>
        </w:rPr>
        <w:t>j,</w:t>
      </w:r>
      <w:r w:rsidRPr="00321B46">
        <w:rPr>
          <w:rFonts w:cs="Arial"/>
          <w:i/>
          <w:vertAlign w:val="subscript"/>
          <w:lang w:val="es-ES_tradnl"/>
        </w:rPr>
        <w:t>t</w:t>
      </w:r>
      <w:r w:rsidRPr="00321B46">
        <w:rPr>
          <w:rFonts w:cs="Arial"/>
          <w:lang w:val="es-ES_tradnl"/>
        </w:rPr>
        <w:t>:</w:t>
      </w:r>
      <w:r w:rsidRPr="00321B46">
        <w:rPr>
          <w:rFonts w:cs="Arial"/>
          <w:lang w:val="es-ES_tradnl"/>
        </w:rPr>
        <w:tab/>
      </w:r>
      <w:r w:rsidRPr="00321B46">
        <w:t xml:space="preserve">Inversiones en activos puestos en operación en el sistema del </w:t>
      </w:r>
      <w:r w:rsidR="0078271C" w:rsidRPr="00321B46">
        <w:t>TN</w:t>
      </w:r>
      <w:r w:rsidRPr="00321B46">
        <w:t xml:space="preserve"> </w:t>
      </w:r>
      <w:r w:rsidRPr="00321B46">
        <w:rPr>
          <w:i/>
        </w:rPr>
        <w:t xml:space="preserve">j </w:t>
      </w:r>
      <w:r w:rsidRPr="00321B46">
        <w:t xml:space="preserve">durante el año </w:t>
      </w:r>
      <w:r w:rsidRPr="00321B46">
        <w:rPr>
          <w:i/>
        </w:rPr>
        <w:t>t,</w:t>
      </w:r>
      <w:r w:rsidRPr="00321B46">
        <w:rPr>
          <w:rFonts w:cs="Arial"/>
          <w:lang w:val="es-ES_tradnl"/>
        </w:rPr>
        <w:t xml:space="preserve"> calculadas según el numeral </w:t>
      </w:r>
      <w:r w:rsidRPr="00321B46">
        <w:rPr>
          <w:rFonts w:cs="Arial"/>
          <w:lang w:val="es-ES_tradnl"/>
        </w:rPr>
        <w:fldChar w:fldCharType="begin"/>
      </w:r>
      <w:r w:rsidRPr="00321B46">
        <w:rPr>
          <w:rFonts w:cs="Arial"/>
          <w:lang w:val="es-ES_tradnl"/>
        </w:rPr>
        <w:instrText xml:space="preserve"> REF _Ref444766586 \r \h </w:instrText>
      </w:r>
      <w:r w:rsidR="003276B5" w:rsidRPr="00321B46">
        <w:rPr>
          <w:rFonts w:cs="Arial"/>
          <w:lang w:val="es-ES_tradnl"/>
        </w:rPr>
        <w:instrText xml:space="preserve"> \* MERGEFORMAT </w:instrText>
      </w:r>
      <w:r w:rsidRPr="00321B46">
        <w:rPr>
          <w:rFonts w:cs="Arial"/>
          <w:lang w:val="es-ES_tradnl"/>
        </w:rPr>
      </w:r>
      <w:r w:rsidRPr="00321B46">
        <w:rPr>
          <w:rFonts w:cs="Arial"/>
          <w:lang w:val="es-ES_tradnl"/>
        </w:rPr>
        <w:fldChar w:fldCharType="separate"/>
      </w:r>
      <w:r w:rsidR="000F355F">
        <w:rPr>
          <w:rFonts w:cs="Arial"/>
          <w:lang w:val="es-ES_tradnl"/>
        </w:rPr>
        <w:t>4.3.1.2</w:t>
      </w:r>
      <w:r w:rsidRPr="00321B46">
        <w:rPr>
          <w:rFonts w:cs="Arial"/>
          <w:lang w:val="es-ES_tradnl"/>
        </w:rPr>
        <w:fldChar w:fldCharType="end"/>
      </w:r>
      <w:r w:rsidRPr="00321B46">
        <w:rPr>
          <w:rFonts w:cs="Arial"/>
          <w:lang w:val="es-ES_tradnl"/>
        </w:rPr>
        <w:t>.</w:t>
      </w:r>
    </w:p>
    <w:p w14:paraId="562A94F5" w14:textId="77777777" w:rsidR="009954EA" w:rsidRPr="00321B46" w:rsidRDefault="009954EA">
      <w:pPr>
        <w:rPr>
          <w:rFonts w:cs="Arial"/>
          <w:lang w:val="es-ES_tradnl"/>
        </w:rPr>
      </w:pPr>
      <w:r w:rsidRPr="00321B46">
        <w:rPr>
          <w:rFonts w:cs="Arial"/>
          <w:lang w:val="es-ES_tradnl"/>
        </w:rPr>
        <w:t>Las inversiones ejecutadas se calculan de la siguiente manera:</w:t>
      </w:r>
    </w:p>
    <w:p w14:paraId="3AA16028" w14:textId="34D90157" w:rsidR="009954EA" w:rsidRPr="00321B46" w:rsidRDefault="00651802">
      <m:oMathPara>
        <m:oMath>
          <m:sSub>
            <m:sSubPr>
              <m:ctrlPr>
                <w:rPr>
                  <w:rFonts w:ascii="Cambria Math" w:hAnsi="Cambria Math"/>
                  <w:i/>
                </w:rPr>
              </m:ctrlPr>
            </m:sSubPr>
            <m:e>
              <m:r>
                <w:rPr>
                  <w:rFonts w:ascii="Cambria Math" w:hAnsi="Cambria Math"/>
                </w:rPr>
                <m:t>INVE</m:t>
              </m:r>
            </m:e>
            <m:sub>
              <m:r>
                <w:rPr>
                  <w:rFonts w:ascii="Cambria Math" w:hAnsi="Cambria Math"/>
                </w:rPr>
                <m:t>j</m:t>
              </m:r>
              <m:r>
                <w:rPr>
                  <w:rFonts w:ascii="Cambria Math"/>
                </w:rPr>
                <m:t>,t</m:t>
              </m:r>
            </m:sub>
          </m:sSub>
          <m:r>
            <w:rPr>
              <w:rFonts w:ascii="Cambria Math"/>
            </w:rPr>
            <m:t>=</m:t>
          </m:r>
          <m:nary>
            <m:naryPr>
              <m:chr m:val="∑"/>
              <m:limLoc m:val="undOvr"/>
              <m:ctrlPr>
                <w:rPr>
                  <w:rFonts w:ascii="Cambria Math" w:hAnsi="Cambria Math"/>
                  <w:i/>
                </w:rPr>
              </m:ctrlPr>
            </m:naryPr>
            <m:sub>
              <m:r>
                <w:rPr>
                  <w:rFonts w:ascii="Cambria Math"/>
                </w:rPr>
                <m:t>k=1</m:t>
              </m:r>
            </m:sub>
            <m:sup>
              <m:r>
                <w:rPr>
                  <w:rFonts w:ascii="Cambria Math" w:hAnsi="Cambria Math"/>
                </w:rPr>
                <m:t>K</m:t>
              </m:r>
            </m:sup>
            <m:e>
              <m:nary>
                <m:naryPr>
                  <m:chr m:val="∑"/>
                  <m:limLoc m:val="undOvr"/>
                  <m:ctrlPr>
                    <w:rPr>
                      <w:rFonts w:ascii="Cambria Math" w:hAnsi="Cambria Math"/>
                      <w:i/>
                    </w:rPr>
                  </m:ctrlPr>
                </m:naryPr>
                <m:sub>
                  <m:r>
                    <w:rPr>
                      <w:rFonts w:ascii="Cambria Math" w:hAnsi="Cambria Math"/>
                    </w:rPr>
                    <m:t>i</m:t>
                  </m:r>
                  <m:r>
                    <w:rPr>
                      <w:rFonts w:ascii="Cambria Math"/>
                    </w:rPr>
                    <m:t>=1</m:t>
                  </m:r>
                </m:sub>
                <m:sup>
                  <m:sSub>
                    <m:sSubPr>
                      <m:ctrlPr>
                        <w:rPr>
                          <w:rFonts w:ascii="Cambria Math" w:hAnsi="Cambria Math"/>
                          <w:i/>
                        </w:rPr>
                      </m:ctrlPr>
                    </m:sSubPr>
                    <m:e>
                      <m:r>
                        <w:rPr>
                          <w:rFonts w:ascii="Cambria Math" w:hAnsi="Cambria Math"/>
                        </w:rPr>
                        <m:t>UCO</m:t>
                      </m:r>
                    </m:e>
                    <m:sub>
                      <m:r>
                        <w:rPr>
                          <w:rFonts w:ascii="Cambria Math" w:hAnsi="Cambria Math"/>
                        </w:rPr>
                        <m:t>j,t</m:t>
                      </m:r>
                    </m:sub>
                  </m:sSub>
                </m:sup>
                <m:e>
                  <m:sSub>
                    <m:sSubPr>
                      <m:ctrlPr>
                        <w:rPr>
                          <w:rFonts w:ascii="Cambria Math" w:hAnsi="Cambria Math"/>
                          <w:i/>
                        </w:rPr>
                      </m:ctrlPr>
                    </m:sSubPr>
                    <m:e>
                      <m:r>
                        <w:rPr>
                          <w:rFonts w:ascii="Cambria Math" w:hAnsi="Cambria Math"/>
                        </w:rPr>
                        <m:t>CRTN</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RPP</m:t>
                          </m:r>
                        </m:e>
                        <m:sub>
                          <m:r>
                            <w:rPr>
                              <w:rFonts w:ascii="Cambria Math" w:hAnsi="Cambria Math"/>
                            </w:rPr>
                            <m:t>i</m:t>
                          </m:r>
                        </m:sub>
                      </m:sSub>
                    </m:e>
                  </m:d>
                </m:e>
              </m:nary>
            </m:e>
          </m:nary>
        </m:oMath>
      </m:oMathPara>
    </w:p>
    <w:p w14:paraId="5BF2C09C" w14:textId="77777777" w:rsidR="009954EA" w:rsidRPr="00321B46" w:rsidRDefault="009954EA">
      <w:pPr>
        <w:rPr>
          <w:lang w:val="es-ES_tradnl"/>
        </w:rPr>
      </w:pPr>
      <w:r w:rsidRPr="00321B46">
        <w:rPr>
          <w:lang w:val="es-ES_tradnl"/>
        </w:rPr>
        <w:t>Donde:</w:t>
      </w:r>
    </w:p>
    <w:p w14:paraId="0AD417F6" w14:textId="77777777" w:rsidR="009954EA" w:rsidRPr="00321B46" w:rsidRDefault="009954EA">
      <w:pPr>
        <w:ind w:left="1410" w:hanging="1410"/>
        <w:rPr>
          <w:lang w:val="es-ES_tradnl"/>
        </w:rPr>
      </w:pPr>
      <w:r w:rsidRPr="00321B46">
        <w:rPr>
          <w:rFonts w:cs="Arial"/>
          <w:i/>
          <w:lang w:val="es-ES_tradnl"/>
        </w:rPr>
        <w:t>INVE</w:t>
      </w:r>
      <w:r w:rsidR="0078271C" w:rsidRPr="00321B46">
        <w:rPr>
          <w:rFonts w:cs="Arial"/>
          <w:i/>
          <w:vertAlign w:val="subscript"/>
          <w:lang w:val="es-ES_tradnl"/>
        </w:rPr>
        <w:t>j</w:t>
      </w:r>
      <w:r w:rsidRPr="00321B46">
        <w:rPr>
          <w:rFonts w:cs="Arial"/>
          <w:i/>
          <w:vertAlign w:val="subscript"/>
          <w:lang w:val="es-ES_tradnl"/>
        </w:rPr>
        <w:t>,t</w:t>
      </w:r>
      <w:r w:rsidRPr="00321B46">
        <w:rPr>
          <w:rFonts w:cs="Arial"/>
          <w:lang w:val="es-ES_tradnl"/>
        </w:rPr>
        <w:t>:</w:t>
      </w:r>
      <w:r w:rsidRPr="00321B46">
        <w:rPr>
          <w:rFonts w:cs="Arial"/>
          <w:lang w:val="es-ES_tradnl"/>
        </w:rPr>
        <w:tab/>
        <w:t xml:space="preserve">Inversiones ejecutadas por el </w:t>
      </w:r>
      <w:r w:rsidR="0078271C" w:rsidRPr="00321B46">
        <w:rPr>
          <w:rFonts w:cs="Arial"/>
          <w:lang w:val="es-ES_tradnl"/>
        </w:rPr>
        <w:t>TN</w:t>
      </w:r>
      <w:r w:rsidRPr="00321B46">
        <w:rPr>
          <w:rFonts w:cs="Arial"/>
          <w:lang w:val="es-ES_tradnl"/>
        </w:rPr>
        <w:t xml:space="preserve"> </w:t>
      </w:r>
      <w:r w:rsidRPr="00321B46">
        <w:rPr>
          <w:rFonts w:cs="Arial"/>
          <w:i/>
          <w:lang w:val="es-ES_tradnl"/>
        </w:rPr>
        <w:t>j</w:t>
      </w:r>
      <w:r w:rsidRPr="00321B46">
        <w:rPr>
          <w:rFonts w:cs="Arial"/>
          <w:lang w:val="es-ES_tradnl"/>
        </w:rPr>
        <w:t xml:space="preserve">, durante el año </w:t>
      </w:r>
      <w:r w:rsidRPr="00321B46">
        <w:rPr>
          <w:rFonts w:cs="Arial"/>
          <w:i/>
          <w:lang w:val="es-ES_tradnl"/>
        </w:rPr>
        <w:t>t</w:t>
      </w:r>
      <w:r w:rsidRPr="00321B46">
        <w:rPr>
          <w:rFonts w:cs="Arial"/>
          <w:lang w:val="es-ES_tradnl"/>
        </w:rPr>
        <w:t>, valor en pesos de la fecha de corte.</w:t>
      </w:r>
      <w:r w:rsidRPr="00321B46">
        <w:rPr>
          <w:lang w:val="es-ES_tradnl"/>
        </w:rPr>
        <w:t xml:space="preserve"> </w:t>
      </w:r>
    </w:p>
    <w:p w14:paraId="05A7F271" w14:textId="77777777" w:rsidR="009954EA" w:rsidRPr="00321B46" w:rsidRDefault="0078271C">
      <w:r w:rsidRPr="00321B46">
        <w:rPr>
          <w:i/>
        </w:rPr>
        <w:t>K</w:t>
      </w:r>
      <w:r w:rsidR="009954EA" w:rsidRPr="00321B46">
        <w:t xml:space="preserve">: </w:t>
      </w:r>
      <w:r w:rsidR="009954EA" w:rsidRPr="00321B46">
        <w:tab/>
      </w:r>
      <w:r w:rsidR="009954EA" w:rsidRPr="00321B46">
        <w:tab/>
        <w:t>Cantidad de categorías de activos</w:t>
      </w:r>
      <w:r w:rsidR="009954EA" w:rsidRPr="00321B46">
        <w:rPr>
          <w:i/>
        </w:rPr>
        <w:t>.</w:t>
      </w:r>
    </w:p>
    <w:p w14:paraId="170C83C3" w14:textId="3CFA648F" w:rsidR="009954EA" w:rsidRPr="00321B46" w:rsidRDefault="009954EA">
      <w:pPr>
        <w:tabs>
          <w:tab w:val="left" w:pos="1418"/>
        </w:tabs>
        <w:spacing w:before="120"/>
        <w:ind w:left="1418" w:hanging="1418"/>
      </w:pPr>
      <w:r w:rsidRPr="00321B46">
        <w:rPr>
          <w:i/>
          <w:iCs/>
        </w:rPr>
        <w:t>UCO</w:t>
      </w:r>
      <w:r w:rsidRPr="00321B46">
        <w:rPr>
          <w:i/>
          <w:iCs/>
          <w:vertAlign w:val="subscript"/>
        </w:rPr>
        <w:t>j,</w:t>
      </w:r>
      <w:r w:rsidR="0078271C" w:rsidRPr="00321B46">
        <w:rPr>
          <w:i/>
          <w:iCs/>
          <w:vertAlign w:val="subscript"/>
        </w:rPr>
        <w:t>t</w:t>
      </w:r>
      <w:r w:rsidRPr="00321B46">
        <w:t>:</w:t>
      </w:r>
      <w:r w:rsidRPr="00321B46">
        <w:tab/>
        <w:t xml:space="preserve">Número de UC nuevas puestas en operación en el sistema del </w:t>
      </w:r>
      <w:r w:rsidR="0078271C" w:rsidRPr="00321B46">
        <w:t>TN</w:t>
      </w:r>
      <w:r w:rsidRPr="00321B46">
        <w:t xml:space="preserve"> </w:t>
      </w:r>
      <w:r w:rsidRPr="00321B46">
        <w:rPr>
          <w:i/>
        </w:rPr>
        <w:t xml:space="preserve">j </w:t>
      </w:r>
      <w:r w:rsidRPr="00321B46">
        <w:t xml:space="preserve">durante el año </w:t>
      </w:r>
      <w:r w:rsidRPr="00321B46">
        <w:rPr>
          <w:i/>
        </w:rPr>
        <w:t>t</w:t>
      </w:r>
      <w:r w:rsidRPr="00321B46">
        <w:t>. No se incluyen las UC que fueron trasladadas y siguen en operación.</w:t>
      </w:r>
    </w:p>
    <w:p w14:paraId="562797D8" w14:textId="40686199" w:rsidR="009954EA" w:rsidRPr="00321B46" w:rsidRDefault="009954EA">
      <w:pPr>
        <w:ind w:left="1410" w:hanging="1410"/>
      </w:pPr>
      <w:r w:rsidRPr="00321B46">
        <w:rPr>
          <w:i/>
          <w:iCs/>
        </w:rPr>
        <w:t>CR</w:t>
      </w:r>
      <w:r w:rsidR="0078271C" w:rsidRPr="00321B46">
        <w:rPr>
          <w:i/>
          <w:iCs/>
        </w:rPr>
        <w:t>TN</w:t>
      </w:r>
      <w:r w:rsidRPr="00321B46">
        <w:rPr>
          <w:i/>
          <w:iCs/>
          <w:vertAlign w:val="subscript"/>
        </w:rPr>
        <w:t>i</w:t>
      </w:r>
      <w:r w:rsidRPr="00321B46">
        <w:t>:</w:t>
      </w:r>
      <w:r w:rsidRPr="00321B46">
        <w:tab/>
      </w:r>
      <w:r w:rsidRPr="00321B46">
        <w:tab/>
        <w:t xml:space="preserve">Valor de la UC </w:t>
      </w:r>
      <w:r w:rsidRPr="00321B46">
        <w:rPr>
          <w:i/>
          <w:iCs/>
        </w:rPr>
        <w:t>i</w:t>
      </w:r>
      <w:r w:rsidRPr="00321B46">
        <w:t xml:space="preserve"> </w:t>
      </w:r>
      <w:r w:rsidR="00BF2DD0" w:rsidRPr="00321B46">
        <w:t xml:space="preserve">o de la fracción de la UC </w:t>
      </w:r>
      <w:r w:rsidR="00BF2DD0" w:rsidRPr="00321B46">
        <w:rPr>
          <w:i/>
        </w:rPr>
        <w:t>i</w:t>
      </w:r>
      <w:r w:rsidR="00BF2DD0" w:rsidRPr="00321B46">
        <w:t xml:space="preserve"> </w:t>
      </w:r>
      <w:r w:rsidRPr="00321B46">
        <w:t xml:space="preserve">según la ejecución del </w:t>
      </w:r>
      <w:r w:rsidR="0078271C" w:rsidRPr="00321B46">
        <w:t>TN</w:t>
      </w:r>
      <w:r w:rsidRPr="00321B46">
        <w:t xml:space="preserve">. En este valor se deben </w:t>
      </w:r>
      <w:r w:rsidR="001C7957" w:rsidRPr="00321B46">
        <w:t xml:space="preserve">considerar </w:t>
      </w:r>
      <w:r w:rsidRPr="00321B46">
        <w:t xml:space="preserve">los mismos elementos de las UC definidas </w:t>
      </w:r>
      <w:r w:rsidR="00270CDF" w:rsidRPr="00321B46">
        <w:t xml:space="preserve">en el capítulo </w:t>
      </w:r>
      <w:r w:rsidR="00847275" w:rsidRPr="00321B46">
        <w:rPr>
          <w:rFonts w:cs="Arial"/>
        </w:rPr>
        <w:fldChar w:fldCharType="begin"/>
      </w:r>
      <w:r w:rsidR="00847275" w:rsidRPr="00321B46">
        <w:rPr>
          <w:rFonts w:cs="Arial"/>
        </w:rPr>
        <w:instrText xml:space="preserve"> REF _Ref404776490 \r \h \t \* MERGEFORMAT </w:instrText>
      </w:r>
      <w:r w:rsidR="00847275" w:rsidRPr="00321B46">
        <w:rPr>
          <w:rFonts w:cs="Arial"/>
        </w:rPr>
      </w:r>
      <w:r w:rsidR="00847275" w:rsidRPr="00321B46">
        <w:rPr>
          <w:rFonts w:cs="Arial"/>
        </w:rPr>
        <w:fldChar w:fldCharType="separate"/>
      </w:r>
      <w:r w:rsidR="000F355F">
        <w:rPr>
          <w:rFonts w:cs="Arial"/>
        </w:rPr>
        <w:t>7</w:t>
      </w:r>
      <w:r w:rsidR="00847275" w:rsidRPr="00321B46">
        <w:rPr>
          <w:rFonts w:cs="Arial"/>
        </w:rPr>
        <w:fldChar w:fldCharType="end"/>
      </w:r>
      <w:r w:rsidR="0061728F" w:rsidRPr="00321B46">
        <w:t xml:space="preserve"> de este anexo</w:t>
      </w:r>
      <w:r w:rsidRPr="00321B46">
        <w:t xml:space="preserve">, así como </w:t>
      </w:r>
      <w:r w:rsidR="001C7957" w:rsidRPr="00321B46">
        <w:t>el costo asociado con la</w:t>
      </w:r>
      <w:r w:rsidR="001C7957" w:rsidRPr="00321B46" w:rsidDel="001C7957">
        <w:t xml:space="preserve"> </w:t>
      </w:r>
      <w:r w:rsidRPr="00321B46">
        <w:t xml:space="preserve">instalación. </w:t>
      </w:r>
    </w:p>
    <w:p w14:paraId="47F928AA" w14:textId="77777777" w:rsidR="009954EA" w:rsidRPr="00321B46" w:rsidRDefault="009954EA">
      <w:pPr>
        <w:tabs>
          <w:tab w:val="left" w:pos="1418"/>
        </w:tabs>
        <w:spacing w:before="120"/>
        <w:ind w:left="1418" w:hanging="1418"/>
      </w:pPr>
      <w:r w:rsidRPr="00321B46">
        <w:rPr>
          <w:i/>
          <w:iCs/>
        </w:rPr>
        <w:t>PU</w:t>
      </w:r>
      <w:r w:rsidRPr="00321B46">
        <w:rPr>
          <w:i/>
          <w:iCs/>
          <w:vertAlign w:val="subscript"/>
        </w:rPr>
        <w:t>i</w:t>
      </w:r>
      <w:r w:rsidRPr="00321B46">
        <w:rPr>
          <w:i/>
          <w:iCs/>
        </w:rPr>
        <w:t>:</w:t>
      </w:r>
      <w:r w:rsidRPr="00321B46">
        <w:tab/>
        <w:t xml:space="preserve">Fracción del costo de la UC </w:t>
      </w:r>
      <w:r w:rsidRPr="00321B46">
        <w:rPr>
          <w:i/>
          <w:iCs/>
        </w:rPr>
        <w:t>i</w:t>
      </w:r>
      <w:r w:rsidRPr="00321B46">
        <w:t>, que es remunerada vía cargos por uso.</w:t>
      </w:r>
    </w:p>
    <w:p w14:paraId="695983B0" w14:textId="77777777" w:rsidR="00683CC1" w:rsidRPr="00321B46" w:rsidRDefault="00683CC1" w:rsidP="00683CC1">
      <w:pPr>
        <w:tabs>
          <w:tab w:val="left" w:pos="1418"/>
        </w:tabs>
        <w:spacing w:before="120"/>
        <w:ind w:left="1418" w:hanging="1418"/>
      </w:pPr>
      <w:r w:rsidRPr="00321B46">
        <w:rPr>
          <w:i/>
          <w:iCs/>
        </w:rPr>
        <w:t>RPP</w:t>
      </w:r>
      <w:r w:rsidRPr="00321B46">
        <w:rPr>
          <w:i/>
          <w:iCs/>
          <w:vertAlign w:val="subscript"/>
        </w:rPr>
        <w:t>i</w:t>
      </w:r>
      <w:r w:rsidRPr="00321B46">
        <w:rPr>
          <w:i/>
          <w:iCs/>
        </w:rPr>
        <w:t>:</w:t>
      </w:r>
      <w:r w:rsidRPr="00321B46">
        <w:tab/>
        <w:t xml:space="preserve">Fracción del costo de la UC </w:t>
      </w:r>
      <w:r w:rsidRPr="00321B46">
        <w:rPr>
          <w:i/>
          <w:iCs/>
        </w:rPr>
        <w:t>i</w:t>
      </w:r>
      <w:r w:rsidRPr="00321B46">
        <w:t>, remunerada vía cargos por uso, que no se debe incluir en el cálculo de la tarifa.</w:t>
      </w:r>
    </w:p>
    <w:p w14:paraId="72FAEBBD" w14:textId="613B996F" w:rsidR="009954EA" w:rsidRPr="00321B46" w:rsidRDefault="009954EA">
      <w:pPr>
        <w:rPr>
          <w:lang w:val="es-ES_tradnl"/>
        </w:rPr>
      </w:pPr>
      <w:r w:rsidRPr="00321B46">
        <w:rPr>
          <w:lang w:val="es-ES_tradnl"/>
        </w:rPr>
        <w:t xml:space="preserve">Como soporte de las inversiones ejecutadas, el </w:t>
      </w:r>
      <w:r w:rsidR="0078271C" w:rsidRPr="00321B46">
        <w:rPr>
          <w:lang w:val="es-ES_tradnl"/>
        </w:rPr>
        <w:t>TN</w:t>
      </w:r>
      <w:r w:rsidRPr="00321B46">
        <w:rPr>
          <w:lang w:val="es-ES_tradnl"/>
        </w:rPr>
        <w:t xml:space="preserve"> deberá presentar anualmente </w:t>
      </w:r>
      <w:r w:rsidR="001C7957" w:rsidRPr="00321B46">
        <w:rPr>
          <w:lang w:val="es-ES_tradnl"/>
        </w:rPr>
        <w:t xml:space="preserve">a la Comisión </w:t>
      </w:r>
      <w:r w:rsidRPr="00321B46">
        <w:rPr>
          <w:lang w:val="es-ES_tradnl"/>
        </w:rPr>
        <w:t xml:space="preserve">un informe en el cual se relacione la totalidad de </w:t>
      </w:r>
      <w:r w:rsidR="001C7957" w:rsidRPr="00321B46">
        <w:rPr>
          <w:lang w:val="es-ES_tradnl"/>
        </w:rPr>
        <w:t xml:space="preserve">las </w:t>
      </w:r>
      <w:r w:rsidRPr="00321B46">
        <w:rPr>
          <w:lang w:val="es-ES_tradnl"/>
        </w:rPr>
        <w:t xml:space="preserve">UC </w:t>
      </w:r>
      <w:r w:rsidR="001C7957" w:rsidRPr="00321B46">
        <w:rPr>
          <w:lang w:val="es-ES_tradnl"/>
        </w:rPr>
        <w:t xml:space="preserve">o componentes de las UC </w:t>
      </w:r>
      <w:r w:rsidRPr="00321B46">
        <w:rPr>
          <w:lang w:val="es-ES_tradnl"/>
        </w:rPr>
        <w:t>puestas en operación durante el año, el valor ejecutado para cada uno de los proyectos del plan de inversiones aprobado, las desviaciones</w:t>
      </w:r>
      <w:r w:rsidR="001C7957" w:rsidRPr="00321B46">
        <w:rPr>
          <w:lang w:val="es-ES_tradnl"/>
        </w:rPr>
        <w:t>,</w:t>
      </w:r>
      <w:r w:rsidRPr="00321B46">
        <w:rPr>
          <w:lang w:val="es-ES_tradnl"/>
        </w:rPr>
        <w:t xml:space="preserve"> </w:t>
      </w:r>
      <w:r w:rsidR="001C7957" w:rsidRPr="00321B46">
        <w:rPr>
          <w:lang w:val="es-ES_tradnl"/>
        </w:rPr>
        <w:t xml:space="preserve">en cantidad y en precio, </w:t>
      </w:r>
      <w:r w:rsidRPr="00321B46">
        <w:rPr>
          <w:lang w:val="es-ES_tradnl"/>
        </w:rPr>
        <w:t>de las UC puestas en operación respecto a las aprobadas en el plan de inversiones.</w:t>
      </w:r>
    </w:p>
    <w:p w14:paraId="1F329DEF" w14:textId="6044CFE3" w:rsidR="009954EA" w:rsidRPr="00321B46" w:rsidRDefault="00E9292A">
      <w:pPr>
        <w:rPr>
          <w:lang w:val="es-ES_tradnl"/>
        </w:rPr>
      </w:pPr>
      <w:r w:rsidRPr="00321B46">
        <w:rPr>
          <w:lang w:val="es-ES_tradnl"/>
        </w:rPr>
        <w:t>E</w:t>
      </w:r>
      <w:r w:rsidR="009954EA" w:rsidRPr="00321B46">
        <w:rPr>
          <w:lang w:val="es-ES_tradnl"/>
        </w:rPr>
        <w:t xml:space="preserve">l costo de las UC puestas en operación </w:t>
      </w:r>
      <w:r w:rsidRPr="00321B46">
        <w:rPr>
          <w:lang w:val="es-ES_tradnl"/>
        </w:rPr>
        <w:t xml:space="preserve">por el TN debe corresponder a </w:t>
      </w:r>
      <w:r w:rsidR="009954EA" w:rsidRPr="00321B46">
        <w:rPr>
          <w:lang w:val="es-ES_tradnl"/>
        </w:rPr>
        <w:t xml:space="preserve">los mismos elementos </w:t>
      </w:r>
      <w:r w:rsidR="009954EA" w:rsidRPr="00321B46">
        <w:t xml:space="preserve">de las UC definidas </w:t>
      </w:r>
      <w:r w:rsidR="00270CDF" w:rsidRPr="00321B46">
        <w:t xml:space="preserve">en el capítulo </w:t>
      </w:r>
      <w:r w:rsidR="00847275" w:rsidRPr="00321B46">
        <w:rPr>
          <w:rFonts w:cs="Arial"/>
        </w:rPr>
        <w:fldChar w:fldCharType="begin"/>
      </w:r>
      <w:r w:rsidR="00847275" w:rsidRPr="00321B46">
        <w:rPr>
          <w:rFonts w:cs="Arial"/>
        </w:rPr>
        <w:instrText xml:space="preserve"> REF _Ref404776490 \r \h \t \* MERGEFORMAT </w:instrText>
      </w:r>
      <w:r w:rsidR="00847275" w:rsidRPr="00321B46">
        <w:rPr>
          <w:rFonts w:cs="Arial"/>
        </w:rPr>
      </w:r>
      <w:r w:rsidR="00847275" w:rsidRPr="00321B46">
        <w:rPr>
          <w:rFonts w:cs="Arial"/>
        </w:rPr>
        <w:fldChar w:fldCharType="separate"/>
      </w:r>
      <w:r w:rsidR="000F355F">
        <w:rPr>
          <w:rFonts w:cs="Arial"/>
        </w:rPr>
        <w:t>7</w:t>
      </w:r>
      <w:r w:rsidR="00847275" w:rsidRPr="00321B46">
        <w:rPr>
          <w:rFonts w:cs="Arial"/>
        </w:rPr>
        <w:fldChar w:fldCharType="end"/>
      </w:r>
      <w:r w:rsidR="0061728F" w:rsidRPr="00321B46">
        <w:t xml:space="preserve"> de este anexo</w:t>
      </w:r>
      <w:r w:rsidR="009954EA" w:rsidRPr="00321B46">
        <w:t>, así como las actividades requeridas para su instalación.</w:t>
      </w:r>
    </w:p>
    <w:p w14:paraId="73E19F6E" w14:textId="1BDD5583" w:rsidR="009954EA" w:rsidRPr="00321B46" w:rsidRDefault="009954EA">
      <w:pPr>
        <w:rPr>
          <w:lang w:val="es-ES_tradnl"/>
        </w:rPr>
      </w:pPr>
      <w:r w:rsidRPr="00321B46">
        <w:rPr>
          <w:lang w:val="es-ES_tradnl"/>
        </w:rPr>
        <w:t xml:space="preserve">El valor total de las inversiones ejecutadas debe </w:t>
      </w:r>
      <w:r w:rsidR="001C7957" w:rsidRPr="00321B46">
        <w:rPr>
          <w:lang w:val="es-ES_tradnl"/>
        </w:rPr>
        <w:t xml:space="preserve">corresponder con los valores de estas inversiones </w:t>
      </w:r>
      <w:r w:rsidRPr="00321B46">
        <w:rPr>
          <w:lang w:val="es-ES_tradnl"/>
        </w:rPr>
        <w:t xml:space="preserve">reportados en la contabilidad de la empresa. En el informe se deben incluir los soportes de ejecución y la relación de las cuentas de la empresa en las cuales se incluyen estas inversiones. </w:t>
      </w:r>
    </w:p>
    <w:p w14:paraId="31AE3559" w14:textId="77777777" w:rsidR="009954EA" w:rsidRPr="00321B46" w:rsidRDefault="009954EA" w:rsidP="003448EC">
      <w:pPr>
        <w:pStyle w:val="Ttulo4"/>
      </w:pPr>
      <w:bookmarkStart w:id="231" w:name="_Ref406588887"/>
      <w:bookmarkStart w:id="232" w:name="_Ref369176412"/>
      <w:r w:rsidRPr="00321B46">
        <w:t xml:space="preserve">Nivel declarado de inversiones del </w:t>
      </w:r>
      <w:bookmarkEnd w:id="231"/>
      <w:bookmarkEnd w:id="232"/>
      <w:r w:rsidR="00D730DA" w:rsidRPr="00321B46">
        <w:t>TN</w:t>
      </w:r>
    </w:p>
    <w:p w14:paraId="034170E0" w14:textId="3D3F643F" w:rsidR="009954EA" w:rsidRPr="00321B46" w:rsidRDefault="009954EA">
      <w:r w:rsidRPr="00321B46">
        <w:rPr>
          <w:lang w:val="es-ES_tradnl"/>
        </w:rPr>
        <w:t xml:space="preserve">Valor que representa la relación entre el costo del plan de inversiones estimado por el </w:t>
      </w:r>
      <w:r w:rsidR="00D730DA" w:rsidRPr="00321B46">
        <w:rPr>
          <w:lang w:val="es-ES_tradnl"/>
        </w:rPr>
        <w:t>TN</w:t>
      </w:r>
      <w:r w:rsidRPr="00321B46">
        <w:rPr>
          <w:lang w:val="es-ES_tradnl"/>
        </w:rPr>
        <w:t xml:space="preserve"> y el costo del plan de inversiones valorado con las UC definidas </w:t>
      </w:r>
      <w:r w:rsidR="00270CDF" w:rsidRPr="00321B46">
        <w:t xml:space="preserve">en el capítulo </w:t>
      </w:r>
      <w:r w:rsidR="00847275" w:rsidRPr="00321B46">
        <w:rPr>
          <w:rFonts w:cs="Arial"/>
        </w:rPr>
        <w:fldChar w:fldCharType="begin"/>
      </w:r>
      <w:r w:rsidR="00847275" w:rsidRPr="00321B46">
        <w:rPr>
          <w:rFonts w:cs="Arial"/>
        </w:rPr>
        <w:instrText xml:space="preserve"> REF _Ref404776490 \r \h \t \* MERGEFORMAT </w:instrText>
      </w:r>
      <w:r w:rsidR="00847275" w:rsidRPr="00321B46">
        <w:rPr>
          <w:rFonts w:cs="Arial"/>
        </w:rPr>
      </w:r>
      <w:r w:rsidR="00847275" w:rsidRPr="00321B46">
        <w:rPr>
          <w:rFonts w:cs="Arial"/>
        </w:rPr>
        <w:fldChar w:fldCharType="separate"/>
      </w:r>
      <w:r w:rsidR="000F355F">
        <w:rPr>
          <w:rFonts w:cs="Arial"/>
        </w:rPr>
        <w:t>7</w:t>
      </w:r>
      <w:r w:rsidR="00847275" w:rsidRPr="00321B46">
        <w:rPr>
          <w:rFonts w:cs="Arial"/>
        </w:rPr>
        <w:fldChar w:fldCharType="end"/>
      </w:r>
      <w:r w:rsidR="0061728F" w:rsidRPr="00321B46">
        <w:t xml:space="preserve"> de este anexo</w:t>
      </w:r>
      <w:r w:rsidRPr="00321B46">
        <w:t xml:space="preserve">. </w:t>
      </w:r>
    </w:p>
    <w:p w14:paraId="0093F72D" w14:textId="67E6176A" w:rsidR="009954EA" w:rsidRPr="00321B46" w:rsidRDefault="009954EA">
      <w:pPr>
        <w:rPr>
          <w:lang w:val="es-ES_tradnl"/>
        </w:rPr>
      </w:pPr>
      <w:r w:rsidRPr="00321B46">
        <w:rPr>
          <w:lang w:val="es-ES_tradnl"/>
        </w:rPr>
        <w:t xml:space="preserve">La variable </w:t>
      </w:r>
      <w:r w:rsidR="008212D0" w:rsidRPr="00321B46">
        <w:rPr>
          <w:i/>
          <w:lang w:val="es-ES_tradnl"/>
        </w:rPr>
        <w:t>NID</w:t>
      </w:r>
      <w:r w:rsidR="008212D0" w:rsidRPr="00321B46">
        <w:rPr>
          <w:i/>
          <w:vertAlign w:val="subscript"/>
          <w:lang w:val="es-ES_tradnl"/>
        </w:rPr>
        <w:t>j</w:t>
      </w:r>
      <w:r w:rsidRPr="00321B46">
        <w:rPr>
          <w:i/>
          <w:vertAlign w:val="subscript"/>
          <w:lang w:val="es-ES_tradnl"/>
        </w:rPr>
        <w:t>,t</w:t>
      </w:r>
      <w:r w:rsidRPr="00321B46">
        <w:rPr>
          <w:lang w:val="es-ES_tradnl"/>
        </w:rPr>
        <w:t xml:space="preserve"> </w:t>
      </w:r>
      <w:r w:rsidR="001C7957" w:rsidRPr="00321B46">
        <w:rPr>
          <w:lang w:val="es-ES_tradnl"/>
        </w:rPr>
        <w:t>debe tener</w:t>
      </w:r>
      <w:r w:rsidRPr="00321B46">
        <w:rPr>
          <w:lang w:val="es-ES_tradnl"/>
        </w:rPr>
        <w:t xml:space="preserve"> valor</w:t>
      </w:r>
      <w:r w:rsidR="001C7957" w:rsidRPr="00321B46">
        <w:rPr>
          <w:lang w:val="es-ES_tradnl"/>
        </w:rPr>
        <w:t>es</w:t>
      </w:r>
      <w:r w:rsidRPr="00321B46">
        <w:rPr>
          <w:lang w:val="es-ES_tradnl"/>
        </w:rPr>
        <w:t xml:space="preserve"> que se </w:t>
      </w:r>
      <w:r w:rsidR="001C7957" w:rsidRPr="00321B46">
        <w:rPr>
          <w:lang w:val="es-ES_tradnl"/>
        </w:rPr>
        <w:t xml:space="preserve">encuentren </w:t>
      </w:r>
      <w:r w:rsidRPr="00321B46">
        <w:rPr>
          <w:lang w:val="es-ES_tradnl"/>
        </w:rPr>
        <w:t>entre 90</w:t>
      </w:r>
      <w:r w:rsidR="008212D0" w:rsidRPr="00321B46">
        <w:rPr>
          <w:lang w:val="es-ES_tradnl"/>
        </w:rPr>
        <w:t>%</w:t>
      </w:r>
      <w:r w:rsidRPr="00321B46">
        <w:rPr>
          <w:lang w:val="es-ES_tradnl"/>
        </w:rPr>
        <w:t xml:space="preserve"> y 110</w:t>
      </w:r>
      <w:r w:rsidR="008212D0" w:rsidRPr="00321B46">
        <w:rPr>
          <w:lang w:val="es-ES_tradnl"/>
        </w:rPr>
        <w:t>%</w:t>
      </w:r>
      <w:r w:rsidRPr="00321B46">
        <w:rPr>
          <w:lang w:val="es-ES_tradnl"/>
        </w:rPr>
        <w:t>.</w:t>
      </w:r>
    </w:p>
    <w:p w14:paraId="477E3CDC" w14:textId="59AD0299" w:rsidR="009954EA" w:rsidRPr="00321B46" w:rsidRDefault="009954EA">
      <w:pPr>
        <w:rPr>
          <w:lang w:val="es-ES_tradnl"/>
        </w:rPr>
      </w:pPr>
      <w:r w:rsidRPr="00321B46">
        <w:rPr>
          <w:lang w:val="es-ES_tradnl"/>
        </w:rPr>
        <w:t xml:space="preserve">Este valor debe ser reportado por el </w:t>
      </w:r>
      <w:r w:rsidR="00D730DA" w:rsidRPr="00321B46">
        <w:rPr>
          <w:lang w:val="es-ES_tradnl"/>
        </w:rPr>
        <w:t>TN</w:t>
      </w:r>
      <w:r w:rsidRPr="00321B46">
        <w:rPr>
          <w:lang w:val="es-ES_tradnl"/>
        </w:rPr>
        <w:t xml:space="preserve"> en la solicitud tarifaria y puede ser ajustado </w:t>
      </w:r>
      <w:r w:rsidR="001C7957" w:rsidRPr="00321B46">
        <w:rPr>
          <w:lang w:val="es-ES_tradnl"/>
        </w:rPr>
        <w:t xml:space="preserve">por el </w:t>
      </w:r>
      <w:r w:rsidR="00ED4B5D" w:rsidRPr="00321B46">
        <w:rPr>
          <w:lang w:val="es-ES_tradnl"/>
        </w:rPr>
        <w:t>TN</w:t>
      </w:r>
      <w:r w:rsidR="001C7957" w:rsidRPr="00321B46">
        <w:rPr>
          <w:lang w:val="es-ES_tradnl"/>
        </w:rPr>
        <w:t xml:space="preserve"> en las ocasiones previstas para modificar </w:t>
      </w:r>
      <w:r w:rsidRPr="00321B46">
        <w:rPr>
          <w:lang w:val="es-ES_tradnl"/>
        </w:rPr>
        <w:t xml:space="preserve">el plan de inversiones de acuerdo con lo establecido en el numeral </w:t>
      </w:r>
      <w:r w:rsidR="00D32566" w:rsidRPr="00321B46">
        <w:fldChar w:fldCharType="begin"/>
      </w:r>
      <w:r w:rsidR="00D32566" w:rsidRPr="00321B46">
        <w:rPr>
          <w:lang w:val="es-ES_tradnl"/>
        </w:rPr>
        <w:instrText xml:space="preserve"> REF _Ref445419903 \r \h </w:instrText>
      </w:r>
      <w:r w:rsidR="00D32566" w:rsidRPr="00321B46">
        <w:instrText xml:space="preserve"> \* MERGEFORMAT </w:instrText>
      </w:r>
      <w:r w:rsidR="00D32566" w:rsidRPr="00321B46">
        <w:fldChar w:fldCharType="separate"/>
      </w:r>
      <w:r w:rsidR="000F355F">
        <w:rPr>
          <w:lang w:val="es-ES_tradnl"/>
        </w:rPr>
        <w:t>6.6</w:t>
      </w:r>
      <w:r w:rsidR="00D32566" w:rsidRPr="00321B46">
        <w:fldChar w:fldCharType="end"/>
      </w:r>
      <w:r w:rsidRPr="00321B46">
        <w:rPr>
          <w:lang w:val="es-ES_tradnl"/>
        </w:rPr>
        <w:t xml:space="preserve">. </w:t>
      </w:r>
    </w:p>
    <w:p w14:paraId="1ADABEEF" w14:textId="3B6F2657" w:rsidR="009954EA" w:rsidRPr="00321B46" w:rsidRDefault="001C7957" w:rsidP="009A7C14">
      <w:pPr>
        <w:pStyle w:val="Ttulo3"/>
      </w:pPr>
      <w:bookmarkStart w:id="233" w:name="_Ref461110331"/>
      <w:bookmarkStart w:id="234" w:name="_Toc408493157"/>
      <w:bookmarkStart w:id="235" w:name="_Toc411243802"/>
      <w:bookmarkStart w:id="236" w:name="_Ref444778918"/>
      <w:bookmarkStart w:id="237" w:name="_Toc466392643"/>
      <w:r w:rsidRPr="00321B46">
        <w:t>Ajuste por ingresos de gastos</w:t>
      </w:r>
      <w:bookmarkEnd w:id="233"/>
      <w:bookmarkEnd w:id="234"/>
      <w:bookmarkEnd w:id="235"/>
      <w:bookmarkEnd w:id="236"/>
      <w:bookmarkEnd w:id="237"/>
    </w:p>
    <w:p w14:paraId="49A84D5D" w14:textId="77777777" w:rsidR="00B15D50" w:rsidRPr="00321B46" w:rsidRDefault="00B15D50" w:rsidP="00B15D50">
      <w:r w:rsidRPr="00321B46">
        <w:t>El ajuste en los ingresos por la eficiencia en gastos se calcula con base en la siguiente expresión:</w:t>
      </w:r>
    </w:p>
    <w:p w14:paraId="58ACCE29" w14:textId="0726F530" w:rsidR="00B15D50" w:rsidRPr="00321B46" w:rsidRDefault="00651802" w:rsidP="00B15D50">
      <w:pPr>
        <w:rPr>
          <w:lang w:val="es-ES_tradnl"/>
        </w:rPr>
      </w:pPr>
      <m:oMathPara>
        <m:oMath>
          <m:sSub>
            <m:sSubPr>
              <m:ctrlPr>
                <w:rPr>
                  <w:rFonts w:ascii="Cambria Math" w:hAnsi="Cambria Math"/>
                  <w:i/>
                  <w:lang w:val="es-ES_tradnl"/>
                </w:rPr>
              </m:ctrlPr>
            </m:sSubPr>
            <m:e>
              <m:r>
                <w:rPr>
                  <w:rFonts w:ascii="Cambria Math" w:hAnsi="Cambria Math"/>
                  <w:lang w:val="es-ES_tradnl"/>
                </w:rPr>
                <m:t xml:space="preserve">AINCG </m:t>
              </m:r>
            </m:e>
            <m:sub>
              <m:r>
                <w:rPr>
                  <w:rFonts w:ascii="Cambria Math" w:hAnsi="Cambria Math"/>
                  <w:lang w:val="es-ES_tradnl"/>
                </w:rPr>
                <m:t>j,t</m:t>
              </m:r>
            </m:sub>
          </m:sSub>
          <m:r>
            <w:rPr>
              <w:rFonts w:ascii="Cambria Math" w:hAnsi="Cambria Math"/>
              <w:lang w:val="es-ES_tradnl"/>
            </w:rPr>
            <m:t>=</m:t>
          </m:r>
          <m:d>
            <m:dPr>
              <m:ctrlPr>
                <w:rPr>
                  <w:rFonts w:ascii="Cambria Math" w:hAnsi="Cambria Math"/>
                  <w:i/>
                  <w:lang w:val="es-ES_tradnl"/>
                </w:rPr>
              </m:ctrlPr>
            </m:dPr>
            <m:e>
              <m:sSub>
                <m:sSubPr>
                  <m:ctrlPr>
                    <w:rPr>
                      <w:rFonts w:ascii="Cambria Math" w:hAnsi="Cambria Math"/>
                      <w:i/>
                      <w:lang w:val="es-ES_tradnl"/>
                    </w:rPr>
                  </m:ctrlPr>
                </m:sSubPr>
                <m:e>
                  <m:r>
                    <w:rPr>
                      <w:rFonts w:ascii="Cambria Math" w:hAnsi="Cambria Math"/>
                      <w:lang w:val="es-ES_tradnl"/>
                    </w:rPr>
                    <m:t>AOMbase</m:t>
                  </m:r>
                </m:e>
                <m:sub>
                  <m:r>
                    <w:rPr>
                      <w:rFonts w:ascii="Cambria Math" w:hAnsi="Cambria Math"/>
                      <w:lang w:val="es-ES_tradnl"/>
                    </w:rPr>
                    <m:t>j,t</m:t>
                  </m:r>
                </m:sub>
              </m:sSub>
              <m:r>
                <w:rPr>
                  <w:rFonts w:ascii="Cambria Math" w:hAnsi="Cambria Math"/>
                  <w:lang w:val="es-ES_tradnl"/>
                </w:rPr>
                <m:t>+</m:t>
              </m:r>
              <m:sSub>
                <m:sSubPr>
                  <m:ctrlPr>
                    <w:rPr>
                      <w:rFonts w:ascii="Cambria Math" w:hAnsi="Cambria Math"/>
                      <w:i/>
                      <w:lang w:val="es-ES_tradnl"/>
                    </w:rPr>
                  </m:ctrlPr>
                </m:sSubPr>
                <m:e>
                  <m:r>
                    <w:rPr>
                      <w:rFonts w:ascii="Cambria Math" w:hAnsi="Cambria Math"/>
                      <w:lang w:val="es-ES_tradnl"/>
                    </w:rPr>
                    <m:t>AOMNI</m:t>
                  </m:r>
                </m:e>
                <m:sub>
                  <m:r>
                    <w:rPr>
                      <w:rFonts w:ascii="Cambria Math" w:hAnsi="Cambria Math"/>
                      <w:lang w:val="es-ES_tradnl"/>
                    </w:rPr>
                    <m:t>j,t</m:t>
                  </m:r>
                </m:sub>
              </m:sSub>
            </m:e>
          </m:d>
          <m:r>
            <w:rPr>
              <w:rFonts w:ascii="Cambria Math" w:hAnsi="Cambria Math"/>
              <w:lang w:val="es-ES_tradnl"/>
            </w:rPr>
            <m:t>*</m:t>
          </m:r>
          <m:sSub>
            <m:sSubPr>
              <m:ctrlPr>
                <w:rPr>
                  <w:rFonts w:ascii="Cambria Math" w:hAnsi="Cambria Math"/>
                  <w:i/>
                  <w:lang w:val="es-ES_tradnl"/>
                </w:rPr>
              </m:ctrlPr>
            </m:sSubPr>
            <m:e>
              <m:r>
                <w:rPr>
                  <w:rFonts w:ascii="Cambria Math" w:hAnsi="Cambria Math"/>
                  <w:lang w:val="es-ES_tradnl"/>
                </w:rPr>
                <m:t>AINCAG</m:t>
              </m:r>
            </m:e>
            <m:sub>
              <m:r>
                <w:rPr>
                  <w:rFonts w:ascii="Cambria Math" w:hAnsi="Cambria Math"/>
                  <w:lang w:val="es-ES_tradnl"/>
                </w:rPr>
                <m:t>j,t</m:t>
              </m:r>
            </m:sub>
          </m:sSub>
        </m:oMath>
      </m:oMathPara>
    </w:p>
    <w:p w14:paraId="786DF1E1" w14:textId="77777777" w:rsidR="00B15D50" w:rsidRPr="00321B46" w:rsidRDefault="00B15D50" w:rsidP="00B15D50">
      <w:pPr>
        <w:rPr>
          <w:lang w:val="es-ES_tradnl"/>
        </w:rPr>
      </w:pPr>
      <w:r w:rsidRPr="00321B46">
        <w:rPr>
          <w:lang w:val="es-ES_tradnl"/>
        </w:rPr>
        <w:t>Donde:</w:t>
      </w:r>
    </w:p>
    <w:p w14:paraId="2CE52FAA" w14:textId="35F8D6C4" w:rsidR="00B15D50" w:rsidRPr="00321B46" w:rsidRDefault="00B15D50" w:rsidP="00B15D50">
      <w:pPr>
        <w:ind w:left="1560" w:hanging="1560"/>
        <w:rPr>
          <w:i/>
        </w:rPr>
      </w:pPr>
      <w:r w:rsidRPr="00321B46">
        <w:rPr>
          <w:i/>
          <w:iCs/>
        </w:rPr>
        <w:t>AINCG</w:t>
      </w:r>
      <w:r w:rsidRPr="00321B46">
        <w:rPr>
          <w:i/>
          <w:iCs/>
          <w:vertAlign w:val="subscript"/>
        </w:rPr>
        <w:t>j,t</w:t>
      </w:r>
      <w:r w:rsidRPr="00321B46">
        <w:t>:</w:t>
      </w:r>
      <w:r w:rsidRPr="00321B46">
        <w:tab/>
        <w:t xml:space="preserve">Ajuste al ingreso anual por gastos asociados con la eficiencia en los gastos del TN </w:t>
      </w:r>
      <w:r w:rsidRPr="00321B46">
        <w:rPr>
          <w:i/>
        </w:rPr>
        <w:t xml:space="preserve">j </w:t>
      </w:r>
      <w:r w:rsidRPr="00321B46">
        <w:t xml:space="preserve">en el año </w:t>
      </w:r>
      <w:r w:rsidRPr="00321B46">
        <w:rPr>
          <w:i/>
        </w:rPr>
        <w:t>t.</w:t>
      </w:r>
    </w:p>
    <w:p w14:paraId="5998D5E8" w14:textId="77777777" w:rsidR="00B15D50" w:rsidRPr="00321B46" w:rsidRDefault="00B15D50" w:rsidP="00B15D50">
      <w:pPr>
        <w:ind w:left="1560" w:hanging="1560"/>
        <w:rPr>
          <w:lang w:val="es-MX"/>
        </w:rPr>
      </w:pPr>
      <w:r w:rsidRPr="00321B46">
        <w:rPr>
          <w:i/>
        </w:rPr>
        <w:t>AOMbase</w:t>
      </w:r>
      <w:r w:rsidRPr="00321B46">
        <w:rPr>
          <w:i/>
          <w:vertAlign w:val="subscript"/>
        </w:rPr>
        <w:t>j,t</w:t>
      </w:r>
      <w:r w:rsidRPr="00321B46">
        <w:rPr>
          <w:lang w:val="es-MX"/>
        </w:rPr>
        <w:t>:</w:t>
      </w:r>
      <w:r w:rsidRPr="00321B46">
        <w:rPr>
          <w:lang w:val="es-MX"/>
        </w:rPr>
        <w:tab/>
        <w:t xml:space="preserve">Valor del AOM base del TN </w:t>
      </w:r>
      <w:r w:rsidRPr="00321B46">
        <w:rPr>
          <w:i/>
          <w:lang w:val="es-MX"/>
        </w:rPr>
        <w:t>j</w:t>
      </w:r>
      <w:r w:rsidRPr="00321B46">
        <w:rPr>
          <w:lang w:val="es-MX"/>
        </w:rPr>
        <w:t xml:space="preserve">, para el año </w:t>
      </w:r>
      <w:r w:rsidRPr="00321B46">
        <w:rPr>
          <w:i/>
          <w:lang w:val="es-MX"/>
        </w:rPr>
        <w:t>t</w:t>
      </w:r>
      <w:r w:rsidRPr="00321B46">
        <w:rPr>
          <w:lang w:val="es-MX"/>
        </w:rPr>
        <w:t xml:space="preserve">, calculado de acuerdo con lo previsto en el numeral </w:t>
      </w:r>
      <w:r w:rsidRPr="00321B46">
        <w:rPr>
          <w:lang w:val="es-MX"/>
        </w:rPr>
        <w:fldChar w:fldCharType="begin"/>
      </w:r>
      <w:r w:rsidRPr="00321B46">
        <w:rPr>
          <w:lang w:val="es-MX"/>
        </w:rPr>
        <w:instrText xml:space="preserve"> REF _Ref408428063 \r \h  \* MERGEFORMAT </w:instrText>
      </w:r>
      <w:r w:rsidRPr="00321B46">
        <w:rPr>
          <w:lang w:val="es-MX"/>
        </w:rPr>
      </w:r>
      <w:r w:rsidRPr="00321B46">
        <w:rPr>
          <w:lang w:val="es-MX"/>
        </w:rPr>
        <w:fldChar w:fldCharType="separate"/>
      </w:r>
      <w:r w:rsidR="000F355F">
        <w:rPr>
          <w:lang w:val="es-MX"/>
        </w:rPr>
        <w:t>3.2</w:t>
      </w:r>
      <w:r w:rsidRPr="00321B46">
        <w:rPr>
          <w:lang w:val="es-MX"/>
        </w:rPr>
        <w:fldChar w:fldCharType="end"/>
      </w:r>
      <w:r w:rsidRPr="00321B46">
        <w:rPr>
          <w:lang w:val="es-MX"/>
        </w:rPr>
        <w:t>, expresado en pesos de la fecha de corte.</w:t>
      </w:r>
    </w:p>
    <w:p w14:paraId="5753184C" w14:textId="77777777" w:rsidR="00B15D50" w:rsidRPr="00321B46" w:rsidRDefault="00B15D50" w:rsidP="00B15D50">
      <w:pPr>
        <w:ind w:left="1560" w:hanging="1560"/>
        <w:rPr>
          <w:lang w:val="es-MX"/>
        </w:rPr>
      </w:pPr>
      <w:r w:rsidRPr="00321B46">
        <w:rPr>
          <w:i/>
          <w:lang w:val="es-MX"/>
        </w:rPr>
        <w:t>AOMNI</w:t>
      </w:r>
      <w:r w:rsidRPr="00321B46">
        <w:rPr>
          <w:i/>
          <w:vertAlign w:val="subscript"/>
          <w:lang w:val="es-MX"/>
        </w:rPr>
        <w:t>j,t</w:t>
      </w:r>
      <w:r w:rsidRPr="00321B46">
        <w:rPr>
          <w:lang w:val="es-MX"/>
        </w:rPr>
        <w:t>:</w:t>
      </w:r>
      <w:r w:rsidRPr="00321B46">
        <w:rPr>
          <w:lang w:val="es-MX"/>
        </w:rPr>
        <w:tab/>
        <w:t xml:space="preserve">Valor del AOM para nuevas inversiones, diferentes a reposición, del TN </w:t>
      </w:r>
      <w:r w:rsidRPr="00321B46">
        <w:rPr>
          <w:i/>
          <w:lang w:val="es-MX"/>
        </w:rPr>
        <w:t>j</w:t>
      </w:r>
      <w:r w:rsidRPr="00321B46">
        <w:rPr>
          <w:lang w:val="es-MX"/>
        </w:rPr>
        <w:t xml:space="preserve">, para el año </w:t>
      </w:r>
      <w:r w:rsidRPr="00321B46">
        <w:rPr>
          <w:i/>
          <w:lang w:val="es-MX"/>
        </w:rPr>
        <w:t>t</w:t>
      </w:r>
      <w:r w:rsidRPr="00321B46">
        <w:rPr>
          <w:lang w:val="es-MX"/>
        </w:rPr>
        <w:t xml:space="preserve">, calculado de acuerdo con lo previsto en el numeral </w:t>
      </w:r>
      <w:r w:rsidRPr="00321B46">
        <w:rPr>
          <w:lang w:val="es-MX"/>
        </w:rPr>
        <w:fldChar w:fldCharType="begin"/>
      </w:r>
      <w:r w:rsidRPr="00321B46">
        <w:rPr>
          <w:lang w:val="es-MX"/>
        </w:rPr>
        <w:instrText xml:space="preserve"> REF _Ref403576479 \r \h  \* MERGEFORMAT </w:instrText>
      </w:r>
      <w:r w:rsidRPr="00321B46">
        <w:rPr>
          <w:lang w:val="es-MX"/>
        </w:rPr>
      </w:r>
      <w:r w:rsidRPr="00321B46">
        <w:rPr>
          <w:lang w:val="es-MX"/>
        </w:rPr>
        <w:fldChar w:fldCharType="separate"/>
      </w:r>
      <w:r w:rsidR="000F355F">
        <w:rPr>
          <w:lang w:val="es-MX"/>
        </w:rPr>
        <w:t>3.2.4</w:t>
      </w:r>
      <w:r w:rsidRPr="00321B46">
        <w:rPr>
          <w:lang w:val="es-MX"/>
        </w:rPr>
        <w:fldChar w:fldCharType="end"/>
      </w:r>
      <w:r w:rsidRPr="00321B46">
        <w:rPr>
          <w:lang w:val="es-MX"/>
        </w:rPr>
        <w:t>, expresado en pesos de la fecha de corte.</w:t>
      </w:r>
    </w:p>
    <w:p w14:paraId="38C44CC3" w14:textId="75AF0F49" w:rsidR="00B15D50" w:rsidRPr="00321B46" w:rsidRDefault="00B15D50" w:rsidP="00B15D50">
      <w:pPr>
        <w:ind w:left="1560" w:hanging="1560"/>
        <w:rPr>
          <w:rFonts w:cs="Arial"/>
          <w:lang w:val="es-ES_tradnl"/>
        </w:rPr>
      </w:pPr>
      <w:r w:rsidRPr="00321B46">
        <w:rPr>
          <w:rFonts w:cs="Arial"/>
          <w:i/>
          <w:lang w:val="es-ES_tradnl"/>
        </w:rPr>
        <w:t xml:space="preserve">AINCAG </w:t>
      </w:r>
      <w:r w:rsidRPr="00321B46">
        <w:rPr>
          <w:rFonts w:cs="Arial"/>
          <w:i/>
          <w:vertAlign w:val="subscript"/>
          <w:lang w:val="es-ES_tradnl"/>
        </w:rPr>
        <w:t>j,t</w:t>
      </w:r>
      <w:r w:rsidRPr="00321B46">
        <w:rPr>
          <w:rFonts w:cs="Arial"/>
          <w:lang w:val="es-ES_tradnl"/>
        </w:rPr>
        <w:t>:</w:t>
      </w:r>
      <w:r w:rsidRPr="00321B46">
        <w:rPr>
          <w:rFonts w:cs="Arial"/>
          <w:lang w:val="es-ES_tradnl"/>
        </w:rPr>
        <w:tab/>
        <w:t xml:space="preserve">Ajuste de ingresos </w:t>
      </w:r>
      <w:r w:rsidRPr="00321B46">
        <w:rPr>
          <w:lang w:val="es-ES_tradnl"/>
        </w:rPr>
        <w:t xml:space="preserve">por eficiencia en gastos por el TN </w:t>
      </w:r>
      <w:r w:rsidRPr="00321B46">
        <w:rPr>
          <w:i/>
          <w:lang w:val="es-ES_tradnl"/>
        </w:rPr>
        <w:t>j</w:t>
      </w:r>
      <w:r w:rsidRPr="00321B46">
        <w:rPr>
          <w:lang w:val="es-ES_tradnl"/>
        </w:rPr>
        <w:t xml:space="preserve">, en el año </w:t>
      </w:r>
      <w:r w:rsidRPr="00321B46">
        <w:rPr>
          <w:i/>
          <w:lang w:val="es-ES_tradnl"/>
        </w:rPr>
        <w:t>t</w:t>
      </w:r>
      <w:r w:rsidR="00404B04" w:rsidRPr="00321B46">
        <w:rPr>
          <w:lang w:val="es-ES_tradnl"/>
        </w:rPr>
        <w:t xml:space="preserve">, tomado </w:t>
      </w:r>
      <w:r w:rsidRPr="00321B46">
        <w:rPr>
          <w:rFonts w:cs="Arial"/>
          <w:lang w:val="es-ES_tradnl"/>
        </w:rPr>
        <w:t xml:space="preserve">de la </w:t>
      </w:r>
      <w:r w:rsidRPr="00321B46">
        <w:rPr>
          <w:rFonts w:cs="Arial"/>
          <w:lang w:val="es-ES_tradnl"/>
        </w:rPr>
        <w:fldChar w:fldCharType="begin"/>
      </w:r>
      <w:r w:rsidRPr="00321B46">
        <w:rPr>
          <w:rFonts w:cs="Arial"/>
          <w:lang w:val="es-ES_tradnl"/>
        </w:rPr>
        <w:instrText xml:space="preserve"> REF _Ref460937727 \h </w:instrText>
      </w:r>
      <w:r w:rsidR="00321B46">
        <w:rPr>
          <w:rFonts w:cs="Arial"/>
          <w:lang w:val="es-ES_tradnl"/>
        </w:rPr>
        <w:instrText xml:space="preserve"> \* MERGEFORMAT </w:instrText>
      </w:r>
      <w:r w:rsidRPr="00321B46">
        <w:rPr>
          <w:rFonts w:cs="Arial"/>
          <w:lang w:val="es-ES_tradnl"/>
        </w:rPr>
      </w:r>
      <w:r w:rsidRPr="00321B46">
        <w:rPr>
          <w:rFonts w:cs="Arial"/>
          <w:lang w:val="es-ES_tradnl"/>
        </w:rPr>
        <w:fldChar w:fldCharType="separate"/>
      </w:r>
      <w:r w:rsidR="000F355F" w:rsidRPr="00321B46">
        <w:t xml:space="preserve">Tabla </w:t>
      </w:r>
      <w:r w:rsidR="000F355F">
        <w:rPr>
          <w:noProof/>
        </w:rPr>
        <w:t>4</w:t>
      </w:r>
      <w:r w:rsidRPr="00321B46">
        <w:rPr>
          <w:rFonts w:cs="Arial"/>
          <w:lang w:val="es-ES_tradnl"/>
        </w:rPr>
        <w:fldChar w:fldCharType="end"/>
      </w:r>
      <w:r w:rsidRPr="00321B46">
        <w:rPr>
          <w:rFonts w:cs="Arial"/>
          <w:lang w:val="es-ES_tradnl"/>
        </w:rPr>
        <w:t>.</w:t>
      </w:r>
    </w:p>
    <w:p w14:paraId="232B77BF" w14:textId="77777777" w:rsidR="009954EA" w:rsidRPr="00321B46" w:rsidRDefault="009954EA" w:rsidP="009A7C14">
      <w:pPr>
        <w:pStyle w:val="Ttulo4"/>
      </w:pPr>
      <w:bookmarkStart w:id="238" w:name="_Ref404092554"/>
      <w:r w:rsidRPr="00321B46">
        <w:t>Nivel de gastos ejecutados</w:t>
      </w:r>
      <w:bookmarkEnd w:id="238"/>
    </w:p>
    <w:p w14:paraId="559D8CF6" w14:textId="77777777" w:rsidR="009954EA" w:rsidRPr="00321B46" w:rsidRDefault="009954EA">
      <w:pPr>
        <w:rPr>
          <w:lang w:val="es-ES_tradnl"/>
        </w:rPr>
      </w:pPr>
      <w:r w:rsidRPr="00321B46">
        <w:rPr>
          <w:lang w:val="es-ES_tradnl"/>
        </w:rPr>
        <w:t xml:space="preserve">El nivel de gastos ejecutados, </w:t>
      </w:r>
      <w:r w:rsidRPr="00321B46">
        <w:rPr>
          <w:i/>
          <w:lang w:val="es-ES_tradnl"/>
        </w:rPr>
        <w:t>NGE</w:t>
      </w:r>
      <w:r w:rsidRPr="00321B46">
        <w:rPr>
          <w:i/>
          <w:vertAlign w:val="subscript"/>
          <w:lang w:val="es-ES_tradnl"/>
        </w:rPr>
        <w:t>j,t</w:t>
      </w:r>
      <w:r w:rsidRPr="00321B46">
        <w:rPr>
          <w:lang w:val="es-ES_tradnl"/>
        </w:rPr>
        <w:t xml:space="preserve">, por el </w:t>
      </w:r>
      <w:r w:rsidR="00B47A17" w:rsidRPr="00321B46">
        <w:rPr>
          <w:lang w:val="es-ES_tradnl"/>
        </w:rPr>
        <w:t>TN</w:t>
      </w:r>
      <w:r w:rsidRPr="00321B46">
        <w:rPr>
          <w:lang w:val="es-ES_tradnl"/>
        </w:rPr>
        <w:t xml:space="preserve"> durante el año </w:t>
      </w:r>
      <w:r w:rsidRPr="00321B46">
        <w:rPr>
          <w:i/>
          <w:lang w:val="es-ES_tradnl"/>
        </w:rPr>
        <w:t>t</w:t>
      </w:r>
      <w:r w:rsidRPr="00321B46">
        <w:rPr>
          <w:lang w:val="es-ES_tradnl"/>
        </w:rPr>
        <w:t xml:space="preserve"> se calcula de la siguiente manera: </w:t>
      </w:r>
    </w:p>
    <w:p w14:paraId="1835AA83" w14:textId="2942A4EA" w:rsidR="009954EA" w:rsidRPr="00321B46" w:rsidRDefault="00651802">
      <w:pPr>
        <w:rPr>
          <w:lang w:val="es-ES_tradnl"/>
        </w:rPr>
      </w:pPr>
      <m:oMathPara>
        <m:oMath>
          <m:sSub>
            <m:sSubPr>
              <m:ctrlPr>
                <w:rPr>
                  <w:rFonts w:ascii="Cambria Math" w:hAnsi="Cambria Math"/>
                  <w:i/>
                  <w:lang w:val="es-ES_tradnl"/>
                </w:rPr>
              </m:ctrlPr>
            </m:sSubPr>
            <m:e>
              <m:r>
                <w:rPr>
                  <w:rFonts w:ascii="Cambria Math" w:hAnsi="Cambria Math"/>
                  <w:lang w:val="es-ES_tradnl"/>
                </w:rPr>
                <m:t xml:space="preserve">NGE </m:t>
              </m:r>
            </m:e>
            <m:sub>
              <m:r>
                <w:rPr>
                  <w:rFonts w:ascii="Cambria Math" w:hAnsi="Cambria Math"/>
                  <w:lang w:val="es-ES_tradnl"/>
                </w:rPr>
                <m:t>j,t</m:t>
              </m:r>
            </m:sub>
          </m:sSub>
          <m:r>
            <w:rPr>
              <w:rFonts w:ascii="Cambria Math" w:hAnsi="Cambria Math"/>
              <w:lang w:val="es-ES_tradnl"/>
            </w:rPr>
            <m:t>=</m:t>
          </m:r>
          <m:f>
            <m:fPr>
              <m:ctrlPr>
                <w:rPr>
                  <w:rFonts w:ascii="Cambria Math" w:hAnsi="Cambria Math"/>
                  <w:i/>
                  <w:lang w:val="es-ES_tradnl"/>
                </w:rPr>
              </m:ctrlPr>
            </m:fPr>
            <m:num>
              <m:sSub>
                <m:sSubPr>
                  <m:ctrlPr>
                    <w:rPr>
                      <w:rFonts w:ascii="Cambria Math" w:hAnsi="Cambria Math"/>
                      <w:i/>
                      <w:lang w:val="es-ES_tradnl"/>
                    </w:rPr>
                  </m:ctrlPr>
                </m:sSubPr>
                <m:e>
                  <m:r>
                    <w:rPr>
                      <w:rFonts w:ascii="Cambria Math" w:hAnsi="Cambria Math"/>
                      <w:lang w:val="es-ES_tradnl"/>
                    </w:rPr>
                    <m:t>AOME</m:t>
                  </m:r>
                </m:e>
                <m:sub>
                  <m:r>
                    <w:rPr>
                      <w:rFonts w:ascii="Cambria Math" w:hAnsi="Cambria Math"/>
                      <w:lang w:val="es-ES_tradnl"/>
                    </w:rPr>
                    <m:t>j,t</m:t>
                  </m:r>
                </m:sub>
              </m:sSub>
            </m:num>
            <m:den>
              <m:d>
                <m:dPr>
                  <m:ctrlPr>
                    <w:rPr>
                      <w:rFonts w:ascii="Cambria Math" w:hAnsi="Cambria Math"/>
                      <w:i/>
                      <w:lang w:val="es-ES_tradnl"/>
                    </w:rPr>
                  </m:ctrlPr>
                </m:dPr>
                <m:e>
                  <m:sSub>
                    <m:sSubPr>
                      <m:ctrlPr>
                        <w:rPr>
                          <w:rFonts w:ascii="Cambria Math" w:hAnsi="Cambria Math"/>
                          <w:i/>
                          <w:lang w:val="es-ES_tradnl"/>
                        </w:rPr>
                      </m:ctrlPr>
                    </m:sSubPr>
                    <m:e>
                      <m:r>
                        <w:rPr>
                          <w:rFonts w:ascii="Cambria Math" w:hAnsi="Cambria Math"/>
                          <w:lang w:val="es-ES_tradnl"/>
                        </w:rPr>
                        <m:t>AOMbase</m:t>
                      </m:r>
                    </m:e>
                    <m:sub>
                      <m:r>
                        <w:rPr>
                          <w:rFonts w:ascii="Cambria Math" w:hAnsi="Cambria Math"/>
                          <w:lang w:val="es-ES_tradnl"/>
                        </w:rPr>
                        <m:t>j,n,t</m:t>
                      </m:r>
                    </m:sub>
                  </m:sSub>
                  <m:r>
                    <w:rPr>
                      <w:rFonts w:ascii="Cambria Math" w:hAnsi="Cambria Math"/>
                      <w:lang w:val="es-ES_tradnl"/>
                    </w:rPr>
                    <m:t>+</m:t>
                  </m:r>
                  <m:sSub>
                    <m:sSubPr>
                      <m:ctrlPr>
                        <w:rPr>
                          <w:rFonts w:ascii="Cambria Math" w:hAnsi="Cambria Math"/>
                          <w:i/>
                          <w:lang w:val="es-ES_tradnl"/>
                        </w:rPr>
                      </m:ctrlPr>
                    </m:sSubPr>
                    <m:e>
                      <m:r>
                        <w:rPr>
                          <w:rFonts w:ascii="Cambria Math" w:hAnsi="Cambria Math"/>
                          <w:lang w:val="es-ES_tradnl"/>
                        </w:rPr>
                        <m:t>AOMNI</m:t>
                      </m:r>
                    </m:e>
                    <m:sub>
                      <m:r>
                        <w:rPr>
                          <w:rFonts w:ascii="Cambria Math" w:hAnsi="Cambria Math"/>
                          <w:lang w:val="es-ES_tradnl"/>
                        </w:rPr>
                        <m:t>j,n,t</m:t>
                      </m:r>
                    </m:sub>
                  </m:sSub>
                </m:e>
              </m:d>
            </m:den>
          </m:f>
          <m:r>
            <w:rPr>
              <w:rFonts w:ascii="Cambria Math" w:hAnsi="Cambria Math"/>
              <w:lang w:val="es-ES_tradnl"/>
            </w:rPr>
            <m:t>*100</m:t>
          </m:r>
        </m:oMath>
      </m:oMathPara>
    </w:p>
    <w:p w14:paraId="5DDB21B4" w14:textId="77777777" w:rsidR="009954EA" w:rsidRPr="00321B46" w:rsidRDefault="009954EA">
      <w:pPr>
        <w:rPr>
          <w:lang w:val="es-ES_tradnl"/>
        </w:rPr>
      </w:pPr>
      <w:r w:rsidRPr="00321B46">
        <w:rPr>
          <w:lang w:val="es-ES_tradnl"/>
        </w:rPr>
        <w:t xml:space="preserve">Donde: </w:t>
      </w:r>
    </w:p>
    <w:p w14:paraId="3AA8E67C" w14:textId="57EA5FAD" w:rsidR="009954EA" w:rsidRPr="00321B46" w:rsidRDefault="009954EA">
      <w:pPr>
        <w:ind w:left="1410" w:hanging="1410"/>
        <w:rPr>
          <w:rFonts w:cs="Arial"/>
          <w:lang w:val="es-ES_tradnl"/>
        </w:rPr>
      </w:pPr>
      <w:r w:rsidRPr="00321B46">
        <w:rPr>
          <w:i/>
          <w:lang w:val="es-ES_tradnl"/>
        </w:rPr>
        <w:t>NGE</w:t>
      </w:r>
      <w:r w:rsidRPr="00321B46">
        <w:rPr>
          <w:i/>
          <w:vertAlign w:val="subscript"/>
          <w:lang w:val="es-ES_tradnl"/>
        </w:rPr>
        <w:t>j,t</w:t>
      </w:r>
      <w:r w:rsidRPr="00321B46">
        <w:rPr>
          <w:lang w:val="es-ES_tradnl"/>
        </w:rPr>
        <w:t xml:space="preserve">: </w:t>
      </w:r>
      <w:r w:rsidRPr="00321B46">
        <w:rPr>
          <w:lang w:val="es-ES_tradnl"/>
        </w:rPr>
        <w:tab/>
        <w:t xml:space="preserve">Nivel de gastos ejecutados por el </w:t>
      </w:r>
      <w:r w:rsidR="00B47A17" w:rsidRPr="00321B46">
        <w:rPr>
          <w:lang w:val="es-ES_tradnl"/>
        </w:rPr>
        <w:t>TN</w:t>
      </w:r>
      <w:r w:rsidRPr="00321B46">
        <w:rPr>
          <w:lang w:val="es-ES_tradnl"/>
        </w:rPr>
        <w:t xml:space="preserve"> </w:t>
      </w:r>
      <w:r w:rsidRPr="00321B46">
        <w:rPr>
          <w:i/>
          <w:lang w:val="es-ES_tradnl"/>
        </w:rPr>
        <w:t>j</w:t>
      </w:r>
      <w:r w:rsidRPr="00321B46">
        <w:rPr>
          <w:lang w:val="es-ES_tradnl"/>
        </w:rPr>
        <w:t xml:space="preserve"> durante el año </w:t>
      </w:r>
      <w:r w:rsidRPr="00321B46">
        <w:rPr>
          <w:i/>
          <w:lang w:val="es-ES_tradnl"/>
        </w:rPr>
        <w:t>t</w:t>
      </w:r>
      <w:r w:rsidRPr="00321B46">
        <w:rPr>
          <w:lang w:val="es-ES_tradnl"/>
        </w:rPr>
        <w:t xml:space="preserve">. </w:t>
      </w:r>
      <w:r w:rsidRPr="00321B46">
        <w:rPr>
          <w:rFonts w:cs="Arial"/>
          <w:lang w:val="es-ES_tradnl"/>
        </w:rPr>
        <w:t xml:space="preserve">El valor de esta variable </w:t>
      </w:r>
      <w:r w:rsidR="00404B04" w:rsidRPr="00321B46">
        <w:rPr>
          <w:rFonts w:cs="Arial"/>
          <w:lang w:val="es-ES_tradnl"/>
        </w:rPr>
        <w:t xml:space="preserve">se encuentra entre 90% y 100% y debe aproximarse al valor entero más cercano de la </w:t>
      </w:r>
      <w:r w:rsidR="00404B04" w:rsidRPr="00321B46">
        <w:rPr>
          <w:rFonts w:cs="Arial"/>
          <w:lang w:val="es-ES_tradnl"/>
        </w:rPr>
        <w:fldChar w:fldCharType="begin"/>
      </w:r>
      <w:r w:rsidR="00404B04" w:rsidRPr="00321B46">
        <w:rPr>
          <w:rFonts w:cs="Arial"/>
          <w:lang w:val="es-ES_tradnl"/>
        </w:rPr>
        <w:instrText xml:space="preserve"> REF _Ref460937727 \h </w:instrText>
      </w:r>
      <w:r w:rsidR="00321B46">
        <w:rPr>
          <w:rFonts w:cs="Arial"/>
          <w:lang w:val="es-ES_tradnl"/>
        </w:rPr>
        <w:instrText xml:space="preserve"> \* MERGEFORMAT </w:instrText>
      </w:r>
      <w:r w:rsidR="00404B04" w:rsidRPr="00321B46">
        <w:rPr>
          <w:rFonts w:cs="Arial"/>
          <w:lang w:val="es-ES_tradnl"/>
        </w:rPr>
      </w:r>
      <w:r w:rsidR="00404B04" w:rsidRPr="00321B46">
        <w:rPr>
          <w:rFonts w:cs="Arial"/>
          <w:lang w:val="es-ES_tradnl"/>
        </w:rPr>
        <w:fldChar w:fldCharType="separate"/>
      </w:r>
      <w:r w:rsidR="000F355F" w:rsidRPr="00321B46">
        <w:t xml:space="preserve">Tabla </w:t>
      </w:r>
      <w:r w:rsidR="000F355F">
        <w:rPr>
          <w:noProof/>
        </w:rPr>
        <w:t>4</w:t>
      </w:r>
      <w:r w:rsidR="00404B04" w:rsidRPr="00321B46">
        <w:rPr>
          <w:rFonts w:cs="Arial"/>
          <w:lang w:val="es-ES_tradnl"/>
        </w:rPr>
        <w:fldChar w:fldCharType="end"/>
      </w:r>
      <w:r w:rsidR="00404B04" w:rsidRPr="00321B46">
        <w:rPr>
          <w:rFonts w:cs="Arial"/>
          <w:lang w:val="es-ES_tradnl"/>
        </w:rPr>
        <w:t>.</w:t>
      </w:r>
    </w:p>
    <w:p w14:paraId="7C9EF2B1" w14:textId="77777777" w:rsidR="009954EA" w:rsidRPr="00321B46" w:rsidRDefault="009954EA">
      <w:pPr>
        <w:ind w:left="1410" w:hanging="1410"/>
        <w:rPr>
          <w:lang w:val="es-ES_tradnl"/>
        </w:rPr>
      </w:pPr>
      <w:r w:rsidRPr="00321B46">
        <w:rPr>
          <w:rFonts w:cs="Arial"/>
          <w:i/>
          <w:lang w:val="es-ES_tradnl"/>
        </w:rPr>
        <w:t>AOME</w:t>
      </w:r>
      <w:r w:rsidRPr="00321B46">
        <w:rPr>
          <w:rFonts w:cs="Arial"/>
          <w:i/>
          <w:vertAlign w:val="subscript"/>
          <w:lang w:val="es-ES_tradnl"/>
        </w:rPr>
        <w:t>j,t</w:t>
      </w:r>
      <w:r w:rsidRPr="00321B46">
        <w:rPr>
          <w:rFonts w:cs="Arial"/>
          <w:lang w:val="es-ES_tradnl"/>
        </w:rPr>
        <w:t>:</w:t>
      </w:r>
      <w:r w:rsidRPr="00321B46">
        <w:rPr>
          <w:rFonts w:cs="Arial"/>
          <w:lang w:val="es-ES_tradnl"/>
        </w:rPr>
        <w:tab/>
        <w:t xml:space="preserve">Gastos de AOM ejecutados por el </w:t>
      </w:r>
      <w:r w:rsidR="00B47A17" w:rsidRPr="00321B46">
        <w:rPr>
          <w:rFonts w:cs="Arial"/>
          <w:lang w:val="es-ES_tradnl"/>
        </w:rPr>
        <w:t>TN</w:t>
      </w:r>
      <w:r w:rsidRPr="00321B46">
        <w:rPr>
          <w:rFonts w:cs="Arial"/>
          <w:lang w:val="es-ES_tradnl"/>
        </w:rPr>
        <w:t xml:space="preserve"> </w:t>
      </w:r>
      <w:r w:rsidRPr="00321B46">
        <w:rPr>
          <w:rFonts w:cs="Arial"/>
          <w:i/>
          <w:lang w:val="es-ES_tradnl"/>
        </w:rPr>
        <w:t>j</w:t>
      </w:r>
      <w:r w:rsidRPr="00321B46">
        <w:rPr>
          <w:rFonts w:cs="Arial"/>
          <w:lang w:val="es-ES_tradnl"/>
        </w:rPr>
        <w:t xml:space="preserve"> durante el año </w:t>
      </w:r>
      <w:r w:rsidRPr="00321B46">
        <w:rPr>
          <w:rFonts w:cs="Arial"/>
          <w:i/>
          <w:lang w:val="es-ES_tradnl"/>
        </w:rPr>
        <w:t>t</w:t>
      </w:r>
      <w:r w:rsidRPr="00321B46">
        <w:rPr>
          <w:rFonts w:cs="Arial"/>
          <w:lang w:val="es-ES_tradnl"/>
        </w:rPr>
        <w:t>.</w:t>
      </w:r>
      <w:r w:rsidRPr="00321B46">
        <w:rPr>
          <w:lang w:val="es-ES_tradnl"/>
        </w:rPr>
        <w:t xml:space="preserve">  </w:t>
      </w:r>
    </w:p>
    <w:p w14:paraId="1593D759" w14:textId="77777777" w:rsidR="00B15D50" w:rsidRPr="00321B46" w:rsidRDefault="00B15D50" w:rsidP="00B15D50">
      <w:pPr>
        <w:ind w:left="1560" w:hanging="1560"/>
        <w:rPr>
          <w:lang w:val="es-MX"/>
        </w:rPr>
      </w:pPr>
      <w:r w:rsidRPr="00321B46">
        <w:rPr>
          <w:i/>
        </w:rPr>
        <w:t>AOMbase</w:t>
      </w:r>
      <w:r w:rsidRPr="00321B46">
        <w:rPr>
          <w:i/>
          <w:vertAlign w:val="subscript"/>
        </w:rPr>
        <w:t>j,t</w:t>
      </w:r>
      <w:r w:rsidRPr="00321B46">
        <w:rPr>
          <w:lang w:val="es-MX"/>
        </w:rPr>
        <w:t>:</w:t>
      </w:r>
      <w:r w:rsidRPr="00321B46">
        <w:rPr>
          <w:lang w:val="es-MX"/>
        </w:rPr>
        <w:tab/>
        <w:t xml:space="preserve">Valor del AOM base del TN </w:t>
      </w:r>
      <w:r w:rsidRPr="00321B46">
        <w:rPr>
          <w:i/>
          <w:lang w:val="es-MX"/>
        </w:rPr>
        <w:t>j</w:t>
      </w:r>
      <w:r w:rsidRPr="00321B46">
        <w:rPr>
          <w:lang w:val="es-MX"/>
        </w:rPr>
        <w:t xml:space="preserve">, para el año </w:t>
      </w:r>
      <w:r w:rsidRPr="00321B46">
        <w:rPr>
          <w:i/>
          <w:lang w:val="es-MX"/>
        </w:rPr>
        <w:t>t</w:t>
      </w:r>
      <w:r w:rsidRPr="00321B46">
        <w:rPr>
          <w:lang w:val="es-MX"/>
        </w:rPr>
        <w:t xml:space="preserve">, calculado de acuerdo con lo previsto en el numeral </w:t>
      </w:r>
      <w:r w:rsidRPr="00321B46">
        <w:rPr>
          <w:lang w:val="es-MX"/>
        </w:rPr>
        <w:fldChar w:fldCharType="begin"/>
      </w:r>
      <w:r w:rsidRPr="00321B46">
        <w:rPr>
          <w:lang w:val="es-MX"/>
        </w:rPr>
        <w:instrText xml:space="preserve"> REF _Ref408428063 \r \h  \* MERGEFORMAT </w:instrText>
      </w:r>
      <w:r w:rsidRPr="00321B46">
        <w:rPr>
          <w:lang w:val="es-MX"/>
        </w:rPr>
      </w:r>
      <w:r w:rsidRPr="00321B46">
        <w:rPr>
          <w:lang w:val="es-MX"/>
        </w:rPr>
        <w:fldChar w:fldCharType="separate"/>
      </w:r>
      <w:r w:rsidR="000F355F">
        <w:rPr>
          <w:lang w:val="es-MX"/>
        </w:rPr>
        <w:t>3.2</w:t>
      </w:r>
      <w:r w:rsidRPr="00321B46">
        <w:rPr>
          <w:lang w:val="es-MX"/>
        </w:rPr>
        <w:fldChar w:fldCharType="end"/>
      </w:r>
      <w:r w:rsidRPr="00321B46">
        <w:rPr>
          <w:lang w:val="es-MX"/>
        </w:rPr>
        <w:t>, expresado en pesos de la fecha de corte.</w:t>
      </w:r>
    </w:p>
    <w:p w14:paraId="63B937D6" w14:textId="77777777" w:rsidR="00B15D50" w:rsidRPr="00321B46" w:rsidRDefault="00B15D50" w:rsidP="00B15D50">
      <w:pPr>
        <w:ind w:left="1560" w:hanging="1560"/>
        <w:rPr>
          <w:lang w:val="es-MX"/>
        </w:rPr>
      </w:pPr>
      <w:r w:rsidRPr="00321B46">
        <w:rPr>
          <w:i/>
          <w:lang w:val="es-MX"/>
        </w:rPr>
        <w:t>AOMNI</w:t>
      </w:r>
      <w:r w:rsidRPr="00321B46">
        <w:rPr>
          <w:i/>
          <w:vertAlign w:val="subscript"/>
          <w:lang w:val="es-MX"/>
        </w:rPr>
        <w:t>j,t</w:t>
      </w:r>
      <w:r w:rsidRPr="00321B46">
        <w:rPr>
          <w:lang w:val="es-MX"/>
        </w:rPr>
        <w:t>:</w:t>
      </w:r>
      <w:r w:rsidRPr="00321B46">
        <w:rPr>
          <w:lang w:val="es-MX"/>
        </w:rPr>
        <w:tab/>
        <w:t xml:space="preserve">Valor del AOM para nuevas inversiones, diferentes a reposición, del TN </w:t>
      </w:r>
      <w:r w:rsidRPr="00321B46">
        <w:rPr>
          <w:i/>
          <w:lang w:val="es-MX"/>
        </w:rPr>
        <w:t>j</w:t>
      </w:r>
      <w:r w:rsidRPr="00321B46">
        <w:rPr>
          <w:lang w:val="es-MX"/>
        </w:rPr>
        <w:t xml:space="preserve">, para el año </w:t>
      </w:r>
      <w:r w:rsidRPr="00321B46">
        <w:rPr>
          <w:i/>
          <w:lang w:val="es-MX"/>
        </w:rPr>
        <w:t>t</w:t>
      </w:r>
      <w:r w:rsidRPr="00321B46">
        <w:rPr>
          <w:lang w:val="es-MX"/>
        </w:rPr>
        <w:t xml:space="preserve">, calculado de acuerdo con lo previsto en el numeral </w:t>
      </w:r>
      <w:r w:rsidRPr="00321B46">
        <w:rPr>
          <w:lang w:val="es-MX"/>
        </w:rPr>
        <w:fldChar w:fldCharType="begin"/>
      </w:r>
      <w:r w:rsidRPr="00321B46">
        <w:rPr>
          <w:lang w:val="es-MX"/>
        </w:rPr>
        <w:instrText xml:space="preserve"> REF _Ref403576479 \r \h  \* MERGEFORMAT </w:instrText>
      </w:r>
      <w:r w:rsidRPr="00321B46">
        <w:rPr>
          <w:lang w:val="es-MX"/>
        </w:rPr>
      </w:r>
      <w:r w:rsidRPr="00321B46">
        <w:rPr>
          <w:lang w:val="es-MX"/>
        </w:rPr>
        <w:fldChar w:fldCharType="separate"/>
      </w:r>
      <w:r w:rsidR="000F355F">
        <w:rPr>
          <w:lang w:val="es-MX"/>
        </w:rPr>
        <w:t>3.2.4</w:t>
      </w:r>
      <w:r w:rsidRPr="00321B46">
        <w:rPr>
          <w:lang w:val="es-MX"/>
        </w:rPr>
        <w:fldChar w:fldCharType="end"/>
      </w:r>
      <w:r w:rsidRPr="00321B46">
        <w:rPr>
          <w:lang w:val="es-MX"/>
        </w:rPr>
        <w:t>, expresado en pesos de la fecha de corte.</w:t>
      </w:r>
    </w:p>
    <w:p w14:paraId="16517120" w14:textId="77777777" w:rsidR="009954EA" w:rsidRPr="00321B46" w:rsidRDefault="009954EA">
      <w:pPr>
        <w:rPr>
          <w:lang w:val="es-ES_tradnl"/>
        </w:rPr>
      </w:pPr>
      <w:r w:rsidRPr="00321B46">
        <w:rPr>
          <w:lang w:val="es-ES_tradnl"/>
        </w:rPr>
        <w:t>Los gastos ejecutados corresponden a los gastos reales de la empresa asociados con las actividades y cuentas reconocidas.</w:t>
      </w:r>
    </w:p>
    <w:p w14:paraId="4D6DA846" w14:textId="556548F0" w:rsidR="009954EA" w:rsidRPr="00321B46" w:rsidRDefault="009954EA">
      <w:pPr>
        <w:rPr>
          <w:lang w:val="es-ES_tradnl"/>
        </w:rPr>
      </w:pPr>
      <w:r w:rsidRPr="00321B46">
        <w:rPr>
          <w:lang w:val="es-ES_tradnl"/>
        </w:rPr>
        <w:t xml:space="preserve">Como soporte de los gastos ejecutados, el </w:t>
      </w:r>
      <w:r w:rsidR="00B47A17" w:rsidRPr="00321B46">
        <w:rPr>
          <w:lang w:val="es-ES_tradnl"/>
        </w:rPr>
        <w:t>TN</w:t>
      </w:r>
      <w:r w:rsidRPr="00321B46">
        <w:rPr>
          <w:lang w:val="es-ES_tradnl"/>
        </w:rPr>
        <w:t xml:space="preserve"> deberá presentar anualmente </w:t>
      </w:r>
      <w:r w:rsidR="00B15D50" w:rsidRPr="00321B46">
        <w:rPr>
          <w:lang w:val="es-ES_tradnl"/>
        </w:rPr>
        <w:t xml:space="preserve">a la CREG </w:t>
      </w:r>
      <w:r w:rsidRPr="00321B46">
        <w:rPr>
          <w:lang w:val="es-ES_tradnl"/>
        </w:rPr>
        <w:t xml:space="preserve">un informe en el cual se relacione el valor de gastos de AOM ejecutado que incluya los soportes de ejecución y la relación de las cuentas de la contabilidad de la empresa en las cuales se incluyen los gastos reconocidos. Igualmente se deben relacionar las cuentas de la contabilidad de la empresa en los cuales se incluyen los gastos no reconocidos. </w:t>
      </w:r>
      <w:r w:rsidR="00B15D50" w:rsidRPr="00321B46">
        <w:rPr>
          <w:lang w:val="es-ES_tradnl"/>
        </w:rPr>
        <w:t xml:space="preserve">Esta información debe corresponder con los reportes solicitados en el numeral </w:t>
      </w:r>
      <w:r w:rsidR="00B15D50" w:rsidRPr="00321B46">
        <w:rPr>
          <w:lang w:val="es-ES_tradnl"/>
        </w:rPr>
        <w:fldChar w:fldCharType="begin"/>
      </w:r>
      <w:r w:rsidR="00B15D50" w:rsidRPr="00321B46">
        <w:rPr>
          <w:lang w:val="es-ES_tradnl"/>
        </w:rPr>
        <w:instrText xml:space="preserve"> REF _Ref465924246 \r \h </w:instrText>
      </w:r>
      <w:r w:rsidR="00321B46">
        <w:rPr>
          <w:lang w:val="es-ES_tradnl"/>
        </w:rPr>
        <w:instrText xml:space="preserve"> \* MERGEFORMAT </w:instrText>
      </w:r>
      <w:r w:rsidR="00B15D50" w:rsidRPr="00321B46">
        <w:rPr>
          <w:lang w:val="es-ES_tradnl"/>
        </w:rPr>
      </w:r>
      <w:r w:rsidR="00B15D50" w:rsidRPr="00321B46">
        <w:rPr>
          <w:lang w:val="es-ES_tradnl"/>
        </w:rPr>
        <w:fldChar w:fldCharType="separate"/>
      </w:r>
      <w:r w:rsidR="000F355F">
        <w:rPr>
          <w:lang w:val="es-ES_tradnl"/>
        </w:rPr>
        <w:t>3.3</w:t>
      </w:r>
      <w:r w:rsidR="00B15D50" w:rsidRPr="00321B46">
        <w:rPr>
          <w:lang w:val="es-ES_tradnl"/>
        </w:rPr>
        <w:fldChar w:fldCharType="end"/>
      </w:r>
    </w:p>
    <w:p w14:paraId="02DD627F" w14:textId="77777777" w:rsidR="009954EA" w:rsidRPr="00321B46" w:rsidRDefault="009954EA" w:rsidP="009A7C14">
      <w:pPr>
        <w:pStyle w:val="Ttulo4"/>
      </w:pPr>
      <w:bookmarkStart w:id="239" w:name="_Ref406592573"/>
      <w:r w:rsidRPr="00321B46">
        <w:t xml:space="preserve">Nivel declarado de gastos del </w:t>
      </w:r>
      <w:bookmarkEnd w:id="239"/>
      <w:r w:rsidR="00B47A17" w:rsidRPr="00321B46">
        <w:t>TN</w:t>
      </w:r>
      <w:r w:rsidRPr="00321B46">
        <w:t xml:space="preserve"> </w:t>
      </w:r>
    </w:p>
    <w:p w14:paraId="0218462E" w14:textId="77777777" w:rsidR="009954EA" w:rsidRPr="00321B46" w:rsidRDefault="009954EA">
      <w:r w:rsidRPr="00321B46">
        <w:rPr>
          <w:lang w:val="es-ES_tradnl"/>
        </w:rPr>
        <w:t xml:space="preserve">Valor que representa la relación entre los gastos de AOM estimados por el </w:t>
      </w:r>
      <w:r w:rsidR="00B47A17" w:rsidRPr="00321B46">
        <w:rPr>
          <w:lang w:val="es-ES_tradnl"/>
        </w:rPr>
        <w:t>TN</w:t>
      </w:r>
      <w:r w:rsidRPr="00321B46">
        <w:rPr>
          <w:lang w:val="es-ES_tradnl"/>
        </w:rPr>
        <w:t xml:space="preserve"> y los gastos de AOM de referencia</w:t>
      </w:r>
      <w:r w:rsidRPr="00321B46">
        <w:t xml:space="preserve">. </w:t>
      </w:r>
    </w:p>
    <w:p w14:paraId="78491459" w14:textId="6F1B3E7F" w:rsidR="009954EA" w:rsidRPr="00321B46" w:rsidRDefault="009954EA">
      <w:pPr>
        <w:rPr>
          <w:lang w:val="es-ES_tradnl"/>
        </w:rPr>
      </w:pPr>
      <w:r w:rsidRPr="00321B46">
        <w:rPr>
          <w:lang w:val="es-ES_tradnl"/>
        </w:rPr>
        <w:t xml:space="preserve">La variable </w:t>
      </w:r>
      <w:r w:rsidR="00F26F97" w:rsidRPr="00321B46">
        <w:rPr>
          <w:i/>
          <w:lang w:val="es-ES_tradnl"/>
        </w:rPr>
        <w:t>NGD</w:t>
      </w:r>
      <w:r w:rsidR="00F26F97" w:rsidRPr="00321B46">
        <w:rPr>
          <w:i/>
          <w:vertAlign w:val="subscript"/>
          <w:lang w:val="es-ES_tradnl"/>
        </w:rPr>
        <w:t>j</w:t>
      </w:r>
      <w:r w:rsidRPr="00321B46">
        <w:rPr>
          <w:i/>
          <w:vertAlign w:val="subscript"/>
          <w:lang w:val="es-ES_tradnl"/>
        </w:rPr>
        <w:t>,t</w:t>
      </w:r>
      <w:r w:rsidRPr="00321B46">
        <w:rPr>
          <w:lang w:val="es-ES_tradnl"/>
        </w:rPr>
        <w:t xml:space="preserve"> es una valor que se encuentra entre 90</w:t>
      </w:r>
      <w:r w:rsidR="00F26F97" w:rsidRPr="00321B46">
        <w:rPr>
          <w:lang w:val="es-ES_tradnl"/>
        </w:rPr>
        <w:t>%</w:t>
      </w:r>
      <w:r w:rsidRPr="00321B46">
        <w:rPr>
          <w:lang w:val="es-ES_tradnl"/>
        </w:rPr>
        <w:t xml:space="preserve"> y 110</w:t>
      </w:r>
      <w:r w:rsidR="00F26F97" w:rsidRPr="00321B46">
        <w:rPr>
          <w:lang w:val="es-ES_tradnl"/>
        </w:rPr>
        <w:t>%</w:t>
      </w:r>
      <w:r w:rsidRPr="00321B46">
        <w:rPr>
          <w:lang w:val="es-ES_tradnl"/>
        </w:rPr>
        <w:t xml:space="preserve">. </w:t>
      </w:r>
    </w:p>
    <w:p w14:paraId="269E8FAB" w14:textId="19478F84" w:rsidR="009954EA" w:rsidRPr="00321B46" w:rsidRDefault="009954EA">
      <w:pPr>
        <w:rPr>
          <w:lang w:val="es-ES_tradnl"/>
        </w:rPr>
      </w:pPr>
      <w:r w:rsidRPr="00321B46">
        <w:rPr>
          <w:lang w:val="es-ES_tradnl"/>
        </w:rPr>
        <w:t xml:space="preserve">Este valor debe ser reportado por el </w:t>
      </w:r>
      <w:r w:rsidR="00B47A17" w:rsidRPr="00321B46">
        <w:rPr>
          <w:lang w:val="es-ES_tradnl"/>
        </w:rPr>
        <w:t>TN</w:t>
      </w:r>
      <w:r w:rsidRPr="00321B46">
        <w:rPr>
          <w:lang w:val="es-ES_tradnl"/>
        </w:rPr>
        <w:t xml:space="preserve"> en la solicitud tarifaria y puede ser ajustado </w:t>
      </w:r>
      <w:r w:rsidR="00B15D50" w:rsidRPr="00321B46">
        <w:rPr>
          <w:lang w:val="es-ES_tradnl"/>
        </w:rPr>
        <w:t xml:space="preserve">por el TN en las ocasiones previstas para modificar </w:t>
      </w:r>
      <w:r w:rsidRPr="00321B46">
        <w:rPr>
          <w:lang w:val="es-ES_tradnl"/>
        </w:rPr>
        <w:t xml:space="preserve">el plan de inversiones de acuerdo con lo establecido en el numeral </w:t>
      </w:r>
      <w:r w:rsidR="00EB4ECD" w:rsidRPr="00321B46">
        <w:fldChar w:fldCharType="begin"/>
      </w:r>
      <w:r w:rsidR="00EB4ECD" w:rsidRPr="00321B46">
        <w:rPr>
          <w:lang w:val="es-ES_tradnl"/>
        </w:rPr>
        <w:instrText xml:space="preserve"> REF _Ref445419903 \r \h </w:instrText>
      </w:r>
      <w:r w:rsidR="003276B5" w:rsidRPr="00321B46">
        <w:instrText xml:space="preserve"> \* MERGEFORMAT </w:instrText>
      </w:r>
      <w:r w:rsidR="00EB4ECD" w:rsidRPr="00321B46">
        <w:fldChar w:fldCharType="separate"/>
      </w:r>
      <w:r w:rsidR="000F355F">
        <w:rPr>
          <w:lang w:val="es-ES_tradnl"/>
        </w:rPr>
        <w:t>6.6</w:t>
      </w:r>
      <w:r w:rsidR="00EB4ECD" w:rsidRPr="00321B46">
        <w:fldChar w:fldCharType="end"/>
      </w:r>
      <w:r w:rsidRPr="00321B46">
        <w:rPr>
          <w:lang w:val="es-ES_tradnl"/>
        </w:rPr>
        <w:t xml:space="preserve">. </w:t>
      </w:r>
    </w:p>
    <w:p w14:paraId="58D8ACED" w14:textId="77777777" w:rsidR="00D32566" w:rsidRPr="00321B46" w:rsidRDefault="00D32566" w:rsidP="003448EC">
      <w:pPr>
        <w:pStyle w:val="Ttulo2"/>
      </w:pPr>
      <w:bookmarkStart w:id="240" w:name="_Toc466009852"/>
      <w:bookmarkStart w:id="241" w:name="_Toc466392644"/>
      <w:r w:rsidRPr="00321B46">
        <w:t>Ajuste del incentivo alcanzado al final del periodo tarifario</w:t>
      </w:r>
      <w:bookmarkEnd w:id="240"/>
      <w:bookmarkEnd w:id="241"/>
    </w:p>
    <w:p w14:paraId="0B6EEED8" w14:textId="77777777" w:rsidR="00D32566" w:rsidRPr="00321B46" w:rsidRDefault="00D32566" w:rsidP="00D32566">
      <w:pPr>
        <w:rPr>
          <w:lang w:val="es-ES_tradnl"/>
        </w:rPr>
      </w:pPr>
      <w:r w:rsidRPr="00321B46">
        <w:t>Al final del periodo tarifario debe calcularse la diferencia entre el incentivo total alcanzado y el incentivo total incluido en la remuneración. Este valor se debe utilizar para ajustar la remuneración de las inversiones y gastos al inicio del siguiente periodo tarifario.</w:t>
      </w:r>
      <w:r w:rsidRPr="00321B46">
        <w:rPr>
          <w:lang w:val="es-ES_tradnl"/>
        </w:rPr>
        <w:t xml:space="preserve"> </w:t>
      </w:r>
    </w:p>
    <w:p w14:paraId="2BFA5057" w14:textId="77777777" w:rsidR="009954EA" w:rsidRPr="00321B46" w:rsidRDefault="009954EA" w:rsidP="009A7C14">
      <w:pPr>
        <w:spacing w:before="0" w:after="0"/>
        <w:jc w:val="left"/>
        <w:rPr>
          <w:lang w:val="es-ES_tradnl"/>
        </w:rPr>
      </w:pPr>
      <w:r w:rsidRPr="00321B46">
        <w:rPr>
          <w:lang w:val="es-ES_tradnl"/>
        </w:rPr>
        <w:br w:type="page"/>
      </w:r>
    </w:p>
    <w:p w14:paraId="3CE8DC71" w14:textId="384DFB30" w:rsidR="00E43449" w:rsidRPr="00321B46" w:rsidRDefault="00E43449">
      <w:pPr>
        <w:pStyle w:val="Ttulo1"/>
      </w:pPr>
      <w:bookmarkStart w:id="242" w:name="_Ref449974893"/>
      <w:bookmarkStart w:id="243" w:name="_Toc466392645"/>
      <w:r w:rsidRPr="00321B46">
        <w:t>CALIDAD DEL SERVICIO</w:t>
      </w:r>
      <w:bookmarkEnd w:id="198"/>
      <w:bookmarkEnd w:id="199"/>
      <w:bookmarkEnd w:id="242"/>
      <w:bookmarkEnd w:id="243"/>
    </w:p>
    <w:p w14:paraId="4C5DB5CA" w14:textId="77777777" w:rsidR="00E43449" w:rsidRPr="00321B46" w:rsidRDefault="00E43449" w:rsidP="00E43449">
      <w:pPr>
        <w:rPr>
          <w:rFonts w:cs="Arial"/>
        </w:rPr>
      </w:pPr>
      <w:bookmarkStart w:id="244" w:name="_Toc210616144"/>
      <w:bookmarkStart w:id="245" w:name="_Ref208742195"/>
      <w:bookmarkStart w:id="246" w:name="_Ref403038050"/>
      <w:r w:rsidRPr="00321B46">
        <w:rPr>
          <w:rFonts w:cs="Arial"/>
        </w:rPr>
        <w:t>En este capítulo se establecen las características que se deben cumplir en cuanto a la calidad en la prestación del servicio de transmisión de energía eléctrica en el STN y las reducciones en el ingreso o compensaciones aplicables por variaciones en dichas características</w:t>
      </w:r>
      <w:r w:rsidR="001502CE" w:rsidRPr="00321B46">
        <w:rPr>
          <w:rFonts w:cs="Arial"/>
        </w:rPr>
        <w:t>.</w:t>
      </w:r>
    </w:p>
    <w:p w14:paraId="4213DEF3" w14:textId="77777777" w:rsidR="00E43449" w:rsidRPr="00321B46" w:rsidRDefault="00E43449" w:rsidP="00BF7220">
      <w:pPr>
        <w:pStyle w:val="Ttulo2"/>
        <w:rPr>
          <w:rFonts w:cs="Arial"/>
        </w:rPr>
      </w:pPr>
      <w:bookmarkStart w:id="247" w:name="_Toc220842334"/>
      <w:bookmarkStart w:id="248" w:name="_Toc404020402"/>
      <w:bookmarkStart w:id="249" w:name="_Toc466392646"/>
      <w:r w:rsidRPr="00321B46">
        <w:t>C</w:t>
      </w:r>
      <w:r w:rsidR="009954EA" w:rsidRPr="00321B46">
        <w:t>aracterísticas de calidad a la que está asociado el ingreso</w:t>
      </w:r>
      <w:bookmarkEnd w:id="247"/>
      <w:bookmarkEnd w:id="248"/>
      <w:bookmarkEnd w:id="249"/>
      <w:r w:rsidRPr="00321B46">
        <w:t xml:space="preserve"> </w:t>
      </w:r>
    </w:p>
    <w:p w14:paraId="0F5CDE95" w14:textId="77777777" w:rsidR="00E43449" w:rsidRPr="00321B46" w:rsidRDefault="00E43449" w:rsidP="00E43449">
      <w:pPr>
        <w:rPr>
          <w:rFonts w:cs="Arial"/>
        </w:rPr>
      </w:pPr>
      <w:r w:rsidRPr="00321B46">
        <w:rPr>
          <w:rFonts w:cs="Arial"/>
        </w:rPr>
        <w:t>El ingreso de cada TN</w:t>
      </w:r>
      <w:r w:rsidR="001502CE" w:rsidRPr="00321B46">
        <w:rPr>
          <w:rFonts w:cs="Arial"/>
        </w:rPr>
        <w:t>,</w:t>
      </w:r>
      <w:r w:rsidRPr="00321B46">
        <w:rPr>
          <w:rFonts w:cs="Arial"/>
        </w:rPr>
        <w:t xml:space="preserve"> calculado de acuerdo con lo previsto en esta resolución</w:t>
      </w:r>
      <w:r w:rsidR="001502CE" w:rsidRPr="00321B46">
        <w:rPr>
          <w:rFonts w:cs="Arial"/>
        </w:rPr>
        <w:t>,</w:t>
      </w:r>
      <w:r w:rsidRPr="00321B46">
        <w:rPr>
          <w:rFonts w:cs="Arial"/>
        </w:rPr>
        <w:t xml:space="preserve"> estará asociado a una calidad con las siguientes características:</w:t>
      </w:r>
    </w:p>
    <w:p w14:paraId="78D3A67C" w14:textId="121FE120" w:rsidR="00E43449" w:rsidRPr="00321B46" w:rsidRDefault="00E43449" w:rsidP="00E43449">
      <w:pPr>
        <w:pStyle w:val="Prrafodelista"/>
        <w:numPr>
          <w:ilvl w:val="0"/>
          <w:numId w:val="40"/>
        </w:numPr>
        <w:spacing w:before="160" w:after="160"/>
        <w:rPr>
          <w:szCs w:val="24"/>
          <w:lang w:val="es-MX"/>
        </w:rPr>
      </w:pPr>
      <w:r w:rsidRPr="00321B46">
        <w:rPr>
          <w:szCs w:val="24"/>
          <w:lang w:val="es-MX"/>
        </w:rPr>
        <w:t xml:space="preserve">La duración de las indisponibilidades de los activos utilizados en la prestación del servicio de transmisión de energía eléctrica en el STN no </w:t>
      </w:r>
      <w:r w:rsidR="00282203" w:rsidRPr="00321B46">
        <w:rPr>
          <w:szCs w:val="24"/>
          <w:lang w:val="es-MX"/>
        </w:rPr>
        <w:t xml:space="preserve">deberá </w:t>
      </w:r>
      <w:r w:rsidRPr="00321B46">
        <w:rPr>
          <w:szCs w:val="24"/>
          <w:lang w:val="es-MX"/>
        </w:rPr>
        <w:t>superar las máximas horas anuales de indisponibilidad ajustadas.</w:t>
      </w:r>
    </w:p>
    <w:p w14:paraId="6AA6D144" w14:textId="6C0C4AEF" w:rsidR="00E43449" w:rsidRPr="00321B46" w:rsidRDefault="00E43449" w:rsidP="00E43449">
      <w:pPr>
        <w:pStyle w:val="Prrafodelista"/>
        <w:numPr>
          <w:ilvl w:val="0"/>
          <w:numId w:val="40"/>
        </w:numPr>
        <w:spacing w:before="160" w:after="160"/>
        <w:rPr>
          <w:szCs w:val="24"/>
          <w:lang w:val="es-MX"/>
        </w:rPr>
      </w:pPr>
      <w:r w:rsidRPr="00321B46">
        <w:rPr>
          <w:szCs w:val="24"/>
          <w:lang w:val="es-MX"/>
        </w:rPr>
        <w:t xml:space="preserve">Las indisponibilidades máximas permitidas de un activo, originadas en catástrofes naturales tales como erosión (volcánica, fluvial o glacial), terremotos, maremotos, huracanes, ciclones y/o tornados, y las debidas a actos de terrorismo, no </w:t>
      </w:r>
      <w:r w:rsidR="00282203" w:rsidRPr="00321B46">
        <w:rPr>
          <w:szCs w:val="24"/>
          <w:lang w:val="es-MX"/>
        </w:rPr>
        <w:t xml:space="preserve">deberán </w:t>
      </w:r>
      <w:r w:rsidRPr="00321B46">
        <w:rPr>
          <w:szCs w:val="24"/>
          <w:lang w:val="es-MX"/>
        </w:rPr>
        <w:t>superar los seis meses, contados desde la fecha de ocurrencia de la catástrofe.</w:t>
      </w:r>
    </w:p>
    <w:p w14:paraId="1CB6FF0A" w14:textId="77777777" w:rsidR="00E43449" w:rsidRPr="00321B46" w:rsidRDefault="00E43449" w:rsidP="00E43449">
      <w:pPr>
        <w:pStyle w:val="Prrafodelista"/>
        <w:numPr>
          <w:ilvl w:val="0"/>
          <w:numId w:val="40"/>
        </w:numPr>
        <w:spacing w:before="160" w:after="160"/>
        <w:rPr>
          <w:szCs w:val="24"/>
          <w:lang w:val="es-MX"/>
        </w:rPr>
      </w:pPr>
      <w:r w:rsidRPr="00321B46">
        <w:rPr>
          <w:szCs w:val="24"/>
          <w:lang w:val="es-MX"/>
        </w:rPr>
        <w:t xml:space="preserve">La </w:t>
      </w:r>
      <w:r w:rsidR="001502CE" w:rsidRPr="00321B46">
        <w:rPr>
          <w:szCs w:val="24"/>
          <w:lang w:val="es-MX"/>
        </w:rPr>
        <w:t xml:space="preserve">estimación de la </w:t>
      </w:r>
      <w:r w:rsidRPr="00321B46">
        <w:rPr>
          <w:szCs w:val="24"/>
          <w:lang w:val="es-MX"/>
        </w:rPr>
        <w:t>energía no suministrada por la indisponibilidad de un activo no deberá superar el porcentaje límite definido para tal fin.</w:t>
      </w:r>
    </w:p>
    <w:p w14:paraId="3362D43D" w14:textId="57AAD5A3" w:rsidR="00E43449" w:rsidRPr="00321B46" w:rsidRDefault="00E43449" w:rsidP="00E43449">
      <w:pPr>
        <w:pStyle w:val="Prrafodelista"/>
        <w:numPr>
          <w:ilvl w:val="0"/>
          <w:numId w:val="40"/>
        </w:numPr>
        <w:spacing w:before="160" w:after="160"/>
        <w:rPr>
          <w:szCs w:val="24"/>
          <w:lang w:val="es-MX"/>
        </w:rPr>
      </w:pPr>
      <w:r w:rsidRPr="00321B46">
        <w:rPr>
          <w:szCs w:val="24"/>
          <w:lang w:val="es-MX"/>
        </w:rPr>
        <w:t xml:space="preserve">A partir del momento en que las horas de indisponibilidad acumulada de un activo sean mayores que las máximas horas anuales de indisponibilidad ajustadas, no </w:t>
      </w:r>
      <w:r w:rsidR="00282203" w:rsidRPr="00321B46">
        <w:rPr>
          <w:szCs w:val="24"/>
          <w:lang w:val="es-MX"/>
        </w:rPr>
        <w:t>deberá</w:t>
      </w:r>
      <w:r w:rsidRPr="00321B46">
        <w:rPr>
          <w:szCs w:val="24"/>
          <w:lang w:val="es-MX"/>
        </w:rPr>
        <w:t xml:space="preserve"> permitir</w:t>
      </w:r>
      <w:r w:rsidR="00282203" w:rsidRPr="00321B46">
        <w:rPr>
          <w:szCs w:val="24"/>
          <w:lang w:val="es-MX"/>
        </w:rPr>
        <w:t>se</w:t>
      </w:r>
      <w:r w:rsidRPr="00321B46">
        <w:rPr>
          <w:szCs w:val="24"/>
          <w:lang w:val="es-MX"/>
        </w:rPr>
        <w:t xml:space="preserve"> que la indisponibilidad de este activo deje no operativos otros activos.</w:t>
      </w:r>
    </w:p>
    <w:p w14:paraId="7174E513" w14:textId="77777777" w:rsidR="00E43449" w:rsidRPr="00321B46" w:rsidRDefault="00E43449" w:rsidP="00E43449">
      <w:pPr>
        <w:rPr>
          <w:rFonts w:cs="Arial"/>
        </w:rPr>
      </w:pPr>
      <w:r w:rsidRPr="00321B46">
        <w:rPr>
          <w:rFonts w:cs="Arial"/>
        </w:rPr>
        <w:t>La variación en estas características de calidad del servicio de transporte de energía eléctrica en el STN que exceda o supere los límites señalados en cualquiera de estos cuatro literales, generará una reducción o compensación en el ingreso del TN que se calculará y aplicará en la forma prevista en este capítulo.</w:t>
      </w:r>
    </w:p>
    <w:p w14:paraId="2C84FD98" w14:textId="77777777" w:rsidR="00E43449" w:rsidRPr="00321B46" w:rsidRDefault="00E43449" w:rsidP="00BF7220">
      <w:pPr>
        <w:pStyle w:val="Ttulo2"/>
      </w:pPr>
      <w:bookmarkStart w:id="250" w:name="_Ref404019473"/>
      <w:bookmarkStart w:id="251" w:name="_Toc404020403"/>
      <w:bookmarkStart w:id="252" w:name="_Toc466392647"/>
      <w:r w:rsidRPr="00321B46">
        <w:t>A</w:t>
      </w:r>
      <w:r w:rsidR="009954EA" w:rsidRPr="00321B46">
        <w:t>ctivos sujetos al esquema de calidad</w:t>
      </w:r>
      <w:bookmarkEnd w:id="250"/>
      <w:bookmarkEnd w:id="251"/>
      <w:bookmarkEnd w:id="252"/>
    </w:p>
    <w:p w14:paraId="05017515" w14:textId="77777777" w:rsidR="00E43449" w:rsidRPr="00321B46" w:rsidRDefault="00E43449" w:rsidP="00E43449">
      <w:r w:rsidRPr="00321B46">
        <w:t>Las disposiciones sobre calidad en el STN aplicarán a los agentes que realizan la actividad de transmisión en este sistema, y a todos aquellos agentes responsables de la información necesaria para la aplicación del esquema de calidad del servicio en el STN, establecido esta resolución.</w:t>
      </w:r>
    </w:p>
    <w:p w14:paraId="23F55756" w14:textId="77777777" w:rsidR="00E43449" w:rsidRPr="00321B46" w:rsidRDefault="00E43449" w:rsidP="00E43449">
      <w:r w:rsidRPr="00321B46">
        <w:t>Los activos del STN sobre los que aplica el esquema de calidad del servicio son los que: i) hacen parte de</w:t>
      </w:r>
      <w:r w:rsidR="00F61F50" w:rsidRPr="00321B46">
        <w:t xml:space="preserve"> la base de activos</w:t>
      </w:r>
      <w:r w:rsidRPr="00321B46">
        <w:t xml:space="preserve"> </w:t>
      </w:r>
      <w:r w:rsidR="00F61F50" w:rsidRPr="00321B46">
        <w:t xml:space="preserve">reconocida </w:t>
      </w:r>
      <w:r w:rsidRPr="00321B46">
        <w:t xml:space="preserve">a cada transmisor nacional, TN, ii) están en operación comercial y podrán hacer parte de este inventario, o iii) son construidos como resultado de procesos de libre concurrencia. </w:t>
      </w:r>
    </w:p>
    <w:p w14:paraId="16243445" w14:textId="1AEA2512" w:rsidR="00E43449" w:rsidRPr="00321B46" w:rsidRDefault="00E43449" w:rsidP="00E43449">
      <w:r w:rsidRPr="00321B46">
        <w:t xml:space="preserve">Para el caso de los proyectos adjudicados mediante procesos de libre concurrencia, la clasificación de los activos deberá actualizarse cada vez que entre en vigencia la resolución que defina las </w:t>
      </w:r>
      <w:r w:rsidR="00894FAD" w:rsidRPr="00321B46">
        <w:t xml:space="preserve">nuevas </w:t>
      </w:r>
      <w:r w:rsidRPr="00321B46">
        <w:t>UC para remunerar la actividad de transmisión.</w:t>
      </w:r>
    </w:p>
    <w:p w14:paraId="05F5ED1F" w14:textId="77777777" w:rsidR="00E43449" w:rsidRPr="00321B46" w:rsidRDefault="00E43449" w:rsidP="00BF7220">
      <w:pPr>
        <w:pStyle w:val="Ttulo2"/>
      </w:pPr>
      <w:bookmarkStart w:id="253" w:name="_Ref184808303"/>
      <w:bookmarkStart w:id="254" w:name="_Toc195670133"/>
      <w:bookmarkStart w:id="255" w:name="_Toc195686826"/>
      <w:bookmarkStart w:id="256" w:name="_Toc195781004"/>
      <w:bookmarkStart w:id="257" w:name="_Toc210616092"/>
      <w:bookmarkStart w:id="258" w:name="_Toc404020404"/>
      <w:bookmarkStart w:id="259" w:name="_Toc466392648"/>
      <w:r w:rsidRPr="00321B46">
        <w:t>B</w:t>
      </w:r>
      <w:r w:rsidR="00082E7E" w:rsidRPr="00321B46">
        <w:t>ases de datos</w:t>
      </w:r>
      <w:bookmarkEnd w:id="253"/>
      <w:bookmarkEnd w:id="254"/>
      <w:bookmarkEnd w:id="255"/>
      <w:bookmarkEnd w:id="256"/>
      <w:bookmarkEnd w:id="257"/>
      <w:bookmarkEnd w:id="258"/>
      <w:bookmarkEnd w:id="259"/>
    </w:p>
    <w:p w14:paraId="46967EA0" w14:textId="7D2C78AE" w:rsidR="00E43449" w:rsidRPr="00321B46" w:rsidRDefault="00E43449" w:rsidP="00E43449">
      <w:r w:rsidRPr="00321B46">
        <w:rPr>
          <w:rFonts w:cs="Arial"/>
        </w:rPr>
        <w:t xml:space="preserve">El CND será el responsable de centralizar, almacenar y procesar la información de eventos, que permita calcular los indicadores de indisponibilidad de los grupos de activos definidos en el numeral </w:t>
      </w:r>
      <w:r w:rsidRPr="00321B46">
        <w:rPr>
          <w:rFonts w:cs="Arial"/>
        </w:rPr>
        <w:fldChar w:fldCharType="begin"/>
      </w:r>
      <w:r w:rsidRPr="00321B46">
        <w:rPr>
          <w:rFonts w:cs="Arial"/>
        </w:rPr>
        <w:instrText xml:space="preserve"> REF _Ref334445728 \r \h </w:instrText>
      </w:r>
      <w:r w:rsidR="003276B5" w:rsidRPr="00321B46">
        <w:rPr>
          <w:rFonts w:cs="Arial"/>
        </w:rPr>
        <w:instrText xml:space="preserve"> \* MERGEFORMAT </w:instrText>
      </w:r>
      <w:r w:rsidRPr="00321B46">
        <w:rPr>
          <w:rFonts w:cs="Arial"/>
        </w:rPr>
      </w:r>
      <w:r w:rsidRPr="00321B46">
        <w:rPr>
          <w:rFonts w:cs="Arial"/>
        </w:rPr>
        <w:fldChar w:fldCharType="separate"/>
      </w:r>
      <w:r w:rsidR="000F355F">
        <w:rPr>
          <w:rFonts w:cs="Arial"/>
        </w:rPr>
        <w:t>5.4.2</w:t>
      </w:r>
      <w:r w:rsidRPr="00321B46">
        <w:rPr>
          <w:rFonts w:cs="Arial"/>
        </w:rPr>
        <w:fldChar w:fldCharType="end"/>
      </w:r>
      <w:r w:rsidRPr="00321B46">
        <w:rPr>
          <w:rFonts w:cs="Arial"/>
        </w:rPr>
        <w:t>.</w:t>
      </w:r>
    </w:p>
    <w:p w14:paraId="16849B17" w14:textId="77777777" w:rsidR="00E43449" w:rsidRPr="00321B46" w:rsidRDefault="00E43449" w:rsidP="00E43449">
      <w:r w:rsidRPr="00321B46">
        <w:t>La información de eventos deberá mantenerse actualizada en la base de datos creada por el CND para su reporte. Esta información será utilizada, entre otros, para calcular las variables relacionadas con la calidad del servicio, las compensaciones, las remuneraciones de los activos y también será insumo para la determinación de la ENS.</w:t>
      </w:r>
    </w:p>
    <w:p w14:paraId="783E8876" w14:textId="77777777" w:rsidR="00E43449" w:rsidRPr="00321B46" w:rsidRDefault="00E43449" w:rsidP="00E43449">
      <w:r w:rsidRPr="00321B46">
        <w:t xml:space="preserve">El CND deberá mantener almacenada la información de eventos, en medio digital o de última tecnología, por un periodo no inferior a cinco años y deberá elaborar  </w:t>
      </w:r>
      <w:r w:rsidRPr="00321B46">
        <w:rPr>
          <w:rFonts w:cs="Arial"/>
        </w:rPr>
        <w:t>un resumen mensual de los eventos registrados en la base de datos, identificando el activo con el código asignado por el CND, el grupo de activos al que pertenece, la duración del evento, la causa y la fecha y hora de ocurrencia</w:t>
      </w:r>
      <w:r w:rsidRPr="00321B46">
        <w:t xml:space="preserve">. </w:t>
      </w:r>
    </w:p>
    <w:p w14:paraId="1205FF2C" w14:textId="77777777" w:rsidR="00E43449" w:rsidRPr="00321B46" w:rsidRDefault="00E43449" w:rsidP="00E43449">
      <w:pPr>
        <w:rPr>
          <w:rFonts w:cs="Arial"/>
        </w:rPr>
      </w:pPr>
      <w:r w:rsidRPr="00321B46">
        <w:t>Tanto la información reportada como el resumen deberán estar disponibles para consulta de la Unidad de Planeación Minero Energética, UPME, la Superintendencia de Servicios Públicos Domiciliarios, SSPD, y la CREG. Si el CND cambia la forma de identificar los activos, deberá preverse la forma de recuperar la información histórica de cada uno de los activos.</w:t>
      </w:r>
    </w:p>
    <w:p w14:paraId="0B1AE878" w14:textId="77777777" w:rsidR="00E43449" w:rsidRPr="00321B46" w:rsidRDefault="00E43449" w:rsidP="00BF7220">
      <w:pPr>
        <w:pStyle w:val="Ttulo2"/>
      </w:pPr>
      <w:bookmarkStart w:id="260" w:name="_Toc334454905"/>
      <w:bookmarkStart w:id="261" w:name="_Toc404020405"/>
      <w:bookmarkStart w:id="262" w:name="_Toc466392649"/>
      <w:r w:rsidRPr="00321B46">
        <w:t>R</w:t>
      </w:r>
      <w:r w:rsidR="00082E7E" w:rsidRPr="00321B46">
        <w:t>eglamento para el reporte de eventos</w:t>
      </w:r>
      <w:bookmarkEnd w:id="260"/>
      <w:bookmarkEnd w:id="261"/>
      <w:bookmarkEnd w:id="262"/>
    </w:p>
    <w:p w14:paraId="225500E3" w14:textId="77777777" w:rsidR="00E43449" w:rsidRPr="00321B46" w:rsidRDefault="00E43449" w:rsidP="00E43449">
      <w:r w:rsidRPr="00321B46">
        <w:t>El reporte de eventos debe realizarse teniendo en cuenta las disposiciones que a continuación se establecen.</w:t>
      </w:r>
    </w:p>
    <w:p w14:paraId="320FCE45" w14:textId="77777777" w:rsidR="00E43449" w:rsidRPr="00321B46" w:rsidRDefault="00E43449" w:rsidP="00E43449">
      <w:pPr>
        <w:pStyle w:val="Ttulo3"/>
        <w:rPr>
          <w:szCs w:val="24"/>
        </w:rPr>
      </w:pPr>
      <w:bookmarkStart w:id="263" w:name="_Toc334454908"/>
      <w:bookmarkStart w:id="264" w:name="_Toc404020406"/>
      <w:bookmarkStart w:id="265" w:name="_Toc466392650"/>
      <w:r w:rsidRPr="00321B46">
        <w:rPr>
          <w:szCs w:val="24"/>
        </w:rPr>
        <w:t>Responsabilidad del reporte de información</w:t>
      </w:r>
      <w:bookmarkEnd w:id="263"/>
      <w:bookmarkEnd w:id="264"/>
      <w:bookmarkEnd w:id="265"/>
    </w:p>
    <w:p w14:paraId="236903B0" w14:textId="0C72D558" w:rsidR="00CE0D74" w:rsidRPr="00321B46" w:rsidRDefault="00CE0D74" w:rsidP="00CE0D74">
      <w:r w:rsidRPr="00321B46">
        <w:t xml:space="preserve">Los agentes deberán realizar el reporte de eventos de acuerdo con lo establecido en el artículo </w:t>
      </w:r>
      <w:r w:rsidRPr="00321B46">
        <w:fldChar w:fldCharType="begin"/>
      </w:r>
      <w:r w:rsidRPr="00321B46">
        <w:instrText xml:space="preserve"> REF _Ref404101847 \r \h \t  \* MERGEFORMAT </w:instrText>
      </w:r>
      <w:r w:rsidRPr="00321B46">
        <w:fldChar w:fldCharType="separate"/>
      </w:r>
      <w:r w:rsidR="000F355F">
        <w:t>15</w:t>
      </w:r>
      <w:r w:rsidRPr="00321B46">
        <w:fldChar w:fldCharType="end"/>
      </w:r>
      <w:r w:rsidRPr="00321B46">
        <w:t>. En caso de que un agente no notifique la ocurrencia de cualquier evento, o la finalización de la ejecución de maniobras en los plazos señalados en el mencionado artículo se ajustará el número máximo de horas anuales de indisponibilidad del activo correspondiente, de acuerdo con lo establecido en este capítulo.</w:t>
      </w:r>
    </w:p>
    <w:p w14:paraId="0EBF2984" w14:textId="77777777" w:rsidR="00CE0D74" w:rsidRPr="00321B46" w:rsidRDefault="00CE0D74" w:rsidP="00CE0D74">
      <w:r w:rsidRPr="00321B46">
        <w:rPr>
          <w:rFonts w:cs="Arial"/>
        </w:rPr>
        <w:t xml:space="preserve">Los TN son los responsables de la recolección y el reporte de la información de eventos. </w:t>
      </w:r>
      <w:r w:rsidRPr="00321B46">
        <w:t xml:space="preserve">Cuando el TN no opere los activos directamente, la información será reportada por quien los opera, y en el respectivo contrato de operación podrán precisarse los mecanismos para que el TN conozca la información reportada al CND. En todo caso, el responsable de la calidad y la oportunidad de la información reportada, a través del sistema dispuesto por el CND para este fin, es el TN a quien se le están remunerando los activos. </w:t>
      </w:r>
    </w:p>
    <w:p w14:paraId="56A877BB" w14:textId="77777777" w:rsidR="00CE0D74" w:rsidRPr="00321B46" w:rsidRDefault="00CE0D74" w:rsidP="00CE0D74">
      <w:r w:rsidRPr="00321B46">
        <w:rPr>
          <w:rFonts w:cs="Arial"/>
        </w:rPr>
        <w:t xml:space="preserve">Para activos nuevos, el TN, o quien los opere, </w:t>
      </w:r>
      <w:r w:rsidRPr="00321B46">
        <w:t>deberá reportar los eventos en la forma dispuesta en la presente resolución, a partir de su fecha de entrada en operación comercial.</w:t>
      </w:r>
    </w:p>
    <w:p w14:paraId="1806256A" w14:textId="77777777" w:rsidR="00CE0D74" w:rsidRPr="00321B46" w:rsidRDefault="00CE0D74" w:rsidP="00CE0D74">
      <w:pPr>
        <w:pStyle w:val="Ttulo3"/>
        <w:rPr>
          <w:szCs w:val="24"/>
        </w:rPr>
      </w:pPr>
      <w:bookmarkStart w:id="266" w:name="_Ref334445728"/>
      <w:bookmarkStart w:id="267" w:name="_Toc334454906"/>
      <w:bookmarkStart w:id="268" w:name="_Ref403653850"/>
      <w:bookmarkStart w:id="269" w:name="_Toc404020407"/>
      <w:bookmarkStart w:id="270" w:name="_Toc409016112"/>
      <w:bookmarkStart w:id="271" w:name="_Toc466392651"/>
      <w:r w:rsidRPr="00321B46">
        <w:rPr>
          <w:szCs w:val="24"/>
        </w:rPr>
        <w:t>Activos del STN a reportar</w:t>
      </w:r>
      <w:bookmarkEnd w:id="266"/>
      <w:bookmarkEnd w:id="267"/>
      <w:bookmarkEnd w:id="268"/>
      <w:bookmarkEnd w:id="269"/>
      <w:bookmarkEnd w:id="270"/>
      <w:bookmarkEnd w:id="271"/>
    </w:p>
    <w:p w14:paraId="3ED61D3D" w14:textId="77777777" w:rsidR="00CE0D74" w:rsidRPr="00321B46" w:rsidRDefault="00CE0D74" w:rsidP="00CE0D74">
      <w:pPr>
        <w:rPr>
          <w:bCs/>
        </w:rPr>
      </w:pPr>
      <w:r w:rsidRPr="00321B46">
        <w:rPr>
          <w:bCs/>
        </w:rPr>
        <w:t>Para el STN se deberán reportar los eventos sobre los activos que conforman los siguientes grupos de activos:</w:t>
      </w:r>
    </w:p>
    <w:p w14:paraId="372C7CCF" w14:textId="77777777" w:rsidR="00CE0D74" w:rsidRPr="00321B46" w:rsidRDefault="00CE0D74" w:rsidP="00CE0D74">
      <w:pPr>
        <w:numPr>
          <w:ilvl w:val="0"/>
          <w:numId w:val="31"/>
        </w:numPr>
        <w:spacing w:before="120" w:after="0"/>
        <w:rPr>
          <w:bCs/>
        </w:rPr>
      </w:pPr>
      <w:r w:rsidRPr="00321B46">
        <w:rPr>
          <w:bCs/>
        </w:rPr>
        <w:t>Transformadores</w:t>
      </w:r>
      <w:r w:rsidRPr="00321B46">
        <w:rPr>
          <w:rStyle w:val="Refdecomentario"/>
          <w:sz w:val="24"/>
          <w:szCs w:val="24"/>
          <w:lang w:val="es-CO"/>
        </w:rPr>
        <w:t>:</w:t>
      </w:r>
      <w:r w:rsidRPr="00321B46">
        <w:rPr>
          <w:bCs/>
        </w:rPr>
        <w:t xml:space="preserve"> constituido por el autotransformador que por lo menos tiene dos devanados operando en niveles de tensión de STN, junto con sus respectivas bahías.</w:t>
      </w:r>
    </w:p>
    <w:p w14:paraId="40BCEE43" w14:textId="77777777" w:rsidR="00CE0D74" w:rsidRPr="00321B46" w:rsidRDefault="00CE0D74" w:rsidP="00CE0D74">
      <w:pPr>
        <w:numPr>
          <w:ilvl w:val="0"/>
          <w:numId w:val="31"/>
        </w:numPr>
        <w:spacing w:before="120" w:after="0"/>
        <w:rPr>
          <w:bCs/>
        </w:rPr>
      </w:pPr>
      <w:r w:rsidRPr="00321B46">
        <w:rPr>
          <w:bCs/>
        </w:rPr>
        <w:t>Bahías de transformadores de conexión al STN: constituido por las bahías de transformador con configuración anillo e interruptor y medio, operando en niveles de tensión del STN y que son utilizadas por los OR.</w:t>
      </w:r>
    </w:p>
    <w:p w14:paraId="2B0D4ABF" w14:textId="632668FC" w:rsidR="00CE0D74" w:rsidRPr="00321B46" w:rsidRDefault="00CE0D74" w:rsidP="00CE0D74">
      <w:pPr>
        <w:numPr>
          <w:ilvl w:val="0"/>
          <w:numId w:val="31"/>
        </w:numPr>
        <w:spacing w:before="120" w:after="0"/>
        <w:rPr>
          <w:bCs/>
        </w:rPr>
      </w:pPr>
      <w:r w:rsidRPr="00321B46">
        <w:rPr>
          <w:bCs/>
        </w:rPr>
        <w:t>Equipos de compensación: constituido por el respectivo equipo de compensación, reactiva o capacitiva, y las bahías que lo conectan al STN</w:t>
      </w:r>
      <w:r w:rsidR="00EE167D" w:rsidRPr="00321B46">
        <w:rPr>
          <w:bCs/>
        </w:rPr>
        <w:t>.</w:t>
      </w:r>
    </w:p>
    <w:p w14:paraId="37F94306" w14:textId="77777777" w:rsidR="00CE0D74" w:rsidRPr="00321B46" w:rsidRDefault="00CE0D74" w:rsidP="00CE0D74">
      <w:pPr>
        <w:numPr>
          <w:ilvl w:val="0"/>
          <w:numId w:val="31"/>
        </w:numPr>
        <w:spacing w:before="120" w:after="0"/>
        <w:rPr>
          <w:bCs/>
        </w:rPr>
      </w:pPr>
      <w:r w:rsidRPr="00321B46">
        <w:rPr>
          <w:bCs/>
        </w:rPr>
        <w:t xml:space="preserve">Líneas: constituido por el circuito que conecta dos subestaciones del STN (o más de dos subestaciones si hay conexiones en T). Incluye las bahías de línea con las que se opera su conexión al STN. </w:t>
      </w:r>
      <w:r w:rsidRPr="00321B46">
        <w:rPr>
          <w:bCs/>
          <w:szCs w:val="22"/>
        </w:rPr>
        <w:t>Si una línea está conformada por más de un circuito, deberán reportarse por separado los eventos de cada uno de los circuitos.</w:t>
      </w:r>
    </w:p>
    <w:p w14:paraId="708D1B83" w14:textId="77777777" w:rsidR="00CE0D74" w:rsidRPr="00321B46" w:rsidRDefault="00CE0D74" w:rsidP="00CE0D74">
      <w:pPr>
        <w:numPr>
          <w:ilvl w:val="0"/>
          <w:numId w:val="31"/>
        </w:numPr>
        <w:spacing w:before="120" w:after="0"/>
        <w:rPr>
          <w:bCs/>
        </w:rPr>
      </w:pPr>
      <w:r w:rsidRPr="00321B46">
        <w:rPr>
          <w:bCs/>
        </w:rPr>
        <w:t>Barraje: constituido por el módulo de barraje y las bahías de acople, transferencia o seccionamiento, en caso de que cuente con estas.</w:t>
      </w:r>
    </w:p>
    <w:p w14:paraId="706564BA" w14:textId="5396708D" w:rsidR="00CE0D74" w:rsidRPr="00321B46" w:rsidRDefault="00CE0D74" w:rsidP="00CE0D74">
      <w:pPr>
        <w:numPr>
          <w:ilvl w:val="0"/>
          <w:numId w:val="31"/>
        </w:numPr>
        <w:spacing w:before="120" w:after="0"/>
        <w:rPr>
          <w:bCs/>
        </w:rPr>
      </w:pPr>
      <w:r w:rsidRPr="00321B46">
        <w:rPr>
          <w:bCs/>
        </w:rPr>
        <w:t>SVC: constituido por el equipo SVC</w:t>
      </w:r>
      <w:r w:rsidR="00EA3D82" w:rsidRPr="00321B46">
        <w:rPr>
          <w:bCs/>
        </w:rPr>
        <w:t>,</w:t>
      </w:r>
      <w:r w:rsidRPr="00321B46">
        <w:rPr>
          <w:bCs/>
        </w:rPr>
        <w:t xml:space="preserve"> sus respectivas bahías</w:t>
      </w:r>
      <w:r w:rsidR="00EA3D82" w:rsidRPr="00321B46">
        <w:rPr>
          <w:bCs/>
        </w:rPr>
        <w:t>, transformadores  y demás equipos remunerados con la unidad constructiva definida</w:t>
      </w:r>
      <w:r w:rsidRPr="00321B46">
        <w:rPr>
          <w:bCs/>
        </w:rPr>
        <w:t>.</w:t>
      </w:r>
    </w:p>
    <w:p w14:paraId="7CD62263" w14:textId="36E8A7EA" w:rsidR="00CE0D74" w:rsidRPr="00321B46" w:rsidRDefault="00CE0D74" w:rsidP="00CE0D74">
      <w:pPr>
        <w:numPr>
          <w:ilvl w:val="0"/>
          <w:numId w:val="31"/>
        </w:numPr>
        <w:spacing w:before="120" w:after="0"/>
        <w:rPr>
          <w:bCs/>
        </w:rPr>
      </w:pPr>
      <w:r w:rsidRPr="00321B46">
        <w:rPr>
          <w:bCs/>
        </w:rPr>
        <w:t>STATCOM: constituido por el equipo STATCOM</w:t>
      </w:r>
      <w:r w:rsidR="00EA3D82" w:rsidRPr="00321B46">
        <w:rPr>
          <w:bCs/>
        </w:rPr>
        <w:t>,</w:t>
      </w:r>
      <w:r w:rsidRPr="00321B46">
        <w:rPr>
          <w:bCs/>
        </w:rPr>
        <w:t xml:space="preserve"> sus respectivas bahías</w:t>
      </w:r>
      <w:r w:rsidR="00EA3D82" w:rsidRPr="00321B46">
        <w:rPr>
          <w:bCs/>
        </w:rPr>
        <w:t>, transformadores y demás equipos remunerados con la unidad constructiva definida</w:t>
      </w:r>
      <w:r w:rsidRPr="00321B46">
        <w:rPr>
          <w:bCs/>
        </w:rPr>
        <w:t>.</w:t>
      </w:r>
    </w:p>
    <w:p w14:paraId="2705A153" w14:textId="629D3714" w:rsidR="0053406B" w:rsidRPr="00321B46" w:rsidRDefault="00CE0D74" w:rsidP="0053406B">
      <w:pPr>
        <w:numPr>
          <w:ilvl w:val="0"/>
          <w:numId w:val="31"/>
        </w:numPr>
        <w:spacing w:before="120" w:after="0"/>
        <w:rPr>
          <w:bCs/>
        </w:rPr>
      </w:pPr>
      <w:r w:rsidRPr="00321B46">
        <w:rPr>
          <w:bCs/>
        </w:rPr>
        <w:t>Comunicaciones: constituido por el SCADA, el sistema de comunicaciones y el enlace ICCP.</w:t>
      </w:r>
    </w:p>
    <w:p w14:paraId="0D294AA6" w14:textId="77777777" w:rsidR="00CE0D74" w:rsidRPr="00321B46" w:rsidRDefault="00CE0D74" w:rsidP="00CE0D74">
      <w:pPr>
        <w:pStyle w:val="Ttulo3"/>
        <w:rPr>
          <w:szCs w:val="24"/>
        </w:rPr>
      </w:pPr>
      <w:bookmarkStart w:id="272" w:name="_Toc334454907"/>
      <w:bookmarkStart w:id="273" w:name="_Toc404020408"/>
      <w:bookmarkStart w:id="274" w:name="_Toc409016113"/>
      <w:bookmarkStart w:id="275" w:name="_Toc466392652"/>
      <w:r w:rsidRPr="00321B46">
        <w:rPr>
          <w:szCs w:val="24"/>
        </w:rPr>
        <w:t>Información del reporte de eventos</w:t>
      </w:r>
      <w:bookmarkEnd w:id="272"/>
      <w:bookmarkEnd w:id="273"/>
      <w:bookmarkEnd w:id="274"/>
      <w:bookmarkEnd w:id="275"/>
    </w:p>
    <w:p w14:paraId="04218931" w14:textId="77777777" w:rsidR="00CE0D74" w:rsidRPr="00321B46" w:rsidRDefault="00CE0D74" w:rsidP="00CE0D74">
      <w:r w:rsidRPr="00321B46">
        <w:t>El reporte de eventos deberá contener como mínimo lo siguiente:</w:t>
      </w:r>
    </w:p>
    <w:p w14:paraId="1598C9D6" w14:textId="77777777" w:rsidR="00CE0D74" w:rsidRPr="00321B46" w:rsidRDefault="00CE0D74" w:rsidP="00CE0D74">
      <w:pPr>
        <w:pStyle w:val="Prrafodelista"/>
        <w:numPr>
          <w:ilvl w:val="0"/>
          <w:numId w:val="32"/>
        </w:numPr>
        <w:spacing w:before="0" w:after="120"/>
        <w:rPr>
          <w:szCs w:val="24"/>
        </w:rPr>
      </w:pPr>
      <w:r w:rsidRPr="00321B46">
        <w:rPr>
          <w:szCs w:val="24"/>
        </w:rPr>
        <w:t>activo sobre el cual se presenta el evento,</w:t>
      </w:r>
    </w:p>
    <w:p w14:paraId="2183D097" w14:textId="77777777" w:rsidR="00CE0D74" w:rsidRPr="00321B46" w:rsidRDefault="00CE0D74" w:rsidP="00CE0D74">
      <w:pPr>
        <w:pStyle w:val="Prrafodelista"/>
        <w:numPr>
          <w:ilvl w:val="0"/>
          <w:numId w:val="32"/>
        </w:numPr>
        <w:spacing w:before="0" w:after="120"/>
        <w:rPr>
          <w:szCs w:val="24"/>
        </w:rPr>
      </w:pPr>
      <w:r w:rsidRPr="00321B46">
        <w:rPr>
          <w:szCs w:val="24"/>
        </w:rPr>
        <w:t>fecha y hora de ocurrencia del evento,</w:t>
      </w:r>
    </w:p>
    <w:p w14:paraId="58E5ED06" w14:textId="77777777" w:rsidR="00CE0D74" w:rsidRPr="00321B46" w:rsidRDefault="00CE0D74" w:rsidP="00CE0D74">
      <w:pPr>
        <w:pStyle w:val="Prrafodelista"/>
        <w:numPr>
          <w:ilvl w:val="0"/>
          <w:numId w:val="32"/>
        </w:numPr>
        <w:spacing w:before="0" w:after="120"/>
        <w:rPr>
          <w:szCs w:val="24"/>
        </w:rPr>
      </w:pPr>
      <w:r w:rsidRPr="00321B46">
        <w:rPr>
          <w:szCs w:val="24"/>
        </w:rPr>
        <w:t>duración del evento teniendo en cuenta los tiempos de ejecución de maniobras establecidos por la regulación y los procedimientos que el CNO defina para tal fin,</w:t>
      </w:r>
    </w:p>
    <w:p w14:paraId="07C2D38D" w14:textId="2E1EAF89" w:rsidR="00CE0D74" w:rsidRPr="00321B46" w:rsidRDefault="00CE0D74" w:rsidP="00CE0D74">
      <w:pPr>
        <w:pStyle w:val="Prrafodelista"/>
        <w:numPr>
          <w:ilvl w:val="0"/>
          <w:numId w:val="32"/>
        </w:numPr>
        <w:spacing w:before="0" w:after="120"/>
        <w:rPr>
          <w:szCs w:val="24"/>
        </w:rPr>
      </w:pPr>
      <w:r w:rsidRPr="00321B46">
        <w:rPr>
          <w:szCs w:val="24"/>
        </w:rPr>
        <w:t>la capacidad disponible del activo durante el evento,</w:t>
      </w:r>
      <w:r w:rsidRPr="00321B46">
        <w:t xml:space="preserve"> </w:t>
      </w:r>
      <w:r w:rsidRPr="00321B46">
        <w:rPr>
          <w:szCs w:val="24"/>
        </w:rPr>
        <w:t xml:space="preserve">con base en la estimación de la capacidad disponible de que trata el numeral </w:t>
      </w:r>
      <w:r w:rsidRPr="00321B46">
        <w:rPr>
          <w:szCs w:val="24"/>
        </w:rPr>
        <w:fldChar w:fldCharType="begin"/>
      </w:r>
      <w:r w:rsidRPr="00321B46">
        <w:rPr>
          <w:szCs w:val="24"/>
        </w:rPr>
        <w:instrText xml:space="preserve"> REF _Ref439858727 \r \h </w:instrText>
      </w:r>
      <w:r w:rsidR="003276B5" w:rsidRPr="00321B46">
        <w:rPr>
          <w:szCs w:val="24"/>
        </w:rPr>
        <w:instrText xml:space="preserve"> \* MERGEFORMAT </w:instrText>
      </w:r>
      <w:r w:rsidRPr="00321B46">
        <w:rPr>
          <w:szCs w:val="24"/>
        </w:rPr>
      </w:r>
      <w:r w:rsidRPr="00321B46">
        <w:rPr>
          <w:szCs w:val="24"/>
        </w:rPr>
        <w:fldChar w:fldCharType="separate"/>
      </w:r>
      <w:r w:rsidR="000F355F">
        <w:rPr>
          <w:szCs w:val="24"/>
        </w:rPr>
        <w:t>5.8</w:t>
      </w:r>
      <w:r w:rsidRPr="00321B46">
        <w:rPr>
          <w:szCs w:val="24"/>
        </w:rPr>
        <w:fldChar w:fldCharType="end"/>
      </w:r>
    </w:p>
    <w:p w14:paraId="583A8FEE" w14:textId="77777777" w:rsidR="00CE0D74" w:rsidRPr="00321B46" w:rsidRDefault="00CE0D74" w:rsidP="00CE0D74">
      <w:pPr>
        <w:pStyle w:val="Prrafodelista"/>
        <w:numPr>
          <w:ilvl w:val="0"/>
          <w:numId w:val="32"/>
        </w:numPr>
        <w:spacing w:before="0" w:after="120"/>
        <w:rPr>
          <w:szCs w:val="24"/>
        </w:rPr>
      </w:pPr>
      <w:r w:rsidRPr="00321B46">
        <w:rPr>
          <w:szCs w:val="24"/>
        </w:rPr>
        <w:t>causa que origina el evento, precisando si corresponde a alguna de las excluidas,</w:t>
      </w:r>
    </w:p>
    <w:p w14:paraId="59B070C8" w14:textId="61DB76B7" w:rsidR="00CE0D74" w:rsidRPr="00321B46" w:rsidRDefault="00CE0D74" w:rsidP="00CE0D74">
      <w:pPr>
        <w:pStyle w:val="Prrafodelista"/>
        <w:numPr>
          <w:ilvl w:val="0"/>
          <w:numId w:val="32"/>
        </w:numPr>
        <w:spacing w:before="0" w:after="120"/>
        <w:rPr>
          <w:szCs w:val="24"/>
        </w:rPr>
      </w:pPr>
      <w:r w:rsidRPr="00321B46">
        <w:rPr>
          <w:szCs w:val="24"/>
        </w:rPr>
        <w:t xml:space="preserve">cuando el activo quede </w:t>
      </w:r>
      <w:r w:rsidR="007B75F2" w:rsidRPr="00321B46">
        <w:rPr>
          <w:szCs w:val="24"/>
        </w:rPr>
        <w:t>no operativo</w:t>
      </w:r>
      <w:r w:rsidRPr="00321B46">
        <w:rPr>
          <w:szCs w:val="24"/>
        </w:rPr>
        <w:t>, informar el activo causante,</w:t>
      </w:r>
    </w:p>
    <w:p w14:paraId="60E381E5" w14:textId="77777777" w:rsidR="00CE0D74" w:rsidRPr="00321B46" w:rsidRDefault="00CE0D74" w:rsidP="00CE0D74">
      <w:pPr>
        <w:pStyle w:val="Prrafodelista"/>
        <w:numPr>
          <w:ilvl w:val="0"/>
          <w:numId w:val="32"/>
        </w:numPr>
        <w:spacing w:before="0" w:after="120"/>
        <w:rPr>
          <w:szCs w:val="24"/>
        </w:rPr>
      </w:pPr>
      <w:r w:rsidRPr="00321B46">
        <w:rPr>
          <w:szCs w:val="24"/>
        </w:rPr>
        <w:t>señalar si el evento obedece a la operación de un esquema suplementario, identificando el respectivo esquema,</w:t>
      </w:r>
    </w:p>
    <w:p w14:paraId="12FB14D9" w14:textId="77777777" w:rsidR="00CE0D74" w:rsidRPr="00321B46" w:rsidRDefault="00CE0D74" w:rsidP="00CE0D74">
      <w:pPr>
        <w:pStyle w:val="Prrafodelista"/>
        <w:numPr>
          <w:ilvl w:val="0"/>
          <w:numId w:val="32"/>
        </w:numPr>
        <w:spacing w:before="0" w:after="120"/>
        <w:rPr>
          <w:szCs w:val="24"/>
        </w:rPr>
      </w:pPr>
      <w:r w:rsidRPr="00321B46">
        <w:rPr>
          <w:szCs w:val="24"/>
        </w:rPr>
        <w:t>diferenciación entre eventos programados y no programados,</w:t>
      </w:r>
    </w:p>
    <w:p w14:paraId="60DC7E75" w14:textId="77777777" w:rsidR="00CE0D74" w:rsidRPr="00321B46" w:rsidRDefault="00CE0D74" w:rsidP="00CE0D74">
      <w:pPr>
        <w:pStyle w:val="Prrafodelista"/>
        <w:numPr>
          <w:ilvl w:val="0"/>
          <w:numId w:val="32"/>
        </w:numPr>
        <w:spacing w:before="0" w:after="120"/>
        <w:rPr>
          <w:szCs w:val="24"/>
        </w:rPr>
      </w:pPr>
      <w:r w:rsidRPr="00321B46">
        <w:rPr>
          <w:szCs w:val="24"/>
        </w:rPr>
        <w:t>número de consignación, cuando aplique,</w:t>
      </w:r>
    </w:p>
    <w:p w14:paraId="05EC366F" w14:textId="77777777" w:rsidR="00CE0D74" w:rsidRPr="00321B46" w:rsidRDefault="00CE0D74" w:rsidP="00CE0D74">
      <w:pPr>
        <w:pStyle w:val="Prrafodelista"/>
        <w:numPr>
          <w:ilvl w:val="0"/>
          <w:numId w:val="32"/>
        </w:numPr>
        <w:spacing w:before="0" w:after="120"/>
        <w:rPr>
          <w:szCs w:val="24"/>
        </w:rPr>
      </w:pPr>
      <w:bookmarkStart w:id="276" w:name="_Ref403639258"/>
      <w:r w:rsidRPr="00321B46">
        <w:rPr>
          <w:szCs w:val="24"/>
        </w:rPr>
        <w:t>clasificación según las causas detalladas, acordadas y publicadas por el Consejo Nacional de Operación, CNO,</w:t>
      </w:r>
      <w:bookmarkEnd w:id="276"/>
    </w:p>
    <w:p w14:paraId="51F0F154" w14:textId="77777777" w:rsidR="00CE0D74" w:rsidRPr="00321B46" w:rsidRDefault="00CE0D74" w:rsidP="00CE0D74">
      <w:pPr>
        <w:pStyle w:val="Prrafodelista"/>
        <w:numPr>
          <w:ilvl w:val="0"/>
          <w:numId w:val="32"/>
        </w:numPr>
        <w:spacing w:before="0" w:after="0"/>
        <w:rPr>
          <w:szCs w:val="24"/>
        </w:rPr>
      </w:pPr>
      <w:r w:rsidRPr="00321B46">
        <w:rPr>
          <w:szCs w:val="24"/>
        </w:rPr>
        <w:t>descripción del evento.</w:t>
      </w:r>
    </w:p>
    <w:p w14:paraId="79FF206A" w14:textId="69A7D2A3" w:rsidR="00D526E7" w:rsidRPr="00321B46" w:rsidRDefault="00D526E7" w:rsidP="0004502D">
      <w:r w:rsidRPr="00321B46">
        <w:t xml:space="preserve">El LAC, a partir de la información que reporten los OR, </w:t>
      </w:r>
      <w:r w:rsidR="00A055E8" w:rsidRPr="00321B46">
        <w:t xml:space="preserve">incluirá el dato de </w:t>
      </w:r>
      <w:r w:rsidRPr="00321B46">
        <w:t xml:space="preserve"> demanda no atendida ocasionada por la ocurrencia de un evento. </w:t>
      </w:r>
    </w:p>
    <w:p w14:paraId="4456D707" w14:textId="2490D274" w:rsidR="0053406B" w:rsidRPr="00321B46" w:rsidRDefault="0053406B" w:rsidP="003276B5">
      <w:r w:rsidRPr="00321B46">
        <w:t xml:space="preserve">El reporte </w:t>
      </w:r>
      <w:r w:rsidR="00D578DC" w:rsidRPr="00321B46">
        <w:t>deberá hacerse</w:t>
      </w:r>
      <w:r w:rsidRPr="00321B46">
        <w:t xml:space="preserve"> únicamente sobre el activo en el que recaiga el evento</w:t>
      </w:r>
      <w:r w:rsidR="00D526E7" w:rsidRPr="00321B46">
        <w:t xml:space="preserve">, </w:t>
      </w:r>
      <w:r w:rsidRPr="00321B46">
        <w:t xml:space="preserve"> por lo tanto</w:t>
      </w:r>
      <w:r w:rsidR="00D526E7" w:rsidRPr="00321B46">
        <w:t>, por el mismo evento</w:t>
      </w:r>
      <w:r w:rsidRPr="00321B46">
        <w:t xml:space="preserve"> no debe reportarse indisponibilidades sobre los </w:t>
      </w:r>
      <w:r w:rsidR="00D578DC" w:rsidRPr="00321B46">
        <w:t>otros</w:t>
      </w:r>
      <w:r w:rsidRPr="00321B46">
        <w:t xml:space="preserve"> activos que hacen parte de</w:t>
      </w:r>
      <w:r w:rsidR="00D578DC" w:rsidRPr="00321B46">
        <w:t xml:space="preserve"> su</w:t>
      </w:r>
      <w:r w:rsidRPr="00321B46">
        <w:t xml:space="preserve"> grupo de activos.</w:t>
      </w:r>
    </w:p>
    <w:p w14:paraId="2366F56A" w14:textId="45DAC17B" w:rsidR="00CE0D74" w:rsidRPr="00321B46" w:rsidRDefault="00CE0D74" w:rsidP="00CE0D74">
      <w:r w:rsidRPr="00321B46">
        <w:t>El CNO deberá mantener publicada y actualizada la lista de causas detalladas, necesarias para que los agentes entreguen la información solicitada en el literal</w:t>
      </w:r>
      <w:r w:rsidR="00C01580">
        <w:t> </w:t>
      </w:r>
      <w:r w:rsidR="00FD0B77" w:rsidRPr="00321B46">
        <w:fldChar w:fldCharType="begin"/>
      </w:r>
      <w:r w:rsidR="00FD0B77" w:rsidRPr="00321B46">
        <w:instrText xml:space="preserve"> REF _Ref403639258 \r \h </w:instrText>
      </w:r>
      <w:r w:rsidR="003276B5" w:rsidRPr="00321B46">
        <w:instrText xml:space="preserve"> \* MERGEFORMAT </w:instrText>
      </w:r>
      <w:r w:rsidR="00FD0B77" w:rsidRPr="00321B46">
        <w:fldChar w:fldCharType="separate"/>
      </w:r>
      <w:r w:rsidR="000F355F">
        <w:t>j</w:t>
      </w:r>
      <w:r w:rsidR="00FD0B77" w:rsidRPr="00321B46">
        <w:fldChar w:fldCharType="end"/>
      </w:r>
      <w:r w:rsidRPr="00321B46">
        <w:t>. Si bien el reporte de eventos debe hacerse en el plazo que para tal fin se establece, la causa detallada podrá ser modificada dentro del plazo que establezca el CND, ya que corresponde a un dato informativo que no se utiliza en el cálculo de las compensaciones ni de los indicadores de calidad establecidos en este capítulo.</w:t>
      </w:r>
    </w:p>
    <w:p w14:paraId="3FE1AB70" w14:textId="77777777" w:rsidR="00CE0D74" w:rsidRPr="00321B46" w:rsidRDefault="00CE0D74" w:rsidP="00CE0D74">
      <w:r w:rsidRPr="00321B46">
        <w:rPr>
          <w:rFonts w:cs="Arial"/>
        </w:rPr>
        <w:t xml:space="preserve">El CND deberá mantener publicada en su página </w:t>
      </w:r>
      <w:r w:rsidR="009F6482" w:rsidRPr="00321B46">
        <w:rPr>
          <w:rFonts w:cs="Arial"/>
        </w:rPr>
        <w:t>web</w:t>
      </w:r>
      <w:r w:rsidRPr="00321B46">
        <w:rPr>
          <w:rFonts w:cs="Arial"/>
        </w:rPr>
        <w:t xml:space="preserve"> la lista con los esquemas suplementarios existentes en el SIN, identificando los activos que operarían por la actuación del mismo.</w:t>
      </w:r>
    </w:p>
    <w:p w14:paraId="4F7ACFEA" w14:textId="66C38985" w:rsidR="00CE0D74" w:rsidRPr="00321B46" w:rsidRDefault="00CE0D74" w:rsidP="00CE0D74">
      <w:r w:rsidRPr="00321B46">
        <w:t xml:space="preserve">El CND deberá mantener publicados en su página </w:t>
      </w:r>
      <w:r w:rsidR="009F6482" w:rsidRPr="00321B46">
        <w:t>web</w:t>
      </w:r>
      <w:r w:rsidRPr="00321B46">
        <w:t xml:space="preserve"> los formatos e instrucciones para el reporte de eventos que tengan en cuenta las disposiciones establecidas en este capítulo. Cuando el CND requiera modificar los formatos e instrucciones para el reporte de eventos deberá </w:t>
      </w:r>
      <w:r w:rsidR="00894FAD" w:rsidRPr="00321B46">
        <w:t xml:space="preserve">publicarlos para comentarios de los interesados y </w:t>
      </w:r>
      <w:r w:rsidRPr="00321B46">
        <w:t>enviarlos previamente para conocimiento de la CREG.</w:t>
      </w:r>
    </w:p>
    <w:p w14:paraId="358710E3" w14:textId="77777777" w:rsidR="00CE0D74" w:rsidRPr="00321B46" w:rsidRDefault="00CE0D74" w:rsidP="00CE0D74">
      <w:pPr>
        <w:pStyle w:val="Ttulo3"/>
        <w:rPr>
          <w:szCs w:val="24"/>
        </w:rPr>
      </w:pPr>
      <w:bookmarkStart w:id="277" w:name="_Toc334454909"/>
      <w:bookmarkStart w:id="278" w:name="_Toc404020409"/>
      <w:bookmarkStart w:id="279" w:name="_Toc409016114"/>
      <w:bookmarkStart w:id="280" w:name="_Toc466392653"/>
      <w:r w:rsidRPr="00321B46">
        <w:rPr>
          <w:szCs w:val="24"/>
        </w:rPr>
        <w:t>Validación de la información</w:t>
      </w:r>
      <w:bookmarkEnd w:id="277"/>
      <w:bookmarkEnd w:id="278"/>
      <w:bookmarkEnd w:id="279"/>
      <w:bookmarkEnd w:id="280"/>
    </w:p>
    <w:p w14:paraId="199F95E1" w14:textId="77777777" w:rsidR="00CE0D74" w:rsidRPr="00321B46" w:rsidRDefault="00CE0D74" w:rsidP="00CE0D74">
      <w:r w:rsidRPr="00321B46">
        <w:rPr>
          <w:rFonts w:cs="Bookman Old Style"/>
          <w:color w:val="000000"/>
          <w:lang w:val="es-CO" w:eastAsia="es-CO"/>
        </w:rPr>
        <w:t>El CND confrontará la información de eventos que se ingresa a la base de datos con la información que le haya sido reportada por los operadores de los activos, así como con la información disponible en los registros de señales digitales y análogas ante la ocurrencia de eventos, los registros de las lecturas de energía y potencia en tiempo real para las barras de las subestaciones del STN, los registros de consignaciones y el reporte de fallas en transformadores de medida, entre otros.</w:t>
      </w:r>
      <w:r w:rsidRPr="00321B46">
        <w:t xml:space="preserve"> El CND definirá las fuentes que utilizará y la información que verificará.</w:t>
      </w:r>
    </w:p>
    <w:p w14:paraId="1A45A22C" w14:textId="77777777" w:rsidR="00CE0D74" w:rsidRPr="00321B46" w:rsidRDefault="00CE0D74" w:rsidP="00CE0D74">
      <w:pPr>
        <w:rPr>
          <w:rFonts w:cs="Arial"/>
        </w:rPr>
      </w:pPr>
      <w:r w:rsidRPr="00321B46">
        <w:rPr>
          <w:rFonts w:cs="Arial"/>
        </w:rPr>
        <w:t>La confrontación mencionada se realizará de la siguiente manera:</w:t>
      </w:r>
    </w:p>
    <w:p w14:paraId="7C6B25C2" w14:textId="77777777" w:rsidR="00CE0D74" w:rsidRPr="00321B46" w:rsidRDefault="00CE0D74" w:rsidP="00CE0D74">
      <w:pPr>
        <w:pStyle w:val="Prrafodelista"/>
        <w:numPr>
          <w:ilvl w:val="0"/>
          <w:numId w:val="33"/>
        </w:numPr>
        <w:spacing w:before="120" w:after="0"/>
        <w:rPr>
          <w:szCs w:val="24"/>
        </w:rPr>
      </w:pPr>
      <w:r w:rsidRPr="00321B46">
        <w:rPr>
          <w:szCs w:val="24"/>
        </w:rPr>
        <w:t xml:space="preserve">Si el CND identifica discrepancias en el reporte de un evento en cuanto a su duración, para el cálculo de los indicadores definidos en este capítulo deberá asumirse el evento de mayor duración. </w:t>
      </w:r>
    </w:p>
    <w:p w14:paraId="35947106" w14:textId="77777777" w:rsidR="00CE0D74" w:rsidRPr="00321B46" w:rsidRDefault="00CE0D74" w:rsidP="00CE0D74">
      <w:pPr>
        <w:pStyle w:val="Prrafodelista"/>
        <w:numPr>
          <w:ilvl w:val="0"/>
          <w:numId w:val="33"/>
        </w:numPr>
        <w:spacing w:before="120" w:after="0"/>
        <w:rPr>
          <w:szCs w:val="24"/>
        </w:rPr>
      </w:pPr>
      <w:r w:rsidRPr="00321B46">
        <w:rPr>
          <w:szCs w:val="24"/>
        </w:rPr>
        <w:t>Si el agente no reporta información sobre el activo involucrado en el evento, o se constatan discrepancias sobre la identidad del activo reportado, deberá asumirse que la ocurrencia del evento se presentó en todos los activos involucrados, cuya responsabilidad de operación y mantenimiento sea del TN que no reportó correctamente la información.</w:t>
      </w:r>
    </w:p>
    <w:p w14:paraId="1AC0BC3D" w14:textId="066A25AF" w:rsidR="00CE0D74" w:rsidRPr="00321B46" w:rsidRDefault="00CE0D74" w:rsidP="00CE0D74">
      <w:r w:rsidRPr="00321B46">
        <w:t xml:space="preserve">En el proceso de validación, si el CND encuentra que la indisponibilidad de un activo dejó como activo </w:t>
      </w:r>
      <w:r w:rsidRPr="00321B46">
        <w:rPr>
          <w:bCs/>
        </w:rPr>
        <w:t>no operativo</w:t>
      </w:r>
      <w:r w:rsidRPr="00321B46">
        <w:t xml:space="preserve"> a otros activos, ingresará los reportes correspondientes sobre estos activos </w:t>
      </w:r>
      <w:r w:rsidR="00011802" w:rsidRPr="00321B46">
        <w:rPr>
          <w:bCs/>
        </w:rPr>
        <w:t>no operativos</w:t>
      </w:r>
      <w:r w:rsidR="00011802" w:rsidRPr="00321B46">
        <w:t xml:space="preserve"> </w:t>
      </w:r>
      <w:r w:rsidRPr="00321B46">
        <w:t>e informará al agente causante de la no operatividad.</w:t>
      </w:r>
    </w:p>
    <w:p w14:paraId="6F022774" w14:textId="77777777" w:rsidR="00CE0D74" w:rsidRPr="00321B46" w:rsidRDefault="00CE0D74" w:rsidP="00CE0D74">
      <w:r w:rsidRPr="00321B46">
        <w:t>Después de finalizado el proceso de validación, en el sistema de consulta que habilite el CND, los agentes podrán revisar la información validada y el listado de las inconsistencias encontradas. En caso de ser necesario, el agente podrá solicitar ajustes a la información publicada y el CND responderá a los agentes las solicitudes presentadas, de acuerdo con los procedimientos que establezca para tal fin.</w:t>
      </w:r>
    </w:p>
    <w:p w14:paraId="40B08F4B" w14:textId="77777777" w:rsidR="00CE0D74" w:rsidRPr="00321B46" w:rsidRDefault="00CE0D74" w:rsidP="00CE0D74">
      <w:r w:rsidRPr="00321B46">
        <w:t>La información validada por el CND y, de ser el caso, ajustada según los comentarios de los agentes, será la que deberá quedar registrada en la base de datos de reporte de eventos de que trata este capítulo.</w:t>
      </w:r>
    </w:p>
    <w:p w14:paraId="5075F75A" w14:textId="77777777" w:rsidR="00CE0D74" w:rsidRPr="00321B46" w:rsidRDefault="00CE0D74" w:rsidP="00CE0D74">
      <w:pPr>
        <w:pStyle w:val="Ttulo3"/>
        <w:rPr>
          <w:szCs w:val="24"/>
        </w:rPr>
      </w:pPr>
      <w:bookmarkStart w:id="281" w:name="_Ref334446639"/>
      <w:bookmarkStart w:id="282" w:name="_Ref334446985"/>
      <w:bookmarkStart w:id="283" w:name="_Toc334454911"/>
      <w:bookmarkStart w:id="284" w:name="_Toc404020411"/>
      <w:bookmarkStart w:id="285" w:name="_Toc409016115"/>
      <w:bookmarkStart w:id="286" w:name="_Toc466392654"/>
      <w:r w:rsidRPr="00321B46">
        <w:rPr>
          <w:szCs w:val="24"/>
        </w:rPr>
        <w:t>Plazos</w:t>
      </w:r>
      <w:bookmarkEnd w:id="281"/>
      <w:bookmarkEnd w:id="282"/>
      <w:bookmarkEnd w:id="283"/>
      <w:bookmarkEnd w:id="284"/>
      <w:bookmarkEnd w:id="285"/>
      <w:bookmarkEnd w:id="286"/>
      <w:r w:rsidRPr="00321B46">
        <w:rPr>
          <w:szCs w:val="24"/>
        </w:rPr>
        <w:t xml:space="preserve"> </w:t>
      </w:r>
    </w:p>
    <w:p w14:paraId="589F1FFF" w14:textId="31346C10" w:rsidR="00CE0D74" w:rsidRPr="00321B46" w:rsidRDefault="00CE0D74" w:rsidP="00CE0D74">
      <w:r w:rsidRPr="00321B46">
        <w:t xml:space="preserve">Para realizar los procedimientos descritos en el presente capítulo se tendrán en cuenta los siguientes plazos, cada uno contado a partir de las 24:00 horas del día de operación: </w:t>
      </w:r>
    </w:p>
    <w:p w14:paraId="7A1D2DB4" w14:textId="120B05B7" w:rsidR="00011802" w:rsidRPr="00321B46" w:rsidRDefault="00011802" w:rsidP="00011802">
      <w:pPr>
        <w:pStyle w:val="Descripcin"/>
        <w:rPr>
          <w:szCs w:val="22"/>
        </w:rPr>
      </w:pPr>
      <w:r w:rsidRPr="00321B46">
        <w:t xml:space="preserve">Tabla </w:t>
      </w:r>
      <w:r w:rsidRPr="00321B46">
        <w:fldChar w:fldCharType="begin"/>
      </w:r>
      <w:r w:rsidRPr="00321B46">
        <w:instrText xml:space="preserve"> SEQ Tabla \* ARABIC </w:instrText>
      </w:r>
      <w:r w:rsidRPr="00321B46">
        <w:fldChar w:fldCharType="separate"/>
      </w:r>
      <w:r w:rsidR="000F355F">
        <w:rPr>
          <w:noProof/>
        </w:rPr>
        <w:t>5</w:t>
      </w:r>
      <w:r w:rsidRPr="00321B46">
        <w:fldChar w:fldCharType="end"/>
      </w:r>
      <w:r w:rsidRPr="00321B46">
        <w:t xml:space="preserve"> Plazos para realizar procedimientos</w:t>
      </w:r>
    </w:p>
    <w:tbl>
      <w:tblPr>
        <w:tblStyle w:val="Tablaconcuadrcula"/>
        <w:tblW w:w="9495" w:type="dxa"/>
        <w:tblLook w:val="04A0" w:firstRow="1" w:lastRow="0" w:firstColumn="1" w:lastColumn="0" w:noHBand="0" w:noVBand="1"/>
      </w:tblPr>
      <w:tblGrid>
        <w:gridCol w:w="6204"/>
        <w:gridCol w:w="1842"/>
        <w:gridCol w:w="1449"/>
      </w:tblGrid>
      <w:tr w:rsidR="00CE0D74" w:rsidRPr="00321B46" w14:paraId="4727DC81" w14:textId="77777777" w:rsidTr="00CE0D74">
        <w:tc>
          <w:tcPr>
            <w:tcW w:w="6204" w:type="dxa"/>
          </w:tcPr>
          <w:p w14:paraId="6B9B4D7B" w14:textId="77777777" w:rsidR="00CE0D74" w:rsidRPr="00321B46" w:rsidRDefault="00CE0D74" w:rsidP="00CE0D74">
            <w:pPr>
              <w:spacing w:before="0" w:after="0"/>
              <w:jc w:val="center"/>
              <w:rPr>
                <w:b/>
                <w:sz w:val="22"/>
              </w:rPr>
            </w:pPr>
            <w:r w:rsidRPr="00321B46">
              <w:rPr>
                <w:b/>
                <w:sz w:val="22"/>
              </w:rPr>
              <w:t>Actividad</w:t>
            </w:r>
          </w:p>
        </w:tc>
        <w:tc>
          <w:tcPr>
            <w:tcW w:w="1842" w:type="dxa"/>
          </w:tcPr>
          <w:p w14:paraId="3FF84B57" w14:textId="77777777" w:rsidR="00CE0D74" w:rsidRPr="00321B46" w:rsidRDefault="00CE0D74" w:rsidP="00CE0D74">
            <w:pPr>
              <w:spacing w:before="0" w:after="0"/>
              <w:jc w:val="center"/>
              <w:rPr>
                <w:b/>
                <w:sz w:val="22"/>
              </w:rPr>
            </w:pPr>
            <w:r w:rsidRPr="00321B46">
              <w:rPr>
                <w:b/>
                <w:sz w:val="22"/>
              </w:rPr>
              <w:t>Responsable</w:t>
            </w:r>
          </w:p>
        </w:tc>
        <w:tc>
          <w:tcPr>
            <w:tcW w:w="1449" w:type="dxa"/>
          </w:tcPr>
          <w:p w14:paraId="336F1290" w14:textId="77777777" w:rsidR="00CE0D74" w:rsidRPr="00321B46" w:rsidRDefault="00CE0D74" w:rsidP="00CE0D74">
            <w:pPr>
              <w:spacing w:before="0" w:after="0"/>
              <w:jc w:val="center"/>
              <w:rPr>
                <w:b/>
                <w:sz w:val="22"/>
              </w:rPr>
            </w:pPr>
            <w:r w:rsidRPr="00321B46">
              <w:rPr>
                <w:b/>
                <w:sz w:val="22"/>
              </w:rPr>
              <w:t>Plazo (h)</w:t>
            </w:r>
          </w:p>
        </w:tc>
      </w:tr>
      <w:tr w:rsidR="00CE0D74" w:rsidRPr="00321B46" w14:paraId="7F572860" w14:textId="77777777" w:rsidTr="00CE0D74">
        <w:tc>
          <w:tcPr>
            <w:tcW w:w="6204" w:type="dxa"/>
          </w:tcPr>
          <w:p w14:paraId="5F43118F" w14:textId="77777777" w:rsidR="00CE0D74" w:rsidRPr="00321B46" w:rsidRDefault="00CE0D74" w:rsidP="00CE0D74">
            <w:pPr>
              <w:spacing w:before="0" w:after="0"/>
              <w:rPr>
                <w:sz w:val="22"/>
              </w:rPr>
            </w:pPr>
            <w:r w:rsidRPr="00321B46">
              <w:rPr>
                <w:sz w:val="22"/>
              </w:rPr>
              <w:t>Ingreso de reporte de eventos</w:t>
            </w:r>
          </w:p>
        </w:tc>
        <w:tc>
          <w:tcPr>
            <w:tcW w:w="1842" w:type="dxa"/>
            <w:vAlign w:val="center"/>
          </w:tcPr>
          <w:p w14:paraId="2B058CD8" w14:textId="77777777" w:rsidR="00CE0D74" w:rsidRPr="00321B46" w:rsidRDefault="00CE0D74" w:rsidP="00CE0D74">
            <w:pPr>
              <w:spacing w:before="0" w:after="0"/>
              <w:jc w:val="center"/>
              <w:rPr>
                <w:sz w:val="22"/>
              </w:rPr>
            </w:pPr>
            <w:r w:rsidRPr="00321B46">
              <w:rPr>
                <w:sz w:val="22"/>
              </w:rPr>
              <w:t>Agente</w:t>
            </w:r>
          </w:p>
        </w:tc>
        <w:tc>
          <w:tcPr>
            <w:tcW w:w="1449" w:type="dxa"/>
            <w:vAlign w:val="center"/>
          </w:tcPr>
          <w:p w14:paraId="0EF8F18B" w14:textId="77777777" w:rsidR="00CE0D74" w:rsidRPr="00321B46" w:rsidRDefault="00CE0D74" w:rsidP="00CE0D74">
            <w:pPr>
              <w:spacing w:before="0" w:after="0"/>
              <w:jc w:val="center"/>
              <w:rPr>
                <w:sz w:val="22"/>
              </w:rPr>
            </w:pPr>
            <w:r w:rsidRPr="00321B46">
              <w:rPr>
                <w:sz w:val="22"/>
              </w:rPr>
              <w:t>12</w:t>
            </w:r>
          </w:p>
        </w:tc>
      </w:tr>
      <w:tr w:rsidR="00CE0D74" w:rsidRPr="00321B46" w14:paraId="367CEB72" w14:textId="77777777" w:rsidTr="00CE0D74">
        <w:tc>
          <w:tcPr>
            <w:tcW w:w="6204" w:type="dxa"/>
          </w:tcPr>
          <w:p w14:paraId="4DB4E4A2" w14:textId="77777777" w:rsidR="00CE0D74" w:rsidRPr="00321B46" w:rsidRDefault="00CE0D74" w:rsidP="00CE0D74">
            <w:pPr>
              <w:spacing w:before="0" w:after="0"/>
              <w:rPr>
                <w:sz w:val="22"/>
              </w:rPr>
            </w:pPr>
            <w:r w:rsidRPr="00321B46">
              <w:rPr>
                <w:sz w:val="22"/>
              </w:rPr>
              <w:t>Validación y publicación de listado de inconsistencias</w:t>
            </w:r>
          </w:p>
        </w:tc>
        <w:tc>
          <w:tcPr>
            <w:tcW w:w="1842" w:type="dxa"/>
            <w:vAlign w:val="center"/>
          </w:tcPr>
          <w:p w14:paraId="2FB3FB23" w14:textId="77777777" w:rsidR="00CE0D74" w:rsidRPr="00321B46" w:rsidRDefault="00CE0D74" w:rsidP="00CE0D74">
            <w:pPr>
              <w:spacing w:before="0" w:after="0"/>
              <w:jc w:val="center"/>
              <w:rPr>
                <w:sz w:val="22"/>
              </w:rPr>
            </w:pPr>
            <w:r w:rsidRPr="00321B46">
              <w:rPr>
                <w:sz w:val="22"/>
              </w:rPr>
              <w:t>CND</w:t>
            </w:r>
          </w:p>
        </w:tc>
        <w:tc>
          <w:tcPr>
            <w:tcW w:w="1449" w:type="dxa"/>
            <w:vAlign w:val="center"/>
          </w:tcPr>
          <w:p w14:paraId="26B630DA" w14:textId="77777777" w:rsidR="00CE0D74" w:rsidRPr="00321B46" w:rsidRDefault="00CE0D74" w:rsidP="00CE0D74">
            <w:pPr>
              <w:spacing w:before="0" w:after="0"/>
              <w:jc w:val="center"/>
              <w:rPr>
                <w:sz w:val="22"/>
              </w:rPr>
            </w:pPr>
            <w:r w:rsidRPr="00321B46">
              <w:rPr>
                <w:sz w:val="22"/>
              </w:rPr>
              <w:t>36</w:t>
            </w:r>
          </w:p>
        </w:tc>
      </w:tr>
      <w:tr w:rsidR="00CE0D74" w:rsidRPr="00321B46" w14:paraId="10262AB0" w14:textId="77777777" w:rsidTr="00CE0D74">
        <w:tc>
          <w:tcPr>
            <w:tcW w:w="6204" w:type="dxa"/>
          </w:tcPr>
          <w:p w14:paraId="71613C7E" w14:textId="77777777" w:rsidR="00CE0D74" w:rsidRPr="00321B46" w:rsidRDefault="00CE0D74" w:rsidP="00CE0D74">
            <w:pPr>
              <w:spacing w:before="0" w:after="0"/>
              <w:rPr>
                <w:sz w:val="22"/>
              </w:rPr>
            </w:pPr>
            <w:r w:rsidRPr="00321B46">
              <w:rPr>
                <w:sz w:val="22"/>
              </w:rPr>
              <w:t>Solicitud de modificación de información</w:t>
            </w:r>
          </w:p>
        </w:tc>
        <w:tc>
          <w:tcPr>
            <w:tcW w:w="1842" w:type="dxa"/>
            <w:vAlign w:val="center"/>
          </w:tcPr>
          <w:p w14:paraId="3A5AA3F0" w14:textId="77777777" w:rsidR="00CE0D74" w:rsidRPr="00321B46" w:rsidRDefault="00CE0D74" w:rsidP="00CE0D74">
            <w:pPr>
              <w:spacing w:before="0" w:after="0"/>
              <w:jc w:val="center"/>
              <w:rPr>
                <w:sz w:val="22"/>
              </w:rPr>
            </w:pPr>
            <w:r w:rsidRPr="00321B46">
              <w:rPr>
                <w:sz w:val="22"/>
              </w:rPr>
              <w:t>Agente</w:t>
            </w:r>
          </w:p>
        </w:tc>
        <w:tc>
          <w:tcPr>
            <w:tcW w:w="1449" w:type="dxa"/>
            <w:vAlign w:val="center"/>
          </w:tcPr>
          <w:p w14:paraId="424FF2E6" w14:textId="77777777" w:rsidR="00CE0D74" w:rsidRPr="00321B46" w:rsidRDefault="00CE0D74" w:rsidP="00CE0D74">
            <w:pPr>
              <w:spacing w:before="0" w:after="0"/>
              <w:jc w:val="center"/>
              <w:rPr>
                <w:sz w:val="22"/>
              </w:rPr>
            </w:pPr>
            <w:r w:rsidRPr="00321B46">
              <w:rPr>
                <w:sz w:val="22"/>
              </w:rPr>
              <w:t>60</w:t>
            </w:r>
          </w:p>
        </w:tc>
      </w:tr>
      <w:tr w:rsidR="00CE0D74" w:rsidRPr="00321B46" w14:paraId="0274D3F3" w14:textId="77777777" w:rsidTr="00CE0D74">
        <w:tc>
          <w:tcPr>
            <w:tcW w:w="6204" w:type="dxa"/>
          </w:tcPr>
          <w:p w14:paraId="23406034" w14:textId="77777777" w:rsidR="00CE0D74" w:rsidRPr="00321B46" w:rsidRDefault="00CE0D74" w:rsidP="00CE0D74">
            <w:pPr>
              <w:spacing w:before="0" w:after="0"/>
              <w:rPr>
                <w:sz w:val="22"/>
              </w:rPr>
            </w:pPr>
            <w:r w:rsidRPr="00321B46">
              <w:rPr>
                <w:sz w:val="22"/>
              </w:rPr>
              <w:t>Respuesta a solicitudes de modificación</w:t>
            </w:r>
          </w:p>
        </w:tc>
        <w:tc>
          <w:tcPr>
            <w:tcW w:w="1842" w:type="dxa"/>
            <w:vAlign w:val="center"/>
          </w:tcPr>
          <w:p w14:paraId="77B7828E" w14:textId="77777777" w:rsidR="00CE0D74" w:rsidRPr="00321B46" w:rsidRDefault="00CE0D74" w:rsidP="00CE0D74">
            <w:pPr>
              <w:spacing w:before="0" w:after="0"/>
              <w:jc w:val="center"/>
              <w:rPr>
                <w:sz w:val="22"/>
              </w:rPr>
            </w:pPr>
            <w:r w:rsidRPr="00321B46">
              <w:rPr>
                <w:sz w:val="22"/>
              </w:rPr>
              <w:t>CND</w:t>
            </w:r>
          </w:p>
        </w:tc>
        <w:tc>
          <w:tcPr>
            <w:tcW w:w="1449" w:type="dxa"/>
            <w:vAlign w:val="center"/>
          </w:tcPr>
          <w:p w14:paraId="56186F5B" w14:textId="77777777" w:rsidR="00CE0D74" w:rsidRPr="00321B46" w:rsidRDefault="00CE0D74" w:rsidP="00CE0D74">
            <w:pPr>
              <w:spacing w:before="0" w:after="0"/>
              <w:jc w:val="center"/>
              <w:rPr>
                <w:sz w:val="22"/>
              </w:rPr>
            </w:pPr>
            <w:r w:rsidRPr="00321B46">
              <w:rPr>
                <w:sz w:val="22"/>
              </w:rPr>
              <w:t>72</w:t>
            </w:r>
          </w:p>
        </w:tc>
      </w:tr>
    </w:tbl>
    <w:p w14:paraId="56F3B53E" w14:textId="77777777" w:rsidR="00CE0D74" w:rsidRPr="00321B46" w:rsidRDefault="00CE0D74" w:rsidP="00CE0D74">
      <w:r w:rsidRPr="00321B46">
        <w:t xml:space="preserve">El CND precisará, en su página </w:t>
      </w:r>
      <w:r w:rsidR="009F6482" w:rsidRPr="00321B46">
        <w:t>web</w:t>
      </w:r>
      <w:r w:rsidRPr="00321B46">
        <w:t>, mayores plazos para el “Ingreso de reporte de eventos” de aquellos ocasionados por catástrofes naturales o por actos de terrorismo y para los que causen desatención de la demanda de energía cuya magnitud sea superior al 10% de la demanda del SIN.</w:t>
      </w:r>
    </w:p>
    <w:p w14:paraId="5E7CEC8E" w14:textId="77777777" w:rsidR="00CE0D74" w:rsidRPr="00321B46" w:rsidRDefault="00CE0D74" w:rsidP="00BF7220">
      <w:pPr>
        <w:pStyle w:val="Ttulo2"/>
      </w:pPr>
      <w:bookmarkStart w:id="287" w:name="_Ref185756700"/>
      <w:bookmarkStart w:id="288" w:name="_Ref185761747"/>
      <w:bookmarkStart w:id="289" w:name="_Toc195670134"/>
      <w:bookmarkStart w:id="290" w:name="_Toc195686827"/>
      <w:bookmarkStart w:id="291" w:name="_Toc195781005"/>
      <w:bookmarkStart w:id="292" w:name="_Toc210616093"/>
      <w:bookmarkStart w:id="293" w:name="_Ref403629136"/>
      <w:bookmarkStart w:id="294" w:name="_Toc404020412"/>
      <w:bookmarkStart w:id="295" w:name="_Toc409016116"/>
      <w:bookmarkStart w:id="296" w:name="_Toc466392655"/>
      <w:r w:rsidRPr="00321B46">
        <w:t>M</w:t>
      </w:r>
      <w:r w:rsidR="00082E7E" w:rsidRPr="00321B46">
        <w:t>áximas horas anuales de indisponibilidad</w:t>
      </w:r>
      <w:bookmarkEnd w:id="287"/>
      <w:bookmarkEnd w:id="288"/>
      <w:bookmarkEnd w:id="289"/>
      <w:bookmarkEnd w:id="290"/>
      <w:bookmarkEnd w:id="291"/>
      <w:bookmarkEnd w:id="292"/>
      <w:bookmarkEnd w:id="293"/>
      <w:bookmarkEnd w:id="294"/>
      <w:bookmarkEnd w:id="295"/>
      <w:bookmarkEnd w:id="296"/>
    </w:p>
    <w:p w14:paraId="798BFD0B" w14:textId="77777777" w:rsidR="00CE0D74" w:rsidRPr="00321B46" w:rsidRDefault="00CE0D74" w:rsidP="00CE0D74">
      <w:pPr>
        <w:rPr>
          <w:rFonts w:cs="Arial"/>
        </w:rPr>
      </w:pPr>
      <w:r w:rsidRPr="00321B46">
        <w:rPr>
          <w:rFonts w:cs="Arial"/>
        </w:rPr>
        <w:t>Los siguientes grupos de activos utilizados en la actividad de transmisión no deberán superar, en una ventana móvil de doce meses, el número de máximas horas anuales de indisponibilidad, MHAI, que se definen para los grupos de activos identificados en la siguiente tabla:</w:t>
      </w:r>
    </w:p>
    <w:p w14:paraId="69F97196" w14:textId="7848FB0F" w:rsidR="00011802" w:rsidRPr="00321B46" w:rsidRDefault="00011802" w:rsidP="00011802">
      <w:pPr>
        <w:pStyle w:val="Descripcin"/>
      </w:pPr>
      <w:bookmarkStart w:id="297" w:name="_Ref406594548"/>
      <w:r w:rsidRPr="00321B46">
        <w:t xml:space="preserve">Tabla </w:t>
      </w:r>
      <w:r w:rsidRPr="00321B46">
        <w:fldChar w:fldCharType="begin"/>
      </w:r>
      <w:r w:rsidRPr="00321B46">
        <w:instrText xml:space="preserve"> SEQ Tabla \* ARABIC </w:instrText>
      </w:r>
      <w:r w:rsidRPr="00321B46">
        <w:fldChar w:fldCharType="separate"/>
      </w:r>
      <w:r w:rsidR="000F355F">
        <w:rPr>
          <w:noProof/>
        </w:rPr>
        <w:t>6</w:t>
      </w:r>
      <w:r w:rsidRPr="00321B46">
        <w:fldChar w:fldCharType="end"/>
      </w:r>
      <w:bookmarkEnd w:id="297"/>
      <w:r w:rsidRPr="00321B46">
        <w:t xml:space="preserve"> Máximas horas anuales de indisponibilidad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061"/>
        <w:gridCol w:w="1809"/>
      </w:tblGrid>
      <w:tr w:rsidR="00CE0D74" w:rsidRPr="00321B46" w14:paraId="0788EC4D" w14:textId="77777777" w:rsidTr="003276B5">
        <w:trPr>
          <w:cantSplit/>
          <w:trHeight w:val="519"/>
          <w:tblHeader/>
          <w:jc w:val="center"/>
        </w:trPr>
        <w:tc>
          <w:tcPr>
            <w:tcW w:w="6061" w:type="dxa"/>
            <w:vAlign w:val="center"/>
          </w:tcPr>
          <w:p w14:paraId="0A7779B3" w14:textId="77777777" w:rsidR="00CE0D74" w:rsidRPr="00321B46" w:rsidRDefault="00CE0D74" w:rsidP="00CE0D74">
            <w:pPr>
              <w:keepNext/>
              <w:adjustRightInd w:val="0"/>
              <w:snapToGrid w:val="0"/>
              <w:spacing w:before="0" w:after="0"/>
              <w:ind w:right="425"/>
              <w:jc w:val="center"/>
              <w:textAlignment w:val="baseline"/>
              <w:rPr>
                <w:rFonts w:cs="Arial"/>
                <w:b/>
              </w:rPr>
            </w:pPr>
            <w:r w:rsidRPr="00321B46">
              <w:rPr>
                <w:rFonts w:cs="Arial"/>
                <w:b/>
              </w:rPr>
              <w:t>Grupos de Activos</w:t>
            </w:r>
          </w:p>
        </w:tc>
        <w:tc>
          <w:tcPr>
            <w:tcW w:w="1809" w:type="dxa"/>
            <w:vAlign w:val="center"/>
          </w:tcPr>
          <w:p w14:paraId="24846E51" w14:textId="77777777" w:rsidR="00CE0D74" w:rsidRPr="00321B46" w:rsidRDefault="00CE0D74" w:rsidP="00CE0D74">
            <w:pPr>
              <w:keepNext/>
              <w:adjustRightInd w:val="0"/>
              <w:snapToGrid w:val="0"/>
              <w:spacing w:before="0" w:after="0"/>
              <w:ind w:right="425"/>
              <w:jc w:val="center"/>
              <w:textAlignment w:val="baseline"/>
              <w:rPr>
                <w:rFonts w:cs="Arial"/>
                <w:b/>
              </w:rPr>
            </w:pPr>
            <w:r w:rsidRPr="00321B46">
              <w:rPr>
                <w:rFonts w:cs="Arial"/>
                <w:b/>
              </w:rPr>
              <w:t>MHAI</w:t>
            </w:r>
          </w:p>
        </w:tc>
      </w:tr>
      <w:tr w:rsidR="00CE0D74" w:rsidRPr="00321B46" w14:paraId="7839F911" w14:textId="77777777" w:rsidTr="003276B5">
        <w:trPr>
          <w:jc w:val="center"/>
        </w:trPr>
        <w:tc>
          <w:tcPr>
            <w:tcW w:w="6061" w:type="dxa"/>
          </w:tcPr>
          <w:p w14:paraId="2ADDF567" w14:textId="77777777" w:rsidR="00CE0D74" w:rsidRPr="00321B46" w:rsidRDefault="00CE0D74" w:rsidP="00CE0D74">
            <w:pPr>
              <w:keepNext/>
              <w:adjustRightInd w:val="0"/>
              <w:spacing w:before="0" w:after="0"/>
              <w:ind w:right="425"/>
              <w:textAlignment w:val="baseline"/>
              <w:rPr>
                <w:rFonts w:cs="Arial"/>
              </w:rPr>
            </w:pPr>
            <w:r w:rsidRPr="00321B46">
              <w:rPr>
                <w:rFonts w:cs="Arial"/>
              </w:rPr>
              <w:t>Transformadores</w:t>
            </w:r>
          </w:p>
        </w:tc>
        <w:tc>
          <w:tcPr>
            <w:tcW w:w="1809" w:type="dxa"/>
            <w:vAlign w:val="center"/>
          </w:tcPr>
          <w:p w14:paraId="201C496F" w14:textId="77777777" w:rsidR="00CE0D74" w:rsidRPr="00321B46" w:rsidRDefault="00CE0D74" w:rsidP="00CE0D74">
            <w:pPr>
              <w:keepNext/>
              <w:adjustRightInd w:val="0"/>
              <w:spacing w:before="0" w:after="0"/>
              <w:ind w:right="425"/>
              <w:jc w:val="center"/>
              <w:textAlignment w:val="baseline"/>
              <w:rPr>
                <w:rFonts w:cs="Arial"/>
              </w:rPr>
            </w:pPr>
            <w:r w:rsidRPr="00321B46">
              <w:rPr>
                <w:rFonts w:cs="Arial"/>
              </w:rPr>
              <w:t>55</w:t>
            </w:r>
          </w:p>
        </w:tc>
      </w:tr>
      <w:tr w:rsidR="00CE0D74" w:rsidRPr="00321B46" w14:paraId="09A9FB44" w14:textId="77777777" w:rsidTr="003276B5">
        <w:trPr>
          <w:jc w:val="center"/>
        </w:trPr>
        <w:tc>
          <w:tcPr>
            <w:tcW w:w="6061" w:type="dxa"/>
          </w:tcPr>
          <w:p w14:paraId="631507E5" w14:textId="77777777" w:rsidR="00CE0D74" w:rsidRPr="00321B46" w:rsidRDefault="00CE0D74" w:rsidP="003276B5">
            <w:pPr>
              <w:adjustRightInd w:val="0"/>
              <w:spacing w:before="0" w:after="0"/>
              <w:ind w:right="425"/>
              <w:textAlignment w:val="baseline"/>
              <w:rPr>
                <w:rFonts w:cs="Arial"/>
              </w:rPr>
            </w:pPr>
            <w:r w:rsidRPr="00321B46">
              <w:rPr>
                <w:rFonts w:cs="Arial"/>
              </w:rPr>
              <w:t>Bahías de transformadores de conexión al STN</w:t>
            </w:r>
          </w:p>
        </w:tc>
        <w:tc>
          <w:tcPr>
            <w:tcW w:w="1809" w:type="dxa"/>
            <w:vAlign w:val="center"/>
          </w:tcPr>
          <w:p w14:paraId="38DCCCCF" w14:textId="77777777" w:rsidR="00CE0D74" w:rsidRPr="00321B46" w:rsidRDefault="00CE0D74" w:rsidP="003276B5">
            <w:pPr>
              <w:adjustRightInd w:val="0"/>
              <w:spacing w:before="0" w:after="0"/>
              <w:ind w:right="425"/>
              <w:jc w:val="center"/>
              <w:textAlignment w:val="baseline"/>
              <w:rPr>
                <w:rFonts w:cs="Arial"/>
              </w:rPr>
            </w:pPr>
            <w:r w:rsidRPr="00321B46">
              <w:rPr>
                <w:rFonts w:cs="Arial"/>
              </w:rPr>
              <w:t>15</w:t>
            </w:r>
          </w:p>
        </w:tc>
      </w:tr>
      <w:tr w:rsidR="00CE0D74" w:rsidRPr="00321B46" w14:paraId="3DC1E367" w14:textId="77777777" w:rsidTr="003276B5">
        <w:trPr>
          <w:jc w:val="center"/>
        </w:trPr>
        <w:tc>
          <w:tcPr>
            <w:tcW w:w="6061" w:type="dxa"/>
          </w:tcPr>
          <w:p w14:paraId="59191FEA" w14:textId="77777777" w:rsidR="00CE0D74" w:rsidRPr="00321B46" w:rsidRDefault="00CE0D74" w:rsidP="003276B5">
            <w:pPr>
              <w:adjustRightInd w:val="0"/>
              <w:spacing w:before="0" w:after="0"/>
              <w:ind w:right="425"/>
              <w:textAlignment w:val="baseline"/>
              <w:rPr>
                <w:rFonts w:cs="Arial"/>
              </w:rPr>
            </w:pPr>
            <w:r w:rsidRPr="00321B46">
              <w:rPr>
                <w:rFonts w:cs="Arial"/>
              </w:rPr>
              <w:t>Equipo de compensación</w:t>
            </w:r>
          </w:p>
        </w:tc>
        <w:tc>
          <w:tcPr>
            <w:tcW w:w="1809" w:type="dxa"/>
            <w:vAlign w:val="center"/>
          </w:tcPr>
          <w:p w14:paraId="33EA4766" w14:textId="77777777" w:rsidR="00CE0D74" w:rsidRPr="00321B46" w:rsidRDefault="00CE0D74" w:rsidP="003276B5">
            <w:pPr>
              <w:adjustRightInd w:val="0"/>
              <w:spacing w:before="0" w:after="0"/>
              <w:ind w:right="425"/>
              <w:jc w:val="center"/>
              <w:textAlignment w:val="baseline"/>
              <w:rPr>
                <w:rFonts w:cs="Arial"/>
              </w:rPr>
            </w:pPr>
            <w:r w:rsidRPr="00321B46">
              <w:rPr>
                <w:rFonts w:cs="Arial"/>
              </w:rPr>
              <w:t>18</w:t>
            </w:r>
          </w:p>
        </w:tc>
      </w:tr>
      <w:tr w:rsidR="00CE0D74" w:rsidRPr="00321B46" w14:paraId="0ED4ECB0" w14:textId="77777777" w:rsidTr="003276B5">
        <w:trPr>
          <w:trHeight w:val="247"/>
          <w:jc w:val="center"/>
        </w:trPr>
        <w:tc>
          <w:tcPr>
            <w:tcW w:w="6061" w:type="dxa"/>
          </w:tcPr>
          <w:p w14:paraId="523DCDF8" w14:textId="77777777" w:rsidR="00CE0D74" w:rsidRPr="00321B46" w:rsidRDefault="00CE0D74" w:rsidP="003276B5">
            <w:pPr>
              <w:adjustRightInd w:val="0"/>
              <w:spacing w:before="0" w:after="0"/>
              <w:ind w:right="425"/>
              <w:textAlignment w:val="baseline"/>
              <w:rPr>
                <w:rFonts w:cs="Arial"/>
              </w:rPr>
            </w:pPr>
            <w:r w:rsidRPr="00321B46">
              <w:rPr>
                <w:rFonts w:cs="Arial"/>
              </w:rPr>
              <w:t>Línea</w:t>
            </w:r>
          </w:p>
        </w:tc>
        <w:tc>
          <w:tcPr>
            <w:tcW w:w="1809" w:type="dxa"/>
            <w:vAlign w:val="center"/>
          </w:tcPr>
          <w:p w14:paraId="28137DFC" w14:textId="77777777" w:rsidR="00CE0D74" w:rsidRPr="00321B46" w:rsidRDefault="00CE0D74" w:rsidP="003276B5">
            <w:pPr>
              <w:adjustRightInd w:val="0"/>
              <w:spacing w:before="0" w:after="0"/>
              <w:ind w:right="425"/>
              <w:jc w:val="center"/>
              <w:textAlignment w:val="baseline"/>
              <w:rPr>
                <w:rFonts w:cs="Arial"/>
              </w:rPr>
            </w:pPr>
            <w:r w:rsidRPr="00321B46">
              <w:rPr>
                <w:rFonts w:cs="Arial"/>
              </w:rPr>
              <w:t>34</w:t>
            </w:r>
          </w:p>
        </w:tc>
      </w:tr>
      <w:tr w:rsidR="00D2196A" w:rsidRPr="00321B46" w14:paraId="57B4620D" w14:textId="77777777" w:rsidTr="003276B5">
        <w:trPr>
          <w:jc w:val="center"/>
        </w:trPr>
        <w:tc>
          <w:tcPr>
            <w:tcW w:w="6061" w:type="dxa"/>
          </w:tcPr>
          <w:p w14:paraId="15E270F9" w14:textId="45EEB9B2" w:rsidR="00D2196A" w:rsidRPr="00321B46" w:rsidRDefault="00D2196A" w:rsidP="003276B5">
            <w:pPr>
              <w:adjustRightInd w:val="0"/>
              <w:spacing w:before="0" w:after="0"/>
              <w:ind w:right="425"/>
              <w:textAlignment w:val="baseline"/>
              <w:rPr>
                <w:rFonts w:cs="Arial"/>
              </w:rPr>
            </w:pPr>
            <w:r w:rsidRPr="00321B46">
              <w:rPr>
                <w:rFonts w:cs="Arial"/>
                <w:sz w:val="22"/>
              </w:rPr>
              <w:t>Barraje sin bahías de maniobra</w:t>
            </w:r>
          </w:p>
        </w:tc>
        <w:tc>
          <w:tcPr>
            <w:tcW w:w="1809" w:type="dxa"/>
            <w:vAlign w:val="center"/>
          </w:tcPr>
          <w:p w14:paraId="2B14CACA" w14:textId="19B32D2E" w:rsidR="00D2196A" w:rsidRPr="00321B46" w:rsidRDefault="00D2196A" w:rsidP="003276B5">
            <w:pPr>
              <w:adjustRightInd w:val="0"/>
              <w:spacing w:before="0" w:after="0"/>
              <w:ind w:right="425"/>
              <w:jc w:val="center"/>
              <w:textAlignment w:val="baseline"/>
              <w:rPr>
                <w:rFonts w:cs="Arial"/>
              </w:rPr>
            </w:pPr>
            <w:r w:rsidRPr="00321B46">
              <w:rPr>
                <w:rFonts w:cs="Arial"/>
              </w:rPr>
              <w:t>15</w:t>
            </w:r>
          </w:p>
        </w:tc>
      </w:tr>
      <w:tr w:rsidR="00CE0D74" w:rsidRPr="00321B46" w14:paraId="09AD3DFD" w14:textId="77777777" w:rsidTr="003276B5">
        <w:trPr>
          <w:jc w:val="center"/>
        </w:trPr>
        <w:tc>
          <w:tcPr>
            <w:tcW w:w="6061" w:type="dxa"/>
          </w:tcPr>
          <w:p w14:paraId="1988E200" w14:textId="50A0428A" w:rsidR="00CE0D74" w:rsidRPr="00321B46" w:rsidRDefault="00D2196A" w:rsidP="003276B5">
            <w:pPr>
              <w:adjustRightInd w:val="0"/>
              <w:spacing w:before="0" w:after="0"/>
              <w:ind w:right="425"/>
              <w:textAlignment w:val="baseline"/>
              <w:rPr>
                <w:rFonts w:cs="Arial"/>
              </w:rPr>
            </w:pPr>
            <w:r w:rsidRPr="00321B46">
              <w:rPr>
                <w:rFonts w:cs="Arial"/>
                <w:sz w:val="22"/>
              </w:rPr>
              <w:t>Barraje con bahías de maniobra</w:t>
            </w:r>
          </w:p>
        </w:tc>
        <w:tc>
          <w:tcPr>
            <w:tcW w:w="1809" w:type="dxa"/>
            <w:vAlign w:val="center"/>
          </w:tcPr>
          <w:p w14:paraId="3352C71C" w14:textId="77777777" w:rsidR="00CE0D74" w:rsidRPr="00321B46" w:rsidRDefault="00CE0D74" w:rsidP="003276B5">
            <w:pPr>
              <w:adjustRightInd w:val="0"/>
              <w:spacing w:before="0" w:after="0"/>
              <w:ind w:right="425"/>
              <w:jc w:val="center"/>
              <w:textAlignment w:val="baseline"/>
              <w:rPr>
                <w:rFonts w:cs="Arial"/>
              </w:rPr>
            </w:pPr>
            <w:r w:rsidRPr="00321B46">
              <w:rPr>
                <w:rFonts w:cs="Arial"/>
              </w:rPr>
              <w:t>30</w:t>
            </w:r>
          </w:p>
        </w:tc>
      </w:tr>
      <w:tr w:rsidR="00CE0D74" w:rsidRPr="00321B46" w14:paraId="0072A2F0" w14:textId="77777777" w:rsidTr="003276B5">
        <w:trPr>
          <w:jc w:val="center"/>
        </w:trPr>
        <w:tc>
          <w:tcPr>
            <w:tcW w:w="6061" w:type="dxa"/>
          </w:tcPr>
          <w:p w14:paraId="562FCAF5" w14:textId="77777777" w:rsidR="00CE0D74" w:rsidRPr="00321B46" w:rsidRDefault="00CE0D74" w:rsidP="003276B5">
            <w:pPr>
              <w:adjustRightInd w:val="0"/>
              <w:spacing w:before="0" w:after="0"/>
              <w:ind w:right="425"/>
              <w:textAlignment w:val="baseline"/>
              <w:rPr>
                <w:rFonts w:cs="Arial"/>
              </w:rPr>
            </w:pPr>
            <w:r w:rsidRPr="00321B46">
              <w:rPr>
                <w:rFonts w:cs="Arial"/>
              </w:rPr>
              <w:t>SVC</w:t>
            </w:r>
          </w:p>
        </w:tc>
        <w:tc>
          <w:tcPr>
            <w:tcW w:w="1809" w:type="dxa"/>
            <w:vAlign w:val="center"/>
          </w:tcPr>
          <w:p w14:paraId="0289EDC0" w14:textId="2F259B39" w:rsidR="00CE0D74" w:rsidRPr="00321B46" w:rsidRDefault="00D2196A" w:rsidP="003276B5">
            <w:pPr>
              <w:adjustRightInd w:val="0"/>
              <w:spacing w:before="0" w:after="0"/>
              <w:ind w:right="425"/>
              <w:jc w:val="center"/>
              <w:textAlignment w:val="baseline"/>
              <w:rPr>
                <w:rFonts w:cs="Arial"/>
              </w:rPr>
            </w:pPr>
            <w:r w:rsidRPr="00321B46">
              <w:rPr>
                <w:rFonts w:cs="Arial"/>
              </w:rPr>
              <w:t>7</w:t>
            </w:r>
            <w:r w:rsidR="00CE0D74" w:rsidRPr="00321B46">
              <w:rPr>
                <w:rFonts w:cs="Arial"/>
              </w:rPr>
              <w:t>5</w:t>
            </w:r>
          </w:p>
        </w:tc>
      </w:tr>
      <w:tr w:rsidR="00CE0D74" w:rsidRPr="00321B46" w14:paraId="7B6182C6" w14:textId="77777777" w:rsidTr="003276B5">
        <w:trPr>
          <w:jc w:val="center"/>
        </w:trPr>
        <w:tc>
          <w:tcPr>
            <w:tcW w:w="6061" w:type="dxa"/>
          </w:tcPr>
          <w:p w14:paraId="48E18FE8" w14:textId="77777777" w:rsidR="00CE0D74" w:rsidRPr="00321B46" w:rsidRDefault="00CE0D74" w:rsidP="003276B5">
            <w:pPr>
              <w:adjustRightInd w:val="0"/>
              <w:spacing w:before="0" w:after="0"/>
              <w:ind w:right="425"/>
              <w:textAlignment w:val="baseline"/>
              <w:rPr>
                <w:rFonts w:cs="Arial"/>
              </w:rPr>
            </w:pPr>
            <w:r w:rsidRPr="00321B46">
              <w:rPr>
                <w:rFonts w:cs="Arial"/>
              </w:rPr>
              <w:t>STATCOM</w:t>
            </w:r>
          </w:p>
        </w:tc>
        <w:tc>
          <w:tcPr>
            <w:tcW w:w="1809" w:type="dxa"/>
            <w:vAlign w:val="center"/>
          </w:tcPr>
          <w:p w14:paraId="105A8308" w14:textId="77777777" w:rsidR="00CE0D74" w:rsidRPr="00321B46" w:rsidRDefault="00CE0D74" w:rsidP="003276B5">
            <w:pPr>
              <w:adjustRightInd w:val="0"/>
              <w:spacing w:before="0" w:after="0"/>
              <w:ind w:right="425"/>
              <w:jc w:val="center"/>
              <w:textAlignment w:val="baseline"/>
              <w:rPr>
                <w:rFonts w:cs="Arial"/>
              </w:rPr>
            </w:pPr>
            <w:r w:rsidRPr="00321B46">
              <w:rPr>
                <w:rFonts w:cs="Arial"/>
              </w:rPr>
              <w:t>75</w:t>
            </w:r>
          </w:p>
        </w:tc>
      </w:tr>
      <w:tr w:rsidR="00CE0D74" w:rsidRPr="00321B46" w14:paraId="464B8CDB" w14:textId="77777777" w:rsidTr="003276B5">
        <w:trPr>
          <w:jc w:val="center"/>
        </w:trPr>
        <w:tc>
          <w:tcPr>
            <w:tcW w:w="6061" w:type="dxa"/>
          </w:tcPr>
          <w:p w14:paraId="66E2E0F6" w14:textId="77777777" w:rsidR="00CE0D74" w:rsidRPr="00321B46" w:rsidRDefault="00CE0D74" w:rsidP="003276B5">
            <w:pPr>
              <w:adjustRightInd w:val="0"/>
              <w:spacing w:before="0" w:after="0"/>
              <w:ind w:right="425"/>
              <w:textAlignment w:val="baseline"/>
              <w:rPr>
                <w:rFonts w:cs="Arial"/>
              </w:rPr>
            </w:pPr>
            <w:r w:rsidRPr="00321B46">
              <w:rPr>
                <w:rFonts w:cs="Arial"/>
              </w:rPr>
              <w:t>Comunicaciones</w:t>
            </w:r>
          </w:p>
        </w:tc>
        <w:tc>
          <w:tcPr>
            <w:tcW w:w="1809" w:type="dxa"/>
            <w:vAlign w:val="center"/>
          </w:tcPr>
          <w:p w14:paraId="28DD2119" w14:textId="77777777" w:rsidR="00CE0D74" w:rsidRPr="00321B46" w:rsidRDefault="00CE0D74" w:rsidP="003276B5">
            <w:pPr>
              <w:adjustRightInd w:val="0"/>
              <w:spacing w:before="0" w:after="0"/>
              <w:ind w:right="425"/>
              <w:jc w:val="center"/>
              <w:textAlignment w:val="baseline"/>
              <w:rPr>
                <w:rFonts w:cs="Arial"/>
              </w:rPr>
            </w:pPr>
            <w:r w:rsidRPr="00321B46">
              <w:rPr>
                <w:rFonts w:cs="Arial"/>
              </w:rPr>
              <w:t>10</w:t>
            </w:r>
          </w:p>
        </w:tc>
      </w:tr>
    </w:tbl>
    <w:p w14:paraId="5B67800E" w14:textId="6D2C2F93" w:rsidR="00CE0D74" w:rsidRPr="00321B46" w:rsidRDefault="004D1762" w:rsidP="00CE0D74">
      <w:pPr>
        <w:rPr>
          <w:rFonts w:cs="Arial"/>
        </w:rPr>
      </w:pPr>
      <w:r w:rsidRPr="00321B46">
        <w:t xml:space="preserve">Para </w:t>
      </w:r>
      <w:r w:rsidR="00D2196A" w:rsidRPr="00321B46">
        <w:t>el grupo de activos de barraje se diferencian las máximas horas permitidas para barrajes que cuentan con bahías de maniobra y para barrajes que no cuentan con estas.</w:t>
      </w:r>
      <w:r w:rsidR="00CE0D74" w:rsidRPr="00321B46" w:rsidDel="0073498F">
        <w:rPr>
          <w:rFonts w:cs="Arial"/>
        </w:rPr>
        <w:t xml:space="preserve"> </w:t>
      </w:r>
    </w:p>
    <w:p w14:paraId="2CA87267" w14:textId="77777777" w:rsidR="00CE0D74" w:rsidRPr="00321B46" w:rsidRDefault="00CE0D74" w:rsidP="00CE0D74">
      <w:pPr>
        <w:rPr>
          <w:rFonts w:cs="Arial"/>
        </w:rPr>
      </w:pPr>
      <w:r w:rsidRPr="00321B46">
        <w:rPr>
          <w:rFonts w:cs="Arial"/>
        </w:rPr>
        <w:t>El máximo permitido se debe comparar con la suma de las indisponi</w:t>
      </w:r>
      <w:r w:rsidRPr="00321B46">
        <w:rPr>
          <w:rFonts w:cs="Arial"/>
        </w:rPr>
        <w:softHyphen/>
        <w:t>bilidades de los activos que hacen parte del grupo de activos. En subestaciones con configuración de interruptor y medio hacen parte del grupo de activos tanto el interruptor del lado del barraje como el corte central. En subestaciones con configuración en anillo hacen parte del grupo de activos los dos interruptores relacionados con el respectivo activo. Para las subestaciones con estas dos configuraciones se requiere que los activos estén siendo remunerados en la actividad de transmisión.</w:t>
      </w:r>
    </w:p>
    <w:p w14:paraId="1ED5DCB9" w14:textId="77777777" w:rsidR="00CE0D74" w:rsidRPr="00321B46" w:rsidRDefault="00CE0D74" w:rsidP="00BF7220">
      <w:pPr>
        <w:pStyle w:val="Ttulo2"/>
      </w:pPr>
      <w:bookmarkStart w:id="298" w:name="_Ref184806792"/>
      <w:bookmarkStart w:id="299" w:name="_Toc195670135"/>
      <w:bookmarkStart w:id="300" w:name="_Toc195686828"/>
      <w:bookmarkStart w:id="301" w:name="_Toc195781006"/>
      <w:bookmarkStart w:id="302" w:name="_Toc210616094"/>
      <w:bookmarkStart w:id="303" w:name="_Toc404020413"/>
      <w:bookmarkStart w:id="304" w:name="_Toc409016117"/>
      <w:bookmarkStart w:id="305" w:name="_Toc466392656"/>
      <w:r w:rsidRPr="00321B46">
        <w:t>A</w:t>
      </w:r>
      <w:r w:rsidR="00082E7E" w:rsidRPr="00321B46">
        <w:t>juste de máximas horas de indisponibilidad</w:t>
      </w:r>
      <w:bookmarkEnd w:id="298"/>
      <w:bookmarkEnd w:id="299"/>
      <w:bookmarkEnd w:id="300"/>
      <w:bookmarkEnd w:id="301"/>
      <w:bookmarkEnd w:id="302"/>
      <w:bookmarkEnd w:id="303"/>
      <w:bookmarkEnd w:id="304"/>
      <w:bookmarkEnd w:id="305"/>
      <w:r w:rsidR="00082E7E" w:rsidRPr="00321B46">
        <w:t xml:space="preserve"> </w:t>
      </w:r>
    </w:p>
    <w:p w14:paraId="0D8170D0" w14:textId="77777777" w:rsidR="00CE0D74" w:rsidRPr="00321B46" w:rsidRDefault="00CE0D74" w:rsidP="00CE0D74">
      <w:pPr>
        <w:rPr>
          <w:rFonts w:cs="Arial"/>
        </w:rPr>
      </w:pPr>
      <w:r w:rsidRPr="00321B46">
        <w:rPr>
          <w:rFonts w:cs="Arial"/>
        </w:rPr>
        <w:t>Para cada grupo de activos, las máximas horas anuales de indisponibilidad se reducirán en 0,5 horas cada vez que se presente alguna de estas situaciones: i) consignación de emergencia solicitada, ii) modificación al programa trimestral de consignaciones o mantenimientos, iii) retraso en reporte de eventos de cualquiera de los activos que conforman el grupo. El CND calculará mensualmente la meta ajustada, de acuerdo con la siguiente fórmula:</w:t>
      </w:r>
    </w:p>
    <w:p w14:paraId="39D1999B" w14:textId="77777777" w:rsidR="00CE0D74" w:rsidRPr="00321B46" w:rsidRDefault="00651802" w:rsidP="00CE0D74">
      <w:pPr>
        <w:rPr>
          <w:rFonts w:cs="Arial"/>
        </w:rPr>
      </w:pPr>
      <m:oMathPara>
        <m:oMathParaPr>
          <m:jc m:val="center"/>
        </m:oMathParaPr>
        <m:oMath>
          <m:sSub>
            <m:sSubPr>
              <m:ctrlPr>
                <w:rPr>
                  <w:rFonts w:ascii="Cambria Math" w:hAnsi="Cambria Math" w:cs="Arial"/>
                  <w:i/>
                </w:rPr>
              </m:ctrlPr>
            </m:sSubPr>
            <m:e>
              <m:r>
                <w:rPr>
                  <w:rFonts w:ascii="Cambria Math" w:hAnsi="Cambria Math" w:cs="Arial"/>
                </w:rPr>
                <m:t>MHAIA</m:t>
              </m:r>
            </m:e>
            <m:sub>
              <m:r>
                <w:rPr>
                  <w:rFonts w:ascii="Cambria Math" w:hAnsi="Cambria Math" w:cs="Arial"/>
                </w:rPr>
                <m:t>m,gu</m:t>
              </m:r>
            </m:sub>
          </m:sSub>
          <m:r>
            <w:rPr>
              <w:rFonts w:ascii="Cambria Math" w:hAnsi="Cambria Math" w:cs="Arial"/>
            </w:rPr>
            <m:t>=</m:t>
          </m:r>
          <m:sSub>
            <m:sSubPr>
              <m:ctrlPr>
                <w:rPr>
                  <w:rFonts w:ascii="Cambria Math" w:hAnsi="Cambria Math" w:cs="Arial"/>
                  <w:i/>
                </w:rPr>
              </m:ctrlPr>
            </m:sSubPr>
            <m:e>
              <m:r>
                <w:rPr>
                  <w:rFonts w:ascii="Cambria Math" w:hAnsi="Cambria Math" w:cs="Arial"/>
                </w:rPr>
                <m:t>MHAI</m:t>
              </m:r>
            </m:e>
            <m:sub>
              <m:r>
                <w:rPr>
                  <w:rFonts w:ascii="Cambria Math" w:hAnsi="Cambria Math" w:cs="Arial"/>
                </w:rPr>
                <m:t>gu</m:t>
              </m:r>
            </m:sub>
          </m:sSub>
          <m:r>
            <w:rPr>
              <w:rFonts w:ascii="Cambria Math" w:hAnsi="Cambria Math" w:cs="Arial"/>
            </w:rPr>
            <m:t>-0,5*</m:t>
          </m:r>
          <m:d>
            <m:dPr>
              <m:ctrlPr>
                <w:rPr>
                  <w:rFonts w:ascii="Cambria Math" w:hAnsi="Cambria Math" w:cs="Arial"/>
                  <w:i/>
                </w:rPr>
              </m:ctrlPr>
            </m:dPr>
            <m:e>
              <m:nary>
                <m:naryPr>
                  <m:chr m:val="∑"/>
                  <m:limLoc m:val="undOvr"/>
                  <m:ctrlPr>
                    <w:rPr>
                      <w:rFonts w:ascii="Cambria Math" w:hAnsi="Cambria Math" w:cs="Arial"/>
                      <w:i/>
                    </w:rPr>
                  </m:ctrlPr>
                </m:naryPr>
                <m:sub>
                  <m:r>
                    <w:rPr>
                      <w:rFonts w:ascii="Cambria Math" w:hAnsi="Cambria Math" w:cs="Arial"/>
                    </w:rPr>
                    <m:t>u=1</m:t>
                  </m:r>
                </m:sub>
                <m:sup>
                  <m:r>
                    <w:rPr>
                      <w:rFonts w:ascii="Cambria Math" w:hAnsi="Cambria Math" w:cs="Arial"/>
                    </w:rPr>
                    <m:t>NGU</m:t>
                  </m:r>
                </m:sup>
                <m:e>
                  <m:sSub>
                    <m:sSubPr>
                      <m:ctrlPr>
                        <w:rPr>
                          <w:rFonts w:ascii="Cambria Math" w:hAnsi="Cambria Math" w:cs="Arial"/>
                          <w:i/>
                        </w:rPr>
                      </m:ctrlPr>
                    </m:sSubPr>
                    <m:e>
                      <m:r>
                        <w:rPr>
                          <w:rFonts w:ascii="Cambria Math" w:hAnsi="Cambria Math" w:cs="Arial"/>
                        </w:rPr>
                        <m:t>SCE</m:t>
                      </m:r>
                    </m:e>
                    <m:sub>
                      <m:r>
                        <w:rPr>
                          <w:rFonts w:ascii="Cambria Math" w:hAnsi="Cambria Math" w:cs="Arial"/>
                        </w:rPr>
                        <m:t>m,u</m:t>
                      </m:r>
                    </m:sub>
                  </m:sSub>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u=1</m:t>
                  </m:r>
                </m:sub>
                <m:sup>
                  <m:r>
                    <w:rPr>
                      <w:rFonts w:ascii="Cambria Math" w:hAnsi="Cambria Math" w:cs="Arial"/>
                    </w:rPr>
                    <m:t>NGU</m:t>
                  </m:r>
                </m:sup>
                <m:e>
                  <m:sSub>
                    <m:sSubPr>
                      <m:ctrlPr>
                        <w:rPr>
                          <w:rFonts w:ascii="Cambria Math" w:hAnsi="Cambria Math" w:cs="Arial"/>
                          <w:i/>
                        </w:rPr>
                      </m:ctrlPr>
                    </m:sSubPr>
                    <m:e>
                      <m:r>
                        <w:rPr>
                          <w:rFonts w:ascii="Cambria Math" w:hAnsi="Cambria Math" w:cs="Arial"/>
                        </w:rPr>
                        <m:t>CPSM</m:t>
                      </m:r>
                    </m:e>
                    <m:sub>
                      <m:r>
                        <w:rPr>
                          <w:rFonts w:ascii="Cambria Math" w:hAnsi="Cambria Math" w:cs="Arial"/>
                        </w:rPr>
                        <m:t>m,u</m:t>
                      </m:r>
                    </m:sub>
                  </m:sSub>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u=1</m:t>
                  </m:r>
                </m:sub>
                <m:sup>
                  <m:r>
                    <w:rPr>
                      <w:rFonts w:ascii="Cambria Math" w:hAnsi="Cambria Math" w:cs="Arial"/>
                    </w:rPr>
                    <m:t>NGU</m:t>
                  </m:r>
                </m:sup>
                <m:e>
                  <m:sSub>
                    <m:sSubPr>
                      <m:ctrlPr>
                        <w:rPr>
                          <w:rFonts w:ascii="Cambria Math" w:hAnsi="Cambria Math" w:cs="Arial"/>
                          <w:i/>
                        </w:rPr>
                      </m:ctrlPr>
                    </m:sSubPr>
                    <m:e>
                      <m:r>
                        <w:rPr>
                          <w:rFonts w:ascii="Cambria Math" w:hAnsi="Cambria Math" w:cs="Arial"/>
                        </w:rPr>
                        <m:t>ENR</m:t>
                      </m:r>
                    </m:e>
                    <m:sub>
                      <m:r>
                        <w:rPr>
                          <w:rFonts w:ascii="Cambria Math" w:hAnsi="Cambria Math" w:cs="Arial"/>
                        </w:rPr>
                        <m:t>m,u</m:t>
                      </m:r>
                    </m:sub>
                  </m:sSub>
                </m:e>
              </m:nary>
            </m:e>
          </m:d>
        </m:oMath>
      </m:oMathPara>
    </w:p>
    <w:p w14:paraId="38FE9212" w14:textId="77777777" w:rsidR="00CE0D74" w:rsidRPr="00321B46" w:rsidRDefault="00CE0D74" w:rsidP="00CE0D74">
      <w:pPr>
        <w:ind w:left="842" w:hanging="851"/>
        <w:rPr>
          <w:rFonts w:cs="Arial"/>
        </w:rPr>
      </w:pPr>
      <w:r w:rsidRPr="00321B46">
        <w:rPr>
          <w:rFonts w:cs="Arial"/>
        </w:rPr>
        <w:t>Donde:</w:t>
      </w:r>
    </w:p>
    <w:p w14:paraId="19369050" w14:textId="77777777" w:rsidR="00CE0D74" w:rsidRPr="00321B46" w:rsidRDefault="00CE0D74" w:rsidP="00CE0D74">
      <w:pPr>
        <w:spacing w:before="120"/>
        <w:ind w:left="1418" w:hanging="1418"/>
        <w:rPr>
          <w:rFonts w:cs="Arial"/>
        </w:rPr>
      </w:pPr>
      <w:r w:rsidRPr="00321B46">
        <w:rPr>
          <w:rFonts w:cs="Arial"/>
          <w:i/>
        </w:rPr>
        <w:t>MHAIA</w:t>
      </w:r>
      <w:r w:rsidRPr="00321B46">
        <w:rPr>
          <w:rFonts w:cs="Arial"/>
          <w:i/>
          <w:vertAlign w:val="subscript"/>
        </w:rPr>
        <w:t>m,gu</w:t>
      </w:r>
      <w:r w:rsidRPr="00321B46">
        <w:rPr>
          <w:rFonts w:cs="Arial"/>
        </w:rPr>
        <w:t>:</w:t>
      </w:r>
      <w:r w:rsidRPr="00321B46">
        <w:rPr>
          <w:rFonts w:cs="Arial"/>
        </w:rPr>
        <w:tab/>
        <w:t xml:space="preserve">Máximas horas anuales de indisponibilidad ajustadas del grupo de activos </w:t>
      </w:r>
      <w:r w:rsidRPr="00321B46">
        <w:rPr>
          <w:rFonts w:cs="Arial"/>
          <w:i/>
        </w:rPr>
        <w:t>gu</w:t>
      </w:r>
      <w:r w:rsidRPr="00321B46">
        <w:rPr>
          <w:rFonts w:cs="Arial"/>
        </w:rPr>
        <w:t xml:space="preserve">, calculadas para el mes </w:t>
      </w:r>
      <w:r w:rsidRPr="00321B46">
        <w:rPr>
          <w:rFonts w:cs="Arial"/>
          <w:i/>
        </w:rPr>
        <w:t>m</w:t>
      </w:r>
      <w:r w:rsidRPr="00321B46">
        <w:rPr>
          <w:rFonts w:cs="Arial"/>
        </w:rPr>
        <w:t>.</w:t>
      </w:r>
    </w:p>
    <w:p w14:paraId="5D4B0362" w14:textId="77777777" w:rsidR="00CE0D74" w:rsidRPr="00321B46" w:rsidRDefault="00CE0D74" w:rsidP="00CE0D74">
      <w:pPr>
        <w:spacing w:before="120"/>
        <w:ind w:left="1418" w:hanging="1418"/>
        <w:rPr>
          <w:rFonts w:cs="Arial"/>
        </w:rPr>
      </w:pPr>
      <w:r w:rsidRPr="00321B46">
        <w:rPr>
          <w:rFonts w:cs="Arial"/>
          <w:i/>
        </w:rPr>
        <w:t>MHAI</w:t>
      </w:r>
      <w:r w:rsidRPr="00321B46">
        <w:rPr>
          <w:rFonts w:cs="Arial"/>
          <w:i/>
          <w:vertAlign w:val="subscript"/>
        </w:rPr>
        <w:t>gu</w:t>
      </w:r>
      <w:r w:rsidRPr="00321B46">
        <w:rPr>
          <w:rFonts w:cs="Arial"/>
        </w:rPr>
        <w:t>:</w:t>
      </w:r>
      <w:r w:rsidRPr="00321B46">
        <w:rPr>
          <w:rFonts w:cs="Arial"/>
        </w:rPr>
        <w:tab/>
        <w:t>Máximas horas anuales de indisponibilidad del grupo de activos </w:t>
      </w:r>
      <w:r w:rsidRPr="00321B46">
        <w:rPr>
          <w:rFonts w:cs="Arial"/>
          <w:i/>
        </w:rPr>
        <w:t>gu</w:t>
      </w:r>
      <w:r w:rsidRPr="00321B46">
        <w:rPr>
          <w:rFonts w:cs="Arial"/>
        </w:rPr>
        <w:t>.</w:t>
      </w:r>
    </w:p>
    <w:p w14:paraId="21CDBAE4" w14:textId="0BB4D389" w:rsidR="00CE0D74" w:rsidRPr="00321B46" w:rsidRDefault="00CE0D74" w:rsidP="00CE0D74">
      <w:pPr>
        <w:spacing w:before="120"/>
        <w:ind w:left="1418" w:hanging="1418"/>
        <w:rPr>
          <w:rFonts w:cs="Arial"/>
          <w:i/>
        </w:rPr>
      </w:pPr>
      <w:r w:rsidRPr="00321B46">
        <w:rPr>
          <w:rFonts w:cs="Arial"/>
          <w:i/>
        </w:rPr>
        <w:t>SCE</w:t>
      </w:r>
      <w:r w:rsidRPr="00321B46">
        <w:rPr>
          <w:rFonts w:cs="Arial"/>
          <w:i/>
          <w:vertAlign w:val="subscript"/>
        </w:rPr>
        <w:t>m,u</w:t>
      </w:r>
      <w:r w:rsidRPr="00321B46">
        <w:rPr>
          <w:rFonts w:cs="Arial"/>
          <w:i/>
        </w:rPr>
        <w:t>:</w:t>
      </w:r>
      <w:r w:rsidRPr="00321B46">
        <w:rPr>
          <w:rFonts w:cs="Arial"/>
          <w:i/>
        </w:rPr>
        <w:tab/>
      </w:r>
      <w:r w:rsidRPr="00321B46">
        <w:rPr>
          <w:rFonts w:cs="Arial"/>
        </w:rPr>
        <w:t xml:space="preserve">Número acumulado de solicitudes de consignaciones de emergencia, exceptuando las excluidas, para cada uno de los activos </w:t>
      </w:r>
      <w:r w:rsidRPr="00321B46">
        <w:rPr>
          <w:rFonts w:cs="Arial"/>
          <w:i/>
        </w:rPr>
        <w:t>u</w:t>
      </w:r>
      <w:r w:rsidRPr="00321B46">
        <w:rPr>
          <w:rFonts w:cs="Arial"/>
        </w:rPr>
        <w:t xml:space="preserve"> que conforman el grupo de activos </w:t>
      </w:r>
      <w:r w:rsidRPr="00321B46">
        <w:rPr>
          <w:rFonts w:cs="Arial"/>
          <w:i/>
        </w:rPr>
        <w:t>gu</w:t>
      </w:r>
      <w:r w:rsidRPr="00321B46">
        <w:rPr>
          <w:rFonts w:cs="Arial"/>
        </w:rPr>
        <w:t xml:space="preserve"> durante una ventana móvil de doce meses que termina en el mes </w:t>
      </w:r>
      <w:r w:rsidRPr="00321B46">
        <w:rPr>
          <w:rFonts w:cs="Arial"/>
          <w:i/>
        </w:rPr>
        <w:t>m</w:t>
      </w:r>
      <w:r w:rsidRPr="00321B46">
        <w:rPr>
          <w:rFonts w:cs="Arial"/>
        </w:rPr>
        <w:t xml:space="preserve">. </w:t>
      </w:r>
    </w:p>
    <w:p w14:paraId="6C879311" w14:textId="3323E1CC" w:rsidR="00CE0D74" w:rsidRPr="00321B46" w:rsidRDefault="00CE0D74" w:rsidP="00CE0D74">
      <w:pPr>
        <w:spacing w:before="120"/>
        <w:ind w:left="1418" w:hanging="1418"/>
        <w:rPr>
          <w:rFonts w:cs="Arial"/>
          <w:i/>
        </w:rPr>
      </w:pPr>
      <w:r w:rsidRPr="00321B46">
        <w:rPr>
          <w:rFonts w:cs="Arial"/>
          <w:i/>
        </w:rPr>
        <w:t>CPSM</w:t>
      </w:r>
      <w:r w:rsidRPr="00321B46">
        <w:rPr>
          <w:rFonts w:cs="Arial"/>
          <w:i/>
          <w:vertAlign w:val="subscript"/>
        </w:rPr>
        <w:t>m,u</w:t>
      </w:r>
      <w:r w:rsidRPr="00321B46">
        <w:rPr>
          <w:rFonts w:cs="Arial"/>
          <w:i/>
        </w:rPr>
        <w:t>:</w:t>
      </w:r>
      <w:r w:rsidRPr="00321B46">
        <w:rPr>
          <w:rFonts w:cs="Arial"/>
          <w:i/>
        </w:rPr>
        <w:tab/>
      </w:r>
      <w:r w:rsidRPr="00321B46">
        <w:rPr>
          <w:rFonts w:cs="Arial"/>
        </w:rPr>
        <w:t xml:space="preserve">Número acumulado de cambios al programa trimestral de mantenimientos, exceptuando los excluidos para cada uno de los activos </w:t>
      </w:r>
      <w:r w:rsidRPr="00321B46">
        <w:rPr>
          <w:rFonts w:cs="Arial"/>
          <w:i/>
        </w:rPr>
        <w:t>u</w:t>
      </w:r>
      <w:r w:rsidRPr="00321B46">
        <w:rPr>
          <w:rFonts w:cs="Arial"/>
        </w:rPr>
        <w:t xml:space="preserve"> que conforman el grupo de activos </w:t>
      </w:r>
      <w:r w:rsidRPr="00321B46">
        <w:rPr>
          <w:rFonts w:cs="Arial"/>
          <w:i/>
        </w:rPr>
        <w:t>gu</w:t>
      </w:r>
      <w:r w:rsidRPr="00321B46">
        <w:rPr>
          <w:rFonts w:cs="Arial"/>
        </w:rPr>
        <w:t xml:space="preserve"> durante una ventana móvil de doce meses que termina en el mes </w:t>
      </w:r>
      <w:r w:rsidRPr="00321B46">
        <w:rPr>
          <w:rFonts w:cs="Arial"/>
          <w:i/>
        </w:rPr>
        <w:t>m</w:t>
      </w:r>
      <w:r w:rsidRPr="00321B46">
        <w:rPr>
          <w:rFonts w:cs="Arial"/>
        </w:rPr>
        <w:t>.</w:t>
      </w:r>
    </w:p>
    <w:p w14:paraId="2821F601" w14:textId="6D6437FE" w:rsidR="00CE0D74" w:rsidRPr="00321B46" w:rsidRDefault="00CE0D74" w:rsidP="00CE0D74">
      <w:pPr>
        <w:spacing w:before="120"/>
        <w:ind w:left="1418" w:hanging="1418"/>
        <w:rPr>
          <w:rFonts w:cs="Arial"/>
          <w:i/>
        </w:rPr>
      </w:pPr>
      <w:r w:rsidRPr="00321B46">
        <w:rPr>
          <w:rFonts w:cs="Arial"/>
          <w:i/>
        </w:rPr>
        <w:t>ENR</w:t>
      </w:r>
      <w:r w:rsidRPr="00321B46">
        <w:rPr>
          <w:rFonts w:cs="Arial"/>
          <w:i/>
          <w:vertAlign w:val="subscript"/>
        </w:rPr>
        <w:t>m,u</w:t>
      </w:r>
      <w:r w:rsidRPr="00321B46">
        <w:rPr>
          <w:rFonts w:cs="Arial"/>
          <w:i/>
        </w:rPr>
        <w:t>:</w:t>
      </w:r>
      <w:r w:rsidRPr="00321B46">
        <w:rPr>
          <w:rFonts w:cs="Arial"/>
          <w:i/>
        </w:rPr>
        <w:tab/>
      </w:r>
      <w:r w:rsidRPr="00321B46">
        <w:rPr>
          <w:rFonts w:cs="Arial"/>
        </w:rPr>
        <w:t xml:space="preserve">Número acumulado de eventos o finalización de maniobras no reportados en los plazos establecidos en esta resolución, para cada uno de los activos </w:t>
      </w:r>
      <w:r w:rsidRPr="00321B46">
        <w:rPr>
          <w:rFonts w:cs="Arial"/>
          <w:i/>
        </w:rPr>
        <w:t>u</w:t>
      </w:r>
      <w:r w:rsidRPr="00321B46">
        <w:rPr>
          <w:rFonts w:cs="Arial"/>
        </w:rPr>
        <w:t xml:space="preserve"> que conforman el grupo de activos </w:t>
      </w:r>
      <w:r w:rsidRPr="00321B46">
        <w:rPr>
          <w:rFonts w:cs="Arial"/>
          <w:i/>
        </w:rPr>
        <w:t>gu</w:t>
      </w:r>
      <w:r w:rsidRPr="00321B46">
        <w:rPr>
          <w:rFonts w:cs="Arial"/>
        </w:rPr>
        <w:t xml:space="preserve"> durante una ventana móvil de doce meses que termina en el mes </w:t>
      </w:r>
      <w:r w:rsidRPr="00321B46">
        <w:rPr>
          <w:rFonts w:cs="Arial"/>
          <w:i/>
        </w:rPr>
        <w:t>m</w:t>
      </w:r>
      <w:r w:rsidRPr="00321B46">
        <w:rPr>
          <w:rFonts w:cs="Arial"/>
        </w:rPr>
        <w:t xml:space="preserve">. </w:t>
      </w:r>
    </w:p>
    <w:p w14:paraId="39E73D89" w14:textId="77777777" w:rsidR="00CE0D74" w:rsidRPr="00321B46" w:rsidRDefault="00CE0D74" w:rsidP="00CE0D74">
      <w:pPr>
        <w:spacing w:before="0" w:after="0"/>
        <w:ind w:left="1418" w:hanging="1418"/>
        <w:rPr>
          <w:rFonts w:cs="Arial"/>
          <w:i/>
        </w:rPr>
      </w:pPr>
      <w:r w:rsidRPr="00321B46">
        <w:rPr>
          <w:rFonts w:cs="Arial"/>
          <w:i/>
        </w:rPr>
        <w:t>NGU</w:t>
      </w:r>
      <w:r w:rsidRPr="00321B46">
        <w:rPr>
          <w:rFonts w:cs="Arial"/>
        </w:rPr>
        <w:t>:</w:t>
      </w:r>
      <w:r w:rsidRPr="00321B46">
        <w:rPr>
          <w:rFonts w:cs="Arial"/>
        </w:rPr>
        <w:tab/>
        <w:t xml:space="preserve">Número de activos que conforman el grupo de activos </w:t>
      </w:r>
      <w:r w:rsidRPr="00321B46">
        <w:rPr>
          <w:rFonts w:cs="Arial"/>
          <w:i/>
        </w:rPr>
        <w:t>gu.</w:t>
      </w:r>
    </w:p>
    <w:p w14:paraId="77307AF2" w14:textId="77777777" w:rsidR="00CE0D74" w:rsidRPr="00321B46" w:rsidRDefault="00CE0D74" w:rsidP="00CE0D74">
      <w:pPr>
        <w:spacing w:before="0" w:after="0"/>
        <w:ind w:left="1418" w:hanging="1418"/>
        <w:rPr>
          <w:rFonts w:cs="Arial"/>
        </w:rPr>
      </w:pPr>
    </w:p>
    <w:p w14:paraId="19E98F60" w14:textId="77777777" w:rsidR="00CE0D74" w:rsidRPr="00321B46" w:rsidRDefault="00CE0D74" w:rsidP="00BF7220">
      <w:pPr>
        <w:pStyle w:val="Ttulo2"/>
      </w:pPr>
      <w:bookmarkStart w:id="306" w:name="_Ref185916412"/>
      <w:bookmarkStart w:id="307" w:name="_Toc195670136"/>
      <w:bookmarkStart w:id="308" w:name="_Ref195685204"/>
      <w:bookmarkStart w:id="309" w:name="_Toc195686829"/>
      <w:bookmarkStart w:id="310" w:name="_Toc195781007"/>
      <w:bookmarkStart w:id="311" w:name="_Toc210616095"/>
      <w:bookmarkStart w:id="312" w:name="_Ref403573910"/>
      <w:bookmarkStart w:id="313" w:name="_Toc404020414"/>
      <w:bookmarkStart w:id="314" w:name="_Toc409016118"/>
      <w:bookmarkStart w:id="315" w:name="_Toc466392657"/>
      <w:r w:rsidRPr="00321B46">
        <w:t>I</w:t>
      </w:r>
      <w:r w:rsidR="00082E7E" w:rsidRPr="00321B46">
        <w:t xml:space="preserve">ndisponibilidad de los activos de uso del </w:t>
      </w:r>
      <w:bookmarkEnd w:id="306"/>
      <w:r w:rsidRPr="00321B46">
        <w:t>STN</w:t>
      </w:r>
      <w:bookmarkEnd w:id="307"/>
      <w:bookmarkEnd w:id="308"/>
      <w:bookmarkEnd w:id="309"/>
      <w:bookmarkEnd w:id="310"/>
      <w:bookmarkEnd w:id="311"/>
      <w:bookmarkEnd w:id="312"/>
      <w:bookmarkEnd w:id="313"/>
      <w:bookmarkEnd w:id="314"/>
      <w:bookmarkEnd w:id="315"/>
    </w:p>
    <w:p w14:paraId="302E1A49" w14:textId="77777777" w:rsidR="00CE0D74" w:rsidRPr="00321B46" w:rsidRDefault="00CE0D74" w:rsidP="00CE0D74">
      <w:r w:rsidRPr="00321B46">
        <w:t>La duración de las indisponibilidades de los activos del STN se medirá en horas, aproximadas al segundo decimal y se agruparán por mes calendario. Un evento cuya duración pase de un mes calendario al siguiente se deberá dividir en dos eventos: uno que finaliza a las veinticuatro (24:00) horas del último día del mes calendario y otro evento que inicia a las cero (0:00) horas del primer día del nuevo mes.</w:t>
      </w:r>
    </w:p>
    <w:p w14:paraId="73B33623" w14:textId="38C4FD9E" w:rsidR="00CE0D74" w:rsidRPr="00321B46" w:rsidRDefault="00CE0D74" w:rsidP="00CE0D74">
      <w:r w:rsidRPr="00321B46">
        <w:t xml:space="preserve">Las horas de indisponibilidad de cada uno de los activos que hacen parte de los </w:t>
      </w:r>
      <w:r w:rsidRPr="00321B46">
        <w:rPr>
          <w:rFonts w:cs="Arial"/>
        </w:rPr>
        <w:t xml:space="preserve">grupos de activos </w:t>
      </w:r>
      <w:r w:rsidRPr="00321B46">
        <w:t>establecidos en este capítulo la calcula mensualmente el CND mediante la siguiente expresión:</w:t>
      </w:r>
    </w:p>
    <w:p w14:paraId="3D30D1D4" w14:textId="77777777" w:rsidR="00CE0D74" w:rsidRPr="00321B46" w:rsidRDefault="00651802" w:rsidP="00CE0D74">
      <w:pPr>
        <w:rPr>
          <w:rFonts w:cs="Arial"/>
        </w:rPr>
      </w:pPr>
      <m:oMathPara>
        <m:oMath>
          <m:sSub>
            <m:sSubPr>
              <m:ctrlPr>
                <w:rPr>
                  <w:rFonts w:ascii="Cambria Math" w:hAnsi="Cambria Math" w:cs="Arial"/>
                  <w:i/>
                </w:rPr>
              </m:ctrlPr>
            </m:sSubPr>
            <m:e>
              <m:r>
                <w:rPr>
                  <w:rFonts w:ascii="Cambria Math" w:hAnsi="Cambria Math" w:cs="Arial"/>
                </w:rPr>
                <m:t>HID</m:t>
              </m:r>
            </m:e>
            <m:sub>
              <m:r>
                <w:rPr>
                  <w:rFonts w:ascii="Cambria Math" w:hAnsi="Cambria Math" w:cs="Arial"/>
                </w:rPr>
                <m:t>m,u</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H</m:t>
                      </m:r>
                    </m:e>
                    <m:sub>
                      <m:r>
                        <w:rPr>
                          <w:rFonts w:ascii="Cambria Math" w:hAnsi="Cambria Math" w:cs="Arial"/>
                        </w:rPr>
                        <m:t>i,u</m:t>
                      </m:r>
                    </m:sub>
                  </m:sSub>
                  <m:r>
                    <w:rPr>
                      <w:rFonts w:ascii="Cambria Math" w:hAnsi="Cambria Math" w:cs="Arial"/>
                    </w:rPr>
                    <m:t>*</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CAPD</m:t>
                          </m:r>
                        </m:e>
                        <m:sub>
                          <m:r>
                            <w:rPr>
                              <w:rFonts w:ascii="Cambria Math" w:hAnsi="Cambria Math" w:cs="Arial"/>
                            </w:rPr>
                            <m:t>i,u</m:t>
                          </m:r>
                        </m:sub>
                      </m:sSub>
                    </m:e>
                  </m:d>
                </m:e>
              </m:d>
            </m:e>
          </m:nary>
        </m:oMath>
      </m:oMathPara>
    </w:p>
    <w:p w14:paraId="14EE8843" w14:textId="77777777" w:rsidR="00CE0D74" w:rsidRPr="00321B46" w:rsidRDefault="00CE0D74" w:rsidP="00CE0D74">
      <w:pPr>
        <w:rPr>
          <w:rFonts w:cs="Arial"/>
        </w:rPr>
      </w:pPr>
      <w:r w:rsidRPr="00321B46">
        <w:rPr>
          <w:rFonts w:cs="Arial"/>
        </w:rPr>
        <w:t>Donde:</w:t>
      </w:r>
    </w:p>
    <w:p w14:paraId="1DEE2871" w14:textId="77777777" w:rsidR="00CE0D74" w:rsidRPr="00321B46" w:rsidRDefault="00CE0D74" w:rsidP="00CE0D74">
      <w:pPr>
        <w:spacing w:before="120"/>
        <w:ind w:left="1418" w:hanging="1418"/>
      </w:pPr>
      <w:r w:rsidRPr="00321B46">
        <w:rPr>
          <w:i/>
        </w:rPr>
        <w:t>HID</w:t>
      </w:r>
      <w:r w:rsidRPr="00321B46">
        <w:rPr>
          <w:i/>
          <w:vertAlign w:val="subscript"/>
        </w:rPr>
        <w:t>m,u</w:t>
      </w:r>
      <w:r w:rsidRPr="00321B46">
        <w:t>:</w:t>
      </w:r>
      <w:r w:rsidRPr="00321B46">
        <w:tab/>
        <w:t xml:space="preserve">Horas de Indisponibilidad del activo </w:t>
      </w:r>
      <w:r w:rsidRPr="00321B46">
        <w:rPr>
          <w:i/>
        </w:rPr>
        <w:t>u</w:t>
      </w:r>
      <w:r w:rsidRPr="00321B46">
        <w:t xml:space="preserve">, durante el mes </w:t>
      </w:r>
      <w:r w:rsidRPr="00321B46">
        <w:rPr>
          <w:i/>
        </w:rPr>
        <w:t>m</w:t>
      </w:r>
      <w:r w:rsidRPr="00321B46">
        <w:t>.</w:t>
      </w:r>
    </w:p>
    <w:p w14:paraId="54923012" w14:textId="77777777" w:rsidR="00CE0D74" w:rsidRPr="00321B46" w:rsidRDefault="00CE0D74" w:rsidP="00CE0D74">
      <w:pPr>
        <w:spacing w:before="120"/>
        <w:ind w:left="1418" w:hanging="1418"/>
      </w:pPr>
      <w:r w:rsidRPr="00321B46">
        <w:rPr>
          <w:i/>
        </w:rPr>
        <w:t>i</w:t>
      </w:r>
      <w:r w:rsidRPr="00321B46">
        <w:t>:</w:t>
      </w:r>
      <w:r w:rsidRPr="00321B46">
        <w:tab/>
        <w:t xml:space="preserve">Identificador de la indisponibilidad. </w:t>
      </w:r>
    </w:p>
    <w:p w14:paraId="074B0526" w14:textId="77777777" w:rsidR="00CE0D74" w:rsidRPr="00321B46" w:rsidRDefault="00CE0D74" w:rsidP="00CE0D74">
      <w:pPr>
        <w:spacing w:before="120"/>
        <w:ind w:left="1418" w:hanging="1418"/>
      </w:pPr>
      <w:r w:rsidRPr="00321B46">
        <w:rPr>
          <w:i/>
        </w:rPr>
        <w:t>n</w:t>
      </w:r>
      <w:r w:rsidRPr="00321B46">
        <w:t>:</w:t>
      </w:r>
      <w:r w:rsidRPr="00321B46">
        <w:tab/>
        <w:t xml:space="preserve">Número total de indisponibilidades del activo </w:t>
      </w:r>
      <w:r w:rsidRPr="00321B46">
        <w:rPr>
          <w:i/>
        </w:rPr>
        <w:t>u</w:t>
      </w:r>
      <w:r w:rsidRPr="00321B46">
        <w:t xml:space="preserve">, durante el mes </w:t>
      </w:r>
      <w:r w:rsidRPr="00321B46">
        <w:rPr>
          <w:i/>
        </w:rPr>
        <w:t>m</w:t>
      </w:r>
      <w:r w:rsidRPr="00321B46">
        <w:t xml:space="preserve">. </w:t>
      </w:r>
    </w:p>
    <w:p w14:paraId="641137C7" w14:textId="77777777" w:rsidR="00CE0D74" w:rsidRPr="00321B46" w:rsidRDefault="00CE0D74" w:rsidP="00CE0D74">
      <w:pPr>
        <w:spacing w:before="120"/>
        <w:ind w:left="1418" w:hanging="1418"/>
      </w:pPr>
      <w:r w:rsidRPr="00321B46">
        <w:rPr>
          <w:i/>
        </w:rPr>
        <w:t>H</w:t>
      </w:r>
      <w:r w:rsidRPr="00321B46">
        <w:rPr>
          <w:i/>
          <w:vertAlign w:val="subscript"/>
        </w:rPr>
        <w:t>i,u</w:t>
      </w:r>
      <w:r w:rsidRPr="00321B46">
        <w:t>:</w:t>
      </w:r>
      <w:r w:rsidRPr="00321B46">
        <w:tab/>
        <w:t xml:space="preserve">Duración de la indisponibilidad </w:t>
      </w:r>
      <w:r w:rsidRPr="00321B46">
        <w:rPr>
          <w:i/>
        </w:rPr>
        <w:t>i</w:t>
      </w:r>
      <w:r w:rsidRPr="00321B46">
        <w:t xml:space="preserve">, para el activo </w:t>
      </w:r>
      <w:r w:rsidRPr="00321B46">
        <w:rPr>
          <w:i/>
        </w:rPr>
        <w:t>u</w:t>
      </w:r>
      <w:r w:rsidRPr="00321B46">
        <w:t>.</w:t>
      </w:r>
    </w:p>
    <w:p w14:paraId="0395B73F" w14:textId="77777777" w:rsidR="00CE0D74" w:rsidRPr="00321B46" w:rsidRDefault="00CE0D74" w:rsidP="00CE0D74">
      <w:pPr>
        <w:spacing w:before="120"/>
        <w:ind w:left="1418" w:hanging="1418"/>
      </w:pPr>
      <w:r w:rsidRPr="00321B46">
        <w:rPr>
          <w:i/>
        </w:rPr>
        <w:t>CAPD</w:t>
      </w:r>
      <w:r w:rsidRPr="00321B46">
        <w:rPr>
          <w:i/>
          <w:vertAlign w:val="subscript"/>
        </w:rPr>
        <w:t>i,u</w:t>
      </w:r>
      <w:r w:rsidRPr="00321B46">
        <w:t xml:space="preserve"> :</w:t>
      </w:r>
      <w:r w:rsidRPr="00321B46">
        <w:tab/>
        <w:t xml:space="preserve">Capacidad disponible del activo </w:t>
      </w:r>
      <w:r w:rsidRPr="00321B46">
        <w:rPr>
          <w:i/>
        </w:rPr>
        <w:t>u</w:t>
      </w:r>
      <w:r w:rsidRPr="00321B46">
        <w:t xml:space="preserve"> expresada en porcentaje de la capacidad nominal, durante la indisponibilidad </w:t>
      </w:r>
      <w:r w:rsidRPr="00321B46">
        <w:rPr>
          <w:i/>
        </w:rPr>
        <w:t>i</w:t>
      </w:r>
      <w:r w:rsidRPr="00321B46">
        <w:t>.</w:t>
      </w:r>
    </w:p>
    <w:p w14:paraId="21A39938" w14:textId="1CB8F130" w:rsidR="00CE0D74" w:rsidRPr="00321B46" w:rsidRDefault="00CE0D74" w:rsidP="00CE0D74">
      <w:r w:rsidRPr="00321B46">
        <w:t xml:space="preserve">Para la aplicación de esta metodología, se tendrá en cuenta la historia de las indisponibilidades del activo </w:t>
      </w:r>
      <w:r w:rsidRPr="00321B46">
        <w:rPr>
          <w:i/>
        </w:rPr>
        <w:t>u</w:t>
      </w:r>
      <w:r w:rsidRPr="00321B46">
        <w:t>, presentadas con anterioridad a la entrada en vigencia de esta resolución.</w:t>
      </w:r>
    </w:p>
    <w:p w14:paraId="1C39CF10" w14:textId="20B5BECC" w:rsidR="00CE0D74" w:rsidRPr="00321B46" w:rsidRDefault="00CE0D74" w:rsidP="00CE0D74">
      <w:r w:rsidRPr="00321B46">
        <w:t>Las horas programadas para el mantenimiento de un activo que no sean utilizadas para dicha actividad se contarán como horas de indisponibilidad del activo.</w:t>
      </w:r>
    </w:p>
    <w:p w14:paraId="70C96ADB" w14:textId="77777777" w:rsidR="00CE0D74" w:rsidRPr="00321B46" w:rsidRDefault="00CE0D74" w:rsidP="00CE0D74">
      <w:r w:rsidRPr="00321B46">
        <w:t>El CND llevará un registro de las horas efectivamente utilizadas en el mantenimiento de cada activo y de las horas adicionales contabilizadas como indisponibilidad de acuerdo con lo previsto en el párrafo anterior.</w:t>
      </w:r>
    </w:p>
    <w:p w14:paraId="7A154FC9" w14:textId="04C93FA8" w:rsidR="00CE0D74" w:rsidRPr="00321B46" w:rsidRDefault="00CE0D74" w:rsidP="00CE0D74">
      <w:r w:rsidRPr="00321B46">
        <w:t xml:space="preserve">Un mantenimiento puede ser cancelado </w:t>
      </w:r>
      <w:r w:rsidR="004B35B2" w:rsidRPr="00321B46">
        <w:t xml:space="preserve">o reprogramado </w:t>
      </w:r>
      <w:r w:rsidRPr="00321B46">
        <w:t>hasta las 08:00 horas del día anterior de la operación, para que esta información pueda ser tenida en cuenta en el despacho.</w:t>
      </w:r>
    </w:p>
    <w:p w14:paraId="1EA2D885" w14:textId="0E98BBCA" w:rsidR="00CE0D74" w:rsidRPr="00321B46" w:rsidRDefault="00CE0D74" w:rsidP="00BF7220">
      <w:pPr>
        <w:pStyle w:val="Ttulo2"/>
      </w:pPr>
      <w:bookmarkStart w:id="316" w:name="_Toc404020415"/>
      <w:bookmarkStart w:id="317" w:name="_Toc409016119"/>
      <w:bookmarkStart w:id="318" w:name="_Ref439858727"/>
      <w:bookmarkStart w:id="319" w:name="_Toc466392658"/>
      <w:r w:rsidRPr="00321B46">
        <w:t>E</w:t>
      </w:r>
      <w:r w:rsidR="00082E7E" w:rsidRPr="00321B46">
        <w:t>stimación de la capacidad disponible</w:t>
      </w:r>
      <w:bookmarkEnd w:id="316"/>
      <w:bookmarkEnd w:id="317"/>
      <w:bookmarkEnd w:id="318"/>
      <w:r w:rsidR="00AF5565" w:rsidRPr="00321B46">
        <w:t xml:space="preserve"> por un evento</w:t>
      </w:r>
      <w:bookmarkEnd w:id="319"/>
    </w:p>
    <w:p w14:paraId="68591B97" w14:textId="269C740F" w:rsidR="00CE0D74" w:rsidRPr="00321B46" w:rsidRDefault="0000611B" w:rsidP="00CE0D74">
      <w:r w:rsidRPr="00321B46">
        <w:rPr>
          <w:rFonts w:cs="Arial"/>
          <w:spacing w:val="-3"/>
        </w:rPr>
        <w:t>Para determinar l</w:t>
      </w:r>
      <w:r w:rsidR="00CE0D74" w:rsidRPr="00321B46">
        <w:rPr>
          <w:rFonts w:cs="Arial"/>
          <w:spacing w:val="-3"/>
        </w:rPr>
        <w:t xml:space="preserve">a capacidad disponible de un activo </w:t>
      </w:r>
      <w:r w:rsidRPr="00321B46">
        <w:rPr>
          <w:rFonts w:cs="Arial"/>
          <w:spacing w:val="-3"/>
        </w:rPr>
        <w:t xml:space="preserve">tras la ocurrencia de un evento debe tenerse </w:t>
      </w:r>
      <w:r w:rsidR="00CE0D74" w:rsidRPr="00321B46">
        <w:t>en cuenta las siguientes condiciones</w:t>
      </w:r>
      <w:r w:rsidRPr="00321B46">
        <w:t>,</w:t>
      </w:r>
      <w:r w:rsidR="00CE0D74" w:rsidRPr="00321B46">
        <w:t xml:space="preserve"> para cada tipo de activo:</w:t>
      </w:r>
    </w:p>
    <w:p w14:paraId="3D844F51" w14:textId="77777777" w:rsidR="00CE0D74" w:rsidRPr="00321B46" w:rsidRDefault="00CE0D74" w:rsidP="00CE0D74">
      <w:pPr>
        <w:numPr>
          <w:ilvl w:val="0"/>
          <w:numId w:val="28"/>
        </w:numPr>
        <w:spacing w:before="120" w:after="120"/>
        <w:rPr>
          <w:bCs/>
        </w:rPr>
      </w:pPr>
      <w:r w:rsidRPr="00321B46">
        <w:rPr>
          <w:bCs/>
        </w:rPr>
        <w:t>módulo de barraje: si la unidad constructiva queda parcialmente disponible se considera que la capacidad disponible es el 50% de la capacidad nominal,</w:t>
      </w:r>
    </w:p>
    <w:p w14:paraId="17E399A4" w14:textId="5B1D35CB" w:rsidR="00CE0D74" w:rsidRPr="00321B46" w:rsidRDefault="00CE0D74" w:rsidP="00CE0D74">
      <w:pPr>
        <w:numPr>
          <w:ilvl w:val="0"/>
          <w:numId w:val="28"/>
        </w:numPr>
        <w:spacing w:before="120" w:after="120"/>
        <w:rPr>
          <w:bCs/>
        </w:rPr>
      </w:pPr>
      <w:r w:rsidRPr="00321B46">
        <w:rPr>
          <w:bCs/>
        </w:rPr>
        <w:t>líneas, transformadores, unidades de compensación, SVC y STATCOM: la capacidad disponible es la capacidad real disponible del activo, medida en las mismas unidades de la capacidad nominal. Para los casos de líneas con conexiones en T, la capacidad disponible de la línea equivale a la proporción que representa la longitud que queda en servicio frente a la longitud total de la línea, multiplicada por la capacidad nominal de la línea</w:t>
      </w:r>
      <w:r w:rsidR="009C27A5" w:rsidRPr="00321B46">
        <w:rPr>
          <w:bCs/>
        </w:rPr>
        <w:t>,</w:t>
      </w:r>
    </w:p>
    <w:p w14:paraId="1189D96F" w14:textId="77777777" w:rsidR="00CE0D74" w:rsidRPr="00321B46" w:rsidRDefault="00CE0D74" w:rsidP="00CE0D74">
      <w:pPr>
        <w:pStyle w:val="Prrafodelista"/>
        <w:numPr>
          <w:ilvl w:val="0"/>
          <w:numId w:val="28"/>
        </w:numPr>
        <w:rPr>
          <w:bCs/>
          <w:szCs w:val="24"/>
          <w:lang w:val="es-ES"/>
        </w:rPr>
      </w:pPr>
      <w:r w:rsidRPr="00321B46">
        <w:rPr>
          <w:bCs/>
          <w:szCs w:val="24"/>
          <w:lang w:val="es-ES"/>
        </w:rPr>
        <w:t>bahías de interruptor y medio: la capacidad disponible de las bahías del diámetro se determina así: i) ante la indisponibilidad de uno de los interruptores diferentes al corte central del diámetro, la capacidad disponible de la bahía respectiva es el 33% de la capacidad nominal; ii) ante la indisponibilidad del corte central, la capacidad disponible de cada una de las dos bahías asociadas al diámetro es el 67% de la capacidad nominal; iii) ante la indisponibilidad del corte central y de uno de los interruptores del diámetro, la respectiva bahía se considera completamente indisponible, iv) ante la indisponibilidad simultánea de los dos interruptores diferentes al corte central, que forman parte de un mismo diámetro, se considera que las dos bahías asociadas a ese diámetro se encuentran completamente indisponibles,</w:t>
      </w:r>
    </w:p>
    <w:p w14:paraId="70673B48" w14:textId="77777777" w:rsidR="00CE0D74" w:rsidRPr="00321B46" w:rsidRDefault="00CE0D74" w:rsidP="00CE0D74">
      <w:pPr>
        <w:numPr>
          <w:ilvl w:val="0"/>
          <w:numId w:val="28"/>
        </w:numPr>
        <w:spacing w:before="120" w:after="120"/>
        <w:rPr>
          <w:bCs/>
        </w:rPr>
      </w:pPr>
      <w:r w:rsidRPr="00321B46">
        <w:rPr>
          <w:bCs/>
        </w:rPr>
        <w:t>Para los demás activos se considera que la capacidad disponible es el 0% o el 100% de la capacidad nominal, dependiendo de si el equipo está en falla o está en funcionamiento normal.</w:t>
      </w:r>
    </w:p>
    <w:p w14:paraId="435A2FB1" w14:textId="77777777" w:rsidR="00CE0D74" w:rsidRPr="00321B46" w:rsidRDefault="00CE0D74" w:rsidP="00BF7220">
      <w:pPr>
        <w:pStyle w:val="Ttulo2"/>
      </w:pPr>
      <w:bookmarkStart w:id="320" w:name="_Ref184147568"/>
      <w:bookmarkStart w:id="321" w:name="_Toc195670137"/>
      <w:bookmarkStart w:id="322" w:name="_Toc195686830"/>
      <w:bookmarkStart w:id="323" w:name="_Toc195781008"/>
      <w:bookmarkStart w:id="324" w:name="_Toc210616096"/>
      <w:bookmarkStart w:id="325" w:name="_Ref403633065"/>
      <w:bookmarkStart w:id="326" w:name="_Toc404020416"/>
      <w:bookmarkStart w:id="327" w:name="_Toc409016120"/>
      <w:bookmarkStart w:id="328" w:name="_Toc466392659"/>
      <w:r w:rsidRPr="00321B46">
        <w:t>E</w:t>
      </w:r>
      <w:r w:rsidR="00082E7E" w:rsidRPr="00321B46">
        <w:t>ventos excluidos</w:t>
      </w:r>
      <w:bookmarkEnd w:id="320"/>
      <w:bookmarkEnd w:id="321"/>
      <w:bookmarkEnd w:id="322"/>
      <w:bookmarkEnd w:id="323"/>
      <w:bookmarkEnd w:id="324"/>
      <w:bookmarkEnd w:id="325"/>
      <w:bookmarkEnd w:id="326"/>
      <w:bookmarkEnd w:id="327"/>
      <w:bookmarkEnd w:id="328"/>
    </w:p>
    <w:p w14:paraId="75E480EC" w14:textId="77777777" w:rsidR="00CE0D74" w:rsidRPr="00321B46" w:rsidRDefault="00CE0D74" w:rsidP="00CE0D74">
      <w:r w:rsidRPr="00321B46">
        <w:t xml:space="preserve">No se incluirán en el cálculo de las horas de indisponibilidad, </w:t>
      </w:r>
      <w:r w:rsidRPr="00321B46">
        <w:rPr>
          <w:i/>
        </w:rPr>
        <w:t>HID</w:t>
      </w:r>
      <w:r w:rsidRPr="00321B46">
        <w:rPr>
          <w:i/>
          <w:vertAlign w:val="subscript"/>
        </w:rPr>
        <w:t>m,u</w:t>
      </w:r>
      <w:r w:rsidRPr="00321B46">
        <w:t xml:space="preserve">, del activo ni de la variable </w:t>
      </w:r>
      <w:r w:rsidRPr="00321B46">
        <w:rPr>
          <w:i/>
        </w:rPr>
        <w:t>CNE</w:t>
      </w:r>
      <w:r w:rsidRPr="00321B46">
        <w:rPr>
          <w:i/>
          <w:vertAlign w:val="subscript"/>
        </w:rPr>
        <w:t>m,u</w:t>
      </w:r>
      <w:r w:rsidRPr="00321B46">
        <w:t>, los eventos que hayan sido causados por alguna de las situaciones que se enumeran a continuación, siempre y cuando se cumplan las reglas que se establecen en este numeral.</w:t>
      </w:r>
    </w:p>
    <w:p w14:paraId="5A32E5F4" w14:textId="29ABF7E7" w:rsidR="00CE0D74" w:rsidRPr="00321B46" w:rsidRDefault="00CE0D74" w:rsidP="00CE0D74">
      <w:pPr>
        <w:pStyle w:val="Prrafodelista"/>
        <w:numPr>
          <w:ilvl w:val="0"/>
          <w:numId w:val="34"/>
        </w:numPr>
        <w:tabs>
          <w:tab w:val="left" w:pos="-360"/>
          <w:tab w:val="left" w:pos="345"/>
          <w:tab w:val="left" w:pos="426"/>
        </w:tabs>
        <w:suppressAutoHyphens/>
        <w:spacing w:before="120" w:after="0"/>
        <w:rPr>
          <w:rFonts w:cs="Arial"/>
          <w:szCs w:val="24"/>
        </w:rPr>
      </w:pPr>
      <w:r w:rsidRPr="00321B46">
        <w:rPr>
          <w:rFonts w:cs="Arial"/>
          <w:szCs w:val="24"/>
        </w:rPr>
        <w:t xml:space="preserve">Eventos programados por trabajos </w:t>
      </w:r>
      <w:r w:rsidR="0049233E" w:rsidRPr="00321B46">
        <w:rPr>
          <w:rFonts w:cs="Arial"/>
          <w:szCs w:val="24"/>
        </w:rPr>
        <w:t>de expansión o reposición en la red</w:t>
      </w:r>
      <w:r w:rsidRPr="00321B46">
        <w:rPr>
          <w:rFonts w:cs="Arial"/>
          <w:szCs w:val="24"/>
        </w:rPr>
        <w:t xml:space="preserve">, tal como se definen en el artículo </w:t>
      </w:r>
      <w:r w:rsidR="004A2E3A" w:rsidRPr="00321B46">
        <w:rPr>
          <w:rFonts w:cs="Arial"/>
          <w:szCs w:val="24"/>
        </w:rPr>
        <w:fldChar w:fldCharType="begin"/>
      </w:r>
      <w:r w:rsidR="004A2E3A" w:rsidRPr="00321B46">
        <w:rPr>
          <w:rFonts w:cs="Arial"/>
          <w:szCs w:val="24"/>
        </w:rPr>
        <w:instrText xml:space="preserve"> REF _Ref465869579 \r \h \t</w:instrText>
      </w:r>
      <w:r w:rsidR="00321B46">
        <w:rPr>
          <w:rFonts w:cs="Arial"/>
          <w:szCs w:val="24"/>
        </w:rPr>
        <w:instrText xml:space="preserve"> \* MERGEFORMAT </w:instrText>
      </w:r>
      <w:r w:rsidR="004A2E3A" w:rsidRPr="00321B46">
        <w:rPr>
          <w:rFonts w:cs="Arial"/>
          <w:szCs w:val="24"/>
        </w:rPr>
      </w:r>
      <w:r w:rsidR="004A2E3A" w:rsidRPr="00321B46">
        <w:rPr>
          <w:rFonts w:cs="Arial"/>
          <w:szCs w:val="24"/>
        </w:rPr>
        <w:fldChar w:fldCharType="separate"/>
      </w:r>
      <w:r w:rsidR="000F355F">
        <w:rPr>
          <w:rFonts w:cs="Arial"/>
          <w:szCs w:val="24"/>
        </w:rPr>
        <w:t>3</w:t>
      </w:r>
      <w:r w:rsidR="004A2E3A" w:rsidRPr="00321B46">
        <w:rPr>
          <w:rFonts w:cs="Arial"/>
          <w:szCs w:val="24"/>
        </w:rPr>
        <w:fldChar w:fldCharType="end"/>
      </w:r>
      <w:r w:rsidRPr="00321B46">
        <w:rPr>
          <w:rFonts w:cs="Arial"/>
          <w:szCs w:val="24"/>
        </w:rPr>
        <w:t xml:space="preserve"> de esta resolución. Para que estos sean excluidos del cálculo se requiere que se cumplan las siguientes reglas:</w:t>
      </w:r>
    </w:p>
    <w:p w14:paraId="6DACA42B" w14:textId="77777777" w:rsidR="00CE0D74" w:rsidRPr="00321B46" w:rsidRDefault="00CE0D74" w:rsidP="00CE0D74">
      <w:pPr>
        <w:pStyle w:val="Prrafodelista"/>
        <w:numPr>
          <w:ilvl w:val="0"/>
          <w:numId w:val="41"/>
        </w:numPr>
        <w:spacing w:before="120" w:after="0"/>
        <w:ind w:left="993"/>
        <w:rPr>
          <w:szCs w:val="24"/>
        </w:rPr>
      </w:pPr>
      <w:r w:rsidRPr="00321B46">
        <w:rPr>
          <w:szCs w:val="24"/>
        </w:rPr>
        <w:t xml:space="preserve">El TN informa por escrito al CND acerca de la conexión de los nuevos activos con una anticipación mínima de 90 días calendario. </w:t>
      </w:r>
    </w:p>
    <w:p w14:paraId="1323005B" w14:textId="77777777" w:rsidR="00CE0D74" w:rsidRPr="00321B46" w:rsidRDefault="00CE0D74" w:rsidP="00CE0D74">
      <w:pPr>
        <w:pStyle w:val="Prrafodelista"/>
        <w:numPr>
          <w:ilvl w:val="0"/>
          <w:numId w:val="41"/>
        </w:numPr>
        <w:spacing w:before="120" w:after="0"/>
        <w:ind w:left="993"/>
        <w:rPr>
          <w:szCs w:val="24"/>
        </w:rPr>
      </w:pPr>
      <w:r w:rsidRPr="00321B46">
        <w:rPr>
          <w:szCs w:val="24"/>
        </w:rPr>
        <w:t>Junto con la solicitud, el agente informa al CND sobre los activos requeridos para la incorporación o conexión del nuevo proyecto al SIN, coordinando con los responsables de los equipos que se requiera desconectar para que éstos soliciten las consignaciones necesarias al CND, si se requiere. Para dichas consignaciones se debe cumplir con los plazos y procedimientos previstos en la regulación vigente para la coordinación de consignaciones en el SIN, y declarar como causa la incorporación de nuevos activos al SIN, e indicando el proyecto respectivo.</w:t>
      </w:r>
    </w:p>
    <w:p w14:paraId="40D16AEA" w14:textId="77777777" w:rsidR="00CE0D74" w:rsidRPr="00321B46" w:rsidRDefault="00CE0D74" w:rsidP="00CE0D74">
      <w:pPr>
        <w:pStyle w:val="Prrafodelista"/>
        <w:numPr>
          <w:ilvl w:val="0"/>
          <w:numId w:val="41"/>
        </w:numPr>
        <w:spacing w:before="120" w:after="0"/>
        <w:ind w:left="993"/>
        <w:rPr>
          <w:szCs w:val="24"/>
        </w:rPr>
      </w:pPr>
      <w:r w:rsidRPr="00321B46">
        <w:rPr>
          <w:szCs w:val="24"/>
        </w:rPr>
        <w:t>El tiempo máximo reconocido sin afectar la disponibilidad de los activos relacionados, diferentes a los asociados con el proyecto que se incorpora, será igual a los tiempos asociados a las maniobras de conexión del activo al SIN más el tiempo durante el cual el proyecto se encuentre en pruebas antes de su entrada en operación comercial.</w:t>
      </w:r>
    </w:p>
    <w:p w14:paraId="3CFF7444" w14:textId="77777777" w:rsidR="00CE0D74" w:rsidRPr="00321B46" w:rsidRDefault="00CE0D74" w:rsidP="00CE0D74">
      <w:pPr>
        <w:pStyle w:val="Prrafodelista"/>
        <w:numPr>
          <w:ilvl w:val="0"/>
          <w:numId w:val="34"/>
        </w:numPr>
        <w:tabs>
          <w:tab w:val="left" w:pos="-360"/>
          <w:tab w:val="left" w:pos="345"/>
          <w:tab w:val="left" w:pos="426"/>
        </w:tabs>
        <w:suppressAutoHyphens/>
        <w:spacing w:before="120" w:after="0"/>
        <w:rPr>
          <w:rFonts w:cs="Arial"/>
          <w:szCs w:val="24"/>
        </w:rPr>
      </w:pPr>
      <w:r w:rsidRPr="00321B46">
        <w:rPr>
          <w:rFonts w:cs="Arial"/>
          <w:szCs w:val="24"/>
        </w:rPr>
        <w:t xml:space="preserve">Indisponibilidades de activos solicitadas por el CND, por razones operativas o consideraciones de calidad o confiabilidad del SIN. </w:t>
      </w:r>
    </w:p>
    <w:p w14:paraId="2F1C25B4" w14:textId="77777777" w:rsidR="00CE0D74" w:rsidRPr="00321B46" w:rsidRDefault="00CE0D74" w:rsidP="00CE0D74">
      <w:pPr>
        <w:pStyle w:val="Prrafodelista"/>
        <w:numPr>
          <w:ilvl w:val="0"/>
          <w:numId w:val="34"/>
        </w:numPr>
        <w:tabs>
          <w:tab w:val="left" w:pos="-360"/>
          <w:tab w:val="left" w:pos="345"/>
          <w:tab w:val="left" w:pos="426"/>
        </w:tabs>
        <w:suppressAutoHyphens/>
        <w:spacing w:before="120" w:after="0"/>
        <w:rPr>
          <w:rFonts w:cs="Arial"/>
          <w:szCs w:val="24"/>
        </w:rPr>
      </w:pPr>
      <w:r w:rsidRPr="00321B46">
        <w:rPr>
          <w:rFonts w:cs="Arial"/>
          <w:szCs w:val="24"/>
        </w:rPr>
        <w:t>Esquemas suplementarios de protección, siempre que para su instalación se haya dado cumplimiento a lo previsto en la regulación.</w:t>
      </w:r>
    </w:p>
    <w:p w14:paraId="3D91E7EA" w14:textId="77777777" w:rsidR="00CE0D74" w:rsidRPr="00321B46" w:rsidRDefault="00CE0D74" w:rsidP="00CE0D74">
      <w:pPr>
        <w:pStyle w:val="Prrafodelista"/>
        <w:numPr>
          <w:ilvl w:val="0"/>
          <w:numId w:val="34"/>
        </w:numPr>
        <w:tabs>
          <w:tab w:val="left" w:pos="-360"/>
          <w:tab w:val="left" w:pos="345"/>
          <w:tab w:val="left" w:pos="426"/>
        </w:tabs>
        <w:suppressAutoHyphens/>
        <w:spacing w:before="120" w:after="0"/>
        <w:rPr>
          <w:rFonts w:cs="Arial"/>
          <w:szCs w:val="24"/>
        </w:rPr>
      </w:pPr>
      <w:r w:rsidRPr="00321B46">
        <w:rPr>
          <w:rFonts w:cs="Arial"/>
          <w:szCs w:val="24"/>
        </w:rPr>
        <w:t>Indisponibilidades originadas en catástrofes naturales tales como erosión (volcánica, fluvial o glacial), terremotos, maremotos, huracanes, ciclones y/o tornados y las debidas a actos de terrorismo, siempre que se cumplan las siguientes reglas:</w:t>
      </w:r>
    </w:p>
    <w:p w14:paraId="217AC464" w14:textId="77777777" w:rsidR="00CE0D74" w:rsidRPr="00321B46" w:rsidRDefault="00CE0D74" w:rsidP="00CE0D74">
      <w:pPr>
        <w:pStyle w:val="Prrafodelista"/>
        <w:numPr>
          <w:ilvl w:val="0"/>
          <w:numId w:val="42"/>
        </w:numPr>
        <w:spacing w:before="120" w:after="0"/>
        <w:ind w:left="993"/>
        <w:rPr>
          <w:szCs w:val="24"/>
        </w:rPr>
      </w:pPr>
      <w:r w:rsidRPr="00321B46">
        <w:rPr>
          <w:szCs w:val="24"/>
        </w:rPr>
        <w:t xml:space="preserve">El TN afectado por el evento deberá declarar oficialmente ante el CND la ocurrencia del mismo y será responsable por tal declaración. Esta declaración deberá ser por escrito, anexando la información de los activos afectados y la manifestación de que cumplió con las demás reglas exigidas para excluir este evento. Asimismo, si se prevé que el evento tendrá una duración superior a tres (3) días a partir de su ocurrencia, el agente tendrá que informar a los usuarios finales que puedan resultar afectados, dentro de las 48 horas siguientes a la ocurrencia del evento, a través de cualquier medio de comunicación masivo disponible en la región o área afectada que garantice su adecuada difusión. </w:t>
      </w:r>
    </w:p>
    <w:p w14:paraId="7DCCF5A2" w14:textId="77777777" w:rsidR="00CE0D74" w:rsidRPr="00321B46" w:rsidRDefault="00CE0D74" w:rsidP="00CE0D74">
      <w:pPr>
        <w:pStyle w:val="Prrafodelista"/>
        <w:numPr>
          <w:ilvl w:val="0"/>
          <w:numId w:val="42"/>
        </w:numPr>
        <w:spacing w:before="120" w:after="0"/>
        <w:ind w:left="993"/>
        <w:rPr>
          <w:szCs w:val="24"/>
        </w:rPr>
      </w:pPr>
      <w:r w:rsidRPr="00321B46">
        <w:rPr>
          <w:szCs w:val="24"/>
        </w:rPr>
        <w:t>El TN afectado por el evento deberá establecer el plazo para la puesta en operación de los activos afectados, para lo cual deberá entregar al CND y al CNO un cronograma y presentarles los respectivos informes de avance del mismo.</w:t>
      </w:r>
    </w:p>
    <w:p w14:paraId="3AF848BB" w14:textId="77777777" w:rsidR="00CE0D74" w:rsidRPr="00321B46" w:rsidRDefault="00CE0D74" w:rsidP="00CE0D74">
      <w:pPr>
        <w:pStyle w:val="Prrafodelista"/>
        <w:numPr>
          <w:ilvl w:val="0"/>
          <w:numId w:val="34"/>
        </w:numPr>
        <w:tabs>
          <w:tab w:val="left" w:pos="-360"/>
          <w:tab w:val="left" w:pos="345"/>
          <w:tab w:val="left" w:pos="426"/>
        </w:tabs>
        <w:suppressAutoHyphens/>
        <w:spacing w:before="120" w:after="0"/>
        <w:rPr>
          <w:rFonts w:cs="Arial"/>
          <w:szCs w:val="24"/>
        </w:rPr>
      </w:pPr>
      <w:r w:rsidRPr="00321B46">
        <w:rPr>
          <w:rFonts w:cs="Arial"/>
          <w:szCs w:val="24"/>
        </w:rPr>
        <w:t xml:space="preserve">Las solicitudes de consignaciones de emergencia, las modificaciones al programa trimestral de consignaciones o los incumplimientos en los tiempos de ejecución de maniobras, originados en los eventos definidos en el literal anterior. </w:t>
      </w:r>
    </w:p>
    <w:p w14:paraId="620AF198" w14:textId="77777777" w:rsidR="00CE0D74" w:rsidRPr="00321B46" w:rsidRDefault="00CE0D74" w:rsidP="00CE0D74">
      <w:pPr>
        <w:pStyle w:val="Prrafodelista"/>
        <w:numPr>
          <w:ilvl w:val="0"/>
          <w:numId w:val="34"/>
        </w:numPr>
        <w:tabs>
          <w:tab w:val="left" w:pos="-360"/>
          <w:tab w:val="left" w:pos="345"/>
          <w:tab w:val="left" w:pos="426"/>
        </w:tabs>
        <w:suppressAutoHyphens/>
        <w:spacing w:before="120" w:after="0"/>
        <w:rPr>
          <w:rFonts w:cs="Arial"/>
          <w:szCs w:val="24"/>
        </w:rPr>
      </w:pPr>
      <w:r w:rsidRPr="00321B46">
        <w:rPr>
          <w:rFonts w:cs="Arial"/>
          <w:szCs w:val="24"/>
        </w:rPr>
        <w:t>Las indisponibilidades debidas a mantenimientos mayores que se hayan efectuado con sujeción al procedimiento establecido para tal fin.</w:t>
      </w:r>
    </w:p>
    <w:p w14:paraId="58E32EE1" w14:textId="77777777" w:rsidR="00CE0D74" w:rsidRPr="00321B46" w:rsidRDefault="00CE0D74" w:rsidP="00CE0D74">
      <w:pPr>
        <w:pStyle w:val="Prrafodelista"/>
        <w:numPr>
          <w:ilvl w:val="0"/>
          <w:numId w:val="34"/>
        </w:numPr>
        <w:tabs>
          <w:tab w:val="left" w:pos="-360"/>
          <w:tab w:val="left" w:pos="345"/>
          <w:tab w:val="left" w:pos="426"/>
        </w:tabs>
        <w:suppressAutoHyphens/>
        <w:spacing w:before="120" w:after="0"/>
        <w:rPr>
          <w:rFonts w:cs="Arial"/>
        </w:rPr>
      </w:pPr>
      <w:r w:rsidRPr="00321B46">
        <w:rPr>
          <w:rFonts w:cs="Arial"/>
        </w:rPr>
        <w:t xml:space="preserve">Las indisponibilidades necesarias para enfrentar las situaciones acontecidas de riesgo de la vida humana. Para su exclusión el </w:t>
      </w:r>
      <w:r w:rsidR="0084794B" w:rsidRPr="00321B46">
        <w:rPr>
          <w:rFonts w:cs="Arial"/>
        </w:rPr>
        <w:t xml:space="preserve">TN </w:t>
      </w:r>
      <w:r w:rsidRPr="00321B46">
        <w:rPr>
          <w:rFonts w:cs="Arial"/>
        </w:rPr>
        <w:t>deberá elaborar un informe en el que documente y soporte esta situación.</w:t>
      </w:r>
    </w:p>
    <w:p w14:paraId="1E8A65B3" w14:textId="0ED1152E" w:rsidR="00CE0D74" w:rsidRPr="00321B46" w:rsidRDefault="00CE0D74" w:rsidP="00CE0D74">
      <w:pPr>
        <w:pStyle w:val="Prrafodelista"/>
        <w:numPr>
          <w:ilvl w:val="0"/>
          <w:numId w:val="34"/>
        </w:numPr>
        <w:tabs>
          <w:tab w:val="left" w:pos="-360"/>
          <w:tab w:val="left" w:pos="345"/>
          <w:tab w:val="left" w:pos="426"/>
        </w:tabs>
        <w:suppressAutoHyphens/>
        <w:spacing w:before="120" w:after="0"/>
        <w:rPr>
          <w:rFonts w:cs="Arial"/>
          <w:szCs w:val="24"/>
        </w:rPr>
      </w:pPr>
      <w:r w:rsidRPr="00321B46">
        <w:rPr>
          <w:rFonts w:cs="Arial"/>
          <w:szCs w:val="24"/>
        </w:rPr>
        <w:t>La indisponibilidades originadas en exigencias de traslados</w:t>
      </w:r>
      <w:r w:rsidR="009A2CF6" w:rsidRPr="00321B46">
        <w:rPr>
          <w:rFonts w:cs="Arial"/>
          <w:szCs w:val="24"/>
        </w:rPr>
        <w:t>,</w:t>
      </w:r>
      <w:r w:rsidRPr="00321B46">
        <w:rPr>
          <w:rFonts w:cs="Arial"/>
          <w:szCs w:val="24"/>
        </w:rPr>
        <w:t xml:space="preserve"> adecuaciones</w:t>
      </w:r>
      <w:r w:rsidR="009A2CF6" w:rsidRPr="00321B46">
        <w:rPr>
          <w:rFonts w:cs="Arial"/>
          <w:szCs w:val="24"/>
        </w:rPr>
        <w:t>, desconexiones e intervenciones</w:t>
      </w:r>
      <w:r w:rsidRPr="00321B46">
        <w:rPr>
          <w:rFonts w:cs="Arial"/>
          <w:szCs w:val="24"/>
        </w:rPr>
        <w:t xml:space="preserve"> de la infraestructura eléctrica por parte de entidades distritales, municipales, departamentales, organismos estatales competentes en temas de infraestructura y medio ambiente, o demás autoridades, o por proyectos de desarrollo en concordancia con planes de ordenamiento territorial; siempre que se cumplan las siguientes reglas:</w:t>
      </w:r>
    </w:p>
    <w:p w14:paraId="3E6C5673" w14:textId="7E968C7D" w:rsidR="00CE0D74" w:rsidRPr="00321B46" w:rsidRDefault="00CE0D74" w:rsidP="00CE0D74">
      <w:pPr>
        <w:pStyle w:val="Prrafodelista"/>
        <w:numPr>
          <w:ilvl w:val="0"/>
          <w:numId w:val="43"/>
        </w:numPr>
        <w:spacing w:before="120" w:after="0"/>
        <w:ind w:left="993"/>
        <w:rPr>
          <w:szCs w:val="24"/>
        </w:rPr>
      </w:pPr>
      <w:r w:rsidRPr="00321B46">
        <w:rPr>
          <w:szCs w:val="24"/>
        </w:rPr>
        <w:t>El TN afectado deberá declarar oficialmente al CND, mediante comunicación escrita, la fecha de inicio de intervención de activos por la ejecución de las obras o sobre las modificaciones a las instalaciones existentes, detallando los activos afectados</w:t>
      </w:r>
      <w:r w:rsidR="00B22B25" w:rsidRPr="00321B46">
        <w:rPr>
          <w:szCs w:val="24"/>
        </w:rPr>
        <w:t xml:space="preserve"> y</w:t>
      </w:r>
      <w:r w:rsidRPr="00321B46">
        <w:rPr>
          <w:szCs w:val="24"/>
        </w:rPr>
        <w:t xml:space="preserve"> el número de días calendario de la indisponibilidad. </w:t>
      </w:r>
    </w:p>
    <w:p w14:paraId="5D3D4C1F" w14:textId="77777777" w:rsidR="00CE0D74" w:rsidRPr="00321B46" w:rsidRDefault="00CE0D74" w:rsidP="00CE0D74">
      <w:pPr>
        <w:pStyle w:val="Prrafodelista"/>
        <w:numPr>
          <w:ilvl w:val="0"/>
          <w:numId w:val="43"/>
        </w:numPr>
        <w:spacing w:before="120" w:after="0"/>
        <w:ind w:left="993"/>
        <w:rPr>
          <w:szCs w:val="24"/>
        </w:rPr>
      </w:pPr>
      <w:r w:rsidRPr="00321B46">
        <w:rPr>
          <w:szCs w:val="24"/>
        </w:rPr>
        <w:t>Si se presentan cambios en la duración prevista, el TN lo informará por escrito al CND y anexará la correspondiente certificación.</w:t>
      </w:r>
    </w:p>
    <w:p w14:paraId="7DCD8B57" w14:textId="0033064B" w:rsidR="00F33D6A" w:rsidRPr="00321B46" w:rsidRDefault="00F33D6A" w:rsidP="0004502D">
      <w:pPr>
        <w:pStyle w:val="Prrafodelista"/>
        <w:numPr>
          <w:ilvl w:val="0"/>
          <w:numId w:val="34"/>
        </w:numPr>
        <w:tabs>
          <w:tab w:val="left" w:pos="-360"/>
          <w:tab w:val="left" w:pos="345"/>
          <w:tab w:val="left" w:pos="426"/>
        </w:tabs>
        <w:suppressAutoHyphens/>
        <w:spacing w:before="120" w:after="0"/>
        <w:rPr>
          <w:rFonts w:cs="Arial"/>
        </w:rPr>
      </w:pPr>
      <w:r w:rsidRPr="00321B46">
        <w:rPr>
          <w:rFonts w:cs="Arial"/>
        </w:rPr>
        <w:t xml:space="preserve">Indisponibilidades debidas a eventos causados por activos del STR. </w:t>
      </w:r>
    </w:p>
    <w:p w14:paraId="139E3302" w14:textId="77777777" w:rsidR="00CE0D74" w:rsidRPr="00321B46" w:rsidRDefault="00CE0D74" w:rsidP="00CE0D74">
      <w:r w:rsidRPr="00321B46">
        <w:t>Las comunicaciones mencionadas en este numeral deberán presentarse dentro del plazo que para tales fines determine el CND. En todo caso, el CND deberá contar con la información en forma oportuna para que el LAC calcule las compensaciones correspondientes al mes a facturar.</w:t>
      </w:r>
    </w:p>
    <w:p w14:paraId="37177CDD" w14:textId="77777777" w:rsidR="00CE0D74" w:rsidRPr="00321B46" w:rsidRDefault="00CE0D74" w:rsidP="00CE0D74">
      <w:r w:rsidRPr="00321B46">
        <w:t>Cuando los eventos de que trata este numeral ocurran en el mismo periodo horario con eventos ocasionados por indisponibilidades no excluidas y se determine que hubo ENS, se deberá seguir el procedimiento descrito para tal fin en la Resolución CREG 093 de 2012, o la que la modifique o sustituya.</w:t>
      </w:r>
    </w:p>
    <w:p w14:paraId="1B1DF969" w14:textId="77777777" w:rsidR="00CE0D74" w:rsidRPr="00321B46" w:rsidRDefault="00CE0D74" w:rsidP="00BF7220">
      <w:pPr>
        <w:pStyle w:val="Ttulo2"/>
      </w:pPr>
      <w:bookmarkStart w:id="329" w:name="_Toc195686831"/>
      <w:bookmarkStart w:id="330" w:name="_Toc195781009"/>
      <w:bookmarkStart w:id="331" w:name="_Toc210616097"/>
      <w:bookmarkStart w:id="332" w:name="_Toc404020417"/>
      <w:bookmarkStart w:id="333" w:name="_Toc409016121"/>
      <w:bookmarkStart w:id="334" w:name="_Toc466392660"/>
      <w:r w:rsidRPr="00321B46">
        <w:t>P</w:t>
      </w:r>
      <w:r w:rsidR="00082E7E" w:rsidRPr="00321B46">
        <w:t>rocedimiento para los mantenimientos mayores</w:t>
      </w:r>
      <w:bookmarkEnd w:id="329"/>
      <w:bookmarkEnd w:id="330"/>
      <w:bookmarkEnd w:id="331"/>
      <w:bookmarkEnd w:id="332"/>
      <w:bookmarkEnd w:id="333"/>
      <w:bookmarkEnd w:id="334"/>
    </w:p>
    <w:p w14:paraId="67F603CA" w14:textId="77777777" w:rsidR="00CE0D74" w:rsidRPr="00321B46" w:rsidRDefault="00CE0D74" w:rsidP="00CE0D74">
      <w:r w:rsidRPr="00321B46">
        <w:t>El mantenimiento mayor de un activo es el que se realiza por una vez cada seis años y requiere un tiempo mayor a las máximas horas anuales de indisponibilidad fijadas para el grupo de activos al que pertenece ese activo.</w:t>
      </w:r>
    </w:p>
    <w:p w14:paraId="63FC43A2" w14:textId="77777777" w:rsidR="00CE0D74" w:rsidRPr="00321B46" w:rsidRDefault="00CE0D74" w:rsidP="00CE0D74">
      <w:r w:rsidRPr="00321B46">
        <w:t xml:space="preserve">Los mantenimientos mayores deberán ser reportados en el programa trimestral de mantenimientos y ajustarse a los procedimientos aquí establecidos. </w:t>
      </w:r>
    </w:p>
    <w:p w14:paraId="5FBB833A" w14:textId="77777777" w:rsidR="00CE0D74" w:rsidRPr="00321B46" w:rsidRDefault="00CE0D74" w:rsidP="00CE0D74">
      <w:r w:rsidRPr="00321B46">
        <w:t>E</w:t>
      </w:r>
      <w:r w:rsidRPr="00321B46">
        <w:rPr>
          <w:rFonts w:cs="Arial"/>
        </w:rPr>
        <w:t xml:space="preserve">l tiempo máximo permitido </w:t>
      </w:r>
      <w:r w:rsidRPr="00321B46">
        <w:rPr>
          <w:rFonts w:cs="Arial"/>
          <w:spacing w:val="-3"/>
        </w:rPr>
        <w:t xml:space="preserve">para el mantenimiento mayor de un activo es de 96 horas cada 6 años y este periodo se cuenta a partir del 1 de enero de 2012. Se </w:t>
      </w:r>
      <w:r w:rsidRPr="00321B46">
        <w:t>exceptúan los activos asociados a UC tipo encapsuladas cuyo mantenimiento mayor contará con un tiempo máximo reconocido de 288 horas que podrán utilizarse una vez cada 18 años o fraccionarse y utilizarse una vez cada 6 años, contados a partir del 1 de enero de 2012. La cantidad de horas que sobrepase las definidas para el mantenimiento mayor no se considerará indisponibilidad excluida.</w:t>
      </w:r>
    </w:p>
    <w:p w14:paraId="37A63F0F" w14:textId="77777777" w:rsidR="00CE0D74" w:rsidRPr="00321B46" w:rsidRDefault="00CE0D74" w:rsidP="00CE0D74">
      <w:r w:rsidRPr="00321B46">
        <w:t>El número permitido de horas se puede distribuir a solicitud del TN. La distribución debe hacerse de tal forma que, desde el día de inicio hasta el último día del mantenimiento, no se sobrepase un total de 30 días calendario. La duración mínima de indisponibilidad solicitada por esta causa debe ser de 32 horas.</w:t>
      </w:r>
    </w:p>
    <w:p w14:paraId="7FCDE701" w14:textId="77777777" w:rsidR="00CE0D74" w:rsidRPr="00321B46" w:rsidRDefault="00CE0D74" w:rsidP="00CE0D74">
      <w:r w:rsidRPr="00321B46">
        <w:t>Para cada día de trabajo, la duración mínima de cada indisponibilidad solicitada deberá ser de ocho horas de trabajo; tratándose del último día de los programados para el mantenimiento mayor, esta duración puede ser menor. Sin embargo, si por las condiciones de seguridad del SIN se requiere la disminución de este número de horas para un día determinado, el CND lo podrá solicitar al operador del activo, ante lo cual este último evaluará y tomará la decisión de disminuir la duración o mantener la inicialmente programada. Lo anterior sin perjuicio de la responsabilidad del operador del activo por la gestión del mantenimiento mayor.</w:t>
      </w:r>
    </w:p>
    <w:p w14:paraId="19241949" w14:textId="77777777" w:rsidR="00CE0D74" w:rsidRPr="00321B46" w:rsidRDefault="00CE0D74" w:rsidP="00CE0D74">
      <w:r w:rsidRPr="00321B46">
        <w:t>Para el caso de un banco de transformadores, el tiempo máximo permitido por mantenimiento mayor puede dividirse de tal forma que el mantenimiento de cada unidad se pueda programar en fechas diferentes. En este caso, sólo una de las tres indisponibilidades solicitadas podrá ser inferior a 32 horas, y cada una de las tres puede ser inferior a las máximas horas anuales de indisponibilidad establecidas para el grupo de activos denominado “transformadores”.</w:t>
      </w:r>
    </w:p>
    <w:p w14:paraId="18EACC2E" w14:textId="77777777" w:rsidR="00CE0D74" w:rsidRPr="00321B46" w:rsidRDefault="00CE0D74" w:rsidP="00CE0D74">
      <w:pPr>
        <w:rPr>
          <w:rFonts w:cs="Arial"/>
        </w:rPr>
      </w:pPr>
      <w:r w:rsidRPr="00321B46">
        <w:rPr>
          <w:rFonts w:cs="Arial"/>
        </w:rPr>
        <w:t>Sin perjuicio de lo anterior, un mantenimiento mayor podrá suspenderse por orden del CND si encuentra que las condiciones de seguridad del SIN lo requieren o por orden de una autoridad competente.</w:t>
      </w:r>
    </w:p>
    <w:p w14:paraId="02A7BF35" w14:textId="77777777" w:rsidR="00CE0D74" w:rsidRPr="00321B46" w:rsidRDefault="00CE0D74" w:rsidP="00BF7220">
      <w:pPr>
        <w:pStyle w:val="Ttulo2"/>
      </w:pPr>
      <w:bookmarkStart w:id="335" w:name="_Toc404020418"/>
      <w:bookmarkStart w:id="336" w:name="_Toc409016122"/>
      <w:bookmarkStart w:id="337" w:name="_Toc466392661"/>
      <w:r w:rsidRPr="00321B46">
        <w:t>A</w:t>
      </w:r>
      <w:r w:rsidR="00082E7E" w:rsidRPr="00321B46">
        <w:t>ctivos que entran en operación comercial</w:t>
      </w:r>
      <w:bookmarkEnd w:id="335"/>
      <w:bookmarkEnd w:id="336"/>
      <w:bookmarkEnd w:id="337"/>
    </w:p>
    <w:p w14:paraId="785EF418" w14:textId="77777777" w:rsidR="00CE0D74" w:rsidRPr="00321B46" w:rsidRDefault="00CE0D74" w:rsidP="00CE0D74">
      <w:r w:rsidRPr="00321B46">
        <w:t xml:space="preserve">A partir de la fecha de entrada en operación comercial de activos del STN y hasta que se inicie su remuneración al respectivo agente a través de cargos por uso, este agente será el responsable por la ocurrencia de eventos en estos activos que ocasionen ENS. </w:t>
      </w:r>
    </w:p>
    <w:p w14:paraId="6DC7447D" w14:textId="77224970" w:rsidR="00CE0D74" w:rsidRPr="00321B46" w:rsidRDefault="00CE0D74" w:rsidP="00CE0D74">
      <w:pPr>
        <w:rPr>
          <w:lang w:val="es-CO"/>
        </w:rPr>
      </w:pPr>
      <w:r w:rsidRPr="00321B46">
        <w:t xml:space="preserve">En consecuencia, a partir de la fecha de entrada en operación comercial de los activos se deberán reportar los eventos en la forma dispuesta en la presente resolución. Cuando se presente ENS, </w:t>
      </w:r>
      <w:r w:rsidRPr="00321B46">
        <w:rPr>
          <w:lang w:val="es-CO"/>
        </w:rPr>
        <w:t xml:space="preserve">se estimará su magnitud en la forma descrita en la </w:t>
      </w:r>
      <w:r w:rsidRPr="00321B46">
        <w:rPr>
          <w:rFonts w:cs="Arial"/>
        </w:rPr>
        <w:t>Resolución CREG 093 de 2012, o aquella que la</w:t>
      </w:r>
      <w:r w:rsidR="00EA3D82" w:rsidRPr="00321B46">
        <w:rPr>
          <w:rFonts w:cs="Arial"/>
        </w:rPr>
        <w:t xml:space="preserve"> adicione,</w:t>
      </w:r>
      <w:r w:rsidRPr="00321B46">
        <w:rPr>
          <w:rFonts w:cs="Arial"/>
        </w:rPr>
        <w:t xml:space="preserve"> modifique o sustituya,</w:t>
      </w:r>
      <w:r w:rsidRPr="00321B46">
        <w:rPr>
          <w:lang w:val="es-CO"/>
        </w:rPr>
        <w:t xml:space="preserve"> y se aplicará la respectiva compensación.</w:t>
      </w:r>
    </w:p>
    <w:p w14:paraId="109B656D" w14:textId="57B2E4D4" w:rsidR="00CE0D74" w:rsidRPr="00321B46" w:rsidRDefault="00CE0D74" w:rsidP="00CE0D74">
      <w:r w:rsidRPr="00321B46">
        <w:t xml:space="preserve">El LAC incluirá esta compensación dentro del cálculo de la variable </w:t>
      </w:r>
      <w:r w:rsidRPr="00321B46">
        <w:rPr>
          <w:i/>
        </w:rPr>
        <w:t>CNE</w:t>
      </w:r>
      <w:r w:rsidRPr="00321B46">
        <w:rPr>
          <w:i/>
          <w:vertAlign w:val="subscript"/>
        </w:rPr>
        <w:t>m,u</w:t>
      </w:r>
      <w:r w:rsidRPr="00321B46">
        <w:t xml:space="preserve">, descrita en el numeral </w:t>
      </w:r>
      <w:r w:rsidRPr="00321B46">
        <w:fldChar w:fldCharType="begin"/>
      </w:r>
      <w:r w:rsidRPr="00321B46">
        <w:instrText xml:space="preserve"> REF _Ref408319193 \r \h </w:instrText>
      </w:r>
      <w:r w:rsidR="003276B5" w:rsidRPr="00321B46">
        <w:instrText xml:space="preserve"> \* MERGEFORMAT </w:instrText>
      </w:r>
      <w:r w:rsidRPr="00321B46">
        <w:fldChar w:fldCharType="separate"/>
      </w:r>
      <w:r w:rsidR="000F355F">
        <w:t>5.14.2</w:t>
      </w:r>
      <w:r w:rsidRPr="00321B46">
        <w:fldChar w:fldCharType="end"/>
      </w:r>
      <w:r w:rsidRPr="00321B46">
        <w:t xml:space="preserve">, a aplicarse para el mes </w:t>
      </w:r>
      <w:r w:rsidRPr="00321B46">
        <w:rPr>
          <w:i/>
        </w:rPr>
        <w:t>m</w:t>
      </w:r>
      <w:r w:rsidRPr="00321B46">
        <w:t xml:space="preserve"> siguiente al mes de publicación del informe de ENS.</w:t>
      </w:r>
    </w:p>
    <w:p w14:paraId="348EBD5F" w14:textId="77777777" w:rsidR="00CE0D74" w:rsidRPr="00321B46" w:rsidRDefault="00CE0D74" w:rsidP="00CE0D74">
      <w:r w:rsidRPr="00321B46">
        <w:t>En todo caso, cuando los activos estén incluidos en la remuneración del STN a través de cargos por uso, el agente que recibe la remuneración será responsable por el cumplimiento de todos los indicadores de calidad establecidos en este capítulo. Para el cálculo de las horas de indisponibilidad del activo, sólo se tendrán en cuenta las reportadas desde el primer mes de remuneración.</w:t>
      </w:r>
    </w:p>
    <w:p w14:paraId="6303B6E2" w14:textId="77777777" w:rsidR="00CE0D74" w:rsidRPr="00321B46" w:rsidRDefault="00CE0D74" w:rsidP="00BF7220">
      <w:pPr>
        <w:pStyle w:val="Ttulo2"/>
      </w:pPr>
      <w:bookmarkStart w:id="338" w:name="_Toc404020419"/>
      <w:bookmarkStart w:id="339" w:name="_Toc409016123"/>
      <w:bookmarkStart w:id="340" w:name="_Ref440388974"/>
      <w:bookmarkStart w:id="341" w:name="_Toc466392662"/>
      <w:r w:rsidRPr="00321B46">
        <w:t>V</w:t>
      </w:r>
      <w:r w:rsidR="00082E7E" w:rsidRPr="00321B46">
        <w:t>alor de referencia para compensación</w:t>
      </w:r>
      <w:bookmarkEnd w:id="338"/>
      <w:bookmarkEnd w:id="339"/>
      <w:bookmarkEnd w:id="340"/>
      <w:bookmarkEnd w:id="341"/>
    </w:p>
    <w:p w14:paraId="208BDFFC" w14:textId="77777777" w:rsidR="00CE0D74" w:rsidRPr="00321B46" w:rsidRDefault="00CE0D74" w:rsidP="00CE0D74">
      <w:r w:rsidRPr="00321B46">
        <w:t>Para calcular el valor de las compensaciones, en caso de requerirse, se utilizará la siguiente referencia:</w:t>
      </w:r>
    </w:p>
    <w:p w14:paraId="311C7EE5" w14:textId="77777777" w:rsidR="00CE0D74" w:rsidRPr="00321B46" w:rsidRDefault="00651802" w:rsidP="00CE0D74">
      <w:pPr>
        <w:pStyle w:val="NormalWeb"/>
        <w:spacing w:before="240" w:beforeAutospacing="0" w:after="240" w:afterAutospacing="0"/>
      </w:pPr>
      <m:oMathPara>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VHRC</m:t>
              </m:r>
            </m:e>
            <m:sub>
              <m:r>
                <w:rPr>
                  <w:rFonts w:ascii="Cambria Math" w:hAnsi="Cambria Math" w:cstheme="minorBidi"/>
                  <w:color w:val="000000" w:themeColor="text1"/>
                  <w:kern w:val="24"/>
                </w:rPr>
                <m:t>m,u,j</m:t>
              </m:r>
            </m:sub>
          </m:sSub>
          <m:r>
            <w:rPr>
              <w:rFonts w:ascii="Cambria Math" w:hAnsi="Cambria Math" w:cstheme="minorBidi"/>
              <w:color w:val="000000" w:themeColor="text1"/>
              <w:kern w:val="24"/>
            </w:rPr>
            <m:t>=</m:t>
          </m:r>
          <m:f>
            <m:fPr>
              <m:ctrlPr>
                <w:rPr>
                  <w:rFonts w:ascii="Cambria Math" w:eastAsiaTheme="minorEastAsia" w:hAnsi="Cambria Math" w:cstheme="minorBidi"/>
                  <w:i/>
                  <w:iCs/>
                  <w:color w:val="000000" w:themeColor="text1"/>
                  <w:kern w:val="24"/>
                </w:rPr>
              </m:ctrlPr>
            </m:fPr>
            <m:num>
              <m:r>
                <w:rPr>
                  <w:rFonts w:ascii="Cambria Math" w:hAnsi="Cambria Math" w:cstheme="minorBidi"/>
                  <w:color w:val="000000" w:themeColor="text1"/>
                  <w:kern w:val="24"/>
                </w:rPr>
                <m:t>r</m:t>
              </m:r>
            </m:num>
            <m:den>
              <m:r>
                <w:rPr>
                  <w:rFonts w:ascii="Cambria Math" w:hAnsi="Cambria Math" w:cstheme="minorBidi"/>
                  <w:color w:val="000000" w:themeColor="text1"/>
                  <w:kern w:val="24"/>
                </w:rPr>
                <m:t>6900</m:t>
              </m:r>
            </m:den>
          </m:f>
          <m:r>
            <w:rPr>
              <w:rFonts w:ascii="Cambria Math" w:hAnsi="Cambria Math" w:cstheme="minorBidi"/>
              <w:color w:val="000000" w:themeColor="text1"/>
              <w:kern w:val="24"/>
            </w:rPr>
            <m:t>*</m:t>
          </m:r>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CR</m:t>
              </m:r>
            </m:e>
            <m:sub>
              <m:r>
                <w:rPr>
                  <w:rFonts w:ascii="Cambria Math" w:hAnsi="Cambria Math" w:cstheme="minorBidi"/>
                  <w:color w:val="000000" w:themeColor="text1"/>
                  <w:kern w:val="24"/>
                </w:rPr>
                <m:t>u</m:t>
              </m:r>
            </m:sub>
          </m:sSub>
          <m:r>
            <w:rPr>
              <w:rFonts w:ascii="Cambria Math" w:hAnsi="Cambria Math" w:cstheme="minorBidi"/>
              <w:color w:val="000000" w:themeColor="text1"/>
              <w:kern w:val="24"/>
            </w:rPr>
            <m:t>*</m:t>
          </m:r>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PU</m:t>
              </m:r>
            </m:e>
            <m:sub>
              <m:r>
                <w:rPr>
                  <w:rFonts w:ascii="Cambria Math" w:hAnsi="Cambria Math" w:cstheme="minorBidi"/>
                  <w:color w:val="000000" w:themeColor="text1"/>
                  <w:kern w:val="24"/>
                </w:rPr>
                <m:t>u,j</m:t>
              </m:r>
            </m:sub>
          </m:sSub>
          <m:r>
            <w:rPr>
              <w:rFonts w:ascii="Cambria Math" w:hAnsi="Cambria Math" w:cstheme="minorBidi"/>
              <w:color w:val="000000" w:themeColor="text1"/>
              <w:kern w:val="24"/>
            </w:rPr>
            <m:t>*</m:t>
          </m:r>
          <m:f>
            <m:fPr>
              <m:ctrlPr>
                <w:rPr>
                  <w:rFonts w:ascii="Cambria Math" w:eastAsiaTheme="minorEastAsia" w:hAnsi="Cambria Math" w:cstheme="minorBidi"/>
                  <w:i/>
                  <w:iCs/>
                  <w:color w:val="000000" w:themeColor="text1"/>
                  <w:kern w:val="24"/>
                </w:rPr>
              </m:ctrlPr>
            </m:fPr>
            <m:num>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IPP</m:t>
                  </m:r>
                </m:e>
                <m:sub>
                  <m:r>
                    <w:rPr>
                      <w:rFonts w:ascii="Cambria Math" w:hAnsi="Cambria Math" w:cstheme="minorBidi"/>
                      <w:color w:val="000000" w:themeColor="text1"/>
                      <w:kern w:val="24"/>
                    </w:rPr>
                    <m:t>m-1</m:t>
                  </m:r>
                </m:sub>
              </m:sSub>
            </m:num>
            <m:den>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IPP</m:t>
                  </m:r>
                </m:e>
                <m:sub>
                  <m:r>
                    <w:rPr>
                      <w:rFonts w:ascii="Cambria Math" w:hAnsi="Cambria Math" w:cstheme="minorBidi"/>
                      <w:color w:val="000000" w:themeColor="text1"/>
                      <w:kern w:val="24"/>
                    </w:rPr>
                    <m:t>FC</m:t>
                  </m:r>
                </m:sub>
              </m:sSub>
            </m:den>
          </m:f>
        </m:oMath>
      </m:oMathPara>
    </w:p>
    <w:p w14:paraId="2D3CE172" w14:textId="77777777" w:rsidR="00CE0D74" w:rsidRPr="00321B46" w:rsidRDefault="00CE0D74" w:rsidP="00CE0D74">
      <w:pPr>
        <w:spacing w:before="120"/>
        <w:ind w:left="1418" w:hanging="1418"/>
      </w:pPr>
      <w:r w:rsidRPr="00321B46">
        <w:rPr>
          <w:i/>
        </w:rPr>
        <w:t>VHRC</w:t>
      </w:r>
      <w:r w:rsidRPr="00321B46">
        <w:rPr>
          <w:i/>
          <w:vertAlign w:val="subscript"/>
        </w:rPr>
        <w:t>m,u,j</w:t>
      </w:r>
      <w:r w:rsidRPr="00321B46">
        <w:t>:</w:t>
      </w:r>
      <w:r w:rsidRPr="00321B46">
        <w:tab/>
        <w:t xml:space="preserve">Valor horario de referencia para el cálculo de la compensación del activo </w:t>
      </w:r>
      <w:r w:rsidRPr="00321B46">
        <w:rPr>
          <w:i/>
        </w:rPr>
        <w:t>u</w:t>
      </w:r>
      <w:r w:rsidRPr="00321B46">
        <w:t xml:space="preserve">, del TN </w:t>
      </w:r>
      <w:r w:rsidRPr="00321B46">
        <w:rPr>
          <w:i/>
        </w:rPr>
        <w:t>j</w:t>
      </w:r>
      <w:r w:rsidRPr="00321B46">
        <w:t xml:space="preserve">, durante el mes </w:t>
      </w:r>
      <w:r w:rsidRPr="00321B46">
        <w:rPr>
          <w:i/>
        </w:rPr>
        <w:t>m</w:t>
      </w:r>
      <w:r w:rsidRPr="00321B46">
        <w:t>.</w:t>
      </w:r>
    </w:p>
    <w:p w14:paraId="13A1AC7B" w14:textId="709881A8" w:rsidR="00CE0D74" w:rsidRPr="00321B46" w:rsidRDefault="00CE0D74" w:rsidP="00CE0D74">
      <w:pPr>
        <w:tabs>
          <w:tab w:val="left" w:pos="1418"/>
        </w:tabs>
        <w:spacing w:before="120"/>
        <w:ind w:left="1418" w:hanging="1418"/>
        <w:rPr>
          <w:i/>
        </w:rPr>
      </w:pPr>
      <w:r w:rsidRPr="00321B46">
        <w:rPr>
          <w:i/>
        </w:rPr>
        <w:t>r:</w:t>
      </w:r>
      <w:r w:rsidRPr="00321B46">
        <w:rPr>
          <w:i/>
        </w:rPr>
        <w:tab/>
      </w:r>
      <w:r w:rsidR="000E4CFE" w:rsidRPr="00321B46">
        <w:t>Tasa de descuento</w:t>
      </w:r>
      <w:r w:rsidRPr="00321B46">
        <w:t xml:space="preserve"> para la actividad de transmisión.</w:t>
      </w:r>
    </w:p>
    <w:p w14:paraId="3C62AAE6" w14:textId="2033F2AD" w:rsidR="00CE0D74" w:rsidRPr="00321B46" w:rsidRDefault="00CE0D74" w:rsidP="00CE0D74">
      <w:pPr>
        <w:tabs>
          <w:tab w:val="left" w:pos="1418"/>
        </w:tabs>
        <w:spacing w:before="120"/>
        <w:ind w:left="1418" w:hanging="1418"/>
        <w:rPr>
          <w:i/>
        </w:rPr>
      </w:pPr>
      <w:r w:rsidRPr="00321B46">
        <w:rPr>
          <w:i/>
        </w:rPr>
        <w:t>CR</w:t>
      </w:r>
      <w:r w:rsidRPr="00321B46">
        <w:rPr>
          <w:i/>
          <w:vertAlign w:val="subscript"/>
        </w:rPr>
        <w:t>u</w:t>
      </w:r>
      <w:r w:rsidRPr="00321B46">
        <w:rPr>
          <w:i/>
        </w:rPr>
        <w:t>:</w:t>
      </w:r>
      <w:r w:rsidRPr="00321B46">
        <w:rPr>
          <w:i/>
        </w:rPr>
        <w:tab/>
      </w:r>
      <w:r w:rsidRPr="00321B46">
        <w:t xml:space="preserve">Costo establecido para el activo </w:t>
      </w:r>
      <w:r w:rsidRPr="00321B46">
        <w:rPr>
          <w:i/>
        </w:rPr>
        <w:t>u</w:t>
      </w:r>
      <w:r w:rsidRPr="00321B46">
        <w:t xml:space="preserve">, de acuerdo con </w:t>
      </w:r>
      <w:r w:rsidR="005F4AF1" w:rsidRPr="00321B46">
        <w:t xml:space="preserve">los valores de </w:t>
      </w:r>
      <w:r w:rsidRPr="00321B46">
        <w:t xml:space="preserve">las unidades constructivas </w:t>
      </w:r>
      <w:r w:rsidR="006B119F" w:rsidRPr="00321B46">
        <w:t>que se encuentren vigentes</w:t>
      </w:r>
      <w:r w:rsidRPr="00321B46">
        <w:t>.</w:t>
      </w:r>
    </w:p>
    <w:p w14:paraId="30430695" w14:textId="77777777" w:rsidR="00CE0D74" w:rsidRPr="00321B46" w:rsidRDefault="00CE0D74" w:rsidP="00CE0D74">
      <w:pPr>
        <w:tabs>
          <w:tab w:val="left" w:pos="1418"/>
        </w:tabs>
        <w:spacing w:before="120"/>
        <w:ind w:left="1418" w:hanging="1418"/>
        <w:rPr>
          <w:i/>
          <w:iCs/>
        </w:rPr>
      </w:pPr>
      <w:r w:rsidRPr="00321B46">
        <w:rPr>
          <w:i/>
          <w:iCs/>
        </w:rPr>
        <w:t>PU</w:t>
      </w:r>
      <w:r w:rsidRPr="00321B46">
        <w:rPr>
          <w:i/>
          <w:iCs/>
          <w:vertAlign w:val="subscript"/>
        </w:rPr>
        <w:t>u,j</w:t>
      </w:r>
      <w:r w:rsidRPr="00321B46">
        <w:rPr>
          <w:i/>
          <w:iCs/>
        </w:rPr>
        <w:t>:</w:t>
      </w:r>
      <w:r w:rsidRPr="00321B46">
        <w:rPr>
          <w:i/>
          <w:iCs/>
        </w:rPr>
        <w:tab/>
      </w:r>
      <w:r w:rsidRPr="00321B46">
        <w:rPr>
          <w:iCs/>
        </w:rPr>
        <w:t>Porcentaje de uso del activo u que se reconoce al TN j.</w:t>
      </w:r>
    </w:p>
    <w:p w14:paraId="1660517B" w14:textId="77777777" w:rsidR="00CE0D74" w:rsidRPr="00321B46" w:rsidRDefault="00CE0D74" w:rsidP="00CE0D74">
      <w:pPr>
        <w:spacing w:before="120"/>
        <w:ind w:left="1418" w:hanging="1418"/>
        <w:rPr>
          <w:i/>
          <w:iCs/>
        </w:rPr>
      </w:pPr>
      <w:r w:rsidRPr="00321B46">
        <w:rPr>
          <w:i/>
          <w:iCs/>
        </w:rPr>
        <w:t>IPP</w:t>
      </w:r>
      <w:r w:rsidRPr="00321B46">
        <w:rPr>
          <w:i/>
          <w:iCs/>
          <w:vertAlign w:val="subscript"/>
        </w:rPr>
        <w:t>m-1</w:t>
      </w:r>
      <w:r w:rsidRPr="00321B46">
        <w:rPr>
          <w:i/>
          <w:iCs/>
        </w:rPr>
        <w:t>:</w:t>
      </w:r>
      <w:r w:rsidRPr="00321B46">
        <w:rPr>
          <w:i/>
          <w:iCs/>
        </w:rPr>
        <w:tab/>
      </w:r>
      <w:r w:rsidRPr="00321B46">
        <w:rPr>
          <w:iCs/>
        </w:rPr>
        <w:t xml:space="preserve">Índice de precios </w:t>
      </w:r>
      <w:r w:rsidR="004A1AF8" w:rsidRPr="00321B46">
        <w:rPr>
          <w:iCs/>
        </w:rPr>
        <w:t xml:space="preserve">del </w:t>
      </w:r>
      <w:r w:rsidRPr="00321B46">
        <w:rPr>
          <w:iCs/>
        </w:rPr>
        <w:t xml:space="preserve">productor total nacional correspondiente al mes </w:t>
      </w:r>
      <w:r w:rsidRPr="00321B46">
        <w:rPr>
          <w:i/>
          <w:iCs/>
        </w:rPr>
        <w:t>m-1.</w:t>
      </w:r>
    </w:p>
    <w:p w14:paraId="08229CE0" w14:textId="77777777" w:rsidR="00CE0D74" w:rsidRPr="00321B46" w:rsidRDefault="004A1AF8" w:rsidP="00CE0D74">
      <w:pPr>
        <w:tabs>
          <w:tab w:val="left" w:pos="1418"/>
        </w:tabs>
        <w:spacing w:before="120"/>
        <w:ind w:left="1418" w:hanging="1418"/>
        <w:rPr>
          <w:i/>
          <w:iCs/>
        </w:rPr>
      </w:pPr>
      <w:r w:rsidRPr="00321B46">
        <w:rPr>
          <w:i/>
          <w:iCs/>
        </w:rPr>
        <w:t>IPP</w:t>
      </w:r>
      <w:r w:rsidRPr="00321B46">
        <w:rPr>
          <w:i/>
          <w:iCs/>
          <w:vertAlign w:val="subscript"/>
        </w:rPr>
        <w:t>FC</w:t>
      </w:r>
      <w:r w:rsidR="00CE0D74" w:rsidRPr="00321B46">
        <w:rPr>
          <w:i/>
          <w:iCs/>
        </w:rPr>
        <w:t>:</w:t>
      </w:r>
      <w:r w:rsidR="00CE0D74" w:rsidRPr="00321B46">
        <w:rPr>
          <w:i/>
          <w:iCs/>
        </w:rPr>
        <w:tab/>
      </w:r>
      <w:r w:rsidR="00CE0D74" w:rsidRPr="00321B46">
        <w:rPr>
          <w:iCs/>
        </w:rPr>
        <w:t xml:space="preserve">Índice de precios </w:t>
      </w:r>
      <w:r w:rsidRPr="00321B46">
        <w:rPr>
          <w:iCs/>
        </w:rPr>
        <w:t xml:space="preserve">del </w:t>
      </w:r>
      <w:r w:rsidR="00CE0D74" w:rsidRPr="00321B46">
        <w:rPr>
          <w:iCs/>
        </w:rPr>
        <w:t>productor total nacional correspondiente a la fecha de corte.</w:t>
      </w:r>
      <w:r w:rsidR="00CE0D74" w:rsidRPr="00321B46">
        <w:rPr>
          <w:i/>
          <w:iCs/>
        </w:rPr>
        <w:t xml:space="preserve"> </w:t>
      </w:r>
    </w:p>
    <w:p w14:paraId="32E8F1E7" w14:textId="77777777" w:rsidR="00CE0D74" w:rsidRPr="00321B46" w:rsidRDefault="00CE0D74" w:rsidP="00BF7220">
      <w:pPr>
        <w:pStyle w:val="Ttulo2"/>
      </w:pPr>
      <w:bookmarkStart w:id="342" w:name="_Ref184401837"/>
      <w:bookmarkStart w:id="343" w:name="_Toc195670138"/>
      <w:bookmarkStart w:id="344" w:name="_Toc195686832"/>
      <w:bookmarkStart w:id="345" w:name="_Toc195781010"/>
      <w:bookmarkStart w:id="346" w:name="_Toc210616099"/>
      <w:bookmarkStart w:id="347" w:name="_Toc404020420"/>
      <w:bookmarkStart w:id="348" w:name="_Toc409016124"/>
      <w:bookmarkStart w:id="349" w:name="_Toc466392663"/>
      <w:r w:rsidRPr="00321B46">
        <w:t>R</w:t>
      </w:r>
      <w:r w:rsidR="00082E7E" w:rsidRPr="00321B46">
        <w:t>emuneración en algunos casos de indisponibilidad</w:t>
      </w:r>
      <w:bookmarkEnd w:id="342"/>
      <w:bookmarkEnd w:id="343"/>
      <w:bookmarkEnd w:id="344"/>
      <w:bookmarkEnd w:id="345"/>
      <w:bookmarkEnd w:id="346"/>
      <w:bookmarkEnd w:id="347"/>
      <w:bookmarkEnd w:id="348"/>
      <w:bookmarkEnd w:id="349"/>
    </w:p>
    <w:p w14:paraId="2D94EB0F" w14:textId="77777777" w:rsidR="00CE0D74" w:rsidRPr="00321B46" w:rsidRDefault="00CE0D74" w:rsidP="00CE0D74">
      <w:r w:rsidRPr="00321B46">
        <w:t xml:space="preserve">Para los casos de indisponibilidades originadas en </w:t>
      </w:r>
      <w:r w:rsidRPr="00321B46">
        <w:rPr>
          <w:rFonts w:cs="Arial"/>
        </w:rPr>
        <w:t>catástrofes naturales tales como erosión (volcánica, fluvial o glacial), terremotos, maremotos, h</w:t>
      </w:r>
      <w:r w:rsidRPr="00321B46">
        <w:t>uracanes, ciclones y/o tornados y l</w:t>
      </w:r>
      <w:r w:rsidRPr="00321B46">
        <w:rPr>
          <w:rFonts w:cs="Arial"/>
        </w:rPr>
        <w:t>as debidas a actos de terrorismo</w:t>
      </w:r>
      <w:r w:rsidRPr="00321B46">
        <w:t xml:space="preserve">, la remuneración del activo </w:t>
      </w:r>
      <w:r w:rsidRPr="00321B46">
        <w:rPr>
          <w:i/>
        </w:rPr>
        <w:t>u</w:t>
      </w:r>
      <w:r w:rsidRPr="00321B46">
        <w:t xml:space="preserve"> en el mes </w:t>
      </w:r>
      <w:r w:rsidRPr="00321B46">
        <w:rPr>
          <w:i/>
        </w:rPr>
        <w:t>m</w:t>
      </w:r>
      <w:r w:rsidRPr="00321B46">
        <w:t xml:space="preserve">, para cada mes </w:t>
      </w:r>
      <w:r w:rsidRPr="00321B46">
        <w:rPr>
          <w:i/>
        </w:rPr>
        <w:t>mi</w:t>
      </w:r>
      <w:r w:rsidRPr="00321B46">
        <w:t xml:space="preserve"> que este se encuentre indisponible será:</w:t>
      </w:r>
    </w:p>
    <w:p w14:paraId="450A6482" w14:textId="77777777" w:rsidR="00CE0D74" w:rsidRPr="00321B46" w:rsidRDefault="00651802" w:rsidP="00CE0D74">
      <m:oMathPara>
        <m:oMath>
          <m:sSub>
            <m:sSubPr>
              <m:ctrlPr>
                <w:rPr>
                  <w:rFonts w:ascii="Cambria Math" w:hAnsi="Cambria Math"/>
                  <w:i/>
                </w:rPr>
              </m:ctrlPr>
            </m:sSubPr>
            <m:e>
              <m:r>
                <w:rPr>
                  <w:rFonts w:ascii="Cambria Math" w:hAnsi="Cambria Math"/>
                </w:rPr>
                <m:t>IMRT</m:t>
              </m:r>
            </m:e>
            <m:sub>
              <m:r>
                <w:rPr>
                  <w:rFonts w:ascii="Cambria Math" w:hAnsi="Cambria Math"/>
                </w:rPr>
                <m:t>m,u</m:t>
              </m:r>
            </m:sub>
          </m:sSub>
          <m:r>
            <w:rPr>
              <w:rFonts w:ascii="Cambria Math" w:hAnsi="Cambria Math"/>
            </w:rPr>
            <m:t>=</m:t>
          </m:r>
          <m:d>
            <m:dPr>
              <m:ctrlPr>
                <w:rPr>
                  <w:rFonts w:ascii="Cambria Math" w:hAnsi="Cambria Math"/>
                  <w:i/>
                </w:rPr>
              </m:ctrlPr>
            </m:dPr>
            <m:e>
              <m:r>
                <w:rPr>
                  <w:rFonts w:ascii="Cambria Math" w:hAnsi="Cambria Math"/>
                </w:rPr>
                <m:t>1-max</m:t>
              </m:r>
              <m:d>
                <m:dPr>
                  <m:ctrlPr>
                    <w:rPr>
                      <w:rFonts w:ascii="Cambria Math" w:hAnsi="Cambria Math"/>
                      <w:i/>
                    </w:rPr>
                  </m:ctrlPr>
                </m:dPr>
                <m:e>
                  <m:r>
                    <w:rPr>
                      <w:rFonts w:ascii="Cambria Math" w:hAnsi="Cambria Math"/>
                    </w:rPr>
                    <m:t>0,min</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6</m:t>
                          </m:r>
                        </m:den>
                      </m:f>
                      <m:d>
                        <m:dPr>
                          <m:ctrlPr>
                            <w:rPr>
                              <w:rFonts w:ascii="Cambria Math" w:hAnsi="Cambria Math"/>
                              <w:i/>
                            </w:rPr>
                          </m:ctrlPr>
                        </m:dPr>
                        <m:e>
                          <m:r>
                            <w:rPr>
                              <w:rFonts w:ascii="Cambria Math" w:hAnsi="Cambria Math"/>
                            </w:rPr>
                            <m:t>mi-6</m:t>
                          </m:r>
                        </m:e>
                      </m:d>
                    </m:e>
                  </m:d>
                </m:e>
              </m:d>
            </m:e>
          </m:d>
          <m:r>
            <w:rPr>
              <w:rFonts w:ascii="Cambria Math" w:hAnsi="Cambria Math"/>
            </w:rPr>
            <m:t>*</m:t>
          </m:r>
          <m:sSub>
            <m:sSubPr>
              <m:ctrlPr>
                <w:rPr>
                  <w:rFonts w:ascii="Cambria Math" w:hAnsi="Cambria Math"/>
                  <w:i/>
                </w:rPr>
              </m:ctrlPr>
            </m:sSubPr>
            <m:e>
              <m:r>
                <w:rPr>
                  <w:rFonts w:ascii="Cambria Math" w:hAnsi="Cambria Math"/>
                </w:rPr>
                <m:t>VHRC</m:t>
              </m:r>
            </m:e>
            <m:sub>
              <m:r>
                <w:rPr>
                  <w:rFonts w:ascii="Cambria Math" w:hAnsi="Cambria Math"/>
                </w:rPr>
                <m:t>m,u,j</m:t>
              </m:r>
            </m:sub>
          </m:sSub>
          <m:r>
            <w:rPr>
              <w:rFonts w:ascii="Cambria Math" w:hAnsi="Cambria Math"/>
            </w:rPr>
            <m:t>*720</m:t>
          </m:r>
        </m:oMath>
      </m:oMathPara>
    </w:p>
    <w:p w14:paraId="3ABEA2B3" w14:textId="77777777" w:rsidR="00CE0D74" w:rsidRPr="00321B46" w:rsidRDefault="00CE0D74" w:rsidP="00CE0D74">
      <w:pPr>
        <w:spacing w:before="120"/>
        <w:ind w:left="1418" w:hanging="1418"/>
      </w:pPr>
      <w:r w:rsidRPr="00321B46">
        <w:rPr>
          <w:i/>
        </w:rPr>
        <w:t>IMRT</w:t>
      </w:r>
      <w:r w:rsidRPr="00321B46">
        <w:rPr>
          <w:i/>
          <w:vertAlign w:val="subscript"/>
        </w:rPr>
        <w:t>m,u</w:t>
      </w:r>
      <w:r w:rsidRPr="00321B46">
        <w:t>:</w:t>
      </w:r>
      <w:r w:rsidRPr="00321B46">
        <w:tab/>
        <w:t xml:space="preserve">Ingreso mensual temporal para el activo </w:t>
      </w:r>
      <w:r w:rsidRPr="00321B46">
        <w:rPr>
          <w:i/>
        </w:rPr>
        <w:t>u</w:t>
      </w:r>
      <w:r w:rsidRPr="00321B46">
        <w:t xml:space="preserve">, en el mes </w:t>
      </w:r>
      <w:r w:rsidRPr="00321B46">
        <w:rPr>
          <w:i/>
        </w:rPr>
        <w:t>m</w:t>
      </w:r>
      <w:r w:rsidRPr="00321B46">
        <w:t xml:space="preserve">, mientras el activo </w:t>
      </w:r>
      <w:r w:rsidRPr="00321B46">
        <w:rPr>
          <w:i/>
        </w:rPr>
        <w:t>u</w:t>
      </w:r>
      <w:r w:rsidRPr="00321B46">
        <w:t xml:space="preserve"> esté indisponible por las causas citadas en este numeral.</w:t>
      </w:r>
    </w:p>
    <w:p w14:paraId="3E746DD7" w14:textId="77777777" w:rsidR="00CE0D74" w:rsidRPr="00321B46" w:rsidRDefault="00CE0D74" w:rsidP="00CE0D74">
      <w:pPr>
        <w:spacing w:before="120"/>
        <w:ind w:left="1418" w:hanging="1418"/>
      </w:pPr>
      <w:r w:rsidRPr="00321B46">
        <w:rPr>
          <w:i/>
        </w:rPr>
        <w:t>mi</w:t>
      </w:r>
      <w:r w:rsidRPr="00321B46">
        <w:t>:</w:t>
      </w:r>
      <w:r w:rsidRPr="00321B46">
        <w:tab/>
        <w:t xml:space="preserve">Número de meses calendario completos transcurridos a partir de la ocurrencia del evento, incluido el mes </w:t>
      </w:r>
      <w:r w:rsidRPr="00321B46">
        <w:rPr>
          <w:i/>
        </w:rPr>
        <w:t>m</w:t>
      </w:r>
      <w:r w:rsidRPr="00321B46">
        <w:t>, durante los cuales el activo </w:t>
      </w:r>
      <w:r w:rsidRPr="00321B46">
        <w:rPr>
          <w:i/>
        </w:rPr>
        <w:t>u</w:t>
      </w:r>
      <w:r w:rsidRPr="00321B46">
        <w:t xml:space="preserve"> ha estado indisponible. </w:t>
      </w:r>
    </w:p>
    <w:p w14:paraId="13A6AF85" w14:textId="77777777" w:rsidR="00CE0D74" w:rsidRPr="00321B46" w:rsidRDefault="00CE0D74" w:rsidP="00CE0D74">
      <w:pPr>
        <w:spacing w:before="120"/>
        <w:ind w:left="1418" w:hanging="1418"/>
      </w:pPr>
      <w:r w:rsidRPr="00321B46">
        <w:rPr>
          <w:i/>
        </w:rPr>
        <w:t>VHRC</w:t>
      </w:r>
      <w:r w:rsidRPr="00321B46">
        <w:rPr>
          <w:i/>
          <w:vertAlign w:val="subscript"/>
        </w:rPr>
        <w:t>m,u,j</w:t>
      </w:r>
      <w:r w:rsidRPr="00321B46">
        <w:t>:</w:t>
      </w:r>
      <w:r w:rsidRPr="00321B46">
        <w:tab/>
        <w:t xml:space="preserve">Valor horario de referencia para el cálculo de la compensación del activo </w:t>
      </w:r>
      <w:r w:rsidRPr="00321B46">
        <w:rPr>
          <w:i/>
        </w:rPr>
        <w:t>u</w:t>
      </w:r>
      <w:r w:rsidRPr="00321B46">
        <w:t xml:space="preserve">, del TN </w:t>
      </w:r>
      <w:r w:rsidRPr="00321B46">
        <w:rPr>
          <w:i/>
        </w:rPr>
        <w:t>j</w:t>
      </w:r>
      <w:r w:rsidRPr="00321B46">
        <w:t xml:space="preserve">, durante el mes </w:t>
      </w:r>
      <w:r w:rsidRPr="00321B46">
        <w:rPr>
          <w:i/>
        </w:rPr>
        <w:t>m</w:t>
      </w:r>
      <w:r w:rsidRPr="00321B46">
        <w:t xml:space="preserve">. </w:t>
      </w:r>
    </w:p>
    <w:p w14:paraId="7CA82FB2" w14:textId="77777777" w:rsidR="00CE0D74" w:rsidRPr="00321B46" w:rsidRDefault="00CE0D74" w:rsidP="00BF7220">
      <w:pPr>
        <w:pStyle w:val="Ttulo2"/>
      </w:pPr>
      <w:bookmarkStart w:id="350" w:name="_Ref184402103"/>
      <w:bookmarkStart w:id="351" w:name="_Toc195670139"/>
      <w:bookmarkStart w:id="352" w:name="_Toc195686833"/>
      <w:bookmarkStart w:id="353" w:name="_Toc195781011"/>
      <w:bookmarkStart w:id="354" w:name="_Toc210616100"/>
      <w:bookmarkStart w:id="355" w:name="_Toc404020421"/>
      <w:bookmarkStart w:id="356" w:name="_Toc409016125"/>
      <w:bookmarkStart w:id="357" w:name="_Toc466392664"/>
      <w:r w:rsidRPr="00321B46">
        <w:t>C</w:t>
      </w:r>
      <w:r w:rsidR="00082E7E" w:rsidRPr="00321B46">
        <w:t>ompensaciones</w:t>
      </w:r>
      <w:bookmarkEnd w:id="350"/>
      <w:bookmarkEnd w:id="351"/>
      <w:bookmarkEnd w:id="352"/>
      <w:bookmarkEnd w:id="353"/>
      <w:bookmarkEnd w:id="354"/>
      <w:bookmarkEnd w:id="355"/>
      <w:bookmarkEnd w:id="356"/>
      <w:bookmarkEnd w:id="357"/>
      <w:r w:rsidR="00082E7E" w:rsidRPr="00321B46">
        <w:t xml:space="preserve"> </w:t>
      </w:r>
    </w:p>
    <w:p w14:paraId="5B3AAA36" w14:textId="77777777" w:rsidR="00CE0D74" w:rsidRPr="00321B46" w:rsidRDefault="00CE0D74" w:rsidP="00CE0D74">
      <w:pPr>
        <w:pStyle w:val="Ttulo3"/>
        <w:rPr>
          <w:szCs w:val="24"/>
        </w:rPr>
      </w:pPr>
      <w:bookmarkStart w:id="358" w:name="_Ref185743053"/>
      <w:bookmarkStart w:id="359" w:name="_Toc195670140"/>
      <w:bookmarkStart w:id="360" w:name="_Toc195686834"/>
      <w:bookmarkStart w:id="361" w:name="_Toc195781012"/>
      <w:bookmarkStart w:id="362" w:name="_Toc210616101"/>
      <w:bookmarkStart w:id="363" w:name="_Toc404020422"/>
      <w:bookmarkStart w:id="364" w:name="_Toc409016126"/>
      <w:bookmarkStart w:id="365" w:name="_Toc466392665"/>
      <w:r w:rsidRPr="00321B46">
        <w:rPr>
          <w:szCs w:val="24"/>
        </w:rPr>
        <w:t>Compensaciones por incumplimiento de las metas</w:t>
      </w:r>
      <w:bookmarkEnd w:id="358"/>
      <w:bookmarkEnd w:id="359"/>
      <w:bookmarkEnd w:id="360"/>
      <w:bookmarkEnd w:id="361"/>
      <w:bookmarkEnd w:id="362"/>
      <w:bookmarkEnd w:id="363"/>
      <w:bookmarkEnd w:id="364"/>
      <w:bookmarkEnd w:id="365"/>
    </w:p>
    <w:p w14:paraId="74A0BED8" w14:textId="77777777" w:rsidR="00CE0D74" w:rsidRPr="00321B46" w:rsidRDefault="00CE0D74" w:rsidP="00CE0D74">
      <w:pPr>
        <w:rPr>
          <w:rFonts w:cs="Arial"/>
        </w:rPr>
      </w:pPr>
      <w:r w:rsidRPr="00321B46">
        <w:rPr>
          <w:rFonts w:cs="Arial"/>
        </w:rPr>
        <w:t xml:space="preserve">Las compensaciones que deberán ser asumidas por el TN o los TN responsables de los activos que conforman los grupos de activos con horas de indisponibilidad acumuladas, </w:t>
      </w:r>
      <w:r w:rsidRPr="00321B46">
        <w:rPr>
          <w:rFonts w:cs="Arial"/>
          <w:i/>
        </w:rPr>
        <w:t>HIDA,</w:t>
      </w:r>
      <w:r w:rsidRPr="00321B46">
        <w:rPr>
          <w:rFonts w:cs="Arial"/>
        </w:rPr>
        <w:t xml:space="preserve"> que superen las máximas horas anuales de indisponibilidad ajustadas, </w:t>
      </w:r>
      <w:r w:rsidRPr="00321B46">
        <w:rPr>
          <w:rFonts w:cs="Arial"/>
          <w:i/>
        </w:rPr>
        <w:t>MHAIA</w:t>
      </w:r>
      <w:r w:rsidRPr="00321B46">
        <w:rPr>
          <w:rFonts w:cs="Arial"/>
        </w:rPr>
        <w:t xml:space="preserve">, se calcularán con base en la información obtenida por el CND y conforme a las siguientes fórmulas: </w:t>
      </w:r>
    </w:p>
    <w:p w14:paraId="55C64D84" w14:textId="77777777" w:rsidR="00CE0D74" w:rsidRPr="00321B46" w:rsidRDefault="00651802" w:rsidP="00CE0D74">
      <w:pPr>
        <w:jc w:val="center"/>
        <w:rPr>
          <w:rFonts w:cs="Arial"/>
          <w:position w:val="-28"/>
        </w:rPr>
      </w:pPr>
      <m:oMathPara>
        <m:oMath>
          <m:sSub>
            <m:sSubPr>
              <m:ctrlPr>
                <w:rPr>
                  <w:rFonts w:ascii="Cambria Math" w:hAnsi="Cambria Math" w:cs="Arial"/>
                  <w:i/>
                </w:rPr>
              </m:ctrlPr>
            </m:sSubPr>
            <m:e>
              <m:r>
                <w:rPr>
                  <w:rFonts w:ascii="Cambria Math" w:hAnsi="Cambria Math" w:cs="Arial"/>
                </w:rPr>
                <m:t>HIDA</m:t>
              </m:r>
            </m:e>
            <m:sub>
              <m:r>
                <w:rPr>
                  <w:rFonts w:ascii="Cambria Math" w:hAnsi="Cambria Math" w:cs="Arial"/>
                </w:rPr>
                <m:t>m,gu</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u=1</m:t>
              </m:r>
            </m:sub>
            <m:sup>
              <m:r>
                <w:rPr>
                  <w:rFonts w:ascii="Cambria Math" w:hAnsi="Cambria Math" w:cs="Arial"/>
                </w:rPr>
                <m:t>NGU</m:t>
              </m:r>
            </m:sup>
            <m:e>
              <m:nary>
                <m:naryPr>
                  <m:chr m:val="∑"/>
                  <m:limLoc m:val="undOvr"/>
                  <m:ctrlPr>
                    <w:rPr>
                      <w:rFonts w:ascii="Cambria Math" w:hAnsi="Cambria Math" w:cs="Arial"/>
                      <w:i/>
                    </w:rPr>
                  </m:ctrlPr>
                </m:naryPr>
                <m:sub>
                  <m:r>
                    <w:rPr>
                      <w:rFonts w:ascii="Cambria Math" w:hAnsi="Cambria Math" w:cs="Arial"/>
                    </w:rPr>
                    <m:t>ma=m-11</m:t>
                  </m:r>
                </m:sub>
                <m:sup>
                  <m:r>
                    <w:rPr>
                      <w:rFonts w:ascii="Cambria Math" w:hAnsi="Cambria Math" w:cs="Arial"/>
                    </w:rPr>
                    <m:t>m</m:t>
                  </m:r>
                </m:sup>
                <m:e>
                  <m:sSub>
                    <m:sSubPr>
                      <m:ctrlPr>
                        <w:rPr>
                          <w:rFonts w:ascii="Cambria Math" w:hAnsi="Cambria Math" w:cs="Arial"/>
                          <w:i/>
                        </w:rPr>
                      </m:ctrlPr>
                    </m:sSubPr>
                    <m:e>
                      <m:r>
                        <w:rPr>
                          <w:rFonts w:ascii="Cambria Math" w:hAnsi="Cambria Math" w:cs="Arial"/>
                        </w:rPr>
                        <m:t>HID</m:t>
                      </m:r>
                    </m:e>
                    <m:sub>
                      <m:r>
                        <w:rPr>
                          <w:rFonts w:ascii="Cambria Math" w:hAnsi="Cambria Math" w:cs="Arial"/>
                        </w:rPr>
                        <m:t>ma,u</m:t>
                      </m:r>
                    </m:sub>
                  </m:sSub>
                </m:e>
              </m:nary>
            </m:e>
          </m:nary>
        </m:oMath>
      </m:oMathPara>
    </w:p>
    <w:p w14:paraId="3398B445" w14:textId="77777777" w:rsidR="00CE0D74" w:rsidRPr="00321B46" w:rsidRDefault="00CE0D74" w:rsidP="00CE0D74">
      <w:pPr>
        <w:rPr>
          <w:rFonts w:cs="Arial"/>
        </w:rPr>
      </w:pPr>
      <w:r w:rsidRPr="00321B46">
        <w:rPr>
          <w:rFonts w:cs="Arial"/>
        </w:rPr>
        <w:t xml:space="preserve">Si para el grupo de activos </w:t>
      </w:r>
      <w:r w:rsidRPr="00321B46">
        <w:rPr>
          <w:rFonts w:cs="Arial"/>
          <w:i/>
        </w:rPr>
        <w:t>gu</w:t>
      </w:r>
      <w:r w:rsidRPr="00321B46">
        <w:rPr>
          <w:rFonts w:cs="Arial"/>
        </w:rPr>
        <w:t xml:space="preserve"> en el mes </w:t>
      </w:r>
      <w:r w:rsidRPr="00321B46">
        <w:rPr>
          <w:rFonts w:cs="Arial"/>
          <w:i/>
        </w:rPr>
        <w:t>m</w:t>
      </w:r>
      <w:r w:rsidRPr="00321B46">
        <w:rPr>
          <w:rFonts w:cs="Arial"/>
        </w:rPr>
        <w:t xml:space="preserve"> se obtiene que </w:t>
      </w:r>
      <w:r w:rsidRPr="00321B46">
        <w:rPr>
          <w:rFonts w:cs="Arial"/>
          <w:i/>
        </w:rPr>
        <w:t>HIDA</w:t>
      </w:r>
      <w:r w:rsidRPr="00321B46">
        <w:rPr>
          <w:rFonts w:cs="Arial"/>
          <w:i/>
          <w:vertAlign w:val="subscript"/>
        </w:rPr>
        <w:t>m,gu</w:t>
      </w:r>
      <w:r w:rsidRPr="00321B46">
        <w:rPr>
          <w:rFonts w:cs="Arial"/>
        </w:rPr>
        <w:t xml:space="preserve"> ≤ </w:t>
      </w:r>
      <w:r w:rsidRPr="00321B46">
        <w:rPr>
          <w:rFonts w:cs="Arial"/>
          <w:i/>
        </w:rPr>
        <w:t>MHAIA</w:t>
      </w:r>
      <w:r w:rsidRPr="00321B46">
        <w:rPr>
          <w:rFonts w:cs="Arial"/>
          <w:i/>
          <w:vertAlign w:val="subscript"/>
        </w:rPr>
        <w:t>m,gu</w:t>
      </w:r>
      <w:r w:rsidRPr="00321B46">
        <w:rPr>
          <w:rFonts w:cs="Arial"/>
        </w:rPr>
        <w:t xml:space="preserve"> entonces las horas a compensar, </w:t>
      </w:r>
      <w:r w:rsidRPr="00321B46">
        <w:rPr>
          <w:rFonts w:cs="Arial"/>
          <w:i/>
        </w:rPr>
        <w:t>HC</w:t>
      </w:r>
      <w:r w:rsidRPr="00321B46">
        <w:rPr>
          <w:rFonts w:cs="Arial"/>
          <w:i/>
          <w:vertAlign w:val="subscript"/>
        </w:rPr>
        <w:t>m,gu</w:t>
      </w:r>
      <w:r w:rsidRPr="00321B46">
        <w:rPr>
          <w:rFonts w:cs="Arial"/>
        </w:rPr>
        <w:t>, serán iguales a cero.</w:t>
      </w:r>
    </w:p>
    <w:p w14:paraId="04488373" w14:textId="77777777" w:rsidR="00CE0D74" w:rsidRPr="00321B46" w:rsidRDefault="00CE0D74" w:rsidP="00CE0D74">
      <w:pPr>
        <w:rPr>
          <w:rFonts w:cs="Arial"/>
        </w:rPr>
      </w:pPr>
      <w:r w:rsidRPr="00321B46">
        <w:rPr>
          <w:rFonts w:cs="Arial"/>
        </w:rPr>
        <w:t xml:space="preserve">Por el contrario, si para el grupo de activos </w:t>
      </w:r>
      <w:r w:rsidRPr="00321B46">
        <w:rPr>
          <w:rFonts w:cs="Arial"/>
          <w:i/>
        </w:rPr>
        <w:t>gu</w:t>
      </w:r>
      <w:r w:rsidRPr="00321B46">
        <w:rPr>
          <w:rFonts w:cs="Arial"/>
        </w:rPr>
        <w:t xml:space="preserve"> en el mes </w:t>
      </w:r>
      <w:r w:rsidRPr="00321B46">
        <w:rPr>
          <w:rFonts w:cs="Arial"/>
          <w:i/>
        </w:rPr>
        <w:t>m</w:t>
      </w:r>
      <w:r w:rsidRPr="00321B46">
        <w:rPr>
          <w:rFonts w:cs="Arial"/>
        </w:rPr>
        <w:t xml:space="preserve"> se obtiene que </w:t>
      </w:r>
      <w:r w:rsidRPr="00321B46">
        <w:rPr>
          <w:rFonts w:cs="Arial"/>
          <w:i/>
        </w:rPr>
        <w:t>HIDA</w:t>
      </w:r>
      <w:r w:rsidRPr="00321B46">
        <w:rPr>
          <w:rFonts w:cs="Arial"/>
          <w:i/>
          <w:vertAlign w:val="subscript"/>
        </w:rPr>
        <w:t>m,gu</w:t>
      </w:r>
      <w:r w:rsidRPr="00321B46">
        <w:rPr>
          <w:rFonts w:cs="Arial"/>
        </w:rPr>
        <w:t xml:space="preserve"> &gt; </w:t>
      </w:r>
      <w:r w:rsidRPr="00321B46">
        <w:rPr>
          <w:rFonts w:cs="Arial"/>
          <w:i/>
        </w:rPr>
        <w:t>MHAIA</w:t>
      </w:r>
      <w:r w:rsidRPr="00321B46">
        <w:rPr>
          <w:rFonts w:cs="Arial"/>
          <w:i/>
          <w:vertAlign w:val="subscript"/>
        </w:rPr>
        <w:t>m,gu</w:t>
      </w:r>
      <w:r w:rsidRPr="00321B46">
        <w:rPr>
          <w:rFonts w:cs="Arial"/>
        </w:rPr>
        <w:t xml:space="preserve"> entonces las horas a compensar se calcularán como se muestra a continuación:</w:t>
      </w:r>
    </w:p>
    <w:p w14:paraId="6CE79815" w14:textId="77777777" w:rsidR="00CE0D74" w:rsidRPr="00321B46" w:rsidRDefault="00651802" w:rsidP="00CE0D74">
      <w:pPr>
        <w:rPr>
          <w:rFonts w:cs="Arial"/>
        </w:rPr>
      </w:pPr>
      <m:oMathPara>
        <m:oMath>
          <m:sSub>
            <m:sSubPr>
              <m:ctrlPr>
                <w:rPr>
                  <w:rFonts w:ascii="Cambria Math" w:hAnsi="Cambria Math" w:cs="Arial"/>
                  <w:i/>
                </w:rPr>
              </m:ctrlPr>
            </m:sSubPr>
            <m:e>
              <m:r>
                <w:rPr>
                  <w:rFonts w:ascii="Cambria Math" w:hAnsi="Cambria Math" w:cs="Arial"/>
                </w:rPr>
                <m:t>HC</m:t>
              </m:r>
            </m:e>
            <m:sub>
              <m:r>
                <w:rPr>
                  <w:rFonts w:ascii="Cambria Math" w:hAnsi="Cambria Math" w:cs="Arial"/>
                </w:rPr>
                <m:t>m,gu</m:t>
              </m:r>
            </m:sub>
          </m:sSub>
          <m:r>
            <w:rPr>
              <w:rFonts w:ascii="Cambria Math" w:hAnsi="Cambria Math" w:cs="Arial"/>
            </w:rPr>
            <m:t>=max</m:t>
          </m:r>
          <m:d>
            <m:dPr>
              <m:ctrlPr>
                <w:rPr>
                  <w:rFonts w:ascii="Cambria Math" w:hAnsi="Cambria Math" w:cs="Arial"/>
                  <w:i/>
                </w:rPr>
              </m:ctrlPr>
            </m:dPr>
            <m:e>
              <m:r>
                <w:rPr>
                  <w:rFonts w:ascii="Cambria Math" w:hAnsi="Cambria Math" w:cs="Arial"/>
                </w:rPr>
                <m:t>0,</m:t>
              </m:r>
              <m:sSub>
                <m:sSubPr>
                  <m:ctrlPr>
                    <w:rPr>
                      <w:rFonts w:ascii="Cambria Math" w:hAnsi="Cambria Math" w:cs="Arial"/>
                      <w:i/>
                    </w:rPr>
                  </m:ctrlPr>
                </m:sSubPr>
                <m:e>
                  <m:r>
                    <w:rPr>
                      <w:rFonts w:ascii="Cambria Math" w:hAnsi="Cambria Math" w:cs="Arial"/>
                    </w:rPr>
                    <m:t>HIDA</m:t>
                  </m:r>
                </m:e>
                <m:sub>
                  <m:r>
                    <w:rPr>
                      <w:rFonts w:ascii="Cambria Math" w:hAnsi="Cambria Math" w:cs="Arial"/>
                    </w:rPr>
                    <m:t>m,gu</m:t>
                  </m:r>
                </m:sub>
              </m:sSub>
              <m:r>
                <w:rPr>
                  <w:rFonts w:ascii="Cambria Math" w:hAnsi="Cambria Math" w:cs="Arial"/>
                </w:rPr>
                <m:t>-</m:t>
              </m:r>
              <m:sSub>
                <m:sSubPr>
                  <m:ctrlPr>
                    <w:rPr>
                      <w:rFonts w:ascii="Cambria Math" w:hAnsi="Cambria Math" w:cs="Arial"/>
                      <w:i/>
                    </w:rPr>
                  </m:ctrlPr>
                </m:sSubPr>
                <m:e>
                  <m:r>
                    <w:rPr>
                      <w:rFonts w:ascii="Cambria Math" w:hAnsi="Cambria Math" w:cs="Arial"/>
                    </w:rPr>
                    <m:t>MHAIA</m:t>
                  </m:r>
                </m:e>
                <m:sub>
                  <m:r>
                    <w:rPr>
                      <w:rFonts w:ascii="Cambria Math" w:hAnsi="Cambria Math" w:cs="Arial"/>
                    </w:rPr>
                    <m:t>m,gu</m:t>
                  </m:r>
                </m:sub>
              </m:sSub>
              <m:r>
                <w:rPr>
                  <w:rFonts w:ascii="Cambria Math" w:hAnsi="Cambria Math" w:cs="Arial"/>
                </w:rPr>
                <m:t>-</m:t>
              </m:r>
              <m:sSub>
                <m:sSubPr>
                  <m:ctrlPr>
                    <w:rPr>
                      <w:rFonts w:ascii="Cambria Math" w:hAnsi="Cambria Math" w:cs="Arial"/>
                      <w:i/>
                    </w:rPr>
                  </m:ctrlPr>
                </m:sSubPr>
                <m:e>
                  <m:r>
                    <w:rPr>
                      <w:rFonts w:ascii="Cambria Math" w:hAnsi="Cambria Math" w:cs="Arial"/>
                    </w:rPr>
                    <m:t>THC</m:t>
                  </m:r>
                </m:e>
                <m:sub>
                  <m:r>
                    <w:rPr>
                      <w:rFonts w:ascii="Cambria Math" w:hAnsi="Cambria Math" w:cs="Arial"/>
                    </w:rPr>
                    <m:t>m-1,gu</m:t>
                  </m:r>
                </m:sub>
              </m:sSub>
            </m:e>
          </m:d>
        </m:oMath>
      </m:oMathPara>
    </w:p>
    <w:p w14:paraId="0BC25E82" w14:textId="77777777" w:rsidR="00CE0D74" w:rsidRPr="00321B46" w:rsidRDefault="00651802" w:rsidP="00CE0D74">
      <w:pPr>
        <w:jc w:val="center"/>
        <w:rPr>
          <w:rFonts w:cs="Arial"/>
          <w:position w:val="-28"/>
        </w:rPr>
      </w:pPr>
      <m:oMathPara>
        <m:oMath>
          <m:sSub>
            <m:sSubPr>
              <m:ctrlPr>
                <w:rPr>
                  <w:rFonts w:ascii="Cambria Math" w:hAnsi="Cambria Math" w:cs="Arial"/>
                  <w:i/>
                </w:rPr>
              </m:ctrlPr>
            </m:sSubPr>
            <m:e>
              <m:r>
                <w:rPr>
                  <w:rFonts w:ascii="Cambria Math" w:hAnsi="Cambria Math" w:cs="Arial"/>
                </w:rPr>
                <m:t>THC</m:t>
              </m:r>
            </m:e>
            <m:sub>
              <m:r>
                <w:rPr>
                  <w:rFonts w:ascii="Cambria Math" w:hAnsi="Cambria Math" w:cs="Arial"/>
                </w:rPr>
                <m:t>m-1,gu</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ma=m-11</m:t>
              </m:r>
            </m:sub>
            <m:sup>
              <m:r>
                <w:rPr>
                  <w:rFonts w:ascii="Cambria Math" w:hAnsi="Cambria Math" w:cs="Arial"/>
                </w:rPr>
                <m:t>m-1</m:t>
              </m:r>
            </m:sup>
            <m:e>
              <m:sSub>
                <m:sSubPr>
                  <m:ctrlPr>
                    <w:rPr>
                      <w:rFonts w:ascii="Cambria Math" w:hAnsi="Cambria Math" w:cs="Arial"/>
                      <w:i/>
                    </w:rPr>
                  </m:ctrlPr>
                </m:sSubPr>
                <m:e>
                  <m:r>
                    <w:rPr>
                      <w:rFonts w:ascii="Cambria Math" w:hAnsi="Cambria Math" w:cs="Arial"/>
                    </w:rPr>
                    <m:t>HC</m:t>
                  </m:r>
                </m:e>
                <m:sub>
                  <m:r>
                    <w:rPr>
                      <w:rFonts w:ascii="Cambria Math" w:hAnsi="Cambria Math" w:cs="Arial"/>
                    </w:rPr>
                    <m:t>ma,gu</m:t>
                  </m:r>
                </m:sub>
              </m:sSub>
            </m:e>
          </m:nary>
        </m:oMath>
      </m:oMathPara>
    </w:p>
    <w:p w14:paraId="3AB064E3" w14:textId="77777777" w:rsidR="00CE0D74" w:rsidRPr="00321B46" w:rsidRDefault="00CE0D74" w:rsidP="00CE0D74">
      <w:pPr>
        <w:rPr>
          <w:rFonts w:cs="Arial"/>
        </w:rPr>
      </w:pPr>
      <w:r w:rsidRPr="00321B46">
        <w:rPr>
          <w:rFonts w:cs="Arial"/>
        </w:rPr>
        <w:t xml:space="preserve">La compensación para cada activo </w:t>
      </w:r>
      <w:r w:rsidRPr="00321B46">
        <w:rPr>
          <w:rFonts w:cs="Arial"/>
          <w:i/>
        </w:rPr>
        <w:t>u</w:t>
      </w:r>
      <w:r w:rsidRPr="00321B46">
        <w:rPr>
          <w:rFonts w:cs="Arial"/>
        </w:rPr>
        <w:t xml:space="preserve"> por incumplimiento de los máximos permitidos de indisponibilidad se calculará con:</w:t>
      </w:r>
    </w:p>
    <w:p w14:paraId="1C1B3321" w14:textId="77777777" w:rsidR="00CE0D74" w:rsidRPr="00321B46" w:rsidRDefault="00651802" w:rsidP="00CE0D74">
      <w:pPr>
        <w:jc w:val="center"/>
        <w:rPr>
          <w:rFonts w:cs="Arial"/>
        </w:rPr>
      </w:pPr>
      <m:oMathPara>
        <m:oMath>
          <m:sSub>
            <m:sSubPr>
              <m:ctrlPr>
                <w:rPr>
                  <w:rFonts w:ascii="Cambria Math" w:hAnsi="Cambria Math" w:cs="Arial"/>
                  <w:i/>
                </w:rPr>
              </m:ctrlPr>
            </m:sSubPr>
            <m:e>
              <m:r>
                <w:rPr>
                  <w:rFonts w:ascii="Cambria Math" w:hAnsi="Cambria Math" w:cs="Arial"/>
                </w:rPr>
                <m:t>CIM</m:t>
              </m:r>
            </m:e>
            <m:sub>
              <m:r>
                <w:rPr>
                  <w:rFonts w:ascii="Cambria Math" w:hAnsi="Cambria Math" w:cs="Arial"/>
                </w:rPr>
                <m:t>m,u</m:t>
              </m:r>
            </m:sub>
          </m:sSub>
          <m:r>
            <w:rPr>
              <w:rFonts w:ascii="Cambria Math" w:hAnsi="Cambria Math" w:cs="Arial"/>
            </w:rPr>
            <m:t>=</m:t>
          </m:r>
          <m:sSub>
            <m:sSubPr>
              <m:ctrlPr>
                <w:rPr>
                  <w:rFonts w:ascii="Cambria Math" w:hAnsi="Cambria Math" w:cs="Arial"/>
                  <w:i/>
                </w:rPr>
              </m:ctrlPr>
            </m:sSubPr>
            <m:e>
              <m:r>
                <w:rPr>
                  <w:rFonts w:ascii="Cambria Math" w:hAnsi="Cambria Math" w:cs="Arial"/>
                </w:rPr>
                <m:t>HC</m:t>
              </m:r>
            </m:e>
            <m:sub>
              <m:r>
                <w:rPr>
                  <w:rFonts w:ascii="Cambria Math" w:hAnsi="Cambria Math" w:cs="Arial"/>
                </w:rPr>
                <m:t>m,gu</m:t>
              </m:r>
            </m:sub>
          </m:sSub>
          <m:r>
            <w:rPr>
              <w:rFonts w:ascii="Cambria Math" w:hAnsi="Cambria Math" w:cs="Arial"/>
            </w:rPr>
            <m:t>*</m:t>
          </m:r>
          <m:sSub>
            <m:sSubPr>
              <m:ctrlPr>
                <w:rPr>
                  <w:rFonts w:ascii="Cambria Math" w:hAnsi="Cambria Math" w:cs="Arial"/>
                  <w:i/>
                </w:rPr>
              </m:ctrlPr>
            </m:sSubPr>
            <m:e>
              <m:r>
                <w:rPr>
                  <w:rFonts w:ascii="Cambria Math" w:hAnsi="Cambria Math" w:cs="Arial"/>
                </w:rPr>
                <m:t>VHRC</m:t>
              </m:r>
            </m:e>
            <m:sub>
              <m:r>
                <w:rPr>
                  <w:rFonts w:ascii="Cambria Math" w:hAnsi="Cambria Math" w:cs="Arial"/>
                </w:rPr>
                <m:t>m,u,j</m:t>
              </m:r>
            </m:sub>
          </m:sSub>
        </m:oMath>
      </m:oMathPara>
    </w:p>
    <w:p w14:paraId="5A854A95" w14:textId="77777777" w:rsidR="00CE0D74" w:rsidRPr="00321B46" w:rsidRDefault="00CE0D74" w:rsidP="00CE0D74">
      <w:pPr>
        <w:rPr>
          <w:rFonts w:cs="Arial"/>
        </w:rPr>
      </w:pPr>
      <w:r w:rsidRPr="00321B46">
        <w:rPr>
          <w:rFonts w:cs="Arial"/>
        </w:rPr>
        <w:t>Donde:</w:t>
      </w:r>
    </w:p>
    <w:p w14:paraId="468B2EEA" w14:textId="77777777" w:rsidR="00CE0D74" w:rsidRPr="00321B46" w:rsidRDefault="00CE0D74" w:rsidP="00CE0D74">
      <w:pPr>
        <w:tabs>
          <w:tab w:val="left" w:pos="1701"/>
        </w:tabs>
        <w:spacing w:before="120"/>
        <w:ind w:left="1418" w:hanging="1418"/>
        <w:rPr>
          <w:rFonts w:cs="Arial"/>
        </w:rPr>
      </w:pPr>
      <w:r w:rsidRPr="00321B46">
        <w:rPr>
          <w:rFonts w:cs="Arial"/>
          <w:i/>
        </w:rPr>
        <w:t>HIDA</w:t>
      </w:r>
      <w:r w:rsidRPr="00321B46">
        <w:rPr>
          <w:rFonts w:cs="Arial"/>
          <w:i/>
          <w:vertAlign w:val="subscript"/>
        </w:rPr>
        <w:t>m,gu</w:t>
      </w:r>
      <w:r w:rsidRPr="00321B46">
        <w:rPr>
          <w:rFonts w:cs="Arial"/>
        </w:rPr>
        <w:t xml:space="preserve">: </w:t>
      </w:r>
      <w:r w:rsidRPr="00321B46">
        <w:rPr>
          <w:rFonts w:cs="Arial"/>
        </w:rPr>
        <w:tab/>
        <w:t xml:space="preserve">Horas de indisponibilidad acumulada del grupo de activos </w:t>
      </w:r>
      <w:r w:rsidRPr="00321B46">
        <w:rPr>
          <w:rFonts w:cs="Arial"/>
          <w:i/>
        </w:rPr>
        <w:t>gu</w:t>
      </w:r>
      <w:r w:rsidRPr="00321B46">
        <w:rPr>
          <w:rFonts w:cs="Arial"/>
        </w:rPr>
        <w:t xml:space="preserve">, en un periodo de doce meses que termina en el mes </w:t>
      </w:r>
      <w:r w:rsidRPr="00321B46">
        <w:rPr>
          <w:rFonts w:cs="Arial"/>
          <w:i/>
        </w:rPr>
        <w:t>m</w:t>
      </w:r>
      <w:r w:rsidRPr="00321B46">
        <w:rPr>
          <w:rFonts w:cs="Arial"/>
        </w:rPr>
        <w:t>.</w:t>
      </w:r>
    </w:p>
    <w:p w14:paraId="6493995A" w14:textId="77777777" w:rsidR="00CE0D74" w:rsidRPr="00321B46" w:rsidRDefault="00CE0D74" w:rsidP="00CE0D74">
      <w:pPr>
        <w:tabs>
          <w:tab w:val="left" w:pos="1701"/>
        </w:tabs>
        <w:spacing w:before="120"/>
        <w:ind w:left="1418" w:hanging="1418"/>
        <w:rPr>
          <w:rFonts w:cs="Arial"/>
        </w:rPr>
      </w:pPr>
      <w:r w:rsidRPr="00321B46">
        <w:rPr>
          <w:rFonts w:cs="Arial"/>
          <w:i/>
        </w:rPr>
        <w:t>HID</w:t>
      </w:r>
      <w:r w:rsidRPr="00321B46">
        <w:rPr>
          <w:rFonts w:cs="Arial"/>
          <w:i/>
          <w:vertAlign w:val="subscript"/>
        </w:rPr>
        <w:t>m,u</w:t>
      </w:r>
      <w:r w:rsidRPr="00321B46">
        <w:rPr>
          <w:rFonts w:cs="Arial"/>
        </w:rPr>
        <w:t xml:space="preserve">: </w:t>
      </w:r>
      <w:r w:rsidRPr="00321B46">
        <w:rPr>
          <w:rFonts w:cs="Arial"/>
        </w:rPr>
        <w:tab/>
        <w:t xml:space="preserve">Horas de indisponibilidad de cada uno de los activos </w:t>
      </w:r>
      <w:r w:rsidRPr="00321B46">
        <w:rPr>
          <w:rFonts w:cs="Arial"/>
          <w:i/>
        </w:rPr>
        <w:t>u</w:t>
      </w:r>
      <w:r w:rsidRPr="00321B46">
        <w:rPr>
          <w:rFonts w:cs="Arial"/>
        </w:rPr>
        <w:t xml:space="preserve"> que conforman el grupo de activos </w:t>
      </w:r>
      <w:r w:rsidRPr="00321B46">
        <w:rPr>
          <w:rFonts w:cs="Arial"/>
          <w:i/>
        </w:rPr>
        <w:t>gu</w:t>
      </w:r>
      <w:r w:rsidRPr="00321B46">
        <w:rPr>
          <w:rFonts w:cs="Arial"/>
        </w:rPr>
        <w:t xml:space="preserve">, durante el mes </w:t>
      </w:r>
      <w:r w:rsidRPr="00321B46">
        <w:rPr>
          <w:rFonts w:cs="Arial"/>
          <w:i/>
        </w:rPr>
        <w:t>m</w:t>
      </w:r>
      <w:r w:rsidRPr="00321B46">
        <w:rPr>
          <w:rFonts w:cs="Arial"/>
        </w:rPr>
        <w:t xml:space="preserve">. </w:t>
      </w:r>
    </w:p>
    <w:p w14:paraId="0D6F0371" w14:textId="77777777" w:rsidR="00CE0D74" w:rsidRPr="00321B46" w:rsidRDefault="00CE0D74" w:rsidP="00CE0D74">
      <w:pPr>
        <w:tabs>
          <w:tab w:val="left" w:pos="1701"/>
        </w:tabs>
        <w:spacing w:before="120"/>
        <w:ind w:left="1418" w:hanging="1418"/>
        <w:rPr>
          <w:rFonts w:cs="Arial"/>
        </w:rPr>
      </w:pPr>
      <w:r w:rsidRPr="00321B46">
        <w:rPr>
          <w:rFonts w:cs="Arial"/>
          <w:i/>
        </w:rPr>
        <w:t>ma</w:t>
      </w:r>
      <w:r w:rsidRPr="00321B46">
        <w:rPr>
          <w:rFonts w:cs="Arial"/>
        </w:rPr>
        <w:t>:</w:t>
      </w:r>
      <w:r w:rsidRPr="00321B46">
        <w:rPr>
          <w:rFonts w:cs="Arial"/>
        </w:rPr>
        <w:tab/>
        <w:t xml:space="preserve">Mes o meses anteriores al mes m. </w:t>
      </w:r>
    </w:p>
    <w:p w14:paraId="76E3AF2F" w14:textId="77777777" w:rsidR="00CE0D74" w:rsidRPr="00321B46" w:rsidRDefault="00CE0D74" w:rsidP="00CE0D74">
      <w:pPr>
        <w:spacing w:before="120"/>
        <w:ind w:left="1418" w:hanging="1418"/>
        <w:rPr>
          <w:rFonts w:cs="Arial"/>
        </w:rPr>
      </w:pPr>
      <w:r w:rsidRPr="00321B46">
        <w:rPr>
          <w:rFonts w:cs="Arial"/>
          <w:i/>
        </w:rPr>
        <w:t>NGU</w:t>
      </w:r>
      <w:r w:rsidRPr="00321B46">
        <w:rPr>
          <w:rFonts w:cs="Arial"/>
        </w:rPr>
        <w:t>:</w:t>
      </w:r>
      <w:r w:rsidRPr="00321B46">
        <w:rPr>
          <w:rFonts w:cs="Arial"/>
        </w:rPr>
        <w:tab/>
        <w:t xml:space="preserve">Número de activos que conforman el grupo de activos </w:t>
      </w:r>
      <w:r w:rsidRPr="00321B46">
        <w:rPr>
          <w:rFonts w:cs="Arial"/>
          <w:i/>
        </w:rPr>
        <w:t>gu.</w:t>
      </w:r>
    </w:p>
    <w:p w14:paraId="17C49391" w14:textId="77777777" w:rsidR="00CE0D74" w:rsidRPr="00321B46" w:rsidRDefault="00CE0D74" w:rsidP="00CE0D74">
      <w:pPr>
        <w:tabs>
          <w:tab w:val="left" w:pos="1701"/>
        </w:tabs>
        <w:spacing w:before="120"/>
        <w:ind w:left="1418" w:hanging="1418"/>
        <w:rPr>
          <w:rFonts w:cs="Arial"/>
        </w:rPr>
      </w:pPr>
      <w:r w:rsidRPr="00321B46">
        <w:rPr>
          <w:rFonts w:cs="Arial"/>
          <w:i/>
        </w:rPr>
        <w:t>HC</w:t>
      </w:r>
      <w:r w:rsidRPr="00321B46">
        <w:rPr>
          <w:rFonts w:cs="Arial"/>
          <w:i/>
          <w:vertAlign w:val="subscript"/>
        </w:rPr>
        <w:t>m,gu</w:t>
      </w:r>
      <w:r w:rsidRPr="00321B46">
        <w:rPr>
          <w:rFonts w:cs="Arial"/>
        </w:rPr>
        <w:t>:</w:t>
      </w:r>
      <w:r w:rsidRPr="00321B46">
        <w:rPr>
          <w:rFonts w:cs="Arial"/>
        </w:rPr>
        <w:tab/>
        <w:t xml:space="preserve">Horas a compensar por el grupo de activos </w:t>
      </w:r>
      <w:r w:rsidRPr="00321B46">
        <w:rPr>
          <w:rFonts w:cs="Arial"/>
          <w:i/>
        </w:rPr>
        <w:t>gu</w:t>
      </w:r>
      <w:r w:rsidRPr="00321B46">
        <w:rPr>
          <w:rFonts w:cs="Arial"/>
        </w:rPr>
        <w:t xml:space="preserve"> al cual pertenece el activo </w:t>
      </w:r>
      <w:r w:rsidRPr="00321B46">
        <w:rPr>
          <w:rFonts w:cs="Arial"/>
          <w:i/>
        </w:rPr>
        <w:t>u</w:t>
      </w:r>
      <w:r w:rsidRPr="00321B46">
        <w:rPr>
          <w:rFonts w:cs="Arial"/>
        </w:rPr>
        <w:t xml:space="preserve">, para el mes </w:t>
      </w:r>
      <w:r w:rsidRPr="00321B46">
        <w:rPr>
          <w:rFonts w:cs="Arial"/>
          <w:i/>
        </w:rPr>
        <w:t>m</w:t>
      </w:r>
      <w:r w:rsidRPr="00321B46">
        <w:rPr>
          <w:rFonts w:cs="Arial"/>
        </w:rPr>
        <w:t>.</w:t>
      </w:r>
    </w:p>
    <w:p w14:paraId="6B5DCDF5" w14:textId="77777777" w:rsidR="00CE0D74" w:rsidRPr="00321B46" w:rsidRDefault="00CE0D74" w:rsidP="00CE0D74">
      <w:pPr>
        <w:tabs>
          <w:tab w:val="left" w:pos="1701"/>
        </w:tabs>
        <w:spacing w:before="120"/>
        <w:ind w:left="1418" w:hanging="1418"/>
        <w:rPr>
          <w:rFonts w:cs="Arial"/>
        </w:rPr>
      </w:pPr>
      <w:r w:rsidRPr="00321B46">
        <w:rPr>
          <w:rFonts w:cs="Arial"/>
          <w:i/>
        </w:rPr>
        <w:t>MHAIA</w:t>
      </w:r>
      <w:r w:rsidRPr="00321B46">
        <w:rPr>
          <w:rFonts w:cs="Arial"/>
          <w:i/>
          <w:vertAlign w:val="subscript"/>
        </w:rPr>
        <w:t>m,gu</w:t>
      </w:r>
      <w:r w:rsidRPr="00321B46">
        <w:rPr>
          <w:rFonts w:cs="Arial"/>
        </w:rPr>
        <w:t>:</w:t>
      </w:r>
      <w:r w:rsidRPr="00321B46">
        <w:rPr>
          <w:rFonts w:cs="Arial"/>
        </w:rPr>
        <w:tab/>
        <w:t xml:space="preserve">Meta de indisponibilidad anual ajustada del grupo de activos </w:t>
      </w:r>
      <w:r w:rsidRPr="00321B46">
        <w:rPr>
          <w:rFonts w:cs="Arial"/>
          <w:i/>
        </w:rPr>
        <w:t>gu</w:t>
      </w:r>
      <w:r w:rsidRPr="00321B46">
        <w:rPr>
          <w:rFonts w:cs="Arial"/>
        </w:rPr>
        <w:t xml:space="preserve">, calculada para el mes </w:t>
      </w:r>
      <w:r w:rsidRPr="00321B46">
        <w:rPr>
          <w:rFonts w:cs="Arial"/>
          <w:i/>
        </w:rPr>
        <w:t>m</w:t>
      </w:r>
      <w:r w:rsidRPr="00321B46">
        <w:rPr>
          <w:rFonts w:cs="Arial"/>
        </w:rPr>
        <w:t>.</w:t>
      </w:r>
    </w:p>
    <w:p w14:paraId="08B31742" w14:textId="77777777" w:rsidR="00CE0D74" w:rsidRPr="00321B46" w:rsidRDefault="00CE0D74" w:rsidP="00CE0D74">
      <w:pPr>
        <w:tabs>
          <w:tab w:val="left" w:pos="1701"/>
        </w:tabs>
        <w:spacing w:before="120"/>
        <w:ind w:left="1418" w:hanging="1418"/>
        <w:rPr>
          <w:rFonts w:cs="Arial"/>
        </w:rPr>
      </w:pPr>
      <w:r w:rsidRPr="00321B46">
        <w:rPr>
          <w:rFonts w:cs="Arial"/>
          <w:i/>
        </w:rPr>
        <w:t>THC</w:t>
      </w:r>
      <w:r w:rsidRPr="00321B46">
        <w:rPr>
          <w:rFonts w:cs="Arial"/>
          <w:i/>
          <w:vertAlign w:val="subscript"/>
        </w:rPr>
        <w:t>m-1,gu</w:t>
      </w:r>
      <w:r w:rsidRPr="00321B46">
        <w:rPr>
          <w:rFonts w:cs="Arial"/>
        </w:rPr>
        <w:t>:</w:t>
      </w:r>
      <w:r w:rsidRPr="00321B46">
        <w:rPr>
          <w:rFonts w:cs="Arial"/>
        </w:rPr>
        <w:tab/>
        <w:t xml:space="preserve">Total de horas compensadas por el grupo de activos </w:t>
      </w:r>
      <w:r w:rsidRPr="00321B46">
        <w:rPr>
          <w:rFonts w:cs="Arial"/>
          <w:i/>
        </w:rPr>
        <w:t>gu</w:t>
      </w:r>
      <w:r w:rsidRPr="00321B46">
        <w:rPr>
          <w:rFonts w:cs="Arial"/>
        </w:rPr>
        <w:t xml:space="preserve">, en un periodo de once meses que termina en el mes </w:t>
      </w:r>
      <w:r w:rsidRPr="00321B46">
        <w:rPr>
          <w:rFonts w:cs="Arial"/>
          <w:i/>
        </w:rPr>
        <w:t>m-1</w:t>
      </w:r>
      <w:r w:rsidRPr="00321B46">
        <w:rPr>
          <w:rFonts w:cs="Arial"/>
        </w:rPr>
        <w:t>.</w:t>
      </w:r>
    </w:p>
    <w:p w14:paraId="598FFE24" w14:textId="77777777" w:rsidR="00CE0D74" w:rsidRPr="00321B46" w:rsidRDefault="00CE0D74" w:rsidP="00CE0D74">
      <w:pPr>
        <w:tabs>
          <w:tab w:val="left" w:pos="1701"/>
        </w:tabs>
        <w:spacing w:before="120"/>
        <w:ind w:left="1418" w:hanging="1418"/>
        <w:rPr>
          <w:rFonts w:cs="Arial"/>
        </w:rPr>
      </w:pPr>
      <w:r w:rsidRPr="00321B46">
        <w:rPr>
          <w:rFonts w:cs="Arial"/>
          <w:i/>
        </w:rPr>
        <w:t>CIM</w:t>
      </w:r>
      <w:r w:rsidRPr="00321B46">
        <w:rPr>
          <w:rFonts w:cs="Arial"/>
          <w:i/>
          <w:vertAlign w:val="subscript"/>
        </w:rPr>
        <w:t>m,u</w:t>
      </w:r>
      <w:r w:rsidRPr="00321B46">
        <w:rPr>
          <w:rFonts w:cs="Arial"/>
        </w:rPr>
        <w:t xml:space="preserve">: </w:t>
      </w:r>
      <w:r w:rsidRPr="00321B46">
        <w:rPr>
          <w:rFonts w:cs="Arial"/>
        </w:rPr>
        <w:tab/>
        <w:t xml:space="preserve">Compensación por incumplimiento de metas, para cada uno de los activos </w:t>
      </w:r>
      <w:r w:rsidRPr="00321B46">
        <w:rPr>
          <w:rFonts w:cs="Arial"/>
          <w:i/>
        </w:rPr>
        <w:t>u</w:t>
      </w:r>
      <w:r w:rsidRPr="00321B46">
        <w:rPr>
          <w:rFonts w:cs="Arial"/>
        </w:rPr>
        <w:t xml:space="preserve"> que conforman el grupo de activos </w:t>
      </w:r>
      <w:r w:rsidRPr="00321B46">
        <w:rPr>
          <w:rFonts w:cs="Arial"/>
          <w:i/>
        </w:rPr>
        <w:t>gu</w:t>
      </w:r>
      <w:r w:rsidRPr="00321B46">
        <w:rPr>
          <w:rFonts w:cs="Arial"/>
        </w:rPr>
        <w:t>, en el mes </w:t>
      </w:r>
      <w:r w:rsidRPr="00321B46">
        <w:rPr>
          <w:rFonts w:cs="Arial"/>
          <w:i/>
        </w:rPr>
        <w:t>m</w:t>
      </w:r>
      <w:r w:rsidRPr="00321B46">
        <w:rPr>
          <w:rFonts w:cs="Arial"/>
        </w:rPr>
        <w:t>.</w:t>
      </w:r>
    </w:p>
    <w:p w14:paraId="041589A4" w14:textId="77777777" w:rsidR="00CE0D74" w:rsidRPr="00321B46" w:rsidRDefault="00CE0D74" w:rsidP="00CE0D74">
      <w:pPr>
        <w:tabs>
          <w:tab w:val="left" w:pos="1701"/>
        </w:tabs>
        <w:spacing w:before="120"/>
        <w:ind w:left="1418" w:hanging="1418"/>
        <w:rPr>
          <w:rFonts w:cs="Arial"/>
        </w:rPr>
      </w:pPr>
      <w:r w:rsidRPr="00321B46">
        <w:rPr>
          <w:i/>
        </w:rPr>
        <w:t>VHRC</w:t>
      </w:r>
      <w:r w:rsidRPr="00321B46">
        <w:rPr>
          <w:i/>
          <w:vertAlign w:val="subscript"/>
        </w:rPr>
        <w:t>m,u,j</w:t>
      </w:r>
      <w:r w:rsidRPr="00321B46">
        <w:t>:</w:t>
      </w:r>
      <w:r w:rsidRPr="00321B46">
        <w:tab/>
        <w:t xml:space="preserve">Valor horario de referencia para el cálculo de la compensación del activo </w:t>
      </w:r>
      <w:r w:rsidRPr="00321B46">
        <w:rPr>
          <w:i/>
        </w:rPr>
        <w:t>u</w:t>
      </w:r>
      <w:r w:rsidRPr="00321B46">
        <w:t xml:space="preserve">, del TN </w:t>
      </w:r>
      <w:r w:rsidRPr="00321B46">
        <w:rPr>
          <w:i/>
        </w:rPr>
        <w:t>j</w:t>
      </w:r>
      <w:r w:rsidRPr="00321B46">
        <w:t xml:space="preserve">, durante el mes </w:t>
      </w:r>
      <w:r w:rsidRPr="00321B46">
        <w:rPr>
          <w:i/>
        </w:rPr>
        <w:t>m</w:t>
      </w:r>
      <w:r w:rsidRPr="00321B46">
        <w:t>.</w:t>
      </w:r>
    </w:p>
    <w:p w14:paraId="494E14E5" w14:textId="77777777" w:rsidR="00CE0D74" w:rsidRPr="00321B46" w:rsidRDefault="00CE0D74" w:rsidP="00CE0D74">
      <w:r w:rsidRPr="00321B46">
        <w:t xml:space="preserve">Las compensaciones se calculan para los activos enunciados en el numeral </w:t>
      </w:r>
      <w:r w:rsidRPr="00321B46">
        <w:fldChar w:fldCharType="begin"/>
      </w:r>
      <w:r w:rsidRPr="00321B46">
        <w:instrText xml:space="preserve"> REF _Ref404019473 \r \h  \* MERGEFORMAT </w:instrText>
      </w:r>
      <w:r w:rsidRPr="00321B46">
        <w:fldChar w:fldCharType="separate"/>
      </w:r>
      <w:r w:rsidR="000F355F">
        <w:t>5.2</w:t>
      </w:r>
      <w:r w:rsidRPr="00321B46">
        <w:fldChar w:fldCharType="end"/>
      </w:r>
      <w:r w:rsidRPr="00321B46">
        <w:t xml:space="preserve">. </w:t>
      </w:r>
    </w:p>
    <w:p w14:paraId="5384777F" w14:textId="77777777" w:rsidR="00CE0D74" w:rsidRPr="00321B46" w:rsidRDefault="00CE0D74" w:rsidP="00CE0D74">
      <w:pPr>
        <w:pStyle w:val="Ttulo3"/>
        <w:ind w:left="1276" w:hanging="1276"/>
        <w:rPr>
          <w:szCs w:val="24"/>
        </w:rPr>
      </w:pPr>
      <w:bookmarkStart w:id="366" w:name="_Toc195670141"/>
      <w:bookmarkStart w:id="367" w:name="_Toc195686835"/>
      <w:bookmarkStart w:id="368" w:name="_Toc195781013"/>
      <w:bookmarkStart w:id="369" w:name="_Toc210616102"/>
      <w:bookmarkStart w:id="370" w:name="_Toc404020423"/>
      <w:bookmarkStart w:id="371" w:name="_Ref408319193"/>
      <w:bookmarkStart w:id="372" w:name="_Toc409016127"/>
      <w:bookmarkStart w:id="373" w:name="_Toc466392666"/>
      <w:r w:rsidRPr="00321B46">
        <w:rPr>
          <w:szCs w:val="24"/>
        </w:rPr>
        <w:t>Compensaciones por dejar no operativos otros activos</w:t>
      </w:r>
      <w:bookmarkEnd w:id="366"/>
      <w:bookmarkEnd w:id="367"/>
      <w:bookmarkEnd w:id="368"/>
      <w:bookmarkEnd w:id="369"/>
      <w:r w:rsidRPr="00321B46">
        <w:rPr>
          <w:szCs w:val="24"/>
        </w:rPr>
        <w:t xml:space="preserve"> o por energía no suministrada</w:t>
      </w:r>
      <w:bookmarkEnd w:id="370"/>
      <w:bookmarkEnd w:id="371"/>
      <w:bookmarkEnd w:id="372"/>
      <w:bookmarkEnd w:id="373"/>
    </w:p>
    <w:p w14:paraId="1BE928F7" w14:textId="532A13EF" w:rsidR="00CE0D74" w:rsidRPr="00321B46" w:rsidRDefault="00CE0D74" w:rsidP="00CE0D74">
      <w:pPr>
        <w:rPr>
          <w:rFonts w:cs="Arial"/>
        </w:rPr>
      </w:pPr>
      <w:r w:rsidRPr="00321B46">
        <w:rPr>
          <w:rFonts w:cs="Arial"/>
        </w:rPr>
        <w:t xml:space="preserve">El evento en un activo puede generar energía no suministrada, ENS, o puede dejar otros </w:t>
      </w:r>
      <w:r w:rsidR="00B92EEF" w:rsidRPr="00321B46">
        <w:rPr>
          <w:rFonts w:cs="Arial"/>
        </w:rPr>
        <w:t xml:space="preserve">activos </w:t>
      </w:r>
      <w:r w:rsidRPr="00321B46">
        <w:rPr>
          <w:rFonts w:cs="Arial"/>
        </w:rPr>
        <w:t>no operativos.</w:t>
      </w:r>
      <w:r w:rsidR="004F2768" w:rsidRPr="00321B46">
        <w:rPr>
          <w:rFonts w:cs="Arial"/>
        </w:rPr>
        <w:t xml:space="preserve"> En estos casos, se establecen compensaciones por dejar no operativos otros activos o por energía no suministrada, CNE</w:t>
      </w:r>
      <w:r w:rsidR="00B00929" w:rsidRPr="00321B46">
        <w:rPr>
          <w:rFonts w:cs="Arial"/>
        </w:rPr>
        <w:t>, que serán aplicadas como una reducción del ingreso del transmisor que representa el respectivo activo ante el LAC.</w:t>
      </w:r>
    </w:p>
    <w:p w14:paraId="5AD55FCC" w14:textId="3CE1D461" w:rsidR="00CE0D74" w:rsidRPr="00321B46" w:rsidRDefault="00CE0D74" w:rsidP="00CE0D74">
      <w:pPr>
        <w:rPr>
          <w:rFonts w:cs="Arial"/>
        </w:rPr>
      </w:pPr>
      <w:r w:rsidRPr="00321B46">
        <w:rPr>
          <w:rFonts w:cs="Arial"/>
        </w:rPr>
        <w:t xml:space="preserve">La </w:t>
      </w:r>
      <w:r w:rsidRPr="00321B46">
        <w:rPr>
          <w:rFonts w:cs="Arial"/>
          <w:i/>
        </w:rPr>
        <w:t>CNE</w:t>
      </w:r>
      <w:r w:rsidRPr="00321B46">
        <w:rPr>
          <w:rFonts w:cs="Arial"/>
        </w:rPr>
        <w:t xml:space="preserve"> del activo </w:t>
      </w:r>
      <w:r w:rsidRPr="00321B46">
        <w:rPr>
          <w:rFonts w:cs="Arial"/>
          <w:i/>
        </w:rPr>
        <w:t>u</w:t>
      </w:r>
      <w:r w:rsidRPr="00321B46">
        <w:rPr>
          <w:rFonts w:cs="Arial"/>
        </w:rPr>
        <w:t xml:space="preserve">, para cada mes </w:t>
      </w:r>
      <w:r w:rsidRPr="00321B46">
        <w:rPr>
          <w:rFonts w:cs="Arial"/>
          <w:i/>
        </w:rPr>
        <w:t>m,</w:t>
      </w:r>
      <w:r w:rsidRPr="00321B46">
        <w:rPr>
          <w:rFonts w:cs="Arial"/>
        </w:rPr>
        <w:t xml:space="preserve"> se calcula con:</w:t>
      </w:r>
    </w:p>
    <w:p w14:paraId="46C90DAB" w14:textId="77777777" w:rsidR="00CE0D74" w:rsidRPr="00321B46" w:rsidRDefault="00651802" w:rsidP="00CE0D74">
      <w:pPr>
        <w:rPr>
          <w:rFonts w:cs="Arial"/>
        </w:rPr>
      </w:pPr>
      <m:oMathPara>
        <m:oMath>
          <m:sSub>
            <m:sSubPr>
              <m:ctrlPr>
                <w:rPr>
                  <w:rFonts w:ascii="Cambria Math" w:hAnsi="Cambria Math" w:cs="Arial"/>
                  <w:i/>
                </w:rPr>
              </m:ctrlPr>
            </m:sSubPr>
            <m:e>
              <m:r>
                <w:rPr>
                  <w:rFonts w:ascii="Cambria Math" w:hAnsi="Cambria Math" w:cs="Arial"/>
                </w:rPr>
                <m:t>CNE</m:t>
              </m:r>
            </m:e>
            <m:sub>
              <m:r>
                <w:rPr>
                  <w:rFonts w:ascii="Cambria Math" w:hAnsi="Cambria Math" w:cs="Arial"/>
                </w:rPr>
                <m:t>m,u</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CNE</m:t>
                  </m:r>
                </m:e>
                <m:sub>
                  <m:r>
                    <w:rPr>
                      <w:rFonts w:ascii="Cambria Math" w:hAnsi="Cambria Math" w:cs="Arial"/>
                    </w:rPr>
                    <m:t>i,m,u</m:t>
                  </m:r>
                </m:sub>
              </m:sSub>
            </m:e>
          </m:nary>
        </m:oMath>
      </m:oMathPara>
    </w:p>
    <w:p w14:paraId="2A1E3CED" w14:textId="77777777" w:rsidR="00CE0D74" w:rsidRPr="00321B46" w:rsidRDefault="00CE0D74" w:rsidP="00CE0D74">
      <w:pPr>
        <w:spacing w:before="120"/>
        <w:ind w:left="1418" w:hanging="1418"/>
        <w:rPr>
          <w:rFonts w:cs="Arial"/>
        </w:rPr>
      </w:pPr>
      <w:r w:rsidRPr="00321B46">
        <w:rPr>
          <w:rFonts w:cs="Arial"/>
        </w:rPr>
        <w:t>Donde:</w:t>
      </w:r>
    </w:p>
    <w:p w14:paraId="651427D6" w14:textId="77777777" w:rsidR="00CE0D74" w:rsidRPr="00321B46" w:rsidRDefault="00CE0D74" w:rsidP="00CE0D74">
      <w:pPr>
        <w:spacing w:before="120"/>
        <w:ind w:left="1418" w:hanging="1418"/>
        <w:rPr>
          <w:rFonts w:cs="Arial"/>
        </w:rPr>
      </w:pPr>
      <w:r w:rsidRPr="00321B46">
        <w:rPr>
          <w:rFonts w:cs="Arial"/>
          <w:i/>
        </w:rPr>
        <w:t>CNE</w:t>
      </w:r>
      <w:r w:rsidRPr="00321B46">
        <w:rPr>
          <w:rFonts w:cs="Arial"/>
          <w:i/>
          <w:vertAlign w:val="subscript"/>
        </w:rPr>
        <w:t>m,u</w:t>
      </w:r>
      <w:r w:rsidRPr="00321B46">
        <w:rPr>
          <w:rFonts w:cs="Arial"/>
        </w:rPr>
        <w:t xml:space="preserve">: </w:t>
      </w:r>
      <w:r w:rsidRPr="00321B46">
        <w:rPr>
          <w:rFonts w:cs="Arial"/>
        </w:rPr>
        <w:tab/>
        <w:t xml:space="preserve">Compensación del activo </w:t>
      </w:r>
      <w:r w:rsidRPr="00321B46">
        <w:rPr>
          <w:rFonts w:cs="Arial"/>
          <w:i/>
        </w:rPr>
        <w:t>u</w:t>
      </w:r>
      <w:r w:rsidRPr="00321B46">
        <w:rPr>
          <w:rFonts w:cs="Arial"/>
        </w:rPr>
        <w:t xml:space="preserve">, en el mes </w:t>
      </w:r>
      <w:r w:rsidRPr="00321B46">
        <w:rPr>
          <w:rFonts w:cs="Arial"/>
          <w:i/>
        </w:rPr>
        <w:t>m</w:t>
      </w:r>
      <w:r w:rsidRPr="00321B46">
        <w:rPr>
          <w:rFonts w:cs="Arial"/>
        </w:rPr>
        <w:t>, por energía no suministrada y/o por dejar no operativos otros activos.</w:t>
      </w:r>
    </w:p>
    <w:p w14:paraId="5149317B" w14:textId="77777777" w:rsidR="00CE0D74" w:rsidRPr="00321B46" w:rsidRDefault="00CE0D74" w:rsidP="00CE0D74">
      <w:pPr>
        <w:spacing w:before="120"/>
        <w:ind w:left="1418" w:hanging="1418"/>
        <w:rPr>
          <w:rFonts w:cs="Arial"/>
        </w:rPr>
      </w:pPr>
      <w:r w:rsidRPr="00321B46">
        <w:rPr>
          <w:rFonts w:cs="Arial"/>
          <w:i/>
        </w:rPr>
        <w:t>CNE</w:t>
      </w:r>
      <w:r w:rsidRPr="00321B46">
        <w:rPr>
          <w:rFonts w:cs="Arial"/>
          <w:i/>
          <w:vertAlign w:val="subscript"/>
        </w:rPr>
        <w:t>i,m,u</w:t>
      </w:r>
      <w:r w:rsidRPr="00321B46">
        <w:rPr>
          <w:rFonts w:cs="Arial"/>
        </w:rPr>
        <w:t xml:space="preserve">: </w:t>
      </w:r>
      <w:r w:rsidRPr="00321B46">
        <w:rPr>
          <w:rFonts w:cs="Arial"/>
        </w:rPr>
        <w:tab/>
        <w:t xml:space="preserve">Compensación del activo </w:t>
      </w:r>
      <w:r w:rsidRPr="00321B46">
        <w:rPr>
          <w:rFonts w:cs="Arial"/>
          <w:i/>
        </w:rPr>
        <w:t>u</w:t>
      </w:r>
      <w:r w:rsidRPr="00321B46">
        <w:rPr>
          <w:rFonts w:cs="Arial"/>
        </w:rPr>
        <w:t xml:space="preserve">, por la indisponibilidad </w:t>
      </w:r>
      <w:r w:rsidRPr="00321B46">
        <w:rPr>
          <w:rFonts w:cs="Arial"/>
          <w:i/>
        </w:rPr>
        <w:t>i</w:t>
      </w:r>
      <w:r w:rsidRPr="00321B46">
        <w:rPr>
          <w:rFonts w:cs="Arial"/>
        </w:rPr>
        <w:t xml:space="preserve">, en el mes </w:t>
      </w:r>
      <w:r w:rsidRPr="00321B46">
        <w:rPr>
          <w:rFonts w:cs="Arial"/>
          <w:i/>
        </w:rPr>
        <w:t>m</w:t>
      </w:r>
      <w:r w:rsidRPr="00321B46">
        <w:rPr>
          <w:rFonts w:cs="Arial"/>
        </w:rPr>
        <w:t>, por energía no suministrada o por dejar no operativos otros activos.</w:t>
      </w:r>
    </w:p>
    <w:p w14:paraId="7FFC155F" w14:textId="77777777" w:rsidR="00CE0D74" w:rsidRPr="00321B46" w:rsidRDefault="00CE0D74" w:rsidP="00CE0D74">
      <w:pPr>
        <w:rPr>
          <w:rFonts w:cs="Arial"/>
        </w:rPr>
      </w:pPr>
      <w:r w:rsidRPr="00321B46">
        <w:rPr>
          <w:rFonts w:cs="Arial"/>
        </w:rPr>
        <w:t>Para determinar el valor de la compensación CNE</w:t>
      </w:r>
      <w:r w:rsidRPr="00321B46">
        <w:rPr>
          <w:rFonts w:cs="Arial"/>
          <w:vertAlign w:val="subscript"/>
        </w:rPr>
        <w:t>i,m,u</w:t>
      </w:r>
      <w:r w:rsidRPr="00321B46">
        <w:rPr>
          <w:rFonts w:cs="Arial"/>
        </w:rPr>
        <w:t xml:space="preserve"> se utilizará una de las siguientes tres condiciones:</w:t>
      </w:r>
    </w:p>
    <w:p w14:paraId="04CCC79D" w14:textId="77777777" w:rsidR="00CE0D74" w:rsidRPr="00321B46" w:rsidRDefault="00CE0D74" w:rsidP="00CE0D74">
      <w:pPr>
        <w:pStyle w:val="Prrafodelista"/>
        <w:numPr>
          <w:ilvl w:val="0"/>
          <w:numId w:val="35"/>
        </w:numPr>
        <w:rPr>
          <w:szCs w:val="24"/>
        </w:rPr>
      </w:pPr>
      <w:r w:rsidRPr="00321B46">
        <w:rPr>
          <w:szCs w:val="24"/>
        </w:rPr>
        <w:t xml:space="preserve">Si para el grupo de activos </w:t>
      </w:r>
      <w:r w:rsidRPr="00321B46">
        <w:rPr>
          <w:i/>
          <w:szCs w:val="24"/>
        </w:rPr>
        <w:t>gu</w:t>
      </w:r>
      <w:r w:rsidRPr="00321B46">
        <w:rPr>
          <w:szCs w:val="24"/>
        </w:rPr>
        <w:t xml:space="preserve"> al que pertenece el activo </w:t>
      </w:r>
      <w:r w:rsidRPr="00321B46">
        <w:rPr>
          <w:i/>
          <w:szCs w:val="24"/>
        </w:rPr>
        <w:t>u</w:t>
      </w:r>
      <w:r w:rsidRPr="00321B46">
        <w:rPr>
          <w:szCs w:val="24"/>
        </w:rPr>
        <w:t xml:space="preserve">, en el mes </w:t>
      </w:r>
      <w:r w:rsidRPr="00321B46">
        <w:rPr>
          <w:i/>
          <w:szCs w:val="24"/>
        </w:rPr>
        <w:t>m</w:t>
      </w:r>
      <w:r w:rsidRPr="00321B46">
        <w:rPr>
          <w:szCs w:val="24"/>
        </w:rPr>
        <w:t>, las horas de indisponibilidad acumulada son menores o iguales que las máximas horas anuales de indisponibilidad ajustadas (</w:t>
      </w:r>
      <w:r w:rsidRPr="00321B46">
        <w:rPr>
          <w:i/>
          <w:szCs w:val="24"/>
        </w:rPr>
        <w:t>HIDA</w:t>
      </w:r>
      <w:r w:rsidRPr="00321B46">
        <w:rPr>
          <w:i/>
          <w:szCs w:val="24"/>
          <w:vertAlign w:val="subscript"/>
        </w:rPr>
        <w:t>m,gu</w:t>
      </w:r>
      <w:r w:rsidRPr="00321B46">
        <w:rPr>
          <w:szCs w:val="24"/>
        </w:rPr>
        <w:t xml:space="preserve"> ≤ </w:t>
      </w:r>
      <w:r w:rsidRPr="00321B46">
        <w:rPr>
          <w:i/>
          <w:szCs w:val="24"/>
        </w:rPr>
        <w:t>MHAIA</w:t>
      </w:r>
      <w:r w:rsidRPr="00321B46">
        <w:rPr>
          <w:i/>
          <w:szCs w:val="24"/>
          <w:vertAlign w:val="subscript"/>
        </w:rPr>
        <w:t>m,gu</w:t>
      </w:r>
      <w:r w:rsidRPr="00321B46">
        <w:rPr>
          <w:szCs w:val="24"/>
        </w:rPr>
        <w:t xml:space="preserve">) y el porcentaje de energía no suministrada, </w:t>
      </w:r>
      <w:r w:rsidRPr="00321B46">
        <w:rPr>
          <w:i/>
          <w:szCs w:val="24"/>
        </w:rPr>
        <w:t>PENS</w:t>
      </w:r>
      <w:r w:rsidRPr="00321B46">
        <w:rPr>
          <w:i/>
          <w:szCs w:val="24"/>
          <w:vertAlign w:val="subscript"/>
        </w:rPr>
        <w:t>j,h</w:t>
      </w:r>
      <w:r w:rsidRPr="00321B46">
        <w:rPr>
          <w:szCs w:val="24"/>
        </w:rPr>
        <w:t xml:space="preserve">, es inferior al porcentaje definido en el numeral 3.4 de la Resolución CREG 093 de 2012, el valor de la compensación </w:t>
      </w:r>
      <w:r w:rsidRPr="00321B46">
        <w:rPr>
          <w:i/>
          <w:szCs w:val="24"/>
        </w:rPr>
        <w:t>CNE</w:t>
      </w:r>
      <w:r w:rsidRPr="00321B46">
        <w:rPr>
          <w:szCs w:val="24"/>
        </w:rPr>
        <w:t xml:space="preserve"> para la indisponibilidad </w:t>
      </w:r>
      <w:r w:rsidRPr="00321B46">
        <w:rPr>
          <w:i/>
          <w:szCs w:val="24"/>
        </w:rPr>
        <w:t>i</w:t>
      </w:r>
      <w:r w:rsidRPr="00321B46">
        <w:rPr>
          <w:szCs w:val="24"/>
        </w:rPr>
        <w:t>, es igual a cero.</w:t>
      </w:r>
    </w:p>
    <w:p w14:paraId="3F128D4E" w14:textId="77777777" w:rsidR="00CE0D74" w:rsidRPr="00321B46" w:rsidRDefault="00CE0D74" w:rsidP="00CE0D74">
      <w:pPr>
        <w:pStyle w:val="Prrafodelista"/>
        <w:numPr>
          <w:ilvl w:val="0"/>
          <w:numId w:val="35"/>
        </w:numPr>
        <w:rPr>
          <w:szCs w:val="24"/>
        </w:rPr>
      </w:pPr>
      <w:r w:rsidRPr="00321B46">
        <w:rPr>
          <w:szCs w:val="24"/>
        </w:rPr>
        <w:t xml:space="preserve">Si para el grupo de activos </w:t>
      </w:r>
      <w:r w:rsidRPr="00321B46">
        <w:rPr>
          <w:i/>
          <w:szCs w:val="24"/>
        </w:rPr>
        <w:t>gu</w:t>
      </w:r>
      <w:r w:rsidRPr="00321B46">
        <w:rPr>
          <w:szCs w:val="24"/>
        </w:rPr>
        <w:t xml:space="preserve"> al que pertenece el activo </w:t>
      </w:r>
      <w:r w:rsidRPr="00321B46">
        <w:rPr>
          <w:i/>
          <w:szCs w:val="24"/>
        </w:rPr>
        <w:t>u</w:t>
      </w:r>
      <w:r w:rsidRPr="00321B46">
        <w:rPr>
          <w:szCs w:val="24"/>
        </w:rPr>
        <w:t xml:space="preserve">, en el mes </w:t>
      </w:r>
      <w:r w:rsidRPr="00321B46">
        <w:rPr>
          <w:i/>
          <w:szCs w:val="24"/>
        </w:rPr>
        <w:t>m</w:t>
      </w:r>
      <w:r w:rsidRPr="00321B46">
        <w:rPr>
          <w:szCs w:val="24"/>
        </w:rPr>
        <w:t>, las horas de indisponibilidad acumulada son mayores que las máximas horas anuales de indisponibilidad ajustadas (</w:t>
      </w:r>
      <w:r w:rsidRPr="00321B46">
        <w:rPr>
          <w:i/>
          <w:szCs w:val="24"/>
        </w:rPr>
        <w:t>HIDA</w:t>
      </w:r>
      <w:r w:rsidRPr="00321B46">
        <w:rPr>
          <w:i/>
          <w:szCs w:val="24"/>
          <w:vertAlign w:val="subscript"/>
        </w:rPr>
        <w:t>m,gu</w:t>
      </w:r>
      <w:r w:rsidRPr="00321B46">
        <w:rPr>
          <w:szCs w:val="24"/>
        </w:rPr>
        <w:t xml:space="preserve"> &gt; </w:t>
      </w:r>
      <w:r w:rsidRPr="00321B46">
        <w:rPr>
          <w:i/>
          <w:szCs w:val="24"/>
        </w:rPr>
        <w:t>MHAIA</w:t>
      </w:r>
      <w:r w:rsidRPr="00321B46">
        <w:rPr>
          <w:i/>
          <w:szCs w:val="24"/>
          <w:vertAlign w:val="subscript"/>
        </w:rPr>
        <w:t>m,gu</w:t>
      </w:r>
      <w:r w:rsidRPr="00321B46">
        <w:rPr>
          <w:szCs w:val="24"/>
        </w:rPr>
        <w:t xml:space="preserve">) y el porcentaje de energía no suministrada, </w:t>
      </w:r>
      <w:r w:rsidRPr="00321B46">
        <w:rPr>
          <w:i/>
          <w:szCs w:val="24"/>
        </w:rPr>
        <w:t>PENS</w:t>
      </w:r>
      <w:r w:rsidRPr="00321B46">
        <w:rPr>
          <w:i/>
          <w:szCs w:val="24"/>
          <w:vertAlign w:val="subscript"/>
        </w:rPr>
        <w:t>j,h</w:t>
      </w:r>
      <w:r w:rsidRPr="00321B46">
        <w:rPr>
          <w:szCs w:val="24"/>
        </w:rPr>
        <w:t xml:space="preserve">, es inferior al porcentaje definido en el numeral 3.4 de la Resolución CREG 093 de 2012, el valor de la compensación </w:t>
      </w:r>
      <w:r w:rsidRPr="00321B46">
        <w:rPr>
          <w:i/>
          <w:szCs w:val="24"/>
        </w:rPr>
        <w:t>CNE</w:t>
      </w:r>
      <w:r w:rsidRPr="00321B46">
        <w:rPr>
          <w:szCs w:val="24"/>
        </w:rPr>
        <w:t xml:space="preserve"> se obtiene de la siguiente forma:</w:t>
      </w:r>
    </w:p>
    <w:p w14:paraId="45C3B6D0" w14:textId="77777777" w:rsidR="00CE0D74" w:rsidRPr="00321B46" w:rsidRDefault="00651802" w:rsidP="00CE0D74">
      <w:pPr>
        <w:rPr>
          <w:rFonts w:cs="Arial"/>
        </w:rPr>
      </w:pPr>
      <m:oMathPara>
        <m:oMath>
          <m:sSub>
            <m:sSubPr>
              <m:ctrlPr>
                <w:rPr>
                  <w:rFonts w:ascii="Cambria Math" w:hAnsi="Cambria Math" w:cs="Arial"/>
                  <w:i/>
                </w:rPr>
              </m:ctrlPr>
            </m:sSubPr>
            <m:e>
              <m:r>
                <w:rPr>
                  <w:rFonts w:ascii="Cambria Math" w:hAnsi="Cambria Math" w:cs="Arial"/>
                </w:rPr>
                <m:t>CNE</m:t>
              </m:r>
            </m:e>
            <m:sub>
              <m:r>
                <w:rPr>
                  <w:rFonts w:ascii="Cambria Math" w:hAnsi="Cambria Math" w:cs="Arial"/>
                </w:rPr>
                <m:t>i,m,u</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r=1</m:t>
              </m:r>
            </m:sub>
            <m:sup>
              <m:r>
                <w:rPr>
                  <w:rFonts w:ascii="Cambria Math" w:hAnsi="Cambria Math" w:cs="Arial"/>
                </w:rPr>
                <m:t>n</m:t>
              </m:r>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VHRC</m:t>
                      </m:r>
                    </m:e>
                    <m:sub>
                      <m:r>
                        <w:rPr>
                          <w:rFonts w:ascii="Cambria Math" w:hAnsi="Cambria Math" w:cs="Arial"/>
                        </w:rPr>
                        <m:t>m,r,j</m:t>
                      </m:r>
                    </m:sub>
                  </m:sSub>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i,r</m:t>
                      </m:r>
                    </m:sub>
                  </m:sSub>
                </m:e>
              </m:d>
            </m:e>
          </m:nary>
        </m:oMath>
      </m:oMathPara>
    </w:p>
    <w:p w14:paraId="00491C5D" w14:textId="77777777" w:rsidR="00CE0D74" w:rsidRPr="00321B46" w:rsidRDefault="00CE0D74" w:rsidP="00CE0D74">
      <w:pPr>
        <w:pStyle w:val="Prrafodelista"/>
        <w:numPr>
          <w:ilvl w:val="0"/>
          <w:numId w:val="35"/>
        </w:numPr>
        <w:rPr>
          <w:szCs w:val="24"/>
        </w:rPr>
      </w:pPr>
      <w:r w:rsidRPr="00321B46">
        <w:rPr>
          <w:szCs w:val="24"/>
        </w:rPr>
        <w:t>Si durante la indisponibilidad i, del activo u, para alguna de las horas de duración de la indisponibilidad el porcentaje de energía no suministrada, PENS</w:t>
      </w:r>
      <w:r w:rsidRPr="00321B46">
        <w:rPr>
          <w:szCs w:val="24"/>
          <w:vertAlign w:val="subscript"/>
        </w:rPr>
        <w:t>j,h</w:t>
      </w:r>
      <w:r w:rsidRPr="00321B46">
        <w:rPr>
          <w:szCs w:val="24"/>
        </w:rPr>
        <w:t>, es mayor que el porcentaje definido en el numeral 3.4 de la Resolución CREG 093 de 2012, el valor de la compensación CNE se obtiene de la siguiente forma:</w:t>
      </w:r>
    </w:p>
    <w:p w14:paraId="0FD1C440" w14:textId="77777777" w:rsidR="00CE0D74" w:rsidRPr="00321B46" w:rsidRDefault="00651802" w:rsidP="00CE0D74">
      <w:pPr>
        <w:ind w:left="426"/>
        <w:jc w:val="center"/>
        <w:rPr>
          <w:rFonts w:cs="Arial"/>
        </w:rPr>
      </w:pPr>
      <m:oMathPara>
        <m:oMath>
          <m:sSub>
            <m:sSubPr>
              <m:ctrlPr>
                <w:rPr>
                  <w:rFonts w:ascii="Cambria Math" w:hAnsi="Cambria Math" w:cs="Arial"/>
                  <w:i/>
                </w:rPr>
              </m:ctrlPr>
            </m:sSubPr>
            <m:e>
              <m:r>
                <w:rPr>
                  <w:rFonts w:ascii="Cambria Math" w:hAnsi="Cambria Math" w:cs="Arial"/>
                </w:rPr>
                <m:t>CNE</m:t>
              </m:r>
            </m:e>
            <m:sub>
              <m:r>
                <w:rPr>
                  <w:rFonts w:ascii="Cambria Math" w:hAnsi="Cambria Math" w:cs="Arial"/>
                </w:rPr>
                <m:t>i,m,u</m:t>
              </m:r>
            </m:sub>
          </m:sSub>
          <m:r>
            <w:rPr>
              <w:rFonts w:ascii="Cambria Math" w:hAnsi="Cambria Math" w:cs="Arial"/>
            </w:rPr>
            <m:t>=max</m:t>
          </m:r>
          <m:d>
            <m:dPr>
              <m:ctrlPr>
                <w:rPr>
                  <w:rFonts w:ascii="Cambria Math" w:hAnsi="Cambria Math" w:cs="Arial"/>
                  <w:i/>
                </w:rPr>
              </m:ctrlPr>
            </m:dPr>
            <m:e>
              <m:d>
                <m:dPr>
                  <m:ctrlPr>
                    <w:rPr>
                      <w:rFonts w:ascii="Cambria Math" w:hAnsi="Cambria Math" w:cs="Arial"/>
                      <w:i/>
                    </w:rPr>
                  </m:ctrlPr>
                </m:dPr>
                <m:e>
                  <m:sSub>
                    <m:sSubPr>
                      <m:ctrlPr>
                        <w:rPr>
                          <w:rFonts w:ascii="Cambria Math" w:hAnsi="Cambria Math" w:cs="Arial"/>
                          <w:i/>
                          <w:szCs w:val="28"/>
                        </w:rPr>
                      </m:ctrlPr>
                    </m:sSubPr>
                    <m:e>
                      <m:r>
                        <w:rPr>
                          <w:rFonts w:ascii="Cambria Math" w:hAnsi="Cambria Math" w:cs="Arial"/>
                          <w:szCs w:val="28"/>
                        </w:rPr>
                        <m:t>ENS</m:t>
                      </m:r>
                    </m:e>
                    <m:sub>
                      <m:r>
                        <w:rPr>
                          <w:rFonts w:ascii="Cambria Math" w:hAnsi="Cambria Math" w:cs="Arial"/>
                          <w:szCs w:val="28"/>
                        </w:rPr>
                        <m:t>i</m:t>
                      </m:r>
                    </m:sub>
                  </m:sSub>
                  <m:r>
                    <w:rPr>
                      <w:rFonts w:ascii="Cambria Math" w:hAnsi="Cambria Math" w:cs="Arial"/>
                      <w:szCs w:val="28"/>
                    </w:rPr>
                    <m:t>*CRO</m:t>
                  </m:r>
                </m:e>
              </m:d>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r=1</m:t>
                  </m:r>
                </m:sub>
                <m:sup>
                  <m:r>
                    <w:rPr>
                      <w:rFonts w:ascii="Cambria Math" w:hAnsi="Cambria Math" w:cs="Arial"/>
                    </w:rPr>
                    <m:t>n</m:t>
                  </m:r>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VHRC</m:t>
                          </m:r>
                        </m:e>
                        <m:sub>
                          <m:r>
                            <w:rPr>
                              <w:rFonts w:ascii="Cambria Math" w:hAnsi="Cambria Math" w:cs="Arial"/>
                            </w:rPr>
                            <m:t>m,r,j</m:t>
                          </m:r>
                        </m:sub>
                      </m:sSub>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i,r</m:t>
                          </m:r>
                        </m:sub>
                      </m:sSub>
                    </m:e>
                  </m:d>
                </m:e>
              </m:nary>
            </m:e>
          </m:d>
        </m:oMath>
      </m:oMathPara>
    </w:p>
    <w:p w14:paraId="7D628205" w14:textId="77777777" w:rsidR="00CE0D74" w:rsidRPr="00321B46" w:rsidRDefault="00CE0D74" w:rsidP="00CE0D74">
      <w:pPr>
        <w:rPr>
          <w:rFonts w:cs="Arial"/>
        </w:rPr>
      </w:pPr>
      <w:r w:rsidRPr="00321B46">
        <w:rPr>
          <w:rFonts w:cs="Arial"/>
        </w:rPr>
        <w:t>Donde:</w:t>
      </w:r>
    </w:p>
    <w:p w14:paraId="4722FFEB" w14:textId="77777777" w:rsidR="00CE0D74" w:rsidRPr="00321B46" w:rsidRDefault="00CE0D74" w:rsidP="00CE0D74">
      <w:pPr>
        <w:spacing w:before="120"/>
        <w:ind w:left="1418" w:hanging="1418"/>
        <w:rPr>
          <w:rFonts w:cs="Arial"/>
        </w:rPr>
      </w:pPr>
      <w:r w:rsidRPr="00321B46">
        <w:rPr>
          <w:rFonts w:cs="Arial"/>
          <w:i/>
        </w:rPr>
        <w:t>PENS</w:t>
      </w:r>
      <w:r w:rsidRPr="00321B46">
        <w:rPr>
          <w:rFonts w:cs="Arial"/>
          <w:i/>
          <w:vertAlign w:val="subscript"/>
        </w:rPr>
        <w:t>j,h</w:t>
      </w:r>
      <w:r w:rsidRPr="00321B46">
        <w:rPr>
          <w:rFonts w:cs="Arial"/>
        </w:rPr>
        <w:t>:</w:t>
      </w:r>
      <w:r w:rsidRPr="00321B46">
        <w:rPr>
          <w:rFonts w:cs="Arial"/>
        </w:rPr>
        <w:tab/>
        <w:t>Porcentaje de la energía no suministrada, calculado de acuerdo con lo previsto en el numeral 3.4 de la Resolución CREG 093 de 2012.</w:t>
      </w:r>
    </w:p>
    <w:p w14:paraId="24C0C166" w14:textId="23BCCBF0" w:rsidR="00CE0D74" w:rsidRPr="00321B46" w:rsidRDefault="00CE0D74" w:rsidP="00CE0D74">
      <w:pPr>
        <w:tabs>
          <w:tab w:val="left" w:pos="1701"/>
        </w:tabs>
        <w:spacing w:before="120"/>
        <w:ind w:left="1418" w:hanging="1418"/>
        <w:rPr>
          <w:rFonts w:cs="Arial"/>
        </w:rPr>
      </w:pPr>
      <w:r w:rsidRPr="00321B46">
        <w:rPr>
          <w:i/>
        </w:rPr>
        <w:t>VHRC</w:t>
      </w:r>
      <w:r w:rsidRPr="00321B46">
        <w:rPr>
          <w:i/>
          <w:vertAlign w:val="subscript"/>
        </w:rPr>
        <w:t>m,r,j</w:t>
      </w:r>
      <w:r w:rsidRPr="00321B46">
        <w:t>:</w:t>
      </w:r>
      <w:r w:rsidRPr="00321B46">
        <w:tab/>
        <w:t xml:space="preserve">Valor horario de referencia del activo </w:t>
      </w:r>
      <w:r w:rsidRPr="00321B46">
        <w:rPr>
          <w:i/>
        </w:rPr>
        <w:t>r</w:t>
      </w:r>
      <w:r w:rsidRPr="00321B46">
        <w:t xml:space="preserve"> que quedó no operativo por la indisponibilidad del activo </w:t>
      </w:r>
      <w:r w:rsidRPr="00321B46">
        <w:rPr>
          <w:i/>
        </w:rPr>
        <w:t>u</w:t>
      </w:r>
      <w:r w:rsidRPr="00321B46">
        <w:t xml:space="preserve"> del </w:t>
      </w:r>
      <w:r w:rsidR="0084794B" w:rsidRPr="00321B46">
        <w:t xml:space="preserve">TN </w:t>
      </w:r>
      <w:r w:rsidRPr="00321B46">
        <w:rPr>
          <w:i/>
        </w:rPr>
        <w:t>j</w:t>
      </w:r>
      <w:r w:rsidRPr="00321B46">
        <w:t xml:space="preserve">, durante el mes </w:t>
      </w:r>
      <w:r w:rsidRPr="00321B46">
        <w:rPr>
          <w:i/>
        </w:rPr>
        <w:t xml:space="preserve">m, </w:t>
      </w:r>
      <w:r w:rsidRPr="00321B46">
        <w:t xml:space="preserve">calculado con base en lo establecido en el numeral </w:t>
      </w:r>
      <w:r w:rsidR="00E75EB7" w:rsidRPr="00321B46">
        <w:fldChar w:fldCharType="begin"/>
      </w:r>
      <w:r w:rsidR="00E75EB7" w:rsidRPr="00321B46">
        <w:instrText xml:space="preserve"> REF _Ref440388974 \r \h </w:instrText>
      </w:r>
      <w:r w:rsidR="003276B5" w:rsidRPr="00321B46">
        <w:instrText xml:space="preserve"> \* MERGEFORMAT </w:instrText>
      </w:r>
      <w:r w:rsidR="00E75EB7" w:rsidRPr="00321B46">
        <w:fldChar w:fldCharType="separate"/>
      </w:r>
      <w:r w:rsidR="000F355F">
        <w:t>5.12</w:t>
      </w:r>
      <w:r w:rsidR="00E75EB7" w:rsidRPr="00321B46">
        <w:fldChar w:fldCharType="end"/>
      </w:r>
      <w:r w:rsidRPr="00321B46">
        <w:t>.</w:t>
      </w:r>
    </w:p>
    <w:p w14:paraId="11C83688" w14:textId="77777777" w:rsidR="00CE0D74" w:rsidRPr="00321B46" w:rsidRDefault="00CE0D74" w:rsidP="00CE0D74">
      <w:pPr>
        <w:spacing w:before="120"/>
        <w:ind w:left="1418" w:hanging="1418"/>
        <w:rPr>
          <w:rFonts w:cs="Arial"/>
        </w:rPr>
      </w:pPr>
      <w:r w:rsidRPr="00321B46">
        <w:rPr>
          <w:rFonts w:cs="Arial"/>
          <w:i/>
        </w:rPr>
        <w:t>H</w:t>
      </w:r>
      <w:r w:rsidRPr="00321B46">
        <w:rPr>
          <w:rFonts w:cs="Arial"/>
          <w:i/>
          <w:vertAlign w:val="subscript"/>
        </w:rPr>
        <w:t>i,r</w:t>
      </w:r>
      <w:r w:rsidRPr="00321B46">
        <w:rPr>
          <w:rFonts w:cs="Arial"/>
        </w:rPr>
        <w:t>:</w:t>
      </w:r>
      <w:r w:rsidRPr="00321B46">
        <w:rPr>
          <w:rFonts w:cs="Arial"/>
        </w:rPr>
        <w:tab/>
        <w:t xml:space="preserve">Número de horas de no operatividad del activo </w:t>
      </w:r>
      <w:r w:rsidRPr="00321B46">
        <w:rPr>
          <w:rFonts w:cs="Arial"/>
          <w:i/>
        </w:rPr>
        <w:t>r</w:t>
      </w:r>
      <w:r w:rsidRPr="00321B46">
        <w:rPr>
          <w:rFonts w:cs="Arial"/>
        </w:rPr>
        <w:t xml:space="preserve"> causadas por la indisponibilidad </w:t>
      </w:r>
      <w:r w:rsidRPr="00321B46">
        <w:rPr>
          <w:rFonts w:cs="Arial"/>
          <w:i/>
        </w:rPr>
        <w:t>i</w:t>
      </w:r>
      <w:r w:rsidRPr="00321B46">
        <w:rPr>
          <w:rFonts w:cs="Arial"/>
        </w:rPr>
        <w:t xml:space="preserve"> del activo </w:t>
      </w:r>
      <w:r w:rsidRPr="00321B46">
        <w:rPr>
          <w:rFonts w:cs="Arial"/>
          <w:i/>
        </w:rPr>
        <w:t>u</w:t>
      </w:r>
      <w:r w:rsidRPr="00321B46">
        <w:rPr>
          <w:rFonts w:cs="Arial"/>
        </w:rPr>
        <w:t xml:space="preserve">. </w:t>
      </w:r>
    </w:p>
    <w:p w14:paraId="48E0B607" w14:textId="77777777" w:rsidR="00CE0D74" w:rsidRPr="00321B46" w:rsidRDefault="00CE0D74" w:rsidP="00CE0D74">
      <w:pPr>
        <w:spacing w:before="120"/>
        <w:ind w:left="1418" w:hanging="1418"/>
        <w:rPr>
          <w:rFonts w:cs="Arial"/>
        </w:rPr>
      </w:pPr>
      <w:r w:rsidRPr="00321B46">
        <w:rPr>
          <w:rFonts w:cs="Arial"/>
          <w:i/>
        </w:rPr>
        <w:t>ENS</w:t>
      </w:r>
      <w:r w:rsidRPr="00321B46">
        <w:rPr>
          <w:rFonts w:cs="Arial"/>
          <w:i/>
          <w:vertAlign w:val="subscript"/>
        </w:rPr>
        <w:t>i</w:t>
      </w:r>
      <w:r w:rsidRPr="00321B46">
        <w:rPr>
          <w:rFonts w:cs="Arial"/>
        </w:rPr>
        <w:t>:</w:t>
      </w:r>
      <w:r w:rsidRPr="00321B46">
        <w:rPr>
          <w:rFonts w:cs="Arial"/>
        </w:rPr>
        <w:tab/>
        <w:t>Valor de la energía no suministrada de la indisponi</w:t>
      </w:r>
      <w:r w:rsidRPr="00321B46">
        <w:rPr>
          <w:rFonts w:cs="Arial"/>
        </w:rPr>
        <w:softHyphen/>
        <w:t xml:space="preserve">bilidad </w:t>
      </w:r>
      <w:r w:rsidRPr="00321B46">
        <w:rPr>
          <w:rFonts w:cs="Arial"/>
          <w:i/>
        </w:rPr>
        <w:t>i</w:t>
      </w:r>
      <w:r w:rsidRPr="00321B46">
        <w:rPr>
          <w:rFonts w:cs="Arial"/>
        </w:rPr>
        <w:t xml:space="preserve">, corresponde a la variable </w:t>
      </w:r>
      <w:r w:rsidRPr="00321B46">
        <w:rPr>
          <w:rFonts w:cs="Arial"/>
          <w:i/>
        </w:rPr>
        <w:t>ENS</w:t>
      </w:r>
      <w:r w:rsidRPr="00321B46">
        <w:rPr>
          <w:rFonts w:cs="Arial"/>
          <w:i/>
          <w:vertAlign w:val="subscript"/>
        </w:rPr>
        <w:t>h</w:t>
      </w:r>
      <w:r w:rsidRPr="00321B46">
        <w:rPr>
          <w:rFonts w:cs="Arial"/>
        </w:rPr>
        <w:t xml:space="preserve"> calculada de acuerdo con lo previsto en el numeral 3.4 de la Resolución CREG 093 de 2012.</w:t>
      </w:r>
    </w:p>
    <w:p w14:paraId="6FB41457" w14:textId="77777777" w:rsidR="00CE0D74" w:rsidRPr="00321B46" w:rsidRDefault="00CE0D74" w:rsidP="00CE0D74">
      <w:pPr>
        <w:spacing w:before="120"/>
        <w:ind w:left="1418" w:hanging="1418"/>
        <w:rPr>
          <w:rFonts w:cs="Arial"/>
        </w:rPr>
      </w:pPr>
      <w:r w:rsidRPr="00321B46">
        <w:rPr>
          <w:i/>
        </w:rPr>
        <w:t>CRO:</w:t>
      </w:r>
      <w:r w:rsidRPr="00321B46">
        <w:rPr>
          <w:i/>
        </w:rPr>
        <w:tab/>
      </w:r>
      <w:r w:rsidRPr="00321B46">
        <w:t xml:space="preserve">Costo incremental operativo de racionamiento de energía definido y calculado por la UPME, correspondiente al escalón donde se encuentre el porcentaje de ENS, </w:t>
      </w:r>
      <w:r w:rsidRPr="00321B46">
        <w:rPr>
          <w:rFonts w:cs="Arial"/>
          <w:i/>
        </w:rPr>
        <w:t>PENS</w:t>
      </w:r>
      <w:r w:rsidRPr="00321B46">
        <w:rPr>
          <w:rFonts w:cs="Arial"/>
          <w:i/>
          <w:vertAlign w:val="subscript"/>
        </w:rPr>
        <w:t>j,h</w:t>
      </w:r>
      <w:r w:rsidRPr="00321B46">
        <w:t xml:space="preserve">, que rija para el mes m en el que se aplique la variable </w:t>
      </w:r>
      <w:r w:rsidRPr="00321B46">
        <w:rPr>
          <w:i/>
        </w:rPr>
        <w:t>CNE</w:t>
      </w:r>
      <w:r w:rsidRPr="00321B46">
        <w:rPr>
          <w:i/>
          <w:vertAlign w:val="subscript"/>
        </w:rPr>
        <w:t>m,u</w:t>
      </w:r>
      <w:r w:rsidRPr="00321B46">
        <w:rPr>
          <w:rFonts w:cs="Arial"/>
        </w:rPr>
        <w:t>.</w:t>
      </w:r>
    </w:p>
    <w:p w14:paraId="6C2CEAD2" w14:textId="33F34532" w:rsidR="003044AB" w:rsidRPr="00321B46" w:rsidRDefault="009E5486" w:rsidP="003E54AC">
      <w:pPr>
        <w:tabs>
          <w:tab w:val="left" w:pos="1418"/>
        </w:tabs>
      </w:pPr>
      <w:r w:rsidRPr="00321B46">
        <w:t>E</w:t>
      </w:r>
      <w:r w:rsidR="00CE0D74" w:rsidRPr="00321B46">
        <w:t xml:space="preserve">l CND </w:t>
      </w:r>
      <w:r w:rsidR="00FB6B72" w:rsidRPr="00321B46">
        <w:t xml:space="preserve">calculará </w:t>
      </w:r>
      <w:r w:rsidR="00CE0D74" w:rsidRPr="00321B46">
        <w:t>la ENS de cada uno de los eventos que se presentan en los activos del STN y</w:t>
      </w:r>
      <w:r w:rsidRPr="00321B46">
        <w:t xml:space="preserve"> elaborará el informe </w:t>
      </w:r>
      <w:r w:rsidR="00C00F14" w:rsidRPr="00321B46">
        <w:t>sobre</w:t>
      </w:r>
      <w:r w:rsidRPr="00321B46">
        <w:t xml:space="preserve"> ENS de que trata el numeral 5.15.</w:t>
      </w:r>
      <w:r w:rsidR="00AA133F" w:rsidRPr="00321B46">
        <w:t xml:space="preserve"> </w:t>
      </w:r>
      <w:r w:rsidR="003044AB" w:rsidRPr="00321B46">
        <w:t xml:space="preserve">El cálculo de la ENS será hecho con base en las disposiciones que para tal fin se encuentran contenidas en la Resolución CREG 093 de 2012, o la que la modifique o sustituya. </w:t>
      </w:r>
    </w:p>
    <w:p w14:paraId="60B048AC" w14:textId="104BA9A5" w:rsidR="00C00F14" w:rsidRPr="00321B46" w:rsidRDefault="003044AB">
      <w:r w:rsidRPr="00321B46">
        <w:t>Sin perjuicio de lo anterior, l</w:t>
      </w:r>
      <w:r w:rsidR="00AA133F" w:rsidRPr="00321B46">
        <w:t>a responsabilidad del reporte de la ENS al LAC será del TN</w:t>
      </w:r>
      <w:r w:rsidR="00C63065" w:rsidRPr="00321B46">
        <w:t>,</w:t>
      </w:r>
      <w:r w:rsidR="00AA133F" w:rsidRPr="00321B46">
        <w:t xml:space="preserve"> quien podrá reportar el valor publicado por el CND o ajustarlo si</w:t>
      </w:r>
      <w:r w:rsidR="00A85075" w:rsidRPr="00321B46">
        <w:t>: i)</w:t>
      </w:r>
      <w:r w:rsidR="004B1FCF" w:rsidRPr="00321B46">
        <w:t> </w:t>
      </w:r>
      <w:r w:rsidR="00A85075" w:rsidRPr="00321B46">
        <w:t>encuentra</w:t>
      </w:r>
      <w:r w:rsidR="00AA133F" w:rsidRPr="00321B46">
        <w:t xml:space="preserve"> que hubo algún error en el cálculo</w:t>
      </w:r>
      <w:r w:rsidR="00A85075" w:rsidRPr="00321B46">
        <w:t>, según las disposiciones para el cálculo de la ENS definidas en la regulación,</w:t>
      </w:r>
      <w:r w:rsidR="00AA133F" w:rsidRPr="00321B46">
        <w:t xml:space="preserve"> </w:t>
      </w:r>
      <w:r w:rsidR="00C63065" w:rsidRPr="00321B46">
        <w:t xml:space="preserve">o </w:t>
      </w:r>
      <w:r w:rsidR="00A85075" w:rsidRPr="00321B46">
        <w:t xml:space="preserve">ii) </w:t>
      </w:r>
      <w:r w:rsidRPr="00321B46">
        <w:t>si el respectivo evento no generó</w:t>
      </w:r>
      <w:r w:rsidR="00C63065" w:rsidRPr="00321B46">
        <w:t xml:space="preserve"> </w:t>
      </w:r>
      <w:r w:rsidR="00AA133F" w:rsidRPr="00321B46">
        <w:t xml:space="preserve"> </w:t>
      </w:r>
      <w:r w:rsidR="00CF567F" w:rsidRPr="00321B46">
        <w:t>demanda no atendida, DNA, caso en el cual el TN podrá reportar una ENS igual a cero</w:t>
      </w:r>
      <w:r w:rsidR="00C63065" w:rsidRPr="00321B46">
        <w:t xml:space="preserve">. </w:t>
      </w:r>
    </w:p>
    <w:p w14:paraId="186526C1" w14:textId="1AEEA515" w:rsidR="00CF567F" w:rsidRPr="00321B46" w:rsidRDefault="000E69CA">
      <w:r w:rsidRPr="00321B46">
        <w:t>El plazo que tendrá el TN para el reporte del valor de ENS será determinado por el LAC.</w:t>
      </w:r>
    </w:p>
    <w:p w14:paraId="4C2618E4" w14:textId="08AB18BD" w:rsidR="00C63065" w:rsidRPr="00321B46" w:rsidRDefault="000E69CA" w:rsidP="00CE0D74">
      <w:r w:rsidRPr="00321B46">
        <w:t>Cuando</w:t>
      </w:r>
      <w:r w:rsidR="00C63065" w:rsidRPr="00321B46">
        <w:t xml:space="preserve"> el TN reporte un valor </w:t>
      </w:r>
      <w:r w:rsidR="003044AB" w:rsidRPr="00321B46">
        <w:t xml:space="preserve">del ENS </w:t>
      </w:r>
      <w:r w:rsidR="00C63065" w:rsidRPr="00321B46">
        <w:t xml:space="preserve">diferente al calculado por el LAC deberá anexar a dicho reporte un informe en el que detalle los ajustes realizados y su respectiva justificación. </w:t>
      </w:r>
    </w:p>
    <w:p w14:paraId="6A7D39BA" w14:textId="116FBD9E" w:rsidR="00CE0D74" w:rsidRPr="00321B46" w:rsidRDefault="00C63065" w:rsidP="00CE0D74">
      <w:r w:rsidRPr="00321B46">
        <w:t>Con base en el reporte hecho por el TN, el</w:t>
      </w:r>
      <w:r w:rsidR="00CE0D74" w:rsidRPr="00321B46">
        <w:t xml:space="preserve"> LAC </w:t>
      </w:r>
      <w:r w:rsidRPr="00321B46">
        <w:t>calculará</w:t>
      </w:r>
      <w:r w:rsidR="00CE0D74" w:rsidRPr="00321B46">
        <w:t xml:space="preserve"> el valor de la CNE correspondiente y la inclu</w:t>
      </w:r>
      <w:r w:rsidRPr="00321B46">
        <w:t>irá</w:t>
      </w:r>
      <w:r w:rsidR="00CE0D74" w:rsidRPr="00321B46">
        <w:t xml:space="preserve"> en la liquidación de cargos del mes siguiente al de recibo de esta información. </w:t>
      </w:r>
    </w:p>
    <w:p w14:paraId="1F68EC32" w14:textId="77777777" w:rsidR="00CE0D74" w:rsidRPr="00321B46" w:rsidRDefault="00CE0D74" w:rsidP="00CE0D74">
      <w:pPr>
        <w:pStyle w:val="Ttulo3"/>
        <w:rPr>
          <w:szCs w:val="24"/>
        </w:rPr>
      </w:pPr>
      <w:bookmarkStart w:id="374" w:name="_Ref185867644"/>
      <w:bookmarkStart w:id="375" w:name="_Toc195670142"/>
      <w:bookmarkStart w:id="376" w:name="_Toc195686836"/>
      <w:bookmarkStart w:id="377" w:name="_Toc195781014"/>
      <w:bookmarkStart w:id="378" w:name="_Toc210616105"/>
      <w:bookmarkStart w:id="379" w:name="_Toc404020424"/>
      <w:bookmarkStart w:id="380" w:name="_Toc409016128"/>
      <w:bookmarkStart w:id="381" w:name="_Toc466392667"/>
      <w:r w:rsidRPr="00321B46">
        <w:rPr>
          <w:szCs w:val="24"/>
        </w:rPr>
        <w:t>Valor total a compensar</w:t>
      </w:r>
      <w:bookmarkEnd w:id="374"/>
      <w:bookmarkEnd w:id="375"/>
      <w:bookmarkEnd w:id="376"/>
      <w:bookmarkEnd w:id="377"/>
      <w:bookmarkEnd w:id="378"/>
      <w:bookmarkEnd w:id="379"/>
      <w:bookmarkEnd w:id="380"/>
      <w:bookmarkEnd w:id="381"/>
    </w:p>
    <w:p w14:paraId="1739F702" w14:textId="77777777" w:rsidR="00CE0D74" w:rsidRPr="00321B46" w:rsidRDefault="00CE0D74" w:rsidP="00CE0D74">
      <w:r w:rsidRPr="00321B46">
        <w:t>El LAC calculará mensualmente el valor total de compensaciones que se descontará del ingreso mensual de cada TN j, tal como se muestra a continuación:</w:t>
      </w:r>
    </w:p>
    <w:p w14:paraId="25C5CE16" w14:textId="3F27D681" w:rsidR="00CE0D74" w:rsidRPr="00321B46" w:rsidRDefault="00651802" w:rsidP="002E5531">
      <m:oMathPara>
        <m:oMathParaPr>
          <m:jc m:val="center"/>
        </m:oMathParaPr>
        <m:oMath>
          <m:sSub>
            <m:sSubPr>
              <m:ctrlPr>
                <w:rPr>
                  <w:rFonts w:ascii="Cambria Math" w:hAnsi="Cambria Math"/>
                  <w:i/>
                </w:rPr>
              </m:ctrlPr>
            </m:sSubPr>
            <m:e>
              <m:r>
                <w:rPr>
                  <w:rFonts w:ascii="Cambria Math" w:hAnsi="Cambria Math"/>
                </w:rPr>
                <m:t>VMC</m:t>
              </m:r>
            </m:e>
            <m:sub>
              <m:r>
                <w:rPr>
                  <w:rFonts w:ascii="Cambria Math" w:hAnsi="Cambria Math"/>
                </w:rPr>
                <m:t>j,m</m:t>
              </m:r>
            </m:sub>
          </m:sSub>
          <m:r>
            <w:rPr>
              <w:rFonts w:ascii="Cambria Math" w:hAnsi="Cambria Math"/>
            </w:rPr>
            <m:t>=</m:t>
          </m:r>
          <m:nary>
            <m:naryPr>
              <m:chr m:val="∑"/>
              <m:limLoc m:val="undOvr"/>
              <m:ctrlPr>
                <w:rPr>
                  <w:rFonts w:ascii="Cambria Math" w:hAnsi="Cambria Math"/>
                  <w:i/>
                </w:rPr>
              </m:ctrlPr>
            </m:naryPr>
            <m:sub>
              <m:r>
                <w:rPr>
                  <w:rFonts w:ascii="Cambria Math" w:hAnsi="Cambria Math"/>
                </w:rPr>
                <m:t>u=1</m:t>
              </m:r>
            </m:sub>
            <m:sup>
              <m:r>
                <w:rPr>
                  <w:rFonts w:ascii="Cambria Math" w:hAnsi="Cambria Math"/>
                </w:rPr>
                <m:t>aj</m:t>
              </m:r>
            </m:sup>
            <m:e>
              <m:d>
                <m:dPr>
                  <m:ctrlPr>
                    <w:rPr>
                      <w:rFonts w:ascii="Cambria Math" w:hAnsi="Cambria Math"/>
                      <w:i/>
                    </w:rPr>
                  </m:ctrlPr>
                </m:dPr>
                <m:e>
                  <m:sSub>
                    <m:sSubPr>
                      <m:ctrlPr>
                        <w:rPr>
                          <w:rFonts w:ascii="Cambria Math" w:hAnsi="Cambria Math"/>
                          <w:i/>
                        </w:rPr>
                      </m:ctrlPr>
                    </m:sSubPr>
                    <m:e>
                      <m:r>
                        <w:rPr>
                          <w:rFonts w:ascii="Cambria Math" w:hAnsi="Cambria Math"/>
                        </w:rPr>
                        <m:t>CIM</m:t>
                      </m:r>
                    </m:e>
                    <m:sub>
                      <m:r>
                        <w:rPr>
                          <w:rFonts w:ascii="Cambria Math" w:hAnsi="Cambria Math"/>
                        </w:rPr>
                        <m:t>m,u</m:t>
                      </m:r>
                    </m:sub>
                  </m:sSub>
                </m:e>
              </m:d>
            </m:e>
          </m:nary>
          <m:r>
            <w:rPr>
              <w:rFonts w:ascii="Cambria Math" w:hAnsi="Cambria Math"/>
            </w:rPr>
            <m:t>+</m:t>
          </m:r>
          <m:nary>
            <m:naryPr>
              <m:chr m:val="∑"/>
              <m:limLoc m:val="undOvr"/>
              <m:ctrlPr>
                <w:rPr>
                  <w:rFonts w:ascii="Cambria Math" w:hAnsi="Cambria Math"/>
                  <w:i/>
                </w:rPr>
              </m:ctrlPr>
            </m:naryPr>
            <m:sub>
              <m:r>
                <w:rPr>
                  <w:rFonts w:ascii="Cambria Math" w:hAnsi="Cambria Math"/>
                </w:rPr>
                <m:t>u=1</m:t>
              </m:r>
            </m:sub>
            <m:sup>
              <m:r>
                <w:rPr>
                  <w:rFonts w:ascii="Cambria Math" w:hAnsi="Cambria Math"/>
                </w:rPr>
                <m:t>aj</m:t>
              </m:r>
            </m:sup>
            <m:e>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VHRC</m:t>
                          </m:r>
                        </m:e>
                        <m:sub>
                          <m:r>
                            <w:rPr>
                              <w:rFonts w:ascii="Cambria Math" w:hAnsi="Cambria Math"/>
                            </w:rPr>
                            <m:t>m,u,j</m:t>
                          </m:r>
                        </m:sub>
                      </m:sSub>
                      <m:r>
                        <w:rPr>
                          <w:rFonts w:ascii="Cambria Math" w:hAnsi="Cambria Math"/>
                        </w:rPr>
                        <m:t>*720</m:t>
                      </m:r>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IMRT</m:t>
                          </m:r>
                        </m:e>
                        <m:sub>
                          <m:r>
                            <w:rPr>
                              <w:rFonts w:ascii="Cambria Math" w:hAnsi="Cambria Math"/>
                            </w:rPr>
                            <m:t>m,u</m:t>
                          </m:r>
                        </m:sub>
                      </m:sSub>
                    </m:e>
                  </m:d>
                </m:e>
              </m:d>
            </m:e>
          </m:nary>
        </m:oMath>
      </m:oMathPara>
    </w:p>
    <w:p w14:paraId="307FEAF9" w14:textId="6564AD66" w:rsidR="00CE0D74" w:rsidRPr="00321B46" w:rsidRDefault="00CE0D74" w:rsidP="002E5531">
      <w:pPr>
        <w:ind w:firstLine="2"/>
      </w:pPr>
      <m:oMathPara>
        <m:oMath>
          <m:r>
            <w:rPr>
              <w:rFonts w:ascii="Cambria Math" w:hAnsi="Cambria Math"/>
            </w:rPr>
            <m:t>+</m:t>
          </m:r>
          <m:nary>
            <m:naryPr>
              <m:chr m:val="∑"/>
              <m:limLoc m:val="undOvr"/>
              <m:ctrlPr>
                <w:rPr>
                  <w:rFonts w:ascii="Cambria Math" w:hAnsi="Cambria Math"/>
                  <w:i/>
                </w:rPr>
              </m:ctrlPr>
            </m:naryPr>
            <m:sub>
              <m:r>
                <w:rPr>
                  <w:rFonts w:ascii="Cambria Math" w:hAnsi="Cambria Math"/>
                </w:rPr>
                <m:t>u=1</m:t>
              </m:r>
            </m:sub>
            <m:sup>
              <m:r>
                <w:rPr>
                  <w:rFonts w:ascii="Cambria Math" w:hAnsi="Cambria Math"/>
                </w:rPr>
                <m:t>aj</m:t>
              </m:r>
            </m:sup>
            <m:e>
              <m:d>
                <m:dPr>
                  <m:ctrlPr>
                    <w:rPr>
                      <w:rFonts w:ascii="Cambria Math" w:hAnsi="Cambria Math"/>
                      <w:i/>
                    </w:rPr>
                  </m:ctrlPr>
                </m:dPr>
                <m:e>
                  <m:sSub>
                    <m:sSubPr>
                      <m:ctrlPr>
                        <w:rPr>
                          <w:rFonts w:ascii="Cambria Math" w:hAnsi="Cambria Math"/>
                          <w:i/>
                        </w:rPr>
                      </m:ctrlPr>
                    </m:sSubPr>
                    <m:e>
                      <m:r>
                        <w:rPr>
                          <w:rFonts w:ascii="Cambria Math" w:hAnsi="Cambria Math"/>
                        </w:rPr>
                        <m:t>CNE</m:t>
                      </m:r>
                    </m:e>
                    <m:sub>
                      <m:r>
                        <w:rPr>
                          <w:rFonts w:ascii="Cambria Math" w:hAnsi="Cambria Math"/>
                        </w:rPr>
                        <m:t>m,u</m:t>
                      </m:r>
                    </m:sub>
                  </m:sSub>
                </m:e>
              </m:d>
            </m:e>
          </m:nary>
          <m:r>
            <w:rPr>
              <w:rFonts w:ascii="Cambria Math" w:hAnsi="Cambria Math"/>
            </w:rPr>
            <m:t>+</m:t>
          </m:r>
          <m:sSub>
            <m:sSubPr>
              <m:ctrlPr>
                <w:rPr>
                  <w:rFonts w:ascii="Cambria Math" w:hAnsi="Cambria Math"/>
                  <w:i/>
                </w:rPr>
              </m:ctrlPr>
            </m:sSubPr>
            <m:e>
              <m:r>
                <w:rPr>
                  <w:rFonts w:ascii="Cambria Math" w:hAnsi="Cambria Math"/>
                </w:rPr>
                <m:t>VMCP</m:t>
              </m:r>
            </m:e>
            <m:sub>
              <m:r>
                <w:rPr>
                  <w:rFonts w:ascii="Cambria Math" w:hAnsi="Cambria Math"/>
                </w:rPr>
                <m:t>m-1</m:t>
              </m:r>
            </m:sub>
          </m:sSub>
        </m:oMath>
      </m:oMathPara>
    </w:p>
    <w:p w14:paraId="36662926" w14:textId="77777777" w:rsidR="00CE0D74" w:rsidRPr="00321B46" w:rsidRDefault="00CE0D74" w:rsidP="00CE0D74">
      <w:pPr>
        <w:ind w:left="1416" w:hanging="1416"/>
      </w:pPr>
      <w:r w:rsidRPr="00321B46">
        <w:t>Donde:</w:t>
      </w:r>
    </w:p>
    <w:p w14:paraId="084576B7" w14:textId="77777777" w:rsidR="00CE0D74" w:rsidRPr="00321B46" w:rsidRDefault="00CE0D74" w:rsidP="00CE0D74">
      <w:pPr>
        <w:ind w:left="1416" w:hanging="1416"/>
      </w:pPr>
      <w:r w:rsidRPr="00321B46">
        <w:rPr>
          <w:i/>
        </w:rPr>
        <w:t>VMC</w:t>
      </w:r>
      <w:r w:rsidRPr="00321B46">
        <w:rPr>
          <w:i/>
          <w:vertAlign w:val="subscript"/>
        </w:rPr>
        <w:t>j,m</w:t>
      </w:r>
      <w:r w:rsidRPr="00321B46">
        <w:t xml:space="preserve"> :</w:t>
      </w:r>
      <w:r w:rsidRPr="00321B46">
        <w:tab/>
        <w:t xml:space="preserve">Valor mensual a compensar por el TN </w:t>
      </w:r>
      <w:r w:rsidRPr="00321B46">
        <w:rPr>
          <w:i/>
        </w:rPr>
        <w:t>j</w:t>
      </w:r>
      <w:r w:rsidRPr="00321B46">
        <w:t>, en el mes </w:t>
      </w:r>
      <w:r w:rsidRPr="00321B46">
        <w:rPr>
          <w:i/>
        </w:rPr>
        <w:t>m</w:t>
      </w:r>
      <w:r w:rsidRPr="00321B46">
        <w:t xml:space="preserve">, por incumplimiento de lo establecido en este capítulo. </w:t>
      </w:r>
    </w:p>
    <w:p w14:paraId="6BE81123" w14:textId="77777777" w:rsidR="00CE0D74" w:rsidRPr="00321B46" w:rsidRDefault="00CE0D74" w:rsidP="00CE0D74">
      <w:pPr>
        <w:ind w:left="1416" w:hanging="1416"/>
      </w:pPr>
      <w:r w:rsidRPr="00321B46">
        <w:rPr>
          <w:i/>
        </w:rPr>
        <w:t>CIM</w:t>
      </w:r>
      <w:r w:rsidRPr="00321B46">
        <w:rPr>
          <w:i/>
          <w:vertAlign w:val="subscript"/>
        </w:rPr>
        <w:t>m,u</w:t>
      </w:r>
      <w:r w:rsidRPr="00321B46">
        <w:t xml:space="preserve"> :</w:t>
      </w:r>
      <w:r w:rsidRPr="00321B46">
        <w:tab/>
        <w:t xml:space="preserve">Compensación por incumplimiento de metas, del activo </w:t>
      </w:r>
      <w:r w:rsidRPr="00321B46">
        <w:rPr>
          <w:i/>
        </w:rPr>
        <w:t>u</w:t>
      </w:r>
      <w:r w:rsidRPr="00321B46">
        <w:t>, en el mes </w:t>
      </w:r>
      <w:r w:rsidRPr="00321B46">
        <w:rPr>
          <w:i/>
        </w:rPr>
        <w:t>m</w:t>
      </w:r>
      <w:r w:rsidRPr="00321B46">
        <w:t xml:space="preserve">. </w:t>
      </w:r>
    </w:p>
    <w:p w14:paraId="5EADB765" w14:textId="77777777" w:rsidR="00CE0D74" w:rsidRPr="00321B46" w:rsidRDefault="00CE0D74" w:rsidP="003276B5">
      <w:pPr>
        <w:ind w:left="1416" w:hanging="1416"/>
        <w:rPr>
          <w:rFonts w:cs="Arial"/>
        </w:rPr>
      </w:pPr>
      <w:r w:rsidRPr="00321B46">
        <w:rPr>
          <w:i/>
        </w:rPr>
        <w:t>VHRC</w:t>
      </w:r>
      <w:r w:rsidRPr="00321B46">
        <w:rPr>
          <w:i/>
          <w:vertAlign w:val="subscript"/>
        </w:rPr>
        <w:t>m,u,j</w:t>
      </w:r>
      <w:r w:rsidRPr="00321B46">
        <w:t>:</w:t>
      </w:r>
      <w:r w:rsidRPr="00321B46">
        <w:tab/>
        <w:t xml:space="preserve">Valor horario de referencia para el cálculo de la compensación del activo </w:t>
      </w:r>
      <w:r w:rsidRPr="00321B46">
        <w:rPr>
          <w:i/>
        </w:rPr>
        <w:t>u</w:t>
      </w:r>
      <w:r w:rsidRPr="00321B46">
        <w:t xml:space="preserve">, del TN </w:t>
      </w:r>
      <w:r w:rsidRPr="00321B46">
        <w:rPr>
          <w:i/>
        </w:rPr>
        <w:t>j</w:t>
      </w:r>
      <w:r w:rsidRPr="00321B46">
        <w:t xml:space="preserve">, durante el mes </w:t>
      </w:r>
      <w:r w:rsidRPr="00321B46">
        <w:rPr>
          <w:i/>
        </w:rPr>
        <w:t>m</w:t>
      </w:r>
      <w:r w:rsidRPr="00321B46">
        <w:t>.</w:t>
      </w:r>
    </w:p>
    <w:p w14:paraId="49618D09" w14:textId="13DA9AA8" w:rsidR="00CE0D74" w:rsidRPr="00321B46" w:rsidRDefault="00CE0D74" w:rsidP="00CE0D74">
      <w:pPr>
        <w:ind w:left="1416" w:hanging="1416"/>
      </w:pPr>
      <w:r w:rsidRPr="00321B46">
        <w:rPr>
          <w:i/>
        </w:rPr>
        <w:t>IMRT</w:t>
      </w:r>
      <w:r w:rsidRPr="00321B46">
        <w:rPr>
          <w:i/>
          <w:vertAlign w:val="subscript"/>
        </w:rPr>
        <w:t>m,u</w:t>
      </w:r>
      <w:r w:rsidRPr="00321B46">
        <w:t>:</w:t>
      </w:r>
      <w:r w:rsidRPr="00321B46">
        <w:tab/>
        <w:t xml:space="preserve">Ingreso </w:t>
      </w:r>
      <w:r w:rsidR="00C00F14" w:rsidRPr="00321B46">
        <w:t>m</w:t>
      </w:r>
      <w:r w:rsidRPr="00321B46">
        <w:t xml:space="preserve">ensual </w:t>
      </w:r>
      <w:r w:rsidR="00C00F14" w:rsidRPr="00321B46">
        <w:t>t</w:t>
      </w:r>
      <w:r w:rsidRPr="00321B46">
        <w:t xml:space="preserve">emporal para el activo </w:t>
      </w:r>
      <w:r w:rsidRPr="00321B46">
        <w:rPr>
          <w:i/>
        </w:rPr>
        <w:t>u</w:t>
      </w:r>
      <w:r w:rsidRPr="00321B46">
        <w:t xml:space="preserve">, en el mes </w:t>
      </w:r>
      <w:r w:rsidRPr="00321B46">
        <w:rPr>
          <w:i/>
        </w:rPr>
        <w:t>m</w:t>
      </w:r>
      <w:r w:rsidRPr="00321B46">
        <w:t xml:space="preserve">, mientras el activo </w:t>
      </w:r>
      <w:r w:rsidRPr="00321B46">
        <w:rPr>
          <w:i/>
        </w:rPr>
        <w:t>u</w:t>
      </w:r>
      <w:r w:rsidRPr="00321B46">
        <w:t xml:space="preserve"> esté indisponible por las causas citadas en el numeral </w:t>
      </w:r>
      <w:r w:rsidRPr="00321B46">
        <w:fldChar w:fldCharType="begin"/>
      </w:r>
      <w:r w:rsidRPr="00321B46">
        <w:instrText xml:space="preserve"> REF _Ref184401837 \r \h  \* MERGEFORMAT </w:instrText>
      </w:r>
      <w:r w:rsidRPr="00321B46">
        <w:fldChar w:fldCharType="separate"/>
      </w:r>
      <w:r w:rsidR="000F355F">
        <w:t>5.13</w:t>
      </w:r>
      <w:r w:rsidRPr="00321B46">
        <w:fldChar w:fldCharType="end"/>
      </w:r>
      <w:r w:rsidRPr="00321B46">
        <w:t>.</w:t>
      </w:r>
    </w:p>
    <w:p w14:paraId="3E6C68F6" w14:textId="77777777" w:rsidR="00CE0D74" w:rsidRPr="00321B46" w:rsidRDefault="00CE0D74" w:rsidP="00CE0D74">
      <w:pPr>
        <w:ind w:left="1416" w:hanging="1416"/>
      </w:pPr>
      <w:r w:rsidRPr="00321B46">
        <w:rPr>
          <w:i/>
        </w:rPr>
        <w:t>CNE</w:t>
      </w:r>
      <w:r w:rsidRPr="00321B46">
        <w:rPr>
          <w:i/>
          <w:vertAlign w:val="subscript"/>
        </w:rPr>
        <w:t>m,u</w:t>
      </w:r>
      <w:r w:rsidRPr="00321B46">
        <w:t xml:space="preserve">: </w:t>
      </w:r>
      <w:r w:rsidRPr="00321B46">
        <w:tab/>
        <w:t xml:space="preserve">Compensación del activo </w:t>
      </w:r>
      <w:r w:rsidRPr="00321B46">
        <w:rPr>
          <w:i/>
        </w:rPr>
        <w:t>u</w:t>
      </w:r>
      <w:r w:rsidRPr="00321B46">
        <w:t xml:space="preserve">, en el mes </w:t>
      </w:r>
      <w:r w:rsidRPr="00321B46">
        <w:rPr>
          <w:i/>
        </w:rPr>
        <w:t>m</w:t>
      </w:r>
      <w:r w:rsidRPr="00321B46">
        <w:t>, por energía no suministrada o por dejar no operativos otros activos.</w:t>
      </w:r>
    </w:p>
    <w:p w14:paraId="60038546" w14:textId="77777777" w:rsidR="00CE0D74" w:rsidRPr="00321B46" w:rsidRDefault="00CE0D74" w:rsidP="00CE0D74">
      <w:pPr>
        <w:ind w:left="1416" w:hanging="1416"/>
      </w:pPr>
      <w:r w:rsidRPr="00321B46">
        <w:rPr>
          <w:i/>
        </w:rPr>
        <w:t>VMCP</w:t>
      </w:r>
      <w:r w:rsidRPr="00321B46">
        <w:rPr>
          <w:i/>
          <w:vertAlign w:val="subscript"/>
        </w:rPr>
        <w:t>m-1</w:t>
      </w:r>
      <w:r w:rsidRPr="00321B46">
        <w:t xml:space="preserve">: </w:t>
      </w:r>
      <w:r w:rsidRPr="00321B46">
        <w:tab/>
        <w:t xml:space="preserve">Valor de las compensaciones que quedó pendiente por descontar en el mes </w:t>
      </w:r>
      <w:r w:rsidRPr="00321B46">
        <w:rPr>
          <w:i/>
        </w:rPr>
        <w:t>m-1</w:t>
      </w:r>
      <w:r w:rsidRPr="00321B46">
        <w:t>.</w:t>
      </w:r>
    </w:p>
    <w:p w14:paraId="021CBB74" w14:textId="77777777" w:rsidR="00CE0D74" w:rsidRPr="00321B46" w:rsidRDefault="00CE0D74" w:rsidP="00CE0D74">
      <w:pPr>
        <w:ind w:left="1416" w:hanging="1416"/>
      </w:pPr>
      <w:r w:rsidRPr="00321B46">
        <w:rPr>
          <w:i/>
        </w:rPr>
        <w:t>aj</w:t>
      </w:r>
      <w:r w:rsidRPr="00321B46">
        <w:t>:</w:t>
      </w:r>
      <w:r w:rsidRPr="00321B46">
        <w:tab/>
        <w:t xml:space="preserve">Número de activos del TN </w:t>
      </w:r>
      <w:r w:rsidRPr="00321B46">
        <w:rPr>
          <w:i/>
        </w:rPr>
        <w:t>j</w:t>
      </w:r>
      <w:r w:rsidRPr="00321B46">
        <w:t>., que se encuentra en cada una de las situaciones descritas.</w:t>
      </w:r>
    </w:p>
    <w:p w14:paraId="23500FA2" w14:textId="77777777" w:rsidR="00CE0D74" w:rsidRPr="00321B46" w:rsidRDefault="00CE0D74" w:rsidP="00BF7220">
      <w:pPr>
        <w:pStyle w:val="Ttulo2"/>
      </w:pPr>
      <w:bookmarkStart w:id="382" w:name="_Ref334449541"/>
      <w:bookmarkStart w:id="383" w:name="_Toc334454919"/>
      <w:bookmarkStart w:id="384" w:name="_Toc404020425"/>
      <w:bookmarkStart w:id="385" w:name="_Toc409016129"/>
      <w:bookmarkStart w:id="386" w:name="_Toc466392668"/>
      <w:r w:rsidRPr="00321B46">
        <w:t>I</w:t>
      </w:r>
      <w:r w:rsidR="00082E7E" w:rsidRPr="00321B46">
        <w:t xml:space="preserve">nforme sobre </w:t>
      </w:r>
      <w:r w:rsidRPr="00321B46">
        <w:t>ENS</w:t>
      </w:r>
      <w:bookmarkEnd w:id="382"/>
      <w:bookmarkEnd w:id="383"/>
      <w:bookmarkEnd w:id="384"/>
      <w:bookmarkEnd w:id="385"/>
      <w:bookmarkEnd w:id="386"/>
    </w:p>
    <w:p w14:paraId="51748010" w14:textId="79186425" w:rsidR="00CE0D74" w:rsidRPr="00321B46" w:rsidRDefault="00CE0D74" w:rsidP="00CE0D74">
      <w:pPr>
        <w:rPr>
          <w:rFonts w:cs="Arial"/>
          <w:spacing w:val="-3"/>
        </w:rPr>
      </w:pPr>
      <w:r w:rsidRPr="00321B46">
        <w:rPr>
          <w:rFonts w:cs="Arial"/>
        </w:rPr>
        <w:t xml:space="preserve">Cuando </w:t>
      </w:r>
      <w:r w:rsidRPr="00321B46">
        <w:rPr>
          <w:rFonts w:cs="Arial"/>
          <w:spacing w:val="-3"/>
        </w:rPr>
        <w:t xml:space="preserve">la variable </w:t>
      </w:r>
      <w:r w:rsidRPr="00321B46">
        <w:rPr>
          <w:rFonts w:cs="Arial"/>
          <w:i/>
          <w:spacing w:val="-3"/>
        </w:rPr>
        <w:t>PENS</w:t>
      </w:r>
      <w:r w:rsidRPr="00321B46">
        <w:rPr>
          <w:rFonts w:cs="Arial"/>
          <w:i/>
          <w:spacing w:val="-3"/>
          <w:vertAlign w:val="subscript"/>
        </w:rPr>
        <w:t>j,h</w:t>
      </w:r>
      <w:r w:rsidRPr="00321B46">
        <w:rPr>
          <w:rFonts w:cs="Arial"/>
          <w:spacing w:val="-3"/>
        </w:rPr>
        <w:t xml:space="preserve">, supere el </w:t>
      </w:r>
      <w:r w:rsidRPr="00321B46">
        <w:rPr>
          <w:rFonts w:cs="Arial"/>
        </w:rPr>
        <w:t>porcentaje definido en el numeral 3.4 de la Resolución CREG 093 de 2012 el</w:t>
      </w:r>
      <w:r w:rsidRPr="00321B46">
        <w:rPr>
          <w:rFonts w:cs="Arial"/>
          <w:spacing w:val="-3"/>
        </w:rPr>
        <w:t xml:space="preserve"> CND deberá publicar en su página </w:t>
      </w:r>
      <w:r w:rsidR="009F6482" w:rsidRPr="00321B46">
        <w:rPr>
          <w:rFonts w:cs="Arial"/>
          <w:spacing w:val="-3"/>
        </w:rPr>
        <w:t>web</w:t>
      </w:r>
      <w:r w:rsidRPr="00321B46">
        <w:rPr>
          <w:rFonts w:cs="Arial"/>
          <w:spacing w:val="-3"/>
        </w:rPr>
        <w:t xml:space="preserve"> </w:t>
      </w:r>
      <w:r w:rsidR="009E5486" w:rsidRPr="00321B46">
        <w:rPr>
          <w:rFonts w:cs="Arial"/>
          <w:spacing w:val="-3"/>
        </w:rPr>
        <w:t>para consulta de las empresas y entidades interesadas</w:t>
      </w:r>
      <w:r w:rsidRPr="00321B46">
        <w:rPr>
          <w:rFonts w:cs="Arial"/>
          <w:spacing w:val="-3"/>
        </w:rPr>
        <w:t>, un informe donde se haga el análisis detallado del evento ocurrido y contenga como mínimo lo siguiente:</w:t>
      </w:r>
      <w:r w:rsidR="009E5486" w:rsidRPr="00321B46">
        <w:rPr>
          <w:rFonts w:cs="Arial"/>
          <w:spacing w:val="-3"/>
        </w:rPr>
        <w:t xml:space="preserve"> </w:t>
      </w:r>
    </w:p>
    <w:p w14:paraId="33624B4B" w14:textId="606D3513" w:rsidR="000E69CA" w:rsidRPr="00321B46" w:rsidRDefault="00CE0D74" w:rsidP="00CE0D74">
      <w:pPr>
        <w:pStyle w:val="Prrafodelista"/>
        <w:numPr>
          <w:ilvl w:val="0"/>
          <w:numId w:val="36"/>
        </w:numPr>
        <w:rPr>
          <w:szCs w:val="24"/>
        </w:rPr>
      </w:pPr>
      <w:r w:rsidRPr="00321B46">
        <w:rPr>
          <w:szCs w:val="24"/>
        </w:rPr>
        <w:t>descripción de</w:t>
      </w:r>
      <w:r w:rsidR="000E69CA" w:rsidRPr="00321B46">
        <w:rPr>
          <w:szCs w:val="24"/>
        </w:rPr>
        <w:t>l</w:t>
      </w:r>
      <w:r w:rsidRPr="00321B46">
        <w:rPr>
          <w:szCs w:val="24"/>
        </w:rPr>
        <w:t xml:space="preserve"> evento registrado</w:t>
      </w:r>
      <w:r w:rsidR="00C6726E" w:rsidRPr="00321B46">
        <w:rPr>
          <w:szCs w:val="24"/>
        </w:rPr>
        <w:t>,</w:t>
      </w:r>
    </w:p>
    <w:p w14:paraId="7D61B7DB" w14:textId="407F9F65" w:rsidR="00CE0D74" w:rsidRPr="00321B46" w:rsidRDefault="00CE0D74" w:rsidP="00CE0D74">
      <w:pPr>
        <w:pStyle w:val="Prrafodelista"/>
        <w:numPr>
          <w:ilvl w:val="0"/>
          <w:numId w:val="36"/>
        </w:numPr>
        <w:rPr>
          <w:szCs w:val="24"/>
        </w:rPr>
      </w:pPr>
      <w:r w:rsidRPr="00321B46">
        <w:rPr>
          <w:szCs w:val="24"/>
        </w:rPr>
        <w:t>activo causante de</w:t>
      </w:r>
      <w:r w:rsidR="000E69CA" w:rsidRPr="00321B46">
        <w:rPr>
          <w:szCs w:val="24"/>
        </w:rPr>
        <w:t>l</w:t>
      </w:r>
      <w:r w:rsidRPr="00321B46">
        <w:rPr>
          <w:szCs w:val="24"/>
        </w:rPr>
        <w:t xml:space="preserve"> evento,</w:t>
      </w:r>
    </w:p>
    <w:p w14:paraId="28D748CB" w14:textId="77777777" w:rsidR="00CE0D74" w:rsidRPr="00321B46" w:rsidRDefault="00CE0D74" w:rsidP="00CE0D74">
      <w:pPr>
        <w:pStyle w:val="Prrafodelista"/>
        <w:numPr>
          <w:ilvl w:val="0"/>
          <w:numId w:val="36"/>
        </w:numPr>
        <w:rPr>
          <w:szCs w:val="24"/>
        </w:rPr>
      </w:pPr>
      <w:r w:rsidRPr="00321B46">
        <w:rPr>
          <w:szCs w:val="24"/>
        </w:rPr>
        <w:t>valores y memoria de cálculo de todas las variables descritas en este capítulo,</w:t>
      </w:r>
    </w:p>
    <w:p w14:paraId="66104D84" w14:textId="77777777" w:rsidR="00CE0D74" w:rsidRPr="00321B46" w:rsidRDefault="00CE0D74" w:rsidP="00CE0D74">
      <w:pPr>
        <w:pStyle w:val="Prrafodelista"/>
        <w:numPr>
          <w:ilvl w:val="0"/>
          <w:numId w:val="36"/>
        </w:numPr>
        <w:rPr>
          <w:szCs w:val="24"/>
        </w:rPr>
      </w:pPr>
      <w:r w:rsidRPr="00321B46">
        <w:rPr>
          <w:szCs w:val="24"/>
        </w:rPr>
        <w:t>curva de potencia activa en el SIN, para el periodo horario del evento, los 12 periodos anteriores y los 12 siguientes a la ocurrencia del mismo, y</w:t>
      </w:r>
    </w:p>
    <w:p w14:paraId="1A7A9C85" w14:textId="77777777" w:rsidR="00CE0D74" w:rsidRPr="00321B46" w:rsidRDefault="00CE0D74" w:rsidP="00CE0D74">
      <w:pPr>
        <w:pStyle w:val="Prrafodelista"/>
        <w:numPr>
          <w:ilvl w:val="0"/>
          <w:numId w:val="36"/>
        </w:numPr>
        <w:rPr>
          <w:szCs w:val="24"/>
        </w:rPr>
      </w:pPr>
      <w:r w:rsidRPr="00321B46">
        <w:rPr>
          <w:szCs w:val="24"/>
        </w:rPr>
        <w:t>el informe final del evento previsto en los acuerdos del CNO.</w:t>
      </w:r>
    </w:p>
    <w:p w14:paraId="6CD34C71" w14:textId="4EA39EA7" w:rsidR="00CE0D74" w:rsidRPr="00321B46" w:rsidRDefault="00CE0D74" w:rsidP="00CE0D74">
      <w:r w:rsidRPr="00321B46">
        <w:rPr>
          <w:lang w:val="es-CO"/>
        </w:rPr>
        <w:t xml:space="preserve">El informe </w:t>
      </w:r>
      <w:r w:rsidR="00C6726E" w:rsidRPr="00321B46">
        <w:rPr>
          <w:lang w:val="es-CO"/>
        </w:rPr>
        <w:t xml:space="preserve">sobre ENS </w:t>
      </w:r>
      <w:r w:rsidRPr="00321B46">
        <w:rPr>
          <w:lang w:val="es-CO"/>
        </w:rPr>
        <w:t xml:space="preserve">será elaborado </w:t>
      </w:r>
      <w:r w:rsidR="009E5486" w:rsidRPr="00321B46">
        <w:rPr>
          <w:lang w:val="es-CO"/>
        </w:rPr>
        <w:t xml:space="preserve">y publicado </w:t>
      </w:r>
      <w:r w:rsidRPr="00321B46">
        <w:rPr>
          <w:lang w:val="es-CO"/>
        </w:rPr>
        <w:t>por el CND, teniendo en cuenta los plazos establecidos en los acuerdos del CNO para la presentación de los informes de análisis del evento</w:t>
      </w:r>
      <w:r w:rsidR="009E5486" w:rsidRPr="00321B46">
        <w:rPr>
          <w:lang w:val="es-CO"/>
        </w:rPr>
        <w:t>. El CND deberá enviar copia de este informe a la SSPD</w:t>
      </w:r>
      <w:r w:rsidRPr="00321B46">
        <w:rPr>
          <w:lang w:val="es-CO"/>
        </w:rPr>
        <w:t xml:space="preserve"> co</w:t>
      </w:r>
      <w:r w:rsidR="009E5486" w:rsidRPr="00321B46">
        <w:rPr>
          <w:lang w:val="es-CO"/>
        </w:rPr>
        <w:t>n el fin de aportar información que sirva como</w:t>
      </w:r>
      <w:r w:rsidRPr="00321B46">
        <w:rPr>
          <w:lang w:val="es-CO"/>
        </w:rPr>
        <w:t xml:space="preserve"> herramienta de análisis </w:t>
      </w:r>
      <w:r w:rsidRPr="00321B46">
        <w:t>para lo de su competencia.</w:t>
      </w:r>
      <w:r w:rsidR="009E5486" w:rsidRPr="00321B46">
        <w:rPr>
          <w:rFonts w:cs="Arial"/>
          <w:spacing w:val="-3"/>
        </w:rPr>
        <w:t xml:space="preserve"> </w:t>
      </w:r>
    </w:p>
    <w:p w14:paraId="012878C0" w14:textId="77777777" w:rsidR="00CE0D74" w:rsidRPr="00321B46" w:rsidRDefault="00CE0D74" w:rsidP="00BF7220">
      <w:pPr>
        <w:pStyle w:val="Ttulo2"/>
      </w:pPr>
      <w:bookmarkStart w:id="387" w:name="_Toc334454902"/>
      <w:bookmarkStart w:id="388" w:name="_Ref403634510"/>
      <w:bookmarkStart w:id="389" w:name="_Toc404020426"/>
      <w:bookmarkStart w:id="390" w:name="_Toc409016130"/>
      <w:bookmarkStart w:id="391" w:name="_Toc466392669"/>
      <w:r w:rsidRPr="00321B46">
        <w:t>Z</w:t>
      </w:r>
      <w:r w:rsidR="00082E7E" w:rsidRPr="00321B46">
        <w:t xml:space="preserve">ona excluida de </w:t>
      </w:r>
      <w:bookmarkEnd w:id="387"/>
      <w:r w:rsidRPr="00321B46">
        <w:t>CNE</w:t>
      </w:r>
      <w:bookmarkEnd w:id="388"/>
      <w:bookmarkEnd w:id="389"/>
      <w:bookmarkEnd w:id="390"/>
      <w:bookmarkEnd w:id="391"/>
    </w:p>
    <w:p w14:paraId="08AD0E3B" w14:textId="77777777" w:rsidR="00CE0D74" w:rsidRPr="00321B46" w:rsidRDefault="00CE0D74" w:rsidP="00CE0D74">
      <w:r w:rsidRPr="00321B46">
        <w:t xml:space="preserve">Una zona excluida de CNE es la zona del STN que, en condiciones normales de operación, es alimentada sólo por un circuito o sólo por un transformador, de los que conforman el STN. También podrán ser zonas excluidas de CNE, de manera temporal, aquellas zonas que se alimenten sólo por un circuito o sólo por un transformador, de los que conforman el STN, cuando los demás activos que alimentan la zona se encuentren indisponibles por los eventos excluidos de que trata el numeral </w:t>
      </w:r>
      <w:r w:rsidRPr="00321B46">
        <w:fldChar w:fldCharType="begin"/>
      </w:r>
      <w:r w:rsidRPr="00321B46">
        <w:instrText xml:space="preserve"> REF _Ref403633065 \r \h  \* MERGEFORMAT </w:instrText>
      </w:r>
      <w:r w:rsidRPr="00321B46">
        <w:fldChar w:fldCharType="separate"/>
      </w:r>
      <w:r w:rsidR="000F355F">
        <w:t>5.9</w:t>
      </w:r>
      <w:r w:rsidRPr="00321B46">
        <w:fldChar w:fldCharType="end"/>
      </w:r>
      <w:r w:rsidRPr="00321B46">
        <w:t>. La zona dejará de ser zona excluida de CNE en el momento en que otro activo del STN alimente dicha zona.</w:t>
      </w:r>
    </w:p>
    <w:p w14:paraId="7207B4EA" w14:textId="760A556A" w:rsidR="00CE0D74" w:rsidRPr="00321B46" w:rsidRDefault="00CE0D74" w:rsidP="00CE0D74">
      <w:r w:rsidRPr="00321B46">
        <w:rPr>
          <w:lang w:val="es-CO"/>
        </w:rPr>
        <w:t>Las</w:t>
      </w:r>
      <w:r w:rsidRPr="00321B46">
        <w:t xml:space="preserve"> zonas del STN que cumplan con las condiciones establecidas en este numeral se denominarán zonas excluidas de CNE y para ellas no habrá lugar al cálculo de </w:t>
      </w:r>
      <w:r w:rsidR="00DC0C1B" w:rsidRPr="00321B46">
        <w:t>CNE</w:t>
      </w:r>
      <w:r w:rsidRPr="00321B46">
        <w:t>, ante eventos ocasionados por los activos que las conforman.</w:t>
      </w:r>
    </w:p>
    <w:p w14:paraId="2CB4654A" w14:textId="77777777" w:rsidR="00CE0D74" w:rsidRPr="00321B46" w:rsidRDefault="00CE0D74" w:rsidP="00CE0D74">
      <w:pPr>
        <w:pStyle w:val="Ttulo3"/>
        <w:rPr>
          <w:szCs w:val="24"/>
        </w:rPr>
      </w:pPr>
      <w:bookmarkStart w:id="392" w:name="_Ref334447551"/>
      <w:bookmarkStart w:id="393" w:name="_Toc334454904"/>
      <w:bookmarkStart w:id="394" w:name="_Toc404020427"/>
      <w:bookmarkStart w:id="395" w:name="_Toc409016131"/>
      <w:bookmarkStart w:id="396" w:name="_Toc466392670"/>
      <w:r w:rsidRPr="00321B46">
        <w:rPr>
          <w:szCs w:val="24"/>
        </w:rPr>
        <w:t>Lista de zonas excluidas de CNE</w:t>
      </w:r>
      <w:bookmarkEnd w:id="392"/>
      <w:bookmarkEnd w:id="393"/>
      <w:bookmarkEnd w:id="394"/>
      <w:bookmarkEnd w:id="395"/>
      <w:bookmarkEnd w:id="396"/>
      <w:r w:rsidRPr="00321B46">
        <w:rPr>
          <w:szCs w:val="24"/>
        </w:rPr>
        <w:t xml:space="preserve"> </w:t>
      </w:r>
    </w:p>
    <w:p w14:paraId="1F9E95E3" w14:textId="77777777" w:rsidR="00CE0D74" w:rsidRPr="00321B46" w:rsidRDefault="00CE0D74" w:rsidP="00CE0D74">
      <w:r w:rsidRPr="00321B46">
        <w:t xml:space="preserve">Para que una zona sea considerada como zona excluida de CNE, el CND verificará que cumple con la definición y los requisitos previstos en el siguiente numeral. El CND deberá publicar en su página </w:t>
      </w:r>
      <w:r w:rsidR="009F6482" w:rsidRPr="00321B46">
        <w:t>web</w:t>
      </w:r>
      <w:r w:rsidRPr="00321B46">
        <w:t xml:space="preserve"> la lista de zonas excluidas de CNE y el conjunto de activos del STN que hacen parte de cada una de ellas. Si varios TN identifican activos que dependen eléctricamente de un mismo activo, el CND los agrupará y conformará una sola zona excluida de CNE.</w:t>
      </w:r>
    </w:p>
    <w:p w14:paraId="21E8DC51" w14:textId="77777777" w:rsidR="00CE0D74" w:rsidRPr="00321B46" w:rsidRDefault="00CE0D74" w:rsidP="00CE0D74">
      <w:r w:rsidRPr="00321B46">
        <w:t>El CND actualizará la lista cuando se identifique una nueva zona excluida de CNE que cumpla con los requisitos. También actualizará la lista cuando elimine una zona excluida de CNE por la entrada en operación comercial de un proyecto que cambia alguna condición que sirvió para que la zona excluida de CNE fuera identificada previamente como tal.</w:t>
      </w:r>
    </w:p>
    <w:p w14:paraId="7D58C166" w14:textId="77777777" w:rsidR="00CE0D74" w:rsidRPr="00321B46" w:rsidRDefault="00CE0D74" w:rsidP="00CE0D74">
      <w:r w:rsidRPr="00321B46">
        <w:t>La lista actualizada de zonas excluidas de CNE será tenida en cuenta por el LAC en la estimación de las compensaciones, a partir del primer día calendario del mes siguiente a cuando el CND la haya publicado en su página de Internet.</w:t>
      </w:r>
    </w:p>
    <w:p w14:paraId="51006C2D" w14:textId="796CA0FD" w:rsidR="00CE0D74" w:rsidRPr="00321B46" w:rsidRDefault="00CE0D74" w:rsidP="00CE0D74">
      <w:r w:rsidRPr="00321B46">
        <w:t>Para el caso de las zonas excluidas de CNE de manera temporal, el CND determinará un listado de aquellas zonas que se ajust</w:t>
      </w:r>
      <w:r w:rsidR="002D0C4C" w:rsidRPr="00321B46">
        <w:t>e</w:t>
      </w:r>
      <w:r w:rsidRPr="00321B46">
        <w:t>n a la</w:t>
      </w:r>
      <w:r w:rsidR="00DD01F2" w:rsidRPr="00321B46">
        <w:t>s</w:t>
      </w:r>
      <w:r w:rsidRPr="00321B46">
        <w:t xml:space="preserve"> </w:t>
      </w:r>
      <w:r w:rsidR="00DD01F2" w:rsidRPr="00321B46">
        <w:t xml:space="preserve">características </w:t>
      </w:r>
      <w:r w:rsidRPr="00321B46">
        <w:t>que para tal fin se establece</w:t>
      </w:r>
      <w:r w:rsidR="00DD01F2" w:rsidRPr="00321B46">
        <w:t>n</w:t>
      </w:r>
      <w:r w:rsidRPr="00321B46">
        <w:t xml:space="preserve"> en el numeral </w:t>
      </w:r>
      <w:r w:rsidR="00630C4B" w:rsidRPr="00321B46">
        <w:fldChar w:fldCharType="begin"/>
      </w:r>
      <w:r w:rsidR="00630C4B" w:rsidRPr="00321B46">
        <w:instrText xml:space="preserve"> REF _Ref403634510 \r \h </w:instrText>
      </w:r>
      <w:r w:rsidR="003276B5" w:rsidRPr="00321B46">
        <w:instrText xml:space="preserve"> \* MERGEFORMAT </w:instrText>
      </w:r>
      <w:r w:rsidR="00630C4B" w:rsidRPr="00321B46">
        <w:fldChar w:fldCharType="separate"/>
      </w:r>
      <w:r w:rsidR="000F355F">
        <w:t>5.16</w:t>
      </w:r>
      <w:r w:rsidR="00630C4B" w:rsidRPr="00321B46">
        <w:fldChar w:fldCharType="end"/>
      </w:r>
      <w:r w:rsidRPr="00321B46">
        <w:t>, de acuerdo con la información de eventos registrada en sus bases de datos. Este listado se</w:t>
      </w:r>
      <w:r w:rsidR="00855439" w:rsidRPr="00321B46">
        <w:t>rá actualizado de manera permanente y publicado</w:t>
      </w:r>
      <w:r w:rsidRPr="00321B46">
        <w:t xml:space="preserve"> en la página </w:t>
      </w:r>
      <w:r w:rsidR="009F6482" w:rsidRPr="00321B46">
        <w:t>web</w:t>
      </w:r>
      <w:r w:rsidRPr="00321B46">
        <w:t xml:space="preserve"> del CND</w:t>
      </w:r>
      <w:r w:rsidR="00855439" w:rsidRPr="00321B46">
        <w:t xml:space="preserve">, con el fin de que sea </w:t>
      </w:r>
      <w:r w:rsidRPr="00321B46">
        <w:t>tenido en cuenta por el LAC en la estimación de las compensaciones</w:t>
      </w:r>
      <w:r w:rsidR="00855439" w:rsidRPr="00321B46">
        <w:t xml:space="preserve"> del mes al que haya lugar</w:t>
      </w:r>
      <w:r w:rsidRPr="00321B46">
        <w:t>.</w:t>
      </w:r>
    </w:p>
    <w:p w14:paraId="1842D996" w14:textId="77777777" w:rsidR="00CE0D74" w:rsidRPr="00321B46" w:rsidRDefault="00CE0D74" w:rsidP="00CE0D74">
      <w:pPr>
        <w:pStyle w:val="Ttulo3"/>
        <w:rPr>
          <w:szCs w:val="24"/>
        </w:rPr>
      </w:pPr>
      <w:bookmarkStart w:id="397" w:name="_Ref403633397"/>
      <w:bookmarkStart w:id="398" w:name="_Toc404020428"/>
      <w:bookmarkStart w:id="399" w:name="_Toc409016132"/>
      <w:bookmarkStart w:id="400" w:name="_Toc466392671"/>
      <w:r w:rsidRPr="00321B46">
        <w:rPr>
          <w:szCs w:val="24"/>
        </w:rPr>
        <w:t xml:space="preserve">Procedimiento </w:t>
      </w:r>
      <w:bookmarkEnd w:id="397"/>
      <w:r w:rsidRPr="00321B46">
        <w:rPr>
          <w:szCs w:val="24"/>
        </w:rPr>
        <w:t>para establecer zonas excluidas de CNE</w:t>
      </w:r>
      <w:bookmarkEnd w:id="398"/>
      <w:bookmarkEnd w:id="399"/>
      <w:bookmarkEnd w:id="400"/>
    </w:p>
    <w:p w14:paraId="57A1FDCC" w14:textId="77777777" w:rsidR="00CE0D74" w:rsidRPr="00321B46" w:rsidRDefault="00CE0D74" w:rsidP="00CE0D74">
      <w:r w:rsidRPr="00321B46">
        <w:t xml:space="preserve">El TN identificará la zona excluida de CNE de acuerdo con lo señalado en el numeral </w:t>
      </w:r>
      <w:r w:rsidRPr="00321B46">
        <w:fldChar w:fldCharType="begin"/>
      </w:r>
      <w:r w:rsidRPr="00321B46">
        <w:instrText xml:space="preserve"> REF _Ref403634510 \r \h  \* MERGEFORMAT </w:instrText>
      </w:r>
      <w:r w:rsidRPr="00321B46">
        <w:fldChar w:fldCharType="separate"/>
      </w:r>
      <w:r w:rsidR="000F355F">
        <w:t>5.16</w:t>
      </w:r>
      <w:r w:rsidRPr="00321B46">
        <w:fldChar w:fldCharType="end"/>
      </w:r>
      <w:r w:rsidRPr="00321B46">
        <w:t xml:space="preserve"> y, para que sea considerada como tal, deberá cumplir con lo siguiente:</w:t>
      </w:r>
    </w:p>
    <w:p w14:paraId="7C925EB0" w14:textId="77777777" w:rsidR="00CE0D74" w:rsidRPr="00321B46" w:rsidRDefault="00CE0D74" w:rsidP="00CE0D74">
      <w:pPr>
        <w:pStyle w:val="Prrafodelista"/>
        <w:numPr>
          <w:ilvl w:val="0"/>
          <w:numId w:val="37"/>
        </w:numPr>
        <w:rPr>
          <w:szCs w:val="24"/>
        </w:rPr>
      </w:pPr>
      <w:r w:rsidRPr="00321B46">
        <w:rPr>
          <w:szCs w:val="24"/>
        </w:rPr>
        <w:t xml:space="preserve">enviar al CND y a la UPME el diagrama unifilar de la zona excluida de CNE, </w:t>
      </w:r>
    </w:p>
    <w:p w14:paraId="16476F24" w14:textId="77777777" w:rsidR="00CE0D74" w:rsidRPr="00321B46" w:rsidRDefault="00CE0D74" w:rsidP="00CE0D74">
      <w:pPr>
        <w:pStyle w:val="Prrafodelista"/>
        <w:numPr>
          <w:ilvl w:val="0"/>
          <w:numId w:val="37"/>
        </w:numPr>
        <w:rPr>
          <w:szCs w:val="24"/>
        </w:rPr>
      </w:pPr>
      <w:r w:rsidRPr="00321B46">
        <w:rPr>
          <w:szCs w:val="24"/>
        </w:rPr>
        <w:t xml:space="preserve">identificar e informar al LAC los activos del STN que hacen parte de la zona excluida de CNE. </w:t>
      </w:r>
    </w:p>
    <w:p w14:paraId="4D7F6C74" w14:textId="77777777" w:rsidR="00CE0D74" w:rsidRPr="00321B46" w:rsidRDefault="00CE0D74" w:rsidP="00CE0D74">
      <w:pPr>
        <w:rPr>
          <w:rFonts w:cs="Arial"/>
        </w:rPr>
      </w:pPr>
      <w:r w:rsidRPr="00321B46">
        <w:t>Las zonas excluidas de CNE que hayan sido identificadas con anterioridad a la entrada en vigencia de esta resolución no requerirán cumplir de nuevo estos requisitos y se mantendrán en el listado hasta que otro activo del STN alimente dicha zona.</w:t>
      </w:r>
    </w:p>
    <w:p w14:paraId="2C7076B5" w14:textId="77777777" w:rsidR="00CE0D74" w:rsidRPr="00321B46" w:rsidRDefault="00CE0D74" w:rsidP="00BF7220">
      <w:pPr>
        <w:pStyle w:val="Ttulo2"/>
      </w:pPr>
      <w:bookmarkStart w:id="401" w:name="_Toc210616106"/>
      <w:bookmarkStart w:id="402" w:name="_Toc404020429"/>
      <w:bookmarkStart w:id="403" w:name="_Toc409016133"/>
      <w:bookmarkStart w:id="404" w:name="_Toc466392672"/>
      <w:r w:rsidRPr="00321B46">
        <w:t>L</w:t>
      </w:r>
      <w:r w:rsidR="00082E7E" w:rsidRPr="00321B46">
        <w:t>ímite de los valores a compensar</w:t>
      </w:r>
      <w:bookmarkEnd w:id="401"/>
      <w:bookmarkEnd w:id="402"/>
      <w:bookmarkEnd w:id="403"/>
      <w:bookmarkEnd w:id="404"/>
    </w:p>
    <w:p w14:paraId="7186CC0D" w14:textId="77777777" w:rsidR="00CE0D74" w:rsidRPr="00321B46" w:rsidRDefault="00CE0D74" w:rsidP="00CE0D74">
      <w:pPr>
        <w:rPr>
          <w:rFonts w:cs="Arial"/>
        </w:rPr>
      </w:pPr>
      <w:r w:rsidRPr="00321B46">
        <w:rPr>
          <w:rFonts w:cs="Arial"/>
        </w:rPr>
        <w:t>El LAC deberá tener en cuenta que el valor total a descontar en el mes </w:t>
      </w:r>
      <w:r w:rsidRPr="00321B46">
        <w:rPr>
          <w:rFonts w:cs="Arial"/>
          <w:i/>
        </w:rPr>
        <w:t>m</w:t>
      </w:r>
      <w:r w:rsidRPr="00321B46">
        <w:rPr>
          <w:rFonts w:cs="Arial"/>
        </w:rPr>
        <w:t>, al TN </w:t>
      </w:r>
      <w:r w:rsidRPr="00321B46">
        <w:rPr>
          <w:rFonts w:cs="Arial"/>
          <w:i/>
        </w:rPr>
        <w:t>j</w:t>
      </w:r>
      <w:r w:rsidRPr="00321B46">
        <w:rPr>
          <w:rFonts w:cs="Arial"/>
        </w:rPr>
        <w:t>, por concepto de compensaciones no podrá superar el 60% de la suma de los ingresos antes de compensaciones. Si el valor a descontar fuere mayor a dicho porcentaje, el saldo pendiente se deducirá durante los siguientes meses verificando que no se supere el tope del 60%.</w:t>
      </w:r>
    </w:p>
    <w:p w14:paraId="5B4F07CE" w14:textId="4CAFB52D" w:rsidR="00CE0D74" w:rsidRPr="00321B46" w:rsidRDefault="00CE0D74" w:rsidP="00CE0D74">
      <w:pPr>
        <w:rPr>
          <w:rFonts w:cs="Arial"/>
        </w:rPr>
      </w:pPr>
      <w:r w:rsidRPr="00321B46">
        <w:rPr>
          <w:rFonts w:cs="Arial"/>
        </w:rPr>
        <w:t xml:space="preserve">Además, la suma del valor de las compensaciones para cada TN </w:t>
      </w:r>
      <w:r w:rsidRPr="00321B46">
        <w:rPr>
          <w:rFonts w:cs="Arial"/>
          <w:i/>
        </w:rPr>
        <w:t>j</w:t>
      </w:r>
      <w:r w:rsidRPr="00321B46">
        <w:rPr>
          <w:rFonts w:cs="Arial"/>
        </w:rPr>
        <w:t xml:space="preserve">, en un año calendario, estarán limitadas a un valor equivalente al 30% del ingreso del TN en ese año, estimado actualizando la variable </w:t>
      </w:r>
      <w:r w:rsidRPr="00321B46">
        <w:rPr>
          <w:rFonts w:cs="Arial"/>
          <w:i/>
        </w:rPr>
        <w:t>IAT</w:t>
      </w:r>
      <w:r w:rsidRPr="00321B46">
        <w:rPr>
          <w:rFonts w:cs="Arial"/>
          <w:i/>
          <w:vertAlign w:val="subscript"/>
        </w:rPr>
        <w:t>j,t</w:t>
      </w:r>
      <w:r w:rsidRPr="00321B46">
        <w:rPr>
          <w:rFonts w:cs="Arial"/>
        </w:rPr>
        <w:t xml:space="preserve">, definida en el capítulo </w:t>
      </w:r>
      <w:r w:rsidRPr="00321B46">
        <w:rPr>
          <w:rFonts w:cs="Arial"/>
        </w:rPr>
        <w:fldChar w:fldCharType="begin"/>
      </w:r>
      <w:r w:rsidRPr="00321B46">
        <w:rPr>
          <w:rFonts w:cs="Arial"/>
        </w:rPr>
        <w:instrText xml:space="preserve"> REF _Ref406662935 \r \h \t</w:instrText>
      </w:r>
      <w:r w:rsidR="003276B5" w:rsidRPr="00321B46">
        <w:rPr>
          <w:rFonts w:cs="Arial"/>
        </w:rPr>
        <w:instrText xml:space="preserve"> \* MERGEFORMAT </w:instrText>
      </w:r>
      <w:r w:rsidRPr="00321B46">
        <w:rPr>
          <w:rFonts w:cs="Arial"/>
        </w:rPr>
      </w:r>
      <w:r w:rsidRPr="00321B46">
        <w:rPr>
          <w:rFonts w:cs="Arial"/>
        </w:rPr>
        <w:fldChar w:fldCharType="separate"/>
      </w:r>
      <w:r w:rsidR="000F355F">
        <w:rPr>
          <w:rFonts w:cs="Arial"/>
        </w:rPr>
        <w:t>2</w:t>
      </w:r>
      <w:r w:rsidRPr="00321B46">
        <w:rPr>
          <w:rFonts w:cs="Arial"/>
        </w:rPr>
        <w:fldChar w:fldCharType="end"/>
      </w:r>
      <w:r w:rsidR="0061728F" w:rsidRPr="00321B46">
        <w:t xml:space="preserve"> de este anexo</w:t>
      </w:r>
      <w:r w:rsidRPr="00321B46">
        <w:rPr>
          <w:rFonts w:cs="Arial"/>
        </w:rPr>
        <w:t xml:space="preserve">, con el IPP de diciembre del año anterior. </w:t>
      </w:r>
    </w:p>
    <w:p w14:paraId="01EB580F" w14:textId="77777777" w:rsidR="00CE0D74" w:rsidRPr="00321B46" w:rsidRDefault="00CE0D74" w:rsidP="00CE0D74">
      <w:pPr>
        <w:rPr>
          <w:rFonts w:cs="Arial"/>
        </w:rPr>
      </w:pPr>
      <w:r w:rsidRPr="00321B46">
        <w:rPr>
          <w:rFonts w:cs="Arial"/>
        </w:rPr>
        <w:t>Con el objeto de verificar este límite, el LAC calculará mensualmente para cada TN la siguiente variable:</w:t>
      </w:r>
    </w:p>
    <w:p w14:paraId="3C9DF258" w14:textId="77777777" w:rsidR="00CE0D74" w:rsidRPr="00321B46" w:rsidRDefault="00651802" w:rsidP="00CE0D74">
      <w:pPr>
        <w:rPr>
          <w:rFonts w:cs="Arial"/>
        </w:rPr>
      </w:pPr>
      <m:oMathPara>
        <m:oMath>
          <m:sSub>
            <m:sSubPr>
              <m:ctrlPr>
                <w:rPr>
                  <w:rFonts w:ascii="Cambria Math" w:hAnsi="Cambria Math" w:cs="Arial"/>
                  <w:i/>
                </w:rPr>
              </m:ctrlPr>
            </m:sSubPr>
            <m:e>
              <m:r>
                <w:rPr>
                  <w:rFonts w:ascii="Cambria Math" w:hAnsi="Cambria Math" w:cs="Arial"/>
                </w:rPr>
                <m:t>AVMC</m:t>
              </m:r>
            </m:e>
            <m:sub>
              <m:r>
                <w:rPr>
                  <w:rFonts w:ascii="Cambria Math" w:hAnsi="Cambria Math" w:cs="Arial"/>
                </w:rPr>
                <m:t>j,m</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m</m:t>
              </m:r>
            </m:sup>
            <m:e>
              <m:sSub>
                <m:sSubPr>
                  <m:ctrlPr>
                    <w:rPr>
                      <w:rFonts w:ascii="Cambria Math" w:hAnsi="Cambria Math" w:cs="Arial"/>
                      <w:i/>
                    </w:rPr>
                  </m:ctrlPr>
                </m:sSubPr>
                <m:e>
                  <m:r>
                    <w:rPr>
                      <w:rFonts w:ascii="Cambria Math" w:hAnsi="Cambria Math" w:cs="Arial"/>
                    </w:rPr>
                    <m:t>VMC</m:t>
                  </m:r>
                </m:e>
                <m:sub>
                  <m:r>
                    <w:rPr>
                      <w:rFonts w:ascii="Cambria Math" w:hAnsi="Cambria Math" w:cs="Arial"/>
                    </w:rPr>
                    <m:t>j,i</m:t>
                  </m:r>
                </m:sub>
              </m:sSub>
            </m:e>
          </m:nary>
        </m:oMath>
      </m:oMathPara>
    </w:p>
    <w:p w14:paraId="1266EAF9" w14:textId="77777777" w:rsidR="00CE0D74" w:rsidRPr="00321B46" w:rsidRDefault="00CE0D74" w:rsidP="00CE0D74">
      <w:pPr>
        <w:rPr>
          <w:rFonts w:cs="Arial"/>
        </w:rPr>
      </w:pPr>
      <w:r w:rsidRPr="00321B46">
        <w:rPr>
          <w:rFonts w:cs="Arial"/>
        </w:rPr>
        <w:t>Donde:</w:t>
      </w:r>
    </w:p>
    <w:p w14:paraId="11510423" w14:textId="77777777" w:rsidR="00CE0D74" w:rsidRPr="00321B46" w:rsidRDefault="00CE0D74" w:rsidP="00CE0D74">
      <w:pPr>
        <w:spacing w:before="120"/>
        <w:ind w:left="1416" w:hanging="1416"/>
        <w:rPr>
          <w:rFonts w:cs="Arial"/>
        </w:rPr>
      </w:pPr>
      <w:r w:rsidRPr="00321B46">
        <w:rPr>
          <w:rFonts w:cs="Arial"/>
          <w:i/>
        </w:rPr>
        <w:t>AVMC</w:t>
      </w:r>
      <w:r w:rsidRPr="00321B46">
        <w:rPr>
          <w:rFonts w:cs="Arial"/>
          <w:i/>
          <w:vertAlign w:val="subscript"/>
        </w:rPr>
        <w:t>j,m</w:t>
      </w:r>
      <w:r w:rsidRPr="00321B46">
        <w:rPr>
          <w:rFonts w:cs="Arial"/>
        </w:rPr>
        <w:t>:</w:t>
      </w:r>
      <w:r w:rsidRPr="00321B46">
        <w:rPr>
          <w:rFonts w:cs="Arial"/>
        </w:rPr>
        <w:tab/>
        <w:t xml:space="preserve">Valor acumulado de las compensaciones durante los meses transcurridos del año calendario hasta el mes </w:t>
      </w:r>
      <w:r w:rsidRPr="00321B46">
        <w:rPr>
          <w:rFonts w:cs="Arial"/>
          <w:i/>
        </w:rPr>
        <w:t>m</w:t>
      </w:r>
      <w:r w:rsidRPr="00321B46">
        <w:rPr>
          <w:rFonts w:cs="Arial"/>
        </w:rPr>
        <w:t>.</w:t>
      </w:r>
    </w:p>
    <w:p w14:paraId="6C187699" w14:textId="77777777" w:rsidR="00CE0D74" w:rsidRPr="00321B46" w:rsidRDefault="00CE0D74" w:rsidP="00CE0D74">
      <w:pPr>
        <w:ind w:left="1416" w:hanging="1416"/>
      </w:pPr>
      <w:r w:rsidRPr="00321B46">
        <w:rPr>
          <w:i/>
        </w:rPr>
        <w:t>VMC</w:t>
      </w:r>
      <w:r w:rsidRPr="00321B46">
        <w:rPr>
          <w:i/>
          <w:vertAlign w:val="subscript"/>
        </w:rPr>
        <w:t>j,i</w:t>
      </w:r>
      <w:r w:rsidRPr="00321B46">
        <w:t xml:space="preserve"> :</w:t>
      </w:r>
      <w:r w:rsidRPr="00321B46">
        <w:tab/>
        <w:t xml:space="preserve">Valor mensual a compensar por el TN </w:t>
      </w:r>
      <w:r w:rsidRPr="00321B46">
        <w:rPr>
          <w:i/>
        </w:rPr>
        <w:t>j</w:t>
      </w:r>
      <w:r w:rsidRPr="00321B46">
        <w:t>, en el mes </w:t>
      </w:r>
      <w:r w:rsidRPr="00321B46">
        <w:rPr>
          <w:i/>
        </w:rPr>
        <w:t>i</w:t>
      </w:r>
      <w:r w:rsidRPr="00321B46">
        <w:t xml:space="preserve">, por incumplimiento de lo establecido en este capítulo. </w:t>
      </w:r>
    </w:p>
    <w:p w14:paraId="018ABB28" w14:textId="77777777" w:rsidR="00CE0D74" w:rsidRPr="00321B46" w:rsidRDefault="00CE0D74" w:rsidP="00CE0D74">
      <w:pPr>
        <w:rPr>
          <w:rFonts w:cs="Arial"/>
        </w:rPr>
      </w:pPr>
      <w:r w:rsidRPr="00321B46">
        <w:rPr>
          <w:rFonts w:cs="Arial"/>
        </w:rPr>
        <w:t xml:space="preserve">Si para un mes </w:t>
      </w:r>
      <w:r w:rsidRPr="00321B46">
        <w:rPr>
          <w:rFonts w:cs="Arial"/>
          <w:i/>
        </w:rPr>
        <w:t>m</w:t>
      </w:r>
      <w:r w:rsidRPr="00321B46">
        <w:rPr>
          <w:rFonts w:cs="Arial"/>
        </w:rPr>
        <w:t xml:space="preserve"> se obtiene que el valor acumulado supera el 30% del ingreso del TN para ese año, el LAC liquidará  al TN </w:t>
      </w:r>
      <w:r w:rsidRPr="00321B46">
        <w:rPr>
          <w:rFonts w:cs="Arial"/>
          <w:i/>
        </w:rPr>
        <w:t>j</w:t>
      </w:r>
      <w:r w:rsidRPr="00321B46">
        <w:rPr>
          <w:rFonts w:cs="Arial"/>
        </w:rPr>
        <w:t xml:space="preserve">, para ese mes, un valor </w:t>
      </w:r>
      <m:oMath>
        <m:sSub>
          <m:sSubPr>
            <m:ctrlPr>
              <w:rPr>
                <w:rFonts w:ascii="Cambria Math" w:hAnsi="Cambria Math" w:cs="Arial"/>
                <w:i/>
              </w:rPr>
            </m:ctrlPr>
          </m:sSubPr>
          <m:e>
            <m:r>
              <w:rPr>
                <w:rFonts w:ascii="Cambria Math" w:hAnsi="Cambria Math" w:cs="Arial"/>
              </w:rPr>
              <m:t>VMC</m:t>
            </m:r>
          </m:e>
          <m:sub>
            <m:r>
              <w:rPr>
                <w:rFonts w:ascii="Cambria Math" w:hAnsi="Cambria Math" w:cs="Arial"/>
              </w:rPr>
              <m:t>j,m</m:t>
            </m:r>
          </m:sub>
        </m:sSub>
      </m:oMath>
      <w:r w:rsidRPr="00321B46">
        <w:rPr>
          <w:rFonts w:cs="Arial"/>
        </w:rPr>
        <w:t xml:space="preserve"> tal que el AVMC</w:t>
      </w:r>
      <w:r w:rsidRPr="00321B46">
        <w:rPr>
          <w:rFonts w:cs="Arial"/>
          <w:vertAlign w:val="subscript"/>
        </w:rPr>
        <w:t>j,m</w:t>
      </w:r>
      <w:r w:rsidRPr="00321B46" w:rsidDel="00171059">
        <w:rPr>
          <w:rFonts w:cs="Arial"/>
        </w:rPr>
        <w:t xml:space="preserve"> </w:t>
      </w:r>
      <w:r w:rsidRPr="00321B46">
        <w:rPr>
          <w:rFonts w:cs="Arial"/>
        </w:rPr>
        <w:t>no supere el 30% del ingreso anual y, de acuerdo con lo dispuesto en el artículo 59 de la Ley 142 de 1994, la Superintendencia de Servicios Públicos Domiciliarios lo podrá considerar como causal de toma de posesión por no prestar el servicio con la calidad debida.</w:t>
      </w:r>
    </w:p>
    <w:p w14:paraId="249DB312" w14:textId="45523528" w:rsidR="00261E04" w:rsidRPr="00321B46" w:rsidRDefault="00261E04" w:rsidP="00CE0D74">
      <w:pPr>
        <w:rPr>
          <w:rFonts w:cs="Arial"/>
        </w:rPr>
      </w:pPr>
      <w:r w:rsidRPr="00321B46">
        <w:rPr>
          <w:rFonts w:cs="Arial"/>
        </w:rPr>
        <w:t xml:space="preserve">Para los activos sin representación ante el LAC, de que trata el numeral </w:t>
      </w:r>
      <w:r w:rsidRPr="00321B46">
        <w:rPr>
          <w:rFonts w:cs="Arial"/>
        </w:rPr>
        <w:fldChar w:fldCharType="begin"/>
      </w:r>
      <w:r w:rsidRPr="00321B46">
        <w:rPr>
          <w:rFonts w:cs="Arial"/>
        </w:rPr>
        <w:instrText xml:space="preserve"> REF _Ref441132014 \r \h </w:instrText>
      </w:r>
      <w:r w:rsidR="00321B46">
        <w:rPr>
          <w:rFonts w:cs="Arial"/>
        </w:rPr>
        <w:instrText xml:space="preserve"> \* MERGEFORMAT </w:instrText>
      </w:r>
      <w:r w:rsidRPr="00321B46">
        <w:rPr>
          <w:rFonts w:cs="Arial"/>
        </w:rPr>
      </w:r>
      <w:r w:rsidRPr="00321B46">
        <w:rPr>
          <w:rFonts w:cs="Arial"/>
        </w:rPr>
        <w:fldChar w:fldCharType="separate"/>
      </w:r>
      <w:r w:rsidR="000F355F">
        <w:rPr>
          <w:rFonts w:cs="Arial"/>
        </w:rPr>
        <w:t>1.3</w:t>
      </w:r>
      <w:r w:rsidRPr="00321B46">
        <w:rPr>
          <w:rFonts w:cs="Arial"/>
        </w:rPr>
        <w:fldChar w:fldCharType="end"/>
      </w:r>
      <w:r w:rsidRPr="00321B46">
        <w:rPr>
          <w:rFonts w:cs="Arial"/>
        </w:rPr>
        <w:t>, el valor de las compensaciones se limitará al mínimo entre el 30% del ingreso anual del activo y el valor recaudado por ingresos correspondientes a este activo hasta ese momento.</w:t>
      </w:r>
    </w:p>
    <w:p w14:paraId="2D4943A1" w14:textId="30AF53A8" w:rsidR="00825B26" w:rsidRPr="00321B46" w:rsidRDefault="00825B26" w:rsidP="00CE0D74"/>
    <w:p w14:paraId="423A8C7A" w14:textId="77777777" w:rsidR="00E43449" w:rsidRPr="00321B46" w:rsidRDefault="00E43449" w:rsidP="00E43449">
      <w:pPr>
        <w:spacing w:before="0" w:after="0"/>
      </w:pPr>
    </w:p>
    <w:p w14:paraId="5B2BFED5" w14:textId="77777777" w:rsidR="00054DFB" w:rsidRPr="00321B46" w:rsidRDefault="00054DFB" w:rsidP="00054DFB">
      <w:pPr>
        <w:spacing w:before="0" w:after="0"/>
        <w:jc w:val="left"/>
        <w:rPr>
          <w:lang w:val="es-MX"/>
        </w:rPr>
      </w:pPr>
      <w:r w:rsidRPr="00321B46">
        <w:rPr>
          <w:lang w:val="es-MX"/>
        </w:rPr>
        <w:br w:type="page"/>
      </w:r>
    </w:p>
    <w:p w14:paraId="41DC26DE" w14:textId="77777777" w:rsidR="00054DFB" w:rsidRPr="00321B46" w:rsidRDefault="00054DFB" w:rsidP="00054DFB">
      <w:pPr>
        <w:ind w:left="1560" w:hanging="1560"/>
        <w:rPr>
          <w:lang w:val="es-MX"/>
        </w:rPr>
      </w:pPr>
    </w:p>
    <w:p w14:paraId="35CBE54C" w14:textId="77777777" w:rsidR="00054DFB" w:rsidRPr="00321B46" w:rsidRDefault="00054DFB">
      <w:pPr>
        <w:pStyle w:val="Ttulo1"/>
      </w:pPr>
      <w:bookmarkStart w:id="405" w:name="_Toc466392673"/>
      <w:r w:rsidRPr="00321B46">
        <w:t>PLANES DE INVERSIÓN</w:t>
      </w:r>
      <w:bookmarkEnd w:id="405"/>
    </w:p>
    <w:p w14:paraId="6A28557F" w14:textId="41B7CF0C" w:rsidR="003F3582" w:rsidRPr="00321B46" w:rsidRDefault="00054DFB" w:rsidP="003F3582">
      <w:pPr>
        <w:rPr>
          <w:lang w:val="es-CO"/>
        </w:rPr>
      </w:pPr>
      <w:r w:rsidRPr="00321B46">
        <w:rPr>
          <w:lang w:val="es-CO"/>
        </w:rPr>
        <w:t xml:space="preserve">Los </w:t>
      </w:r>
      <w:r w:rsidR="0060636D" w:rsidRPr="00321B46">
        <w:rPr>
          <w:lang w:val="es-CO"/>
        </w:rPr>
        <w:t>TN</w:t>
      </w:r>
      <w:r w:rsidRPr="00321B46">
        <w:rPr>
          <w:lang w:val="es-CO"/>
        </w:rPr>
        <w:t xml:space="preserve"> deben presentar el plan de inversión para el periodo tarifario considerando </w:t>
      </w:r>
      <w:r w:rsidR="003F3582" w:rsidRPr="00321B46">
        <w:rPr>
          <w:lang w:val="es-CO"/>
        </w:rPr>
        <w:t>los siguientes tipos de proyectos:</w:t>
      </w:r>
    </w:p>
    <w:p w14:paraId="3E536E94" w14:textId="62EAF8AA" w:rsidR="003F3582" w:rsidRPr="00321B46" w:rsidRDefault="003F3582" w:rsidP="003F3582">
      <w:pPr>
        <w:pStyle w:val="Prrafodelista"/>
        <w:numPr>
          <w:ilvl w:val="0"/>
          <w:numId w:val="48"/>
        </w:numPr>
      </w:pPr>
      <w:r w:rsidRPr="00321B46">
        <w:rPr>
          <w:b/>
        </w:rPr>
        <w:t>Tipo I:</w:t>
      </w:r>
      <w:r w:rsidRPr="00321B46">
        <w:t xml:space="preserve"> proyectos de inversión motivados en la atención de demanda que ocasionan la instalación de nuevos activos sin reemplazo de activos de existentes. </w:t>
      </w:r>
    </w:p>
    <w:p w14:paraId="21C5E854" w14:textId="54B455B8" w:rsidR="003F3582" w:rsidRPr="00321B46" w:rsidRDefault="003F3582" w:rsidP="003F3582">
      <w:pPr>
        <w:pStyle w:val="Prrafodelista"/>
        <w:numPr>
          <w:ilvl w:val="0"/>
          <w:numId w:val="48"/>
        </w:numPr>
      </w:pPr>
      <w:r w:rsidRPr="00321B46">
        <w:rPr>
          <w:b/>
        </w:rPr>
        <w:t>Tipo II:</w:t>
      </w:r>
      <w:r w:rsidRPr="00321B46">
        <w:t xml:space="preserve"> proyectos de inversión no motivados en la atención de demanda que remplazan activos existentes sin obtener una mayor capacidad del sistema.</w:t>
      </w:r>
    </w:p>
    <w:p w14:paraId="406E99B6" w14:textId="35003BF6" w:rsidR="003F3582" w:rsidRPr="00321B46" w:rsidRDefault="003F3582" w:rsidP="003F3582">
      <w:pPr>
        <w:pStyle w:val="Prrafodelista"/>
        <w:numPr>
          <w:ilvl w:val="0"/>
          <w:numId w:val="48"/>
        </w:numPr>
      </w:pPr>
      <w:r w:rsidRPr="00321B46">
        <w:rPr>
          <w:b/>
        </w:rPr>
        <w:t>Tipo I</w:t>
      </w:r>
      <w:r w:rsidR="00B3646A" w:rsidRPr="00321B46">
        <w:rPr>
          <w:b/>
        </w:rPr>
        <w:t>II</w:t>
      </w:r>
      <w:r w:rsidRPr="00321B46">
        <w:rPr>
          <w:b/>
        </w:rPr>
        <w:t>:</w:t>
      </w:r>
      <w:r w:rsidRPr="00321B46">
        <w:t xml:space="preserve"> proyectos de inversión </w:t>
      </w:r>
      <w:r w:rsidR="00B3646A" w:rsidRPr="00321B46">
        <w:t xml:space="preserve">que </w:t>
      </w:r>
      <w:r w:rsidRPr="00321B46">
        <w:t>no</w:t>
      </w:r>
      <w:r w:rsidR="00B3646A" w:rsidRPr="00321B46">
        <w:t xml:space="preserve"> son clasificables dentro de los tipos I y II pero q</w:t>
      </w:r>
      <w:r w:rsidRPr="00321B46">
        <w:t>ue ocasionan la instalación de nuevos activos.</w:t>
      </w:r>
    </w:p>
    <w:p w14:paraId="6B608D1A" w14:textId="37704C17" w:rsidR="00416124" w:rsidRPr="00321B46" w:rsidRDefault="00416124" w:rsidP="003F3582">
      <w:r w:rsidRPr="00321B46">
        <w:t>Las expansiones del STN que se ejecutan a través de convocatorias no hacen parte del plan de inversiones.</w:t>
      </w:r>
    </w:p>
    <w:p w14:paraId="6E0BA19F" w14:textId="77777777" w:rsidR="003F3582" w:rsidRPr="00321B46" w:rsidRDefault="003F3582" w:rsidP="003F3582">
      <w:r w:rsidRPr="00321B46">
        <w:t>El TN debe asignar cada uno de los proyectos de inversión a los tipos señalados anteriormente</w:t>
      </w:r>
      <w:r w:rsidR="00B160D7" w:rsidRPr="00321B46">
        <w:t>, teniendo en cuenta que para algunos de ellos en la regulación hay establecidos mecanismos para su ejecución y remuneración.</w:t>
      </w:r>
    </w:p>
    <w:p w14:paraId="0CB523E8" w14:textId="11222BF9" w:rsidR="000716CF" w:rsidRPr="00321B46" w:rsidRDefault="000716CF" w:rsidP="003F3582">
      <w:r w:rsidRPr="00321B46">
        <w:t>Además, los proyectos a incluir en los planes de inversión deben</w:t>
      </w:r>
      <w:r w:rsidR="00F738BB" w:rsidRPr="00321B46">
        <w:t xml:space="preserve"> hacer parte del Plan de Expansión de Referencia Generación - Transmisión o</w:t>
      </w:r>
      <w:r w:rsidRPr="00321B46">
        <w:t xml:space="preserve"> contar con el visto bueno de la UPME. Esta Unidad definirá los procedimientos a seguir y los requisitos que deben cumplir los TN para obtener el concepto favorable para los diferentes proyectos.</w:t>
      </w:r>
    </w:p>
    <w:p w14:paraId="4F444E0B" w14:textId="77777777" w:rsidR="003F3582" w:rsidRPr="00321B46" w:rsidRDefault="003F3582" w:rsidP="00BF7220">
      <w:pPr>
        <w:pStyle w:val="Ttulo2"/>
      </w:pPr>
      <w:bookmarkStart w:id="406" w:name="_Toc408493190"/>
      <w:bookmarkStart w:id="407" w:name="_Toc440029137"/>
      <w:bookmarkStart w:id="408" w:name="_Toc445214115"/>
      <w:bookmarkStart w:id="409" w:name="_Toc466392674"/>
      <w:r w:rsidRPr="00321B46">
        <w:t>Criterios de generales</w:t>
      </w:r>
      <w:bookmarkEnd w:id="406"/>
      <w:bookmarkEnd w:id="407"/>
      <w:bookmarkEnd w:id="408"/>
      <w:bookmarkEnd w:id="409"/>
    </w:p>
    <w:p w14:paraId="0A72CA73" w14:textId="77777777" w:rsidR="003F3582" w:rsidRPr="00321B46" w:rsidRDefault="003F3582" w:rsidP="003F3582">
      <w:pPr>
        <w:rPr>
          <w:lang w:val="es-CO"/>
        </w:rPr>
      </w:pPr>
      <w:r w:rsidRPr="00321B46">
        <w:rPr>
          <w:lang w:val="es-CO"/>
        </w:rPr>
        <w:t>Los criterios generales que el TN debe aplicar para la formulación y presentación del plan de inversión son los siguientes:</w:t>
      </w:r>
    </w:p>
    <w:p w14:paraId="70CD5812" w14:textId="77777777" w:rsidR="003F3582" w:rsidRPr="00321B46" w:rsidRDefault="003F3582" w:rsidP="003F3582">
      <w:pPr>
        <w:pStyle w:val="Prrafodelista"/>
        <w:numPr>
          <w:ilvl w:val="0"/>
          <w:numId w:val="18"/>
        </w:numPr>
        <w:ind w:left="426" w:hanging="426"/>
      </w:pPr>
      <w:r w:rsidRPr="00321B46">
        <w:t xml:space="preserve">La identificación, evaluación de alternativas, valoración, priorización y ejecución de los proyectos de inversión es responsabilidad del TN. </w:t>
      </w:r>
    </w:p>
    <w:p w14:paraId="138CFA0A" w14:textId="77777777" w:rsidR="003F3582" w:rsidRPr="00321B46" w:rsidRDefault="003F3582" w:rsidP="003F3582">
      <w:pPr>
        <w:pStyle w:val="Prrafodelista"/>
        <w:numPr>
          <w:ilvl w:val="0"/>
          <w:numId w:val="18"/>
        </w:numPr>
        <w:ind w:left="426" w:hanging="426"/>
      </w:pPr>
      <w:r w:rsidRPr="00321B46">
        <w:t xml:space="preserve">El horizonte de planeación del plan de inversión es de largo plazo (diez años) y los proyectos de inversión incluidos en la solicitud de remuneración deben corresponder a aquellos en un horizonte de ejecución de mediano plazo (cinco años). </w:t>
      </w:r>
    </w:p>
    <w:p w14:paraId="7DB7C43B" w14:textId="1FAE55E4" w:rsidR="003F3582" w:rsidRPr="00321B46" w:rsidRDefault="003F3582" w:rsidP="003F3582">
      <w:pPr>
        <w:pStyle w:val="Prrafodelista"/>
        <w:numPr>
          <w:ilvl w:val="0"/>
          <w:numId w:val="18"/>
        </w:numPr>
        <w:ind w:left="426" w:hanging="426"/>
      </w:pPr>
      <w:r w:rsidRPr="00321B46">
        <w:t xml:space="preserve">Las metas definidas por los </w:t>
      </w:r>
      <w:r w:rsidR="00C65F61" w:rsidRPr="00321B46">
        <w:t>TN</w:t>
      </w:r>
      <w:r w:rsidRPr="00321B46">
        <w:t xml:space="preserve"> para la expansión</w:t>
      </w:r>
      <w:r w:rsidR="005516D7" w:rsidRPr="00321B46">
        <w:t xml:space="preserve"> y</w:t>
      </w:r>
      <w:r w:rsidRPr="00321B46">
        <w:t xml:space="preserve"> reposición</w:t>
      </w:r>
      <w:r w:rsidR="00C65F61" w:rsidRPr="00321B46">
        <w:t xml:space="preserve"> </w:t>
      </w:r>
      <w:r w:rsidRPr="00321B46">
        <w:t xml:space="preserve">deben ser alcanzables en el horizonte de tiempo del plan y deben corresponder con la situación actual y futura del </w:t>
      </w:r>
      <w:r w:rsidR="00C65F61" w:rsidRPr="00321B46">
        <w:t>STN</w:t>
      </w:r>
      <w:r w:rsidRPr="00321B46">
        <w:t>.</w:t>
      </w:r>
    </w:p>
    <w:p w14:paraId="0DF002DF" w14:textId="77777777" w:rsidR="003F3582" w:rsidRPr="00321B46" w:rsidRDefault="003F3582" w:rsidP="003F3582">
      <w:pPr>
        <w:pStyle w:val="Prrafodelista"/>
        <w:numPr>
          <w:ilvl w:val="0"/>
          <w:numId w:val="18"/>
        </w:numPr>
        <w:ind w:left="426" w:hanging="426"/>
      </w:pPr>
      <w:r w:rsidRPr="00321B46">
        <w:t xml:space="preserve">Los planes deben ser flexibles y adaptables a la evolución del mercado, además deben considerar los riesgos potenciales y las acciones para mitigarlos.   </w:t>
      </w:r>
    </w:p>
    <w:p w14:paraId="3AF9F9D8" w14:textId="77777777" w:rsidR="003F3582" w:rsidRPr="00321B46" w:rsidRDefault="003F3582" w:rsidP="003F3582">
      <w:pPr>
        <w:pStyle w:val="Prrafodelista"/>
        <w:numPr>
          <w:ilvl w:val="0"/>
          <w:numId w:val="18"/>
        </w:numPr>
        <w:ind w:left="426" w:hanging="426"/>
      </w:pPr>
      <w:r w:rsidRPr="00321B46">
        <w:t>El plan de inversión debe ser económicamente eficiente y conducir a garantizar la prestación del servicio al menor costo económico en el mediano y largo plazo.</w:t>
      </w:r>
    </w:p>
    <w:p w14:paraId="22F29615" w14:textId="77777777" w:rsidR="003F3582" w:rsidRPr="00321B46" w:rsidRDefault="003F3582" w:rsidP="003F3582">
      <w:pPr>
        <w:pStyle w:val="Prrafodelista"/>
        <w:numPr>
          <w:ilvl w:val="0"/>
          <w:numId w:val="18"/>
        </w:numPr>
        <w:ind w:left="426" w:hanging="426"/>
      </w:pPr>
      <w:r w:rsidRPr="00321B46">
        <w:t xml:space="preserve">El </w:t>
      </w:r>
      <w:r w:rsidR="00D860D9" w:rsidRPr="00321B46">
        <w:t>TN</w:t>
      </w:r>
      <w:r w:rsidRPr="00321B46">
        <w:t xml:space="preserve"> debe cumplir los requisitos para los planes de expansión establecidos en la Resolución CREG 0</w:t>
      </w:r>
      <w:r w:rsidR="00D860D9" w:rsidRPr="00321B46">
        <w:t>25</w:t>
      </w:r>
      <w:r w:rsidRPr="00321B46">
        <w:t xml:space="preserve"> de 199</w:t>
      </w:r>
      <w:r w:rsidR="00D860D9" w:rsidRPr="00321B46">
        <w:t>5</w:t>
      </w:r>
      <w:r w:rsidRPr="00321B46">
        <w:t xml:space="preserve"> o aquella que la adicione, modifique o sustituya.</w:t>
      </w:r>
    </w:p>
    <w:p w14:paraId="4F746976" w14:textId="77777777" w:rsidR="003F3582" w:rsidRPr="00321B46" w:rsidRDefault="003F3582" w:rsidP="003F3582">
      <w:pPr>
        <w:pStyle w:val="Prrafodelista"/>
        <w:numPr>
          <w:ilvl w:val="0"/>
          <w:numId w:val="18"/>
        </w:numPr>
        <w:ind w:left="426" w:hanging="426"/>
      </w:pPr>
      <w:r w:rsidRPr="00321B46">
        <w:t>El plan debe ser viable ambientalmente y considerar el impacto por la aplicación de la Ley 1715 de 2014.</w:t>
      </w:r>
    </w:p>
    <w:p w14:paraId="3FFEB8CC" w14:textId="77777777" w:rsidR="003F3582" w:rsidRPr="00321B46" w:rsidRDefault="003F3582" w:rsidP="003F3582">
      <w:pPr>
        <w:pStyle w:val="Prrafodelista"/>
        <w:numPr>
          <w:ilvl w:val="0"/>
          <w:numId w:val="18"/>
        </w:numPr>
        <w:ind w:left="426" w:hanging="426"/>
      </w:pPr>
      <w:r w:rsidRPr="00321B46">
        <w:t>Las inversiones deben incluir únicamente activos de uso.</w:t>
      </w:r>
    </w:p>
    <w:p w14:paraId="7EC9C8CD" w14:textId="1EB20FA5" w:rsidR="003F3582" w:rsidRPr="00321B46" w:rsidRDefault="003F3582" w:rsidP="003F3582">
      <w:pPr>
        <w:pStyle w:val="Prrafodelista"/>
        <w:numPr>
          <w:ilvl w:val="0"/>
          <w:numId w:val="18"/>
        </w:numPr>
        <w:ind w:left="426" w:hanging="426"/>
      </w:pPr>
      <w:r w:rsidRPr="00321B46">
        <w:t xml:space="preserve">El </w:t>
      </w:r>
      <w:r w:rsidR="00D860D9" w:rsidRPr="00321B46">
        <w:t>TN</w:t>
      </w:r>
      <w:r w:rsidRPr="00321B46">
        <w:t xml:space="preserve"> podrá incluir en el plan de inversión unidades constructivas especiales</w:t>
      </w:r>
      <w:r w:rsidR="00270CDF" w:rsidRPr="00321B46">
        <w:t>.</w:t>
      </w:r>
    </w:p>
    <w:p w14:paraId="35407514" w14:textId="0FAABAE0" w:rsidR="003F3582" w:rsidRPr="00321B46" w:rsidRDefault="003F3582" w:rsidP="003F3582">
      <w:pPr>
        <w:pStyle w:val="Prrafodelista"/>
        <w:numPr>
          <w:ilvl w:val="0"/>
          <w:numId w:val="18"/>
        </w:numPr>
        <w:ind w:left="426" w:hanging="426"/>
      </w:pPr>
      <w:r w:rsidRPr="00321B46">
        <w:t xml:space="preserve">El </w:t>
      </w:r>
      <w:r w:rsidR="00D860D9" w:rsidRPr="00321B46">
        <w:t>TN</w:t>
      </w:r>
      <w:r w:rsidRPr="00321B46">
        <w:t xml:space="preserve"> debe incluir en el plan de inversión los activos necesarios para la implementación y certificación de un sistema de gestión de activos acorde con la norma ISO 55001 en un plazo de cinco (5) años contados a partir de la entrada en vigencia de la presente resolución.</w:t>
      </w:r>
    </w:p>
    <w:p w14:paraId="04D85FBA" w14:textId="77777777" w:rsidR="003F3582" w:rsidRPr="00321B46" w:rsidRDefault="003F3582" w:rsidP="00BF7220">
      <w:pPr>
        <w:pStyle w:val="Ttulo2"/>
      </w:pPr>
      <w:bookmarkStart w:id="410" w:name="_Ref404240307"/>
      <w:bookmarkStart w:id="411" w:name="_Toc408493191"/>
      <w:bookmarkStart w:id="412" w:name="_Toc440029138"/>
      <w:bookmarkStart w:id="413" w:name="_Toc445214116"/>
      <w:bookmarkStart w:id="414" w:name="_Toc466392675"/>
      <w:r w:rsidRPr="00321B46">
        <w:t>P</w:t>
      </w:r>
      <w:r w:rsidR="002E26F2" w:rsidRPr="00321B46">
        <w:t>resentación de los planes de inversión</w:t>
      </w:r>
      <w:bookmarkEnd w:id="410"/>
      <w:bookmarkEnd w:id="411"/>
      <w:bookmarkEnd w:id="412"/>
      <w:bookmarkEnd w:id="413"/>
      <w:bookmarkEnd w:id="414"/>
    </w:p>
    <w:p w14:paraId="7BDD25C7" w14:textId="73B258E8" w:rsidR="003F3582" w:rsidRPr="00321B46" w:rsidRDefault="003F3582" w:rsidP="003F3582">
      <w:pPr>
        <w:rPr>
          <w:lang w:val="es-CO"/>
        </w:rPr>
      </w:pPr>
      <w:r w:rsidRPr="00321B46">
        <w:rPr>
          <w:lang w:val="es-CO"/>
        </w:rPr>
        <w:t>En la solicitud de aprobación de cargos las empresas pueden optar por uno de los siguientes mecanismos:</w:t>
      </w:r>
    </w:p>
    <w:p w14:paraId="6DFF40DF" w14:textId="38BF5EC4" w:rsidR="003F3582" w:rsidRPr="00321B46" w:rsidRDefault="003F3582" w:rsidP="003F3582">
      <w:pPr>
        <w:pStyle w:val="Prrafodelista"/>
        <w:numPr>
          <w:ilvl w:val="0"/>
          <w:numId w:val="16"/>
        </w:numPr>
      </w:pPr>
      <w:bookmarkStart w:id="415" w:name="_Ref405914650"/>
      <w:r w:rsidRPr="00321B46">
        <w:t>Presenta</w:t>
      </w:r>
      <w:r w:rsidR="00DE22D6" w:rsidRPr="00321B46">
        <w:t>r</w:t>
      </w:r>
      <w:r w:rsidRPr="00321B46">
        <w:t xml:space="preserve"> un plan de inversiones, con un horizonte de cinco (5) años, </w:t>
      </w:r>
      <w:r w:rsidR="00DE22D6" w:rsidRPr="00321B46">
        <w:t xml:space="preserve">junto </w:t>
      </w:r>
      <w:r w:rsidRPr="00321B46">
        <w:t>con la solicitud.</w:t>
      </w:r>
      <w:bookmarkEnd w:id="415"/>
    </w:p>
    <w:p w14:paraId="74689555" w14:textId="77777777" w:rsidR="003F3582" w:rsidRPr="00321B46" w:rsidRDefault="003F3582" w:rsidP="003F3582">
      <w:pPr>
        <w:pStyle w:val="Prrafodelista"/>
        <w:numPr>
          <w:ilvl w:val="0"/>
          <w:numId w:val="16"/>
        </w:numPr>
      </w:pPr>
      <w:bookmarkStart w:id="416" w:name="_Ref404240299"/>
      <w:r w:rsidRPr="00321B46">
        <w:t xml:space="preserve">Presentación de un plan de inversiones, con un horizonte de cuatro (4) años, dentro de los 6 a 9 meses siguientes a la expedición de esta resolución. </w:t>
      </w:r>
      <w:bookmarkEnd w:id="416"/>
    </w:p>
    <w:p w14:paraId="6B35D47D" w14:textId="20A35348" w:rsidR="003F3582" w:rsidRPr="00321B46" w:rsidRDefault="003F3582" w:rsidP="003F3582">
      <w:r w:rsidRPr="00321B46">
        <w:t xml:space="preserve">El </w:t>
      </w:r>
      <w:r w:rsidR="0035774A" w:rsidRPr="00321B46">
        <w:t>TN</w:t>
      </w:r>
      <w:r w:rsidRPr="00321B46">
        <w:t xml:space="preserve"> en su solicitud de cargos debe indicar a </w:t>
      </w:r>
      <w:r w:rsidR="00DE22D6" w:rsidRPr="00321B46">
        <w:t xml:space="preserve">cuál </w:t>
      </w:r>
      <w:r w:rsidRPr="00321B46">
        <w:t>mecanismo se acoge.</w:t>
      </w:r>
    </w:p>
    <w:p w14:paraId="0B25ADEF" w14:textId="77777777" w:rsidR="003F3582" w:rsidRPr="00321B46" w:rsidRDefault="003F3582" w:rsidP="00BF7220">
      <w:pPr>
        <w:pStyle w:val="Ttulo2"/>
      </w:pPr>
      <w:bookmarkStart w:id="417" w:name="_Toc408493192"/>
      <w:bookmarkStart w:id="418" w:name="_Toc440029139"/>
      <w:bookmarkStart w:id="419" w:name="_Ref440362621"/>
      <w:bookmarkStart w:id="420" w:name="_Toc445214117"/>
      <w:bookmarkStart w:id="421" w:name="_Toc466392676"/>
      <w:r w:rsidRPr="00321B46">
        <w:t>C</w:t>
      </w:r>
      <w:r w:rsidR="005740B7" w:rsidRPr="00321B46">
        <w:t>ontenido de los planes de inversión</w:t>
      </w:r>
      <w:bookmarkEnd w:id="417"/>
      <w:bookmarkEnd w:id="418"/>
      <w:bookmarkEnd w:id="419"/>
      <w:bookmarkEnd w:id="420"/>
      <w:bookmarkEnd w:id="421"/>
    </w:p>
    <w:p w14:paraId="3F8E5A4E" w14:textId="77777777" w:rsidR="003F3582" w:rsidRPr="00321B46" w:rsidRDefault="003F3582" w:rsidP="003F3582">
      <w:pPr>
        <w:rPr>
          <w:lang w:val="es-CO"/>
        </w:rPr>
      </w:pPr>
      <w:r w:rsidRPr="00321B46">
        <w:rPr>
          <w:lang w:val="es-CO"/>
        </w:rPr>
        <w:t xml:space="preserve">Los </w:t>
      </w:r>
      <w:r w:rsidR="0035774A" w:rsidRPr="00321B46">
        <w:rPr>
          <w:lang w:val="es-CO"/>
        </w:rPr>
        <w:t>TN</w:t>
      </w:r>
      <w:r w:rsidRPr="00321B46">
        <w:rPr>
          <w:lang w:val="es-CO"/>
        </w:rPr>
        <w:t xml:space="preserve"> deben presentar un plan de inversiones para el periodo tarifario indicando para cada año los proyectos de inversión que se acometerán. Los proyectos deben agruparse en los tipos de inversión indicados en este capítulo. </w:t>
      </w:r>
    </w:p>
    <w:p w14:paraId="39F01BB4" w14:textId="1B221297" w:rsidR="003F3582" w:rsidRPr="00321B46" w:rsidRDefault="003F3582" w:rsidP="003F3582">
      <w:pPr>
        <w:rPr>
          <w:lang w:val="es-ES_tradnl"/>
        </w:rPr>
      </w:pPr>
      <w:r w:rsidRPr="00321B46">
        <w:t xml:space="preserve">El plan debe incluir como mínimo la información y los análisis solicitados en los </w:t>
      </w:r>
      <w:r w:rsidR="00EF77CA" w:rsidRPr="00321B46">
        <w:t xml:space="preserve">siguientes </w:t>
      </w:r>
      <w:r w:rsidRPr="00321B46">
        <w:t>numerales.</w:t>
      </w:r>
    </w:p>
    <w:p w14:paraId="4B63ADFE" w14:textId="77777777" w:rsidR="003F3582" w:rsidRPr="00321B46" w:rsidRDefault="003F3582" w:rsidP="003F3582">
      <w:pPr>
        <w:rPr>
          <w:lang w:val="es-ES_tradnl"/>
        </w:rPr>
      </w:pPr>
      <w:r w:rsidRPr="00321B46">
        <w:rPr>
          <w:lang w:val="es-ES_tradnl"/>
        </w:rPr>
        <w:t xml:space="preserve">El </w:t>
      </w:r>
      <w:r w:rsidR="0035774A" w:rsidRPr="00321B46">
        <w:rPr>
          <w:lang w:val="es-ES_tradnl"/>
        </w:rPr>
        <w:t>TN</w:t>
      </w:r>
      <w:r w:rsidRPr="00321B46">
        <w:rPr>
          <w:lang w:val="es-ES_tradnl"/>
        </w:rPr>
        <w:t xml:space="preserve"> debe presentar un cronograma general de las inversiones a realizar y su ubic</w:t>
      </w:r>
      <w:r w:rsidR="0035774A" w:rsidRPr="00321B46">
        <w:rPr>
          <w:lang w:val="es-ES_tradnl"/>
        </w:rPr>
        <w:t>ación geográfica.</w:t>
      </w:r>
    </w:p>
    <w:p w14:paraId="4A16CECD" w14:textId="77777777" w:rsidR="003F3582" w:rsidRPr="00321B46" w:rsidRDefault="003F3582" w:rsidP="003F3582">
      <w:pPr>
        <w:rPr>
          <w:lang w:val="es-CO"/>
        </w:rPr>
      </w:pPr>
      <w:r w:rsidRPr="00321B46">
        <w:rPr>
          <w:lang w:val="es-CO"/>
        </w:rPr>
        <w:t>En circular aparte la Comisión publicará la guía con los requisitos detallados y los formatos para la presentación del plan.</w:t>
      </w:r>
    </w:p>
    <w:p w14:paraId="68086D08" w14:textId="77777777" w:rsidR="003F3582" w:rsidRPr="00321B46" w:rsidRDefault="003F3582" w:rsidP="003F3582">
      <w:pPr>
        <w:pStyle w:val="Ttulo3"/>
      </w:pPr>
      <w:bookmarkStart w:id="422" w:name="_Toc440029140"/>
      <w:bookmarkStart w:id="423" w:name="_Ref440362527"/>
      <w:bookmarkStart w:id="424" w:name="_Toc445214118"/>
      <w:bookmarkStart w:id="425" w:name="_Toc466392677"/>
      <w:bookmarkStart w:id="426" w:name="_Toc408493193"/>
      <w:r w:rsidRPr="00321B46">
        <w:t>Diagn</w:t>
      </w:r>
      <w:r w:rsidR="005740B7" w:rsidRPr="00321B46">
        <w:t>ó</w:t>
      </w:r>
      <w:r w:rsidRPr="00321B46">
        <w:t>stico</w:t>
      </w:r>
      <w:bookmarkEnd w:id="422"/>
      <w:bookmarkEnd w:id="423"/>
      <w:bookmarkEnd w:id="424"/>
      <w:bookmarkEnd w:id="425"/>
    </w:p>
    <w:p w14:paraId="264BAE97" w14:textId="77777777" w:rsidR="003F3582" w:rsidRPr="00321B46" w:rsidRDefault="003F3582" w:rsidP="003F3582">
      <w:r w:rsidRPr="00321B46">
        <w:t>El diagnóstico del ST</w:t>
      </w:r>
      <w:r w:rsidR="005740B7" w:rsidRPr="00321B46">
        <w:t>N</w:t>
      </w:r>
      <w:r w:rsidRPr="00321B46">
        <w:t xml:space="preserve"> debe incluir como mínimo los siguientes aspectos:</w:t>
      </w:r>
    </w:p>
    <w:p w14:paraId="407592CC" w14:textId="77777777" w:rsidR="003F3582" w:rsidRPr="00321B46" w:rsidRDefault="003F3582" w:rsidP="003F3582">
      <w:pPr>
        <w:pStyle w:val="Prrafodelista"/>
        <w:numPr>
          <w:ilvl w:val="0"/>
          <w:numId w:val="49"/>
        </w:numPr>
      </w:pPr>
      <w:r w:rsidRPr="00321B46">
        <w:t xml:space="preserve">Estadísticas descriptivas. </w:t>
      </w:r>
    </w:p>
    <w:p w14:paraId="798D81EF" w14:textId="77777777" w:rsidR="003F3582" w:rsidRPr="00321B46" w:rsidRDefault="003F3582" w:rsidP="003F3582">
      <w:pPr>
        <w:pStyle w:val="Prrafodelista"/>
        <w:numPr>
          <w:ilvl w:val="0"/>
          <w:numId w:val="49"/>
        </w:numPr>
      </w:pPr>
      <w:r w:rsidRPr="00321B46">
        <w:t>Evolución de la demanda.</w:t>
      </w:r>
    </w:p>
    <w:p w14:paraId="44BEA842" w14:textId="77777777" w:rsidR="003F3582" w:rsidRPr="00321B46" w:rsidRDefault="003F3582" w:rsidP="003F3582">
      <w:pPr>
        <w:pStyle w:val="Prrafodelista"/>
        <w:numPr>
          <w:ilvl w:val="0"/>
          <w:numId w:val="49"/>
        </w:numPr>
      </w:pPr>
      <w:r w:rsidRPr="00321B46">
        <w:t>Cargabilidad de los elementos del sistema.</w:t>
      </w:r>
    </w:p>
    <w:p w14:paraId="6149BE52" w14:textId="77777777" w:rsidR="003F3582" w:rsidRPr="00321B46" w:rsidRDefault="003F3582" w:rsidP="003F3582">
      <w:pPr>
        <w:pStyle w:val="Prrafodelista"/>
        <w:numPr>
          <w:ilvl w:val="0"/>
          <w:numId w:val="49"/>
        </w:numPr>
      </w:pPr>
      <w:r w:rsidRPr="00321B46">
        <w:t>Capacidad de corto circuito.</w:t>
      </w:r>
    </w:p>
    <w:p w14:paraId="65174187" w14:textId="77777777" w:rsidR="003F3582" w:rsidRPr="00321B46" w:rsidRDefault="003F3582" w:rsidP="003F3582">
      <w:pPr>
        <w:pStyle w:val="Prrafodelista"/>
        <w:numPr>
          <w:ilvl w:val="0"/>
          <w:numId w:val="49"/>
        </w:numPr>
      </w:pPr>
      <w:r w:rsidRPr="00321B46">
        <w:t>Posibilidades de ampliación y reconfiguración de subestaciones.</w:t>
      </w:r>
    </w:p>
    <w:p w14:paraId="4839CDE8" w14:textId="77777777" w:rsidR="003F3582" w:rsidRPr="00321B46" w:rsidRDefault="003F3582" w:rsidP="003F3582">
      <w:pPr>
        <w:pStyle w:val="Prrafodelista"/>
        <w:numPr>
          <w:ilvl w:val="0"/>
          <w:numId w:val="49"/>
        </w:numPr>
      </w:pPr>
      <w:r w:rsidRPr="00321B46">
        <w:t>Perfil de antigüedad de los activos.</w:t>
      </w:r>
    </w:p>
    <w:p w14:paraId="6C9D0C67" w14:textId="77777777" w:rsidR="003F3582" w:rsidRPr="00321B46" w:rsidRDefault="003F3582" w:rsidP="003F3582">
      <w:pPr>
        <w:pStyle w:val="Prrafodelista"/>
        <w:numPr>
          <w:ilvl w:val="0"/>
          <w:numId w:val="49"/>
        </w:numPr>
      </w:pPr>
      <w:r w:rsidRPr="00321B46">
        <w:t>Nivel de obsolescencia de los equipos.</w:t>
      </w:r>
    </w:p>
    <w:p w14:paraId="590970EC" w14:textId="77777777" w:rsidR="003F3582" w:rsidRPr="00321B46" w:rsidRDefault="003F3582" w:rsidP="003F3582">
      <w:pPr>
        <w:pStyle w:val="Prrafodelista"/>
        <w:numPr>
          <w:ilvl w:val="0"/>
          <w:numId w:val="49"/>
        </w:numPr>
      </w:pPr>
      <w:r w:rsidRPr="00321B46">
        <w:t>Sistemas de información y control.</w:t>
      </w:r>
    </w:p>
    <w:p w14:paraId="5A3DFA14" w14:textId="052FF424" w:rsidR="003F3582" w:rsidRPr="00321B46" w:rsidRDefault="003E6B36" w:rsidP="003F3582">
      <w:pPr>
        <w:pStyle w:val="Ttulo3"/>
      </w:pPr>
      <w:bookmarkStart w:id="427" w:name="_Toc466392678"/>
      <w:r w:rsidRPr="00321B46">
        <w:rPr>
          <w:rFonts w:cs="Arial"/>
        </w:rPr>
        <w:t>Criterios y lineamientos de proyectos Tipo I</w:t>
      </w:r>
      <w:bookmarkEnd w:id="427"/>
    </w:p>
    <w:p w14:paraId="1D070721" w14:textId="14A8B4D5" w:rsidR="00416124" w:rsidRPr="00321B46" w:rsidRDefault="003F3582" w:rsidP="003276B5">
      <w:pPr>
        <w:rPr>
          <w:lang w:val="es-ES_tradnl"/>
        </w:rPr>
      </w:pPr>
      <w:r w:rsidRPr="00321B46">
        <w:rPr>
          <w:lang w:val="es-ES_tradnl"/>
        </w:rPr>
        <w:t xml:space="preserve">Los criterios y lineamientos que deben cumplir los </w:t>
      </w:r>
      <w:r w:rsidR="005740B7" w:rsidRPr="00321B46">
        <w:rPr>
          <w:lang w:val="es-ES_tradnl"/>
        </w:rPr>
        <w:t>TN</w:t>
      </w:r>
      <w:r w:rsidRPr="00321B46">
        <w:rPr>
          <w:lang w:val="es-ES_tradnl"/>
        </w:rPr>
        <w:t xml:space="preserve"> para la definición</w:t>
      </w:r>
      <w:r w:rsidR="001959E0" w:rsidRPr="00321B46">
        <w:rPr>
          <w:lang w:val="es-ES_tradnl"/>
        </w:rPr>
        <w:t xml:space="preserve"> de los</w:t>
      </w:r>
      <w:r w:rsidR="00B3646A" w:rsidRPr="00321B46">
        <w:rPr>
          <w:lang w:val="es-ES_tradnl"/>
        </w:rPr>
        <w:t xml:space="preserve"> </w:t>
      </w:r>
      <w:r w:rsidR="001959E0" w:rsidRPr="00321B46">
        <w:rPr>
          <w:lang w:val="es-ES_tradnl"/>
        </w:rPr>
        <w:t xml:space="preserve">proyectos </w:t>
      </w:r>
      <w:r w:rsidR="00B3646A" w:rsidRPr="00321B46">
        <w:rPr>
          <w:lang w:val="es-ES_tradnl"/>
        </w:rPr>
        <w:t xml:space="preserve">del </w:t>
      </w:r>
      <w:r w:rsidRPr="00321B46">
        <w:rPr>
          <w:lang w:val="es-ES_tradnl"/>
        </w:rPr>
        <w:t>Tipo I</w:t>
      </w:r>
      <w:r w:rsidR="001959E0" w:rsidRPr="00321B46">
        <w:rPr>
          <w:lang w:val="es-ES_tradnl"/>
        </w:rPr>
        <w:t>,</w:t>
      </w:r>
      <w:r w:rsidR="00416124" w:rsidRPr="00321B46">
        <w:rPr>
          <w:lang w:val="es-ES_tradnl"/>
        </w:rPr>
        <w:t xml:space="preserve"> </w:t>
      </w:r>
      <w:r w:rsidR="00F738BB" w:rsidRPr="00321B46">
        <w:rPr>
          <w:lang w:val="es-ES_tradnl"/>
        </w:rPr>
        <w:t xml:space="preserve">considerados como ampliaciones de acuerdo con la regulación vigente, </w:t>
      </w:r>
      <w:r w:rsidRPr="00321B46">
        <w:rPr>
          <w:lang w:val="es-ES_tradnl"/>
        </w:rPr>
        <w:t xml:space="preserve">deben corresponder a aquellos </w:t>
      </w:r>
      <w:r w:rsidR="00F738BB" w:rsidRPr="00321B46">
        <w:rPr>
          <w:lang w:val="es-ES_tradnl"/>
        </w:rPr>
        <w:t xml:space="preserve">recomendados </w:t>
      </w:r>
      <w:r w:rsidRPr="00321B46">
        <w:rPr>
          <w:lang w:val="es-ES_tradnl"/>
        </w:rPr>
        <w:t xml:space="preserve">en </w:t>
      </w:r>
      <w:r w:rsidR="00F738BB" w:rsidRPr="00321B46">
        <w:rPr>
          <w:lang w:val="es-ES_tradnl"/>
        </w:rPr>
        <w:t>los</w:t>
      </w:r>
      <w:r w:rsidRPr="00321B46">
        <w:rPr>
          <w:lang w:val="es-ES_tradnl"/>
        </w:rPr>
        <w:t xml:space="preserve"> Plan</w:t>
      </w:r>
      <w:r w:rsidR="00F738BB" w:rsidRPr="00321B46">
        <w:rPr>
          <w:lang w:val="es-ES_tradnl"/>
        </w:rPr>
        <w:t>es</w:t>
      </w:r>
      <w:r w:rsidRPr="00321B46">
        <w:rPr>
          <w:lang w:val="es-ES_tradnl"/>
        </w:rPr>
        <w:t xml:space="preserve"> de Expansión de Referencia Generación – Transmisión. </w:t>
      </w:r>
    </w:p>
    <w:p w14:paraId="6AB0E5A4" w14:textId="2BDA011A" w:rsidR="003F3582" w:rsidRPr="00321B46" w:rsidRDefault="00EF77CA" w:rsidP="003276B5">
      <w:pPr>
        <w:rPr>
          <w:lang w:val="es-ES_tradnl"/>
        </w:rPr>
      </w:pPr>
      <w:r w:rsidRPr="00321B46">
        <w:rPr>
          <w:lang w:val="es-ES_tradnl"/>
        </w:rPr>
        <w:t>Para que estos proyectos sean incluidos en el plan de inversión</w:t>
      </w:r>
      <w:r w:rsidR="003F3582" w:rsidRPr="00321B46">
        <w:rPr>
          <w:lang w:val="es-ES_tradnl"/>
        </w:rPr>
        <w:t xml:space="preserve">, el </w:t>
      </w:r>
      <w:r w:rsidR="005740B7" w:rsidRPr="00321B46">
        <w:rPr>
          <w:lang w:val="es-ES_tradnl"/>
        </w:rPr>
        <w:t>TN</w:t>
      </w:r>
      <w:r w:rsidR="003F3582" w:rsidRPr="00321B46">
        <w:rPr>
          <w:lang w:val="es-ES_tradnl"/>
        </w:rPr>
        <w:t xml:space="preserve"> debe haber manifestado su intención de realizarlos de acuerdo con lo señalado en la Resolución CREG 02</w:t>
      </w:r>
      <w:r w:rsidR="005740B7" w:rsidRPr="00321B46">
        <w:rPr>
          <w:lang w:val="es-ES_tradnl"/>
        </w:rPr>
        <w:t>2</w:t>
      </w:r>
      <w:r w:rsidR="003F3582" w:rsidRPr="00321B46">
        <w:rPr>
          <w:lang w:val="es-ES_tradnl"/>
        </w:rPr>
        <w:t xml:space="preserve"> de 20</w:t>
      </w:r>
      <w:r w:rsidR="005740B7" w:rsidRPr="00321B46">
        <w:rPr>
          <w:lang w:val="es-ES_tradnl"/>
        </w:rPr>
        <w:t>01</w:t>
      </w:r>
      <w:r w:rsidR="003F3582" w:rsidRPr="00321B46">
        <w:rPr>
          <w:lang w:val="es-ES_tradnl"/>
        </w:rPr>
        <w:t xml:space="preserve"> </w:t>
      </w:r>
      <w:r w:rsidR="00B160D7" w:rsidRPr="00321B46">
        <w:rPr>
          <w:lang w:val="es-ES_tradnl"/>
        </w:rPr>
        <w:t>o</w:t>
      </w:r>
      <w:r w:rsidR="005740B7" w:rsidRPr="00321B46">
        <w:rPr>
          <w:lang w:val="es-ES_tradnl"/>
        </w:rPr>
        <w:t xml:space="preserve"> sus modificaciones</w:t>
      </w:r>
      <w:r w:rsidR="003F3582" w:rsidRPr="00321B46">
        <w:rPr>
          <w:lang w:val="es-ES_tradnl"/>
        </w:rPr>
        <w:t xml:space="preserve">. </w:t>
      </w:r>
    </w:p>
    <w:p w14:paraId="2C27A5AE" w14:textId="31F888E0" w:rsidR="003F3582" w:rsidRPr="00321B46" w:rsidRDefault="003E6B36" w:rsidP="00F46A54">
      <w:pPr>
        <w:pStyle w:val="Ttulo3"/>
      </w:pPr>
      <w:bookmarkStart w:id="428" w:name="_Toc440029142"/>
      <w:bookmarkStart w:id="429" w:name="_Ref440362536"/>
      <w:bookmarkStart w:id="430" w:name="_Toc445214120"/>
      <w:bookmarkStart w:id="431" w:name="_Toc466392679"/>
      <w:r w:rsidRPr="00321B46">
        <w:t>Criterios y lineamientos de proyectos Tipo II</w:t>
      </w:r>
      <w:bookmarkEnd w:id="428"/>
      <w:bookmarkEnd w:id="429"/>
      <w:bookmarkEnd w:id="430"/>
      <w:bookmarkEnd w:id="431"/>
      <w:r w:rsidR="003F3582" w:rsidRPr="00321B46">
        <w:t xml:space="preserve"> </w:t>
      </w:r>
    </w:p>
    <w:p w14:paraId="1A7C9FED" w14:textId="24548340" w:rsidR="003F3582" w:rsidRPr="00321B46" w:rsidRDefault="003F3582" w:rsidP="003276B5">
      <w:pPr>
        <w:rPr>
          <w:lang w:val="es-ES_tradnl"/>
        </w:rPr>
      </w:pPr>
      <w:r w:rsidRPr="00321B46">
        <w:rPr>
          <w:lang w:val="es-ES_tradnl"/>
        </w:rPr>
        <w:t xml:space="preserve">Los criterios y lineamientos que debe cumplir el </w:t>
      </w:r>
      <w:r w:rsidR="004366BC" w:rsidRPr="00321B46">
        <w:rPr>
          <w:lang w:val="es-ES_tradnl"/>
        </w:rPr>
        <w:t>TN</w:t>
      </w:r>
      <w:r w:rsidRPr="00321B46">
        <w:rPr>
          <w:lang w:val="es-ES_tradnl"/>
        </w:rPr>
        <w:t xml:space="preserve"> para la definición, identificación de alternativas y priorización de l</w:t>
      </w:r>
      <w:r w:rsidR="003E6B36" w:rsidRPr="00321B46">
        <w:rPr>
          <w:lang w:val="es-ES_tradnl"/>
        </w:rPr>
        <w:t>o</w:t>
      </w:r>
      <w:r w:rsidRPr="00321B46">
        <w:rPr>
          <w:lang w:val="es-ES_tradnl"/>
        </w:rPr>
        <w:t xml:space="preserve">s </w:t>
      </w:r>
      <w:r w:rsidR="003E6B36" w:rsidRPr="00321B46">
        <w:rPr>
          <w:lang w:val="es-ES_tradnl"/>
        </w:rPr>
        <w:t>proyectos Tipo II</w:t>
      </w:r>
      <w:r w:rsidR="003E6B36" w:rsidRPr="00321B46" w:rsidDel="003E6B36">
        <w:rPr>
          <w:lang w:val="es-ES_tradnl"/>
        </w:rPr>
        <w:t xml:space="preserve"> </w:t>
      </w:r>
      <w:r w:rsidRPr="00321B46">
        <w:rPr>
          <w:lang w:val="es-ES_tradnl"/>
        </w:rPr>
        <w:t>incluid</w:t>
      </w:r>
      <w:r w:rsidR="003E6B36" w:rsidRPr="00321B46">
        <w:rPr>
          <w:lang w:val="es-ES_tradnl"/>
        </w:rPr>
        <w:t>o</w:t>
      </w:r>
      <w:r w:rsidRPr="00321B46">
        <w:rPr>
          <w:lang w:val="es-ES_tradnl"/>
        </w:rPr>
        <w:t>s en el plan de inversión</w:t>
      </w:r>
      <w:r w:rsidR="003E6B36" w:rsidRPr="00321B46">
        <w:rPr>
          <w:lang w:val="es-ES_tradnl"/>
        </w:rPr>
        <w:t xml:space="preserve"> </w:t>
      </w:r>
      <w:r w:rsidRPr="00321B46">
        <w:rPr>
          <w:lang w:val="es-ES_tradnl"/>
        </w:rPr>
        <w:t>son los siguientes</w:t>
      </w:r>
      <w:r w:rsidRPr="00321B46">
        <w:t>:</w:t>
      </w:r>
    </w:p>
    <w:p w14:paraId="3A10188C" w14:textId="77777777" w:rsidR="003F3582" w:rsidRPr="00321B46" w:rsidRDefault="003F3582" w:rsidP="003F3582">
      <w:pPr>
        <w:pStyle w:val="Prrafodelista"/>
        <w:numPr>
          <w:ilvl w:val="0"/>
          <w:numId w:val="21"/>
        </w:numPr>
        <w:ind w:left="426" w:hanging="426"/>
      </w:pPr>
      <w:r w:rsidRPr="00321B46">
        <w:t xml:space="preserve">Los proyectos deben estar orientados a la reposición eficiente de activos con el objetivo de asegurar la confiabilidad y seguridad en la prestación del servicio.  </w:t>
      </w:r>
    </w:p>
    <w:p w14:paraId="168A7759" w14:textId="77777777" w:rsidR="003F3582" w:rsidRPr="00321B46" w:rsidRDefault="003F3582" w:rsidP="003F3582">
      <w:pPr>
        <w:pStyle w:val="Prrafodelista"/>
        <w:numPr>
          <w:ilvl w:val="0"/>
          <w:numId w:val="21"/>
        </w:numPr>
        <w:ind w:left="426" w:hanging="426"/>
      </w:pPr>
      <w:r w:rsidRPr="00321B46">
        <w:t>En el plan se deben identificar los activos que por su estado, nivel de riesgo y antigüedad requieren ser reemplazados durante el periodo tarifario.</w:t>
      </w:r>
    </w:p>
    <w:p w14:paraId="5911458E" w14:textId="32977CE7" w:rsidR="003F3582" w:rsidRPr="00321B46" w:rsidRDefault="003F3582" w:rsidP="003F3582">
      <w:pPr>
        <w:pStyle w:val="Prrafodelista"/>
        <w:numPr>
          <w:ilvl w:val="0"/>
          <w:numId w:val="21"/>
        </w:numPr>
        <w:ind w:left="426" w:hanging="426"/>
      </w:pPr>
      <w:r w:rsidRPr="00321B46">
        <w:t xml:space="preserve">El </w:t>
      </w:r>
      <w:r w:rsidR="004366BC" w:rsidRPr="00321B46">
        <w:t>TN</w:t>
      </w:r>
      <w:r w:rsidRPr="00321B46">
        <w:t xml:space="preserve"> debe clasificar los activos de las subestaciones</w:t>
      </w:r>
      <w:r w:rsidR="00585F1A" w:rsidRPr="00321B46">
        <w:t>,</w:t>
      </w:r>
      <w:r w:rsidRPr="00321B46">
        <w:t xml:space="preserve"> en activos que requieran ser reemplazados en un periodo menor a dos años, entre dos y cuatro años y más de cuatro años. </w:t>
      </w:r>
    </w:p>
    <w:p w14:paraId="06A64995" w14:textId="593C00D2" w:rsidR="003F3582" w:rsidRPr="00321B46" w:rsidRDefault="003F3582" w:rsidP="003F3582">
      <w:pPr>
        <w:pStyle w:val="Prrafodelista"/>
        <w:numPr>
          <w:ilvl w:val="0"/>
          <w:numId w:val="21"/>
        </w:numPr>
        <w:ind w:left="426" w:hanging="426"/>
      </w:pPr>
      <w:r w:rsidRPr="00321B46">
        <w:t>En el caso de l</w:t>
      </w:r>
      <w:r w:rsidR="00585F1A" w:rsidRPr="00321B46">
        <w:t>o</w:t>
      </w:r>
      <w:r w:rsidRPr="00321B46">
        <w:t>s activos de líneas</w:t>
      </w:r>
      <w:r w:rsidR="00585F1A" w:rsidRPr="00321B46">
        <w:t>,</w:t>
      </w:r>
      <w:r w:rsidRPr="00321B46">
        <w:t xml:space="preserve"> el </w:t>
      </w:r>
      <w:r w:rsidR="004366BC" w:rsidRPr="00321B46">
        <w:t>TN</w:t>
      </w:r>
      <w:r w:rsidRPr="00321B46">
        <w:t xml:space="preserve"> debe clasificar los circuitos que requieren reposición en conductores, apoyos o elementos en un periodo menor a dos años, entre dos y cuatro años y más de cuatro años.</w:t>
      </w:r>
    </w:p>
    <w:p w14:paraId="3461894F" w14:textId="77777777" w:rsidR="003F3582" w:rsidRPr="00321B46" w:rsidRDefault="003F3582" w:rsidP="003F3582">
      <w:pPr>
        <w:pStyle w:val="Prrafodelista"/>
        <w:numPr>
          <w:ilvl w:val="0"/>
          <w:numId w:val="21"/>
        </w:numPr>
        <w:ind w:left="426" w:hanging="426"/>
      </w:pPr>
      <w:r w:rsidRPr="00321B46">
        <w:t xml:space="preserve">En el caso de elementos de control del sistema el </w:t>
      </w:r>
      <w:r w:rsidR="004366BC" w:rsidRPr="00321B46">
        <w:t>TN</w:t>
      </w:r>
      <w:r w:rsidRPr="00321B46">
        <w:t xml:space="preserve"> debe presentar un plan de reposición de acuerdo con el estado tecnológico de sus equipos. </w:t>
      </w:r>
    </w:p>
    <w:p w14:paraId="1CDD6DAC" w14:textId="77777777" w:rsidR="003F3582" w:rsidRPr="00321B46" w:rsidRDefault="003F3582" w:rsidP="003F3582">
      <w:pPr>
        <w:pStyle w:val="Prrafodelista"/>
        <w:numPr>
          <w:ilvl w:val="0"/>
          <w:numId w:val="21"/>
        </w:numPr>
        <w:ind w:left="426" w:hanging="426"/>
      </w:pPr>
      <w:r w:rsidRPr="00321B46">
        <w:t>Las empresas deben priorizar los proyectos de reposición de activos considerando la antigüedad de los activos, la carga asociada al activo o conjunto de activos, la vulnerabilidad del sistema ante fallas de los activos, los ahorros en costos de operación y mantenimiento, entre otros.</w:t>
      </w:r>
    </w:p>
    <w:p w14:paraId="75C52E62" w14:textId="720BC504" w:rsidR="003F3582" w:rsidRPr="00321B46" w:rsidRDefault="003F3582" w:rsidP="003F3582">
      <w:pPr>
        <w:pStyle w:val="Prrafodelista"/>
        <w:numPr>
          <w:ilvl w:val="0"/>
          <w:numId w:val="21"/>
        </w:numPr>
        <w:ind w:left="426" w:hanging="426"/>
      </w:pPr>
      <w:r w:rsidRPr="00321B46">
        <w:t xml:space="preserve">El </w:t>
      </w:r>
      <w:r w:rsidR="004366BC" w:rsidRPr="00321B46">
        <w:t>TN debe</w:t>
      </w:r>
      <w:r w:rsidRPr="00321B46">
        <w:t xml:space="preserve"> realizar un análisis de riesgos para los activos agrupados en las categorías definidas en </w:t>
      </w:r>
      <w:r w:rsidR="00BF7220" w:rsidRPr="00321B46">
        <w:t xml:space="preserve">el numeral </w:t>
      </w:r>
      <w:r w:rsidR="00BF7220" w:rsidRPr="00321B46">
        <w:fldChar w:fldCharType="begin"/>
      </w:r>
      <w:r w:rsidR="00BF7220" w:rsidRPr="00321B46">
        <w:instrText xml:space="preserve"> REF _Ref445370460 \r \h </w:instrText>
      </w:r>
      <w:r w:rsidR="00321B46">
        <w:instrText xml:space="preserve"> \* MERGEFORMAT </w:instrText>
      </w:r>
      <w:r w:rsidR="00BF7220" w:rsidRPr="00321B46">
        <w:fldChar w:fldCharType="separate"/>
      </w:r>
      <w:r w:rsidR="000F355F">
        <w:t>7.5</w:t>
      </w:r>
      <w:r w:rsidR="00BF7220" w:rsidRPr="00321B46">
        <w:fldChar w:fldCharType="end"/>
      </w:r>
      <w:r w:rsidRPr="00321B46">
        <w:t xml:space="preserve">. Adicionalmente, el </w:t>
      </w:r>
      <w:r w:rsidR="004366BC" w:rsidRPr="00321B46">
        <w:t>TN</w:t>
      </w:r>
      <w:r w:rsidRPr="00321B46">
        <w:t xml:space="preserve"> debe establecer el perfil de antigüedad de los activos en las mismas categorías.</w:t>
      </w:r>
    </w:p>
    <w:p w14:paraId="289149B5" w14:textId="77777777" w:rsidR="003F3582" w:rsidRPr="00321B46" w:rsidRDefault="003F3582" w:rsidP="003F3582">
      <w:pPr>
        <w:pStyle w:val="Prrafodelista"/>
        <w:numPr>
          <w:ilvl w:val="0"/>
          <w:numId w:val="21"/>
        </w:numPr>
        <w:ind w:left="426" w:hanging="426"/>
      </w:pPr>
      <w:r w:rsidRPr="00321B46">
        <w:t xml:space="preserve">Como resultado de este análisis de priorización se deben obtener los proyectos con mayor impacto y beneficio para la prestación del servicio de acuerdo con los objetivos definidos por el </w:t>
      </w:r>
      <w:r w:rsidR="004366BC" w:rsidRPr="00321B46">
        <w:t>TN</w:t>
      </w:r>
      <w:r w:rsidRPr="00321B46">
        <w:t xml:space="preserve">. </w:t>
      </w:r>
    </w:p>
    <w:p w14:paraId="79B3749D" w14:textId="77777777" w:rsidR="003F3582" w:rsidRPr="00321B46" w:rsidRDefault="003F3582" w:rsidP="003F3582">
      <w:pPr>
        <w:pStyle w:val="Prrafodelista"/>
        <w:numPr>
          <w:ilvl w:val="0"/>
          <w:numId w:val="21"/>
        </w:numPr>
        <w:ind w:left="426" w:hanging="426"/>
      </w:pPr>
      <w:r w:rsidRPr="00321B46">
        <w:t>Se deben presentar análisis de beneficios asociados con la reposición, los beneficios pueden estar asociados con mejoras en la operación, mayor confiabilidad, disminución de interrupciones, reducción de riesgos de falla, etc. Los beneficios pueden obtenerse de la aplicación de análisis de riesgos.</w:t>
      </w:r>
    </w:p>
    <w:p w14:paraId="3EAF9DC1" w14:textId="448151D5" w:rsidR="003E6B36" w:rsidRPr="00321B46" w:rsidRDefault="003E6B36" w:rsidP="003E6B36">
      <w:pPr>
        <w:pStyle w:val="Ttulo3"/>
      </w:pPr>
      <w:bookmarkStart w:id="432" w:name="_Toc466392680"/>
      <w:r w:rsidRPr="00321B46">
        <w:t>Criterios y lineamientos de proyectos Tipo III</w:t>
      </w:r>
      <w:bookmarkEnd w:id="432"/>
      <w:r w:rsidRPr="00321B46">
        <w:t xml:space="preserve"> </w:t>
      </w:r>
    </w:p>
    <w:p w14:paraId="24F55ABF" w14:textId="2D3BE245" w:rsidR="003F3582" w:rsidRPr="00321B46" w:rsidRDefault="003F3582" w:rsidP="003276B5">
      <w:r w:rsidRPr="00321B46">
        <w:rPr>
          <w:lang w:val="es-ES_tradnl"/>
        </w:rPr>
        <w:t xml:space="preserve">El </w:t>
      </w:r>
      <w:r w:rsidR="004366BC" w:rsidRPr="00321B46">
        <w:rPr>
          <w:lang w:val="es-ES_tradnl"/>
        </w:rPr>
        <w:t>TN</w:t>
      </w:r>
      <w:r w:rsidRPr="00321B46">
        <w:rPr>
          <w:lang w:val="es-ES_tradnl"/>
        </w:rPr>
        <w:t xml:space="preserve"> debe presentar dentro del plan de inversión los proyectos</w:t>
      </w:r>
      <w:r w:rsidR="00B3646A" w:rsidRPr="00321B46">
        <w:rPr>
          <w:lang w:val="es-ES_tradnl"/>
        </w:rPr>
        <w:t xml:space="preserve"> Tipo III, los cuales o</w:t>
      </w:r>
      <w:r w:rsidR="00416124" w:rsidRPr="00321B46">
        <w:rPr>
          <w:lang w:val="es-ES_tradnl"/>
        </w:rPr>
        <w:t>bedecen a la necesidad de instalación de nuevos activos para atender necesidades específicas del sistema y que no hacen parte de las identificadas dentro de las inversiones de los tipos I y II.</w:t>
      </w:r>
    </w:p>
    <w:p w14:paraId="3E1E8E42" w14:textId="77777777" w:rsidR="003F3582" w:rsidRPr="00321B46" w:rsidRDefault="003F3582" w:rsidP="003276B5">
      <w:pPr>
        <w:pStyle w:val="Ttulo3"/>
      </w:pPr>
      <w:bookmarkStart w:id="433" w:name="_Toc466392681"/>
      <w:r w:rsidRPr="00321B46">
        <w:t>Valoración del plan de inversiones</w:t>
      </w:r>
      <w:bookmarkEnd w:id="433"/>
    </w:p>
    <w:p w14:paraId="35443E89" w14:textId="77777777" w:rsidR="003F3582" w:rsidRPr="00321B46" w:rsidRDefault="003F3582" w:rsidP="003F3582">
      <w:pPr>
        <w:spacing w:before="0" w:after="0"/>
      </w:pPr>
      <w:r w:rsidRPr="00321B46">
        <w:t xml:space="preserve">El valor total del plan de inversión solicitado por el </w:t>
      </w:r>
      <w:r w:rsidR="00D860D9" w:rsidRPr="00321B46">
        <w:t>TN</w:t>
      </w:r>
      <w:r w:rsidRPr="00321B46">
        <w:t xml:space="preserve"> se calcula de la siguiente forma:</w:t>
      </w:r>
    </w:p>
    <w:p w14:paraId="161FEF54" w14:textId="584D8DC8" w:rsidR="003F3582" w:rsidRPr="00321B46" w:rsidRDefault="00651802" w:rsidP="003F3582">
      <m:oMathPara>
        <m:oMath>
          <m:sSub>
            <m:sSubPr>
              <m:ctrlPr>
                <w:rPr>
                  <w:rFonts w:ascii="Cambria Math" w:hAnsi="Cambria Math"/>
                  <w:i/>
                </w:rPr>
              </m:ctrlPr>
            </m:sSubPr>
            <m:e>
              <m:r>
                <w:rPr>
                  <w:rFonts w:ascii="Cambria Math" w:hAnsi="Cambria Math"/>
                </w:rPr>
                <m:t>INVP</m:t>
              </m:r>
            </m:e>
            <m:sub>
              <m:r>
                <w:rPr>
                  <w:rFonts w:ascii="Cambria Math" w:hAnsi="Cambria Math"/>
                </w:rPr>
                <m:t>j</m:t>
              </m:r>
              <m:r>
                <w:rPr>
                  <w:rFonts w:ascii="Cambria Math"/>
                </w:rPr>
                <m:t>,t</m:t>
              </m:r>
            </m:sub>
          </m:sSub>
          <m:r>
            <w:rPr>
              <w:rFonts w:ascii="Cambria Math"/>
            </w:rPr>
            <m:t>=</m:t>
          </m:r>
          <m:nary>
            <m:naryPr>
              <m:chr m:val="∑"/>
              <m:limLoc m:val="undOvr"/>
              <m:ctrlPr>
                <w:rPr>
                  <w:rFonts w:ascii="Cambria Math" w:hAnsi="Cambria Math"/>
                  <w:i/>
                </w:rPr>
              </m:ctrlPr>
            </m:naryPr>
            <m:sub>
              <m:r>
                <w:rPr>
                  <w:rFonts w:ascii="Cambria Math"/>
                </w:rPr>
                <m:t>TI=1</m:t>
              </m:r>
            </m:sub>
            <m:sup>
              <m:r>
                <w:rPr>
                  <w:rFonts w:ascii="Cambria Math"/>
                </w:rPr>
                <m:t>3</m:t>
              </m:r>
            </m:sup>
            <m:e>
              <m:nary>
                <m:naryPr>
                  <m:chr m:val="∑"/>
                  <m:limLoc m:val="undOvr"/>
                  <m:ctrlPr>
                    <w:rPr>
                      <w:rFonts w:ascii="Cambria Math" w:hAnsi="Cambria Math"/>
                      <w:i/>
                    </w:rPr>
                  </m:ctrlPr>
                </m:naryPr>
                <m:sub>
                  <m:r>
                    <w:rPr>
                      <w:rFonts w:ascii="Cambria Math"/>
                    </w:rPr>
                    <m:t>k=1</m:t>
                  </m:r>
                </m:sub>
                <m:sup>
                  <m:r>
                    <w:rPr>
                      <w:rFonts w:ascii="Cambria Math"/>
                    </w:rPr>
                    <m:t>K</m:t>
                  </m:r>
                </m:sup>
                <m:e>
                  <m:sSub>
                    <m:sSubPr>
                      <m:ctrlPr>
                        <w:rPr>
                          <w:rFonts w:ascii="Cambria Math" w:hAnsi="Cambria Math"/>
                          <w:i/>
                        </w:rPr>
                      </m:ctrlPr>
                    </m:sSubPr>
                    <m:e>
                      <m:r>
                        <w:rPr>
                          <w:rFonts w:ascii="Cambria Math"/>
                        </w:rPr>
                        <m:t>INVT</m:t>
                      </m:r>
                    </m:e>
                    <m:sub>
                      <m:r>
                        <w:rPr>
                          <w:rFonts w:ascii="Cambria Math"/>
                        </w:rPr>
                        <m:t>j,TI,k,t</m:t>
                      </m:r>
                    </m:sub>
                  </m:sSub>
                </m:e>
              </m:nary>
            </m:e>
          </m:nary>
        </m:oMath>
      </m:oMathPara>
    </w:p>
    <w:p w14:paraId="622D3005" w14:textId="77777777" w:rsidR="00C0336F" w:rsidRPr="00321B46" w:rsidRDefault="00C0336F" w:rsidP="003F3582">
      <w:pPr>
        <w:spacing w:before="120"/>
        <w:ind w:left="1418" w:hanging="1418"/>
        <w:rPr>
          <w:iCs/>
        </w:rPr>
      </w:pPr>
      <w:r w:rsidRPr="00321B46">
        <w:rPr>
          <w:iCs/>
        </w:rPr>
        <w:t>Donde:</w:t>
      </w:r>
    </w:p>
    <w:p w14:paraId="7A982D18" w14:textId="77777777" w:rsidR="003F3582" w:rsidRPr="00321B46" w:rsidRDefault="003F3582" w:rsidP="003F3582">
      <w:pPr>
        <w:spacing w:before="120"/>
        <w:ind w:left="1418" w:hanging="1418"/>
        <w:rPr>
          <w:i/>
          <w:iCs/>
        </w:rPr>
      </w:pPr>
      <w:r w:rsidRPr="00321B46">
        <w:rPr>
          <w:i/>
          <w:iCs/>
        </w:rPr>
        <w:t>INVP</w:t>
      </w:r>
      <w:r w:rsidRPr="00321B46">
        <w:rPr>
          <w:i/>
          <w:iCs/>
          <w:vertAlign w:val="subscript"/>
        </w:rPr>
        <w:t>j,t</w:t>
      </w:r>
      <w:r w:rsidRPr="00321B46">
        <w:t>:</w:t>
      </w:r>
      <w:r w:rsidRPr="00321B46">
        <w:tab/>
        <w:t xml:space="preserve">Valor total del plan de inversión solicitado por el </w:t>
      </w:r>
      <w:r w:rsidR="00C0336F" w:rsidRPr="00321B46">
        <w:rPr>
          <w:iCs/>
        </w:rPr>
        <w:t>TN</w:t>
      </w:r>
      <w:r w:rsidRPr="00321B46">
        <w:rPr>
          <w:iCs/>
        </w:rPr>
        <w:t xml:space="preserve"> </w:t>
      </w:r>
      <w:r w:rsidRPr="00321B46">
        <w:rPr>
          <w:i/>
          <w:iCs/>
        </w:rPr>
        <w:t>j</w:t>
      </w:r>
      <w:r w:rsidRPr="00321B46">
        <w:rPr>
          <w:iCs/>
        </w:rPr>
        <w:t xml:space="preserve"> para el año </w:t>
      </w:r>
      <w:r w:rsidRPr="00321B46">
        <w:rPr>
          <w:i/>
          <w:iCs/>
        </w:rPr>
        <w:t>t</w:t>
      </w:r>
      <w:r w:rsidRPr="00321B46">
        <w:rPr>
          <w:iCs/>
        </w:rPr>
        <w:t xml:space="preserve">. </w:t>
      </w:r>
    </w:p>
    <w:p w14:paraId="3B06E688" w14:textId="15BA42E6" w:rsidR="003F3582" w:rsidRPr="00321B46" w:rsidRDefault="003F3582" w:rsidP="003F3582">
      <w:pPr>
        <w:spacing w:before="120"/>
        <w:ind w:left="1418" w:hanging="1418"/>
      </w:pPr>
      <w:r w:rsidRPr="00321B46">
        <w:rPr>
          <w:i/>
          <w:iCs/>
        </w:rPr>
        <w:t>INVT</w:t>
      </w:r>
      <w:r w:rsidRPr="00321B46">
        <w:rPr>
          <w:i/>
          <w:iCs/>
          <w:vertAlign w:val="subscript"/>
        </w:rPr>
        <w:t>j,</w:t>
      </w:r>
      <w:r w:rsidR="00C0336F" w:rsidRPr="00321B46">
        <w:rPr>
          <w:i/>
          <w:iCs/>
          <w:vertAlign w:val="subscript"/>
        </w:rPr>
        <w:t>TI,k</w:t>
      </w:r>
      <w:r w:rsidRPr="00321B46">
        <w:rPr>
          <w:i/>
          <w:iCs/>
          <w:vertAlign w:val="subscript"/>
        </w:rPr>
        <w:t>,t</w:t>
      </w:r>
      <w:r w:rsidRPr="00321B46">
        <w:t>:</w:t>
      </w:r>
      <w:r w:rsidRPr="00321B46">
        <w:tab/>
        <w:t>Valor de la i</w:t>
      </w:r>
      <w:r w:rsidRPr="00321B46">
        <w:rPr>
          <w:iCs/>
        </w:rPr>
        <w:t xml:space="preserve">nversión del plan del </w:t>
      </w:r>
      <w:r w:rsidR="00C0336F" w:rsidRPr="00321B46">
        <w:rPr>
          <w:iCs/>
        </w:rPr>
        <w:t>TN</w:t>
      </w:r>
      <w:r w:rsidRPr="00321B46">
        <w:rPr>
          <w:iCs/>
        </w:rPr>
        <w:t xml:space="preserve"> </w:t>
      </w:r>
      <w:r w:rsidRPr="00321B46">
        <w:rPr>
          <w:i/>
          <w:iCs/>
        </w:rPr>
        <w:t xml:space="preserve">j, </w:t>
      </w:r>
      <w:r w:rsidRPr="00321B46">
        <w:rPr>
          <w:iCs/>
        </w:rPr>
        <w:t xml:space="preserve">en el tipo de inversión </w:t>
      </w:r>
      <w:r w:rsidRPr="00321B46">
        <w:rPr>
          <w:i/>
          <w:iCs/>
        </w:rPr>
        <w:t>TI</w:t>
      </w:r>
      <w:r w:rsidRPr="00321B46">
        <w:rPr>
          <w:iCs/>
        </w:rPr>
        <w:t xml:space="preserve">, en la categoría de activos </w:t>
      </w:r>
      <w:r w:rsidR="00C0336F" w:rsidRPr="00321B46">
        <w:rPr>
          <w:i/>
          <w:iCs/>
        </w:rPr>
        <w:t>k</w:t>
      </w:r>
      <w:r w:rsidRPr="00321B46">
        <w:rPr>
          <w:iCs/>
        </w:rPr>
        <w:t xml:space="preserve"> para el año </w:t>
      </w:r>
      <w:r w:rsidRPr="00321B46">
        <w:rPr>
          <w:i/>
          <w:iCs/>
        </w:rPr>
        <w:t>t</w:t>
      </w:r>
      <w:r w:rsidRPr="00321B46">
        <w:rPr>
          <w:iCs/>
        </w:rPr>
        <w:t>.</w:t>
      </w:r>
    </w:p>
    <w:p w14:paraId="12C6D024" w14:textId="77777777" w:rsidR="003F3582" w:rsidRPr="00321B46" w:rsidRDefault="00C0336F" w:rsidP="003F3582">
      <w:pPr>
        <w:tabs>
          <w:tab w:val="left" w:pos="1418"/>
        </w:tabs>
        <w:spacing w:before="120"/>
        <w:ind w:left="1418" w:hanging="1418"/>
      </w:pPr>
      <w:r w:rsidRPr="00321B46">
        <w:rPr>
          <w:i/>
          <w:iCs/>
        </w:rPr>
        <w:t>K</w:t>
      </w:r>
      <w:r w:rsidR="003F3582" w:rsidRPr="00321B46">
        <w:rPr>
          <w:i/>
          <w:iCs/>
        </w:rPr>
        <w:t>:</w:t>
      </w:r>
      <w:r w:rsidR="003F3582" w:rsidRPr="00321B46">
        <w:rPr>
          <w:i/>
          <w:iCs/>
        </w:rPr>
        <w:tab/>
      </w:r>
      <w:r w:rsidR="003F3582" w:rsidRPr="00321B46">
        <w:t>Cantidad de categorías de activos.</w:t>
      </w:r>
    </w:p>
    <w:p w14:paraId="702BBBA8" w14:textId="77777777" w:rsidR="003F3582" w:rsidRPr="00321B46" w:rsidRDefault="003F3582" w:rsidP="003F3582">
      <w:pPr>
        <w:spacing w:before="0" w:after="0"/>
      </w:pPr>
      <w:r w:rsidRPr="00321B46">
        <w:t xml:space="preserve">El valor de la variable </w:t>
      </w:r>
      <w:r w:rsidRPr="00321B46">
        <w:rPr>
          <w:i/>
        </w:rPr>
        <w:t>INVT</w:t>
      </w:r>
      <w:r w:rsidRPr="00321B46">
        <w:rPr>
          <w:i/>
          <w:vertAlign w:val="subscript"/>
        </w:rPr>
        <w:t>j,TI,</w:t>
      </w:r>
      <w:r w:rsidR="00E04050" w:rsidRPr="00321B46">
        <w:rPr>
          <w:i/>
          <w:vertAlign w:val="subscript"/>
        </w:rPr>
        <w:t>k</w:t>
      </w:r>
      <w:r w:rsidRPr="00321B46">
        <w:rPr>
          <w:i/>
          <w:vertAlign w:val="subscript"/>
        </w:rPr>
        <w:t>,t</w:t>
      </w:r>
      <w:r w:rsidRPr="00321B46">
        <w:t xml:space="preserve"> se calcula de la siguiente forma:</w:t>
      </w:r>
    </w:p>
    <w:p w14:paraId="58CB2047" w14:textId="104691DB" w:rsidR="003F3582" w:rsidRPr="00321B46" w:rsidRDefault="00651802" w:rsidP="003F3582">
      <m:oMathPara>
        <m:oMath>
          <m:sSub>
            <m:sSubPr>
              <m:ctrlPr>
                <w:rPr>
                  <w:rFonts w:ascii="Cambria Math" w:hAnsi="Cambria Math"/>
                  <w:i/>
                </w:rPr>
              </m:ctrlPr>
            </m:sSubPr>
            <m:e>
              <m:r>
                <w:rPr>
                  <w:rFonts w:ascii="Cambria Math" w:hAnsi="Cambria Math"/>
                </w:rPr>
                <m:t>INVT</m:t>
              </m:r>
            </m:e>
            <m:sub>
              <m:r>
                <w:rPr>
                  <w:rFonts w:ascii="Cambria Math" w:hAnsi="Cambria Math"/>
                </w:rPr>
                <m:t>j</m:t>
              </m:r>
              <m:r>
                <w:rPr>
                  <w:rFonts w:ascii="Cambria Math"/>
                </w:rPr>
                <m:t>,TI,k,t</m:t>
              </m:r>
            </m:sub>
          </m:sSub>
          <m:r>
            <w:rPr>
              <w:rFonts w:ascii="Cambria Math"/>
            </w:rPr>
            <m:t>=</m:t>
          </m:r>
          <m:nary>
            <m:naryPr>
              <m:chr m:val="∑"/>
              <m:limLoc m:val="undOvr"/>
              <m:ctrlPr>
                <w:rPr>
                  <w:rFonts w:ascii="Cambria Math" w:hAnsi="Cambria Math"/>
                  <w:i/>
                </w:rPr>
              </m:ctrlPr>
            </m:naryPr>
            <m:sub>
              <m:r>
                <w:rPr>
                  <w:rFonts w:ascii="Cambria Math" w:hAnsi="Cambria Math"/>
                </w:rPr>
                <m:t>i</m:t>
              </m:r>
              <m:r>
                <w:rPr>
                  <w:rFonts w:ascii="Cambria Math"/>
                </w:rPr>
                <m:t>=1</m:t>
              </m:r>
            </m:sub>
            <m:sup>
              <m:sSub>
                <m:sSubPr>
                  <m:ctrlPr>
                    <w:rPr>
                      <w:rFonts w:ascii="Cambria Math" w:hAnsi="Cambria Math"/>
                      <w:i/>
                    </w:rPr>
                  </m:ctrlPr>
                </m:sSubPr>
                <m:e>
                  <m:r>
                    <w:rPr>
                      <w:rFonts w:ascii="Cambria Math" w:hAnsi="Cambria Math"/>
                    </w:rPr>
                    <m:t>UCP</m:t>
                  </m:r>
                </m:e>
                <m:sub>
                  <m:r>
                    <w:rPr>
                      <w:rFonts w:ascii="Cambria Math" w:hAnsi="Cambria Math"/>
                    </w:rPr>
                    <m:t>j</m:t>
                  </m:r>
                  <m:r>
                    <w:rPr>
                      <w:rFonts w:ascii="Cambria Math"/>
                    </w:rPr>
                    <m:t>,</m:t>
                  </m:r>
                  <m:r>
                    <w:rPr>
                      <w:rFonts w:ascii="Cambria Math" w:hAnsi="Cambria Math"/>
                    </w:rPr>
                    <m:t>TI,k,t</m:t>
                  </m:r>
                </m:sub>
              </m:sSub>
            </m:sup>
            <m:e>
              <m:sSub>
                <m:sSubPr>
                  <m:ctrlPr>
                    <w:rPr>
                      <w:rFonts w:ascii="Cambria Math" w:hAnsi="Cambria Math"/>
                      <w:i/>
                    </w:rPr>
                  </m:ctrlPr>
                </m:sSubPr>
                <m:e>
                  <m:r>
                    <w:rPr>
                      <w:rFonts w:ascii="Cambria Math" w:hAnsi="Cambria Math"/>
                    </w:rPr>
                    <m:t>CR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FU</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RPP</m:t>
                      </m:r>
                    </m:e>
                    <m:sub>
                      <m:r>
                        <w:rPr>
                          <w:rFonts w:ascii="Cambria Math" w:hAnsi="Cambria Math"/>
                        </w:rPr>
                        <m:t>i</m:t>
                      </m:r>
                    </m:sub>
                  </m:sSub>
                </m:e>
              </m:d>
            </m:e>
          </m:nary>
        </m:oMath>
      </m:oMathPara>
    </w:p>
    <w:p w14:paraId="03A23490" w14:textId="10C5663B" w:rsidR="003F3582" w:rsidRPr="00321B46" w:rsidRDefault="003F3582" w:rsidP="003F3582">
      <w:pPr>
        <w:spacing w:before="120"/>
        <w:ind w:left="1418" w:hanging="1418"/>
      </w:pPr>
      <w:r w:rsidRPr="00321B46">
        <w:rPr>
          <w:i/>
          <w:iCs/>
        </w:rPr>
        <w:t>INVT</w:t>
      </w:r>
      <w:r w:rsidRPr="00321B46">
        <w:rPr>
          <w:i/>
          <w:iCs/>
          <w:vertAlign w:val="subscript"/>
        </w:rPr>
        <w:t>j,TI,</w:t>
      </w:r>
      <w:r w:rsidR="00E04050" w:rsidRPr="00321B46">
        <w:rPr>
          <w:i/>
          <w:iCs/>
          <w:vertAlign w:val="subscript"/>
        </w:rPr>
        <w:t>k</w:t>
      </w:r>
      <w:r w:rsidRPr="00321B46">
        <w:rPr>
          <w:i/>
          <w:iCs/>
          <w:vertAlign w:val="subscript"/>
        </w:rPr>
        <w:t>,t</w:t>
      </w:r>
      <w:r w:rsidRPr="00321B46">
        <w:t>:</w:t>
      </w:r>
      <w:r w:rsidRPr="00321B46">
        <w:tab/>
        <w:t>Valor de la i</w:t>
      </w:r>
      <w:r w:rsidRPr="00321B46">
        <w:rPr>
          <w:iCs/>
        </w:rPr>
        <w:t xml:space="preserve">nversión del plan del </w:t>
      </w:r>
      <w:r w:rsidR="00E04050" w:rsidRPr="00321B46">
        <w:rPr>
          <w:iCs/>
        </w:rPr>
        <w:t>TN</w:t>
      </w:r>
      <w:r w:rsidRPr="00321B46">
        <w:rPr>
          <w:iCs/>
        </w:rPr>
        <w:t xml:space="preserve"> </w:t>
      </w:r>
      <w:r w:rsidRPr="00321B46">
        <w:rPr>
          <w:i/>
          <w:iCs/>
        </w:rPr>
        <w:t>j</w:t>
      </w:r>
      <w:r w:rsidR="00425DD2" w:rsidRPr="00321B46">
        <w:rPr>
          <w:i/>
          <w:iCs/>
        </w:rPr>
        <w:t xml:space="preserve">, </w:t>
      </w:r>
      <w:r w:rsidRPr="00321B46">
        <w:rPr>
          <w:iCs/>
        </w:rPr>
        <w:t xml:space="preserve">en el tipo de inversión </w:t>
      </w:r>
      <w:r w:rsidRPr="00321B46">
        <w:rPr>
          <w:i/>
          <w:iCs/>
        </w:rPr>
        <w:t>TI</w:t>
      </w:r>
      <w:r w:rsidRPr="00321B46">
        <w:rPr>
          <w:iCs/>
        </w:rPr>
        <w:t xml:space="preserve">, en la categoría de activos </w:t>
      </w:r>
      <w:r w:rsidR="00E04050" w:rsidRPr="00321B46">
        <w:rPr>
          <w:i/>
          <w:iCs/>
        </w:rPr>
        <w:t>k</w:t>
      </w:r>
      <w:r w:rsidRPr="00321B46">
        <w:rPr>
          <w:iCs/>
        </w:rPr>
        <w:t xml:space="preserve"> para el año </w:t>
      </w:r>
      <w:r w:rsidRPr="00321B46">
        <w:rPr>
          <w:i/>
          <w:iCs/>
        </w:rPr>
        <w:t>t</w:t>
      </w:r>
      <w:r w:rsidRPr="00321B46">
        <w:rPr>
          <w:iCs/>
        </w:rPr>
        <w:t xml:space="preserve">. </w:t>
      </w:r>
    </w:p>
    <w:p w14:paraId="00C739F4" w14:textId="258D9709" w:rsidR="003F3582" w:rsidRPr="00321B46" w:rsidRDefault="003F3582" w:rsidP="003F3582">
      <w:pPr>
        <w:tabs>
          <w:tab w:val="left" w:pos="1418"/>
        </w:tabs>
        <w:spacing w:before="120"/>
        <w:ind w:left="1418" w:hanging="1418"/>
      </w:pPr>
      <w:r w:rsidRPr="00321B46">
        <w:rPr>
          <w:i/>
          <w:iCs/>
        </w:rPr>
        <w:t>UCP</w:t>
      </w:r>
      <w:r w:rsidR="00800FDD" w:rsidRPr="00321B46">
        <w:rPr>
          <w:i/>
          <w:iCs/>
          <w:vertAlign w:val="subscript"/>
        </w:rPr>
        <w:t>j</w:t>
      </w:r>
      <w:r w:rsidRPr="00321B46">
        <w:rPr>
          <w:i/>
          <w:iCs/>
          <w:vertAlign w:val="subscript"/>
        </w:rPr>
        <w:t>,TI,</w:t>
      </w:r>
      <w:r w:rsidR="00800FDD" w:rsidRPr="00321B46">
        <w:rPr>
          <w:i/>
          <w:iCs/>
          <w:vertAlign w:val="subscript"/>
        </w:rPr>
        <w:t>k</w:t>
      </w:r>
      <w:r w:rsidRPr="00321B46">
        <w:rPr>
          <w:i/>
          <w:iCs/>
          <w:vertAlign w:val="subscript"/>
        </w:rPr>
        <w:t>,t</w:t>
      </w:r>
      <w:r w:rsidRPr="00321B46">
        <w:t>:</w:t>
      </w:r>
      <w:r w:rsidRPr="00321B46">
        <w:tab/>
      </w:r>
      <w:r w:rsidR="00F6648F" w:rsidRPr="00321B46">
        <w:t xml:space="preserve">Número de </w:t>
      </w:r>
      <w:r w:rsidRPr="00321B46">
        <w:t xml:space="preserve">UC incluidas en el plan de inversiones solicitado por el </w:t>
      </w:r>
      <w:r w:rsidR="00800FDD" w:rsidRPr="00321B46">
        <w:t>TN</w:t>
      </w:r>
      <w:r w:rsidRPr="00321B46">
        <w:t xml:space="preserve"> </w:t>
      </w:r>
      <w:r w:rsidRPr="00321B46">
        <w:rPr>
          <w:i/>
        </w:rPr>
        <w:t xml:space="preserve">j, </w:t>
      </w:r>
      <w:r w:rsidRPr="00321B46">
        <w:rPr>
          <w:iCs/>
        </w:rPr>
        <w:t xml:space="preserve">en el tipo de inversión </w:t>
      </w:r>
      <w:r w:rsidRPr="00321B46">
        <w:rPr>
          <w:i/>
          <w:iCs/>
        </w:rPr>
        <w:t>TI</w:t>
      </w:r>
      <w:r w:rsidRPr="00321B46">
        <w:rPr>
          <w:iCs/>
        </w:rPr>
        <w:t>,</w:t>
      </w:r>
      <w:r w:rsidRPr="00321B46">
        <w:t xml:space="preserve"> </w:t>
      </w:r>
      <w:r w:rsidRPr="00321B46">
        <w:rPr>
          <w:iCs/>
        </w:rPr>
        <w:t xml:space="preserve">en la categoría de activos </w:t>
      </w:r>
      <w:r w:rsidR="00800FDD" w:rsidRPr="00321B46">
        <w:rPr>
          <w:i/>
          <w:iCs/>
        </w:rPr>
        <w:t>k</w:t>
      </w:r>
      <w:r w:rsidRPr="00321B46">
        <w:rPr>
          <w:iCs/>
        </w:rPr>
        <w:t xml:space="preserve"> para </w:t>
      </w:r>
      <w:r w:rsidRPr="00321B46">
        <w:t xml:space="preserve">el año </w:t>
      </w:r>
      <w:r w:rsidRPr="00321B46">
        <w:rPr>
          <w:i/>
        </w:rPr>
        <w:t>t</w:t>
      </w:r>
      <w:r w:rsidRPr="00321B46">
        <w:t xml:space="preserve">. </w:t>
      </w:r>
    </w:p>
    <w:p w14:paraId="7606FD9C" w14:textId="5B217CE9" w:rsidR="003F3582" w:rsidRPr="00321B46" w:rsidRDefault="003F3582" w:rsidP="003F3582">
      <w:pPr>
        <w:ind w:left="1410" w:hanging="1410"/>
      </w:pPr>
      <w:r w:rsidRPr="00321B46">
        <w:rPr>
          <w:i/>
          <w:iCs/>
        </w:rPr>
        <w:t>CR</w:t>
      </w:r>
      <w:r w:rsidRPr="00321B46">
        <w:rPr>
          <w:i/>
          <w:iCs/>
          <w:vertAlign w:val="subscript"/>
        </w:rPr>
        <w:t>i</w:t>
      </w:r>
      <w:r w:rsidRPr="00321B46">
        <w:t>:</w:t>
      </w:r>
      <w:r w:rsidRPr="00321B46">
        <w:tab/>
      </w:r>
      <w:r w:rsidRPr="00321B46">
        <w:tab/>
        <w:t xml:space="preserve">Valor de la UC </w:t>
      </w:r>
      <w:r w:rsidRPr="00321B46">
        <w:rPr>
          <w:i/>
          <w:iCs/>
        </w:rPr>
        <w:t>i</w:t>
      </w:r>
      <w:r w:rsidRPr="00321B46">
        <w:rPr>
          <w:iCs/>
        </w:rPr>
        <w:t>,</w:t>
      </w:r>
      <w:r w:rsidRPr="00321B46">
        <w:t xml:space="preserve"> definido </w:t>
      </w:r>
      <w:r w:rsidR="00270CDF" w:rsidRPr="00321B46">
        <w:t xml:space="preserve">en el capítulo </w:t>
      </w:r>
      <w:r w:rsidR="00847275" w:rsidRPr="00321B46">
        <w:rPr>
          <w:rFonts w:cs="Arial"/>
        </w:rPr>
        <w:fldChar w:fldCharType="begin"/>
      </w:r>
      <w:r w:rsidR="00847275" w:rsidRPr="00321B46">
        <w:rPr>
          <w:rFonts w:cs="Arial"/>
        </w:rPr>
        <w:instrText xml:space="preserve"> REF _Ref404776490 \r \h \t \* MERGEFORMAT </w:instrText>
      </w:r>
      <w:r w:rsidR="00847275" w:rsidRPr="00321B46">
        <w:rPr>
          <w:rFonts w:cs="Arial"/>
        </w:rPr>
      </w:r>
      <w:r w:rsidR="00847275" w:rsidRPr="00321B46">
        <w:rPr>
          <w:rFonts w:cs="Arial"/>
        </w:rPr>
        <w:fldChar w:fldCharType="separate"/>
      </w:r>
      <w:r w:rsidR="000F355F">
        <w:rPr>
          <w:rFonts w:cs="Arial"/>
        </w:rPr>
        <w:t>7</w:t>
      </w:r>
      <w:r w:rsidR="00847275" w:rsidRPr="00321B46">
        <w:rPr>
          <w:rFonts w:cs="Arial"/>
        </w:rPr>
        <w:fldChar w:fldCharType="end"/>
      </w:r>
      <w:r w:rsidR="0061728F" w:rsidRPr="00321B46">
        <w:t xml:space="preserve"> de este anexo</w:t>
      </w:r>
      <w:r w:rsidRPr="00321B46">
        <w:t>.</w:t>
      </w:r>
    </w:p>
    <w:p w14:paraId="053C3DD1" w14:textId="77777777" w:rsidR="003F3582" w:rsidRPr="00321B46" w:rsidRDefault="003F3582" w:rsidP="003F3582">
      <w:pPr>
        <w:tabs>
          <w:tab w:val="left" w:pos="1418"/>
        </w:tabs>
        <w:spacing w:before="120"/>
        <w:ind w:left="1418" w:hanging="1418"/>
      </w:pPr>
      <w:r w:rsidRPr="00321B46">
        <w:rPr>
          <w:i/>
          <w:iCs/>
        </w:rPr>
        <w:t>PU</w:t>
      </w:r>
      <w:r w:rsidRPr="00321B46">
        <w:rPr>
          <w:i/>
          <w:iCs/>
          <w:vertAlign w:val="subscript"/>
        </w:rPr>
        <w:t>i</w:t>
      </w:r>
      <w:r w:rsidRPr="00321B46">
        <w:rPr>
          <w:i/>
          <w:iCs/>
        </w:rPr>
        <w:t>:</w:t>
      </w:r>
      <w:r w:rsidRPr="00321B46">
        <w:tab/>
        <w:t xml:space="preserve">Fracción del costo de la UC </w:t>
      </w:r>
      <w:r w:rsidRPr="00321B46">
        <w:rPr>
          <w:i/>
          <w:iCs/>
        </w:rPr>
        <w:t>i</w:t>
      </w:r>
      <w:r w:rsidRPr="00321B46">
        <w:t xml:space="preserve"> que es reconocida mediante cargos por uso.</w:t>
      </w:r>
    </w:p>
    <w:p w14:paraId="7FAFCD44" w14:textId="77777777" w:rsidR="00BE0E49" w:rsidRPr="00321B46" w:rsidRDefault="00BE0E49" w:rsidP="00BE0E49">
      <w:pPr>
        <w:spacing w:before="280" w:after="280"/>
        <w:ind w:left="1410" w:hanging="1410"/>
      </w:pPr>
      <w:r w:rsidRPr="00321B46">
        <w:rPr>
          <w:i/>
          <w:iCs/>
        </w:rPr>
        <w:t>FU</w:t>
      </w:r>
      <w:r w:rsidRPr="00321B46">
        <w:rPr>
          <w:i/>
          <w:iCs/>
          <w:vertAlign w:val="subscript"/>
        </w:rPr>
        <w:t>i</w:t>
      </w:r>
      <w:r w:rsidRPr="00321B46">
        <w:rPr>
          <w:i/>
          <w:iCs/>
        </w:rPr>
        <w:t>:</w:t>
      </w:r>
      <w:r w:rsidRPr="00321B46">
        <w:rPr>
          <w:i/>
          <w:iCs/>
        </w:rPr>
        <w:tab/>
      </w:r>
      <w:r w:rsidRPr="00321B46">
        <w:t xml:space="preserve">Fracción del costo de la UC </w:t>
      </w:r>
      <w:r w:rsidRPr="00321B46">
        <w:rPr>
          <w:i/>
          <w:iCs/>
        </w:rPr>
        <w:t>i</w:t>
      </w:r>
      <w:r w:rsidRPr="00321B46">
        <w:t xml:space="preserve"> que es reconocida por reposiciones parciales de la UC. Este valor se calcula como el peso relativo del valor reconocido del elemento o los elementos reemplazados respecto al valor total de la UC.</w:t>
      </w:r>
    </w:p>
    <w:p w14:paraId="04BA9329" w14:textId="77777777" w:rsidR="00F75745" w:rsidRPr="00321B46" w:rsidRDefault="00F75745" w:rsidP="00F75745">
      <w:pPr>
        <w:tabs>
          <w:tab w:val="left" w:pos="1418"/>
        </w:tabs>
        <w:spacing w:before="120"/>
        <w:ind w:left="1418" w:hanging="1418"/>
      </w:pPr>
      <w:r w:rsidRPr="00321B46">
        <w:rPr>
          <w:i/>
          <w:iCs/>
        </w:rPr>
        <w:t>RPP</w:t>
      </w:r>
      <w:r w:rsidRPr="00321B46">
        <w:rPr>
          <w:i/>
          <w:iCs/>
          <w:vertAlign w:val="subscript"/>
        </w:rPr>
        <w:t>i</w:t>
      </w:r>
      <w:r w:rsidRPr="00321B46">
        <w:rPr>
          <w:i/>
          <w:iCs/>
        </w:rPr>
        <w:t>:</w:t>
      </w:r>
      <w:r w:rsidRPr="00321B46">
        <w:tab/>
        <w:t xml:space="preserve">Fracción del costo de la UC </w:t>
      </w:r>
      <w:r w:rsidRPr="00321B46">
        <w:rPr>
          <w:i/>
          <w:iCs/>
        </w:rPr>
        <w:t>i</w:t>
      </w:r>
      <w:r w:rsidRPr="00321B46">
        <w:t>, remunerada vía cargos por uso, que no se debe incluir en el cálculo de la tarifa.</w:t>
      </w:r>
    </w:p>
    <w:p w14:paraId="1A470170" w14:textId="7FDBE4FF" w:rsidR="003F3582" w:rsidRPr="00321B46" w:rsidRDefault="003F3582" w:rsidP="003F3582">
      <w:pPr>
        <w:ind w:left="1410" w:hanging="1410"/>
      </w:pPr>
      <w:r w:rsidRPr="00321B46">
        <w:rPr>
          <w:i/>
          <w:iCs/>
        </w:rPr>
        <w:t>TI:</w:t>
      </w:r>
      <w:r w:rsidRPr="00321B46">
        <w:tab/>
        <w:t xml:space="preserve">Tipo de inversión, como se define en este capítulo, toma los valores de </w:t>
      </w:r>
      <w:r w:rsidR="002C1A78" w:rsidRPr="00321B46">
        <w:t>1</w:t>
      </w:r>
      <w:r w:rsidRPr="00321B46">
        <w:t xml:space="preserve">, </w:t>
      </w:r>
      <w:r w:rsidR="002C1A78" w:rsidRPr="00321B46">
        <w:t>2</w:t>
      </w:r>
      <w:r w:rsidR="00EF77CA" w:rsidRPr="00321B46">
        <w:t xml:space="preserve"> y </w:t>
      </w:r>
      <w:r w:rsidR="002C1A78" w:rsidRPr="00321B46">
        <w:t>3</w:t>
      </w:r>
      <w:r w:rsidRPr="00321B46">
        <w:t>.</w:t>
      </w:r>
    </w:p>
    <w:p w14:paraId="310EEFA5" w14:textId="77777777" w:rsidR="003F3582" w:rsidRPr="00321B46" w:rsidRDefault="003F3582" w:rsidP="003276B5">
      <w:pPr>
        <w:pStyle w:val="Ttulo3"/>
      </w:pPr>
      <w:bookmarkStart w:id="434" w:name="_Toc466392682"/>
      <w:r w:rsidRPr="00321B46">
        <w:t>Sistema de gestión de activos</w:t>
      </w:r>
      <w:bookmarkEnd w:id="434"/>
      <w:r w:rsidRPr="00321B46">
        <w:t xml:space="preserve"> </w:t>
      </w:r>
    </w:p>
    <w:p w14:paraId="250C4B22" w14:textId="77777777" w:rsidR="003F3582" w:rsidRPr="00321B46" w:rsidRDefault="003F3582" w:rsidP="003F3582">
      <w:r w:rsidRPr="00321B46">
        <w:t xml:space="preserve">El </w:t>
      </w:r>
      <w:r w:rsidR="00BB7D19" w:rsidRPr="00321B46">
        <w:t>TN</w:t>
      </w:r>
      <w:r w:rsidRPr="00321B46">
        <w:t xml:space="preserve"> debe incluir en el plan de inversión los activos necesarios para la implementación y certificación de un sistema de gestión de activos acorde con la norma ISO 55001 en un plazo de cinco años contados a partir de la entrada en vigencia de la presente resolución.</w:t>
      </w:r>
    </w:p>
    <w:p w14:paraId="63AB280C" w14:textId="77777777" w:rsidR="003F3582" w:rsidRPr="00321B46" w:rsidRDefault="003F3582" w:rsidP="003F3582">
      <w:r w:rsidRPr="00321B46">
        <w:t xml:space="preserve">En la implementación del sistema de gestión de activos, el </w:t>
      </w:r>
      <w:r w:rsidR="00BB7D19" w:rsidRPr="00321B46">
        <w:t>TN</w:t>
      </w:r>
      <w:r w:rsidRPr="00321B46">
        <w:t xml:space="preserve"> debe durante el primer año, realizar un diagnóstico de las brechas frente al cumplimiento de la norma y el plan de trabajo para los próximos 4 años para obtener la certificación.</w:t>
      </w:r>
    </w:p>
    <w:p w14:paraId="382C4640" w14:textId="31ED061F" w:rsidR="003F3582" w:rsidRPr="00321B46" w:rsidRDefault="003F3582" w:rsidP="003F3582">
      <w:r w:rsidRPr="00321B46">
        <w:t xml:space="preserve">Anualmente el </w:t>
      </w:r>
      <w:r w:rsidR="00BB7D19" w:rsidRPr="00321B46">
        <w:t>TN</w:t>
      </w:r>
      <w:r w:rsidRPr="00321B46">
        <w:t xml:space="preserve"> debe informar el avance en el cierre de brechas y cuáles son las inversiones que se identificaron y se han realizado en la implementación del sistema.</w:t>
      </w:r>
    </w:p>
    <w:p w14:paraId="158FE2B0" w14:textId="77777777" w:rsidR="003F3582" w:rsidRPr="00321B46" w:rsidRDefault="003F3582" w:rsidP="00BF7220">
      <w:pPr>
        <w:pStyle w:val="Ttulo2"/>
        <w:rPr>
          <w:lang w:val="es-ES_tradnl"/>
        </w:rPr>
      </w:pPr>
      <w:bookmarkStart w:id="435" w:name="_Ref404192237"/>
      <w:bookmarkStart w:id="436" w:name="_Toc408493198"/>
      <w:bookmarkStart w:id="437" w:name="_Toc440029144"/>
      <w:bookmarkStart w:id="438" w:name="_Toc445214121"/>
      <w:bookmarkStart w:id="439" w:name="_Toc466392683"/>
      <w:bookmarkEnd w:id="426"/>
      <w:r w:rsidRPr="00321B46">
        <w:rPr>
          <w:lang w:val="es-ES_tradnl"/>
        </w:rPr>
        <w:t>A</w:t>
      </w:r>
      <w:r w:rsidR="00BB7D19" w:rsidRPr="00321B46">
        <w:rPr>
          <w:lang w:val="es-ES_tradnl"/>
        </w:rPr>
        <w:t>probación de los planes de inversión</w:t>
      </w:r>
      <w:bookmarkEnd w:id="435"/>
      <w:bookmarkEnd w:id="436"/>
      <w:bookmarkEnd w:id="437"/>
      <w:bookmarkEnd w:id="438"/>
      <w:bookmarkEnd w:id="439"/>
    </w:p>
    <w:p w14:paraId="4BF840D2" w14:textId="77777777" w:rsidR="003F3582" w:rsidRPr="00321B46" w:rsidRDefault="003F3582" w:rsidP="003F3582">
      <w:pPr>
        <w:rPr>
          <w:lang w:val="es-CO"/>
        </w:rPr>
      </w:pPr>
      <w:r w:rsidRPr="00321B46">
        <w:rPr>
          <w:lang w:val="es-CO"/>
        </w:rPr>
        <w:t>Para la aprobación de los planes de inversión se realizar</w:t>
      </w:r>
      <w:r w:rsidR="00BB7D19" w:rsidRPr="00321B46">
        <w:rPr>
          <w:lang w:val="es-CO"/>
        </w:rPr>
        <w:t>á</w:t>
      </w:r>
      <w:r w:rsidRPr="00321B46">
        <w:rPr>
          <w:lang w:val="es-CO"/>
        </w:rPr>
        <w:t>n como mínimo los siguientes pasos:</w:t>
      </w:r>
    </w:p>
    <w:p w14:paraId="0DDB8BB0" w14:textId="0FE4BAD2" w:rsidR="003F3582" w:rsidRPr="00321B46" w:rsidRDefault="003F3582" w:rsidP="003F3582">
      <w:pPr>
        <w:pStyle w:val="Prrafodelista"/>
        <w:numPr>
          <w:ilvl w:val="0"/>
          <w:numId w:val="17"/>
        </w:numPr>
      </w:pPr>
      <w:r w:rsidRPr="00321B46">
        <w:t xml:space="preserve">Revisión de la información suministrada por los </w:t>
      </w:r>
      <w:r w:rsidR="00D860D9" w:rsidRPr="00321B46">
        <w:t>TN</w:t>
      </w:r>
      <w:r w:rsidRPr="00321B46">
        <w:t xml:space="preserve"> en los formatos establecidos por la Comisión. Esta información deberá demostrar el cumplimento de los criterios y lineamientos establecidos en el numeral </w:t>
      </w:r>
      <w:r w:rsidRPr="00321B46">
        <w:fldChar w:fldCharType="begin"/>
      </w:r>
      <w:r w:rsidRPr="00321B46">
        <w:instrText xml:space="preserve"> REF _Ref440362621 \r \h </w:instrText>
      </w:r>
      <w:r w:rsidR="003276B5" w:rsidRPr="00321B46">
        <w:instrText xml:space="preserve"> \* MERGEFORMAT </w:instrText>
      </w:r>
      <w:r w:rsidRPr="00321B46">
        <w:fldChar w:fldCharType="separate"/>
      </w:r>
      <w:r w:rsidR="000F355F">
        <w:t>6.3</w:t>
      </w:r>
      <w:r w:rsidRPr="00321B46">
        <w:fldChar w:fldCharType="end"/>
      </w:r>
      <w:r w:rsidRPr="00321B46">
        <w:t>.</w:t>
      </w:r>
    </w:p>
    <w:p w14:paraId="7214132F" w14:textId="5F805300" w:rsidR="003F3582" w:rsidRPr="00321B46" w:rsidRDefault="003F3582" w:rsidP="003F3582">
      <w:pPr>
        <w:pStyle w:val="Prrafodelista"/>
        <w:numPr>
          <w:ilvl w:val="0"/>
          <w:numId w:val="17"/>
        </w:numPr>
      </w:pPr>
      <w:r w:rsidRPr="00321B46">
        <w:t xml:space="preserve">El </w:t>
      </w:r>
      <w:r w:rsidR="00BB7D19" w:rsidRPr="00321B46">
        <w:t>TN</w:t>
      </w:r>
      <w:r w:rsidRPr="00321B46">
        <w:t xml:space="preserve"> deberá realizar una presentación a la Comisión del plan de inversiones y la justificación y razonabilidad del mismo, en caso </w:t>
      </w:r>
      <w:r w:rsidR="00F6648F" w:rsidRPr="00321B46">
        <w:t xml:space="preserve">de </w:t>
      </w:r>
      <w:r w:rsidRPr="00321B46">
        <w:t>que esta lo considere necesario.</w:t>
      </w:r>
    </w:p>
    <w:p w14:paraId="0730ECD0" w14:textId="77777777" w:rsidR="003F3582" w:rsidRPr="00321B46" w:rsidRDefault="003F3582" w:rsidP="003F3582">
      <w:pPr>
        <w:pStyle w:val="Prrafodelista"/>
        <w:numPr>
          <w:ilvl w:val="0"/>
          <w:numId w:val="17"/>
        </w:numPr>
      </w:pPr>
      <w:r w:rsidRPr="00321B46">
        <w:t>La Comisión podrá contratar firmas especializadas para dar concepto sobre los razonabilidad de los planes de inversión presentados.</w:t>
      </w:r>
    </w:p>
    <w:p w14:paraId="7AF9890D" w14:textId="77777777" w:rsidR="003F3582" w:rsidRPr="00321B46" w:rsidRDefault="003F3582" w:rsidP="003F3582">
      <w:pPr>
        <w:pStyle w:val="Prrafodelista"/>
        <w:numPr>
          <w:ilvl w:val="0"/>
          <w:numId w:val="17"/>
        </w:numPr>
      </w:pPr>
      <w:r w:rsidRPr="00321B46">
        <w:t>Los demás necesarios para dar cumplimiento a lo establecido en esta resolución.</w:t>
      </w:r>
    </w:p>
    <w:p w14:paraId="520BBF58" w14:textId="085D689D" w:rsidR="003F3582" w:rsidRPr="00321B46" w:rsidRDefault="003F3582" w:rsidP="003F3582">
      <w:pPr>
        <w:rPr>
          <w:lang w:val="es-CO"/>
        </w:rPr>
      </w:pPr>
      <w:r w:rsidRPr="00321B46">
        <w:rPr>
          <w:lang w:val="es-CO"/>
        </w:rPr>
        <w:t xml:space="preserve">El plan de inversión presentado por el </w:t>
      </w:r>
      <w:r w:rsidR="00BB7D19" w:rsidRPr="00321B46">
        <w:rPr>
          <w:lang w:val="es-CO"/>
        </w:rPr>
        <w:t>TN</w:t>
      </w:r>
      <w:r w:rsidRPr="00321B46">
        <w:rPr>
          <w:lang w:val="es-CO"/>
        </w:rPr>
        <w:t xml:space="preserve"> no será aprobado cuando no se suministre toda la información necesaria para demostrar el cumplimiento de los requisitos, criterios y lineamientos definidos por la Comisión. </w:t>
      </w:r>
    </w:p>
    <w:p w14:paraId="27B8641E" w14:textId="249CEF9B" w:rsidR="003F3582" w:rsidRPr="00321B46" w:rsidRDefault="003F3582" w:rsidP="003F3582">
      <w:pPr>
        <w:rPr>
          <w:lang w:val="es-CO"/>
        </w:rPr>
      </w:pPr>
      <w:r w:rsidRPr="00321B46">
        <w:rPr>
          <w:lang w:val="es-CO"/>
        </w:rPr>
        <w:t xml:space="preserve">Cuando el plan de inversiones no sea aprobado, la Comisión solicitará al </w:t>
      </w:r>
      <w:r w:rsidR="00BB7D19" w:rsidRPr="00321B46">
        <w:rPr>
          <w:lang w:val="es-CO"/>
        </w:rPr>
        <w:t>TN</w:t>
      </w:r>
      <w:r w:rsidRPr="00321B46">
        <w:rPr>
          <w:lang w:val="es-CO"/>
        </w:rPr>
        <w:t xml:space="preserve"> la revisión del mismo y el </w:t>
      </w:r>
      <w:r w:rsidR="00D860D9" w:rsidRPr="00321B46">
        <w:rPr>
          <w:lang w:val="es-CO"/>
        </w:rPr>
        <w:t>TN</w:t>
      </w:r>
      <w:r w:rsidRPr="00321B46">
        <w:rPr>
          <w:lang w:val="es-CO"/>
        </w:rPr>
        <w:t xml:space="preserve"> debe presentar su plan ajustado en los términos establecidos en el literal </w:t>
      </w:r>
      <w:r w:rsidRPr="00321B46">
        <w:rPr>
          <w:lang w:val="es-CO"/>
        </w:rPr>
        <w:fldChar w:fldCharType="begin"/>
      </w:r>
      <w:r w:rsidRPr="00321B46">
        <w:rPr>
          <w:lang w:val="es-CO"/>
        </w:rPr>
        <w:instrText xml:space="preserve"> REF _Ref404240299 \r \h </w:instrText>
      </w:r>
      <w:r w:rsidR="003276B5" w:rsidRPr="00321B46">
        <w:rPr>
          <w:lang w:val="es-CO"/>
        </w:rPr>
        <w:instrText xml:space="preserve"> \* MERGEFORMAT </w:instrText>
      </w:r>
      <w:r w:rsidRPr="00321B46">
        <w:rPr>
          <w:lang w:val="es-CO"/>
        </w:rPr>
      </w:r>
      <w:r w:rsidRPr="00321B46">
        <w:rPr>
          <w:lang w:val="es-CO"/>
        </w:rPr>
        <w:fldChar w:fldCharType="separate"/>
      </w:r>
      <w:r w:rsidR="000F355F">
        <w:rPr>
          <w:lang w:val="es-CO"/>
        </w:rPr>
        <w:t>b</w:t>
      </w:r>
      <w:r w:rsidRPr="00321B46">
        <w:rPr>
          <w:lang w:val="es-CO"/>
        </w:rPr>
        <w:fldChar w:fldCharType="end"/>
      </w:r>
      <w:r w:rsidRPr="00321B46">
        <w:rPr>
          <w:lang w:val="es-CO"/>
        </w:rPr>
        <w:t xml:space="preserve"> del numeral </w:t>
      </w:r>
      <w:r w:rsidRPr="00321B46">
        <w:rPr>
          <w:lang w:val="es-CO"/>
        </w:rPr>
        <w:fldChar w:fldCharType="begin"/>
      </w:r>
      <w:r w:rsidRPr="00321B46">
        <w:rPr>
          <w:lang w:val="es-CO"/>
        </w:rPr>
        <w:instrText xml:space="preserve"> REF _Ref404240307 \r \h </w:instrText>
      </w:r>
      <w:r w:rsidR="003276B5" w:rsidRPr="00321B46">
        <w:rPr>
          <w:lang w:val="es-CO"/>
        </w:rPr>
        <w:instrText xml:space="preserve"> \* MERGEFORMAT </w:instrText>
      </w:r>
      <w:r w:rsidRPr="00321B46">
        <w:rPr>
          <w:lang w:val="es-CO"/>
        </w:rPr>
      </w:r>
      <w:r w:rsidRPr="00321B46">
        <w:rPr>
          <w:lang w:val="es-CO"/>
        </w:rPr>
        <w:fldChar w:fldCharType="separate"/>
      </w:r>
      <w:r w:rsidR="000F355F">
        <w:rPr>
          <w:lang w:val="es-CO"/>
        </w:rPr>
        <w:t>6.2</w:t>
      </w:r>
      <w:r w:rsidRPr="00321B46">
        <w:rPr>
          <w:lang w:val="es-CO"/>
        </w:rPr>
        <w:fldChar w:fldCharType="end"/>
      </w:r>
      <w:r w:rsidRPr="00321B46">
        <w:rPr>
          <w:lang w:val="es-CO"/>
        </w:rPr>
        <w:t>.</w:t>
      </w:r>
    </w:p>
    <w:p w14:paraId="67E5A1DF" w14:textId="7AF478FE" w:rsidR="003F3582" w:rsidRPr="00321B46" w:rsidRDefault="003F3582" w:rsidP="003F3582">
      <w:pPr>
        <w:rPr>
          <w:lang w:val="es-CO"/>
        </w:rPr>
      </w:pPr>
      <w:r w:rsidRPr="00321B46">
        <w:rPr>
          <w:lang w:val="es-CO"/>
        </w:rPr>
        <w:t xml:space="preserve">En </w:t>
      </w:r>
      <w:r w:rsidR="00BB7D19" w:rsidRPr="00321B46">
        <w:rPr>
          <w:lang w:val="es-CO"/>
        </w:rPr>
        <w:t xml:space="preserve">el </w:t>
      </w:r>
      <w:r w:rsidRPr="00321B46">
        <w:rPr>
          <w:lang w:val="es-CO"/>
        </w:rPr>
        <w:t xml:space="preserve">caso que el plan de inversiones no sea aprobado, </w:t>
      </w:r>
      <w:r w:rsidRPr="00321B46">
        <w:t xml:space="preserve">la variable </w:t>
      </w:r>
      <w:r w:rsidRPr="00321B46">
        <w:rPr>
          <w:i/>
        </w:rPr>
        <w:t>BRAEN</w:t>
      </w:r>
      <w:r w:rsidR="00BB7D19" w:rsidRPr="00321B46">
        <w:rPr>
          <w:i/>
          <w:vertAlign w:val="subscript"/>
        </w:rPr>
        <w:t>j,</w:t>
      </w:r>
      <w:r w:rsidRPr="00321B46">
        <w:rPr>
          <w:i/>
          <w:vertAlign w:val="subscript"/>
        </w:rPr>
        <w:t>t</w:t>
      </w:r>
      <w:r w:rsidRPr="00321B46">
        <w:t xml:space="preserve"> se calculará de acuerdo con lo establecido en el numeral </w:t>
      </w:r>
      <w:r w:rsidRPr="00321B46">
        <w:fldChar w:fldCharType="begin"/>
      </w:r>
      <w:r w:rsidRPr="00321B46">
        <w:instrText xml:space="preserve"> REF _Ref443918943 \r \h </w:instrText>
      </w:r>
      <w:r w:rsidR="003276B5" w:rsidRPr="00321B46">
        <w:instrText xml:space="preserve"> \* MERGEFORMAT </w:instrText>
      </w:r>
      <w:r w:rsidRPr="00321B46">
        <w:fldChar w:fldCharType="separate"/>
      </w:r>
      <w:r w:rsidR="000F355F">
        <w:t>2.2.1.5.2</w:t>
      </w:r>
      <w:r w:rsidRPr="00321B46">
        <w:fldChar w:fldCharType="end"/>
      </w:r>
      <w:r w:rsidRPr="00321B46">
        <w:t xml:space="preserve"> </w:t>
      </w:r>
      <w:r w:rsidRPr="00321B46">
        <w:rPr>
          <w:lang w:val="es-CO"/>
        </w:rPr>
        <w:t>para el primer año del periodo tarifario.</w:t>
      </w:r>
    </w:p>
    <w:p w14:paraId="6F7FD315" w14:textId="77777777" w:rsidR="003F3582" w:rsidRPr="00321B46" w:rsidRDefault="003F3582" w:rsidP="00BF7220">
      <w:pPr>
        <w:pStyle w:val="Ttulo2"/>
        <w:rPr>
          <w:lang w:val="es-ES_tradnl"/>
        </w:rPr>
      </w:pPr>
      <w:bookmarkStart w:id="440" w:name="_Toc408493199"/>
      <w:bookmarkStart w:id="441" w:name="_Toc440029145"/>
      <w:bookmarkStart w:id="442" w:name="_Ref445134330"/>
      <w:bookmarkStart w:id="443" w:name="_Toc445214122"/>
      <w:bookmarkStart w:id="444" w:name="_Ref445419611"/>
      <w:bookmarkStart w:id="445" w:name="_Toc466392684"/>
      <w:r w:rsidRPr="00321B46">
        <w:rPr>
          <w:lang w:val="es-ES_tradnl"/>
        </w:rPr>
        <w:t>S</w:t>
      </w:r>
      <w:r w:rsidR="00BB7D19" w:rsidRPr="00321B46">
        <w:rPr>
          <w:lang w:val="es-ES_tradnl"/>
        </w:rPr>
        <w:t>eguimiento de los planes de inversión</w:t>
      </w:r>
      <w:bookmarkEnd w:id="440"/>
      <w:bookmarkEnd w:id="441"/>
      <w:bookmarkEnd w:id="442"/>
      <w:bookmarkEnd w:id="443"/>
      <w:bookmarkEnd w:id="444"/>
      <w:bookmarkEnd w:id="445"/>
    </w:p>
    <w:p w14:paraId="15D1BC20" w14:textId="77777777" w:rsidR="003F3582" w:rsidRPr="00321B46" w:rsidRDefault="003F3582" w:rsidP="003F3582">
      <w:pPr>
        <w:rPr>
          <w:lang w:val="es-ES_tradnl"/>
        </w:rPr>
      </w:pPr>
      <w:r w:rsidRPr="00321B46">
        <w:rPr>
          <w:lang w:val="es-ES_tradnl"/>
        </w:rPr>
        <w:t>El seguimiento de la ejecución del plan de inversión se realizará considerando como mínimo los siguientes lineamientos:</w:t>
      </w:r>
    </w:p>
    <w:p w14:paraId="2A2AD5E4" w14:textId="77777777" w:rsidR="003F3582" w:rsidRPr="00321B46" w:rsidRDefault="003F3582" w:rsidP="003F3582">
      <w:pPr>
        <w:pStyle w:val="Prrafodelista"/>
        <w:numPr>
          <w:ilvl w:val="0"/>
          <w:numId w:val="25"/>
        </w:numPr>
      </w:pPr>
      <w:r w:rsidRPr="00321B46">
        <w:t xml:space="preserve">Anualmente el </w:t>
      </w:r>
      <w:r w:rsidR="00BB7D19" w:rsidRPr="00321B46">
        <w:t>TN</w:t>
      </w:r>
      <w:r w:rsidRPr="00321B46">
        <w:t xml:space="preserve"> deberá presentar un informe sobre la ejecución del plan de inversión en el cual se presente el avance de cada uno de los proyectos y los ajustes menores realizados. El formato y contenido mínimo del informe serán definidos por la Comisión en circular aparte. </w:t>
      </w:r>
    </w:p>
    <w:p w14:paraId="485C637E" w14:textId="6673CE80" w:rsidR="003F3582" w:rsidRPr="00321B46" w:rsidRDefault="003F3582" w:rsidP="003F3582">
      <w:pPr>
        <w:pStyle w:val="Prrafodelista"/>
        <w:numPr>
          <w:ilvl w:val="0"/>
          <w:numId w:val="25"/>
        </w:numPr>
      </w:pPr>
      <w:r w:rsidRPr="00321B46">
        <w:t>Los ajustes menores a los proyectos incluidos en el plan de inversión aprobado deben responde</w:t>
      </w:r>
      <w:r w:rsidR="005935FB" w:rsidRPr="00321B46">
        <w:t>r</w:t>
      </w:r>
      <w:r w:rsidRPr="00321B46">
        <w:t xml:space="preserve"> a la planeación de corto plazo adelantada por la empresa. </w:t>
      </w:r>
    </w:p>
    <w:p w14:paraId="1B61C68C" w14:textId="03C5EF21" w:rsidR="003F3582" w:rsidRPr="00321B46" w:rsidRDefault="003F3582" w:rsidP="003F3582">
      <w:pPr>
        <w:pStyle w:val="Prrafodelista"/>
        <w:numPr>
          <w:ilvl w:val="0"/>
          <w:numId w:val="25"/>
        </w:numPr>
      </w:pPr>
      <w:r w:rsidRPr="00321B46">
        <w:t xml:space="preserve">El informe debe ser enviado a la Comisión y a la SSPD antes del último día hábil del mes de marzo de cada año. El informe también debe ser publicado en la página </w:t>
      </w:r>
      <w:r w:rsidR="009F6482" w:rsidRPr="00321B46">
        <w:t>web</w:t>
      </w:r>
      <w:r w:rsidRPr="00321B46">
        <w:t xml:space="preserve"> del </w:t>
      </w:r>
      <w:r w:rsidR="005935FB" w:rsidRPr="00321B46">
        <w:t>TN</w:t>
      </w:r>
      <w:r w:rsidRPr="00321B46">
        <w:t>.</w:t>
      </w:r>
    </w:p>
    <w:p w14:paraId="110AA04F" w14:textId="77777777" w:rsidR="003F3582" w:rsidRPr="00321B46" w:rsidRDefault="003F3582" w:rsidP="003F3582">
      <w:pPr>
        <w:pStyle w:val="Prrafodelista"/>
        <w:numPr>
          <w:ilvl w:val="0"/>
          <w:numId w:val="25"/>
        </w:numPr>
      </w:pPr>
      <w:r w:rsidRPr="00321B46">
        <w:t>De igual forma, anualmente se verificar</w:t>
      </w:r>
      <w:r w:rsidR="005935FB" w:rsidRPr="00321B46">
        <w:t>á</w:t>
      </w:r>
      <w:r w:rsidRPr="00321B46">
        <w:t xml:space="preserve">n los indicadores de ejecución de los planes de inversión con base en la información presentada por los </w:t>
      </w:r>
      <w:r w:rsidR="005935FB" w:rsidRPr="00321B46">
        <w:t>TN</w:t>
      </w:r>
      <w:r w:rsidRPr="00321B46">
        <w:t xml:space="preserve"> al SUI y a la CREG.</w:t>
      </w:r>
    </w:p>
    <w:p w14:paraId="5FB4BA0F" w14:textId="77777777" w:rsidR="003F3582" w:rsidRPr="00321B46" w:rsidRDefault="003F3582" w:rsidP="003F3582">
      <w:pPr>
        <w:pStyle w:val="Prrafodelista"/>
        <w:numPr>
          <w:ilvl w:val="0"/>
          <w:numId w:val="25"/>
        </w:numPr>
      </w:pPr>
      <w:r w:rsidRPr="00321B46">
        <w:t xml:space="preserve">Cada dos años los </w:t>
      </w:r>
      <w:r w:rsidR="005935FB" w:rsidRPr="00321B46">
        <w:t>TN</w:t>
      </w:r>
      <w:r w:rsidRPr="00321B46">
        <w:t xml:space="preserve"> deberán contratar la ejecución de una verificación de la  ejecución del plan de inversión. Las verificaciones emplear</w:t>
      </w:r>
      <w:r w:rsidR="005935FB" w:rsidRPr="00321B46">
        <w:t>á</w:t>
      </w:r>
      <w:r w:rsidRPr="00321B46">
        <w:t>n los reportes anuales y visitas en campo para corroborar la ejecución de los proyectos reportados e incluidos en el plan de inversión.</w:t>
      </w:r>
    </w:p>
    <w:p w14:paraId="3352B69A" w14:textId="77777777" w:rsidR="003F3582" w:rsidRPr="00321B46" w:rsidRDefault="003F3582" w:rsidP="003F3582">
      <w:pPr>
        <w:pStyle w:val="Prrafodelista"/>
        <w:numPr>
          <w:ilvl w:val="0"/>
          <w:numId w:val="25"/>
        </w:numPr>
      </w:pPr>
      <w:r w:rsidRPr="00321B46">
        <w:t xml:space="preserve">Las firmas serán seleccionadas de una lista que la Comisión establezca para tal fin y contratadas por el </w:t>
      </w:r>
      <w:r w:rsidR="00FD504C" w:rsidRPr="00321B46">
        <w:t>TN</w:t>
      </w:r>
      <w:r w:rsidRPr="00321B46">
        <w:t xml:space="preserve"> empleando un mecanismo de libre concurrencia. Las reglas para la realización de la verificación serán establecidas en resolución posterior.</w:t>
      </w:r>
    </w:p>
    <w:p w14:paraId="07341408" w14:textId="77777777" w:rsidR="003F3582" w:rsidRPr="00321B46" w:rsidRDefault="003F3582" w:rsidP="003F3582">
      <w:pPr>
        <w:pStyle w:val="Prrafodelista"/>
        <w:numPr>
          <w:ilvl w:val="0"/>
          <w:numId w:val="25"/>
        </w:numPr>
      </w:pPr>
      <w:r w:rsidRPr="00321B46">
        <w:t xml:space="preserve">El costo de las verificaciones se reconocerá en los gastos de administración, operación y mantenimiento de los </w:t>
      </w:r>
      <w:r w:rsidR="00FD504C" w:rsidRPr="00321B46">
        <w:t>TN</w:t>
      </w:r>
      <w:r w:rsidRPr="00321B46">
        <w:t>.</w:t>
      </w:r>
    </w:p>
    <w:p w14:paraId="73F12176" w14:textId="74DC01B0" w:rsidR="003F3582" w:rsidRPr="00321B46" w:rsidRDefault="003F3582" w:rsidP="003F3582">
      <w:pPr>
        <w:pStyle w:val="Prrafodelista"/>
        <w:numPr>
          <w:ilvl w:val="0"/>
          <w:numId w:val="25"/>
        </w:numPr>
      </w:pPr>
      <w:r w:rsidRPr="00321B46">
        <w:t>Cuando de las verificaciones se concluya que los proyectos de inversión no se han ejecutado de acuerdo con lo reportado, lo</w:t>
      </w:r>
      <w:r w:rsidR="00C91BA2" w:rsidRPr="00321B46">
        <w:t>s</w:t>
      </w:r>
      <w:r w:rsidRPr="00321B46">
        <w:t xml:space="preserve"> </w:t>
      </w:r>
      <w:r w:rsidR="00C91BA2" w:rsidRPr="00321B46">
        <w:t xml:space="preserve">ingresos </w:t>
      </w:r>
      <w:r w:rsidRPr="00321B46">
        <w:t xml:space="preserve">se ajustarán </w:t>
      </w:r>
      <w:r w:rsidR="00DC09E2" w:rsidRPr="00321B46">
        <w:t xml:space="preserve">sin perjuicio </w:t>
      </w:r>
      <w:r w:rsidRPr="00321B46">
        <w:t>de las acciones que adelante la SSPD dentro de sus competencias.</w:t>
      </w:r>
    </w:p>
    <w:p w14:paraId="049DB2AB" w14:textId="77777777" w:rsidR="003F3582" w:rsidRPr="00321B46" w:rsidRDefault="003F3582" w:rsidP="003F3582">
      <w:pPr>
        <w:pStyle w:val="Prrafodelista"/>
        <w:numPr>
          <w:ilvl w:val="0"/>
          <w:numId w:val="25"/>
        </w:numPr>
      </w:pPr>
      <w:r w:rsidRPr="00321B46">
        <w:t>La Comisión podrá solicitar la realización de verificaciones extraordinarias o contratar las que considere necesarias.</w:t>
      </w:r>
    </w:p>
    <w:p w14:paraId="014F3743" w14:textId="100F77A7" w:rsidR="003F3582" w:rsidRPr="00321B46" w:rsidRDefault="003F3582" w:rsidP="003276B5">
      <w:r w:rsidRPr="00321B46">
        <w:t xml:space="preserve">El </w:t>
      </w:r>
      <w:r w:rsidR="00FD504C" w:rsidRPr="00321B46">
        <w:t>TN</w:t>
      </w:r>
      <w:r w:rsidRPr="00321B46">
        <w:t xml:space="preserve"> debe presentar el valor de las inversiones puestas en operación </w:t>
      </w:r>
      <w:r w:rsidR="00DC09E2" w:rsidRPr="00321B46">
        <w:t xml:space="preserve">clasificadas por </w:t>
      </w:r>
      <w:r w:rsidRPr="00321B46">
        <w:t>tipo de activos</w:t>
      </w:r>
      <w:r w:rsidR="003C5544" w:rsidRPr="00321B46">
        <w:t xml:space="preserve">, calculando </w:t>
      </w:r>
      <w:r w:rsidRPr="00321B46">
        <w:t xml:space="preserve">la variable </w:t>
      </w:r>
      <w:r w:rsidRPr="00321B46">
        <w:rPr>
          <w:i/>
        </w:rPr>
        <w:t>INVT</w:t>
      </w:r>
      <w:r w:rsidR="00B80864" w:rsidRPr="00321B46">
        <w:rPr>
          <w:i/>
        </w:rPr>
        <w:t>R</w:t>
      </w:r>
      <w:r w:rsidR="00B80864" w:rsidRPr="00321B46">
        <w:rPr>
          <w:i/>
          <w:vertAlign w:val="subscript"/>
        </w:rPr>
        <w:t>j,</w:t>
      </w:r>
      <w:r w:rsidRPr="00321B46">
        <w:rPr>
          <w:i/>
          <w:vertAlign w:val="subscript"/>
        </w:rPr>
        <w:t>TI,</w:t>
      </w:r>
      <w:r w:rsidR="00B80864" w:rsidRPr="00321B46">
        <w:rPr>
          <w:i/>
          <w:vertAlign w:val="subscript"/>
        </w:rPr>
        <w:t>k</w:t>
      </w:r>
      <w:r w:rsidRPr="00321B46">
        <w:rPr>
          <w:i/>
          <w:vertAlign w:val="subscript"/>
        </w:rPr>
        <w:t>,t</w:t>
      </w:r>
      <w:r w:rsidRPr="00321B46">
        <w:t xml:space="preserve"> de la siguiente forma:</w:t>
      </w:r>
    </w:p>
    <w:p w14:paraId="5707A3AF" w14:textId="1C0EE2CE" w:rsidR="003F3582" w:rsidRPr="00321B46" w:rsidRDefault="00651802" w:rsidP="003F3582">
      <m:oMathPara>
        <m:oMath>
          <m:sSub>
            <m:sSubPr>
              <m:ctrlPr>
                <w:rPr>
                  <w:rFonts w:ascii="Cambria Math" w:hAnsi="Cambria Math"/>
                  <w:i/>
                </w:rPr>
              </m:ctrlPr>
            </m:sSubPr>
            <m:e>
              <m:r>
                <w:rPr>
                  <w:rFonts w:ascii="Cambria Math" w:hAnsi="Cambria Math"/>
                </w:rPr>
                <m:t>INVTR</m:t>
              </m:r>
            </m:e>
            <m:sub>
              <m:r>
                <w:rPr>
                  <w:rFonts w:ascii="Cambria Math" w:hAnsi="Cambria Math"/>
                </w:rPr>
                <m:t>j</m:t>
              </m:r>
              <m:r>
                <w:rPr>
                  <w:rFonts w:ascii="Cambria Math"/>
                </w:rPr>
                <m:t>,TI,k,t</m:t>
              </m:r>
            </m:sub>
          </m:sSub>
          <m:r>
            <w:rPr>
              <w:rFonts w:ascii="Cambria Math"/>
            </w:rPr>
            <m:t>=</m:t>
          </m:r>
          <m:nary>
            <m:naryPr>
              <m:chr m:val="∑"/>
              <m:limLoc m:val="undOvr"/>
              <m:ctrlPr>
                <w:rPr>
                  <w:rFonts w:ascii="Cambria Math" w:hAnsi="Cambria Math"/>
                  <w:i/>
                </w:rPr>
              </m:ctrlPr>
            </m:naryPr>
            <m:sub>
              <m:r>
                <w:rPr>
                  <w:rFonts w:ascii="Cambria Math" w:hAnsi="Cambria Math"/>
                </w:rPr>
                <m:t>i</m:t>
              </m:r>
              <m:r>
                <w:rPr>
                  <w:rFonts w:ascii="Cambria Math"/>
                </w:rPr>
                <m:t>=1</m:t>
              </m:r>
            </m:sub>
            <m:sup>
              <m:sSub>
                <m:sSubPr>
                  <m:ctrlPr>
                    <w:rPr>
                      <w:rFonts w:ascii="Cambria Math" w:hAnsi="Cambria Math"/>
                      <w:i/>
                    </w:rPr>
                  </m:ctrlPr>
                </m:sSubPr>
                <m:e>
                  <m:r>
                    <w:rPr>
                      <w:rFonts w:ascii="Cambria Math" w:hAnsi="Cambria Math"/>
                    </w:rPr>
                    <m:t>UCP</m:t>
                  </m:r>
                </m:e>
                <m:sub>
                  <m:r>
                    <w:rPr>
                      <w:rFonts w:ascii="Cambria Math" w:hAnsi="Cambria Math"/>
                    </w:rPr>
                    <m:t>j,TI,k,t</m:t>
                  </m:r>
                </m:sub>
              </m:sSub>
            </m:sup>
            <m:e>
              <m:sSub>
                <m:sSubPr>
                  <m:ctrlPr>
                    <w:rPr>
                      <w:rFonts w:ascii="Cambria Math" w:hAnsi="Cambria Math"/>
                      <w:i/>
                    </w:rPr>
                  </m:ctrlPr>
                </m:sSubPr>
                <m:e>
                  <m:r>
                    <w:rPr>
                      <w:rFonts w:ascii="Cambria Math" w:hAnsi="Cambria Math"/>
                    </w:rPr>
                    <m:t>CR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FU</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RPP</m:t>
                      </m:r>
                    </m:e>
                    <m:sub>
                      <m:r>
                        <w:rPr>
                          <w:rFonts w:ascii="Cambria Math" w:hAnsi="Cambria Math"/>
                        </w:rPr>
                        <m:t>i</m:t>
                      </m:r>
                    </m:sub>
                  </m:sSub>
                </m:e>
              </m:d>
            </m:e>
          </m:nary>
        </m:oMath>
      </m:oMathPara>
    </w:p>
    <w:p w14:paraId="5B1F6011" w14:textId="1222CF4B" w:rsidR="003F3582" w:rsidRPr="00321B46" w:rsidRDefault="003F3582" w:rsidP="003F3582">
      <w:pPr>
        <w:spacing w:before="120"/>
        <w:ind w:left="1418" w:hanging="1418"/>
      </w:pPr>
      <w:r w:rsidRPr="00321B46">
        <w:rPr>
          <w:i/>
          <w:iCs/>
        </w:rPr>
        <w:t>INVTR</w:t>
      </w:r>
      <w:r w:rsidR="00B80864" w:rsidRPr="00321B46">
        <w:rPr>
          <w:i/>
          <w:iCs/>
          <w:vertAlign w:val="subscript"/>
        </w:rPr>
        <w:t>j,</w:t>
      </w:r>
      <w:r w:rsidRPr="00321B46">
        <w:rPr>
          <w:i/>
          <w:iCs/>
          <w:vertAlign w:val="subscript"/>
        </w:rPr>
        <w:t>TI,</w:t>
      </w:r>
      <w:r w:rsidR="00B80864" w:rsidRPr="00321B46">
        <w:rPr>
          <w:i/>
          <w:iCs/>
          <w:vertAlign w:val="subscript"/>
        </w:rPr>
        <w:t>k</w:t>
      </w:r>
      <w:r w:rsidRPr="00321B46">
        <w:rPr>
          <w:i/>
          <w:iCs/>
          <w:vertAlign w:val="subscript"/>
        </w:rPr>
        <w:t>,t</w:t>
      </w:r>
      <w:r w:rsidRPr="00321B46">
        <w:t>:</w:t>
      </w:r>
      <w:r w:rsidRPr="00321B46">
        <w:tab/>
        <w:t>Valor de la i</w:t>
      </w:r>
      <w:r w:rsidRPr="00321B46">
        <w:rPr>
          <w:iCs/>
        </w:rPr>
        <w:t xml:space="preserve">nversión puesta en operación en el sistema del </w:t>
      </w:r>
      <w:r w:rsidR="00B80864" w:rsidRPr="00321B46">
        <w:rPr>
          <w:iCs/>
        </w:rPr>
        <w:t>TN</w:t>
      </w:r>
      <w:r w:rsidRPr="00321B46">
        <w:rPr>
          <w:iCs/>
        </w:rPr>
        <w:t xml:space="preserve"> </w:t>
      </w:r>
      <w:r w:rsidRPr="00321B46">
        <w:rPr>
          <w:i/>
          <w:iCs/>
        </w:rPr>
        <w:t xml:space="preserve">j, </w:t>
      </w:r>
      <w:r w:rsidRPr="00321B46">
        <w:rPr>
          <w:iCs/>
        </w:rPr>
        <w:t xml:space="preserve">en el tipo de inversión </w:t>
      </w:r>
      <w:r w:rsidRPr="00321B46">
        <w:rPr>
          <w:i/>
          <w:iCs/>
        </w:rPr>
        <w:t>TI</w:t>
      </w:r>
      <w:r w:rsidRPr="00321B46">
        <w:rPr>
          <w:iCs/>
        </w:rPr>
        <w:t xml:space="preserve">, en la categoría de activos </w:t>
      </w:r>
      <w:r w:rsidR="00B80864" w:rsidRPr="00321B46">
        <w:rPr>
          <w:i/>
          <w:iCs/>
        </w:rPr>
        <w:t>k</w:t>
      </w:r>
      <w:r w:rsidRPr="00321B46">
        <w:rPr>
          <w:iCs/>
        </w:rPr>
        <w:t xml:space="preserve"> para el año </w:t>
      </w:r>
      <w:r w:rsidRPr="00321B46">
        <w:rPr>
          <w:i/>
          <w:iCs/>
        </w:rPr>
        <w:t>t</w:t>
      </w:r>
      <w:r w:rsidRPr="00321B46">
        <w:rPr>
          <w:iCs/>
        </w:rPr>
        <w:t xml:space="preserve">. </w:t>
      </w:r>
    </w:p>
    <w:p w14:paraId="5DB55C44" w14:textId="5995792F" w:rsidR="003F3582" w:rsidRPr="00321B46" w:rsidRDefault="003F3582" w:rsidP="003F3582">
      <w:pPr>
        <w:tabs>
          <w:tab w:val="left" w:pos="1418"/>
        </w:tabs>
        <w:spacing w:before="120"/>
        <w:ind w:left="1418" w:hanging="1418"/>
      </w:pPr>
      <w:r w:rsidRPr="00321B46">
        <w:rPr>
          <w:i/>
          <w:iCs/>
        </w:rPr>
        <w:t>UCP</w:t>
      </w:r>
      <w:r w:rsidR="00B80864" w:rsidRPr="00321B46">
        <w:rPr>
          <w:i/>
          <w:iCs/>
          <w:vertAlign w:val="subscript"/>
        </w:rPr>
        <w:t>j,</w:t>
      </w:r>
      <w:r w:rsidRPr="00321B46">
        <w:rPr>
          <w:i/>
          <w:iCs/>
          <w:vertAlign w:val="subscript"/>
        </w:rPr>
        <w:t>TI,</w:t>
      </w:r>
      <w:r w:rsidR="00B80864" w:rsidRPr="00321B46">
        <w:rPr>
          <w:i/>
          <w:iCs/>
          <w:vertAlign w:val="subscript"/>
        </w:rPr>
        <w:t>k</w:t>
      </w:r>
      <w:r w:rsidRPr="00321B46">
        <w:rPr>
          <w:i/>
          <w:iCs/>
          <w:vertAlign w:val="subscript"/>
        </w:rPr>
        <w:t>,t</w:t>
      </w:r>
      <w:r w:rsidRPr="00321B46">
        <w:t>:</w:t>
      </w:r>
      <w:r w:rsidRPr="00321B46">
        <w:tab/>
      </w:r>
      <w:r w:rsidR="0005651F" w:rsidRPr="00321B46">
        <w:t xml:space="preserve">Número de </w:t>
      </w:r>
      <w:r w:rsidRPr="00321B46">
        <w:t xml:space="preserve">UC puestas en operación en el sistema del </w:t>
      </w:r>
      <w:r w:rsidR="00B80864" w:rsidRPr="00321B46">
        <w:t>TN</w:t>
      </w:r>
      <w:r w:rsidRPr="00321B46">
        <w:t xml:space="preserve"> </w:t>
      </w:r>
      <w:r w:rsidRPr="00321B46">
        <w:rPr>
          <w:i/>
        </w:rPr>
        <w:t xml:space="preserve">j, </w:t>
      </w:r>
      <w:r w:rsidRPr="00321B46">
        <w:rPr>
          <w:iCs/>
        </w:rPr>
        <w:t xml:space="preserve">en el tipo de inversión </w:t>
      </w:r>
      <w:r w:rsidRPr="00321B46">
        <w:rPr>
          <w:i/>
          <w:iCs/>
        </w:rPr>
        <w:t>TI</w:t>
      </w:r>
      <w:r w:rsidRPr="00321B46">
        <w:rPr>
          <w:iCs/>
        </w:rPr>
        <w:t>,</w:t>
      </w:r>
      <w:r w:rsidRPr="00321B46">
        <w:t xml:space="preserve"> </w:t>
      </w:r>
      <w:r w:rsidRPr="00321B46">
        <w:rPr>
          <w:iCs/>
        </w:rPr>
        <w:t xml:space="preserve">en la categoría de activos </w:t>
      </w:r>
      <w:r w:rsidR="00B80864" w:rsidRPr="00321B46">
        <w:rPr>
          <w:i/>
          <w:iCs/>
        </w:rPr>
        <w:t>k</w:t>
      </w:r>
      <w:r w:rsidRPr="00321B46">
        <w:rPr>
          <w:iCs/>
        </w:rPr>
        <w:t xml:space="preserve"> para </w:t>
      </w:r>
      <w:r w:rsidRPr="00321B46">
        <w:t xml:space="preserve">el año </w:t>
      </w:r>
      <w:r w:rsidRPr="00321B46">
        <w:rPr>
          <w:i/>
        </w:rPr>
        <w:t>t</w:t>
      </w:r>
      <w:r w:rsidRPr="00321B46">
        <w:t>. No se incluyen las UC que fueron trasladadas y siguen en operación.</w:t>
      </w:r>
    </w:p>
    <w:p w14:paraId="11A192B8" w14:textId="0F14E9F8" w:rsidR="003F3582" w:rsidRPr="00321B46" w:rsidRDefault="003F3582" w:rsidP="003F3582">
      <w:pPr>
        <w:ind w:left="1410" w:hanging="1410"/>
      </w:pPr>
      <w:r w:rsidRPr="00321B46">
        <w:rPr>
          <w:i/>
          <w:iCs/>
        </w:rPr>
        <w:t>CR</w:t>
      </w:r>
      <w:r w:rsidRPr="00321B46">
        <w:rPr>
          <w:i/>
          <w:iCs/>
          <w:vertAlign w:val="subscript"/>
        </w:rPr>
        <w:t>i</w:t>
      </w:r>
      <w:r w:rsidRPr="00321B46">
        <w:t>:</w:t>
      </w:r>
      <w:r w:rsidRPr="00321B46">
        <w:tab/>
      </w:r>
      <w:r w:rsidRPr="00321B46">
        <w:tab/>
        <w:t xml:space="preserve">Valor de la UC </w:t>
      </w:r>
      <w:r w:rsidRPr="00321B46">
        <w:rPr>
          <w:i/>
          <w:iCs/>
        </w:rPr>
        <w:t>i</w:t>
      </w:r>
      <w:r w:rsidRPr="00321B46">
        <w:rPr>
          <w:iCs/>
        </w:rPr>
        <w:t>,</w:t>
      </w:r>
      <w:r w:rsidRPr="00321B46">
        <w:t xml:space="preserve"> definido </w:t>
      </w:r>
      <w:r w:rsidR="00270CDF" w:rsidRPr="00321B46">
        <w:t xml:space="preserve">en el capítulo </w:t>
      </w:r>
      <w:r w:rsidR="00847275" w:rsidRPr="00321B46">
        <w:rPr>
          <w:rFonts w:cs="Arial"/>
        </w:rPr>
        <w:fldChar w:fldCharType="begin"/>
      </w:r>
      <w:r w:rsidR="00847275" w:rsidRPr="00321B46">
        <w:rPr>
          <w:rFonts w:cs="Arial"/>
        </w:rPr>
        <w:instrText xml:space="preserve"> REF _Ref404776490 \r \h \t \* MERGEFORMAT </w:instrText>
      </w:r>
      <w:r w:rsidR="00847275" w:rsidRPr="00321B46">
        <w:rPr>
          <w:rFonts w:cs="Arial"/>
        </w:rPr>
      </w:r>
      <w:r w:rsidR="00847275" w:rsidRPr="00321B46">
        <w:rPr>
          <w:rFonts w:cs="Arial"/>
        </w:rPr>
        <w:fldChar w:fldCharType="separate"/>
      </w:r>
      <w:r w:rsidR="000F355F">
        <w:rPr>
          <w:rFonts w:cs="Arial"/>
        </w:rPr>
        <w:t>7</w:t>
      </w:r>
      <w:r w:rsidR="00847275" w:rsidRPr="00321B46">
        <w:rPr>
          <w:rFonts w:cs="Arial"/>
        </w:rPr>
        <w:fldChar w:fldCharType="end"/>
      </w:r>
      <w:r w:rsidR="0061728F" w:rsidRPr="00321B46">
        <w:t xml:space="preserve"> de este anexo</w:t>
      </w:r>
      <w:r w:rsidRPr="00321B46">
        <w:t>.</w:t>
      </w:r>
    </w:p>
    <w:p w14:paraId="7E86538A" w14:textId="77777777" w:rsidR="003F3582" w:rsidRPr="00321B46" w:rsidRDefault="003F3582" w:rsidP="003F3582">
      <w:pPr>
        <w:tabs>
          <w:tab w:val="left" w:pos="1418"/>
        </w:tabs>
        <w:spacing w:before="120"/>
        <w:ind w:left="1418" w:hanging="1418"/>
      </w:pPr>
      <w:r w:rsidRPr="00321B46">
        <w:rPr>
          <w:i/>
          <w:iCs/>
        </w:rPr>
        <w:t>PU</w:t>
      </w:r>
      <w:r w:rsidRPr="00321B46">
        <w:rPr>
          <w:i/>
          <w:iCs/>
          <w:vertAlign w:val="subscript"/>
        </w:rPr>
        <w:t>i</w:t>
      </w:r>
      <w:r w:rsidRPr="00321B46">
        <w:rPr>
          <w:i/>
          <w:iCs/>
        </w:rPr>
        <w:t>:</w:t>
      </w:r>
      <w:r w:rsidRPr="00321B46">
        <w:tab/>
        <w:t xml:space="preserve">Fracción del costo de la UC </w:t>
      </w:r>
      <w:r w:rsidRPr="00321B46">
        <w:rPr>
          <w:i/>
          <w:iCs/>
        </w:rPr>
        <w:t>i</w:t>
      </w:r>
      <w:r w:rsidRPr="00321B46">
        <w:t xml:space="preserve"> que es reconocida mediante cargos por uso.</w:t>
      </w:r>
    </w:p>
    <w:p w14:paraId="3F53A2F6" w14:textId="77777777" w:rsidR="00BE0E49" w:rsidRPr="00321B46" w:rsidRDefault="00BE0E49" w:rsidP="00BE0E49">
      <w:pPr>
        <w:spacing w:before="280" w:after="280"/>
        <w:ind w:left="1410" w:hanging="1410"/>
      </w:pPr>
      <w:r w:rsidRPr="00321B46">
        <w:rPr>
          <w:i/>
          <w:iCs/>
        </w:rPr>
        <w:t>FU</w:t>
      </w:r>
      <w:r w:rsidRPr="00321B46">
        <w:rPr>
          <w:i/>
          <w:iCs/>
          <w:vertAlign w:val="subscript"/>
        </w:rPr>
        <w:t>i</w:t>
      </w:r>
      <w:r w:rsidRPr="00321B46">
        <w:rPr>
          <w:i/>
          <w:iCs/>
        </w:rPr>
        <w:t>:</w:t>
      </w:r>
      <w:r w:rsidRPr="00321B46">
        <w:rPr>
          <w:i/>
          <w:iCs/>
        </w:rPr>
        <w:tab/>
      </w:r>
      <w:r w:rsidRPr="00321B46">
        <w:t xml:space="preserve">Fracción del costo de la UC </w:t>
      </w:r>
      <w:r w:rsidRPr="00321B46">
        <w:rPr>
          <w:i/>
          <w:iCs/>
        </w:rPr>
        <w:t>i</w:t>
      </w:r>
      <w:r w:rsidRPr="00321B46">
        <w:t xml:space="preserve"> que es reconocida por reposiciones parciales de la UC. Este valor se calcula como el peso relativo del valor reconocido del elemento o los elementos reemplazados respecto al valor total de la UC.</w:t>
      </w:r>
    </w:p>
    <w:p w14:paraId="3778EF44" w14:textId="77777777" w:rsidR="00F75745" w:rsidRPr="00321B46" w:rsidRDefault="00F75745" w:rsidP="00F75745">
      <w:pPr>
        <w:tabs>
          <w:tab w:val="left" w:pos="1418"/>
        </w:tabs>
        <w:spacing w:before="120"/>
        <w:ind w:left="1418" w:hanging="1418"/>
      </w:pPr>
      <w:r w:rsidRPr="00321B46">
        <w:rPr>
          <w:i/>
          <w:iCs/>
        </w:rPr>
        <w:t>RPP</w:t>
      </w:r>
      <w:r w:rsidRPr="00321B46">
        <w:rPr>
          <w:i/>
          <w:iCs/>
          <w:vertAlign w:val="subscript"/>
        </w:rPr>
        <w:t>i</w:t>
      </w:r>
      <w:r w:rsidRPr="00321B46">
        <w:rPr>
          <w:i/>
          <w:iCs/>
        </w:rPr>
        <w:t>:</w:t>
      </w:r>
      <w:r w:rsidRPr="00321B46">
        <w:tab/>
        <w:t xml:space="preserve">Fracción del costo de la UC </w:t>
      </w:r>
      <w:r w:rsidRPr="00321B46">
        <w:rPr>
          <w:i/>
          <w:iCs/>
        </w:rPr>
        <w:t>i</w:t>
      </w:r>
      <w:r w:rsidRPr="00321B46">
        <w:t>, remunerada vía cargos por uso, que no se debe incluir en el cálculo de la tarifa.</w:t>
      </w:r>
    </w:p>
    <w:p w14:paraId="6397F0A1" w14:textId="2ADB7527" w:rsidR="003F3582" w:rsidRPr="00321B46" w:rsidRDefault="003F3582" w:rsidP="003F3582">
      <w:pPr>
        <w:ind w:left="1410" w:hanging="1410"/>
      </w:pPr>
      <w:r w:rsidRPr="00321B46">
        <w:rPr>
          <w:i/>
          <w:iCs/>
        </w:rPr>
        <w:t>TI:</w:t>
      </w:r>
      <w:r w:rsidRPr="00321B46">
        <w:tab/>
        <w:t xml:space="preserve">Tipo de inversión, como se define en este capítulo, toma los valores de </w:t>
      </w:r>
      <w:r w:rsidR="002C1A78" w:rsidRPr="00321B46">
        <w:t>1</w:t>
      </w:r>
      <w:r w:rsidRPr="00321B46">
        <w:t xml:space="preserve">, </w:t>
      </w:r>
      <w:r w:rsidR="002C1A78" w:rsidRPr="00321B46">
        <w:t>2 y 3</w:t>
      </w:r>
      <w:r w:rsidRPr="00321B46">
        <w:t xml:space="preserve">. </w:t>
      </w:r>
    </w:p>
    <w:p w14:paraId="56F735CB" w14:textId="77777777" w:rsidR="003F3582" w:rsidRPr="00321B46" w:rsidRDefault="003F3582" w:rsidP="00BF7220">
      <w:pPr>
        <w:pStyle w:val="Ttulo2"/>
      </w:pPr>
      <w:bookmarkStart w:id="446" w:name="_Toc408493200"/>
      <w:bookmarkStart w:id="447" w:name="_Toc440029146"/>
      <w:bookmarkStart w:id="448" w:name="_Ref444777362"/>
      <w:bookmarkStart w:id="449" w:name="_Toc445214123"/>
      <w:bookmarkStart w:id="450" w:name="_Ref445419903"/>
      <w:bookmarkStart w:id="451" w:name="_Toc466392685"/>
      <w:r w:rsidRPr="00321B46">
        <w:t>A</w:t>
      </w:r>
      <w:r w:rsidR="00DA249D" w:rsidRPr="00321B46">
        <w:t>juste de los planes de inversión</w:t>
      </w:r>
      <w:bookmarkEnd w:id="446"/>
      <w:bookmarkEnd w:id="447"/>
      <w:bookmarkEnd w:id="448"/>
      <w:bookmarkEnd w:id="449"/>
      <w:bookmarkEnd w:id="450"/>
      <w:bookmarkEnd w:id="451"/>
    </w:p>
    <w:p w14:paraId="64D78D67" w14:textId="1AED96FC" w:rsidR="003F3582" w:rsidRPr="00321B46" w:rsidRDefault="003F3582" w:rsidP="003F3582">
      <w:pPr>
        <w:rPr>
          <w:lang w:val="es-ES_tradnl"/>
        </w:rPr>
      </w:pPr>
      <w:r w:rsidRPr="00321B46">
        <w:rPr>
          <w:lang w:val="es-ES_tradnl"/>
        </w:rPr>
        <w:t xml:space="preserve">Los planes de inversión pueden ser ajustados </w:t>
      </w:r>
      <w:r w:rsidR="0005651F" w:rsidRPr="00321B46">
        <w:rPr>
          <w:lang w:val="es-ES_tradnl"/>
        </w:rPr>
        <w:t>cada dos años</w:t>
      </w:r>
      <w:r w:rsidRPr="00321B46">
        <w:rPr>
          <w:lang w:val="es-ES_tradnl"/>
        </w:rPr>
        <w:t>. Los lineamientos para la realización de los ajustes al plan de inversión son los siguientes:</w:t>
      </w:r>
    </w:p>
    <w:p w14:paraId="3C588E65" w14:textId="74C805A3" w:rsidR="003F3582" w:rsidRPr="00321B46" w:rsidRDefault="003F3582" w:rsidP="003F3582">
      <w:pPr>
        <w:pStyle w:val="Prrafodelista"/>
        <w:numPr>
          <w:ilvl w:val="0"/>
          <w:numId w:val="26"/>
        </w:numPr>
      </w:pPr>
      <w:r w:rsidRPr="00321B46">
        <w:t xml:space="preserve">La solicitud </w:t>
      </w:r>
      <w:r w:rsidR="00DA249D" w:rsidRPr="00321B46">
        <w:t>para</w:t>
      </w:r>
      <w:r w:rsidRPr="00321B46">
        <w:t xml:space="preserve"> ajuste del plan deberá </w:t>
      </w:r>
      <w:r w:rsidR="00DA249D" w:rsidRPr="00321B46">
        <w:t>present</w:t>
      </w:r>
      <w:r w:rsidRPr="00321B46">
        <w:t xml:space="preserve">arse </w:t>
      </w:r>
      <w:r w:rsidR="00DA249D" w:rsidRPr="00321B46">
        <w:t xml:space="preserve">a la CREG </w:t>
      </w:r>
      <w:r w:rsidRPr="00321B46">
        <w:t xml:space="preserve">a más tardar cuatro meses antes </w:t>
      </w:r>
      <w:r w:rsidR="0005651F" w:rsidRPr="00321B46">
        <w:t>de que se cumplan los dos años previstos para el posible ajuste del plan</w:t>
      </w:r>
      <w:r w:rsidRPr="00321B46">
        <w:t>.</w:t>
      </w:r>
    </w:p>
    <w:p w14:paraId="514A8EFB" w14:textId="39446E5D" w:rsidR="003F3582" w:rsidRPr="00321B46" w:rsidRDefault="003F3582" w:rsidP="003F3582">
      <w:pPr>
        <w:pStyle w:val="Prrafodelista"/>
        <w:numPr>
          <w:ilvl w:val="0"/>
          <w:numId w:val="26"/>
        </w:numPr>
      </w:pPr>
      <w:r w:rsidRPr="00321B46">
        <w:t xml:space="preserve">Para la revisión de la solicitud de modificación del plan de inversiones la Comisión seguirá los pasos establecidos en el numeral </w:t>
      </w:r>
      <w:r w:rsidRPr="00321B46">
        <w:fldChar w:fldCharType="begin"/>
      </w:r>
      <w:r w:rsidRPr="00321B46">
        <w:instrText xml:space="preserve"> REF _Ref404192237 \r \h </w:instrText>
      </w:r>
      <w:r w:rsidR="003276B5" w:rsidRPr="00321B46">
        <w:instrText xml:space="preserve"> \* MERGEFORMAT </w:instrText>
      </w:r>
      <w:r w:rsidRPr="00321B46">
        <w:fldChar w:fldCharType="separate"/>
      </w:r>
      <w:r w:rsidR="000F355F">
        <w:t>6.4</w:t>
      </w:r>
      <w:r w:rsidRPr="00321B46">
        <w:fldChar w:fldCharType="end"/>
      </w:r>
      <w:r w:rsidRPr="00321B46">
        <w:t>.</w:t>
      </w:r>
    </w:p>
    <w:p w14:paraId="345C17BD" w14:textId="77777777" w:rsidR="003F3582" w:rsidRPr="00321B46" w:rsidRDefault="003F3582" w:rsidP="00BF7220">
      <w:pPr>
        <w:pStyle w:val="Ttulo2"/>
      </w:pPr>
      <w:bookmarkStart w:id="452" w:name="_Toc408493201"/>
      <w:bookmarkStart w:id="453" w:name="_Toc440029147"/>
      <w:bookmarkStart w:id="454" w:name="_Toc445214124"/>
      <w:bookmarkStart w:id="455" w:name="_Toc466392686"/>
      <w:r w:rsidRPr="00321B46">
        <w:t>P</w:t>
      </w:r>
      <w:r w:rsidR="00DA249D" w:rsidRPr="00321B46">
        <w:t>ublicidad y difusión de los planes de inversión</w:t>
      </w:r>
      <w:bookmarkEnd w:id="452"/>
      <w:bookmarkEnd w:id="453"/>
      <w:bookmarkEnd w:id="454"/>
      <w:bookmarkEnd w:id="455"/>
      <w:r w:rsidR="00DA249D" w:rsidRPr="00321B46">
        <w:t xml:space="preserve"> </w:t>
      </w:r>
    </w:p>
    <w:p w14:paraId="4C077E5C" w14:textId="38199506" w:rsidR="003F3582" w:rsidRPr="00321B46" w:rsidRDefault="003F3582" w:rsidP="003F3582">
      <w:r w:rsidRPr="00321B46">
        <w:t xml:space="preserve">El </w:t>
      </w:r>
      <w:r w:rsidR="00DA249D" w:rsidRPr="00321B46">
        <w:t>TN</w:t>
      </w:r>
      <w:r w:rsidRPr="00321B46">
        <w:t xml:space="preserve"> debe adelantar una estrategia de comunicación para difundir el plan de inversión</w:t>
      </w:r>
      <w:r w:rsidR="0005651F" w:rsidRPr="00321B46">
        <w:t xml:space="preserve"> y</w:t>
      </w:r>
      <w:r w:rsidRPr="00321B46">
        <w:t xml:space="preserve"> la</w:t>
      </w:r>
      <w:r w:rsidR="0005651F" w:rsidRPr="00321B46">
        <w:t>s</w:t>
      </w:r>
      <w:r w:rsidRPr="00321B46">
        <w:t xml:space="preserve"> metas de expansión</w:t>
      </w:r>
      <w:r w:rsidR="0005651F" w:rsidRPr="00321B46">
        <w:t xml:space="preserve"> y</w:t>
      </w:r>
      <w:r w:rsidRPr="00321B46">
        <w:t xml:space="preserve"> reposición. La estrategia como mínimo deberá incluir: </w:t>
      </w:r>
    </w:p>
    <w:p w14:paraId="56875AF3" w14:textId="4876D7A7" w:rsidR="003F3582" w:rsidRPr="00321B46" w:rsidRDefault="003F3582" w:rsidP="003F3582">
      <w:pPr>
        <w:pStyle w:val="Prrafodelista"/>
        <w:numPr>
          <w:ilvl w:val="0"/>
          <w:numId w:val="47"/>
        </w:numPr>
      </w:pPr>
      <w:r w:rsidRPr="00321B46">
        <w:t>Elaboración de un informe anual, en lenguaje sencillo, con las metas, inversiones</w:t>
      </w:r>
      <w:r w:rsidR="00DA249D" w:rsidRPr="00321B46">
        <w:t xml:space="preserve"> e</w:t>
      </w:r>
      <w:r w:rsidRPr="00321B46">
        <w:t xml:space="preserve"> indicadores de ejecución del plan de inversión. El informe deberá ser publicado en la página </w:t>
      </w:r>
      <w:r w:rsidR="009F6482" w:rsidRPr="00321B46">
        <w:t>web</w:t>
      </w:r>
      <w:r w:rsidRPr="00321B46">
        <w:t xml:space="preserve"> del </w:t>
      </w:r>
      <w:r w:rsidR="00DA249D" w:rsidRPr="00321B46">
        <w:t>TN</w:t>
      </w:r>
      <w:r w:rsidRPr="00321B46">
        <w:t xml:space="preserve"> antes del último día hábil del mes de marzo de cada año.  </w:t>
      </w:r>
    </w:p>
    <w:p w14:paraId="21B8F9B7" w14:textId="77777777" w:rsidR="003F3582" w:rsidRPr="00321B46" w:rsidRDefault="003F3582" w:rsidP="003F3582">
      <w:pPr>
        <w:pStyle w:val="Prrafodelista"/>
        <w:numPr>
          <w:ilvl w:val="0"/>
          <w:numId w:val="47"/>
        </w:numPr>
      </w:pPr>
      <w:r w:rsidRPr="00321B46">
        <w:t xml:space="preserve">Desarrollo y mantenimiento de un sitio </w:t>
      </w:r>
      <w:r w:rsidR="009F6482" w:rsidRPr="00321B46">
        <w:t>web</w:t>
      </w:r>
      <w:r w:rsidRPr="00321B46">
        <w:t xml:space="preserve"> con la información asociada a la ejecución del plan de inversión. </w:t>
      </w:r>
    </w:p>
    <w:p w14:paraId="5050A85D" w14:textId="77777777" w:rsidR="003F3582" w:rsidRPr="00321B46" w:rsidRDefault="003F3582" w:rsidP="003F3582">
      <w:pPr>
        <w:pStyle w:val="Prrafodelista"/>
        <w:numPr>
          <w:ilvl w:val="0"/>
          <w:numId w:val="47"/>
        </w:numPr>
      </w:pPr>
      <w:r w:rsidRPr="00321B46">
        <w:t>Publicación anual en un diario de amplia circulación de un resumen con las metas propuestas y el avance en la ejecución de los proyectos de inversión.</w:t>
      </w:r>
    </w:p>
    <w:p w14:paraId="4157CB2E" w14:textId="123BFEA8" w:rsidR="003F3582" w:rsidRPr="00321B46" w:rsidRDefault="003F3582" w:rsidP="003F3582">
      <w:pPr>
        <w:spacing w:before="0" w:after="0"/>
      </w:pPr>
      <w:r w:rsidRPr="00321B46">
        <w:t xml:space="preserve">La Comisión, en circular aparte, establecerá el contenido mínimo del informe anual, así como la información que debe ser publicada en el sitio </w:t>
      </w:r>
      <w:r w:rsidR="009F6482" w:rsidRPr="00321B46">
        <w:t>web</w:t>
      </w:r>
      <w:r w:rsidRPr="00321B46">
        <w:t xml:space="preserve"> y la publicación en el diario.</w:t>
      </w:r>
    </w:p>
    <w:p w14:paraId="601A83EB" w14:textId="77777777" w:rsidR="00E43449" w:rsidRPr="00321B46" w:rsidRDefault="00E43449" w:rsidP="00E43449">
      <w:pPr>
        <w:spacing w:before="0" w:after="0"/>
      </w:pPr>
    </w:p>
    <w:bookmarkEnd w:id="244"/>
    <w:bookmarkEnd w:id="245"/>
    <w:bookmarkEnd w:id="246"/>
    <w:p w14:paraId="7443B0E6" w14:textId="77777777" w:rsidR="00054DFB" w:rsidRPr="00321B46" w:rsidRDefault="00054DFB" w:rsidP="00054DFB">
      <w:pPr>
        <w:spacing w:before="0" w:after="0"/>
        <w:jc w:val="left"/>
        <w:rPr>
          <w:lang w:val="es-CO"/>
        </w:rPr>
      </w:pPr>
      <w:r w:rsidRPr="00321B46">
        <w:rPr>
          <w:lang w:val="es-CO"/>
        </w:rPr>
        <w:br w:type="page"/>
      </w:r>
    </w:p>
    <w:p w14:paraId="218DBAC7" w14:textId="19F39A0A" w:rsidR="008248BC" w:rsidRPr="00321B46" w:rsidRDefault="008248BC">
      <w:pPr>
        <w:spacing w:before="0" w:after="0"/>
        <w:jc w:val="left"/>
        <w:rPr>
          <w:rFonts w:cs="Arial"/>
        </w:rPr>
      </w:pPr>
    </w:p>
    <w:p w14:paraId="58294DFC" w14:textId="77777777" w:rsidR="00EC3804" w:rsidRPr="00321B46" w:rsidRDefault="00EC3804" w:rsidP="00EC3804">
      <w:pPr>
        <w:pStyle w:val="Ttulo1"/>
      </w:pPr>
      <w:bookmarkStart w:id="456" w:name="_Ref445353852"/>
      <w:bookmarkStart w:id="457" w:name="_Toc445462492"/>
      <w:bookmarkStart w:id="458" w:name="_Toc466392687"/>
      <w:bookmarkStart w:id="459" w:name="_Ref404776490"/>
      <w:r w:rsidRPr="00321B46">
        <w:t>UNIDADES CONSTRUCTIVAS</w:t>
      </w:r>
      <w:bookmarkEnd w:id="456"/>
      <w:bookmarkEnd w:id="457"/>
      <w:bookmarkEnd w:id="458"/>
    </w:p>
    <w:p w14:paraId="43A1ADEA" w14:textId="77777777" w:rsidR="00EC3804" w:rsidRPr="00321B46" w:rsidRDefault="00EC3804" w:rsidP="00EC3804">
      <w:r w:rsidRPr="00321B46">
        <w:t>En este capítulo se definen las unidades constructivas, UC, del STN a utilizar en el cálculo de la remuneración de la actividad de transmisión y las áreas típicas asociadas a las UC de subestaciones. Las UC definidas para el nivel de tensión de 230 kV aplican igualmente para el nivel de tensión de 220 kV. Los valores de las UC están en miles de pesos de diciembre de 2012.</w:t>
      </w:r>
    </w:p>
    <w:p w14:paraId="2C99BD08" w14:textId="77777777" w:rsidR="00EC3804" w:rsidRPr="00321B46" w:rsidRDefault="00EC3804" w:rsidP="00EC3804">
      <w:r w:rsidRPr="00321B46">
        <w:t xml:space="preserve">Las UC contienen los equipos y accesorios necesarios para la prestación del servicio con los niveles de calidad exigidos por la CREG, cumpliendo con la normativa vigente en materia de seguridad. </w:t>
      </w:r>
    </w:p>
    <w:p w14:paraId="20F59946" w14:textId="77777777" w:rsidR="00EC3804" w:rsidRPr="00321B46" w:rsidRDefault="00EC3804" w:rsidP="00EC3804">
      <w:r w:rsidRPr="00321B46">
        <w:t>Los costos ambientales y de servidumbres serán reportados y reconocidos anualmente según su ejecución.</w:t>
      </w:r>
    </w:p>
    <w:p w14:paraId="0905E335" w14:textId="77777777" w:rsidR="00EC3804" w:rsidRPr="00321B46" w:rsidRDefault="00EC3804" w:rsidP="00EC3804">
      <w:r w:rsidRPr="00321B46">
        <w:t>Cuando existan activos con características técnicas distintas a las de las UC establecidas, los TN podrán solicitar a la Comisión la creación de UC especiales. La solicitud debe estar acompañada de las consideraciones técnicas que justifican la creación de la UC especial, el costo detallado de cada equipo que la compone y los costos de instalación asociados. Para adquisiciones directas se debe adjuntar tres cotizaciones de suministro e instalación de los equipos que la conforman y para adquisiciones a través de concursos abiertos o licitaciones se deben enviar los documentos que acreditan su realización incluyendo los pliegos de solicitudes, términos de referencia, etc.</w:t>
      </w:r>
    </w:p>
    <w:p w14:paraId="41EA1463" w14:textId="77777777" w:rsidR="00EC3804" w:rsidRPr="00321B46" w:rsidRDefault="00EC3804" w:rsidP="00BF7220">
      <w:pPr>
        <w:pStyle w:val="Ttulo2"/>
      </w:pPr>
      <w:bookmarkStart w:id="460" w:name="_Toc408493228"/>
      <w:bookmarkStart w:id="461" w:name="_Toc440029174"/>
      <w:bookmarkStart w:id="462" w:name="_Toc443655761"/>
      <w:bookmarkStart w:id="463" w:name="_Toc445214151"/>
      <w:bookmarkStart w:id="464" w:name="_Toc445462493"/>
      <w:bookmarkStart w:id="465" w:name="_Toc466392688"/>
      <w:r w:rsidRPr="00321B46">
        <w:t>UC asociadas a subestaciones</w:t>
      </w:r>
      <w:bookmarkEnd w:id="460"/>
      <w:bookmarkEnd w:id="461"/>
      <w:bookmarkEnd w:id="462"/>
      <w:bookmarkEnd w:id="463"/>
      <w:bookmarkEnd w:id="464"/>
      <w:bookmarkEnd w:id="465"/>
    </w:p>
    <w:p w14:paraId="4C1CF347" w14:textId="77777777" w:rsidR="00EC3804" w:rsidRPr="00321B46" w:rsidRDefault="00EC3804" w:rsidP="00EC3804">
      <w:pPr>
        <w:pStyle w:val="Prrafodelista"/>
        <w:numPr>
          <w:ilvl w:val="0"/>
          <w:numId w:val="14"/>
        </w:numPr>
        <w:spacing w:before="120" w:after="0"/>
      </w:pPr>
      <w:r w:rsidRPr="00321B46">
        <w:t>Para las UC de transformadores de potencia se define un componente de costo fijo de instalación y un componente de costo variable por MVA. El TN debe reportar el tipo de transformador con su capacidad asociada en MVA.</w:t>
      </w:r>
    </w:p>
    <w:p w14:paraId="0DADD86B" w14:textId="77777777" w:rsidR="00EC3804" w:rsidRPr="00321B46" w:rsidRDefault="00EC3804" w:rsidP="00EC3804">
      <w:pPr>
        <w:pStyle w:val="Prrafodelista"/>
        <w:numPr>
          <w:ilvl w:val="0"/>
          <w:numId w:val="14"/>
        </w:numPr>
        <w:spacing w:before="120" w:after="0"/>
      </w:pPr>
      <w:r w:rsidRPr="00321B46">
        <w:t xml:space="preserve">El módulo común es el conjunto de equipos y obras comunes que sirven a la subestación y está compuesto por servicios auxiliares, malla de puesta a tierra y obras civiles no asociadas a una UC en particular. </w:t>
      </w:r>
    </w:p>
    <w:p w14:paraId="61542A61" w14:textId="77777777" w:rsidR="00EC3804" w:rsidRPr="00321B46" w:rsidRDefault="00EC3804" w:rsidP="00EC3804">
      <w:pPr>
        <w:pStyle w:val="Prrafodelista"/>
        <w:numPr>
          <w:ilvl w:val="0"/>
          <w:numId w:val="14"/>
        </w:numPr>
        <w:spacing w:before="120" w:after="0"/>
      </w:pPr>
      <w:r w:rsidRPr="00321B46">
        <w:t xml:space="preserve">Los elementos de protección de barras, sistemas de control y comunicaciones se reconocen como UC de centros de control. </w:t>
      </w:r>
    </w:p>
    <w:p w14:paraId="74EABD34" w14:textId="77777777" w:rsidR="00EC3804" w:rsidRPr="00321B46" w:rsidRDefault="00EC3804" w:rsidP="00EC3804">
      <w:pPr>
        <w:pStyle w:val="Prrafodelista"/>
        <w:numPr>
          <w:ilvl w:val="0"/>
          <w:numId w:val="14"/>
        </w:numPr>
        <w:spacing w:before="120" w:after="0"/>
      </w:pPr>
      <w:r w:rsidRPr="00321B46">
        <w:t xml:space="preserve">El edificio de control se reconoce como una UC denominada casa de control. </w:t>
      </w:r>
    </w:p>
    <w:p w14:paraId="6C69584B" w14:textId="77777777" w:rsidR="00EC3804" w:rsidRPr="00321B46" w:rsidRDefault="00EC3804" w:rsidP="00EC3804">
      <w:pPr>
        <w:pStyle w:val="Prrafodelista"/>
        <w:numPr>
          <w:ilvl w:val="0"/>
          <w:numId w:val="14"/>
        </w:numPr>
        <w:spacing w:before="120" w:after="0"/>
      </w:pPr>
      <w:r w:rsidRPr="00321B46">
        <w:t xml:space="preserve">La UC de módulo común se define por bahía y, por tanto, para calcular el valor del módulo común primero se debe ubicar el tipo de módulo común al que pertenece una subestación y, luego, multiplicar el  número de bahías existentes en la subestación por el valor de la UC correspondiente. </w:t>
      </w:r>
    </w:p>
    <w:p w14:paraId="206D1E5F" w14:textId="77777777" w:rsidR="00EC3804" w:rsidRPr="00321B46" w:rsidRDefault="00EC3804" w:rsidP="00EC3804">
      <w:pPr>
        <w:pStyle w:val="Prrafodelista"/>
        <w:numPr>
          <w:ilvl w:val="0"/>
          <w:numId w:val="14"/>
        </w:numPr>
        <w:spacing w:before="120" w:after="0"/>
      </w:pPr>
      <w:r w:rsidRPr="00321B46">
        <w:t xml:space="preserve">Para 500 kV se definen dos tipos de UC de módulos comunes dependiendo del número de bahías, así: tipo 1 para S/E de 1 a 6 bahías y tipo 2 para S/E de más de 6 bahías. </w:t>
      </w:r>
    </w:p>
    <w:p w14:paraId="1532F65C" w14:textId="77777777" w:rsidR="00EC3804" w:rsidRPr="00321B46" w:rsidRDefault="00EC3804" w:rsidP="00EC3804">
      <w:pPr>
        <w:pStyle w:val="Prrafodelista"/>
        <w:numPr>
          <w:ilvl w:val="0"/>
          <w:numId w:val="14"/>
        </w:numPr>
        <w:spacing w:before="120" w:after="0"/>
      </w:pPr>
      <w:r w:rsidRPr="00321B46">
        <w:t xml:space="preserve">Para 230 kV se definen cuatro tipos de UC de módulos comunes, así: tipo 1 para S/E de 1 a 4 bahías, tipo 2 para S/E de 5 a 8 bahías, tipo 3 para S/E de de 9 a 12 bahías, y tipo 4 para S/E de más de 12 bahías. </w:t>
      </w:r>
    </w:p>
    <w:p w14:paraId="5F21E4B6" w14:textId="77777777" w:rsidR="00EC3804" w:rsidRPr="00321B46" w:rsidRDefault="00EC3804" w:rsidP="00EC3804">
      <w:pPr>
        <w:pStyle w:val="Prrafodelista"/>
        <w:numPr>
          <w:ilvl w:val="0"/>
          <w:numId w:val="14"/>
        </w:numPr>
        <w:spacing w:before="120" w:after="0"/>
      </w:pPr>
      <w:r w:rsidRPr="00321B46">
        <w:t>Las UC de módulo de barraje se asocian con el número de bahías cada nivel de tensión existente en la subestación, 500 kV o 230 kV así: tipo 1 para S/E de 1 a 4 bahías; tipo 2 para S/E de 5 a 8 bahías; tipo 3 para S/E de 9 a 12 bahías y tipo 4 para S/E con más de 12 bahías.</w:t>
      </w:r>
    </w:p>
    <w:p w14:paraId="32500A49" w14:textId="77777777" w:rsidR="00EC3804" w:rsidRPr="00321B46" w:rsidRDefault="00EC3804" w:rsidP="00EC3804">
      <w:pPr>
        <w:pStyle w:val="Prrafodelista"/>
        <w:numPr>
          <w:ilvl w:val="0"/>
          <w:numId w:val="14"/>
        </w:numPr>
        <w:adjustRightInd w:val="0"/>
        <w:spacing w:before="120" w:after="0"/>
        <w:textAlignment w:val="baseline"/>
      </w:pPr>
      <w:r w:rsidRPr="00321B46">
        <w:t>El costo de la casa de control de la subestación se define en función del área resultante de la cantidad de bahías existentes en la subestación más las áreas generales de acuerdo con las áreas reconocidas conforme a la siguiente expresión:</w:t>
      </w:r>
    </w:p>
    <w:p w14:paraId="43A76923" w14:textId="77777777" w:rsidR="00EC3804" w:rsidRPr="00321B46" w:rsidRDefault="00651802" w:rsidP="00EC3804">
      <w:pPr>
        <w:spacing w:before="120"/>
        <w:ind w:left="720"/>
        <w:jc w:val="center"/>
      </w:pPr>
      <m:oMathPara>
        <m:oMath>
          <m:sSub>
            <m:sSubPr>
              <m:ctrlPr>
                <w:rPr>
                  <w:rFonts w:ascii="Cambria Math" w:hAnsi="Cambria Math"/>
                  <w:i/>
                </w:rPr>
              </m:ctrlPr>
            </m:sSubPr>
            <m:e>
              <m:r>
                <w:rPr>
                  <w:rFonts w:ascii="Cambria Math" w:hAnsi="Cambria Math"/>
                </w:rPr>
                <m:t>CEC</m:t>
              </m:r>
            </m:e>
            <m:sub>
              <m:r>
                <w:rPr>
                  <w:rFonts w:ascii="Cambria Math" w:hAnsi="Cambria Math"/>
                </w:rPr>
                <m:t>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AG</m:t>
                  </m:r>
                </m:e>
                <m:sub>
                  <m:r>
                    <w:rPr>
                      <w:rFonts w:ascii="Cambria Math" w:hAnsi="Cambria Math"/>
                    </w:rPr>
                    <m:t>s</m:t>
                  </m:r>
                </m:sub>
              </m:sSub>
              <m:r>
                <w:rPr>
                  <w:rFonts w:ascii="Cambria Math" w:hAnsi="Cambria Math"/>
                </w:rPr>
                <m:t>+ABh*</m:t>
              </m:r>
              <m:sSub>
                <m:sSubPr>
                  <m:ctrlPr>
                    <w:rPr>
                      <w:rFonts w:ascii="Cambria Math" w:hAnsi="Cambria Math"/>
                      <w:i/>
                    </w:rPr>
                  </m:ctrlPr>
                </m:sSubPr>
                <m:e>
                  <m:r>
                    <w:rPr>
                      <w:rFonts w:ascii="Cambria Math" w:hAnsi="Cambria Math"/>
                    </w:rPr>
                    <m:t>Bh</m:t>
                  </m:r>
                </m:e>
                <m:sub>
                  <m:r>
                    <w:rPr>
                      <w:rFonts w:ascii="Cambria Math" w:hAnsi="Cambria Math"/>
                    </w:rPr>
                    <m:t>s</m:t>
                  </m:r>
                </m:sub>
              </m:sSub>
            </m:e>
          </m:d>
          <m:r>
            <w:rPr>
              <w:rFonts w:ascii="Cambria Math" w:hAnsi="Cambria Math"/>
            </w:rPr>
            <m:t>*CC</m:t>
          </m:r>
        </m:oMath>
      </m:oMathPara>
    </w:p>
    <w:p w14:paraId="08793CA9" w14:textId="77777777" w:rsidR="00EC3804" w:rsidRPr="00321B46" w:rsidRDefault="00EC3804" w:rsidP="00EC3804">
      <w:pPr>
        <w:spacing w:before="120"/>
        <w:ind w:left="426"/>
      </w:pPr>
      <w:r w:rsidRPr="00321B46">
        <w:t>Donde:</w:t>
      </w:r>
    </w:p>
    <w:p w14:paraId="2E18C3D0" w14:textId="77777777" w:rsidR="00EC3804" w:rsidRPr="00321B46" w:rsidRDefault="00EC3804" w:rsidP="00EC3804">
      <w:pPr>
        <w:spacing w:before="120"/>
        <w:ind w:left="1985" w:hanging="1559"/>
      </w:pPr>
      <w:r w:rsidRPr="00321B46">
        <w:rPr>
          <w:i/>
        </w:rPr>
        <w:t>CEC</w:t>
      </w:r>
      <w:r w:rsidRPr="00321B46">
        <w:rPr>
          <w:i/>
          <w:vertAlign w:val="subscript"/>
        </w:rPr>
        <w:t>s</w:t>
      </w:r>
      <w:r w:rsidRPr="00321B46">
        <w:t>:</w:t>
      </w:r>
      <w:r w:rsidRPr="00321B46">
        <w:tab/>
        <w:t xml:space="preserve">Costo del edificio de control de la subestación </w:t>
      </w:r>
      <w:r w:rsidRPr="00321B46">
        <w:rPr>
          <w:i/>
        </w:rPr>
        <w:t>s</w:t>
      </w:r>
      <w:r w:rsidRPr="00321B46">
        <w:t>.</w:t>
      </w:r>
    </w:p>
    <w:p w14:paraId="071CC0AF" w14:textId="77777777" w:rsidR="00EC3804" w:rsidRPr="00321B46" w:rsidRDefault="00EC3804" w:rsidP="00EC3804">
      <w:pPr>
        <w:spacing w:before="120"/>
        <w:ind w:left="1985" w:hanging="1559"/>
      </w:pPr>
      <w:r w:rsidRPr="00321B46">
        <w:rPr>
          <w:i/>
        </w:rPr>
        <w:t>AG</w:t>
      </w:r>
      <w:r w:rsidRPr="00321B46">
        <w:rPr>
          <w:i/>
          <w:vertAlign w:val="subscript"/>
        </w:rPr>
        <w:t>s</w:t>
      </w:r>
      <w:r w:rsidRPr="00321B46">
        <w:t>:</w:t>
      </w:r>
      <w:r w:rsidRPr="00321B46">
        <w:tab/>
        <w:t xml:space="preserve">Área general de la subestación </w:t>
      </w:r>
      <w:r w:rsidRPr="00321B46">
        <w:rPr>
          <w:i/>
        </w:rPr>
        <w:t>s</w:t>
      </w:r>
      <w:r w:rsidRPr="00321B46">
        <w:t xml:space="preserve"> .</w:t>
      </w:r>
    </w:p>
    <w:p w14:paraId="75189CF0" w14:textId="77777777" w:rsidR="00EC3804" w:rsidRPr="00321B46" w:rsidRDefault="00EC3804" w:rsidP="00EC3804">
      <w:pPr>
        <w:spacing w:before="120"/>
        <w:ind w:left="1985" w:hanging="1559"/>
      </w:pPr>
      <w:r w:rsidRPr="00321B46">
        <w:rPr>
          <w:i/>
        </w:rPr>
        <w:t>ABh:</w:t>
      </w:r>
      <w:r w:rsidRPr="00321B46">
        <w:tab/>
        <w:t xml:space="preserve">Área reconocida para cualquier bahía de transformador o de línea. </w:t>
      </w:r>
    </w:p>
    <w:p w14:paraId="4C499933" w14:textId="77777777" w:rsidR="00EC3804" w:rsidRPr="00321B46" w:rsidRDefault="00EC3804" w:rsidP="00EC3804">
      <w:pPr>
        <w:spacing w:before="120"/>
        <w:ind w:left="1985" w:hanging="1559"/>
      </w:pPr>
      <w:r w:rsidRPr="00321B46">
        <w:rPr>
          <w:i/>
        </w:rPr>
        <w:t>Bh</w:t>
      </w:r>
      <w:r w:rsidRPr="00321B46">
        <w:rPr>
          <w:i/>
          <w:vertAlign w:val="subscript"/>
        </w:rPr>
        <w:t>s</w:t>
      </w:r>
      <w:r w:rsidRPr="00321B46">
        <w:t>:</w:t>
      </w:r>
      <w:r w:rsidRPr="00321B46">
        <w:tab/>
        <w:t xml:space="preserve">Número de bahías de transformador y de línea existentes en la subestación </w:t>
      </w:r>
      <w:r w:rsidRPr="00321B46">
        <w:rPr>
          <w:i/>
        </w:rPr>
        <w:t>s</w:t>
      </w:r>
    </w:p>
    <w:p w14:paraId="3E8716AA" w14:textId="77777777" w:rsidR="00EC3804" w:rsidRPr="00321B46" w:rsidRDefault="00EC3804" w:rsidP="00EC3804">
      <w:pPr>
        <w:spacing w:before="120"/>
        <w:ind w:left="1985" w:hanging="1559"/>
      </w:pPr>
      <w:r w:rsidRPr="00321B46">
        <w:rPr>
          <w:i/>
        </w:rPr>
        <w:t>CC:</w:t>
      </w:r>
      <w:r w:rsidRPr="00321B46">
        <w:rPr>
          <w:i/>
        </w:rPr>
        <w:tab/>
      </w:r>
      <w:r w:rsidRPr="00321B46">
        <w:t>Costo por metro cuadrado del edificio de control de la subestación igual a $ 2.300.000/m</w:t>
      </w:r>
      <w:r w:rsidRPr="00321B46">
        <w:rPr>
          <w:vertAlign w:val="superscript"/>
        </w:rPr>
        <w:t>2</w:t>
      </w:r>
      <w:r w:rsidRPr="00321B46">
        <w:t xml:space="preserve"> ($ de la fecha de corte)</w:t>
      </w:r>
    </w:p>
    <w:p w14:paraId="5F7D4921" w14:textId="77777777" w:rsidR="00EC3804" w:rsidRPr="00321B46" w:rsidRDefault="00EC3804" w:rsidP="00EC3804">
      <w:pPr>
        <w:numPr>
          <w:ilvl w:val="0"/>
          <w:numId w:val="14"/>
        </w:numPr>
        <w:adjustRightInd w:val="0"/>
        <w:spacing w:before="120" w:after="0"/>
        <w:textAlignment w:val="baseline"/>
      </w:pPr>
      <w:r w:rsidRPr="00321B46">
        <w:t>El TN deberá reportar el área obtenida de la aplicación de la anterior fórmula para cada subestación que cuente con casa de control.</w:t>
      </w:r>
    </w:p>
    <w:p w14:paraId="646B5ADE" w14:textId="77777777" w:rsidR="00EC3804" w:rsidRPr="00321B46" w:rsidRDefault="00EC3804" w:rsidP="00EC3804">
      <w:pPr>
        <w:numPr>
          <w:ilvl w:val="0"/>
          <w:numId w:val="14"/>
        </w:numPr>
        <w:adjustRightInd w:val="0"/>
        <w:spacing w:before="120" w:after="0"/>
        <w:textAlignment w:val="baseline"/>
      </w:pPr>
      <w:r w:rsidRPr="00321B46">
        <w:rPr>
          <w:rFonts w:cs="Bookman Old Style"/>
        </w:rPr>
        <w:t>Cuando se encuentre que la asimilación de activos a UC efectuadas por los TN</w:t>
      </w:r>
      <w:r w:rsidRPr="00321B46">
        <w:t xml:space="preserve"> no se ajusta a los elementos técnicos y cantidades establecidas para la UC, porque los elementos existentes representan menos del 70 % del valor de la UC asimilada, la Comisión podrá valorar de manera independiente estos elementos.</w:t>
      </w:r>
    </w:p>
    <w:p w14:paraId="0589D55D" w14:textId="2BDC2839" w:rsidR="00EC3804" w:rsidRPr="00321B46" w:rsidRDefault="00BE0E49" w:rsidP="00BE0E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7</w:t>
      </w:r>
      <w:r w:rsidRPr="00321B46">
        <w:fldChar w:fldCharType="end"/>
      </w:r>
      <w:r w:rsidR="0084283B">
        <w:t>. Configuraciones de s</w:t>
      </w:r>
      <w:r w:rsidR="00EC3804" w:rsidRPr="00321B46">
        <w:t>ubestaciones</w:t>
      </w:r>
    </w:p>
    <w:p w14:paraId="13CAF4AE" w14:textId="77777777" w:rsidR="00EC3804" w:rsidRPr="00321B46" w:rsidRDefault="00EC3804" w:rsidP="00EC3804">
      <w:pPr>
        <w:jc w:val="center"/>
      </w:pPr>
      <w:r w:rsidRPr="00321B46">
        <w:rPr>
          <w:noProof/>
          <w:lang w:val="es-CO" w:eastAsia="es-CO"/>
        </w:rPr>
        <w:drawing>
          <wp:inline distT="0" distB="0" distL="0" distR="0" wp14:anchorId="249FBF66" wp14:editId="1F7E7FFA">
            <wp:extent cx="4578350" cy="1790065"/>
            <wp:effectExtent l="19050" t="0" r="0" b="0"/>
            <wp:docPr id="3"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4578350" cy="1790065"/>
                    </a:xfrm>
                    <a:prstGeom prst="rect">
                      <a:avLst/>
                    </a:prstGeom>
                    <a:noFill/>
                    <a:ln w="9525">
                      <a:noFill/>
                      <a:miter lim="800000"/>
                      <a:headEnd/>
                      <a:tailEnd/>
                    </a:ln>
                  </pic:spPr>
                </pic:pic>
              </a:graphicData>
            </a:graphic>
          </wp:inline>
        </w:drawing>
      </w:r>
    </w:p>
    <w:p w14:paraId="6C196AE9" w14:textId="4B331878" w:rsidR="00EC3804" w:rsidRPr="00321B46" w:rsidRDefault="00BE0E49" w:rsidP="00BE0E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8</w:t>
      </w:r>
      <w:r w:rsidRPr="00321B46">
        <w:fldChar w:fldCharType="end"/>
      </w:r>
      <w:r w:rsidRPr="00321B46">
        <w:t>.</w:t>
      </w:r>
      <w:r w:rsidR="00EC3804" w:rsidRPr="00321B46">
        <w:t xml:space="preserve"> UC</w:t>
      </w:r>
      <w:r w:rsidR="00EC3804" w:rsidRPr="00321B46">
        <w:rPr>
          <w:sz w:val="24"/>
        </w:rPr>
        <w:t xml:space="preserve"> </w:t>
      </w:r>
      <w:r w:rsidR="00EC3804" w:rsidRPr="00321B46">
        <w:t>de subestación de 500 kV</w:t>
      </w:r>
    </w:p>
    <w:tbl>
      <w:tblPr>
        <w:tblW w:w="9300" w:type="dxa"/>
        <w:tblCellMar>
          <w:left w:w="70" w:type="dxa"/>
          <w:right w:w="70" w:type="dxa"/>
        </w:tblCellMar>
        <w:tblLook w:val="04A0" w:firstRow="1" w:lastRow="0" w:firstColumn="1" w:lastColumn="0" w:noHBand="0" w:noVBand="1"/>
      </w:tblPr>
      <w:tblGrid>
        <w:gridCol w:w="760"/>
        <w:gridCol w:w="7120"/>
        <w:gridCol w:w="1420"/>
      </w:tblGrid>
      <w:tr w:rsidR="00EC3804" w:rsidRPr="00321B46" w14:paraId="4B2A2862" w14:textId="77777777" w:rsidTr="00B0187D">
        <w:trPr>
          <w:trHeight w:val="102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75339" w14:textId="77777777" w:rsidR="00EC3804" w:rsidRPr="00321B46" w:rsidRDefault="00EC3804" w:rsidP="00EC3804">
            <w:pPr>
              <w:keepNext/>
              <w:spacing w:before="0" w:after="0"/>
              <w:jc w:val="center"/>
              <w:rPr>
                <w:color w:val="000000"/>
                <w:sz w:val="16"/>
                <w:szCs w:val="16"/>
                <w:lang w:val="es-CO" w:eastAsia="es-CO"/>
              </w:rPr>
            </w:pPr>
            <w:r w:rsidRPr="00321B46">
              <w:rPr>
                <w:color w:val="000000"/>
                <w:sz w:val="16"/>
                <w:szCs w:val="16"/>
                <w:lang w:val="es-CO" w:eastAsia="es-CO"/>
              </w:rPr>
              <w:t>UC</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DB07ECF" w14:textId="77777777" w:rsidR="00EC3804" w:rsidRPr="00321B46" w:rsidRDefault="00EC3804" w:rsidP="00EC3804">
            <w:pPr>
              <w:keepNext/>
              <w:spacing w:before="0" w:after="0"/>
              <w:jc w:val="center"/>
              <w:rPr>
                <w:color w:val="000000"/>
                <w:sz w:val="16"/>
                <w:szCs w:val="16"/>
                <w:lang w:val="es-CO" w:eastAsia="es-CO"/>
              </w:rPr>
            </w:pPr>
            <w:r w:rsidRPr="00321B46">
              <w:rPr>
                <w:color w:val="000000"/>
                <w:sz w:val="16"/>
                <w:szCs w:val="16"/>
                <w:lang w:val="es-CO" w:eastAsia="es-CO"/>
              </w:rPr>
              <w:t>DESCRIPCIÓN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6FDA185" w14:textId="77777777" w:rsidR="00EC3804" w:rsidRPr="00321B46" w:rsidRDefault="00EC3804" w:rsidP="00EC3804">
            <w:pPr>
              <w:keepNext/>
              <w:spacing w:before="0" w:after="0"/>
              <w:jc w:val="center"/>
              <w:rPr>
                <w:color w:val="000000"/>
                <w:sz w:val="16"/>
                <w:szCs w:val="16"/>
                <w:lang w:val="es-CO" w:eastAsia="es-CO"/>
              </w:rPr>
            </w:pPr>
            <w:r w:rsidRPr="00321B46">
              <w:rPr>
                <w:color w:val="000000"/>
                <w:sz w:val="16"/>
                <w:szCs w:val="16"/>
                <w:lang w:val="es-CO" w:eastAsia="es-CO"/>
              </w:rPr>
              <w:t>VALOR INSTALADO</w:t>
            </w:r>
            <w:r w:rsidRPr="00321B46">
              <w:rPr>
                <w:color w:val="000000"/>
                <w:sz w:val="16"/>
                <w:szCs w:val="16"/>
                <w:lang w:val="es-CO" w:eastAsia="es-CO"/>
              </w:rPr>
              <w:br/>
              <w:t>[$ dic 2015]</w:t>
            </w:r>
          </w:p>
        </w:tc>
      </w:tr>
      <w:tr w:rsidR="00EC3804" w:rsidRPr="00321B46" w14:paraId="0766CEAA" w14:textId="77777777" w:rsidTr="00B0187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B5C12D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N6S1</w:t>
            </w:r>
          </w:p>
        </w:tc>
        <w:tc>
          <w:tcPr>
            <w:tcW w:w="7120" w:type="dxa"/>
            <w:tcBorders>
              <w:top w:val="nil"/>
              <w:left w:val="nil"/>
              <w:bottom w:val="single" w:sz="4" w:space="0" w:color="auto"/>
              <w:right w:val="single" w:sz="4" w:space="0" w:color="auto"/>
            </w:tcBorders>
            <w:shd w:val="clear" w:color="auto" w:fill="auto"/>
            <w:vAlign w:val="center"/>
            <w:hideMark/>
          </w:tcPr>
          <w:p w14:paraId="064C8B4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Configuración DBT</w:t>
            </w:r>
          </w:p>
        </w:tc>
        <w:tc>
          <w:tcPr>
            <w:tcW w:w="1420" w:type="dxa"/>
            <w:tcBorders>
              <w:top w:val="nil"/>
              <w:left w:val="nil"/>
              <w:bottom w:val="single" w:sz="4" w:space="0" w:color="auto"/>
              <w:right w:val="single" w:sz="4" w:space="0" w:color="auto"/>
            </w:tcBorders>
            <w:shd w:val="clear" w:color="auto" w:fill="auto"/>
            <w:noWrap/>
            <w:vAlign w:val="center"/>
            <w:hideMark/>
          </w:tcPr>
          <w:p w14:paraId="4187878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3.642.096.000 </w:t>
            </w:r>
          </w:p>
        </w:tc>
      </w:tr>
      <w:tr w:rsidR="00EC3804" w:rsidRPr="00321B46" w14:paraId="35895037" w14:textId="77777777" w:rsidTr="00B0187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E12FEF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N6S2</w:t>
            </w:r>
          </w:p>
        </w:tc>
        <w:tc>
          <w:tcPr>
            <w:tcW w:w="7120" w:type="dxa"/>
            <w:tcBorders>
              <w:top w:val="nil"/>
              <w:left w:val="nil"/>
              <w:bottom w:val="single" w:sz="4" w:space="0" w:color="auto"/>
              <w:right w:val="single" w:sz="4" w:space="0" w:color="auto"/>
            </w:tcBorders>
            <w:shd w:val="clear" w:color="auto" w:fill="auto"/>
            <w:vAlign w:val="center"/>
            <w:hideMark/>
          </w:tcPr>
          <w:p w14:paraId="09CC0DD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Configuración DBT</w:t>
            </w:r>
          </w:p>
        </w:tc>
        <w:tc>
          <w:tcPr>
            <w:tcW w:w="1420" w:type="dxa"/>
            <w:tcBorders>
              <w:top w:val="nil"/>
              <w:left w:val="nil"/>
              <w:bottom w:val="single" w:sz="4" w:space="0" w:color="auto"/>
              <w:right w:val="single" w:sz="4" w:space="0" w:color="auto"/>
            </w:tcBorders>
            <w:shd w:val="clear" w:color="auto" w:fill="auto"/>
            <w:noWrap/>
            <w:vAlign w:val="center"/>
            <w:hideMark/>
          </w:tcPr>
          <w:p w14:paraId="743BCF3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3.654.730.000 </w:t>
            </w:r>
          </w:p>
        </w:tc>
      </w:tr>
      <w:tr w:rsidR="00EC3804" w:rsidRPr="00321B46" w14:paraId="665384A7" w14:textId="77777777" w:rsidTr="00B0187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FD722B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N6S3</w:t>
            </w:r>
          </w:p>
        </w:tc>
        <w:tc>
          <w:tcPr>
            <w:tcW w:w="7120" w:type="dxa"/>
            <w:tcBorders>
              <w:top w:val="nil"/>
              <w:left w:val="nil"/>
              <w:bottom w:val="single" w:sz="4" w:space="0" w:color="auto"/>
              <w:right w:val="single" w:sz="4" w:space="0" w:color="auto"/>
            </w:tcBorders>
            <w:shd w:val="clear" w:color="auto" w:fill="auto"/>
            <w:vAlign w:val="center"/>
            <w:hideMark/>
          </w:tcPr>
          <w:p w14:paraId="2B5BFDC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Configuración IM</w:t>
            </w:r>
          </w:p>
        </w:tc>
        <w:tc>
          <w:tcPr>
            <w:tcW w:w="1420" w:type="dxa"/>
            <w:tcBorders>
              <w:top w:val="nil"/>
              <w:left w:val="nil"/>
              <w:bottom w:val="single" w:sz="4" w:space="0" w:color="auto"/>
              <w:right w:val="single" w:sz="4" w:space="0" w:color="auto"/>
            </w:tcBorders>
            <w:shd w:val="clear" w:color="auto" w:fill="auto"/>
            <w:noWrap/>
            <w:vAlign w:val="center"/>
            <w:hideMark/>
          </w:tcPr>
          <w:p w14:paraId="0322BA5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3.318.264.000 </w:t>
            </w:r>
          </w:p>
        </w:tc>
      </w:tr>
      <w:tr w:rsidR="00EC3804" w:rsidRPr="00321B46" w14:paraId="55F3D31B" w14:textId="77777777" w:rsidTr="00B0187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D14EDD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N6S4</w:t>
            </w:r>
          </w:p>
        </w:tc>
        <w:tc>
          <w:tcPr>
            <w:tcW w:w="7120" w:type="dxa"/>
            <w:tcBorders>
              <w:top w:val="nil"/>
              <w:left w:val="nil"/>
              <w:bottom w:val="single" w:sz="4" w:space="0" w:color="auto"/>
              <w:right w:val="single" w:sz="4" w:space="0" w:color="auto"/>
            </w:tcBorders>
            <w:shd w:val="clear" w:color="auto" w:fill="auto"/>
            <w:vAlign w:val="center"/>
            <w:hideMark/>
          </w:tcPr>
          <w:p w14:paraId="16F4FC31"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Configuración IM</w:t>
            </w:r>
          </w:p>
        </w:tc>
        <w:tc>
          <w:tcPr>
            <w:tcW w:w="1420" w:type="dxa"/>
            <w:tcBorders>
              <w:top w:val="nil"/>
              <w:left w:val="nil"/>
              <w:bottom w:val="single" w:sz="4" w:space="0" w:color="auto"/>
              <w:right w:val="single" w:sz="4" w:space="0" w:color="auto"/>
            </w:tcBorders>
            <w:shd w:val="clear" w:color="auto" w:fill="auto"/>
            <w:noWrap/>
            <w:vAlign w:val="center"/>
            <w:hideMark/>
          </w:tcPr>
          <w:p w14:paraId="4F7BA84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3.318.264.000 </w:t>
            </w:r>
          </w:p>
        </w:tc>
      </w:tr>
      <w:tr w:rsidR="00EC3804" w:rsidRPr="00321B46" w14:paraId="41CE797F" w14:textId="77777777" w:rsidTr="00B0187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5F6A3C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N6S5</w:t>
            </w:r>
          </w:p>
        </w:tc>
        <w:tc>
          <w:tcPr>
            <w:tcW w:w="7120" w:type="dxa"/>
            <w:tcBorders>
              <w:top w:val="nil"/>
              <w:left w:val="nil"/>
              <w:bottom w:val="single" w:sz="4" w:space="0" w:color="auto"/>
              <w:right w:val="single" w:sz="4" w:space="0" w:color="auto"/>
            </w:tcBorders>
            <w:shd w:val="clear" w:color="auto" w:fill="auto"/>
            <w:vAlign w:val="center"/>
            <w:hideMark/>
          </w:tcPr>
          <w:p w14:paraId="61F6C60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Corte Central Configuración IM</w:t>
            </w:r>
          </w:p>
        </w:tc>
        <w:tc>
          <w:tcPr>
            <w:tcW w:w="1420" w:type="dxa"/>
            <w:tcBorders>
              <w:top w:val="nil"/>
              <w:left w:val="nil"/>
              <w:bottom w:val="single" w:sz="4" w:space="0" w:color="auto"/>
              <w:right w:val="single" w:sz="4" w:space="0" w:color="auto"/>
            </w:tcBorders>
            <w:shd w:val="clear" w:color="auto" w:fill="auto"/>
            <w:noWrap/>
            <w:vAlign w:val="center"/>
            <w:hideMark/>
          </w:tcPr>
          <w:p w14:paraId="5317596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2.326.154.000 </w:t>
            </w:r>
          </w:p>
        </w:tc>
      </w:tr>
      <w:tr w:rsidR="00EC3804" w:rsidRPr="00321B46" w14:paraId="6F7CAA42" w14:textId="77777777" w:rsidTr="00B0187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917E13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N6S6</w:t>
            </w:r>
          </w:p>
        </w:tc>
        <w:tc>
          <w:tcPr>
            <w:tcW w:w="7120" w:type="dxa"/>
            <w:tcBorders>
              <w:top w:val="nil"/>
              <w:left w:val="nil"/>
              <w:bottom w:val="single" w:sz="4" w:space="0" w:color="auto"/>
              <w:right w:val="single" w:sz="4" w:space="0" w:color="auto"/>
            </w:tcBorders>
            <w:shd w:val="clear" w:color="auto" w:fill="auto"/>
            <w:vAlign w:val="center"/>
            <w:hideMark/>
          </w:tcPr>
          <w:p w14:paraId="1428D4C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Acople Configuración DBT</w:t>
            </w:r>
          </w:p>
        </w:tc>
        <w:tc>
          <w:tcPr>
            <w:tcW w:w="1420" w:type="dxa"/>
            <w:tcBorders>
              <w:top w:val="nil"/>
              <w:left w:val="nil"/>
              <w:bottom w:val="single" w:sz="4" w:space="0" w:color="auto"/>
              <w:right w:val="single" w:sz="4" w:space="0" w:color="auto"/>
            </w:tcBorders>
            <w:shd w:val="clear" w:color="auto" w:fill="auto"/>
            <w:noWrap/>
            <w:vAlign w:val="center"/>
            <w:hideMark/>
          </w:tcPr>
          <w:p w14:paraId="7D77942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2.336.919.000 </w:t>
            </w:r>
          </w:p>
        </w:tc>
      </w:tr>
      <w:tr w:rsidR="00EC3804" w:rsidRPr="00321B46" w14:paraId="38323A79" w14:textId="77777777" w:rsidTr="00B0187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C9CA86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N6S7</w:t>
            </w:r>
          </w:p>
        </w:tc>
        <w:tc>
          <w:tcPr>
            <w:tcW w:w="7120" w:type="dxa"/>
            <w:tcBorders>
              <w:top w:val="nil"/>
              <w:left w:val="nil"/>
              <w:bottom w:val="single" w:sz="4" w:space="0" w:color="auto"/>
              <w:right w:val="single" w:sz="4" w:space="0" w:color="auto"/>
            </w:tcBorders>
            <w:shd w:val="clear" w:color="auto" w:fill="auto"/>
            <w:vAlign w:val="center"/>
            <w:hideMark/>
          </w:tcPr>
          <w:p w14:paraId="40F6409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 Tipo 1 Configuración DBT</w:t>
            </w:r>
          </w:p>
        </w:tc>
        <w:tc>
          <w:tcPr>
            <w:tcW w:w="1420" w:type="dxa"/>
            <w:tcBorders>
              <w:top w:val="nil"/>
              <w:left w:val="nil"/>
              <w:bottom w:val="single" w:sz="4" w:space="0" w:color="auto"/>
              <w:right w:val="single" w:sz="4" w:space="0" w:color="auto"/>
            </w:tcBorders>
            <w:shd w:val="clear" w:color="auto" w:fill="auto"/>
            <w:noWrap/>
            <w:vAlign w:val="center"/>
            <w:hideMark/>
          </w:tcPr>
          <w:p w14:paraId="4218459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884.757.000 </w:t>
            </w:r>
          </w:p>
        </w:tc>
      </w:tr>
      <w:tr w:rsidR="00EC3804" w:rsidRPr="00321B46" w14:paraId="45FFE4E6" w14:textId="77777777" w:rsidTr="00B0187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9FA098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N6S8</w:t>
            </w:r>
          </w:p>
        </w:tc>
        <w:tc>
          <w:tcPr>
            <w:tcW w:w="7120" w:type="dxa"/>
            <w:tcBorders>
              <w:top w:val="nil"/>
              <w:left w:val="nil"/>
              <w:bottom w:val="single" w:sz="4" w:space="0" w:color="auto"/>
              <w:right w:val="single" w:sz="4" w:space="0" w:color="auto"/>
            </w:tcBorders>
            <w:shd w:val="clear" w:color="auto" w:fill="auto"/>
            <w:vAlign w:val="center"/>
            <w:hideMark/>
          </w:tcPr>
          <w:p w14:paraId="084C442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 Tipo 1 Configuración IM</w:t>
            </w:r>
          </w:p>
        </w:tc>
        <w:tc>
          <w:tcPr>
            <w:tcW w:w="1420" w:type="dxa"/>
            <w:tcBorders>
              <w:top w:val="nil"/>
              <w:left w:val="nil"/>
              <w:bottom w:val="single" w:sz="4" w:space="0" w:color="auto"/>
              <w:right w:val="single" w:sz="4" w:space="0" w:color="auto"/>
            </w:tcBorders>
            <w:shd w:val="clear" w:color="auto" w:fill="auto"/>
            <w:noWrap/>
            <w:vAlign w:val="center"/>
            <w:hideMark/>
          </w:tcPr>
          <w:p w14:paraId="70DF6A5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1.326.251.000 </w:t>
            </w:r>
          </w:p>
        </w:tc>
      </w:tr>
      <w:tr w:rsidR="00EC3804" w:rsidRPr="00321B46" w14:paraId="299E0582" w14:textId="77777777" w:rsidTr="00B0187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4FD1C1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N6S9</w:t>
            </w:r>
          </w:p>
        </w:tc>
        <w:tc>
          <w:tcPr>
            <w:tcW w:w="7120" w:type="dxa"/>
            <w:tcBorders>
              <w:top w:val="nil"/>
              <w:left w:val="nil"/>
              <w:bottom w:val="single" w:sz="4" w:space="0" w:color="auto"/>
              <w:right w:val="single" w:sz="4" w:space="0" w:color="auto"/>
            </w:tcBorders>
            <w:shd w:val="clear" w:color="auto" w:fill="auto"/>
            <w:vAlign w:val="center"/>
            <w:hideMark/>
          </w:tcPr>
          <w:p w14:paraId="7D2BF56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 Tipo 2 Configuración DBT</w:t>
            </w:r>
          </w:p>
        </w:tc>
        <w:tc>
          <w:tcPr>
            <w:tcW w:w="1420" w:type="dxa"/>
            <w:tcBorders>
              <w:top w:val="nil"/>
              <w:left w:val="nil"/>
              <w:bottom w:val="single" w:sz="4" w:space="0" w:color="auto"/>
              <w:right w:val="single" w:sz="4" w:space="0" w:color="auto"/>
            </w:tcBorders>
            <w:shd w:val="clear" w:color="auto" w:fill="auto"/>
            <w:noWrap/>
            <w:vAlign w:val="center"/>
            <w:hideMark/>
          </w:tcPr>
          <w:p w14:paraId="1A722FB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1.228.647.000 </w:t>
            </w:r>
          </w:p>
        </w:tc>
      </w:tr>
      <w:tr w:rsidR="00EC3804" w:rsidRPr="00321B46" w14:paraId="6BC77E98" w14:textId="77777777" w:rsidTr="00B0187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E46074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N6S10</w:t>
            </w:r>
          </w:p>
        </w:tc>
        <w:tc>
          <w:tcPr>
            <w:tcW w:w="7120" w:type="dxa"/>
            <w:tcBorders>
              <w:top w:val="nil"/>
              <w:left w:val="nil"/>
              <w:bottom w:val="single" w:sz="4" w:space="0" w:color="auto"/>
              <w:right w:val="single" w:sz="4" w:space="0" w:color="auto"/>
            </w:tcBorders>
            <w:shd w:val="clear" w:color="auto" w:fill="auto"/>
            <w:vAlign w:val="center"/>
            <w:hideMark/>
          </w:tcPr>
          <w:p w14:paraId="4F91C10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 Tipo 2 Configuración IM</w:t>
            </w:r>
          </w:p>
        </w:tc>
        <w:tc>
          <w:tcPr>
            <w:tcW w:w="1420" w:type="dxa"/>
            <w:tcBorders>
              <w:top w:val="nil"/>
              <w:left w:val="nil"/>
              <w:bottom w:val="single" w:sz="4" w:space="0" w:color="auto"/>
              <w:right w:val="single" w:sz="4" w:space="0" w:color="auto"/>
            </w:tcBorders>
            <w:shd w:val="clear" w:color="auto" w:fill="auto"/>
            <w:noWrap/>
            <w:vAlign w:val="center"/>
            <w:hideMark/>
          </w:tcPr>
          <w:p w14:paraId="25A5FC2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1.890.888.000 </w:t>
            </w:r>
          </w:p>
        </w:tc>
      </w:tr>
      <w:tr w:rsidR="00EC3804" w:rsidRPr="00321B46" w14:paraId="0AC5EC69" w14:textId="77777777" w:rsidTr="00B0187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F5074E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N6S11</w:t>
            </w:r>
          </w:p>
        </w:tc>
        <w:tc>
          <w:tcPr>
            <w:tcW w:w="7120" w:type="dxa"/>
            <w:tcBorders>
              <w:top w:val="nil"/>
              <w:left w:val="nil"/>
              <w:bottom w:val="single" w:sz="4" w:space="0" w:color="auto"/>
              <w:right w:val="single" w:sz="4" w:space="0" w:color="auto"/>
            </w:tcBorders>
            <w:shd w:val="clear" w:color="auto" w:fill="auto"/>
            <w:vAlign w:val="center"/>
            <w:hideMark/>
          </w:tcPr>
          <w:p w14:paraId="2CA2443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Común/Bahía - Tipo 1 Convencional Cualquier Configuración</w:t>
            </w:r>
          </w:p>
        </w:tc>
        <w:tc>
          <w:tcPr>
            <w:tcW w:w="1420" w:type="dxa"/>
            <w:tcBorders>
              <w:top w:val="nil"/>
              <w:left w:val="nil"/>
              <w:bottom w:val="single" w:sz="4" w:space="0" w:color="auto"/>
              <w:right w:val="single" w:sz="4" w:space="0" w:color="auto"/>
            </w:tcBorders>
            <w:shd w:val="clear" w:color="auto" w:fill="auto"/>
            <w:noWrap/>
            <w:vAlign w:val="center"/>
            <w:hideMark/>
          </w:tcPr>
          <w:p w14:paraId="681F106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1.106.030.000 </w:t>
            </w:r>
          </w:p>
        </w:tc>
      </w:tr>
      <w:tr w:rsidR="00EC3804" w:rsidRPr="00321B46" w14:paraId="282A396A" w14:textId="77777777" w:rsidTr="00B0187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60B1E3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N6S12</w:t>
            </w:r>
          </w:p>
        </w:tc>
        <w:tc>
          <w:tcPr>
            <w:tcW w:w="7120" w:type="dxa"/>
            <w:tcBorders>
              <w:top w:val="nil"/>
              <w:left w:val="nil"/>
              <w:bottom w:val="single" w:sz="4" w:space="0" w:color="auto"/>
              <w:right w:val="single" w:sz="4" w:space="0" w:color="auto"/>
            </w:tcBorders>
            <w:shd w:val="clear" w:color="auto" w:fill="auto"/>
            <w:vAlign w:val="center"/>
            <w:hideMark/>
          </w:tcPr>
          <w:p w14:paraId="5392BB9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Común/Bahía - Tipo 2 Convencional Cualquier Configuración</w:t>
            </w:r>
          </w:p>
        </w:tc>
        <w:tc>
          <w:tcPr>
            <w:tcW w:w="1420" w:type="dxa"/>
            <w:tcBorders>
              <w:top w:val="nil"/>
              <w:left w:val="nil"/>
              <w:bottom w:val="single" w:sz="4" w:space="0" w:color="auto"/>
              <w:right w:val="single" w:sz="4" w:space="0" w:color="auto"/>
            </w:tcBorders>
            <w:shd w:val="clear" w:color="auto" w:fill="auto"/>
            <w:noWrap/>
            <w:vAlign w:val="center"/>
            <w:hideMark/>
          </w:tcPr>
          <w:p w14:paraId="3F33254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1.103.198.000 </w:t>
            </w:r>
          </w:p>
        </w:tc>
      </w:tr>
      <w:tr w:rsidR="00EC3804" w:rsidRPr="00321B46" w14:paraId="75DDC928" w14:textId="77777777" w:rsidTr="00B0187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6E94D7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N6S13</w:t>
            </w:r>
          </w:p>
        </w:tc>
        <w:tc>
          <w:tcPr>
            <w:tcW w:w="7120" w:type="dxa"/>
            <w:tcBorders>
              <w:top w:val="nil"/>
              <w:left w:val="nil"/>
              <w:bottom w:val="single" w:sz="4" w:space="0" w:color="auto"/>
              <w:right w:val="single" w:sz="4" w:space="0" w:color="auto"/>
            </w:tcBorders>
            <w:shd w:val="clear" w:color="auto" w:fill="auto"/>
            <w:vAlign w:val="center"/>
            <w:hideMark/>
          </w:tcPr>
          <w:p w14:paraId="6F4D52F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Configuración DB</w:t>
            </w:r>
          </w:p>
        </w:tc>
        <w:tc>
          <w:tcPr>
            <w:tcW w:w="1420" w:type="dxa"/>
            <w:tcBorders>
              <w:top w:val="nil"/>
              <w:left w:val="nil"/>
              <w:bottom w:val="single" w:sz="4" w:space="0" w:color="auto"/>
              <w:right w:val="single" w:sz="4" w:space="0" w:color="auto"/>
            </w:tcBorders>
            <w:shd w:val="clear" w:color="auto" w:fill="auto"/>
            <w:noWrap/>
            <w:vAlign w:val="center"/>
            <w:hideMark/>
          </w:tcPr>
          <w:p w14:paraId="04741F3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3.678.562.000 </w:t>
            </w:r>
          </w:p>
        </w:tc>
      </w:tr>
      <w:tr w:rsidR="00EC3804" w:rsidRPr="00321B46" w14:paraId="4BD05099" w14:textId="77777777" w:rsidTr="00B0187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87AF75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N6S14</w:t>
            </w:r>
          </w:p>
        </w:tc>
        <w:tc>
          <w:tcPr>
            <w:tcW w:w="7120" w:type="dxa"/>
            <w:tcBorders>
              <w:top w:val="nil"/>
              <w:left w:val="nil"/>
              <w:bottom w:val="single" w:sz="4" w:space="0" w:color="auto"/>
              <w:right w:val="single" w:sz="4" w:space="0" w:color="auto"/>
            </w:tcBorders>
            <w:shd w:val="clear" w:color="auto" w:fill="auto"/>
            <w:vAlign w:val="center"/>
            <w:hideMark/>
          </w:tcPr>
          <w:p w14:paraId="0070CA7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Configuración DB</w:t>
            </w:r>
          </w:p>
        </w:tc>
        <w:tc>
          <w:tcPr>
            <w:tcW w:w="1420" w:type="dxa"/>
            <w:tcBorders>
              <w:top w:val="nil"/>
              <w:left w:val="nil"/>
              <w:bottom w:val="single" w:sz="4" w:space="0" w:color="auto"/>
              <w:right w:val="single" w:sz="4" w:space="0" w:color="auto"/>
            </w:tcBorders>
            <w:shd w:val="clear" w:color="auto" w:fill="auto"/>
            <w:noWrap/>
            <w:vAlign w:val="center"/>
            <w:hideMark/>
          </w:tcPr>
          <w:p w14:paraId="0213C74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3.678.562.000 </w:t>
            </w:r>
          </w:p>
        </w:tc>
      </w:tr>
      <w:tr w:rsidR="00EC3804" w:rsidRPr="00321B46" w14:paraId="5431DB76" w14:textId="77777777" w:rsidTr="00B0187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1B0DB3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N6S15</w:t>
            </w:r>
          </w:p>
        </w:tc>
        <w:tc>
          <w:tcPr>
            <w:tcW w:w="7120" w:type="dxa"/>
            <w:tcBorders>
              <w:top w:val="nil"/>
              <w:left w:val="nil"/>
              <w:bottom w:val="single" w:sz="4" w:space="0" w:color="auto"/>
              <w:right w:val="single" w:sz="4" w:space="0" w:color="auto"/>
            </w:tcBorders>
            <w:shd w:val="clear" w:color="auto" w:fill="auto"/>
            <w:vAlign w:val="center"/>
            <w:hideMark/>
          </w:tcPr>
          <w:p w14:paraId="48D62E6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 Tipo 1 Configuración DB</w:t>
            </w:r>
          </w:p>
        </w:tc>
        <w:tc>
          <w:tcPr>
            <w:tcW w:w="1420" w:type="dxa"/>
            <w:tcBorders>
              <w:top w:val="nil"/>
              <w:left w:val="nil"/>
              <w:bottom w:val="single" w:sz="4" w:space="0" w:color="auto"/>
              <w:right w:val="single" w:sz="4" w:space="0" w:color="auto"/>
            </w:tcBorders>
            <w:shd w:val="clear" w:color="auto" w:fill="auto"/>
            <w:noWrap/>
            <w:vAlign w:val="center"/>
            <w:hideMark/>
          </w:tcPr>
          <w:p w14:paraId="5BBF47C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884.757.000 </w:t>
            </w:r>
          </w:p>
        </w:tc>
      </w:tr>
      <w:tr w:rsidR="00EC3804" w:rsidRPr="00321B46" w14:paraId="142BBA8B" w14:textId="77777777" w:rsidTr="00B0187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7BD17D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N6S16</w:t>
            </w:r>
          </w:p>
        </w:tc>
        <w:tc>
          <w:tcPr>
            <w:tcW w:w="7120" w:type="dxa"/>
            <w:tcBorders>
              <w:top w:val="nil"/>
              <w:left w:val="nil"/>
              <w:bottom w:val="single" w:sz="4" w:space="0" w:color="auto"/>
              <w:right w:val="single" w:sz="4" w:space="0" w:color="auto"/>
            </w:tcBorders>
            <w:shd w:val="clear" w:color="auto" w:fill="auto"/>
            <w:vAlign w:val="center"/>
            <w:hideMark/>
          </w:tcPr>
          <w:p w14:paraId="4C490C2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 Tipo 2 Configuración DB</w:t>
            </w:r>
          </w:p>
        </w:tc>
        <w:tc>
          <w:tcPr>
            <w:tcW w:w="1420" w:type="dxa"/>
            <w:tcBorders>
              <w:top w:val="nil"/>
              <w:left w:val="nil"/>
              <w:bottom w:val="single" w:sz="4" w:space="0" w:color="auto"/>
              <w:right w:val="single" w:sz="4" w:space="0" w:color="auto"/>
            </w:tcBorders>
            <w:shd w:val="clear" w:color="auto" w:fill="auto"/>
            <w:noWrap/>
            <w:vAlign w:val="center"/>
            <w:hideMark/>
          </w:tcPr>
          <w:p w14:paraId="29649EC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1.243.931.000 </w:t>
            </w:r>
          </w:p>
        </w:tc>
      </w:tr>
      <w:tr w:rsidR="00EC3804" w:rsidRPr="00321B46" w14:paraId="1463541A" w14:textId="77777777" w:rsidTr="00B0187D">
        <w:trPr>
          <w:trHeight w:val="379"/>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CA02B3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N6S17</w:t>
            </w:r>
          </w:p>
        </w:tc>
        <w:tc>
          <w:tcPr>
            <w:tcW w:w="7120" w:type="dxa"/>
            <w:tcBorders>
              <w:top w:val="nil"/>
              <w:left w:val="nil"/>
              <w:bottom w:val="single" w:sz="4" w:space="0" w:color="auto"/>
              <w:right w:val="single" w:sz="4" w:space="0" w:color="auto"/>
            </w:tcBorders>
            <w:shd w:val="clear" w:color="auto" w:fill="auto"/>
            <w:vAlign w:val="center"/>
            <w:hideMark/>
          </w:tcPr>
          <w:p w14:paraId="57A6596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compensación paralela en linea fija - cualquier configuración - tipo convencional</w:t>
            </w:r>
          </w:p>
        </w:tc>
        <w:tc>
          <w:tcPr>
            <w:tcW w:w="1420" w:type="dxa"/>
            <w:tcBorders>
              <w:top w:val="nil"/>
              <w:left w:val="nil"/>
              <w:bottom w:val="single" w:sz="4" w:space="0" w:color="auto"/>
              <w:right w:val="single" w:sz="4" w:space="0" w:color="auto"/>
            </w:tcBorders>
            <w:shd w:val="clear" w:color="auto" w:fill="auto"/>
            <w:noWrap/>
            <w:vAlign w:val="center"/>
            <w:hideMark/>
          </w:tcPr>
          <w:p w14:paraId="23BFE93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4.137.641.000 </w:t>
            </w:r>
          </w:p>
        </w:tc>
      </w:tr>
      <w:tr w:rsidR="00EC3804" w:rsidRPr="00321B46" w14:paraId="78AB8238" w14:textId="77777777" w:rsidTr="00B0187D">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19E30D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N6S18</w:t>
            </w:r>
          </w:p>
        </w:tc>
        <w:tc>
          <w:tcPr>
            <w:tcW w:w="7120" w:type="dxa"/>
            <w:tcBorders>
              <w:top w:val="nil"/>
              <w:left w:val="nil"/>
              <w:bottom w:val="single" w:sz="4" w:space="0" w:color="auto"/>
              <w:right w:val="single" w:sz="4" w:space="0" w:color="auto"/>
            </w:tcBorders>
            <w:shd w:val="clear" w:color="auto" w:fill="auto"/>
            <w:vAlign w:val="center"/>
            <w:hideMark/>
          </w:tcPr>
          <w:p w14:paraId="6CC4F901"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compensación paralela en linea maniobrable - cualquier configuración - tipo convencional</w:t>
            </w:r>
          </w:p>
        </w:tc>
        <w:tc>
          <w:tcPr>
            <w:tcW w:w="1420" w:type="dxa"/>
            <w:tcBorders>
              <w:top w:val="nil"/>
              <w:left w:val="nil"/>
              <w:bottom w:val="single" w:sz="4" w:space="0" w:color="auto"/>
              <w:right w:val="single" w:sz="4" w:space="0" w:color="auto"/>
            </w:tcBorders>
            <w:shd w:val="clear" w:color="auto" w:fill="auto"/>
            <w:noWrap/>
            <w:vAlign w:val="center"/>
            <w:hideMark/>
          </w:tcPr>
          <w:p w14:paraId="5B91851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5.486.297.000 </w:t>
            </w:r>
          </w:p>
        </w:tc>
      </w:tr>
    </w:tbl>
    <w:p w14:paraId="66AF8764" w14:textId="34FE2A69" w:rsidR="00EC3804" w:rsidRPr="00321B46" w:rsidRDefault="00BE0E49" w:rsidP="003448EC">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9</w:t>
      </w:r>
      <w:r w:rsidRPr="00321B46">
        <w:fldChar w:fldCharType="end"/>
      </w:r>
      <w:r w:rsidRPr="00321B46">
        <w:t>.</w:t>
      </w:r>
      <w:r w:rsidR="00EC3804" w:rsidRPr="00321B46">
        <w:t xml:space="preserve"> UC de subestación de 230 kV</w:t>
      </w:r>
    </w:p>
    <w:tbl>
      <w:tblPr>
        <w:tblW w:w="9240" w:type="dxa"/>
        <w:tblCellMar>
          <w:left w:w="70" w:type="dxa"/>
          <w:right w:w="70" w:type="dxa"/>
        </w:tblCellMar>
        <w:tblLook w:val="04A0" w:firstRow="1" w:lastRow="0" w:firstColumn="1" w:lastColumn="0" w:noHBand="0" w:noVBand="1"/>
      </w:tblPr>
      <w:tblGrid>
        <w:gridCol w:w="700"/>
        <w:gridCol w:w="7000"/>
        <w:gridCol w:w="1540"/>
      </w:tblGrid>
      <w:tr w:rsidR="00EC3804" w:rsidRPr="00321B46" w14:paraId="5C797E1F" w14:textId="77777777" w:rsidTr="00B0187D">
        <w:trPr>
          <w:cantSplit/>
          <w:trHeight w:val="765"/>
          <w:tblHead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9FAA4"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UC</w:t>
            </w:r>
          </w:p>
        </w:tc>
        <w:tc>
          <w:tcPr>
            <w:tcW w:w="7000" w:type="dxa"/>
            <w:tcBorders>
              <w:top w:val="single" w:sz="4" w:space="0" w:color="auto"/>
              <w:left w:val="nil"/>
              <w:bottom w:val="nil"/>
              <w:right w:val="single" w:sz="4" w:space="0" w:color="auto"/>
            </w:tcBorders>
            <w:shd w:val="clear" w:color="auto" w:fill="auto"/>
            <w:vAlign w:val="center"/>
            <w:hideMark/>
          </w:tcPr>
          <w:p w14:paraId="09415453"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DESCRIPCIÓN</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A4CB99D"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VALOR INSTALADO</w:t>
            </w:r>
            <w:r w:rsidRPr="00321B46">
              <w:rPr>
                <w:color w:val="000000"/>
                <w:sz w:val="16"/>
                <w:szCs w:val="16"/>
                <w:lang w:val="es-CO" w:eastAsia="es-CO"/>
              </w:rPr>
              <w:br/>
              <w:t>[$ dic 2015]</w:t>
            </w:r>
          </w:p>
        </w:tc>
      </w:tr>
      <w:tr w:rsidR="00EC3804" w:rsidRPr="00321B46" w14:paraId="01BA1A9B"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BE84D0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N5S1</w:t>
            </w:r>
          </w:p>
        </w:tc>
        <w:tc>
          <w:tcPr>
            <w:tcW w:w="7000" w:type="dxa"/>
            <w:tcBorders>
              <w:top w:val="single" w:sz="4" w:space="0" w:color="auto"/>
              <w:left w:val="nil"/>
              <w:bottom w:val="single" w:sz="4" w:space="0" w:color="auto"/>
              <w:right w:val="single" w:sz="4" w:space="0" w:color="auto"/>
            </w:tcBorders>
            <w:shd w:val="clear" w:color="auto" w:fill="auto"/>
            <w:vAlign w:val="center"/>
            <w:hideMark/>
          </w:tcPr>
          <w:p w14:paraId="59E07A6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 configuración barra sencilla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13C4D8B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784.318.000 </w:t>
            </w:r>
          </w:p>
        </w:tc>
      </w:tr>
      <w:tr w:rsidR="00EC3804" w:rsidRPr="00321B46" w14:paraId="4040F0D6"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B9B5C0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N5S2</w:t>
            </w:r>
          </w:p>
        </w:tc>
        <w:tc>
          <w:tcPr>
            <w:tcW w:w="7000" w:type="dxa"/>
            <w:tcBorders>
              <w:top w:val="nil"/>
              <w:left w:val="nil"/>
              <w:bottom w:val="single" w:sz="4" w:space="0" w:color="auto"/>
              <w:right w:val="single" w:sz="4" w:space="0" w:color="auto"/>
            </w:tcBorders>
            <w:shd w:val="clear" w:color="auto" w:fill="auto"/>
            <w:vAlign w:val="center"/>
            <w:hideMark/>
          </w:tcPr>
          <w:p w14:paraId="7226BA2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barra sencilla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52C08F2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730.277.000 </w:t>
            </w:r>
          </w:p>
        </w:tc>
      </w:tr>
      <w:tr w:rsidR="00EC3804" w:rsidRPr="00321B46" w14:paraId="1C9234C2"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6640C8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N5S3</w:t>
            </w:r>
          </w:p>
        </w:tc>
        <w:tc>
          <w:tcPr>
            <w:tcW w:w="7000" w:type="dxa"/>
            <w:tcBorders>
              <w:top w:val="nil"/>
              <w:left w:val="nil"/>
              <w:bottom w:val="single" w:sz="4" w:space="0" w:color="auto"/>
              <w:right w:val="single" w:sz="4" w:space="0" w:color="auto"/>
            </w:tcBorders>
            <w:shd w:val="clear" w:color="auto" w:fill="auto"/>
            <w:vAlign w:val="center"/>
            <w:hideMark/>
          </w:tcPr>
          <w:p w14:paraId="17412EC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 configuración barra principal y transferencia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3AAD11D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1.010.515.000 </w:t>
            </w:r>
          </w:p>
        </w:tc>
      </w:tr>
      <w:tr w:rsidR="00EC3804" w:rsidRPr="00321B46" w14:paraId="4CDAA616"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FFEAD2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N5S4</w:t>
            </w:r>
          </w:p>
        </w:tc>
        <w:tc>
          <w:tcPr>
            <w:tcW w:w="7000" w:type="dxa"/>
            <w:tcBorders>
              <w:top w:val="nil"/>
              <w:left w:val="nil"/>
              <w:bottom w:val="single" w:sz="4" w:space="0" w:color="auto"/>
              <w:right w:val="single" w:sz="4" w:space="0" w:color="auto"/>
            </w:tcBorders>
            <w:shd w:val="clear" w:color="auto" w:fill="auto"/>
            <w:vAlign w:val="center"/>
            <w:hideMark/>
          </w:tcPr>
          <w:p w14:paraId="584661C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barra principal y transferencia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1F20EAC1"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1.010.132.000 </w:t>
            </w:r>
          </w:p>
        </w:tc>
      </w:tr>
      <w:tr w:rsidR="00EC3804" w:rsidRPr="00321B46" w14:paraId="09EB5610"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B2267C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N5S5</w:t>
            </w:r>
          </w:p>
        </w:tc>
        <w:tc>
          <w:tcPr>
            <w:tcW w:w="7000" w:type="dxa"/>
            <w:tcBorders>
              <w:top w:val="nil"/>
              <w:left w:val="nil"/>
              <w:bottom w:val="single" w:sz="4" w:space="0" w:color="auto"/>
              <w:right w:val="single" w:sz="4" w:space="0" w:color="auto"/>
            </w:tcBorders>
            <w:shd w:val="clear" w:color="auto" w:fill="auto"/>
            <w:vAlign w:val="center"/>
            <w:hideMark/>
          </w:tcPr>
          <w:p w14:paraId="71F3B8D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 configuración barra doble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2E0827C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941.715.000 </w:t>
            </w:r>
          </w:p>
        </w:tc>
      </w:tr>
      <w:tr w:rsidR="00EC3804" w:rsidRPr="00321B46" w14:paraId="372DC289"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45169F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N5S6</w:t>
            </w:r>
          </w:p>
        </w:tc>
        <w:tc>
          <w:tcPr>
            <w:tcW w:w="7000" w:type="dxa"/>
            <w:tcBorders>
              <w:top w:val="nil"/>
              <w:left w:val="nil"/>
              <w:bottom w:val="single" w:sz="4" w:space="0" w:color="auto"/>
              <w:right w:val="single" w:sz="4" w:space="0" w:color="auto"/>
            </w:tcBorders>
            <w:shd w:val="clear" w:color="auto" w:fill="auto"/>
            <w:vAlign w:val="center"/>
            <w:hideMark/>
          </w:tcPr>
          <w:p w14:paraId="625A435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barra doble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3BD6B6C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941.217.000 </w:t>
            </w:r>
          </w:p>
        </w:tc>
      </w:tr>
      <w:tr w:rsidR="00EC3804" w:rsidRPr="00321B46" w14:paraId="6FCE3E32"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18CD2F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N5S7</w:t>
            </w:r>
          </w:p>
        </w:tc>
        <w:tc>
          <w:tcPr>
            <w:tcW w:w="7000" w:type="dxa"/>
            <w:tcBorders>
              <w:top w:val="nil"/>
              <w:left w:val="nil"/>
              <w:bottom w:val="single" w:sz="4" w:space="0" w:color="auto"/>
              <w:right w:val="single" w:sz="4" w:space="0" w:color="auto"/>
            </w:tcBorders>
            <w:shd w:val="clear" w:color="auto" w:fill="auto"/>
            <w:vAlign w:val="center"/>
            <w:hideMark/>
          </w:tcPr>
          <w:p w14:paraId="4287303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 configuración barra doble con seccionador de transferencia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57519501"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1.212.827.000 </w:t>
            </w:r>
          </w:p>
        </w:tc>
      </w:tr>
      <w:tr w:rsidR="00EC3804" w:rsidRPr="00321B46" w14:paraId="6AE553D7"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635078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N5S8</w:t>
            </w:r>
          </w:p>
        </w:tc>
        <w:tc>
          <w:tcPr>
            <w:tcW w:w="7000" w:type="dxa"/>
            <w:tcBorders>
              <w:top w:val="nil"/>
              <w:left w:val="nil"/>
              <w:bottom w:val="single" w:sz="4" w:space="0" w:color="auto"/>
              <w:right w:val="single" w:sz="4" w:space="0" w:color="auto"/>
            </w:tcBorders>
            <w:shd w:val="clear" w:color="auto" w:fill="auto"/>
            <w:vAlign w:val="center"/>
            <w:hideMark/>
          </w:tcPr>
          <w:p w14:paraId="4B6E167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barra doble con seccionador de transferencia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59609FF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1.212.443.000 </w:t>
            </w:r>
          </w:p>
        </w:tc>
      </w:tr>
      <w:tr w:rsidR="00EC3804" w:rsidRPr="00321B46" w14:paraId="2DD95DB2"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ACE572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N5S9</w:t>
            </w:r>
          </w:p>
        </w:tc>
        <w:tc>
          <w:tcPr>
            <w:tcW w:w="7000" w:type="dxa"/>
            <w:tcBorders>
              <w:top w:val="nil"/>
              <w:left w:val="nil"/>
              <w:bottom w:val="single" w:sz="4" w:space="0" w:color="auto"/>
              <w:right w:val="single" w:sz="4" w:space="0" w:color="auto"/>
            </w:tcBorders>
            <w:shd w:val="clear" w:color="auto" w:fill="auto"/>
            <w:vAlign w:val="center"/>
            <w:hideMark/>
          </w:tcPr>
          <w:p w14:paraId="58F1D99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 configuración barra doble con by pass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51365EA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1.169.604.000 </w:t>
            </w:r>
          </w:p>
        </w:tc>
      </w:tr>
      <w:tr w:rsidR="00EC3804" w:rsidRPr="00321B46" w14:paraId="33AA827C"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6EC3E4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N5S10</w:t>
            </w:r>
          </w:p>
        </w:tc>
        <w:tc>
          <w:tcPr>
            <w:tcW w:w="7000" w:type="dxa"/>
            <w:tcBorders>
              <w:top w:val="nil"/>
              <w:left w:val="nil"/>
              <w:bottom w:val="single" w:sz="4" w:space="0" w:color="auto"/>
              <w:right w:val="single" w:sz="4" w:space="0" w:color="auto"/>
            </w:tcBorders>
            <w:shd w:val="clear" w:color="auto" w:fill="auto"/>
            <w:vAlign w:val="center"/>
            <w:hideMark/>
          </w:tcPr>
          <w:p w14:paraId="301DB74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barra doble con by pass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7F0D134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1.169.221.000 </w:t>
            </w:r>
          </w:p>
        </w:tc>
      </w:tr>
      <w:tr w:rsidR="00EC3804" w:rsidRPr="00321B46" w14:paraId="57DEC614"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F5C9F4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N5S11</w:t>
            </w:r>
          </w:p>
        </w:tc>
        <w:tc>
          <w:tcPr>
            <w:tcW w:w="7000" w:type="dxa"/>
            <w:tcBorders>
              <w:top w:val="nil"/>
              <w:left w:val="nil"/>
              <w:bottom w:val="single" w:sz="4" w:space="0" w:color="auto"/>
              <w:right w:val="single" w:sz="4" w:space="0" w:color="auto"/>
            </w:tcBorders>
            <w:shd w:val="clear" w:color="auto" w:fill="auto"/>
            <w:vAlign w:val="center"/>
            <w:hideMark/>
          </w:tcPr>
          <w:p w14:paraId="0F57EEB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 configuración  interruptor y medio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3B6CCC1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952.316.000 </w:t>
            </w:r>
          </w:p>
        </w:tc>
      </w:tr>
      <w:tr w:rsidR="00EC3804" w:rsidRPr="00321B46" w14:paraId="19519EF3"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861D5C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N5S12</w:t>
            </w:r>
          </w:p>
        </w:tc>
        <w:tc>
          <w:tcPr>
            <w:tcW w:w="7000" w:type="dxa"/>
            <w:tcBorders>
              <w:top w:val="nil"/>
              <w:left w:val="nil"/>
              <w:bottom w:val="single" w:sz="4" w:space="0" w:color="auto"/>
              <w:right w:val="single" w:sz="4" w:space="0" w:color="auto"/>
            </w:tcBorders>
            <w:shd w:val="clear" w:color="auto" w:fill="auto"/>
            <w:vAlign w:val="center"/>
            <w:hideMark/>
          </w:tcPr>
          <w:p w14:paraId="7C538F21"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interruptor y medio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2CA6E2A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952.104.000 </w:t>
            </w:r>
          </w:p>
        </w:tc>
      </w:tr>
      <w:tr w:rsidR="00EC3804" w:rsidRPr="00321B46" w14:paraId="658AF3C9"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B4B7CE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N5S13</w:t>
            </w:r>
          </w:p>
        </w:tc>
        <w:tc>
          <w:tcPr>
            <w:tcW w:w="7000" w:type="dxa"/>
            <w:tcBorders>
              <w:top w:val="nil"/>
              <w:left w:val="nil"/>
              <w:bottom w:val="single" w:sz="4" w:space="0" w:color="auto"/>
              <w:right w:val="single" w:sz="4" w:space="0" w:color="auto"/>
            </w:tcBorders>
            <w:shd w:val="clear" w:color="auto" w:fill="auto"/>
            <w:vAlign w:val="center"/>
            <w:hideMark/>
          </w:tcPr>
          <w:p w14:paraId="4A04C08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 configuración  en anillo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335BD86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925.411.000 </w:t>
            </w:r>
          </w:p>
        </w:tc>
      </w:tr>
      <w:tr w:rsidR="00EC3804" w:rsidRPr="00321B46" w14:paraId="581E5637"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EB7619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N5S14</w:t>
            </w:r>
          </w:p>
        </w:tc>
        <w:tc>
          <w:tcPr>
            <w:tcW w:w="7000" w:type="dxa"/>
            <w:tcBorders>
              <w:top w:val="nil"/>
              <w:left w:val="nil"/>
              <w:bottom w:val="single" w:sz="4" w:space="0" w:color="auto"/>
              <w:right w:val="single" w:sz="4" w:space="0" w:color="auto"/>
            </w:tcBorders>
            <w:shd w:val="clear" w:color="auto" w:fill="auto"/>
            <w:vAlign w:val="center"/>
            <w:hideMark/>
          </w:tcPr>
          <w:p w14:paraId="7C27326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en anillo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06C53F6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925.141.000 </w:t>
            </w:r>
          </w:p>
        </w:tc>
      </w:tr>
      <w:tr w:rsidR="00EC3804" w:rsidRPr="00321B46" w14:paraId="0DDC1D39"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EDE693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N5S15</w:t>
            </w:r>
          </w:p>
        </w:tc>
        <w:tc>
          <w:tcPr>
            <w:tcW w:w="7000" w:type="dxa"/>
            <w:tcBorders>
              <w:top w:val="nil"/>
              <w:left w:val="nil"/>
              <w:bottom w:val="single" w:sz="4" w:space="0" w:color="auto"/>
              <w:right w:val="single" w:sz="4" w:space="0" w:color="auto"/>
            </w:tcBorders>
            <w:shd w:val="clear" w:color="auto" w:fill="auto"/>
            <w:vAlign w:val="center"/>
            <w:hideMark/>
          </w:tcPr>
          <w:p w14:paraId="5577A97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 configuración barra doble - tipo encapsulada (SF6)</w:t>
            </w:r>
          </w:p>
        </w:tc>
        <w:tc>
          <w:tcPr>
            <w:tcW w:w="1540" w:type="dxa"/>
            <w:tcBorders>
              <w:top w:val="nil"/>
              <w:left w:val="nil"/>
              <w:bottom w:val="single" w:sz="4" w:space="0" w:color="auto"/>
              <w:right w:val="single" w:sz="4" w:space="0" w:color="auto"/>
            </w:tcBorders>
            <w:shd w:val="clear" w:color="auto" w:fill="auto"/>
            <w:noWrap/>
            <w:vAlign w:val="center"/>
            <w:hideMark/>
          </w:tcPr>
          <w:p w14:paraId="6AAD1A7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4.094.037.000 </w:t>
            </w:r>
          </w:p>
        </w:tc>
      </w:tr>
      <w:tr w:rsidR="00EC3804" w:rsidRPr="00321B46" w14:paraId="7A84F8B7"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059C1B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N5S16</w:t>
            </w:r>
          </w:p>
        </w:tc>
        <w:tc>
          <w:tcPr>
            <w:tcW w:w="7000" w:type="dxa"/>
            <w:tcBorders>
              <w:top w:val="nil"/>
              <w:left w:val="nil"/>
              <w:bottom w:val="single" w:sz="4" w:space="0" w:color="auto"/>
              <w:right w:val="single" w:sz="4" w:space="0" w:color="auto"/>
            </w:tcBorders>
            <w:shd w:val="clear" w:color="auto" w:fill="auto"/>
            <w:vAlign w:val="center"/>
            <w:hideMark/>
          </w:tcPr>
          <w:p w14:paraId="1E69513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barra doble - tipo encapsulada(SF6)</w:t>
            </w:r>
          </w:p>
        </w:tc>
        <w:tc>
          <w:tcPr>
            <w:tcW w:w="1540" w:type="dxa"/>
            <w:tcBorders>
              <w:top w:val="nil"/>
              <w:left w:val="nil"/>
              <w:bottom w:val="single" w:sz="4" w:space="0" w:color="auto"/>
              <w:right w:val="single" w:sz="4" w:space="0" w:color="auto"/>
            </w:tcBorders>
            <w:shd w:val="clear" w:color="auto" w:fill="auto"/>
            <w:noWrap/>
            <w:vAlign w:val="center"/>
            <w:hideMark/>
          </w:tcPr>
          <w:p w14:paraId="495C71C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4.081.292.000 </w:t>
            </w:r>
          </w:p>
        </w:tc>
      </w:tr>
      <w:tr w:rsidR="00EC3804" w:rsidRPr="00321B46" w14:paraId="395989A8"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A466B2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N5S17</w:t>
            </w:r>
          </w:p>
        </w:tc>
        <w:tc>
          <w:tcPr>
            <w:tcW w:w="7000" w:type="dxa"/>
            <w:tcBorders>
              <w:top w:val="nil"/>
              <w:left w:val="nil"/>
              <w:bottom w:val="single" w:sz="4" w:space="0" w:color="auto"/>
              <w:right w:val="single" w:sz="4" w:space="0" w:color="auto"/>
            </w:tcBorders>
            <w:shd w:val="clear" w:color="auto" w:fill="auto"/>
            <w:vAlign w:val="center"/>
            <w:hideMark/>
          </w:tcPr>
          <w:p w14:paraId="5A88CB7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 configuración doble barra con seccionador de transferencia - tipo encapsulada (SF6)</w:t>
            </w:r>
          </w:p>
        </w:tc>
        <w:tc>
          <w:tcPr>
            <w:tcW w:w="1540" w:type="dxa"/>
            <w:tcBorders>
              <w:top w:val="nil"/>
              <w:left w:val="nil"/>
              <w:bottom w:val="single" w:sz="4" w:space="0" w:color="auto"/>
              <w:right w:val="single" w:sz="4" w:space="0" w:color="auto"/>
            </w:tcBorders>
            <w:shd w:val="clear" w:color="auto" w:fill="auto"/>
            <w:noWrap/>
            <w:vAlign w:val="center"/>
            <w:hideMark/>
          </w:tcPr>
          <w:p w14:paraId="4CF3A04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4.371.302.000 </w:t>
            </w:r>
          </w:p>
        </w:tc>
      </w:tr>
      <w:tr w:rsidR="00EC3804" w:rsidRPr="00321B46" w14:paraId="5D733A71"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B02CA2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N5S18</w:t>
            </w:r>
          </w:p>
        </w:tc>
        <w:tc>
          <w:tcPr>
            <w:tcW w:w="7000" w:type="dxa"/>
            <w:tcBorders>
              <w:top w:val="nil"/>
              <w:left w:val="nil"/>
              <w:bottom w:val="single" w:sz="4" w:space="0" w:color="auto"/>
              <w:right w:val="single" w:sz="4" w:space="0" w:color="auto"/>
            </w:tcBorders>
            <w:shd w:val="clear" w:color="auto" w:fill="auto"/>
            <w:vAlign w:val="center"/>
            <w:hideMark/>
          </w:tcPr>
          <w:p w14:paraId="7511DEA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doble barra con seccionador de transferencia - tipo encapsulada(SF6)</w:t>
            </w:r>
          </w:p>
        </w:tc>
        <w:tc>
          <w:tcPr>
            <w:tcW w:w="1540" w:type="dxa"/>
            <w:tcBorders>
              <w:top w:val="nil"/>
              <w:left w:val="nil"/>
              <w:bottom w:val="single" w:sz="4" w:space="0" w:color="auto"/>
              <w:right w:val="single" w:sz="4" w:space="0" w:color="auto"/>
            </w:tcBorders>
            <w:shd w:val="clear" w:color="auto" w:fill="auto"/>
            <w:noWrap/>
            <w:vAlign w:val="center"/>
            <w:hideMark/>
          </w:tcPr>
          <w:p w14:paraId="4997BE7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4.371.302.000 </w:t>
            </w:r>
          </w:p>
        </w:tc>
      </w:tr>
      <w:tr w:rsidR="00EC3804" w:rsidRPr="00321B46" w14:paraId="036DDD36"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895DF0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N5S19</w:t>
            </w:r>
          </w:p>
        </w:tc>
        <w:tc>
          <w:tcPr>
            <w:tcW w:w="7000" w:type="dxa"/>
            <w:tcBorders>
              <w:top w:val="nil"/>
              <w:left w:val="nil"/>
              <w:bottom w:val="single" w:sz="4" w:space="0" w:color="auto"/>
              <w:right w:val="single" w:sz="4" w:space="0" w:color="auto"/>
            </w:tcBorders>
            <w:shd w:val="clear" w:color="auto" w:fill="auto"/>
            <w:vAlign w:val="center"/>
            <w:hideMark/>
          </w:tcPr>
          <w:p w14:paraId="1899476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Corte central configuración interruptor y medio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4B547DE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657.697.000 </w:t>
            </w:r>
          </w:p>
        </w:tc>
      </w:tr>
      <w:tr w:rsidR="00EC3804" w:rsidRPr="00321B46" w14:paraId="0325A4E2"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8CC042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N5S20</w:t>
            </w:r>
          </w:p>
        </w:tc>
        <w:tc>
          <w:tcPr>
            <w:tcW w:w="7000" w:type="dxa"/>
            <w:tcBorders>
              <w:top w:val="nil"/>
              <w:left w:val="nil"/>
              <w:bottom w:val="single" w:sz="4" w:space="0" w:color="auto"/>
              <w:right w:val="single" w:sz="4" w:space="0" w:color="auto"/>
            </w:tcBorders>
            <w:shd w:val="clear" w:color="auto" w:fill="auto"/>
            <w:vAlign w:val="center"/>
            <w:hideMark/>
          </w:tcPr>
          <w:p w14:paraId="35C769F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transferencia configuración barra principal y transferencia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3E37F10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563.127.000 </w:t>
            </w:r>
          </w:p>
        </w:tc>
      </w:tr>
      <w:tr w:rsidR="00EC3804" w:rsidRPr="00321B46" w14:paraId="2048D30E"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6332CB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N5S21</w:t>
            </w:r>
          </w:p>
        </w:tc>
        <w:tc>
          <w:tcPr>
            <w:tcW w:w="7000" w:type="dxa"/>
            <w:tcBorders>
              <w:top w:val="nil"/>
              <w:left w:val="nil"/>
              <w:bottom w:val="single" w:sz="4" w:space="0" w:color="auto"/>
              <w:right w:val="single" w:sz="4" w:space="0" w:color="auto"/>
            </w:tcBorders>
            <w:shd w:val="clear" w:color="auto" w:fill="auto"/>
            <w:vAlign w:val="center"/>
            <w:hideMark/>
          </w:tcPr>
          <w:p w14:paraId="0446842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acople configuraciones con doble barra</w:t>
            </w:r>
          </w:p>
        </w:tc>
        <w:tc>
          <w:tcPr>
            <w:tcW w:w="1540" w:type="dxa"/>
            <w:tcBorders>
              <w:top w:val="nil"/>
              <w:left w:val="nil"/>
              <w:bottom w:val="single" w:sz="4" w:space="0" w:color="auto"/>
              <w:right w:val="single" w:sz="4" w:space="0" w:color="auto"/>
            </w:tcBorders>
            <w:shd w:val="clear" w:color="auto" w:fill="auto"/>
            <w:noWrap/>
            <w:vAlign w:val="center"/>
            <w:hideMark/>
          </w:tcPr>
          <w:p w14:paraId="2048B4B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734.758.000 </w:t>
            </w:r>
          </w:p>
        </w:tc>
      </w:tr>
      <w:tr w:rsidR="00EC3804" w:rsidRPr="00321B46" w14:paraId="602E5684"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4D5710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N5S22</w:t>
            </w:r>
          </w:p>
        </w:tc>
        <w:tc>
          <w:tcPr>
            <w:tcW w:w="7000" w:type="dxa"/>
            <w:tcBorders>
              <w:top w:val="nil"/>
              <w:left w:val="nil"/>
              <w:bottom w:val="single" w:sz="4" w:space="0" w:color="auto"/>
              <w:right w:val="single" w:sz="4" w:space="0" w:color="auto"/>
            </w:tcBorders>
            <w:shd w:val="clear" w:color="auto" w:fill="auto"/>
            <w:vAlign w:val="center"/>
            <w:hideMark/>
          </w:tcPr>
          <w:p w14:paraId="2B5D716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seccionamiento configuraciones con doble barra</w:t>
            </w:r>
          </w:p>
        </w:tc>
        <w:tc>
          <w:tcPr>
            <w:tcW w:w="1540" w:type="dxa"/>
            <w:tcBorders>
              <w:top w:val="nil"/>
              <w:left w:val="nil"/>
              <w:bottom w:val="single" w:sz="4" w:space="0" w:color="auto"/>
              <w:right w:val="single" w:sz="4" w:space="0" w:color="auto"/>
            </w:tcBorders>
            <w:shd w:val="clear" w:color="auto" w:fill="auto"/>
            <w:noWrap/>
            <w:vAlign w:val="center"/>
            <w:hideMark/>
          </w:tcPr>
          <w:p w14:paraId="3AD388A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509.202.000 </w:t>
            </w:r>
          </w:p>
        </w:tc>
      </w:tr>
      <w:tr w:rsidR="00EC3804" w:rsidRPr="00321B46" w14:paraId="1E0720D6"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B9FCB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N5S23</w:t>
            </w:r>
          </w:p>
        </w:tc>
        <w:tc>
          <w:tcPr>
            <w:tcW w:w="7000" w:type="dxa"/>
            <w:tcBorders>
              <w:top w:val="nil"/>
              <w:left w:val="nil"/>
              <w:bottom w:val="single" w:sz="4" w:space="0" w:color="auto"/>
              <w:right w:val="single" w:sz="4" w:space="0" w:color="auto"/>
            </w:tcBorders>
            <w:shd w:val="clear" w:color="auto" w:fill="auto"/>
            <w:vAlign w:val="center"/>
            <w:hideMark/>
          </w:tcPr>
          <w:p w14:paraId="3620CE8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1 - configuración barra sencilla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239ECC0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263.486.000 </w:t>
            </w:r>
          </w:p>
        </w:tc>
      </w:tr>
      <w:tr w:rsidR="00EC3804" w:rsidRPr="00321B46" w14:paraId="3761EA60"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2836CD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N5S24</w:t>
            </w:r>
          </w:p>
        </w:tc>
        <w:tc>
          <w:tcPr>
            <w:tcW w:w="7000" w:type="dxa"/>
            <w:tcBorders>
              <w:top w:val="nil"/>
              <w:left w:val="nil"/>
              <w:bottom w:val="single" w:sz="4" w:space="0" w:color="auto"/>
              <w:right w:val="single" w:sz="4" w:space="0" w:color="auto"/>
            </w:tcBorders>
            <w:shd w:val="clear" w:color="auto" w:fill="auto"/>
            <w:vAlign w:val="center"/>
            <w:hideMark/>
          </w:tcPr>
          <w:p w14:paraId="56F419D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1 - configuración barra doble con seccionador de transferencia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6D8F8EB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312.234.000 </w:t>
            </w:r>
          </w:p>
        </w:tc>
      </w:tr>
      <w:tr w:rsidR="00EC3804" w:rsidRPr="00321B46" w14:paraId="6DCB498F"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269493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N5S25</w:t>
            </w:r>
          </w:p>
        </w:tc>
        <w:tc>
          <w:tcPr>
            <w:tcW w:w="7000" w:type="dxa"/>
            <w:tcBorders>
              <w:top w:val="nil"/>
              <w:left w:val="nil"/>
              <w:bottom w:val="single" w:sz="4" w:space="0" w:color="auto"/>
              <w:right w:val="single" w:sz="4" w:space="0" w:color="auto"/>
            </w:tcBorders>
            <w:shd w:val="clear" w:color="auto" w:fill="auto"/>
            <w:vAlign w:val="center"/>
            <w:hideMark/>
          </w:tcPr>
          <w:p w14:paraId="5C2A320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2 - configuración barra doble con seccionador de transferencia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59CECE4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455.200.000 </w:t>
            </w:r>
          </w:p>
        </w:tc>
      </w:tr>
      <w:tr w:rsidR="00EC3804" w:rsidRPr="00321B46" w14:paraId="6C45C68A"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AD1EAC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N5S26</w:t>
            </w:r>
          </w:p>
        </w:tc>
        <w:tc>
          <w:tcPr>
            <w:tcW w:w="7000" w:type="dxa"/>
            <w:tcBorders>
              <w:top w:val="nil"/>
              <w:left w:val="nil"/>
              <w:bottom w:val="single" w:sz="4" w:space="0" w:color="auto"/>
              <w:right w:val="single" w:sz="4" w:space="0" w:color="auto"/>
            </w:tcBorders>
            <w:shd w:val="clear" w:color="auto" w:fill="auto"/>
            <w:vAlign w:val="center"/>
            <w:hideMark/>
          </w:tcPr>
          <w:p w14:paraId="5227FF6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2 - configuración interruptor y medio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637DCD9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544.965.000 </w:t>
            </w:r>
          </w:p>
        </w:tc>
      </w:tr>
      <w:tr w:rsidR="00EC3804" w:rsidRPr="00321B46" w14:paraId="1DEB4160"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BDE996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N5S27</w:t>
            </w:r>
          </w:p>
        </w:tc>
        <w:tc>
          <w:tcPr>
            <w:tcW w:w="7000" w:type="dxa"/>
            <w:tcBorders>
              <w:top w:val="nil"/>
              <w:left w:val="nil"/>
              <w:bottom w:val="single" w:sz="4" w:space="0" w:color="auto"/>
              <w:right w:val="single" w:sz="4" w:space="0" w:color="auto"/>
            </w:tcBorders>
            <w:shd w:val="clear" w:color="auto" w:fill="auto"/>
            <w:vAlign w:val="center"/>
            <w:hideMark/>
          </w:tcPr>
          <w:p w14:paraId="35B045F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 configuración barra sencilla - tipo encapsulada (SF6)</w:t>
            </w:r>
          </w:p>
        </w:tc>
        <w:tc>
          <w:tcPr>
            <w:tcW w:w="1540" w:type="dxa"/>
            <w:tcBorders>
              <w:top w:val="nil"/>
              <w:left w:val="nil"/>
              <w:bottom w:val="single" w:sz="4" w:space="0" w:color="auto"/>
              <w:right w:val="single" w:sz="4" w:space="0" w:color="auto"/>
            </w:tcBorders>
            <w:shd w:val="clear" w:color="auto" w:fill="auto"/>
            <w:noWrap/>
            <w:vAlign w:val="center"/>
            <w:hideMark/>
          </w:tcPr>
          <w:p w14:paraId="4678A8A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3.811.425.000 </w:t>
            </w:r>
          </w:p>
        </w:tc>
      </w:tr>
      <w:tr w:rsidR="00EC3804" w:rsidRPr="00321B46" w14:paraId="470E3276"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537BB8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N5S28</w:t>
            </w:r>
          </w:p>
        </w:tc>
        <w:tc>
          <w:tcPr>
            <w:tcW w:w="7000" w:type="dxa"/>
            <w:tcBorders>
              <w:top w:val="nil"/>
              <w:left w:val="nil"/>
              <w:bottom w:val="single" w:sz="4" w:space="0" w:color="auto"/>
              <w:right w:val="single" w:sz="4" w:space="0" w:color="auto"/>
            </w:tcBorders>
            <w:shd w:val="clear" w:color="auto" w:fill="auto"/>
            <w:vAlign w:val="center"/>
            <w:hideMark/>
          </w:tcPr>
          <w:p w14:paraId="2621A74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barra sencilla - tipo encapsulada(SF6)</w:t>
            </w:r>
          </w:p>
        </w:tc>
        <w:tc>
          <w:tcPr>
            <w:tcW w:w="1540" w:type="dxa"/>
            <w:tcBorders>
              <w:top w:val="nil"/>
              <w:left w:val="nil"/>
              <w:bottom w:val="single" w:sz="4" w:space="0" w:color="auto"/>
              <w:right w:val="single" w:sz="4" w:space="0" w:color="auto"/>
            </w:tcBorders>
            <w:shd w:val="clear" w:color="auto" w:fill="auto"/>
            <w:noWrap/>
            <w:vAlign w:val="center"/>
            <w:hideMark/>
          </w:tcPr>
          <w:p w14:paraId="741AE69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3.757.755.000 </w:t>
            </w:r>
          </w:p>
        </w:tc>
      </w:tr>
      <w:tr w:rsidR="00EC3804" w:rsidRPr="00321B46" w14:paraId="67D39A9C"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6B2A47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N5S29</w:t>
            </w:r>
          </w:p>
        </w:tc>
        <w:tc>
          <w:tcPr>
            <w:tcW w:w="7000" w:type="dxa"/>
            <w:tcBorders>
              <w:top w:val="nil"/>
              <w:left w:val="nil"/>
              <w:bottom w:val="single" w:sz="4" w:space="0" w:color="auto"/>
              <w:right w:val="single" w:sz="4" w:space="0" w:color="auto"/>
            </w:tcBorders>
            <w:shd w:val="clear" w:color="auto" w:fill="auto"/>
            <w:vAlign w:val="center"/>
            <w:hideMark/>
          </w:tcPr>
          <w:p w14:paraId="0E5C740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seccionamiento configuraciones barra sencilla</w:t>
            </w:r>
          </w:p>
        </w:tc>
        <w:tc>
          <w:tcPr>
            <w:tcW w:w="1540" w:type="dxa"/>
            <w:tcBorders>
              <w:top w:val="nil"/>
              <w:left w:val="nil"/>
              <w:bottom w:val="single" w:sz="4" w:space="0" w:color="auto"/>
              <w:right w:val="single" w:sz="4" w:space="0" w:color="auto"/>
            </w:tcBorders>
            <w:shd w:val="clear" w:color="auto" w:fill="auto"/>
            <w:noWrap/>
            <w:vAlign w:val="center"/>
            <w:hideMark/>
          </w:tcPr>
          <w:p w14:paraId="0BDAE6C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474.420.000 </w:t>
            </w:r>
          </w:p>
        </w:tc>
      </w:tr>
      <w:tr w:rsidR="00EC3804" w:rsidRPr="00321B46" w14:paraId="2D9C59F1"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BDF2F5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N5S30</w:t>
            </w:r>
          </w:p>
        </w:tc>
        <w:tc>
          <w:tcPr>
            <w:tcW w:w="7000" w:type="dxa"/>
            <w:tcBorders>
              <w:top w:val="nil"/>
              <w:left w:val="nil"/>
              <w:bottom w:val="single" w:sz="4" w:space="0" w:color="auto"/>
              <w:right w:val="single" w:sz="4" w:space="0" w:color="auto"/>
            </w:tcBorders>
            <w:shd w:val="clear" w:color="auto" w:fill="auto"/>
            <w:vAlign w:val="center"/>
            <w:hideMark/>
          </w:tcPr>
          <w:p w14:paraId="7C28AA5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maniobra - tipo encapsulada (SF6)</w:t>
            </w:r>
          </w:p>
        </w:tc>
        <w:tc>
          <w:tcPr>
            <w:tcW w:w="1540" w:type="dxa"/>
            <w:tcBorders>
              <w:top w:val="nil"/>
              <w:left w:val="nil"/>
              <w:bottom w:val="single" w:sz="4" w:space="0" w:color="auto"/>
              <w:right w:val="single" w:sz="4" w:space="0" w:color="auto"/>
            </w:tcBorders>
            <w:shd w:val="clear" w:color="auto" w:fill="auto"/>
            <w:noWrap/>
            <w:vAlign w:val="center"/>
            <w:hideMark/>
          </w:tcPr>
          <w:p w14:paraId="3F1BEE9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2.544.936.000 </w:t>
            </w:r>
          </w:p>
        </w:tc>
      </w:tr>
      <w:tr w:rsidR="00EC3804" w:rsidRPr="00321B46" w14:paraId="096FC39A"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233328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N5S31</w:t>
            </w:r>
          </w:p>
        </w:tc>
        <w:tc>
          <w:tcPr>
            <w:tcW w:w="7000" w:type="dxa"/>
            <w:tcBorders>
              <w:top w:val="nil"/>
              <w:left w:val="nil"/>
              <w:bottom w:val="single" w:sz="4" w:space="0" w:color="auto"/>
              <w:right w:val="single" w:sz="4" w:space="0" w:color="auto"/>
            </w:tcBorders>
            <w:shd w:val="clear" w:color="auto" w:fill="auto"/>
            <w:vAlign w:val="center"/>
            <w:hideMark/>
          </w:tcPr>
          <w:p w14:paraId="6126B69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2 - configuración barra sencilla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2538A71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309.469.000 </w:t>
            </w:r>
          </w:p>
        </w:tc>
      </w:tr>
      <w:tr w:rsidR="00EC3804" w:rsidRPr="00321B46" w14:paraId="4A984323"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FAFAA0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N5S32</w:t>
            </w:r>
          </w:p>
        </w:tc>
        <w:tc>
          <w:tcPr>
            <w:tcW w:w="7000" w:type="dxa"/>
            <w:tcBorders>
              <w:top w:val="nil"/>
              <w:left w:val="nil"/>
              <w:bottom w:val="single" w:sz="4" w:space="0" w:color="auto"/>
              <w:right w:val="single" w:sz="4" w:space="0" w:color="auto"/>
            </w:tcBorders>
            <w:shd w:val="clear" w:color="auto" w:fill="auto"/>
            <w:vAlign w:val="center"/>
            <w:hideMark/>
          </w:tcPr>
          <w:p w14:paraId="311AF2D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3 - configuración barra sencilla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71E3C8B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389.162.000 </w:t>
            </w:r>
          </w:p>
        </w:tc>
      </w:tr>
      <w:tr w:rsidR="00EC3804" w:rsidRPr="00321B46" w14:paraId="1D05838D"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E547F2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N5S33</w:t>
            </w:r>
          </w:p>
        </w:tc>
        <w:tc>
          <w:tcPr>
            <w:tcW w:w="7000" w:type="dxa"/>
            <w:tcBorders>
              <w:top w:val="nil"/>
              <w:left w:val="nil"/>
              <w:bottom w:val="single" w:sz="4" w:space="0" w:color="auto"/>
              <w:right w:val="single" w:sz="4" w:space="0" w:color="auto"/>
            </w:tcBorders>
            <w:shd w:val="clear" w:color="auto" w:fill="auto"/>
            <w:vAlign w:val="center"/>
            <w:hideMark/>
          </w:tcPr>
          <w:p w14:paraId="1A9E515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4 - configuración barra sencilla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46A402A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492.185.000 </w:t>
            </w:r>
          </w:p>
        </w:tc>
      </w:tr>
      <w:tr w:rsidR="00EC3804" w:rsidRPr="00321B46" w14:paraId="570C65CD"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794806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N5S34</w:t>
            </w:r>
          </w:p>
        </w:tc>
        <w:tc>
          <w:tcPr>
            <w:tcW w:w="7000" w:type="dxa"/>
            <w:tcBorders>
              <w:top w:val="nil"/>
              <w:left w:val="nil"/>
              <w:bottom w:val="single" w:sz="4" w:space="0" w:color="auto"/>
              <w:right w:val="single" w:sz="4" w:space="0" w:color="auto"/>
            </w:tcBorders>
            <w:shd w:val="clear" w:color="auto" w:fill="auto"/>
            <w:vAlign w:val="center"/>
            <w:hideMark/>
          </w:tcPr>
          <w:p w14:paraId="170DE00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1 - configuración barra doble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0A576D6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367.161.000 </w:t>
            </w:r>
          </w:p>
        </w:tc>
      </w:tr>
      <w:tr w:rsidR="00EC3804" w:rsidRPr="00321B46" w14:paraId="788C34AD"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1AA467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N5S35</w:t>
            </w:r>
          </w:p>
        </w:tc>
        <w:tc>
          <w:tcPr>
            <w:tcW w:w="7000" w:type="dxa"/>
            <w:tcBorders>
              <w:top w:val="nil"/>
              <w:left w:val="nil"/>
              <w:bottom w:val="single" w:sz="4" w:space="0" w:color="auto"/>
              <w:right w:val="single" w:sz="4" w:space="0" w:color="auto"/>
            </w:tcBorders>
            <w:shd w:val="clear" w:color="auto" w:fill="auto"/>
            <w:vAlign w:val="center"/>
            <w:hideMark/>
          </w:tcPr>
          <w:p w14:paraId="4C5DE04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2 - configuración barra doble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4872D61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571.378.000 </w:t>
            </w:r>
          </w:p>
        </w:tc>
      </w:tr>
      <w:tr w:rsidR="00EC3804" w:rsidRPr="00321B46" w14:paraId="0E862BA2"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CDC88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N5S36</w:t>
            </w:r>
          </w:p>
        </w:tc>
        <w:tc>
          <w:tcPr>
            <w:tcW w:w="7000" w:type="dxa"/>
            <w:tcBorders>
              <w:top w:val="nil"/>
              <w:left w:val="nil"/>
              <w:bottom w:val="single" w:sz="4" w:space="0" w:color="auto"/>
              <w:right w:val="single" w:sz="4" w:space="0" w:color="auto"/>
            </w:tcBorders>
            <w:shd w:val="clear" w:color="auto" w:fill="auto"/>
            <w:vAlign w:val="center"/>
            <w:hideMark/>
          </w:tcPr>
          <w:p w14:paraId="3292003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3 - configuración barra doble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261F016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723.077.000 </w:t>
            </w:r>
          </w:p>
        </w:tc>
      </w:tr>
      <w:tr w:rsidR="00EC3804" w:rsidRPr="00321B46" w14:paraId="70EF1564"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C449D7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N5S37</w:t>
            </w:r>
          </w:p>
        </w:tc>
        <w:tc>
          <w:tcPr>
            <w:tcW w:w="7000" w:type="dxa"/>
            <w:tcBorders>
              <w:top w:val="nil"/>
              <w:left w:val="nil"/>
              <w:bottom w:val="single" w:sz="4" w:space="0" w:color="auto"/>
              <w:right w:val="single" w:sz="4" w:space="0" w:color="auto"/>
            </w:tcBorders>
            <w:shd w:val="clear" w:color="auto" w:fill="auto"/>
            <w:vAlign w:val="center"/>
            <w:hideMark/>
          </w:tcPr>
          <w:p w14:paraId="7F59161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4 - configuración barra doble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17B0B3D1"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1.013.228.000 </w:t>
            </w:r>
          </w:p>
        </w:tc>
      </w:tr>
      <w:tr w:rsidR="00EC3804" w:rsidRPr="00321B46" w14:paraId="61CCA7FF"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F148D9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N5S38</w:t>
            </w:r>
          </w:p>
        </w:tc>
        <w:tc>
          <w:tcPr>
            <w:tcW w:w="7000" w:type="dxa"/>
            <w:tcBorders>
              <w:top w:val="nil"/>
              <w:left w:val="nil"/>
              <w:bottom w:val="single" w:sz="4" w:space="0" w:color="auto"/>
              <w:right w:val="single" w:sz="4" w:space="0" w:color="auto"/>
            </w:tcBorders>
            <w:shd w:val="clear" w:color="auto" w:fill="auto"/>
            <w:vAlign w:val="center"/>
            <w:hideMark/>
          </w:tcPr>
          <w:p w14:paraId="7287F7C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1 - configuración barra doble con by pass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653949A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367.161.000 </w:t>
            </w:r>
          </w:p>
        </w:tc>
      </w:tr>
      <w:tr w:rsidR="00EC3804" w:rsidRPr="00321B46" w14:paraId="5E9E5FFD"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355D14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N5S39</w:t>
            </w:r>
          </w:p>
        </w:tc>
        <w:tc>
          <w:tcPr>
            <w:tcW w:w="7000" w:type="dxa"/>
            <w:tcBorders>
              <w:top w:val="nil"/>
              <w:left w:val="nil"/>
              <w:bottom w:val="single" w:sz="4" w:space="0" w:color="auto"/>
              <w:right w:val="single" w:sz="4" w:space="0" w:color="auto"/>
            </w:tcBorders>
            <w:shd w:val="clear" w:color="auto" w:fill="auto"/>
            <w:vAlign w:val="center"/>
            <w:hideMark/>
          </w:tcPr>
          <w:p w14:paraId="0E4A835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2 - configuración barra doble con by pass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5B9E2FD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571.378.000 </w:t>
            </w:r>
          </w:p>
        </w:tc>
      </w:tr>
      <w:tr w:rsidR="00EC3804" w:rsidRPr="00321B46" w14:paraId="2EA7A4E9"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CD543A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N5S40</w:t>
            </w:r>
          </w:p>
        </w:tc>
        <w:tc>
          <w:tcPr>
            <w:tcW w:w="7000" w:type="dxa"/>
            <w:tcBorders>
              <w:top w:val="nil"/>
              <w:left w:val="nil"/>
              <w:bottom w:val="single" w:sz="4" w:space="0" w:color="auto"/>
              <w:right w:val="single" w:sz="4" w:space="0" w:color="auto"/>
            </w:tcBorders>
            <w:shd w:val="clear" w:color="auto" w:fill="auto"/>
            <w:vAlign w:val="center"/>
            <w:hideMark/>
          </w:tcPr>
          <w:p w14:paraId="1C922AB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3 - configuración barra doble con by pass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2E7DE42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723.077.000 </w:t>
            </w:r>
          </w:p>
        </w:tc>
      </w:tr>
      <w:tr w:rsidR="00EC3804" w:rsidRPr="00321B46" w14:paraId="4B2D8BF5"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6E3D3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N5S41</w:t>
            </w:r>
          </w:p>
        </w:tc>
        <w:tc>
          <w:tcPr>
            <w:tcW w:w="7000" w:type="dxa"/>
            <w:tcBorders>
              <w:top w:val="nil"/>
              <w:left w:val="nil"/>
              <w:bottom w:val="single" w:sz="4" w:space="0" w:color="auto"/>
              <w:right w:val="single" w:sz="4" w:space="0" w:color="auto"/>
            </w:tcBorders>
            <w:shd w:val="clear" w:color="auto" w:fill="auto"/>
            <w:vAlign w:val="center"/>
            <w:hideMark/>
          </w:tcPr>
          <w:p w14:paraId="502F0DC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4 - configuración barra doble con by pass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3831022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1.013.228.000 </w:t>
            </w:r>
          </w:p>
        </w:tc>
      </w:tr>
      <w:tr w:rsidR="00EC3804" w:rsidRPr="00321B46" w14:paraId="10CE5962"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D5F096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N5S42</w:t>
            </w:r>
          </w:p>
        </w:tc>
        <w:tc>
          <w:tcPr>
            <w:tcW w:w="7000" w:type="dxa"/>
            <w:tcBorders>
              <w:top w:val="nil"/>
              <w:left w:val="nil"/>
              <w:bottom w:val="single" w:sz="4" w:space="0" w:color="auto"/>
              <w:right w:val="single" w:sz="4" w:space="0" w:color="auto"/>
            </w:tcBorders>
            <w:shd w:val="clear" w:color="auto" w:fill="auto"/>
            <w:vAlign w:val="center"/>
            <w:hideMark/>
          </w:tcPr>
          <w:p w14:paraId="31F86E4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3 - configuración barra doble con seccionador de transferencia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22AAE2D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347.266.000 </w:t>
            </w:r>
          </w:p>
        </w:tc>
      </w:tr>
      <w:tr w:rsidR="00EC3804" w:rsidRPr="00321B46" w14:paraId="355C0AD0"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747CC4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N5S43</w:t>
            </w:r>
          </w:p>
        </w:tc>
        <w:tc>
          <w:tcPr>
            <w:tcW w:w="7000" w:type="dxa"/>
            <w:tcBorders>
              <w:top w:val="nil"/>
              <w:left w:val="nil"/>
              <w:bottom w:val="single" w:sz="4" w:space="0" w:color="auto"/>
              <w:right w:val="single" w:sz="4" w:space="0" w:color="auto"/>
            </w:tcBorders>
            <w:shd w:val="clear" w:color="auto" w:fill="auto"/>
            <w:vAlign w:val="center"/>
            <w:hideMark/>
          </w:tcPr>
          <w:p w14:paraId="7875C60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4 - configuración barra doble con seccionador de transferencia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593A870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462.089.000 </w:t>
            </w:r>
          </w:p>
        </w:tc>
      </w:tr>
      <w:tr w:rsidR="00EC3804" w:rsidRPr="00321B46" w14:paraId="13C9ABA8"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717A88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N5S44</w:t>
            </w:r>
          </w:p>
        </w:tc>
        <w:tc>
          <w:tcPr>
            <w:tcW w:w="7000" w:type="dxa"/>
            <w:tcBorders>
              <w:top w:val="nil"/>
              <w:left w:val="nil"/>
              <w:bottom w:val="single" w:sz="4" w:space="0" w:color="auto"/>
              <w:right w:val="single" w:sz="4" w:space="0" w:color="auto"/>
            </w:tcBorders>
            <w:shd w:val="clear" w:color="auto" w:fill="auto"/>
            <w:vAlign w:val="center"/>
            <w:hideMark/>
          </w:tcPr>
          <w:p w14:paraId="51A90A2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1 - configuración barra principal y transferencia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5CF73C1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367.161.000 </w:t>
            </w:r>
          </w:p>
        </w:tc>
      </w:tr>
      <w:tr w:rsidR="00EC3804" w:rsidRPr="00321B46" w14:paraId="73F4D3B3"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ACB095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N5S45</w:t>
            </w:r>
          </w:p>
        </w:tc>
        <w:tc>
          <w:tcPr>
            <w:tcW w:w="7000" w:type="dxa"/>
            <w:tcBorders>
              <w:top w:val="nil"/>
              <w:left w:val="nil"/>
              <w:bottom w:val="single" w:sz="4" w:space="0" w:color="auto"/>
              <w:right w:val="single" w:sz="4" w:space="0" w:color="auto"/>
            </w:tcBorders>
            <w:shd w:val="clear" w:color="auto" w:fill="auto"/>
            <w:vAlign w:val="center"/>
            <w:hideMark/>
          </w:tcPr>
          <w:p w14:paraId="1A317EF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2 - configuración barra principal y transferencia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77E0539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571.378.000 </w:t>
            </w:r>
          </w:p>
        </w:tc>
      </w:tr>
      <w:tr w:rsidR="00EC3804" w:rsidRPr="00321B46" w14:paraId="3F087817"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26A6B3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N5S46</w:t>
            </w:r>
          </w:p>
        </w:tc>
        <w:tc>
          <w:tcPr>
            <w:tcW w:w="7000" w:type="dxa"/>
            <w:tcBorders>
              <w:top w:val="nil"/>
              <w:left w:val="nil"/>
              <w:bottom w:val="single" w:sz="4" w:space="0" w:color="auto"/>
              <w:right w:val="single" w:sz="4" w:space="0" w:color="auto"/>
            </w:tcBorders>
            <w:shd w:val="clear" w:color="auto" w:fill="auto"/>
            <w:vAlign w:val="center"/>
            <w:hideMark/>
          </w:tcPr>
          <w:p w14:paraId="17A1150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3 - configuración barra principal y transferencia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19B139F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723.077.000 </w:t>
            </w:r>
          </w:p>
        </w:tc>
      </w:tr>
      <w:tr w:rsidR="00EC3804" w:rsidRPr="00321B46" w14:paraId="1FBA10C8"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2F3E44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N5S47</w:t>
            </w:r>
          </w:p>
        </w:tc>
        <w:tc>
          <w:tcPr>
            <w:tcW w:w="7000" w:type="dxa"/>
            <w:tcBorders>
              <w:top w:val="nil"/>
              <w:left w:val="nil"/>
              <w:bottom w:val="single" w:sz="4" w:space="0" w:color="auto"/>
              <w:right w:val="single" w:sz="4" w:space="0" w:color="auto"/>
            </w:tcBorders>
            <w:shd w:val="clear" w:color="auto" w:fill="auto"/>
            <w:vAlign w:val="center"/>
            <w:hideMark/>
          </w:tcPr>
          <w:p w14:paraId="218903B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4 - configuración barra principal y transferencia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20600C0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1.013.228.000 </w:t>
            </w:r>
          </w:p>
        </w:tc>
      </w:tr>
      <w:tr w:rsidR="00EC3804" w:rsidRPr="00321B46" w14:paraId="016D006F"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02290E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N5S48</w:t>
            </w:r>
          </w:p>
        </w:tc>
        <w:tc>
          <w:tcPr>
            <w:tcW w:w="7000" w:type="dxa"/>
            <w:tcBorders>
              <w:top w:val="nil"/>
              <w:left w:val="nil"/>
              <w:bottom w:val="single" w:sz="4" w:space="0" w:color="auto"/>
              <w:right w:val="single" w:sz="4" w:space="0" w:color="auto"/>
            </w:tcBorders>
            <w:shd w:val="clear" w:color="auto" w:fill="auto"/>
            <w:vAlign w:val="center"/>
            <w:hideMark/>
          </w:tcPr>
          <w:p w14:paraId="091D323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3 - configuración interruptor y medio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401BB14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719.332.000 </w:t>
            </w:r>
          </w:p>
        </w:tc>
      </w:tr>
      <w:tr w:rsidR="00EC3804" w:rsidRPr="00321B46" w14:paraId="7DC0C21B"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DB65DA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N5S49</w:t>
            </w:r>
          </w:p>
        </w:tc>
        <w:tc>
          <w:tcPr>
            <w:tcW w:w="7000" w:type="dxa"/>
            <w:tcBorders>
              <w:top w:val="nil"/>
              <w:left w:val="nil"/>
              <w:bottom w:val="single" w:sz="4" w:space="0" w:color="auto"/>
              <w:right w:val="single" w:sz="4" w:space="0" w:color="auto"/>
            </w:tcBorders>
            <w:shd w:val="clear" w:color="auto" w:fill="auto"/>
            <w:vAlign w:val="center"/>
            <w:hideMark/>
          </w:tcPr>
          <w:p w14:paraId="68343D9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de barraje tipo 4 - configuración interruptor y medio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372ABDD1"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894.761.000 </w:t>
            </w:r>
          </w:p>
        </w:tc>
      </w:tr>
      <w:tr w:rsidR="00EC3804" w:rsidRPr="00321B46" w14:paraId="36B1CDBA"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6E3751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N5S50</w:t>
            </w:r>
          </w:p>
        </w:tc>
        <w:tc>
          <w:tcPr>
            <w:tcW w:w="7000" w:type="dxa"/>
            <w:tcBorders>
              <w:top w:val="nil"/>
              <w:left w:val="nil"/>
              <w:bottom w:val="single" w:sz="4" w:space="0" w:color="auto"/>
              <w:right w:val="single" w:sz="4" w:space="0" w:color="auto"/>
            </w:tcBorders>
            <w:shd w:val="clear" w:color="auto" w:fill="auto"/>
            <w:vAlign w:val="center"/>
            <w:hideMark/>
          </w:tcPr>
          <w:p w14:paraId="3F0F5011"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común/bahía tipo 1 (1 a 4 bahías) - tipo convencional - cualquier configuración</w:t>
            </w:r>
          </w:p>
        </w:tc>
        <w:tc>
          <w:tcPr>
            <w:tcW w:w="1540" w:type="dxa"/>
            <w:tcBorders>
              <w:top w:val="nil"/>
              <w:left w:val="nil"/>
              <w:bottom w:val="single" w:sz="4" w:space="0" w:color="auto"/>
              <w:right w:val="single" w:sz="4" w:space="0" w:color="auto"/>
            </w:tcBorders>
            <w:shd w:val="clear" w:color="auto" w:fill="auto"/>
            <w:noWrap/>
            <w:vAlign w:val="center"/>
            <w:hideMark/>
          </w:tcPr>
          <w:p w14:paraId="497F60C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644.048.000 </w:t>
            </w:r>
          </w:p>
        </w:tc>
      </w:tr>
      <w:tr w:rsidR="00EC3804" w:rsidRPr="00321B46" w14:paraId="34B33030"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E2E1AF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N5S51</w:t>
            </w:r>
          </w:p>
        </w:tc>
        <w:tc>
          <w:tcPr>
            <w:tcW w:w="7000" w:type="dxa"/>
            <w:tcBorders>
              <w:top w:val="nil"/>
              <w:left w:val="nil"/>
              <w:bottom w:val="single" w:sz="4" w:space="0" w:color="auto"/>
              <w:right w:val="single" w:sz="4" w:space="0" w:color="auto"/>
            </w:tcBorders>
            <w:shd w:val="clear" w:color="auto" w:fill="auto"/>
            <w:vAlign w:val="center"/>
            <w:hideMark/>
          </w:tcPr>
          <w:p w14:paraId="29CD004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común/bahía tipo 2 (5 a 8 bahías) - tipo convencional   - cualquier configuración</w:t>
            </w:r>
          </w:p>
        </w:tc>
        <w:tc>
          <w:tcPr>
            <w:tcW w:w="1540" w:type="dxa"/>
            <w:tcBorders>
              <w:top w:val="nil"/>
              <w:left w:val="nil"/>
              <w:bottom w:val="single" w:sz="4" w:space="0" w:color="auto"/>
              <w:right w:val="single" w:sz="4" w:space="0" w:color="auto"/>
            </w:tcBorders>
            <w:shd w:val="clear" w:color="auto" w:fill="auto"/>
            <w:noWrap/>
            <w:vAlign w:val="center"/>
            <w:hideMark/>
          </w:tcPr>
          <w:p w14:paraId="38912E8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553.367.000 </w:t>
            </w:r>
          </w:p>
        </w:tc>
      </w:tr>
      <w:tr w:rsidR="00EC3804" w:rsidRPr="00321B46" w14:paraId="149E4A17"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94C62E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N5S52</w:t>
            </w:r>
          </w:p>
        </w:tc>
        <w:tc>
          <w:tcPr>
            <w:tcW w:w="7000" w:type="dxa"/>
            <w:tcBorders>
              <w:top w:val="nil"/>
              <w:left w:val="nil"/>
              <w:bottom w:val="single" w:sz="4" w:space="0" w:color="auto"/>
              <w:right w:val="single" w:sz="4" w:space="0" w:color="auto"/>
            </w:tcBorders>
            <w:shd w:val="clear" w:color="auto" w:fill="auto"/>
            <w:vAlign w:val="center"/>
            <w:hideMark/>
          </w:tcPr>
          <w:p w14:paraId="627BEE7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común/bahía tipo 3 (9 a 12 bahías) - tipo convencional   - cualquier configuración</w:t>
            </w:r>
          </w:p>
        </w:tc>
        <w:tc>
          <w:tcPr>
            <w:tcW w:w="1540" w:type="dxa"/>
            <w:tcBorders>
              <w:top w:val="nil"/>
              <w:left w:val="nil"/>
              <w:bottom w:val="single" w:sz="4" w:space="0" w:color="auto"/>
              <w:right w:val="single" w:sz="4" w:space="0" w:color="auto"/>
            </w:tcBorders>
            <w:shd w:val="clear" w:color="auto" w:fill="auto"/>
            <w:noWrap/>
            <w:vAlign w:val="center"/>
            <w:hideMark/>
          </w:tcPr>
          <w:p w14:paraId="4779542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592.931.000 </w:t>
            </w:r>
          </w:p>
        </w:tc>
      </w:tr>
      <w:tr w:rsidR="00EC3804" w:rsidRPr="00321B46" w14:paraId="7EDAAB38"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78D19B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N5S53</w:t>
            </w:r>
          </w:p>
        </w:tc>
        <w:tc>
          <w:tcPr>
            <w:tcW w:w="7000" w:type="dxa"/>
            <w:tcBorders>
              <w:top w:val="nil"/>
              <w:left w:val="nil"/>
              <w:bottom w:val="single" w:sz="4" w:space="0" w:color="auto"/>
              <w:right w:val="single" w:sz="4" w:space="0" w:color="auto"/>
            </w:tcBorders>
            <w:shd w:val="clear" w:color="auto" w:fill="auto"/>
            <w:vAlign w:val="center"/>
            <w:hideMark/>
          </w:tcPr>
          <w:p w14:paraId="1B21492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común/bahía tipo 4 (mas de 12 bahías) - tipo convencional   - cualquier configuración</w:t>
            </w:r>
          </w:p>
        </w:tc>
        <w:tc>
          <w:tcPr>
            <w:tcW w:w="1540" w:type="dxa"/>
            <w:tcBorders>
              <w:top w:val="nil"/>
              <w:left w:val="nil"/>
              <w:bottom w:val="single" w:sz="4" w:space="0" w:color="auto"/>
              <w:right w:val="single" w:sz="4" w:space="0" w:color="auto"/>
            </w:tcBorders>
            <w:shd w:val="clear" w:color="auto" w:fill="auto"/>
            <w:noWrap/>
            <w:vAlign w:val="center"/>
            <w:hideMark/>
          </w:tcPr>
          <w:p w14:paraId="66FFCFF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498.206.000 </w:t>
            </w:r>
          </w:p>
        </w:tc>
      </w:tr>
      <w:tr w:rsidR="00EC3804" w:rsidRPr="00321B46" w14:paraId="459BD148"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5E777C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N5S54</w:t>
            </w:r>
          </w:p>
        </w:tc>
        <w:tc>
          <w:tcPr>
            <w:tcW w:w="7000" w:type="dxa"/>
            <w:tcBorders>
              <w:top w:val="nil"/>
              <w:left w:val="nil"/>
              <w:bottom w:val="single" w:sz="4" w:space="0" w:color="auto"/>
              <w:right w:val="single" w:sz="4" w:space="0" w:color="auto"/>
            </w:tcBorders>
            <w:shd w:val="clear" w:color="auto" w:fill="auto"/>
            <w:vAlign w:val="center"/>
            <w:hideMark/>
          </w:tcPr>
          <w:p w14:paraId="3BEB17F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común/bahía tipo 1 (1 a 4 bahías) - tipo encapsulada - cualquier configuración</w:t>
            </w:r>
          </w:p>
        </w:tc>
        <w:tc>
          <w:tcPr>
            <w:tcW w:w="1540" w:type="dxa"/>
            <w:tcBorders>
              <w:top w:val="nil"/>
              <w:left w:val="nil"/>
              <w:bottom w:val="single" w:sz="4" w:space="0" w:color="auto"/>
              <w:right w:val="single" w:sz="4" w:space="0" w:color="auto"/>
            </w:tcBorders>
            <w:shd w:val="clear" w:color="auto" w:fill="auto"/>
            <w:noWrap/>
            <w:vAlign w:val="center"/>
            <w:hideMark/>
          </w:tcPr>
          <w:p w14:paraId="450400B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306.738.000 </w:t>
            </w:r>
          </w:p>
        </w:tc>
      </w:tr>
      <w:tr w:rsidR="00EC3804" w:rsidRPr="00321B46" w14:paraId="07129F47"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5B8937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N5S55</w:t>
            </w:r>
          </w:p>
        </w:tc>
        <w:tc>
          <w:tcPr>
            <w:tcW w:w="7000" w:type="dxa"/>
            <w:tcBorders>
              <w:top w:val="nil"/>
              <w:left w:val="nil"/>
              <w:bottom w:val="single" w:sz="4" w:space="0" w:color="auto"/>
              <w:right w:val="single" w:sz="4" w:space="0" w:color="auto"/>
            </w:tcBorders>
            <w:shd w:val="clear" w:color="auto" w:fill="auto"/>
            <w:vAlign w:val="center"/>
            <w:hideMark/>
          </w:tcPr>
          <w:p w14:paraId="14FE340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común/bahía tipo 2 (5 a 8 bahías) -  tipo encapsulada   - cualquier configuración</w:t>
            </w:r>
          </w:p>
        </w:tc>
        <w:tc>
          <w:tcPr>
            <w:tcW w:w="1540" w:type="dxa"/>
            <w:tcBorders>
              <w:top w:val="nil"/>
              <w:left w:val="nil"/>
              <w:bottom w:val="single" w:sz="4" w:space="0" w:color="auto"/>
              <w:right w:val="single" w:sz="4" w:space="0" w:color="auto"/>
            </w:tcBorders>
            <w:shd w:val="clear" w:color="auto" w:fill="auto"/>
            <w:noWrap/>
            <w:vAlign w:val="center"/>
            <w:hideMark/>
          </w:tcPr>
          <w:p w14:paraId="771F4E7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231.983.000 </w:t>
            </w:r>
          </w:p>
        </w:tc>
      </w:tr>
      <w:tr w:rsidR="00EC3804" w:rsidRPr="00321B46" w14:paraId="4DA45DFD"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750B21"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N5S56</w:t>
            </w:r>
          </w:p>
        </w:tc>
        <w:tc>
          <w:tcPr>
            <w:tcW w:w="7000" w:type="dxa"/>
            <w:tcBorders>
              <w:top w:val="nil"/>
              <w:left w:val="nil"/>
              <w:bottom w:val="single" w:sz="4" w:space="0" w:color="auto"/>
              <w:right w:val="single" w:sz="4" w:space="0" w:color="auto"/>
            </w:tcBorders>
            <w:shd w:val="clear" w:color="auto" w:fill="auto"/>
            <w:vAlign w:val="center"/>
            <w:hideMark/>
          </w:tcPr>
          <w:p w14:paraId="5538F4D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común/bahía tipo 3 (9 a 12 bahías) -  tipo encapsulada   - cualquier configuración</w:t>
            </w:r>
          </w:p>
        </w:tc>
        <w:tc>
          <w:tcPr>
            <w:tcW w:w="1540" w:type="dxa"/>
            <w:tcBorders>
              <w:top w:val="nil"/>
              <w:left w:val="nil"/>
              <w:bottom w:val="single" w:sz="4" w:space="0" w:color="auto"/>
              <w:right w:val="single" w:sz="4" w:space="0" w:color="auto"/>
            </w:tcBorders>
            <w:shd w:val="clear" w:color="auto" w:fill="auto"/>
            <w:noWrap/>
            <w:vAlign w:val="center"/>
            <w:hideMark/>
          </w:tcPr>
          <w:p w14:paraId="0516902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208.388.000 </w:t>
            </w:r>
          </w:p>
        </w:tc>
      </w:tr>
      <w:tr w:rsidR="00EC3804" w:rsidRPr="00321B46" w14:paraId="2BC82D9A"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B6937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N5S57</w:t>
            </w:r>
          </w:p>
        </w:tc>
        <w:tc>
          <w:tcPr>
            <w:tcW w:w="7000" w:type="dxa"/>
            <w:tcBorders>
              <w:top w:val="nil"/>
              <w:left w:val="nil"/>
              <w:bottom w:val="single" w:sz="4" w:space="0" w:color="auto"/>
              <w:right w:val="single" w:sz="4" w:space="0" w:color="auto"/>
            </w:tcBorders>
            <w:shd w:val="clear" w:color="auto" w:fill="auto"/>
            <w:vAlign w:val="center"/>
            <w:hideMark/>
          </w:tcPr>
          <w:p w14:paraId="384527C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Módulo común/bahía tipo 4 (mas de 12 bahías) - tipo encapsulada   - cualquier configuración</w:t>
            </w:r>
          </w:p>
        </w:tc>
        <w:tc>
          <w:tcPr>
            <w:tcW w:w="1540" w:type="dxa"/>
            <w:tcBorders>
              <w:top w:val="nil"/>
              <w:left w:val="nil"/>
              <w:bottom w:val="single" w:sz="4" w:space="0" w:color="auto"/>
              <w:right w:val="single" w:sz="4" w:space="0" w:color="auto"/>
            </w:tcBorders>
            <w:shd w:val="clear" w:color="auto" w:fill="auto"/>
            <w:noWrap/>
            <w:vAlign w:val="center"/>
            <w:hideMark/>
          </w:tcPr>
          <w:p w14:paraId="501409C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182.819.000 </w:t>
            </w:r>
          </w:p>
        </w:tc>
      </w:tr>
      <w:tr w:rsidR="00EC3804" w:rsidRPr="00321B46" w14:paraId="1ADBC43D"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98A2EA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N5S58</w:t>
            </w:r>
          </w:p>
        </w:tc>
        <w:tc>
          <w:tcPr>
            <w:tcW w:w="7000" w:type="dxa"/>
            <w:tcBorders>
              <w:top w:val="nil"/>
              <w:left w:val="nil"/>
              <w:bottom w:val="single" w:sz="4" w:space="0" w:color="auto"/>
              <w:right w:val="single" w:sz="4" w:space="0" w:color="auto"/>
            </w:tcBorders>
            <w:shd w:val="clear" w:color="auto" w:fill="auto"/>
            <w:vAlign w:val="center"/>
            <w:hideMark/>
          </w:tcPr>
          <w:p w14:paraId="052CC85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Campo móvil encapsulado nivel 5</w:t>
            </w:r>
          </w:p>
        </w:tc>
        <w:tc>
          <w:tcPr>
            <w:tcW w:w="1540" w:type="dxa"/>
            <w:tcBorders>
              <w:top w:val="nil"/>
              <w:left w:val="nil"/>
              <w:bottom w:val="single" w:sz="4" w:space="0" w:color="auto"/>
              <w:right w:val="single" w:sz="4" w:space="0" w:color="auto"/>
            </w:tcBorders>
            <w:shd w:val="clear" w:color="auto" w:fill="auto"/>
            <w:noWrap/>
            <w:vAlign w:val="center"/>
            <w:hideMark/>
          </w:tcPr>
          <w:p w14:paraId="220E54E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3.136.372.000 </w:t>
            </w:r>
          </w:p>
        </w:tc>
      </w:tr>
      <w:tr w:rsidR="00EC3804" w:rsidRPr="00321B46" w14:paraId="69E881A7"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C0412F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N5S59</w:t>
            </w:r>
          </w:p>
        </w:tc>
        <w:tc>
          <w:tcPr>
            <w:tcW w:w="7000" w:type="dxa"/>
            <w:tcBorders>
              <w:top w:val="nil"/>
              <w:left w:val="nil"/>
              <w:bottom w:val="single" w:sz="4" w:space="0" w:color="auto"/>
              <w:right w:val="single" w:sz="4" w:space="0" w:color="auto"/>
            </w:tcBorders>
            <w:shd w:val="clear" w:color="auto" w:fill="auto"/>
            <w:vAlign w:val="center"/>
            <w:hideMark/>
          </w:tcPr>
          <w:p w14:paraId="4358F13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maniobra - (seccionamiento de barras sin interruptor)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462A902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341.718.000 </w:t>
            </w:r>
          </w:p>
        </w:tc>
      </w:tr>
      <w:tr w:rsidR="00EC3804" w:rsidRPr="00321B46" w14:paraId="6E5CA13D"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7C2D5F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N5S60</w:t>
            </w:r>
          </w:p>
        </w:tc>
        <w:tc>
          <w:tcPr>
            <w:tcW w:w="7000" w:type="dxa"/>
            <w:tcBorders>
              <w:top w:val="nil"/>
              <w:left w:val="nil"/>
              <w:bottom w:val="single" w:sz="4" w:space="0" w:color="auto"/>
              <w:right w:val="single" w:sz="4" w:space="0" w:color="auto"/>
            </w:tcBorders>
            <w:shd w:val="clear" w:color="auto" w:fill="auto"/>
            <w:vAlign w:val="center"/>
            <w:hideMark/>
          </w:tcPr>
          <w:p w14:paraId="28960BB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compensación paralela en linea fija - cualquier configuración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1F4D2A4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978.482.000 </w:t>
            </w:r>
          </w:p>
        </w:tc>
      </w:tr>
      <w:tr w:rsidR="00EC3804" w:rsidRPr="00321B46" w14:paraId="7CA455C2"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2A2961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N5S61</w:t>
            </w:r>
          </w:p>
        </w:tc>
        <w:tc>
          <w:tcPr>
            <w:tcW w:w="7000" w:type="dxa"/>
            <w:tcBorders>
              <w:top w:val="nil"/>
              <w:left w:val="nil"/>
              <w:bottom w:val="single" w:sz="4" w:space="0" w:color="auto"/>
              <w:right w:val="single" w:sz="4" w:space="0" w:color="auto"/>
            </w:tcBorders>
            <w:shd w:val="clear" w:color="auto" w:fill="auto"/>
            <w:vAlign w:val="center"/>
            <w:hideMark/>
          </w:tcPr>
          <w:p w14:paraId="626611E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compensación paralela en linea maniobrable - cualquier configuración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00CABC3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977.920.000 </w:t>
            </w:r>
          </w:p>
        </w:tc>
      </w:tr>
      <w:tr w:rsidR="00EC3804" w:rsidRPr="00321B46" w14:paraId="1180EAB0"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77AFF5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N5S62</w:t>
            </w:r>
          </w:p>
        </w:tc>
        <w:tc>
          <w:tcPr>
            <w:tcW w:w="7000" w:type="dxa"/>
            <w:tcBorders>
              <w:top w:val="nil"/>
              <w:left w:val="nil"/>
              <w:bottom w:val="single" w:sz="4" w:space="0" w:color="auto"/>
              <w:right w:val="single" w:sz="4" w:space="0" w:color="auto"/>
            </w:tcBorders>
            <w:shd w:val="clear" w:color="auto" w:fill="auto"/>
            <w:vAlign w:val="center"/>
            <w:hideMark/>
          </w:tcPr>
          <w:p w14:paraId="54A3A35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compensación serie  - tipo convencional</w:t>
            </w:r>
          </w:p>
        </w:tc>
        <w:tc>
          <w:tcPr>
            <w:tcW w:w="1540" w:type="dxa"/>
            <w:tcBorders>
              <w:top w:val="nil"/>
              <w:left w:val="nil"/>
              <w:bottom w:val="single" w:sz="4" w:space="0" w:color="auto"/>
              <w:right w:val="single" w:sz="4" w:space="0" w:color="auto"/>
            </w:tcBorders>
            <w:shd w:val="clear" w:color="auto" w:fill="auto"/>
            <w:noWrap/>
            <w:vAlign w:val="center"/>
            <w:hideMark/>
          </w:tcPr>
          <w:p w14:paraId="24BD696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1.259.256.000 </w:t>
            </w:r>
          </w:p>
        </w:tc>
      </w:tr>
      <w:tr w:rsidR="00EC3804" w:rsidRPr="00321B46" w14:paraId="205694A0"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9B80EB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N5S63</w:t>
            </w:r>
          </w:p>
        </w:tc>
        <w:tc>
          <w:tcPr>
            <w:tcW w:w="7000" w:type="dxa"/>
            <w:tcBorders>
              <w:top w:val="nil"/>
              <w:left w:val="nil"/>
              <w:bottom w:val="single" w:sz="4" w:space="0" w:color="auto"/>
              <w:right w:val="single" w:sz="4" w:space="0" w:color="auto"/>
            </w:tcBorders>
            <w:shd w:val="clear" w:color="auto" w:fill="auto"/>
            <w:vAlign w:val="center"/>
            <w:hideMark/>
          </w:tcPr>
          <w:p w14:paraId="451A80B1"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compensación capacitiva paralela barra principal y transferencia</w:t>
            </w:r>
          </w:p>
        </w:tc>
        <w:tc>
          <w:tcPr>
            <w:tcW w:w="1540" w:type="dxa"/>
            <w:tcBorders>
              <w:top w:val="nil"/>
              <w:left w:val="nil"/>
              <w:bottom w:val="single" w:sz="4" w:space="0" w:color="auto"/>
              <w:right w:val="single" w:sz="4" w:space="0" w:color="auto"/>
            </w:tcBorders>
            <w:shd w:val="clear" w:color="auto" w:fill="auto"/>
            <w:noWrap/>
            <w:vAlign w:val="center"/>
            <w:hideMark/>
          </w:tcPr>
          <w:p w14:paraId="24C7CED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1.111.593.000 </w:t>
            </w:r>
          </w:p>
        </w:tc>
      </w:tr>
      <w:tr w:rsidR="00EC3804" w:rsidRPr="00321B46" w14:paraId="5B3286F2"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90906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N5S64</w:t>
            </w:r>
          </w:p>
        </w:tc>
        <w:tc>
          <w:tcPr>
            <w:tcW w:w="7000" w:type="dxa"/>
            <w:tcBorders>
              <w:top w:val="nil"/>
              <w:left w:val="nil"/>
              <w:bottom w:val="single" w:sz="4" w:space="0" w:color="auto"/>
              <w:right w:val="single" w:sz="4" w:space="0" w:color="auto"/>
            </w:tcBorders>
            <w:shd w:val="clear" w:color="auto" w:fill="auto"/>
            <w:vAlign w:val="center"/>
            <w:hideMark/>
          </w:tcPr>
          <w:p w14:paraId="29005D7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compensación capacitiva paralela barra doble con seccionador de transferencia</w:t>
            </w:r>
          </w:p>
        </w:tc>
        <w:tc>
          <w:tcPr>
            <w:tcW w:w="1540" w:type="dxa"/>
            <w:tcBorders>
              <w:top w:val="nil"/>
              <w:left w:val="nil"/>
              <w:bottom w:val="single" w:sz="4" w:space="0" w:color="auto"/>
              <w:right w:val="single" w:sz="4" w:space="0" w:color="auto"/>
            </w:tcBorders>
            <w:shd w:val="clear" w:color="auto" w:fill="auto"/>
            <w:noWrap/>
            <w:vAlign w:val="center"/>
            <w:hideMark/>
          </w:tcPr>
          <w:p w14:paraId="0E0E71D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1.235.630.000 </w:t>
            </w:r>
          </w:p>
        </w:tc>
      </w:tr>
      <w:tr w:rsidR="00EC3804" w:rsidRPr="00321B46" w14:paraId="3602A46F"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C6FC81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N5S65</w:t>
            </w:r>
          </w:p>
        </w:tc>
        <w:tc>
          <w:tcPr>
            <w:tcW w:w="7000" w:type="dxa"/>
            <w:tcBorders>
              <w:top w:val="nil"/>
              <w:left w:val="nil"/>
              <w:bottom w:val="single" w:sz="4" w:space="0" w:color="auto"/>
              <w:right w:val="single" w:sz="4" w:space="0" w:color="auto"/>
            </w:tcBorders>
            <w:shd w:val="clear" w:color="auto" w:fill="auto"/>
            <w:vAlign w:val="center"/>
            <w:hideMark/>
          </w:tcPr>
          <w:p w14:paraId="275BA32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compensación capacitiva paralela interruptor y medio</w:t>
            </w:r>
          </w:p>
        </w:tc>
        <w:tc>
          <w:tcPr>
            <w:tcW w:w="1540" w:type="dxa"/>
            <w:tcBorders>
              <w:top w:val="nil"/>
              <w:left w:val="nil"/>
              <w:bottom w:val="single" w:sz="4" w:space="0" w:color="auto"/>
              <w:right w:val="single" w:sz="4" w:space="0" w:color="auto"/>
            </w:tcBorders>
            <w:shd w:val="clear" w:color="auto" w:fill="auto"/>
            <w:noWrap/>
            <w:vAlign w:val="center"/>
            <w:hideMark/>
          </w:tcPr>
          <w:p w14:paraId="018DBFC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1.085.543.000 </w:t>
            </w:r>
          </w:p>
        </w:tc>
      </w:tr>
      <w:tr w:rsidR="00EC3804" w:rsidRPr="00321B46" w14:paraId="2291A348"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E6B153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N5S66</w:t>
            </w:r>
          </w:p>
        </w:tc>
        <w:tc>
          <w:tcPr>
            <w:tcW w:w="7000" w:type="dxa"/>
            <w:tcBorders>
              <w:top w:val="nil"/>
              <w:left w:val="nil"/>
              <w:bottom w:val="single" w:sz="4" w:space="0" w:color="auto"/>
              <w:right w:val="single" w:sz="4" w:space="0" w:color="auto"/>
            </w:tcBorders>
            <w:shd w:val="clear" w:color="auto" w:fill="auto"/>
            <w:vAlign w:val="center"/>
            <w:hideMark/>
          </w:tcPr>
          <w:p w14:paraId="0D188FB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compensación capacitiva paralela anillo</w:t>
            </w:r>
          </w:p>
        </w:tc>
        <w:tc>
          <w:tcPr>
            <w:tcW w:w="1540" w:type="dxa"/>
            <w:tcBorders>
              <w:top w:val="nil"/>
              <w:left w:val="nil"/>
              <w:bottom w:val="single" w:sz="4" w:space="0" w:color="auto"/>
              <w:right w:val="single" w:sz="4" w:space="0" w:color="auto"/>
            </w:tcBorders>
            <w:shd w:val="clear" w:color="auto" w:fill="auto"/>
            <w:noWrap/>
            <w:vAlign w:val="center"/>
            <w:hideMark/>
          </w:tcPr>
          <w:p w14:paraId="024EC2B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1.081.013.000 </w:t>
            </w:r>
          </w:p>
        </w:tc>
      </w:tr>
      <w:tr w:rsidR="00EC3804" w:rsidRPr="00321B46" w14:paraId="24A78CC4"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831B3B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N5S67</w:t>
            </w:r>
          </w:p>
        </w:tc>
        <w:tc>
          <w:tcPr>
            <w:tcW w:w="7000" w:type="dxa"/>
            <w:tcBorders>
              <w:top w:val="nil"/>
              <w:left w:val="nil"/>
              <w:bottom w:val="single" w:sz="4" w:space="0" w:color="auto"/>
              <w:right w:val="single" w:sz="4" w:space="0" w:color="auto"/>
            </w:tcBorders>
            <w:shd w:val="clear" w:color="auto" w:fill="auto"/>
            <w:vAlign w:val="center"/>
            <w:hideMark/>
          </w:tcPr>
          <w:p w14:paraId="35C9151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en barra - configuración barra sencilla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7E3A7BA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1.129.187.000 </w:t>
            </w:r>
          </w:p>
        </w:tc>
      </w:tr>
      <w:tr w:rsidR="00EC3804" w:rsidRPr="00321B46" w14:paraId="7834A13C"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AD00AD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N5S68</w:t>
            </w:r>
          </w:p>
        </w:tc>
        <w:tc>
          <w:tcPr>
            <w:tcW w:w="7000" w:type="dxa"/>
            <w:tcBorders>
              <w:top w:val="nil"/>
              <w:left w:val="nil"/>
              <w:bottom w:val="single" w:sz="4" w:space="0" w:color="auto"/>
              <w:right w:val="single" w:sz="4" w:space="0" w:color="auto"/>
            </w:tcBorders>
            <w:shd w:val="clear" w:color="auto" w:fill="auto"/>
            <w:vAlign w:val="center"/>
            <w:hideMark/>
          </w:tcPr>
          <w:p w14:paraId="2A3D2A4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barra sencilla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078AF06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1.075.146.000 </w:t>
            </w:r>
          </w:p>
        </w:tc>
      </w:tr>
      <w:tr w:rsidR="00EC3804" w:rsidRPr="00321B46" w14:paraId="09F2D8A9"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61A7F7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N5S69</w:t>
            </w:r>
          </w:p>
        </w:tc>
        <w:tc>
          <w:tcPr>
            <w:tcW w:w="7000" w:type="dxa"/>
            <w:tcBorders>
              <w:top w:val="nil"/>
              <w:left w:val="nil"/>
              <w:bottom w:val="single" w:sz="4" w:space="0" w:color="auto"/>
              <w:right w:val="single" w:sz="4" w:space="0" w:color="auto"/>
            </w:tcBorders>
            <w:shd w:val="clear" w:color="auto" w:fill="auto"/>
            <w:vAlign w:val="center"/>
            <w:hideMark/>
          </w:tcPr>
          <w:p w14:paraId="1199F8F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en barra  - configuración barra principal y transferencia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5AF1D12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1.355.384.000 </w:t>
            </w:r>
          </w:p>
        </w:tc>
      </w:tr>
      <w:tr w:rsidR="00EC3804" w:rsidRPr="00321B46" w14:paraId="68D28BF2"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46E840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N5S70</w:t>
            </w:r>
          </w:p>
        </w:tc>
        <w:tc>
          <w:tcPr>
            <w:tcW w:w="7000" w:type="dxa"/>
            <w:tcBorders>
              <w:top w:val="nil"/>
              <w:left w:val="nil"/>
              <w:bottom w:val="single" w:sz="4" w:space="0" w:color="auto"/>
              <w:right w:val="single" w:sz="4" w:space="0" w:color="auto"/>
            </w:tcBorders>
            <w:shd w:val="clear" w:color="auto" w:fill="auto"/>
            <w:vAlign w:val="center"/>
            <w:hideMark/>
          </w:tcPr>
          <w:p w14:paraId="5ECC59C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barra principal y transferencia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609C576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1.355.001.000 </w:t>
            </w:r>
          </w:p>
        </w:tc>
      </w:tr>
      <w:tr w:rsidR="00EC3804" w:rsidRPr="00321B46" w14:paraId="71E3E243"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4FA83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N5S71</w:t>
            </w:r>
          </w:p>
        </w:tc>
        <w:tc>
          <w:tcPr>
            <w:tcW w:w="7000" w:type="dxa"/>
            <w:tcBorders>
              <w:top w:val="nil"/>
              <w:left w:val="nil"/>
              <w:bottom w:val="single" w:sz="4" w:space="0" w:color="auto"/>
              <w:right w:val="single" w:sz="4" w:space="0" w:color="auto"/>
            </w:tcBorders>
            <w:shd w:val="clear" w:color="auto" w:fill="auto"/>
            <w:vAlign w:val="center"/>
            <w:hideMark/>
          </w:tcPr>
          <w:p w14:paraId="3AF5360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en barra - configuración barra doble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6C2566C1"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1.286.584.000 </w:t>
            </w:r>
          </w:p>
        </w:tc>
      </w:tr>
      <w:tr w:rsidR="00EC3804" w:rsidRPr="00321B46" w14:paraId="04FB3EAE"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E6C10C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N5S72</w:t>
            </w:r>
          </w:p>
        </w:tc>
        <w:tc>
          <w:tcPr>
            <w:tcW w:w="7000" w:type="dxa"/>
            <w:tcBorders>
              <w:top w:val="nil"/>
              <w:left w:val="nil"/>
              <w:bottom w:val="single" w:sz="4" w:space="0" w:color="auto"/>
              <w:right w:val="single" w:sz="4" w:space="0" w:color="auto"/>
            </w:tcBorders>
            <w:shd w:val="clear" w:color="auto" w:fill="auto"/>
            <w:vAlign w:val="center"/>
            <w:hideMark/>
          </w:tcPr>
          <w:p w14:paraId="22CBDC6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barra doble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01D289C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1.286.086.000 </w:t>
            </w:r>
          </w:p>
        </w:tc>
      </w:tr>
      <w:tr w:rsidR="00EC3804" w:rsidRPr="00321B46" w14:paraId="74279982"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A047F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N5S73</w:t>
            </w:r>
          </w:p>
        </w:tc>
        <w:tc>
          <w:tcPr>
            <w:tcW w:w="7000" w:type="dxa"/>
            <w:tcBorders>
              <w:top w:val="nil"/>
              <w:left w:val="nil"/>
              <w:bottom w:val="single" w:sz="4" w:space="0" w:color="auto"/>
              <w:right w:val="single" w:sz="4" w:space="0" w:color="auto"/>
            </w:tcBorders>
            <w:shd w:val="clear" w:color="auto" w:fill="auto"/>
            <w:vAlign w:val="center"/>
            <w:hideMark/>
          </w:tcPr>
          <w:p w14:paraId="60F5CCC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en barra - configuración barra doble con seccionador de transferencia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50BCC03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1.557.696.000 </w:t>
            </w:r>
          </w:p>
        </w:tc>
      </w:tr>
      <w:tr w:rsidR="00EC3804" w:rsidRPr="00321B46" w14:paraId="048521E4"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E38F6A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N5S74</w:t>
            </w:r>
          </w:p>
        </w:tc>
        <w:tc>
          <w:tcPr>
            <w:tcW w:w="7000" w:type="dxa"/>
            <w:tcBorders>
              <w:top w:val="nil"/>
              <w:left w:val="nil"/>
              <w:bottom w:val="single" w:sz="4" w:space="0" w:color="auto"/>
              <w:right w:val="single" w:sz="4" w:space="0" w:color="auto"/>
            </w:tcBorders>
            <w:shd w:val="clear" w:color="auto" w:fill="auto"/>
            <w:vAlign w:val="center"/>
            <w:hideMark/>
          </w:tcPr>
          <w:p w14:paraId="5A5B4A3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barra doble con seccionador de transferencia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7B3A3EB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1.557.312.000 </w:t>
            </w:r>
          </w:p>
        </w:tc>
      </w:tr>
      <w:tr w:rsidR="00EC3804" w:rsidRPr="00321B46" w14:paraId="3701423E"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71E3D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N5S75</w:t>
            </w:r>
          </w:p>
        </w:tc>
        <w:tc>
          <w:tcPr>
            <w:tcW w:w="7000" w:type="dxa"/>
            <w:tcBorders>
              <w:top w:val="nil"/>
              <w:left w:val="nil"/>
              <w:bottom w:val="single" w:sz="4" w:space="0" w:color="auto"/>
              <w:right w:val="single" w:sz="4" w:space="0" w:color="auto"/>
            </w:tcBorders>
            <w:shd w:val="clear" w:color="auto" w:fill="auto"/>
            <w:vAlign w:val="center"/>
            <w:hideMark/>
          </w:tcPr>
          <w:p w14:paraId="663EC24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en barra - configuración barra doble con by pass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10AF7AA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1.514.473.000 </w:t>
            </w:r>
          </w:p>
        </w:tc>
      </w:tr>
      <w:tr w:rsidR="00EC3804" w:rsidRPr="00321B46" w14:paraId="34D18452"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6571BB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N5S76</w:t>
            </w:r>
          </w:p>
        </w:tc>
        <w:tc>
          <w:tcPr>
            <w:tcW w:w="7000" w:type="dxa"/>
            <w:tcBorders>
              <w:top w:val="nil"/>
              <w:left w:val="nil"/>
              <w:bottom w:val="single" w:sz="4" w:space="0" w:color="auto"/>
              <w:right w:val="single" w:sz="4" w:space="0" w:color="auto"/>
            </w:tcBorders>
            <w:shd w:val="clear" w:color="auto" w:fill="auto"/>
            <w:vAlign w:val="center"/>
            <w:hideMark/>
          </w:tcPr>
          <w:p w14:paraId="16D00BF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barra doble con by pass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466892B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1.514.090.000 </w:t>
            </w:r>
          </w:p>
        </w:tc>
      </w:tr>
      <w:tr w:rsidR="00EC3804" w:rsidRPr="00321B46" w14:paraId="51CFB9BA"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4CE11B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N5S77</w:t>
            </w:r>
          </w:p>
        </w:tc>
        <w:tc>
          <w:tcPr>
            <w:tcW w:w="7000" w:type="dxa"/>
            <w:tcBorders>
              <w:top w:val="nil"/>
              <w:left w:val="nil"/>
              <w:bottom w:val="single" w:sz="4" w:space="0" w:color="auto"/>
              <w:right w:val="single" w:sz="4" w:space="0" w:color="auto"/>
            </w:tcBorders>
            <w:shd w:val="clear" w:color="auto" w:fill="auto"/>
            <w:vAlign w:val="center"/>
            <w:hideMark/>
          </w:tcPr>
          <w:p w14:paraId="508A376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en barra - configuración  interruptor y medio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617B49E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1.297.185.000 </w:t>
            </w:r>
          </w:p>
        </w:tc>
      </w:tr>
      <w:tr w:rsidR="00EC3804" w:rsidRPr="00321B46" w14:paraId="27CC6FB1"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914E9F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N5S78</w:t>
            </w:r>
          </w:p>
        </w:tc>
        <w:tc>
          <w:tcPr>
            <w:tcW w:w="7000" w:type="dxa"/>
            <w:tcBorders>
              <w:top w:val="nil"/>
              <w:left w:val="nil"/>
              <w:bottom w:val="single" w:sz="4" w:space="0" w:color="auto"/>
              <w:right w:val="single" w:sz="4" w:space="0" w:color="auto"/>
            </w:tcBorders>
            <w:shd w:val="clear" w:color="auto" w:fill="auto"/>
            <w:vAlign w:val="center"/>
            <w:hideMark/>
          </w:tcPr>
          <w:p w14:paraId="22616B7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interruptor y medio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0E63DAC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1.296.973.000 </w:t>
            </w:r>
          </w:p>
        </w:tc>
      </w:tr>
      <w:tr w:rsidR="00EC3804" w:rsidRPr="00321B46" w14:paraId="671D488E"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E58EA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N5S79</w:t>
            </w:r>
          </w:p>
        </w:tc>
        <w:tc>
          <w:tcPr>
            <w:tcW w:w="7000" w:type="dxa"/>
            <w:tcBorders>
              <w:top w:val="nil"/>
              <w:left w:val="nil"/>
              <w:bottom w:val="single" w:sz="4" w:space="0" w:color="auto"/>
              <w:right w:val="single" w:sz="4" w:space="0" w:color="auto"/>
            </w:tcBorders>
            <w:shd w:val="clear" w:color="auto" w:fill="auto"/>
            <w:vAlign w:val="center"/>
            <w:hideMark/>
          </w:tcPr>
          <w:p w14:paraId="499E5CB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línea  en barra - configuración  en anillo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5B58576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1.270.280.000 </w:t>
            </w:r>
          </w:p>
        </w:tc>
      </w:tr>
      <w:tr w:rsidR="00EC3804" w:rsidRPr="00321B46" w14:paraId="623E05CE"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75566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N5S80</w:t>
            </w:r>
          </w:p>
        </w:tc>
        <w:tc>
          <w:tcPr>
            <w:tcW w:w="7000" w:type="dxa"/>
            <w:tcBorders>
              <w:top w:val="nil"/>
              <w:left w:val="nil"/>
              <w:bottom w:val="single" w:sz="4" w:space="0" w:color="auto"/>
              <w:right w:val="single" w:sz="4" w:space="0" w:color="auto"/>
            </w:tcBorders>
            <w:shd w:val="clear" w:color="auto" w:fill="auto"/>
            <w:vAlign w:val="center"/>
            <w:hideMark/>
          </w:tcPr>
          <w:p w14:paraId="557FF5E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transformador - configuración en anillo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29093B8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1.270.010.000 </w:t>
            </w:r>
          </w:p>
        </w:tc>
      </w:tr>
      <w:tr w:rsidR="00EC3804" w:rsidRPr="00321B46" w14:paraId="174FBD8C"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071A68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N5S81</w:t>
            </w:r>
          </w:p>
        </w:tc>
        <w:tc>
          <w:tcPr>
            <w:tcW w:w="7000" w:type="dxa"/>
            <w:tcBorders>
              <w:top w:val="nil"/>
              <w:left w:val="nil"/>
              <w:bottom w:val="single" w:sz="4" w:space="0" w:color="auto"/>
              <w:right w:val="single" w:sz="4" w:space="0" w:color="auto"/>
            </w:tcBorders>
            <w:shd w:val="clear" w:color="auto" w:fill="auto"/>
            <w:vAlign w:val="center"/>
            <w:hideMark/>
          </w:tcPr>
          <w:p w14:paraId="230E31B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Corte central configuración interruptor y medio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72969E9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1.002.566.000 </w:t>
            </w:r>
          </w:p>
        </w:tc>
      </w:tr>
      <w:tr w:rsidR="00EC3804" w:rsidRPr="00321B46" w14:paraId="19338671"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27714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N5S82</w:t>
            </w:r>
          </w:p>
        </w:tc>
        <w:tc>
          <w:tcPr>
            <w:tcW w:w="7000" w:type="dxa"/>
            <w:tcBorders>
              <w:top w:val="nil"/>
              <w:left w:val="nil"/>
              <w:bottom w:val="single" w:sz="4" w:space="0" w:color="auto"/>
              <w:right w:val="single" w:sz="4" w:space="0" w:color="auto"/>
            </w:tcBorders>
            <w:shd w:val="clear" w:color="auto" w:fill="auto"/>
            <w:vAlign w:val="center"/>
            <w:hideMark/>
          </w:tcPr>
          <w:p w14:paraId="2930E32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transferencia configuración barra principal y transferencia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5387BB91"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1.027.246.000 </w:t>
            </w:r>
          </w:p>
        </w:tc>
      </w:tr>
      <w:tr w:rsidR="00EC3804" w:rsidRPr="00321B46" w14:paraId="024D98DC"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B94B9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N5S83</w:t>
            </w:r>
          </w:p>
        </w:tc>
        <w:tc>
          <w:tcPr>
            <w:tcW w:w="7000" w:type="dxa"/>
            <w:tcBorders>
              <w:top w:val="nil"/>
              <w:left w:val="nil"/>
              <w:bottom w:val="single" w:sz="4" w:space="0" w:color="auto"/>
              <w:right w:val="single" w:sz="4" w:space="0" w:color="auto"/>
            </w:tcBorders>
            <w:shd w:val="clear" w:color="auto" w:fill="auto"/>
            <w:vAlign w:val="center"/>
            <w:hideMark/>
          </w:tcPr>
          <w:p w14:paraId="27956541"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acople configuraciones con doble barra &gt;=60  kA</w:t>
            </w:r>
          </w:p>
        </w:tc>
        <w:tc>
          <w:tcPr>
            <w:tcW w:w="1540" w:type="dxa"/>
            <w:tcBorders>
              <w:top w:val="nil"/>
              <w:left w:val="nil"/>
              <w:bottom w:val="single" w:sz="4" w:space="0" w:color="auto"/>
              <w:right w:val="single" w:sz="4" w:space="0" w:color="auto"/>
            </w:tcBorders>
            <w:shd w:val="clear" w:color="auto" w:fill="auto"/>
            <w:noWrap/>
            <w:vAlign w:val="center"/>
            <w:hideMark/>
          </w:tcPr>
          <w:p w14:paraId="295A251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615.509.000 </w:t>
            </w:r>
          </w:p>
        </w:tc>
      </w:tr>
      <w:tr w:rsidR="00EC3804" w:rsidRPr="00321B46" w14:paraId="2CE834B9"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5EDD78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N5S84</w:t>
            </w:r>
          </w:p>
        </w:tc>
        <w:tc>
          <w:tcPr>
            <w:tcW w:w="7000" w:type="dxa"/>
            <w:tcBorders>
              <w:top w:val="nil"/>
              <w:left w:val="nil"/>
              <w:bottom w:val="single" w:sz="4" w:space="0" w:color="auto"/>
              <w:right w:val="single" w:sz="4" w:space="0" w:color="auto"/>
            </w:tcBorders>
            <w:shd w:val="clear" w:color="auto" w:fill="auto"/>
            <w:vAlign w:val="center"/>
            <w:hideMark/>
          </w:tcPr>
          <w:p w14:paraId="4073662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seccionamiento configuraciones con doble barra &gt;=60  kA</w:t>
            </w:r>
          </w:p>
        </w:tc>
        <w:tc>
          <w:tcPr>
            <w:tcW w:w="1540" w:type="dxa"/>
            <w:tcBorders>
              <w:top w:val="nil"/>
              <w:left w:val="nil"/>
              <w:bottom w:val="single" w:sz="4" w:space="0" w:color="auto"/>
              <w:right w:val="single" w:sz="4" w:space="0" w:color="auto"/>
            </w:tcBorders>
            <w:shd w:val="clear" w:color="auto" w:fill="auto"/>
            <w:noWrap/>
            <w:vAlign w:val="center"/>
            <w:hideMark/>
          </w:tcPr>
          <w:p w14:paraId="26232251"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973.320.000 </w:t>
            </w:r>
          </w:p>
        </w:tc>
      </w:tr>
      <w:tr w:rsidR="00EC3804" w:rsidRPr="00321B46" w14:paraId="3FFC142F"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33B78F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N5S85</w:t>
            </w:r>
          </w:p>
        </w:tc>
        <w:tc>
          <w:tcPr>
            <w:tcW w:w="7000" w:type="dxa"/>
            <w:tcBorders>
              <w:top w:val="nil"/>
              <w:left w:val="nil"/>
              <w:bottom w:val="single" w:sz="4" w:space="0" w:color="auto"/>
              <w:right w:val="single" w:sz="4" w:space="0" w:color="auto"/>
            </w:tcBorders>
            <w:shd w:val="clear" w:color="auto" w:fill="auto"/>
            <w:vAlign w:val="center"/>
            <w:hideMark/>
          </w:tcPr>
          <w:p w14:paraId="7B9D95A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seccionamiento configuraciones barra sencilla &gt;=60  kA</w:t>
            </w:r>
          </w:p>
        </w:tc>
        <w:tc>
          <w:tcPr>
            <w:tcW w:w="1540" w:type="dxa"/>
            <w:tcBorders>
              <w:top w:val="nil"/>
              <w:left w:val="nil"/>
              <w:bottom w:val="single" w:sz="4" w:space="0" w:color="auto"/>
              <w:right w:val="single" w:sz="4" w:space="0" w:color="auto"/>
            </w:tcBorders>
            <w:shd w:val="clear" w:color="auto" w:fill="auto"/>
            <w:noWrap/>
            <w:vAlign w:val="center"/>
            <w:hideMark/>
          </w:tcPr>
          <w:p w14:paraId="6783A27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938.538.000 </w:t>
            </w:r>
          </w:p>
        </w:tc>
      </w:tr>
      <w:tr w:rsidR="00EC3804" w:rsidRPr="00321B46" w14:paraId="6FC60CC2"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49F12F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N5S86</w:t>
            </w:r>
          </w:p>
        </w:tc>
        <w:tc>
          <w:tcPr>
            <w:tcW w:w="7000" w:type="dxa"/>
            <w:tcBorders>
              <w:top w:val="nil"/>
              <w:left w:val="nil"/>
              <w:bottom w:val="single" w:sz="4" w:space="0" w:color="auto"/>
              <w:right w:val="single" w:sz="4" w:space="0" w:color="auto"/>
            </w:tcBorders>
            <w:shd w:val="clear" w:color="auto" w:fill="auto"/>
            <w:vAlign w:val="center"/>
            <w:hideMark/>
          </w:tcPr>
          <w:p w14:paraId="25A7309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maniobra - (seccionamiento de barras sin interruptor)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19FF3CA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222.468.000 </w:t>
            </w:r>
          </w:p>
        </w:tc>
      </w:tr>
      <w:tr w:rsidR="00EC3804" w:rsidRPr="00321B46" w14:paraId="7B3AA7E9"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BE45CA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N5S87</w:t>
            </w:r>
          </w:p>
        </w:tc>
        <w:tc>
          <w:tcPr>
            <w:tcW w:w="7000" w:type="dxa"/>
            <w:tcBorders>
              <w:top w:val="nil"/>
              <w:left w:val="nil"/>
              <w:bottom w:val="single" w:sz="4" w:space="0" w:color="auto"/>
              <w:right w:val="single" w:sz="4" w:space="0" w:color="auto"/>
            </w:tcBorders>
            <w:shd w:val="clear" w:color="auto" w:fill="auto"/>
            <w:vAlign w:val="center"/>
            <w:hideMark/>
          </w:tcPr>
          <w:p w14:paraId="22C21A3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compensación paralela en linea fija - cualquier configuración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0B73F99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411.013.000 </w:t>
            </w:r>
          </w:p>
        </w:tc>
      </w:tr>
      <w:tr w:rsidR="00EC3804" w:rsidRPr="00321B46" w14:paraId="233CA986" w14:textId="77777777" w:rsidTr="00B0187D">
        <w:trPr>
          <w:cantSplit/>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4488D3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N5S88</w:t>
            </w:r>
          </w:p>
        </w:tc>
        <w:tc>
          <w:tcPr>
            <w:tcW w:w="7000" w:type="dxa"/>
            <w:tcBorders>
              <w:top w:val="nil"/>
              <w:left w:val="nil"/>
              <w:bottom w:val="single" w:sz="4" w:space="0" w:color="auto"/>
              <w:right w:val="single" w:sz="4" w:space="0" w:color="auto"/>
            </w:tcBorders>
            <w:shd w:val="clear" w:color="auto" w:fill="auto"/>
            <w:vAlign w:val="center"/>
            <w:hideMark/>
          </w:tcPr>
          <w:p w14:paraId="3E5EE66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compensación paralela en linea maniobrable - cualquier configuración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59B8D7D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410.451.000 </w:t>
            </w:r>
          </w:p>
        </w:tc>
      </w:tr>
      <w:tr w:rsidR="00EC3804" w:rsidRPr="00321B46" w14:paraId="5F97C10C" w14:textId="77777777" w:rsidTr="00B0187D">
        <w:trPr>
          <w:cantSplit/>
          <w:trHeight w:val="2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40346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N5S89</w:t>
            </w:r>
          </w:p>
        </w:tc>
        <w:tc>
          <w:tcPr>
            <w:tcW w:w="7000" w:type="dxa"/>
            <w:tcBorders>
              <w:top w:val="nil"/>
              <w:left w:val="nil"/>
              <w:bottom w:val="single" w:sz="4" w:space="0" w:color="auto"/>
              <w:right w:val="single" w:sz="4" w:space="0" w:color="auto"/>
            </w:tcBorders>
            <w:shd w:val="clear" w:color="auto" w:fill="auto"/>
            <w:vAlign w:val="center"/>
            <w:hideMark/>
          </w:tcPr>
          <w:p w14:paraId="5F27FCA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Bahía de compensación serie  - tipo convencional &gt;=60  kA</w:t>
            </w:r>
          </w:p>
        </w:tc>
        <w:tc>
          <w:tcPr>
            <w:tcW w:w="1540" w:type="dxa"/>
            <w:tcBorders>
              <w:top w:val="nil"/>
              <w:left w:val="nil"/>
              <w:bottom w:val="single" w:sz="4" w:space="0" w:color="auto"/>
              <w:right w:val="single" w:sz="4" w:space="0" w:color="auto"/>
            </w:tcBorders>
            <w:shd w:val="clear" w:color="auto" w:fill="auto"/>
            <w:noWrap/>
            <w:vAlign w:val="center"/>
            <w:hideMark/>
          </w:tcPr>
          <w:p w14:paraId="1C14A8A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 xml:space="preserve">     691.787.000 </w:t>
            </w:r>
          </w:p>
        </w:tc>
      </w:tr>
    </w:tbl>
    <w:p w14:paraId="5BD5DF25" w14:textId="77777777" w:rsidR="00EC3804" w:rsidRPr="00321B46" w:rsidRDefault="00EC3804" w:rsidP="00EC3804"/>
    <w:p w14:paraId="36DE7CF6" w14:textId="75B0BAFE" w:rsidR="00EC3804" w:rsidRPr="00321B46" w:rsidRDefault="00BE0E49" w:rsidP="003448EC">
      <w:pPr>
        <w:pStyle w:val="Descripcin"/>
      </w:pPr>
      <w:bookmarkStart w:id="466" w:name="_Toc408493229"/>
      <w:bookmarkStart w:id="467" w:name="_Toc440029175"/>
      <w:bookmarkStart w:id="468" w:name="_Toc443655762"/>
      <w:bookmarkStart w:id="469" w:name="_Toc445214152"/>
      <w:r w:rsidRPr="00321B46">
        <w:t xml:space="preserve">Tabla </w:t>
      </w:r>
      <w:r w:rsidRPr="00321B46">
        <w:fldChar w:fldCharType="begin"/>
      </w:r>
      <w:r w:rsidRPr="00321B46">
        <w:instrText xml:space="preserve"> SEQ Tabla \* ARABIC </w:instrText>
      </w:r>
      <w:r w:rsidRPr="00321B46">
        <w:fldChar w:fldCharType="separate"/>
      </w:r>
      <w:r w:rsidR="000F355F">
        <w:rPr>
          <w:noProof/>
        </w:rPr>
        <w:t>10</w:t>
      </w:r>
      <w:r w:rsidRPr="00321B46">
        <w:fldChar w:fldCharType="end"/>
      </w:r>
      <w:r w:rsidRPr="00321B46">
        <w:t>.</w:t>
      </w:r>
      <w:r w:rsidR="00EC3804" w:rsidRPr="00321B46">
        <w:t xml:space="preserve"> UC de transformadores</w:t>
      </w:r>
    </w:p>
    <w:tbl>
      <w:tblPr>
        <w:tblW w:w="9460" w:type="dxa"/>
        <w:tblCellMar>
          <w:left w:w="70" w:type="dxa"/>
          <w:right w:w="70" w:type="dxa"/>
        </w:tblCellMar>
        <w:tblLook w:val="04A0" w:firstRow="1" w:lastRow="0" w:firstColumn="1" w:lastColumn="0" w:noHBand="0" w:noVBand="1"/>
      </w:tblPr>
      <w:tblGrid>
        <w:gridCol w:w="760"/>
        <w:gridCol w:w="6040"/>
        <w:gridCol w:w="1460"/>
        <w:gridCol w:w="1200"/>
      </w:tblGrid>
      <w:tr w:rsidR="00EC3804" w:rsidRPr="00321B46" w14:paraId="350781D7" w14:textId="77777777" w:rsidTr="00B0187D">
        <w:trPr>
          <w:trHeight w:val="899"/>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CC023"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UC</w:t>
            </w:r>
          </w:p>
        </w:tc>
        <w:tc>
          <w:tcPr>
            <w:tcW w:w="6040" w:type="dxa"/>
            <w:tcBorders>
              <w:top w:val="single" w:sz="4" w:space="0" w:color="auto"/>
              <w:left w:val="nil"/>
              <w:bottom w:val="single" w:sz="4" w:space="0" w:color="auto"/>
              <w:right w:val="single" w:sz="4" w:space="0" w:color="auto"/>
            </w:tcBorders>
            <w:shd w:val="clear" w:color="auto" w:fill="auto"/>
            <w:vAlign w:val="center"/>
            <w:hideMark/>
          </w:tcPr>
          <w:p w14:paraId="3713BF3B"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DESCRIPCIÓN</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0B9BFCF9"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COSTO INSTALACIÓN</w:t>
            </w:r>
            <w:r w:rsidRPr="00321B46">
              <w:rPr>
                <w:color w:val="000000"/>
                <w:sz w:val="16"/>
                <w:szCs w:val="16"/>
                <w:lang w:val="es-CO" w:eastAsia="es-CO"/>
              </w:rPr>
              <w:br/>
              <w:t>[$ dic 2015]</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A449B52"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VALOR UNITARIO</w:t>
            </w:r>
            <w:r w:rsidRPr="00321B46">
              <w:rPr>
                <w:color w:val="000000"/>
                <w:sz w:val="16"/>
                <w:szCs w:val="16"/>
                <w:lang w:val="es-CO" w:eastAsia="es-CO"/>
              </w:rPr>
              <w:br/>
              <w:t xml:space="preserve">[$/MVA </w:t>
            </w:r>
            <w:r w:rsidRPr="00321B46">
              <w:rPr>
                <w:color w:val="000000"/>
                <w:sz w:val="16"/>
                <w:szCs w:val="16"/>
                <w:lang w:val="es-CO" w:eastAsia="es-CO"/>
              </w:rPr>
              <w:br/>
              <w:t>dic 2015]</w:t>
            </w:r>
          </w:p>
        </w:tc>
      </w:tr>
      <w:tr w:rsidR="00EC3804" w:rsidRPr="00321B46" w14:paraId="0AC2E096" w14:textId="77777777" w:rsidTr="00B0187D">
        <w:trPr>
          <w:trHeight w:val="51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7C0CE20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N6T1</w:t>
            </w:r>
          </w:p>
        </w:tc>
        <w:tc>
          <w:tcPr>
            <w:tcW w:w="6040" w:type="dxa"/>
            <w:tcBorders>
              <w:top w:val="nil"/>
              <w:left w:val="nil"/>
              <w:bottom w:val="single" w:sz="4" w:space="0" w:color="auto"/>
              <w:right w:val="single" w:sz="4" w:space="0" w:color="auto"/>
            </w:tcBorders>
            <w:shd w:val="clear" w:color="auto" w:fill="auto"/>
            <w:vAlign w:val="bottom"/>
            <w:hideMark/>
          </w:tcPr>
          <w:p w14:paraId="154921D5"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Autotransformador monofásico (OLTC) lado de alta en el 500 kV capacidad final 150 MVA a 300 MVA</w:t>
            </w:r>
          </w:p>
        </w:tc>
        <w:tc>
          <w:tcPr>
            <w:tcW w:w="1460" w:type="dxa"/>
            <w:tcBorders>
              <w:top w:val="nil"/>
              <w:left w:val="nil"/>
              <w:bottom w:val="single" w:sz="4" w:space="0" w:color="auto"/>
              <w:right w:val="single" w:sz="4" w:space="0" w:color="auto"/>
            </w:tcBorders>
            <w:shd w:val="clear" w:color="auto" w:fill="auto"/>
            <w:vAlign w:val="center"/>
            <w:hideMark/>
          </w:tcPr>
          <w:p w14:paraId="31A3ADD7"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 xml:space="preserve">    716.789.000 </w:t>
            </w:r>
          </w:p>
        </w:tc>
        <w:tc>
          <w:tcPr>
            <w:tcW w:w="1200" w:type="dxa"/>
            <w:tcBorders>
              <w:top w:val="nil"/>
              <w:left w:val="nil"/>
              <w:bottom w:val="single" w:sz="4" w:space="0" w:color="auto"/>
              <w:right w:val="single" w:sz="4" w:space="0" w:color="auto"/>
            </w:tcBorders>
            <w:shd w:val="clear" w:color="auto" w:fill="auto"/>
            <w:vAlign w:val="center"/>
            <w:hideMark/>
          </w:tcPr>
          <w:p w14:paraId="6F50D331"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 xml:space="preserve"> 24.365.000 </w:t>
            </w:r>
          </w:p>
        </w:tc>
      </w:tr>
      <w:tr w:rsidR="00EC3804" w:rsidRPr="00321B46" w14:paraId="4F478049" w14:textId="77777777" w:rsidTr="00B0187D">
        <w:trPr>
          <w:trHeight w:val="51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712E8F9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N6T2</w:t>
            </w:r>
          </w:p>
        </w:tc>
        <w:tc>
          <w:tcPr>
            <w:tcW w:w="6040" w:type="dxa"/>
            <w:tcBorders>
              <w:top w:val="nil"/>
              <w:left w:val="nil"/>
              <w:bottom w:val="single" w:sz="4" w:space="0" w:color="auto"/>
              <w:right w:val="single" w:sz="4" w:space="0" w:color="auto"/>
            </w:tcBorders>
            <w:shd w:val="clear" w:color="auto" w:fill="auto"/>
            <w:vAlign w:val="bottom"/>
            <w:hideMark/>
          </w:tcPr>
          <w:p w14:paraId="224871EC"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Autotransformador monofásico (OLTC) lado de alta en el 500 kV capacidad final 300 MVA a 450 MVA</w:t>
            </w:r>
          </w:p>
        </w:tc>
        <w:tc>
          <w:tcPr>
            <w:tcW w:w="1460" w:type="dxa"/>
            <w:tcBorders>
              <w:top w:val="nil"/>
              <w:left w:val="nil"/>
              <w:bottom w:val="single" w:sz="4" w:space="0" w:color="auto"/>
              <w:right w:val="single" w:sz="4" w:space="0" w:color="auto"/>
            </w:tcBorders>
            <w:shd w:val="clear" w:color="auto" w:fill="auto"/>
            <w:vAlign w:val="center"/>
            <w:hideMark/>
          </w:tcPr>
          <w:p w14:paraId="50473630"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 xml:space="preserve">    939.524.000 </w:t>
            </w:r>
          </w:p>
        </w:tc>
        <w:tc>
          <w:tcPr>
            <w:tcW w:w="1200" w:type="dxa"/>
            <w:tcBorders>
              <w:top w:val="nil"/>
              <w:left w:val="nil"/>
              <w:bottom w:val="single" w:sz="4" w:space="0" w:color="auto"/>
              <w:right w:val="single" w:sz="4" w:space="0" w:color="auto"/>
            </w:tcBorders>
            <w:shd w:val="clear" w:color="auto" w:fill="auto"/>
            <w:vAlign w:val="center"/>
            <w:hideMark/>
          </w:tcPr>
          <w:p w14:paraId="56F6A5E7"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 xml:space="preserve"> 23.565.000 </w:t>
            </w:r>
          </w:p>
        </w:tc>
      </w:tr>
      <w:tr w:rsidR="00EC3804" w:rsidRPr="00321B46" w14:paraId="76B0903B" w14:textId="77777777" w:rsidTr="00B0187D">
        <w:trPr>
          <w:trHeight w:val="51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0511438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N6T3</w:t>
            </w:r>
          </w:p>
        </w:tc>
        <w:tc>
          <w:tcPr>
            <w:tcW w:w="6040" w:type="dxa"/>
            <w:tcBorders>
              <w:top w:val="nil"/>
              <w:left w:val="nil"/>
              <w:bottom w:val="single" w:sz="4" w:space="0" w:color="auto"/>
              <w:right w:val="single" w:sz="4" w:space="0" w:color="auto"/>
            </w:tcBorders>
            <w:shd w:val="clear" w:color="auto" w:fill="auto"/>
            <w:vAlign w:val="bottom"/>
            <w:hideMark/>
          </w:tcPr>
          <w:p w14:paraId="0258E8DE"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Autotransformador monofásico (OLTC) lado de alta en el 500 kV capacidad final mayor o igual a 450 MVA</w:t>
            </w:r>
          </w:p>
        </w:tc>
        <w:tc>
          <w:tcPr>
            <w:tcW w:w="1460" w:type="dxa"/>
            <w:tcBorders>
              <w:top w:val="nil"/>
              <w:left w:val="nil"/>
              <w:bottom w:val="single" w:sz="4" w:space="0" w:color="auto"/>
              <w:right w:val="single" w:sz="4" w:space="0" w:color="auto"/>
            </w:tcBorders>
            <w:shd w:val="clear" w:color="auto" w:fill="auto"/>
            <w:vAlign w:val="center"/>
            <w:hideMark/>
          </w:tcPr>
          <w:p w14:paraId="27EA370F"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 xml:space="preserve"> 1.150.145.000 </w:t>
            </w:r>
          </w:p>
        </w:tc>
        <w:tc>
          <w:tcPr>
            <w:tcW w:w="1200" w:type="dxa"/>
            <w:tcBorders>
              <w:top w:val="nil"/>
              <w:left w:val="nil"/>
              <w:bottom w:val="single" w:sz="4" w:space="0" w:color="auto"/>
              <w:right w:val="single" w:sz="4" w:space="0" w:color="auto"/>
            </w:tcBorders>
            <w:shd w:val="clear" w:color="auto" w:fill="auto"/>
            <w:vAlign w:val="center"/>
            <w:hideMark/>
          </w:tcPr>
          <w:p w14:paraId="5F4F0CF2"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 xml:space="preserve"> 22.621.000 </w:t>
            </w:r>
          </w:p>
        </w:tc>
      </w:tr>
    </w:tbl>
    <w:p w14:paraId="6E9A0BFC" w14:textId="77777777" w:rsidR="00EC3804" w:rsidRPr="00321B46" w:rsidRDefault="00EC3804" w:rsidP="00EC3804"/>
    <w:p w14:paraId="26CAB9C2" w14:textId="37A73980" w:rsidR="00EC3804" w:rsidRPr="00321B46" w:rsidRDefault="00BE0E49" w:rsidP="003448EC">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11</w:t>
      </w:r>
      <w:r w:rsidRPr="00321B46">
        <w:fldChar w:fldCharType="end"/>
      </w:r>
      <w:r w:rsidRPr="00321B46">
        <w:t>.</w:t>
      </w:r>
      <w:r w:rsidR="00EC3804" w:rsidRPr="00321B46">
        <w:t xml:space="preserve">  UC de compensaciones</w:t>
      </w:r>
    </w:p>
    <w:tbl>
      <w:tblPr>
        <w:tblW w:w="6307" w:type="dxa"/>
        <w:jc w:val="center"/>
        <w:tblLayout w:type="fixed"/>
        <w:tblCellMar>
          <w:left w:w="70" w:type="dxa"/>
          <w:right w:w="70" w:type="dxa"/>
        </w:tblCellMar>
        <w:tblLook w:val="04A0" w:firstRow="1" w:lastRow="0" w:firstColumn="1" w:lastColumn="0" w:noHBand="0" w:noVBand="1"/>
      </w:tblPr>
      <w:tblGrid>
        <w:gridCol w:w="605"/>
        <w:gridCol w:w="3983"/>
        <w:gridCol w:w="1719"/>
      </w:tblGrid>
      <w:tr w:rsidR="00EC3804" w:rsidRPr="00321B46" w14:paraId="001FE960" w14:textId="77777777" w:rsidTr="00B0187D">
        <w:trPr>
          <w:trHeight w:val="757"/>
          <w:tblHeader/>
          <w:jc w:val="center"/>
        </w:trPr>
        <w:tc>
          <w:tcPr>
            <w:tcW w:w="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52104" w14:textId="77777777" w:rsidR="00EC3804" w:rsidRPr="00321B46" w:rsidRDefault="00EC3804" w:rsidP="00B0187D">
            <w:pPr>
              <w:keepNext/>
              <w:spacing w:before="0" w:after="0"/>
              <w:jc w:val="center"/>
              <w:rPr>
                <w:rFonts w:cs="Calibri"/>
                <w:color w:val="000000"/>
                <w:sz w:val="16"/>
                <w:szCs w:val="16"/>
                <w:lang w:val="es-CO" w:eastAsia="es-CO"/>
              </w:rPr>
            </w:pPr>
            <w:r w:rsidRPr="00321B46">
              <w:rPr>
                <w:rFonts w:cs="Calibri"/>
                <w:color w:val="000000"/>
                <w:sz w:val="16"/>
                <w:szCs w:val="16"/>
                <w:lang w:val="es-CO" w:eastAsia="es-CO"/>
              </w:rPr>
              <w:t>UC</w:t>
            </w:r>
          </w:p>
        </w:tc>
        <w:tc>
          <w:tcPr>
            <w:tcW w:w="3983" w:type="dxa"/>
            <w:tcBorders>
              <w:top w:val="single" w:sz="4" w:space="0" w:color="auto"/>
              <w:left w:val="nil"/>
              <w:bottom w:val="single" w:sz="4" w:space="0" w:color="auto"/>
              <w:right w:val="single" w:sz="4" w:space="0" w:color="auto"/>
            </w:tcBorders>
            <w:shd w:val="clear" w:color="auto" w:fill="auto"/>
            <w:vAlign w:val="center"/>
            <w:hideMark/>
          </w:tcPr>
          <w:p w14:paraId="5910729D" w14:textId="77777777" w:rsidR="00EC3804" w:rsidRPr="00321B46" w:rsidRDefault="00EC3804" w:rsidP="00B0187D">
            <w:pPr>
              <w:keepNext/>
              <w:spacing w:before="0" w:after="0"/>
              <w:jc w:val="center"/>
              <w:rPr>
                <w:rFonts w:cs="Calibri"/>
                <w:color w:val="000000"/>
                <w:sz w:val="16"/>
                <w:szCs w:val="16"/>
                <w:lang w:val="es-CO" w:eastAsia="es-CO"/>
              </w:rPr>
            </w:pPr>
            <w:r w:rsidRPr="00321B46">
              <w:rPr>
                <w:rFonts w:cs="Calibri"/>
                <w:color w:val="000000"/>
                <w:sz w:val="16"/>
                <w:szCs w:val="16"/>
                <w:lang w:val="es-CO" w:eastAsia="es-CO"/>
              </w:rPr>
              <w:t>DESCRIPCIÓN</w:t>
            </w:r>
          </w:p>
        </w:tc>
        <w:tc>
          <w:tcPr>
            <w:tcW w:w="1719" w:type="dxa"/>
            <w:tcBorders>
              <w:top w:val="single" w:sz="4" w:space="0" w:color="auto"/>
              <w:left w:val="nil"/>
              <w:bottom w:val="single" w:sz="4" w:space="0" w:color="auto"/>
              <w:right w:val="single" w:sz="4" w:space="0" w:color="auto"/>
            </w:tcBorders>
            <w:shd w:val="clear" w:color="auto" w:fill="auto"/>
            <w:vAlign w:val="center"/>
            <w:hideMark/>
          </w:tcPr>
          <w:p w14:paraId="6709DAE8" w14:textId="77777777" w:rsidR="00EC3804" w:rsidRPr="00321B46" w:rsidRDefault="00EC3804" w:rsidP="00B0187D">
            <w:pPr>
              <w:keepNext/>
              <w:spacing w:before="0" w:after="0"/>
              <w:jc w:val="center"/>
              <w:rPr>
                <w:rFonts w:cs="Calibri"/>
                <w:color w:val="000000"/>
                <w:sz w:val="16"/>
                <w:szCs w:val="16"/>
                <w:lang w:val="es-CO" w:eastAsia="es-CO"/>
              </w:rPr>
            </w:pPr>
            <w:r w:rsidRPr="00321B46">
              <w:rPr>
                <w:color w:val="000000"/>
                <w:sz w:val="16"/>
                <w:szCs w:val="16"/>
                <w:lang w:val="es-CO" w:eastAsia="es-CO"/>
              </w:rPr>
              <w:t>VALOR INSTALADO</w:t>
            </w:r>
            <w:r w:rsidRPr="00321B46">
              <w:rPr>
                <w:color w:val="000000"/>
                <w:sz w:val="16"/>
                <w:szCs w:val="16"/>
                <w:lang w:val="es-CO" w:eastAsia="es-CO"/>
              </w:rPr>
              <w:br/>
              <w:t>[$ dic 2015]</w:t>
            </w:r>
          </w:p>
        </w:tc>
      </w:tr>
      <w:tr w:rsidR="00EC3804" w:rsidRPr="00321B46" w14:paraId="3E4D1B9A" w14:textId="77777777" w:rsidTr="00B0187D">
        <w:trPr>
          <w:trHeight w:val="340"/>
          <w:jc w:val="center"/>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6348BB59" w14:textId="77777777" w:rsidR="00EC3804" w:rsidRPr="00321B46" w:rsidRDefault="00EC3804" w:rsidP="00B0187D">
            <w:pPr>
              <w:spacing w:before="0" w:after="0"/>
              <w:jc w:val="left"/>
              <w:rPr>
                <w:rFonts w:cs="Calibri"/>
                <w:color w:val="000000"/>
                <w:sz w:val="16"/>
                <w:szCs w:val="16"/>
                <w:lang w:val="es-CO" w:eastAsia="es-CO"/>
              </w:rPr>
            </w:pPr>
            <w:r w:rsidRPr="00321B46">
              <w:rPr>
                <w:rFonts w:cs="Calibri"/>
                <w:color w:val="000000"/>
                <w:sz w:val="16"/>
                <w:szCs w:val="16"/>
                <w:lang w:val="es-CO" w:eastAsia="es-CO"/>
              </w:rPr>
              <w:t>CP61</w:t>
            </w:r>
          </w:p>
        </w:tc>
        <w:tc>
          <w:tcPr>
            <w:tcW w:w="3983" w:type="dxa"/>
            <w:tcBorders>
              <w:top w:val="nil"/>
              <w:left w:val="nil"/>
              <w:bottom w:val="single" w:sz="4" w:space="0" w:color="auto"/>
              <w:right w:val="single" w:sz="4" w:space="0" w:color="auto"/>
            </w:tcBorders>
            <w:shd w:val="clear" w:color="auto" w:fill="auto"/>
            <w:vAlign w:val="center"/>
            <w:hideMark/>
          </w:tcPr>
          <w:p w14:paraId="78483D5E" w14:textId="77777777" w:rsidR="00EC3804" w:rsidRPr="00321B46" w:rsidRDefault="00EC3804" w:rsidP="00B0187D">
            <w:pPr>
              <w:spacing w:before="0" w:after="0"/>
              <w:jc w:val="left"/>
              <w:rPr>
                <w:rFonts w:cs="Calibri"/>
                <w:sz w:val="16"/>
                <w:szCs w:val="16"/>
                <w:lang w:val="es-CO" w:eastAsia="es-CO"/>
              </w:rPr>
            </w:pPr>
            <w:r w:rsidRPr="00321B46">
              <w:rPr>
                <w:rFonts w:cs="Calibri"/>
                <w:sz w:val="16"/>
                <w:szCs w:val="16"/>
                <w:lang w:val="es-CO" w:eastAsia="es-CO"/>
              </w:rPr>
              <w:t>Bahía de compensación estática reactiva</w:t>
            </w:r>
          </w:p>
        </w:tc>
        <w:tc>
          <w:tcPr>
            <w:tcW w:w="1719" w:type="dxa"/>
            <w:tcBorders>
              <w:top w:val="nil"/>
              <w:left w:val="nil"/>
              <w:bottom w:val="single" w:sz="4" w:space="0" w:color="auto"/>
              <w:right w:val="single" w:sz="4" w:space="0" w:color="auto"/>
            </w:tcBorders>
            <w:shd w:val="clear" w:color="auto" w:fill="auto"/>
            <w:vAlign w:val="center"/>
            <w:hideMark/>
          </w:tcPr>
          <w:p w14:paraId="066726EE" w14:textId="77777777" w:rsidR="00EC3804" w:rsidRPr="00321B46" w:rsidRDefault="00EC3804" w:rsidP="00B0187D">
            <w:pPr>
              <w:spacing w:before="0" w:after="0"/>
              <w:jc w:val="right"/>
              <w:rPr>
                <w:rFonts w:cs="Calibri"/>
                <w:sz w:val="16"/>
                <w:szCs w:val="16"/>
                <w:lang w:val="es-CO" w:eastAsia="es-CO"/>
              </w:rPr>
            </w:pPr>
            <w:r w:rsidRPr="00321B46">
              <w:rPr>
                <w:rFonts w:cs="Calibri"/>
                <w:sz w:val="16"/>
                <w:szCs w:val="16"/>
                <w:lang w:val="es-CO" w:eastAsia="es-CO"/>
              </w:rPr>
              <w:t>6.088.201.000</w:t>
            </w:r>
          </w:p>
        </w:tc>
      </w:tr>
      <w:tr w:rsidR="00EC3804" w:rsidRPr="00321B46" w14:paraId="5B0B5731" w14:textId="77777777" w:rsidTr="00B0187D">
        <w:trPr>
          <w:trHeight w:val="340"/>
          <w:jc w:val="center"/>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2F28C40E" w14:textId="77777777" w:rsidR="00EC3804" w:rsidRPr="00321B46" w:rsidRDefault="00EC3804" w:rsidP="00B0187D">
            <w:pPr>
              <w:spacing w:before="0" w:after="0"/>
              <w:jc w:val="left"/>
              <w:rPr>
                <w:rFonts w:cs="Calibri"/>
                <w:color w:val="000000"/>
                <w:sz w:val="16"/>
                <w:szCs w:val="16"/>
                <w:lang w:val="es-CO" w:eastAsia="es-CO"/>
              </w:rPr>
            </w:pPr>
            <w:r w:rsidRPr="00321B46">
              <w:rPr>
                <w:rFonts w:cs="Calibri"/>
                <w:color w:val="000000"/>
                <w:sz w:val="16"/>
                <w:szCs w:val="16"/>
                <w:lang w:val="es-CO" w:eastAsia="es-CO"/>
              </w:rPr>
              <w:t>CP62</w:t>
            </w:r>
          </w:p>
        </w:tc>
        <w:tc>
          <w:tcPr>
            <w:tcW w:w="3983" w:type="dxa"/>
            <w:tcBorders>
              <w:top w:val="nil"/>
              <w:left w:val="nil"/>
              <w:bottom w:val="single" w:sz="4" w:space="0" w:color="auto"/>
              <w:right w:val="single" w:sz="4" w:space="0" w:color="auto"/>
            </w:tcBorders>
            <w:shd w:val="clear" w:color="auto" w:fill="auto"/>
            <w:vAlign w:val="center"/>
            <w:hideMark/>
          </w:tcPr>
          <w:p w14:paraId="49F61025" w14:textId="77777777" w:rsidR="00EC3804" w:rsidRPr="00321B46" w:rsidRDefault="00EC3804" w:rsidP="00B0187D">
            <w:pPr>
              <w:spacing w:before="0" w:after="0"/>
              <w:jc w:val="left"/>
              <w:rPr>
                <w:rFonts w:cs="Calibri"/>
                <w:sz w:val="16"/>
                <w:szCs w:val="16"/>
                <w:lang w:val="es-CO" w:eastAsia="es-CO"/>
              </w:rPr>
            </w:pPr>
            <w:r w:rsidRPr="00321B46">
              <w:rPr>
                <w:rFonts w:cs="Calibri"/>
                <w:sz w:val="16"/>
                <w:szCs w:val="16"/>
                <w:lang w:val="es-CO" w:eastAsia="es-CO"/>
              </w:rPr>
              <w:t>Módulo de compensación estática reactiva</w:t>
            </w:r>
          </w:p>
        </w:tc>
        <w:tc>
          <w:tcPr>
            <w:tcW w:w="1719" w:type="dxa"/>
            <w:tcBorders>
              <w:top w:val="nil"/>
              <w:left w:val="nil"/>
              <w:bottom w:val="single" w:sz="4" w:space="0" w:color="auto"/>
              <w:right w:val="single" w:sz="4" w:space="0" w:color="auto"/>
            </w:tcBorders>
            <w:shd w:val="clear" w:color="auto" w:fill="auto"/>
            <w:vAlign w:val="center"/>
            <w:hideMark/>
          </w:tcPr>
          <w:p w14:paraId="7FD64B15" w14:textId="77777777" w:rsidR="00EC3804" w:rsidRPr="00321B46" w:rsidRDefault="00EC3804" w:rsidP="00B0187D">
            <w:pPr>
              <w:spacing w:before="0" w:after="0"/>
              <w:jc w:val="right"/>
              <w:rPr>
                <w:rFonts w:cs="Calibri"/>
                <w:sz w:val="16"/>
                <w:szCs w:val="16"/>
                <w:lang w:val="es-CO" w:eastAsia="es-CO"/>
              </w:rPr>
            </w:pPr>
            <w:r w:rsidRPr="00321B46">
              <w:rPr>
                <w:rFonts w:cs="Calibri"/>
                <w:sz w:val="16"/>
                <w:szCs w:val="16"/>
                <w:lang w:val="es-CO" w:eastAsia="es-CO"/>
              </w:rPr>
              <w:t>126.172.976.000</w:t>
            </w:r>
          </w:p>
        </w:tc>
      </w:tr>
      <w:tr w:rsidR="00EC3804" w:rsidRPr="00321B46" w14:paraId="544686A3" w14:textId="77777777" w:rsidTr="00B0187D">
        <w:trPr>
          <w:trHeight w:val="340"/>
          <w:jc w:val="center"/>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5D1CE8A9" w14:textId="77777777" w:rsidR="00EC3804" w:rsidRPr="00321B46" w:rsidRDefault="00EC3804" w:rsidP="00B0187D">
            <w:pPr>
              <w:spacing w:before="0" w:after="0"/>
              <w:jc w:val="left"/>
              <w:rPr>
                <w:rFonts w:cs="Calibri"/>
                <w:color w:val="000000"/>
                <w:sz w:val="16"/>
                <w:szCs w:val="16"/>
                <w:lang w:val="es-CO" w:eastAsia="es-CO"/>
              </w:rPr>
            </w:pPr>
            <w:r w:rsidRPr="00321B46">
              <w:rPr>
                <w:rFonts w:cs="Calibri"/>
                <w:color w:val="000000"/>
                <w:sz w:val="16"/>
                <w:szCs w:val="16"/>
                <w:lang w:val="es-CO" w:eastAsia="es-CO"/>
              </w:rPr>
              <w:t>CP63</w:t>
            </w:r>
          </w:p>
        </w:tc>
        <w:tc>
          <w:tcPr>
            <w:tcW w:w="3983" w:type="dxa"/>
            <w:tcBorders>
              <w:top w:val="nil"/>
              <w:left w:val="nil"/>
              <w:bottom w:val="single" w:sz="4" w:space="0" w:color="auto"/>
              <w:right w:val="single" w:sz="4" w:space="0" w:color="auto"/>
            </w:tcBorders>
            <w:shd w:val="clear" w:color="auto" w:fill="auto"/>
            <w:vAlign w:val="center"/>
            <w:hideMark/>
          </w:tcPr>
          <w:p w14:paraId="391690E2" w14:textId="77777777" w:rsidR="00EC3804" w:rsidRPr="00321B46" w:rsidRDefault="00EC3804" w:rsidP="00B0187D">
            <w:pPr>
              <w:spacing w:before="0" w:after="0"/>
              <w:jc w:val="left"/>
              <w:rPr>
                <w:rFonts w:cs="Calibri"/>
                <w:sz w:val="16"/>
                <w:szCs w:val="16"/>
                <w:lang w:val="es-CO" w:eastAsia="es-CO"/>
              </w:rPr>
            </w:pPr>
            <w:r w:rsidRPr="00321B46">
              <w:rPr>
                <w:rFonts w:cs="Calibri"/>
                <w:sz w:val="16"/>
                <w:szCs w:val="16"/>
                <w:lang w:val="es-CO" w:eastAsia="es-CO"/>
              </w:rPr>
              <w:t>Compensador sincrónico estático</w:t>
            </w:r>
          </w:p>
        </w:tc>
        <w:tc>
          <w:tcPr>
            <w:tcW w:w="1719" w:type="dxa"/>
            <w:tcBorders>
              <w:top w:val="nil"/>
              <w:left w:val="nil"/>
              <w:bottom w:val="single" w:sz="4" w:space="0" w:color="auto"/>
              <w:right w:val="single" w:sz="4" w:space="0" w:color="auto"/>
            </w:tcBorders>
            <w:shd w:val="clear" w:color="auto" w:fill="auto"/>
            <w:vAlign w:val="center"/>
            <w:hideMark/>
          </w:tcPr>
          <w:p w14:paraId="31C100C0" w14:textId="77777777" w:rsidR="00EC3804" w:rsidRPr="00321B46" w:rsidRDefault="00EC3804" w:rsidP="00B0187D">
            <w:pPr>
              <w:spacing w:before="0" w:after="0"/>
              <w:jc w:val="right"/>
              <w:rPr>
                <w:rFonts w:cs="Calibri"/>
                <w:sz w:val="16"/>
                <w:szCs w:val="16"/>
                <w:lang w:val="es-CO" w:eastAsia="es-CO"/>
              </w:rPr>
            </w:pPr>
            <w:r w:rsidRPr="00321B46">
              <w:rPr>
                <w:rFonts w:cs="Calibri"/>
                <w:sz w:val="16"/>
                <w:szCs w:val="16"/>
                <w:lang w:val="es-CO" w:eastAsia="es-CO"/>
              </w:rPr>
              <w:t>126.172.976.000</w:t>
            </w:r>
          </w:p>
        </w:tc>
      </w:tr>
    </w:tbl>
    <w:p w14:paraId="30A80098" w14:textId="77777777" w:rsidR="00EC3804" w:rsidRPr="00321B46" w:rsidRDefault="00EC3804" w:rsidP="00BF7220">
      <w:pPr>
        <w:pStyle w:val="Ttulo2"/>
      </w:pPr>
      <w:bookmarkStart w:id="470" w:name="_Toc445462494"/>
      <w:bookmarkStart w:id="471" w:name="_Toc466392689"/>
      <w:r w:rsidRPr="00321B46">
        <w:t>UC asociadas a líneas</w:t>
      </w:r>
      <w:bookmarkEnd w:id="466"/>
      <w:bookmarkEnd w:id="467"/>
      <w:bookmarkEnd w:id="468"/>
      <w:bookmarkEnd w:id="469"/>
      <w:bookmarkEnd w:id="470"/>
      <w:bookmarkEnd w:id="471"/>
    </w:p>
    <w:p w14:paraId="382B97D8" w14:textId="77777777" w:rsidR="00EC3804" w:rsidRPr="00321B46" w:rsidRDefault="00EC3804" w:rsidP="00EC3804">
      <w:pPr>
        <w:pStyle w:val="Prrafodelista"/>
        <w:numPr>
          <w:ilvl w:val="0"/>
          <w:numId w:val="15"/>
        </w:numPr>
        <w:spacing w:before="120" w:after="0"/>
      </w:pPr>
      <w:r w:rsidRPr="00321B46">
        <w:t xml:space="preserve">Para líneas subterráneas el TN debe reportar solamente una UC de canalización y por separado las respectivas UC de conductores. </w:t>
      </w:r>
    </w:p>
    <w:p w14:paraId="7B6CFE06" w14:textId="77777777" w:rsidR="00EC3804" w:rsidRPr="00321B46" w:rsidRDefault="00EC3804" w:rsidP="00EC3804">
      <w:pPr>
        <w:pStyle w:val="Sangradetextonormal"/>
        <w:numPr>
          <w:ilvl w:val="0"/>
          <w:numId w:val="15"/>
        </w:numPr>
      </w:pPr>
      <w:r w:rsidRPr="00321B46">
        <w:t xml:space="preserve">Para las UC de líneas aéreas se deben reportar las estructuras de suspensión o de retención, las cuales ya incluyen el montaje , obra civil e ingeniería, así como todos los accesorios, puesta a tierra y los elementos requeridos para su normal funcionamiento. Adicional a lo anterior, se deberá declarar el conductor correspondiente, dependiendo de si se trata de líneas aéreas, compactas o subterráneas. </w:t>
      </w:r>
    </w:p>
    <w:p w14:paraId="1F5A341A" w14:textId="77777777" w:rsidR="00EC3804" w:rsidRPr="00321B46" w:rsidRDefault="00EC3804" w:rsidP="00EC3804">
      <w:pPr>
        <w:pStyle w:val="Prrafodelista"/>
        <w:numPr>
          <w:ilvl w:val="0"/>
          <w:numId w:val="15"/>
        </w:numPr>
      </w:pPr>
      <w:r w:rsidRPr="00321B46">
        <w:t>Para las líneas se definen unidades constructivas para los apoyos y en forma separada para los conductores, cables de guarda y puesta a tierra. Por lo tanto cuando se reporte la información de los activos se debe anexar la georreferenciación de cada estructura o apoyo.</w:t>
      </w:r>
    </w:p>
    <w:p w14:paraId="628D901A" w14:textId="77777777" w:rsidR="00EC3804" w:rsidRPr="00321B46" w:rsidRDefault="00EC3804" w:rsidP="00EC3804">
      <w:pPr>
        <w:pStyle w:val="Prrafodelista"/>
        <w:numPr>
          <w:ilvl w:val="0"/>
          <w:numId w:val="15"/>
        </w:numPr>
      </w:pPr>
      <w:r w:rsidRPr="00321B46">
        <w:t xml:space="preserve">Para el valor de las servidumbres se reconocerá máximo un 3% del valor de la línea, calculado a partir de las respectivas UC. Sin embargo, en los casos en los que se cuente con una decisión judicial en firme, podrá reconocerse el valor determinado en el fallo. </w:t>
      </w:r>
    </w:p>
    <w:p w14:paraId="6BDE1A4C" w14:textId="6378F95B" w:rsidR="00EC3804" w:rsidRPr="00321B46" w:rsidRDefault="00BE0E49" w:rsidP="003448EC">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12</w:t>
      </w:r>
      <w:r w:rsidRPr="00321B46">
        <w:fldChar w:fldCharType="end"/>
      </w:r>
      <w:r w:rsidRPr="00321B46">
        <w:t>.</w:t>
      </w:r>
      <w:r w:rsidR="00EC3804" w:rsidRPr="00321B46">
        <w:t xml:space="preserve"> UC de líneas de 500kV</w:t>
      </w:r>
    </w:p>
    <w:tbl>
      <w:tblPr>
        <w:tblW w:w="9340" w:type="dxa"/>
        <w:tblCellMar>
          <w:left w:w="70" w:type="dxa"/>
          <w:right w:w="70" w:type="dxa"/>
        </w:tblCellMar>
        <w:tblLook w:val="04A0" w:firstRow="1" w:lastRow="0" w:firstColumn="1" w:lastColumn="0" w:noHBand="0" w:noVBand="1"/>
      </w:tblPr>
      <w:tblGrid>
        <w:gridCol w:w="1240"/>
        <w:gridCol w:w="6706"/>
        <w:gridCol w:w="1394"/>
      </w:tblGrid>
      <w:tr w:rsidR="003849AF" w:rsidRPr="00321B46" w14:paraId="1F867ADC" w14:textId="77777777" w:rsidTr="00FB6E65">
        <w:trPr>
          <w:trHeight w:val="804"/>
          <w:tblHeader/>
        </w:trPr>
        <w:tc>
          <w:tcPr>
            <w:tcW w:w="1240" w:type="dxa"/>
            <w:tcBorders>
              <w:top w:val="single" w:sz="4" w:space="0" w:color="auto"/>
              <w:left w:val="single" w:sz="4" w:space="0" w:color="auto"/>
              <w:bottom w:val="nil"/>
              <w:right w:val="single" w:sz="4" w:space="0" w:color="auto"/>
            </w:tcBorders>
            <w:shd w:val="clear" w:color="auto" w:fill="auto"/>
            <w:noWrap/>
            <w:vAlign w:val="center"/>
            <w:hideMark/>
          </w:tcPr>
          <w:p w14:paraId="77661972" w14:textId="77777777" w:rsidR="003849AF" w:rsidRPr="00321B46" w:rsidRDefault="003849AF" w:rsidP="00FB6E65">
            <w:pPr>
              <w:spacing w:before="0" w:after="0"/>
              <w:jc w:val="center"/>
              <w:rPr>
                <w:color w:val="000000"/>
                <w:sz w:val="16"/>
                <w:szCs w:val="16"/>
                <w:lang w:val="es-CO" w:eastAsia="es-CO"/>
              </w:rPr>
            </w:pPr>
            <w:r w:rsidRPr="00321B46">
              <w:rPr>
                <w:color w:val="000000"/>
                <w:sz w:val="16"/>
                <w:szCs w:val="16"/>
                <w:lang w:val="es-CO" w:eastAsia="es-CO"/>
              </w:rPr>
              <w:t>UC</w:t>
            </w:r>
          </w:p>
        </w:tc>
        <w:tc>
          <w:tcPr>
            <w:tcW w:w="6706" w:type="dxa"/>
            <w:tcBorders>
              <w:top w:val="single" w:sz="4" w:space="0" w:color="auto"/>
              <w:left w:val="nil"/>
              <w:bottom w:val="nil"/>
              <w:right w:val="single" w:sz="4" w:space="0" w:color="auto"/>
            </w:tcBorders>
            <w:shd w:val="clear" w:color="auto" w:fill="auto"/>
            <w:noWrap/>
            <w:vAlign w:val="center"/>
            <w:hideMark/>
          </w:tcPr>
          <w:p w14:paraId="22EB23BA" w14:textId="77777777" w:rsidR="003849AF" w:rsidRPr="00321B46" w:rsidRDefault="003849AF" w:rsidP="00FB6E65">
            <w:pPr>
              <w:spacing w:before="0" w:after="0"/>
              <w:jc w:val="center"/>
              <w:rPr>
                <w:color w:val="000000"/>
                <w:sz w:val="16"/>
                <w:szCs w:val="16"/>
                <w:lang w:val="es-CO" w:eastAsia="es-CO"/>
              </w:rPr>
            </w:pPr>
            <w:r w:rsidRPr="00321B46">
              <w:rPr>
                <w:color w:val="000000"/>
                <w:sz w:val="16"/>
                <w:szCs w:val="16"/>
                <w:lang w:val="es-CO" w:eastAsia="es-CO"/>
              </w:rPr>
              <w:t xml:space="preserve">DESCRIPCIÓN </w:t>
            </w:r>
          </w:p>
        </w:tc>
        <w:tc>
          <w:tcPr>
            <w:tcW w:w="1394" w:type="dxa"/>
            <w:tcBorders>
              <w:top w:val="single" w:sz="4" w:space="0" w:color="auto"/>
              <w:left w:val="nil"/>
              <w:bottom w:val="nil"/>
              <w:right w:val="single" w:sz="4" w:space="0" w:color="auto"/>
            </w:tcBorders>
            <w:shd w:val="clear" w:color="auto" w:fill="auto"/>
            <w:vAlign w:val="center"/>
            <w:hideMark/>
          </w:tcPr>
          <w:p w14:paraId="31C64D0B" w14:textId="77777777" w:rsidR="003849AF" w:rsidRPr="00321B46" w:rsidRDefault="003849AF" w:rsidP="00FB6E65">
            <w:pPr>
              <w:spacing w:before="0" w:after="0"/>
              <w:jc w:val="center"/>
              <w:rPr>
                <w:color w:val="000000"/>
                <w:sz w:val="16"/>
                <w:szCs w:val="16"/>
                <w:lang w:val="es-CO" w:eastAsia="es-CO"/>
              </w:rPr>
            </w:pPr>
            <w:r w:rsidRPr="00321B46">
              <w:rPr>
                <w:color w:val="000000"/>
                <w:sz w:val="16"/>
                <w:szCs w:val="16"/>
                <w:lang w:val="es-CO" w:eastAsia="es-CO"/>
              </w:rPr>
              <w:t>VALOR INSTALADO</w:t>
            </w:r>
            <w:r w:rsidRPr="00321B46">
              <w:rPr>
                <w:color w:val="000000"/>
                <w:sz w:val="16"/>
                <w:szCs w:val="16"/>
                <w:lang w:val="es-CO" w:eastAsia="es-CO"/>
              </w:rPr>
              <w:br/>
              <w:t>($ Dic 15)</w:t>
            </w:r>
          </w:p>
        </w:tc>
      </w:tr>
      <w:tr w:rsidR="003849AF" w:rsidRPr="00321B46" w14:paraId="4071C65F" w14:textId="77777777" w:rsidTr="00FB6E65">
        <w:trPr>
          <w:trHeight w:val="289"/>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417ED"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N6L1</w:t>
            </w:r>
          </w:p>
        </w:tc>
        <w:tc>
          <w:tcPr>
            <w:tcW w:w="6706" w:type="dxa"/>
            <w:tcBorders>
              <w:top w:val="single" w:sz="4" w:space="0" w:color="auto"/>
              <w:left w:val="nil"/>
              <w:bottom w:val="single" w:sz="4" w:space="0" w:color="auto"/>
              <w:right w:val="nil"/>
            </w:tcBorders>
            <w:shd w:val="clear" w:color="auto" w:fill="auto"/>
            <w:noWrap/>
            <w:vAlign w:val="bottom"/>
            <w:hideMark/>
          </w:tcPr>
          <w:p w14:paraId="54B695F2"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Torre metálica -Altura 500 msnm- 500 kV Circuito sencillo - suspensión</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33D40" w14:textId="77777777" w:rsidR="003849AF" w:rsidRPr="00321B46" w:rsidRDefault="003849AF" w:rsidP="00FB6E65">
            <w:pPr>
              <w:spacing w:before="0" w:after="0"/>
              <w:jc w:val="right"/>
              <w:rPr>
                <w:color w:val="000000"/>
                <w:sz w:val="16"/>
                <w:szCs w:val="16"/>
                <w:lang w:val="es-CO" w:eastAsia="es-CO"/>
              </w:rPr>
            </w:pPr>
            <w:r>
              <w:rPr>
                <w:color w:val="000000"/>
                <w:sz w:val="16"/>
                <w:szCs w:val="16"/>
              </w:rPr>
              <w:t>122.264.000</w:t>
            </w:r>
          </w:p>
        </w:tc>
      </w:tr>
      <w:tr w:rsidR="003849AF" w:rsidRPr="00321B46" w14:paraId="3C5C2FF5" w14:textId="77777777" w:rsidTr="00FB6E65">
        <w:trPr>
          <w:trHeight w:val="289"/>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7D409BE"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N6L2</w:t>
            </w:r>
          </w:p>
        </w:tc>
        <w:tc>
          <w:tcPr>
            <w:tcW w:w="6706" w:type="dxa"/>
            <w:tcBorders>
              <w:top w:val="nil"/>
              <w:left w:val="nil"/>
              <w:bottom w:val="single" w:sz="4" w:space="0" w:color="auto"/>
              <w:right w:val="nil"/>
            </w:tcBorders>
            <w:shd w:val="clear" w:color="auto" w:fill="auto"/>
            <w:noWrap/>
            <w:vAlign w:val="bottom"/>
            <w:hideMark/>
          </w:tcPr>
          <w:p w14:paraId="4C86B90E"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Torre metálica -Altura 500 msnm- 500 kV Circuito sencillo - retención</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677631AA" w14:textId="77777777" w:rsidR="003849AF" w:rsidRPr="00321B46" w:rsidRDefault="003849AF" w:rsidP="00FB6E65">
            <w:pPr>
              <w:spacing w:before="0" w:after="0"/>
              <w:jc w:val="right"/>
              <w:rPr>
                <w:color w:val="000000"/>
                <w:sz w:val="16"/>
                <w:szCs w:val="16"/>
                <w:lang w:val="es-CO" w:eastAsia="es-CO"/>
              </w:rPr>
            </w:pPr>
            <w:r>
              <w:rPr>
                <w:color w:val="000000"/>
                <w:sz w:val="16"/>
                <w:szCs w:val="16"/>
              </w:rPr>
              <w:t>154.929.000</w:t>
            </w:r>
          </w:p>
        </w:tc>
      </w:tr>
      <w:tr w:rsidR="003849AF" w:rsidRPr="00321B46" w14:paraId="7F14F140"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7A8A4BE"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N6L3</w:t>
            </w:r>
          </w:p>
        </w:tc>
        <w:tc>
          <w:tcPr>
            <w:tcW w:w="6706" w:type="dxa"/>
            <w:tcBorders>
              <w:top w:val="nil"/>
              <w:left w:val="nil"/>
              <w:bottom w:val="single" w:sz="4" w:space="0" w:color="auto"/>
              <w:right w:val="nil"/>
            </w:tcBorders>
            <w:shd w:val="clear" w:color="auto" w:fill="auto"/>
            <w:noWrap/>
            <w:vAlign w:val="bottom"/>
            <w:hideMark/>
          </w:tcPr>
          <w:p w14:paraId="5BC4E596"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Torre metálica -Altura 500 a 2000 msnm- 500 kV Circuito sencillo - suspensión</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2BA8A028" w14:textId="77777777" w:rsidR="003849AF" w:rsidRPr="00321B46" w:rsidRDefault="003849AF" w:rsidP="00FB6E65">
            <w:pPr>
              <w:spacing w:before="0" w:after="0"/>
              <w:jc w:val="right"/>
              <w:rPr>
                <w:color w:val="000000"/>
                <w:sz w:val="16"/>
                <w:szCs w:val="16"/>
                <w:lang w:val="es-CO" w:eastAsia="es-CO"/>
              </w:rPr>
            </w:pPr>
            <w:r>
              <w:rPr>
                <w:color w:val="000000"/>
                <w:sz w:val="16"/>
                <w:szCs w:val="16"/>
              </w:rPr>
              <w:t>123.497.000</w:t>
            </w:r>
          </w:p>
        </w:tc>
      </w:tr>
      <w:tr w:rsidR="003849AF" w:rsidRPr="00321B46" w14:paraId="6C57CB17"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1781278"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N6L4</w:t>
            </w:r>
          </w:p>
        </w:tc>
        <w:tc>
          <w:tcPr>
            <w:tcW w:w="6706" w:type="dxa"/>
            <w:tcBorders>
              <w:top w:val="nil"/>
              <w:left w:val="nil"/>
              <w:bottom w:val="single" w:sz="4" w:space="0" w:color="auto"/>
              <w:right w:val="nil"/>
            </w:tcBorders>
            <w:shd w:val="clear" w:color="auto" w:fill="auto"/>
            <w:noWrap/>
            <w:vAlign w:val="bottom"/>
            <w:hideMark/>
          </w:tcPr>
          <w:p w14:paraId="566966ED"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Torre metálica -Altura 500 a 2000 msnm- 500 kV Circuito sencillo - retención</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249E6A11" w14:textId="77777777" w:rsidR="003849AF" w:rsidRPr="00321B46" w:rsidRDefault="003849AF" w:rsidP="00FB6E65">
            <w:pPr>
              <w:spacing w:before="0" w:after="0"/>
              <w:jc w:val="right"/>
              <w:rPr>
                <w:color w:val="000000"/>
                <w:sz w:val="16"/>
                <w:szCs w:val="16"/>
                <w:lang w:val="es-CO" w:eastAsia="es-CO"/>
              </w:rPr>
            </w:pPr>
            <w:r>
              <w:rPr>
                <w:color w:val="000000"/>
                <w:sz w:val="16"/>
                <w:szCs w:val="16"/>
              </w:rPr>
              <w:t>155.682.000</w:t>
            </w:r>
          </w:p>
        </w:tc>
      </w:tr>
      <w:tr w:rsidR="003849AF" w:rsidRPr="00321B46" w14:paraId="56707967"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F17250B"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N6L5</w:t>
            </w:r>
          </w:p>
        </w:tc>
        <w:tc>
          <w:tcPr>
            <w:tcW w:w="6706" w:type="dxa"/>
            <w:tcBorders>
              <w:top w:val="nil"/>
              <w:left w:val="nil"/>
              <w:bottom w:val="single" w:sz="4" w:space="0" w:color="auto"/>
              <w:right w:val="nil"/>
            </w:tcBorders>
            <w:shd w:val="clear" w:color="auto" w:fill="auto"/>
            <w:noWrap/>
            <w:vAlign w:val="bottom"/>
            <w:hideMark/>
          </w:tcPr>
          <w:p w14:paraId="35F50238"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Torre metálica -Altura mayor a 2000 msnm- 500 kV Circuito sencillo - suspensión</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1362F57D" w14:textId="77777777" w:rsidR="003849AF" w:rsidRPr="00321B46" w:rsidRDefault="003849AF" w:rsidP="00FB6E65">
            <w:pPr>
              <w:spacing w:before="0" w:after="0"/>
              <w:jc w:val="right"/>
              <w:rPr>
                <w:color w:val="000000"/>
                <w:sz w:val="16"/>
                <w:szCs w:val="16"/>
                <w:lang w:val="es-CO" w:eastAsia="es-CO"/>
              </w:rPr>
            </w:pPr>
            <w:r>
              <w:rPr>
                <w:color w:val="000000"/>
                <w:sz w:val="16"/>
                <w:szCs w:val="16"/>
              </w:rPr>
              <w:t>124.658.000</w:t>
            </w:r>
          </w:p>
        </w:tc>
      </w:tr>
      <w:tr w:rsidR="003849AF" w:rsidRPr="00321B46" w14:paraId="6ECED3E2"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3EE38B7"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N6L6</w:t>
            </w:r>
          </w:p>
        </w:tc>
        <w:tc>
          <w:tcPr>
            <w:tcW w:w="6706" w:type="dxa"/>
            <w:tcBorders>
              <w:top w:val="nil"/>
              <w:left w:val="nil"/>
              <w:bottom w:val="single" w:sz="4" w:space="0" w:color="auto"/>
              <w:right w:val="nil"/>
            </w:tcBorders>
            <w:shd w:val="clear" w:color="auto" w:fill="auto"/>
            <w:noWrap/>
            <w:vAlign w:val="bottom"/>
            <w:hideMark/>
          </w:tcPr>
          <w:p w14:paraId="55028538"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Torre metálica -Altura mayor a 2000 msnm- 500 kV Circuito sencillo - retención</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5CBD8CC9" w14:textId="77777777" w:rsidR="003849AF" w:rsidRPr="00321B46" w:rsidRDefault="003849AF" w:rsidP="00FB6E65">
            <w:pPr>
              <w:spacing w:before="0" w:after="0"/>
              <w:jc w:val="right"/>
              <w:rPr>
                <w:color w:val="000000"/>
                <w:sz w:val="16"/>
                <w:szCs w:val="16"/>
                <w:lang w:val="es-CO" w:eastAsia="es-CO"/>
              </w:rPr>
            </w:pPr>
            <w:r>
              <w:rPr>
                <w:color w:val="000000"/>
                <w:sz w:val="16"/>
                <w:szCs w:val="16"/>
              </w:rPr>
              <w:t>157.355.000</w:t>
            </w:r>
          </w:p>
        </w:tc>
      </w:tr>
      <w:tr w:rsidR="003849AF" w:rsidRPr="00321B46" w14:paraId="10701467"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FA36F47"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N6L7</w:t>
            </w:r>
          </w:p>
        </w:tc>
        <w:tc>
          <w:tcPr>
            <w:tcW w:w="6706" w:type="dxa"/>
            <w:tcBorders>
              <w:top w:val="nil"/>
              <w:left w:val="nil"/>
              <w:bottom w:val="single" w:sz="4" w:space="0" w:color="auto"/>
              <w:right w:val="nil"/>
            </w:tcBorders>
            <w:shd w:val="clear" w:color="auto" w:fill="auto"/>
            <w:noWrap/>
            <w:vAlign w:val="bottom"/>
            <w:hideMark/>
          </w:tcPr>
          <w:p w14:paraId="0BF0B91C"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Poste metálico -Altura 500 msnm- 230/110 kV Circuito triple - suspensión</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2CFA1122" w14:textId="77777777" w:rsidR="003849AF" w:rsidRPr="00321B46" w:rsidRDefault="003849AF" w:rsidP="00FB6E65">
            <w:pPr>
              <w:spacing w:before="0" w:after="0"/>
              <w:jc w:val="right"/>
              <w:rPr>
                <w:color w:val="000000"/>
                <w:sz w:val="16"/>
                <w:szCs w:val="16"/>
                <w:lang w:val="es-CO" w:eastAsia="es-CO"/>
              </w:rPr>
            </w:pPr>
            <w:r>
              <w:rPr>
                <w:color w:val="000000"/>
                <w:sz w:val="16"/>
                <w:szCs w:val="16"/>
              </w:rPr>
              <w:t>202.506.000</w:t>
            </w:r>
          </w:p>
        </w:tc>
      </w:tr>
      <w:tr w:rsidR="003849AF" w:rsidRPr="00321B46" w14:paraId="04915792"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6CB7F19"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N6L8</w:t>
            </w:r>
          </w:p>
        </w:tc>
        <w:tc>
          <w:tcPr>
            <w:tcW w:w="6706" w:type="dxa"/>
            <w:tcBorders>
              <w:top w:val="nil"/>
              <w:left w:val="nil"/>
              <w:bottom w:val="single" w:sz="4" w:space="0" w:color="auto"/>
              <w:right w:val="nil"/>
            </w:tcBorders>
            <w:shd w:val="clear" w:color="auto" w:fill="auto"/>
            <w:noWrap/>
            <w:vAlign w:val="bottom"/>
            <w:hideMark/>
          </w:tcPr>
          <w:p w14:paraId="37D7A718"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Poste metálico -Altura 500 msnm- 230/110 kV Circuito triple - retención</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6732025B" w14:textId="77777777" w:rsidR="003849AF" w:rsidRPr="00321B46" w:rsidRDefault="003849AF" w:rsidP="00FB6E65">
            <w:pPr>
              <w:spacing w:before="0" w:after="0"/>
              <w:jc w:val="right"/>
              <w:rPr>
                <w:color w:val="000000"/>
                <w:sz w:val="16"/>
                <w:szCs w:val="16"/>
                <w:lang w:val="es-CO" w:eastAsia="es-CO"/>
              </w:rPr>
            </w:pPr>
            <w:r>
              <w:rPr>
                <w:color w:val="000000"/>
                <w:sz w:val="16"/>
                <w:szCs w:val="16"/>
              </w:rPr>
              <w:t>260.653.000</w:t>
            </w:r>
          </w:p>
        </w:tc>
      </w:tr>
      <w:tr w:rsidR="003849AF" w:rsidRPr="00321B46" w14:paraId="71A7775A"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6D92ED7"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N6L9</w:t>
            </w:r>
          </w:p>
        </w:tc>
        <w:tc>
          <w:tcPr>
            <w:tcW w:w="6706" w:type="dxa"/>
            <w:tcBorders>
              <w:top w:val="nil"/>
              <w:left w:val="nil"/>
              <w:bottom w:val="single" w:sz="4" w:space="0" w:color="auto"/>
              <w:right w:val="nil"/>
            </w:tcBorders>
            <w:shd w:val="clear" w:color="auto" w:fill="auto"/>
            <w:noWrap/>
            <w:vAlign w:val="bottom"/>
            <w:hideMark/>
          </w:tcPr>
          <w:p w14:paraId="64E6CDC9"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Poste metálico -Altura 500 msnm- 230/110 kV Circuito doble - suspensión</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05719681" w14:textId="77777777" w:rsidR="003849AF" w:rsidRPr="00321B46" w:rsidRDefault="003849AF" w:rsidP="00FB6E65">
            <w:pPr>
              <w:spacing w:before="0" w:after="0"/>
              <w:jc w:val="right"/>
              <w:rPr>
                <w:color w:val="000000"/>
                <w:sz w:val="16"/>
                <w:szCs w:val="16"/>
                <w:lang w:val="es-CO" w:eastAsia="es-CO"/>
              </w:rPr>
            </w:pPr>
            <w:r>
              <w:rPr>
                <w:color w:val="000000"/>
                <w:sz w:val="16"/>
                <w:szCs w:val="16"/>
              </w:rPr>
              <w:t>149.010.000</w:t>
            </w:r>
          </w:p>
        </w:tc>
      </w:tr>
      <w:tr w:rsidR="003849AF" w:rsidRPr="00321B46" w14:paraId="1E6A8EB6"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09AA325"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N6L10</w:t>
            </w:r>
          </w:p>
        </w:tc>
        <w:tc>
          <w:tcPr>
            <w:tcW w:w="6706" w:type="dxa"/>
            <w:tcBorders>
              <w:top w:val="nil"/>
              <w:left w:val="nil"/>
              <w:bottom w:val="single" w:sz="4" w:space="0" w:color="auto"/>
              <w:right w:val="nil"/>
            </w:tcBorders>
            <w:shd w:val="clear" w:color="auto" w:fill="auto"/>
            <w:noWrap/>
            <w:vAlign w:val="bottom"/>
            <w:hideMark/>
          </w:tcPr>
          <w:p w14:paraId="07718834"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Poste metálico -Altura 500 msnm- 230/110 kV Circuito doble - retención</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2982EA7D" w14:textId="77777777" w:rsidR="003849AF" w:rsidRPr="00321B46" w:rsidRDefault="003849AF" w:rsidP="00FB6E65">
            <w:pPr>
              <w:spacing w:before="0" w:after="0"/>
              <w:jc w:val="right"/>
              <w:rPr>
                <w:color w:val="000000"/>
                <w:sz w:val="16"/>
                <w:szCs w:val="16"/>
                <w:lang w:val="es-CO" w:eastAsia="es-CO"/>
              </w:rPr>
            </w:pPr>
            <w:r>
              <w:rPr>
                <w:color w:val="000000"/>
                <w:sz w:val="16"/>
                <w:szCs w:val="16"/>
              </w:rPr>
              <w:t>211.184.000</w:t>
            </w:r>
          </w:p>
        </w:tc>
      </w:tr>
      <w:tr w:rsidR="003849AF" w:rsidRPr="00321B46" w14:paraId="6C9781C0"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8F192A9"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N6L11</w:t>
            </w:r>
          </w:p>
        </w:tc>
        <w:tc>
          <w:tcPr>
            <w:tcW w:w="6706" w:type="dxa"/>
            <w:tcBorders>
              <w:top w:val="nil"/>
              <w:left w:val="nil"/>
              <w:bottom w:val="single" w:sz="4" w:space="0" w:color="auto"/>
              <w:right w:val="nil"/>
            </w:tcBorders>
            <w:shd w:val="clear" w:color="auto" w:fill="auto"/>
            <w:noWrap/>
            <w:vAlign w:val="bottom"/>
            <w:hideMark/>
          </w:tcPr>
          <w:p w14:paraId="66946696"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Poste metálico -Altura 500 a 2000 msnm- 230/110 kV Circuito triple - suspensión</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663078CF" w14:textId="77777777" w:rsidR="003849AF" w:rsidRPr="00321B46" w:rsidRDefault="003849AF" w:rsidP="00FB6E65">
            <w:pPr>
              <w:spacing w:before="0" w:after="0"/>
              <w:jc w:val="right"/>
              <w:rPr>
                <w:color w:val="000000"/>
                <w:sz w:val="16"/>
                <w:szCs w:val="16"/>
                <w:lang w:val="es-CO" w:eastAsia="es-CO"/>
              </w:rPr>
            </w:pPr>
            <w:r>
              <w:rPr>
                <w:color w:val="000000"/>
                <w:sz w:val="16"/>
                <w:szCs w:val="16"/>
              </w:rPr>
              <w:t>203.668.000</w:t>
            </w:r>
          </w:p>
        </w:tc>
      </w:tr>
      <w:tr w:rsidR="003849AF" w:rsidRPr="00321B46" w14:paraId="31403B85"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B5999D1"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N6L12</w:t>
            </w:r>
          </w:p>
        </w:tc>
        <w:tc>
          <w:tcPr>
            <w:tcW w:w="6706" w:type="dxa"/>
            <w:tcBorders>
              <w:top w:val="nil"/>
              <w:left w:val="nil"/>
              <w:bottom w:val="single" w:sz="4" w:space="0" w:color="auto"/>
              <w:right w:val="nil"/>
            </w:tcBorders>
            <w:shd w:val="clear" w:color="auto" w:fill="auto"/>
            <w:noWrap/>
            <w:vAlign w:val="bottom"/>
            <w:hideMark/>
          </w:tcPr>
          <w:p w14:paraId="076E8C2B"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Poste metálico -Altura 500 a 2000 msnm- 230/110 kV Circuito triple - retención</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37040BAA" w14:textId="77777777" w:rsidR="003849AF" w:rsidRPr="00321B46" w:rsidRDefault="003849AF" w:rsidP="00FB6E65">
            <w:pPr>
              <w:spacing w:before="0" w:after="0"/>
              <w:jc w:val="right"/>
              <w:rPr>
                <w:color w:val="000000"/>
                <w:sz w:val="16"/>
                <w:szCs w:val="16"/>
                <w:lang w:val="es-CO" w:eastAsia="es-CO"/>
              </w:rPr>
            </w:pPr>
            <w:r>
              <w:rPr>
                <w:color w:val="000000"/>
                <w:sz w:val="16"/>
                <w:szCs w:val="16"/>
              </w:rPr>
              <w:t>263.998.000</w:t>
            </w:r>
          </w:p>
        </w:tc>
      </w:tr>
      <w:tr w:rsidR="003849AF" w:rsidRPr="00321B46" w14:paraId="35302EF5"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8383117"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N6L13</w:t>
            </w:r>
          </w:p>
        </w:tc>
        <w:tc>
          <w:tcPr>
            <w:tcW w:w="6706" w:type="dxa"/>
            <w:tcBorders>
              <w:top w:val="nil"/>
              <w:left w:val="nil"/>
              <w:bottom w:val="single" w:sz="4" w:space="0" w:color="auto"/>
              <w:right w:val="nil"/>
            </w:tcBorders>
            <w:shd w:val="clear" w:color="auto" w:fill="auto"/>
            <w:noWrap/>
            <w:vAlign w:val="bottom"/>
            <w:hideMark/>
          </w:tcPr>
          <w:p w14:paraId="6EBFF5AD"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Poste metálico -Altura 500 a 2000 msnm- 230/110 kV Circuito doble - suspensión</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5540E223" w14:textId="77777777" w:rsidR="003849AF" w:rsidRPr="00321B46" w:rsidRDefault="003849AF" w:rsidP="00FB6E65">
            <w:pPr>
              <w:spacing w:before="0" w:after="0"/>
              <w:jc w:val="right"/>
              <w:rPr>
                <w:color w:val="000000"/>
                <w:sz w:val="16"/>
                <w:szCs w:val="16"/>
                <w:lang w:val="es-CO" w:eastAsia="es-CO"/>
              </w:rPr>
            </w:pPr>
            <w:r>
              <w:rPr>
                <w:color w:val="000000"/>
                <w:sz w:val="16"/>
                <w:szCs w:val="16"/>
              </w:rPr>
              <w:t>149.784.000</w:t>
            </w:r>
          </w:p>
        </w:tc>
      </w:tr>
      <w:tr w:rsidR="003849AF" w:rsidRPr="00321B46" w14:paraId="1B9C54EB"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4864978"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N6L14</w:t>
            </w:r>
          </w:p>
        </w:tc>
        <w:tc>
          <w:tcPr>
            <w:tcW w:w="6706" w:type="dxa"/>
            <w:tcBorders>
              <w:top w:val="nil"/>
              <w:left w:val="nil"/>
              <w:bottom w:val="single" w:sz="4" w:space="0" w:color="auto"/>
              <w:right w:val="nil"/>
            </w:tcBorders>
            <w:shd w:val="clear" w:color="auto" w:fill="auto"/>
            <w:noWrap/>
            <w:vAlign w:val="bottom"/>
            <w:hideMark/>
          </w:tcPr>
          <w:p w14:paraId="7EBD399C"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Poste metálico -Altura 500 a 2000 msnm- 230/110 kV Circuito doble - retención</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3C581EA4" w14:textId="77777777" w:rsidR="003849AF" w:rsidRPr="00321B46" w:rsidRDefault="003849AF" w:rsidP="00FB6E65">
            <w:pPr>
              <w:spacing w:before="0" w:after="0"/>
              <w:jc w:val="right"/>
              <w:rPr>
                <w:color w:val="000000"/>
                <w:sz w:val="16"/>
                <w:szCs w:val="16"/>
                <w:lang w:val="es-CO" w:eastAsia="es-CO"/>
              </w:rPr>
            </w:pPr>
            <w:r>
              <w:rPr>
                <w:color w:val="000000"/>
                <w:sz w:val="16"/>
                <w:szCs w:val="16"/>
              </w:rPr>
              <w:t>213.414.000</w:t>
            </w:r>
          </w:p>
        </w:tc>
      </w:tr>
      <w:tr w:rsidR="003849AF" w:rsidRPr="00321B46" w14:paraId="3FF5496F"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7727EF5"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N6L15</w:t>
            </w:r>
          </w:p>
        </w:tc>
        <w:tc>
          <w:tcPr>
            <w:tcW w:w="6706" w:type="dxa"/>
            <w:tcBorders>
              <w:top w:val="nil"/>
              <w:left w:val="nil"/>
              <w:bottom w:val="single" w:sz="4" w:space="0" w:color="auto"/>
              <w:right w:val="nil"/>
            </w:tcBorders>
            <w:shd w:val="clear" w:color="auto" w:fill="auto"/>
            <w:noWrap/>
            <w:vAlign w:val="bottom"/>
            <w:hideMark/>
          </w:tcPr>
          <w:p w14:paraId="5E7D50B3"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Poste metálico -Altura mayor a 2000 msnm- 230/110 kV Circuito triple - suspensión</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088DB8C0" w14:textId="77777777" w:rsidR="003849AF" w:rsidRPr="00321B46" w:rsidRDefault="003849AF" w:rsidP="00FB6E65">
            <w:pPr>
              <w:spacing w:before="0" w:after="0"/>
              <w:jc w:val="right"/>
              <w:rPr>
                <w:color w:val="000000"/>
                <w:sz w:val="16"/>
                <w:szCs w:val="16"/>
                <w:lang w:val="es-CO" w:eastAsia="es-CO"/>
              </w:rPr>
            </w:pPr>
            <w:r>
              <w:rPr>
                <w:color w:val="000000"/>
                <w:sz w:val="16"/>
                <w:szCs w:val="16"/>
              </w:rPr>
              <w:t>204.829.000</w:t>
            </w:r>
          </w:p>
        </w:tc>
      </w:tr>
      <w:tr w:rsidR="003849AF" w:rsidRPr="00321B46" w14:paraId="0E3276AD"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00EFD31"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N6L16</w:t>
            </w:r>
          </w:p>
        </w:tc>
        <w:tc>
          <w:tcPr>
            <w:tcW w:w="6706" w:type="dxa"/>
            <w:tcBorders>
              <w:top w:val="nil"/>
              <w:left w:val="nil"/>
              <w:bottom w:val="single" w:sz="4" w:space="0" w:color="auto"/>
              <w:right w:val="nil"/>
            </w:tcBorders>
            <w:shd w:val="clear" w:color="auto" w:fill="auto"/>
            <w:noWrap/>
            <w:vAlign w:val="bottom"/>
            <w:hideMark/>
          </w:tcPr>
          <w:p w14:paraId="1A1420C9"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Poste metálico -Altura mayor a 2000 msnm- 230/110 kV Circuito triple - retención</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113A8CA6" w14:textId="77777777" w:rsidR="003849AF" w:rsidRPr="00321B46" w:rsidRDefault="003849AF" w:rsidP="00FB6E65">
            <w:pPr>
              <w:spacing w:before="0" w:after="0"/>
              <w:jc w:val="right"/>
              <w:rPr>
                <w:color w:val="000000"/>
                <w:sz w:val="16"/>
                <w:szCs w:val="16"/>
                <w:lang w:val="es-CO" w:eastAsia="es-CO"/>
              </w:rPr>
            </w:pPr>
            <w:r>
              <w:rPr>
                <w:color w:val="000000"/>
                <w:sz w:val="16"/>
                <w:szCs w:val="16"/>
              </w:rPr>
              <w:t>267.344.000</w:t>
            </w:r>
          </w:p>
        </w:tc>
      </w:tr>
      <w:tr w:rsidR="003849AF" w:rsidRPr="00321B46" w14:paraId="01486EEE"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0FF916E"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N6L17</w:t>
            </w:r>
          </w:p>
        </w:tc>
        <w:tc>
          <w:tcPr>
            <w:tcW w:w="6706" w:type="dxa"/>
            <w:tcBorders>
              <w:top w:val="nil"/>
              <w:left w:val="nil"/>
              <w:bottom w:val="single" w:sz="4" w:space="0" w:color="auto"/>
              <w:right w:val="single" w:sz="4" w:space="0" w:color="auto"/>
            </w:tcBorders>
            <w:shd w:val="clear" w:color="auto" w:fill="auto"/>
            <w:noWrap/>
            <w:vAlign w:val="bottom"/>
            <w:hideMark/>
          </w:tcPr>
          <w:p w14:paraId="277B06D9"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Poste metálico -Altura mayor a 2000 msnm- 230/110 kV Circuito doble - suspensión</w:t>
            </w:r>
          </w:p>
        </w:tc>
        <w:tc>
          <w:tcPr>
            <w:tcW w:w="1394" w:type="dxa"/>
            <w:tcBorders>
              <w:top w:val="nil"/>
              <w:left w:val="nil"/>
              <w:bottom w:val="single" w:sz="4" w:space="0" w:color="auto"/>
              <w:right w:val="single" w:sz="4" w:space="0" w:color="auto"/>
            </w:tcBorders>
            <w:shd w:val="clear" w:color="auto" w:fill="auto"/>
            <w:noWrap/>
            <w:vAlign w:val="center"/>
            <w:hideMark/>
          </w:tcPr>
          <w:p w14:paraId="35C27D29" w14:textId="77777777" w:rsidR="003849AF" w:rsidRPr="00321B46" w:rsidRDefault="003849AF" w:rsidP="00FB6E65">
            <w:pPr>
              <w:spacing w:before="0" w:after="0"/>
              <w:jc w:val="right"/>
              <w:rPr>
                <w:color w:val="000000"/>
                <w:sz w:val="16"/>
                <w:szCs w:val="16"/>
                <w:lang w:val="es-CO" w:eastAsia="es-CO"/>
              </w:rPr>
            </w:pPr>
            <w:r>
              <w:rPr>
                <w:color w:val="000000"/>
                <w:sz w:val="16"/>
                <w:szCs w:val="16"/>
              </w:rPr>
              <w:t>150.558.000</w:t>
            </w:r>
          </w:p>
        </w:tc>
      </w:tr>
      <w:tr w:rsidR="003849AF" w:rsidRPr="00321B46" w14:paraId="41B632D2"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2D45C8D"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N6L18</w:t>
            </w:r>
          </w:p>
        </w:tc>
        <w:tc>
          <w:tcPr>
            <w:tcW w:w="6706" w:type="dxa"/>
            <w:tcBorders>
              <w:top w:val="nil"/>
              <w:left w:val="nil"/>
              <w:bottom w:val="single" w:sz="4" w:space="0" w:color="auto"/>
              <w:right w:val="single" w:sz="4" w:space="0" w:color="auto"/>
            </w:tcBorders>
            <w:shd w:val="clear" w:color="auto" w:fill="auto"/>
            <w:noWrap/>
            <w:vAlign w:val="bottom"/>
            <w:hideMark/>
          </w:tcPr>
          <w:p w14:paraId="37EF80FD"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Poste metálico -Altura mayor a 2000 msnm- 230/110 kV Circuito doble - retención</w:t>
            </w:r>
          </w:p>
        </w:tc>
        <w:tc>
          <w:tcPr>
            <w:tcW w:w="1394" w:type="dxa"/>
            <w:tcBorders>
              <w:top w:val="nil"/>
              <w:left w:val="nil"/>
              <w:bottom w:val="single" w:sz="4" w:space="0" w:color="auto"/>
              <w:right w:val="single" w:sz="4" w:space="0" w:color="auto"/>
            </w:tcBorders>
            <w:shd w:val="clear" w:color="auto" w:fill="auto"/>
            <w:noWrap/>
            <w:vAlign w:val="center"/>
            <w:hideMark/>
          </w:tcPr>
          <w:p w14:paraId="7A344133" w14:textId="77777777" w:rsidR="003849AF" w:rsidRPr="00321B46" w:rsidRDefault="003849AF" w:rsidP="00FB6E65">
            <w:pPr>
              <w:spacing w:before="0" w:after="0"/>
              <w:jc w:val="right"/>
              <w:rPr>
                <w:color w:val="000000"/>
                <w:sz w:val="16"/>
                <w:szCs w:val="16"/>
                <w:lang w:val="es-CO" w:eastAsia="es-CO"/>
              </w:rPr>
            </w:pPr>
            <w:r>
              <w:rPr>
                <w:color w:val="000000"/>
                <w:sz w:val="16"/>
                <w:szCs w:val="16"/>
              </w:rPr>
              <w:t>215.644.000</w:t>
            </w:r>
          </w:p>
        </w:tc>
      </w:tr>
      <w:tr w:rsidR="003849AF" w:rsidRPr="00321B46" w14:paraId="106ACB04"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5C86E58"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N6L19</w:t>
            </w:r>
          </w:p>
        </w:tc>
        <w:tc>
          <w:tcPr>
            <w:tcW w:w="6706" w:type="dxa"/>
            <w:tcBorders>
              <w:top w:val="nil"/>
              <w:left w:val="nil"/>
              <w:bottom w:val="single" w:sz="4" w:space="0" w:color="auto"/>
              <w:right w:val="single" w:sz="4" w:space="0" w:color="auto"/>
            </w:tcBorders>
            <w:shd w:val="clear" w:color="auto" w:fill="auto"/>
            <w:noWrap/>
            <w:vAlign w:val="bottom"/>
            <w:hideMark/>
          </w:tcPr>
          <w:p w14:paraId="753DE774"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km de conductor  AAAC 800 kcmil 500kV</w:t>
            </w:r>
          </w:p>
        </w:tc>
        <w:tc>
          <w:tcPr>
            <w:tcW w:w="1394" w:type="dxa"/>
            <w:tcBorders>
              <w:top w:val="nil"/>
              <w:left w:val="nil"/>
              <w:bottom w:val="single" w:sz="4" w:space="0" w:color="auto"/>
              <w:right w:val="single" w:sz="4" w:space="0" w:color="auto"/>
            </w:tcBorders>
            <w:shd w:val="clear" w:color="auto" w:fill="auto"/>
            <w:noWrap/>
            <w:vAlign w:val="center"/>
            <w:hideMark/>
          </w:tcPr>
          <w:p w14:paraId="62E543E6" w14:textId="77777777" w:rsidR="003849AF" w:rsidRPr="00321B46" w:rsidRDefault="003849AF" w:rsidP="00FB6E65">
            <w:pPr>
              <w:spacing w:before="0" w:after="0"/>
              <w:jc w:val="right"/>
              <w:rPr>
                <w:color w:val="000000"/>
                <w:sz w:val="16"/>
                <w:szCs w:val="16"/>
                <w:lang w:val="es-CO" w:eastAsia="es-CO"/>
              </w:rPr>
            </w:pPr>
            <w:r>
              <w:rPr>
                <w:color w:val="000000"/>
                <w:sz w:val="16"/>
                <w:szCs w:val="16"/>
              </w:rPr>
              <w:t>20.410.000</w:t>
            </w:r>
          </w:p>
        </w:tc>
      </w:tr>
      <w:tr w:rsidR="003849AF" w:rsidRPr="00321B46" w14:paraId="1E8FF881" w14:textId="77777777" w:rsidTr="00FB6E65">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BFB009D" w14:textId="77777777" w:rsidR="003849AF" w:rsidRPr="00321B46" w:rsidRDefault="003849AF" w:rsidP="00FB6E65">
            <w:pPr>
              <w:spacing w:before="0" w:after="0"/>
              <w:jc w:val="left"/>
              <w:rPr>
                <w:color w:val="000000"/>
                <w:sz w:val="16"/>
                <w:szCs w:val="16"/>
                <w:lang w:val="es-CO" w:eastAsia="es-CO"/>
              </w:rPr>
            </w:pPr>
            <w:r w:rsidRPr="00321B46">
              <w:rPr>
                <w:color w:val="000000"/>
                <w:sz w:val="16"/>
                <w:szCs w:val="16"/>
                <w:lang w:val="es-CO" w:eastAsia="es-CO"/>
              </w:rPr>
              <w:t>N6L20</w:t>
            </w:r>
          </w:p>
        </w:tc>
        <w:tc>
          <w:tcPr>
            <w:tcW w:w="6706" w:type="dxa"/>
            <w:tcBorders>
              <w:top w:val="nil"/>
              <w:left w:val="nil"/>
              <w:bottom w:val="single" w:sz="4" w:space="0" w:color="auto"/>
              <w:right w:val="single" w:sz="4" w:space="0" w:color="auto"/>
            </w:tcBorders>
            <w:shd w:val="clear" w:color="auto" w:fill="auto"/>
            <w:noWrap/>
            <w:vAlign w:val="bottom"/>
            <w:hideMark/>
          </w:tcPr>
          <w:p w14:paraId="17536EAA" w14:textId="77777777" w:rsidR="003849AF" w:rsidRPr="00321B46" w:rsidRDefault="003849AF" w:rsidP="00FB6E65">
            <w:pPr>
              <w:spacing w:before="0" w:after="0"/>
              <w:jc w:val="left"/>
              <w:rPr>
                <w:sz w:val="16"/>
                <w:szCs w:val="16"/>
                <w:lang w:val="es-CO" w:eastAsia="es-CO"/>
              </w:rPr>
            </w:pPr>
            <w:r w:rsidRPr="00321B46">
              <w:rPr>
                <w:sz w:val="16"/>
                <w:szCs w:val="16"/>
                <w:lang w:val="es-CO" w:eastAsia="es-CO"/>
              </w:rPr>
              <w:t>km de conductor  AAAC 1200  kcmil 500kV</w:t>
            </w:r>
          </w:p>
        </w:tc>
        <w:tc>
          <w:tcPr>
            <w:tcW w:w="1394" w:type="dxa"/>
            <w:tcBorders>
              <w:top w:val="nil"/>
              <w:left w:val="nil"/>
              <w:bottom w:val="single" w:sz="4" w:space="0" w:color="auto"/>
              <w:right w:val="single" w:sz="4" w:space="0" w:color="auto"/>
            </w:tcBorders>
            <w:shd w:val="clear" w:color="auto" w:fill="auto"/>
            <w:noWrap/>
            <w:vAlign w:val="center"/>
            <w:hideMark/>
          </w:tcPr>
          <w:p w14:paraId="76C92B53" w14:textId="77777777" w:rsidR="003849AF" w:rsidRPr="00321B46" w:rsidRDefault="003849AF" w:rsidP="00FB6E65">
            <w:pPr>
              <w:spacing w:before="0" w:after="0"/>
              <w:jc w:val="right"/>
              <w:rPr>
                <w:color w:val="000000"/>
                <w:sz w:val="16"/>
                <w:szCs w:val="16"/>
                <w:lang w:val="es-CO" w:eastAsia="es-CO"/>
              </w:rPr>
            </w:pPr>
            <w:r>
              <w:rPr>
                <w:color w:val="000000"/>
                <w:sz w:val="16"/>
                <w:szCs w:val="16"/>
              </w:rPr>
              <w:t>38.819.000</w:t>
            </w:r>
          </w:p>
        </w:tc>
      </w:tr>
    </w:tbl>
    <w:p w14:paraId="1B27DD2F" w14:textId="77777777" w:rsidR="00EC3804" w:rsidRPr="00321B46" w:rsidRDefault="00EC3804" w:rsidP="00EC3804"/>
    <w:p w14:paraId="635D14BC" w14:textId="15E3D540" w:rsidR="00EC3804" w:rsidRPr="00321B46" w:rsidRDefault="00BE0E49" w:rsidP="003448EC">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13</w:t>
      </w:r>
      <w:r w:rsidRPr="00321B46">
        <w:fldChar w:fldCharType="end"/>
      </w:r>
      <w:r w:rsidRPr="00321B46">
        <w:t>.</w:t>
      </w:r>
      <w:r w:rsidR="00EC3804" w:rsidRPr="00321B46">
        <w:t xml:space="preserve"> UC de líneas de 230 kV</w:t>
      </w:r>
    </w:p>
    <w:tbl>
      <w:tblPr>
        <w:tblW w:w="9180" w:type="dxa"/>
        <w:tblCellMar>
          <w:left w:w="70" w:type="dxa"/>
          <w:right w:w="70" w:type="dxa"/>
        </w:tblCellMar>
        <w:tblLook w:val="04A0" w:firstRow="1" w:lastRow="0" w:firstColumn="1" w:lastColumn="0" w:noHBand="0" w:noVBand="1"/>
      </w:tblPr>
      <w:tblGrid>
        <w:gridCol w:w="660"/>
        <w:gridCol w:w="6980"/>
        <w:gridCol w:w="1540"/>
      </w:tblGrid>
      <w:tr w:rsidR="00EC3804" w:rsidRPr="00321B46" w14:paraId="2C0544C2" w14:textId="77777777" w:rsidTr="00B0187D">
        <w:trPr>
          <w:trHeight w:val="804"/>
          <w:tblHead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16723"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UC</w:t>
            </w:r>
          </w:p>
        </w:tc>
        <w:tc>
          <w:tcPr>
            <w:tcW w:w="6980" w:type="dxa"/>
            <w:tcBorders>
              <w:top w:val="single" w:sz="4" w:space="0" w:color="auto"/>
              <w:left w:val="nil"/>
              <w:bottom w:val="single" w:sz="4" w:space="0" w:color="auto"/>
              <w:right w:val="single" w:sz="4" w:space="0" w:color="auto"/>
            </w:tcBorders>
            <w:shd w:val="clear" w:color="auto" w:fill="auto"/>
            <w:noWrap/>
            <w:vAlign w:val="center"/>
            <w:hideMark/>
          </w:tcPr>
          <w:p w14:paraId="3C0E6057"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DESCRIPCIÓN</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E92AD0B"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VALOR INSTALADO</w:t>
            </w:r>
            <w:r w:rsidRPr="00321B46">
              <w:rPr>
                <w:color w:val="000000"/>
                <w:sz w:val="16"/>
                <w:szCs w:val="16"/>
                <w:lang w:val="es-CO" w:eastAsia="es-CO"/>
              </w:rPr>
              <w:br/>
              <w:t>($ Dic 15)</w:t>
            </w:r>
          </w:p>
        </w:tc>
      </w:tr>
      <w:tr w:rsidR="00EC3804" w:rsidRPr="00321B46" w14:paraId="5CCE7884"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12B7E1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N5L1</w:t>
            </w:r>
          </w:p>
        </w:tc>
        <w:tc>
          <w:tcPr>
            <w:tcW w:w="6980" w:type="dxa"/>
            <w:tcBorders>
              <w:top w:val="nil"/>
              <w:left w:val="nil"/>
              <w:bottom w:val="single" w:sz="4" w:space="0" w:color="auto"/>
              <w:right w:val="single" w:sz="4" w:space="0" w:color="auto"/>
            </w:tcBorders>
            <w:shd w:val="clear" w:color="auto" w:fill="auto"/>
            <w:noWrap/>
            <w:vAlign w:val="bottom"/>
            <w:hideMark/>
          </w:tcPr>
          <w:p w14:paraId="5C907033"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Torre metálica -Altura 500 msnm- 230 kV Circuito sencillo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2C2D3171"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83.848.000</w:t>
            </w:r>
          </w:p>
        </w:tc>
      </w:tr>
      <w:tr w:rsidR="00EC3804" w:rsidRPr="00321B46" w14:paraId="6B84810F"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7F25031"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N5L2</w:t>
            </w:r>
          </w:p>
        </w:tc>
        <w:tc>
          <w:tcPr>
            <w:tcW w:w="6980" w:type="dxa"/>
            <w:tcBorders>
              <w:top w:val="nil"/>
              <w:left w:val="nil"/>
              <w:bottom w:val="single" w:sz="4" w:space="0" w:color="auto"/>
              <w:right w:val="single" w:sz="4" w:space="0" w:color="auto"/>
            </w:tcBorders>
            <w:shd w:val="clear" w:color="auto" w:fill="auto"/>
            <w:noWrap/>
            <w:vAlign w:val="bottom"/>
            <w:hideMark/>
          </w:tcPr>
          <w:p w14:paraId="25FB6BC0"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Torre metálica -Altura 500 msnm- 230 kV Circuito sencillo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396179A5"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116.009.000</w:t>
            </w:r>
          </w:p>
        </w:tc>
      </w:tr>
      <w:tr w:rsidR="00EC3804" w:rsidRPr="00321B46" w14:paraId="3B2034DD"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581FA6"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N5L3</w:t>
            </w:r>
          </w:p>
        </w:tc>
        <w:tc>
          <w:tcPr>
            <w:tcW w:w="6980" w:type="dxa"/>
            <w:tcBorders>
              <w:top w:val="nil"/>
              <w:left w:val="nil"/>
              <w:bottom w:val="single" w:sz="4" w:space="0" w:color="auto"/>
              <w:right w:val="single" w:sz="4" w:space="0" w:color="auto"/>
            </w:tcBorders>
            <w:shd w:val="clear" w:color="auto" w:fill="auto"/>
            <w:noWrap/>
            <w:vAlign w:val="bottom"/>
            <w:hideMark/>
          </w:tcPr>
          <w:p w14:paraId="30C2FF3E"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 -Altura 500 msnm-230kV Circuito sencillo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43C6C27E"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95.934.000</w:t>
            </w:r>
          </w:p>
        </w:tc>
      </w:tr>
      <w:tr w:rsidR="00EC3804" w:rsidRPr="00321B46" w14:paraId="5309D52F"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D98DB0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N5L4</w:t>
            </w:r>
          </w:p>
        </w:tc>
        <w:tc>
          <w:tcPr>
            <w:tcW w:w="6980" w:type="dxa"/>
            <w:tcBorders>
              <w:top w:val="nil"/>
              <w:left w:val="nil"/>
              <w:bottom w:val="single" w:sz="4" w:space="0" w:color="auto"/>
              <w:right w:val="single" w:sz="4" w:space="0" w:color="auto"/>
            </w:tcBorders>
            <w:shd w:val="clear" w:color="auto" w:fill="auto"/>
            <w:noWrap/>
            <w:vAlign w:val="bottom"/>
            <w:hideMark/>
          </w:tcPr>
          <w:p w14:paraId="4C166B3C"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 -Altura 500 msnm-230kV Circuito sencillo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131CCDA4"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145.217.000</w:t>
            </w:r>
          </w:p>
        </w:tc>
      </w:tr>
      <w:tr w:rsidR="00EC3804" w:rsidRPr="00321B46" w14:paraId="7D7CFA2E"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B44464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N5L5</w:t>
            </w:r>
          </w:p>
        </w:tc>
        <w:tc>
          <w:tcPr>
            <w:tcW w:w="6980" w:type="dxa"/>
            <w:tcBorders>
              <w:top w:val="nil"/>
              <w:left w:val="nil"/>
              <w:bottom w:val="single" w:sz="4" w:space="0" w:color="auto"/>
              <w:right w:val="single" w:sz="4" w:space="0" w:color="auto"/>
            </w:tcBorders>
            <w:shd w:val="clear" w:color="auto" w:fill="auto"/>
            <w:noWrap/>
            <w:vAlign w:val="bottom"/>
            <w:hideMark/>
          </w:tcPr>
          <w:p w14:paraId="45495308"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concreto - -Altura 500 msnm-230kV Circuito sencillo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2903450E"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55.831.000</w:t>
            </w:r>
          </w:p>
        </w:tc>
      </w:tr>
      <w:tr w:rsidR="00EC3804" w:rsidRPr="00321B46" w14:paraId="2E6B8038"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E96BD9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N5L6</w:t>
            </w:r>
          </w:p>
        </w:tc>
        <w:tc>
          <w:tcPr>
            <w:tcW w:w="6980" w:type="dxa"/>
            <w:tcBorders>
              <w:top w:val="nil"/>
              <w:left w:val="nil"/>
              <w:bottom w:val="single" w:sz="4" w:space="0" w:color="auto"/>
              <w:right w:val="single" w:sz="4" w:space="0" w:color="auto"/>
            </w:tcBorders>
            <w:shd w:val="clear" w:color="auto" w:fill="auto"/>
            <w:noWrap/>
            <w:vAlign w:val="bottom"/>
            <w:hideMark/>
          </w:tcPr>
          <w:p w14:paraId="37F3D52C"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concreto - -Altura 500 msnm-230kV Circuito sencillo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2045BCDF"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70.834.000</w:t>
            </w:r>
          </w:p>
        </w:tc>
      </w:tr>
      <w:tr w:rsidR="00EC3804" w:rsidRPr="00321B46" w14:paraId="063562A2"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D22A99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N5L7</w:t>
            </w:r>
          </w:p>
        </w:tc>
        <w:tc>
          <w:tcPr>
            <w:tcW w:w="6980" w:type="dxa"/>
            <w:tcBorders>
              <w:top w:val="nil"/>
              <w:left w:val="nil"/>
              <w:bottom w:val="single" w:sz="4" w:space="0" w:color="auto"/>
              <w:right w:val="single" w:sz="4" w:space="0" w:color="auto"/>
            </w:tcBorders>
            <w:shd w:val="clear" w:color="auto" w:fill="auto"/>
            <w:noWrap/>
            <w:vAlign w:val="bottom"/>
            <w:hideMark/>
          </w:tcPr>
          <w:p w14:paraId="65D0664F"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Torre metálica -Altura 500 msnm- 230 kV Circuito doble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06F1D2EC"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122.639.000</w:t>
            </w:r>
          </w:p>
        </w:tc>
      </w:tr>
      <w:tr w:rsidR="00EC3804" w:rsidRPr="00321B46" w14:paraId="4B89C950"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9158B7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N5L8</w:t>
            </w:r>
          </w:p>
        </w:tc>
        <w:tc>
          <w:tcPr>
            <w:tcW w:w="6980" w:type="dxa"/>
            <w:tcBorders>
              <w:top w:val="nil"/>
              <w:left w:val="nil"/>
              <w:bottom w:val="single" w:sz="4" w:space="0" w:color="auto"/>
              <w:right w:val="single" w:sz="4" w:space="0" w:color="auto"/>
            </w:tcBorders>
            <w:shd w:val="clear" w:color="auto" w:fill="auto"/>
            <w:noWrap/>
            <w:vAlign w:val="bottom"/>
            <w:hideMark/>
          </w:tcPr>
          <w:p w14:paraId="5A94FB72"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Torre metálica -Altura 500 msnm- 230 kV Circuito doble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207F37BB"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164.400.000</w:t>
            </w:r>
          </w:p>
        </w:tc>
      </w:tr>
      <w:tr w:rsidR="00EC3804" w:rsidRPr="00321B46" w14:paraId="06418F60"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FFCEDB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N5L9</w:t>
            </w:r>
          </w:p>
        </w:tc>
        <w:tc>
          <w:tcPr>
            <w:tcW w:w="6980" w:type="dxa"/>
            <w:tcBorders>
              <w:top w:val="nil"/>
              <w:left w:val="nil"/>
              <w:bottom w:val="single" w:sz="4" w:space="0" w:color="auto"/>
              <w:right w:val="single" w:sz="4" w:space="0" w:color="auto"/>
            </w:tcBorders>
            <w:shd w:val="clear" w:color="auto" w:fill="auto"/>
            <w:noWrap/>
            <w:vAlign w:val="bottom"/>
            <w:hideMark/>
          </w:tcPr>
          <w:p w14:paraId="25391FD0"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 Altura 500 msnm-230kV Circuito doble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1B86323A"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149.010.000</w:t>
            </w:r>
          </w:p>
        </w:tc>
      </w:tr>
      <w:tr w:rsidR="00EC3804" w:rsidRPr="00321B46" w14:paraId="1C9D4422"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C26011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N5L10</w:t>
            </w:r>
          </w:p>
        </w:tc>
        <w:tc>
          <w:tcPr>
            <w:tcW w:w="6980" w:type="dxa"/>
            <w:tcBorders>
              <w:top w:val="nil"/>
              <w:left w:val="nil"/>
              <w:bottom w:val="single" w:sz="4" w:space="0" w:color="auto"/>
              <w:right w:val="single" w:sz="4" w:space="0" w:color="auto"/>
            </w:tcBorders>
            <w:shd w:val="clear" w:color="auto" w:fill="auto"/>
            <w:noWrap/>
            <w:vAlign w:val="bottom"/>
            <w:hideMark/>
          </w:tcPr>
          <w:p w14:paraId="79056197"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 Altura 500 msnm-230kV Circuito doble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5E7DD690"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211.184.000</w:t>
            </w:r>
          </w:p>
        </w:tc>
      </w:tr>
      <w:tr w:rsidR="00EC3804" w:rsidRPr="00321B46" w14:paraId="42D6419E"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84B7C7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N5L11</w:t>
            </w:r>
          </w:p>
        </w:tc>
        <w:tc>
          <w:tcPr>
            <w:tcW w:w="6980" w:type="dxa"/>
            <w:tcBorders>
              <w:top w:val="nil"/>
              <w:left w:val="nil"/>
              <w:bottom w:val="single" w:sz="4" w:space="0" w:color="auto"/>
              <w:right w:val="single" w:sz="4" w:space="0" w:color="auto"/>
            </w:tcBorders>
            <w:shd w:val="clear" w:color="auto" w:fill="auto"/>
            <w:noWrap/>
            <w:vAlign w:val="bottom"/>
            <w:hideMark/>
          </w:tcPr>
          <w:p w14:paraId="62F25F81"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-Altura 500 msnm-230kV Cuatro circuitos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0746D140"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204.149.000</w:t>
            </w:r>
          </w:p>
        </w:tc>
      </w:tr>
      <w:tr w:rsidR="00EC3804" w:rsidRPr="00321B46" w14:paraId="10D2B043"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0A01B2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N5L12</w:t>
            </w:r>
          </w:p>
        </w:tc>
        <w:tc>
          <w:tcPr>
            <w:tcW w:w="6980" w:type="dxa"/>
            <w:tcBorders>
              <w:top w:val="nil"/>
              <w:left w:val="nil"/>
              <w:bottom w:val="single" w:sz="4" w:space="0" w:color="auto"/>
              <w:right w:val="single" w:sz="4" w:space="0" w:color="auto"/>
            </w:tcBorders>
            <w:shd w:val="clear" w:color="auto" w:fill="auto"/>
            <w:noWrap/>
            <w:vAlign w:val="bottom"/>
            <w:hideMark/>
          </w:tcPr>
          <w:p w14:paraId="093F397C"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-Altura 500 msnm-230kV Cuatro circuitos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598CFCFF"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282.958.000</w:t>
            </w:r>
          </w:p>
        </w:tc>
      </w:tr>
      <w:tr w:rsidR="00EC3804" w:rsidRPr="00321B46" w14:paraId="2B5C1D96"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DC0A3D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N5L13</w:t>
            </w:r>
          </w:p>
        </w:tc>
        <w:tc>
          <w:tcPr>
            <w:tcW w:w="6980" w:type="dxa"/>
            <w:tcBorders>
              <w:top w:val="nil"/>
              <w:left w:val="nil"/>
              <w:bottom w:val="single" w:sz="4" w:space="0" w:color="auto"/>
              <w:right w:val="single" w:sz="4" w:space="0" w:color="auto"/>
            </w:tcBorders>
            <w:shd w:val="clear" w:color="auto" w:fill="auto"/>
            <w:noWrap/>
            <w:vAlign w:val="bottom"/>
            <w:hideMark/>
          </w:tcPr>
          <w:p w14:paraId="625AADCC"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Torre metálica -Altura 500 a 2000 msnm- 230 kV Circuito sencillo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4BCA4F96"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84.235.000</w:t>
            </w:r>
          </w:p>
        </w:tc>
      </w:tr>
      <w:tr w:rsidR="00EC3804" w:rsidRPr="00321B46" w14:paraId="4B235AAF"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7E7D32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N5L14</w:t>
            </w:r>
          </w:p>
        </w:tc>
        <w:tc>
          <w:tcPr>
            <w:tcW w:w="6980" w:type="dxa"/>
            <w:tcBorders>
              <w:top w:val="nil"/>
              <w:left w:val="nil"/>
              <w:bottom w:val="single" w:sz="4" w:space="0" w:color="auto"/>
              <w:right w:val="single" w:sz="4" w:space="0" w:color="auto"/>
            </w:tcBorders>
            <w:shd w:val="clear" w:color="auto" w:fill="auto"/>
            <w:noWrap/>
            <w:vAlign w:val="bottom"/>
            <w:hideMark/>
          </w:tcPr>
          <w:p w14:paraId="639BE923"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Torre metálica -Altura 500 a 2000 msnm- 230 kV Circuito sencillo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6F4BD47B"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122.700.000</w:t>
            </w:r>
          </w:p>
        </w:tc>
      </w:tr>
      <w:tr w:rsidR="00EC3804" w:rsidRPr="00321B46" w14:paraId="746EB2D5"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65AC9E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N5L15</w:t>
            </w:r>
          </w:p>
        </w:tc>
        <w:tc>
          <w:tcPr>
            <w:tcW w:w="6980" w:type="dxa"/>
            <w:tcBorders>
              <w:top w:val="nil"/>
              <w:left w:val="nil"/>
              <w:bottom w:val="single" w:sz="4" w:space="0" w:color="auto"/>
              <w:right w:val="single" w:sz="4" w:space="0" w:color="auto"/>
            </w:tcBorders>
            <w:shd w:val="clear" w:color="auto" w:fill="auto"/>
            <w:noWrap/>
            <w:vAlign w:val="bottom"/>
            <w:hideMark/>
          </w:tcPr>
          <w:p w14:paraId="0400BD6D"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-Altura 500 a 2000 msnm-230kV Circuito sencillo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2B6FA08B"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96.321.000</w:t>
            </w:r>
          </w:p>
        </w:tc>
      </w:tr>
      <w:tr w:rsidR="00EC3804" w:rsidRPr="00321B46" w14:paraId="37410661"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CF9A6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N5L16</w:t>
            </w:r>
          </w:p>
        </w:tc>
        <w:tc>
          <w:tcPr>
            <w:tcW w:w="6980" w:type="dxa"/>
            <w:tcBorders>
              <w:top w:val="nil"/>
              <w:left w:val="nil"/>
              <w:bottom w:val="single" w:sz="4" w:space="0" w:color="auto"/>
              <w:right w:val="single" w:sz="4" w:space="0" w:color="auto"/>
            </w:tcBorders>
            <w:shd w:val="clear" w:color="auto" w:fill="auto"/>
            <w:noWrap/>
            <w:vAlign w:val="bottom"/>
            <w:hideMark/>
          </w:tcPr>
          <w:p w14:paraId="18623E9A"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-Altura 500 a 2000 msnm-230kV Circuito sencillo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0C0858BD"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146.332.000</w:t>
            </w:r>
          </w:p>
        </w:tc>
      </w:tr>
      <w:tr w:rsidR="00EC3804" w:rsidRPr="00321B46" w14:paraId="59A068DC"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49E882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N5L17</w:t>
            </w:r>
          </w:p>
        </w:tc>
        <w:tc>
          <w:tcPr>
            <w:tcW w:w="6980" w:type="dxa"/>
            <w:tcBorders>
              <w:top w:val="nil"/>
              <w:left w:val="nil"/>
              <w:bottom w:val="single" w:sz="4" w:space="0" w:color="auto"/>
              <w:right w:val="single" w:sz="4" w:space="0" w:color="auto"/>
            </w:tcBorders>
            <w:shd w:val="clear" w:color="auto" w:fill="auto"/>
            <w:noWrap/>
            <w:vAlign w:val="bottom"/>
            <w:hideMark/>
          </w:tcPr>
          <w:p w14:paraId="60DA6D53"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concreto -Altura 500 a 2000 msnm-230kV Circuito sencillo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36A10097"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56.218.000</w:t>
            </w:r>
          </w:p>
        </w:tc>
      </w:tr>
      <w:tr w:rsidR="00EC3804" w:rsidRPr="00321B46" w14:paraId="1370BE12"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9E3AF1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N5L18</w:t>
            </w:r>
          </w:p>
        </w:tc>
        <w:tc>
          <w:tcPr>
            <w:tcW w:w="6980" w:type="dxa"/>
            <w:tcBorders>
              <w:top w:val="nil"/>
              <w:left w:val="nil"/>
              <w:bottom w:val="single" w:sz="4" w:space="0" w:color="auto"/>
              <w:right w:val="single" w:sz="4" w:space="0" w:color="auto"/>
            </w:tcBorders>
            <w:shd w:val="clear" w:color="auto" w:fill="auto"/>
            <w:noWrap/>
            <w:vAlign w:val="bottom"/>
            <w:hideMark/>
          </w:tcPr>
          <w:p w14:paraId="2EC1DAA8"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concreto -Altura 500 a 2000 msnm-230kV Circuito sencillo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5DEE20E4"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72.045.000</w:t>
            </w:r>
          </w:p>
        </w:tc>
      </w:tr>
      <w:tr w:rsidR="00EC3804" w:rsidRPr="00321B46" w14:paraId="0B68BD79"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73879F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N5L19</w:t>
            </w:r>
          </w:p>
        </w:tc>
        <w:tc>
          <w:tcPr>
            <w:tcW w:w="6980" w:type="dxa"/>
            <w:tcBorders>
              <w:top w:val="nil"/>
              <w:left w:val="nil"/>
              <w:bottom w:val="single" w:sz="4" w:space="0" w:color="auto"/>
              <w:right w:val="single" w:sz="4" w:space="0" w:color="auto"/>
            </w:tcBorders>
            <w:shd w:val="clear" w:color="auto" w:fill="auto"/>
            <w:noWrap/>
            <w:vAlign w:val="bottom"/>
            <w:hideMark/>
          </w:tcPr>
          <w:p w14:paraId="7CAB4F11"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Torre metálica --Altura 500 a 2000 msnm- 230 kV Circuito doble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53053FAD"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131.422.000</w:t>
            </w:r>
          </w:p>
        </w:tc>
      </w:tr>
      <w:tr w:rsidR="00EC3804" w:rsidRPr="00321B46" w14:paraId="70EAC0CC"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C39747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N5L20</w:t>
            </w:r>
          </w:p>
        </w:tc>
        <w:tc>
          <w:tcPr>
            <w:tcW w:w="6980" w:type="dxa"/>
            <w:tcBorders>
              <w:top w:val="nil"/>
              <w:left w:val="nil"/>
              <w:bottom w:val="single" w:sz="4" w:space="0" w:color="auto"/>
              <w:right w:val="single" w:sz="4" w:space="0" w:color="auto"/>
            </w:tcBorders>
            <w:shd w:val="clear" w:color="auto" w:fill="auto"/>
            <w:noWrap/>
            <w:vAlign w:val="bottom"/>
            <w:hideMark/>
          </w:tcPr>
          <w:p w14:paraId="5335EB32"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Torre metálica --Altura 500 a 2000 msnm- 230 kV Circuito doble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568CC191"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150.802.000</w:t>
            </w:r>
          </w:p>
        </w:tc>
      </w:tr>
      <w:tr w:rsidR="00EC3804" w:rsidRPr="00321B46" w14:paraId="3496AA64"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8F34C3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N5L21</w:t>
            </w:r>
          </w:p>
        </w:tc>
        <w:tc>
          <w:tcPr>
            <w:tcW w:w="6980" w:type="dxa"/>
            <w:tcBorders>
              <w:top w:val="nil"/>
              <w:left w:val="nil"/>
              <w:bottom w:val="single" w:sz="4" w:space="0" w:color="auto"/>
              <w:right w:val="single" w:sz="4" w:space="0" w:color="auto"/>
            </w:tcBorders>
            <w:shd w:val="clear" w:color="auto" w:fill="auto"/>
            <w:noWrap/>
            <w:vAlign w:val="bottom"/>
            <w:hideMark/>
          </w:tcPr>
          <w:p w14:paraId="28C0C35D"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--Altura 500 a 2000 msnm-230kV Circuito doble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06137C5D"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149.784.000</w:t>
            </w:r>
          </w:p>
        </w:tc>
      </w:tr>
      <w:tr w:rsidR="00EC3804" w:rsidRPr="00321B46" w14:paraId="52E6AA7D"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313976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N5L22</w:t>
            </w:r>
          </w:p>
        </w:tc>
        <w:tc>
          <w:tcPr>
            <w:tcW w:w="6980" w:type="dxa"/>
            <w:tcBorders>
              <w:top w:val="nil"/>
              <w:left w:val="nil"/>
              <w:bottom w:val="single" w:sz="4" w:space="0" w:color="auto"/>
              <w:right w:val="single" w:sz="4" w:space="0" w:color="auto"/>
            </w:tcBorders>
            <w:shd w:val="clear" w:color="auto" w:fill="auto"/>
            <w:noWrap/>
            <w:vAlign w:val="bottom"/>
            <w:hideMark/>
          </w:tcPr>
          <w:p w14:paraId="71A4BC95"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--Altura 500 a 2000 msnm-230kV Circuito doble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57E3A2BA"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213.414.000</w:t>
            </w:r>
          </w:p>
        </w:tc>
      </w:tr>
      <w:tr w:rsidR="00EC3804" w:rsidRPr="00321B46" w14:paraId="0707E3F2"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6274CF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N5L23</w:t>
            </w:r>
          </w:p>
        </w:tc>
        <w:tc>
          <w:tcPr>
            <w:tcW w:w="6980" w:type="dxa"/>
            <w:tcBorders>
              <w:top w:val="nil"/>
              <w:left w:val="nil"/>
              <w:bottom w:val="single" w:sz="4" w:space="0" w:color="auto"/>
              <w:right w:val="single" w:sz="4" w:space="0" w:color="auto"/>
            </w:tcBorders>
            <w:shd w:val="clear" w:color="auto" w:fill="auto"/>
            <w:noWrap/>
            <w:vAlign w:val="bottom"/>
            <w:hideMark/>
          </w:tcPr>
          <w:p w14:paraId="5CC135A3"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 -Altura 500 a 2000 msnm-230kV Cuatro circuitos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7B33A32D"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205.698.000</w:t>
            </w:r>
          </w:p>
        </w:tc>
      </w:tr>
      <w:tr w:rsidR="00EC3804" w:rsidRPr="00321B46" w14:paraId="2C19CE2C"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4C0724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N5L24</w:t>
            </w:r>
          </w:p>
        </w:tc>
        <w:tc>
          <w:tcPr>
            <w:tcW w:w="6980" w:type="dxa"/>
            <w:tcBorders>
              <w:top w:val="nil"/>
              <w:left w:val="nil"/>
              <w:bottom w:val="single" w:sz="4" w:space="0" w:color="auto"/>
              <w:right w:val="single" w:sz="4" w:space="0" w:color="auto"/>
            </w:tcBorders>
            <w:shd w:val="clear" w:color="auto" w:fill="auto"/>
            <w:noWrap/>
            <w:vAlign w:val="bottom"/>
            <w:hideMark/>
          </w:tcPr>
          <w:p w14:paraId="75ED3D46"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 -Altura 500 a 2000 msnm-230kV Cuatro circuitos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29548FB5"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287.419.000</w:t>
            </w:r>
          </w:p>
        </w:tc>
      </w:tr>
      <w:tr w:rsidR="00EC3804" w:rsidRPr="00321B46" w14:paraId="2B9CEEDA"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507496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N5L25</w:t>
            </w:r>
          </w:p>
        </w:tc>
        <w:tc>
          <w:tcPr>
            <w:tcW w:w="6980" w:type="dxa"/>
            <w:tcBorders>
              <w:top w:val="nil"/>
              <w:left w:val="nil"/>
              <w:bottom w:val="single" w:sz="4" w:space="0" w:color="auto"/>
              <w:right w:val="single" w:sz="4" w:space="0" w:color="auto"/>
            </w:tcBorders>
            <w:shd w:val="clear" w:color="auto" w:fill="auto"/>
            <w:noWrap/>
            <w:vAlign w:val="bottom"/>
            <w:hideMark/>
          </w:tcPr>
          <w:p w14:paraId="3397989C"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Torre metálica --Altura mayor a 2000 msnm- 230 kV Circuito sencillo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59C66852"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84.622.000</w:t>
            </w:r>
          </w:p>
        </w:tc>
      </w:tr>
      <w:tr w:rsidR="00EC3804" w:rsidRPr="00321B46" w14:paraId="57E2A101"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E83EB9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N5L26</w:t>
            </w:r>
          </w:p>
        </w:tc>
        <w:tc>
          <w:tcPr>
            <w:tcW w:w="6980" w:type="dxa"/>
            <w:tcBorders>
              <w:top w:val="nil"/>
              <w:left w:val="nil"/>
              <w:bottom w:val="single" w:sz="4" w:space="0" w:color="auto"/>
              <w:right w:val="single" w:sz="4" w:space="0" w:color="auto"/>
            </w:tcBorders>
            <w:shd w:val="clear" w:color="auto" w:fill="auto"/>
            <w:noWrap/>
            <w:vAlign w:val="bottom"/>
            <w:hideMark/>
          </w:tcPr>
          <w:p w14:paraId="65F23495"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Torre metálica --Altura mayor a 2000 msnm- 230 kV Circuito sencillo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17D81677"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118.239.000</w:t>
            </w:r>
          </w:p>
        </w:tc>
      </w:tr>
      <w:tr w:rsidR="00EC3804" w:rsidRPr="00321B46" w14:paraId="441E65FC"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C47920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N5L27</w:t>
            </w:r>
          </w:p>
        </w:tc>
        <w:tc>
          <w:tcPr>
            <w:tcW w:w="6980" w:type="dxa"/>
            <w:tcBorders>
              <w:top w:val="nil"/>
              <w:left w:val="nil"/>
              <w:bottom w:val="single" w:sz="4" w:space="0" w:color="auto"/>
              <w:right w:val="single" w:sz="4" w:space="0" w:color="auto"/>
            </w:tcBorders>
            <w:shd w:val="clear" w:color="auto" w:fill="auto"/>
            <w:noWrap/>
            <w:vAlign w:val="bottom"/>
            <w:hideMark/>
          </w:tcPr>
          <w:p w14:paraId="50BA219C"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--Altura mayor a 2000 msnm-230kV Circuito sencillo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0FA83C4F"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96.708.000</w:t>
            </w:r>
          </w:p>
        </w:tc>
      </w:tr>
      <w:tr w:rsidR="00EC3804" w:rsidRPr="00321B46" w14:paraId="7C76474A"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D3B52B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N5L28</w:t>
            </w:r>
          </w:p>
        </w:tc>
        <w:tc>
          <w:tcPr>
            <w:tcW w:w="6980" w:type="dxa"/>
            <w:tcBorders>
              <w:top w:val="nil"/>
              <w:left w:val="nil"/>
              <w:bottom w:val="single" w:sz="4" w:space="0" w:color="auto"/>
              <w:right w:val="single" w:sz="4" w:space="0" w:color="auto"/>
            </w:tcBorders>
            <w:shd w:val="clear" w:color="auto" w:fill="auto"/>
            <w:noWrap/>
            <w:vAlign w:val="bottom"/>
            <w:hideMark/>
          </w:tcPr>
          <w:p w14:paraId="47E1B623"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--Altura mayor a 2000 msnm-230kV Circuito sencillo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39152D43"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148.030.000</w:t>
            </w:r>
          </w:p>
        </w:tc>
      </w:tr>
      <w:tr w:rsidR="00EC3804" w:rsidRPr="00321B46" w14:paraId="4951BFF5"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099EDE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N5L29</w:t>
            </w:r>
          </w:p>
        </w:tc>
        <w:tc>
          <w:tcPr>
            <w:tcW w:w="6980" w:type="dxa"/>
            <w:tcBorders>
              <w:top w:val="nil"/>
              <w:left w:val="nil"/>
              <w:bottom w:val="single" w:sz="4" w:space="0" w:color="auto"/>
              <w:right w:val="single" w:sz="4" w:space="0" w:color="auto"/>
            </w:tcBorders>
            <w:shd w:val="clear" w:color="auto" w:fill="auto"/>
            <w:noWrap/>
            <w:vAlign w:val="bottom"/>
            <w:hideMark/>
          </w:tcPr>
          <w:p w14:paraId="0C49634F"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concreto - -Altura mayor a 2000 msnm-230kV Circuito sencillo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767388BD"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56.605.000</w:t>
            </w:r>
          </w:p>
        </w:tc>
      </w:tr>
      <w:tr w:rsidR="00EC3804" w:rsidRPr="00321B46" w14:paraId="26624D6C"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03DF93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N5L30</w:t>
            </w:r>
          </w:p>
        </w:tc>
        <w:tc>
          <w:tcPr>
            <w:tcW w:w="6980" w:type="dxa"/>
            <w:tcBorders>
              <w:top w:val="nil"/>
              <w:left w:val="nil"/>
              <w:bottom w:val="single" w:sz="4" w:space="0" w:color="auto"/>
              <w:right w:val="single" w:sz="4" w:space="0" w:color="auto"/>
            </w:tcBorders>
            <w:shd w:val="clear" w:color="auto" w:fill="auto"/>
            <w:noWrap/>
            <w:vAlign w:val="bottom"/>
            <w:hideMark/>
          </w:tcPr>
          <w:p w14:paraId="448F6DD4"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concreto - -Altura mayor a 2000 msnm-230kV Circuito sencillo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4D754198"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73.160.000</w:t>
            </w:r>
          </w:p>
        </w:tc>
      </w:tr>
      <w:tr w:rsidR="00EC3804" w:rsidRPr="00321B46" w14:paraId="7DAD7896"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440DC9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N5L31</w:t>
            </w:r>
          </w:p>
        </w:tc>
        <w:tc>
          <w:tcPr>
            <w:tcW w:w="6980" w:type="dxa"/>
            <w:tcBorders>
              <w:top w:val="nil"/>
              <w:left w:val="nil"/>
              <w:bottom w:val="single" w:sz="4" w:space="0" w:color="auto"/>
              <w:right w:val="single" w:sz="4" w:space="0" w:color="auto"/>
            </w:tcBorders>
            <w:shd w:val="clear" w:color="auto" w:fill="auto"/>
            <w:noWrap/>
            <w:vAlign w:val="bottom"/>
            <w:hideMark/>
          </w:tcPr>
          <w:p w14:paraId="675C253C"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Torre metálica --Altura mayor a 2000 msnm- 230 kV Circuito doble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550D6376"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124.188.000</w:t>
            </w:r>
          </w:p>
        </w:tc>
      </w:tr>
      <w:tr w:rsidR="00EC3804" w:rsidRPr="00321B46" w14:paraId="4B11F962"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F800B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N5L32</w:t>
            </w:r>
          </w:p>
        </w:tc>
        <w:tc>
          <w:tcPr>
            <w:tcW w:w="6980" w:type="dxa"/>
            <w:tcBorders>
              <w:top w:val="nil"/>
              <w:left w:val="nil"/>
              <w:bottom w:val="single" w:sz="4" w:space="0" w:color="auto"/>
              <w:right w:val="single" w:sz="4" w:space="0" w:color="auto"/>
            </w:tcBorders>
            <w:shd w:val="clear" w:color="auto" w:fill="auto"/>
            <w:noWrap/>
            <w:vAlign w:val="bottom"/>
            <w:hideMark/>
          </w:tcPr>
          <w:p w14:paraId="7F402772"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Torre metálica --Altura mayor a 2000 msnm- 230 kV Circuito doble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5B363EBF"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168.861.000</w:t>
            </w:r>
          </w:p>
        </w:tc>
      </w:tr>
      <w:tr w:rsidR="00EC3804" w:rsidRPr="00321B46" w14:paraId="16F46445"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B98EFD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N5L33</w:t>
            </w:r>
          </w:p>
        </w:tc>
        <w:tc>
          <w:tcPr>
            <w:tcW w:w="6980" w:type="dxa"/>
            <w:tcBorders>
              <w:top w:val="nil"/>
              <w:left w:val="nil"/>
              <w:bottom w:val="single" w:sz="4" w:space="0" w:color="auto"/>
              <w:right w:val="single" w:sz="4" w:space="0" w:color="auto"/>
            </w:tcBorders>
            <w:shd w:val="clear" w:color="auto" w:fill="auto"/>
            <w:noWrap/>
            <w:vAlign w:val="bottom"/>
            <w:hideMark/>
          </w:tcPr>
          <w:p w14:paraId="05357FF2"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-Altura mayor a 2000 msnm- 230 kV Circuito doble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707A17EA"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150.558.000</w:t>
            </w:r>
          </w:p>
        </w:tc>
      </w:tr>
      <w:tr w:rsidR="00EC3804" w:rsidRPr="00321B46" w14:paraId="2BDD83F3"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8B7731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N5L34</w:t>
            </w:r>
          </w:p>
        </w:tc>
        <w:tc>
          <w:tcPr>
            <w:tcW w:w="6980" w:type="dxa"/>
            <w:tcBorders>
              <w:top w:val="nil"/>
              <w:left w:val="nil"/>
              <w:bottom w:val="single" w:sz="4" w:space="0" w:color="auto"/>
              <w:right w:val="single" w:sz="4" w:space="0" w:color="auto"/>
            </w:tcBorders>
            <w:shd w:val="clear" w:color="auto" w:fill="auto"/>
            <w:noWrap/>
            <w:vAlign w:val="bottom"/>
            <w:hideMark/>
          </w:tcPr>
          <w:p w14:paraId="70C668BB"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-Altura mayor a 2000 msnm- 230 kV Circuito doble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06ACBD0E"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215.644.000</w:t>
            </w:r>
          </w:p>
        </w:tc>
      </w:tr>
      <w:tr w:rsidR="00EC3804" w:rsidRPr="00321B46" w14:paraId="7D129FFA"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C1BCE2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N5L35</w:t>
            </w:r>
          </w:p>
        </w:tc>
        <w:tc>
          <w:tcPr>
            <w:tcW w:w="6980" w:type="dxa"/>
            <w:tcBorders>
              <w:top w:val="nil"/>
              <w:left w:val="nil"/>
              <w:bottom w:val="single" w:sz="4" w:space="0" w:color="auto"/>
              <w:right w:val="single" w:sz="4" w:space="0" w:color="auto"/>
            </w:tcBorders>
            <w:shd w:val="clear" w:color="auto" w:fill="auto"/>
            <w:noWrap/>
            <w:vAlign w:val="bottom"/>
            <w:hideMark/>
          </w:tcPr>
          <w:p w14:paraId="01C095F3"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--Altura mayor a 2000 msnm- 230 kV Cuatro circuitos - suspensión</w:t>
            </w:r>
          </w:p>
        </w:tc>
        <w:tc>
          <w:tcPr>
            <w:tcW w:w="1540" w:type="dxa"/>
            <w:tcBorders>
              <w:top w:val="nil"/>
              <w:left w:val="nil"/>
              <w:bottom w:val="single" w:sz="4" w:space="0" w:color="auto"/>
              <w:right w:val="single" w:sz="4" w:space="0" w:color="auto"/>
            </w:tcBorders>
            <w:shd w:val="clear" w:color="auto" w:fill="auto"/>
            <w:noWrap/>
            <w:vAlign w:val="center"/>
            <w:hideMark/>
          </w:tcPr>
          <w:p w14:paraId="54452E6B"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207.246.000</w:t>
            </w:r>
          </w:p>
        </w:tc>
      </w:tr>
      <w:tr w:rsidR="00EC3804" w:rsidRPr="00321B46" w14:paraId="0DB6D21C"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E903A3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N5L36</w:t>
            </w:r>
          </w:p>
        </w:tc>
        <w:tc>
          <w:tcPr>
            <w:tcW w:w="6980" w:type="dxa"/>
            <w:tcBorders>
              <w:top w:val="nil"/>
              <w:left w:val="nil"/>
              <w:bottom w:val="single" w:sz="4" w:space="0" w:color="auto"/>
              <w:right w:val="single" w:sz="4" w:space="0" w:color="auto"/>
            </w:tcBorders>
            <w:shd w:val="clear" w:color="auto" w:fill="auto"/>
            <w:noWrap/>
            <w:vAlign w:val="bottom"/>
            <w:hideMark/>
          </w:tcPr>
          <w:p w14:paraId="0E17699E"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Poste metálico --Altura mayor a 2000 msnm- 230 kV Cuatro circuitos - retención</w:t>
            </w:r>
          </w:p>
        </w:tc>
        <w:tc>
          <w:tcPr>
            <w:tcW w:w="1540" w:type="dxa"/>
            <w:tcBorders>
              <w:top w:val="nil"/>
              <w:left w:val="nil"/>
              <w:bottom w:val="single" w:sz="4" w:space="0" w:color="auto"/>
              <w:right w:val="single" w:sz="4" w:space="0" w:color="auto"/>
            </w:tcBorders>
            <w:shd w:val="clear" w:color="auto" w:fill="auto"/>
            <w:noWrap/>
            <w:vAlign w:val="center"/>
            <w:hideMark/>
          </w:tcPr>
          <w:p w14:paraId="333B8700"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291.880.000</w:t>
            </w:r>
          </w:p>
        </w:tc>
      </w:tr>
      <w:tr w:rsidR="00EC3804" w:rsidRPr="00321B46" w14:paraId="1E0550FB"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9A73E1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N5L37</w:t>
            </w:r>
          </w:p>
        </w:tc>
        <w:tc>
          <w:tcPr>
            <w:tcW w:w="6980" w:type="dxa"/>
            <w:tcBorders>
              <w:top w:val="nil"/>
              <w:left w:val="nil"/>
              <w:bottom w:val="single" w:sz="4" w:space="0" w:color="auto"/>
              <w:right w:val="single" w:sz="4" w:space="0" w:color="auto"/>
            </w:tcBorders>
            <w:shd w:val="clear" w:color="auto" w:fill="auto"/>
            <w:noWrap/>
            <w:vAlign w:val="bottom"/>
            <w:hideMark/>
          </w:tcPr>
          <w:p w14:paraId="60068C04"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Banco de ductos - Circuito sencillo</w:t>
            </w:r>
          </w:p>
        </w:tc>
        <w:tc>
          <w:tcPr>
            <w:tcW w:w="1540" w:type="dxa"/>
            <w:tcBorders>
              <w:top w:val="nil"/>
              <w:left w:val="nil"/>
              <w:bottom w:val="single" w:sz="4" w:space="0" w:color="auto"/>
              <w:right w:val="single" w:sz="4" w:space="0" w:color="auto"/>
            </w:tcBorders>
            <w:shd w:val="clear" w:color="auto" w:fill="auto"/>
            <w:noWrap/>
            <w:vAlign w:val="center"/>
            <w:hideMark/>
          </w:tcPr>
          <w:p w14:paraId="7636591B"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1.834.362.000</w:t>
            </w:r>
          </w:p>
        </w:tc>
      </w:tr>
      <w:tr w:rsidR="00EC3804" w:rsidRPr="00321B46" w14:paraId="2F78FE63"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D005D8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N5L38</w:t>
            </w:r>
          </w:p>
        </w:tc>
        <w:tc>
          <w:tcPr>
            <w:tcW w:w="6980" w:type="dxa"/>
            <w:tcBorders>
              <w:top w:val="nil"/>
              <w:left w:val="nil"/>
              <w:bottom w:val="single" w:sz="4" w:space="0" w:color="auto"/>
              <w:right w:val="single" w:sz="4" w:space="0" w:color="auto"/>
            </w:tcBorders>
            <w:shd w:val="clear" w:color="auto" w:fill="auto"/>
            <w:noWrap/>
            <w:vAlign w:val="bottom"/>
            <w:hideMark/>
          </w:tcPr>
          <w:p w14:paraId="22104A80"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Box-Culvert - Circuito sencillo</w:t>
            </w:r>
          </w:p>
        </w:tc>
        <w:tc>
          <w:tcPr>
            <w:tcW w:w="1540" w:type="dxa"/>
            <w:tcBorders>
              <w:top w:val="nil"/>
              <w:left w:val="nil"/>
              <w:bottom w:val="single" w:sz="4" w:space="0" w:color="auto"/>
              <w:right w:val="single" w:sz="4" w:space="0" w:color="auto"/>
            </w:tcBorders>
            <w:shd w:val="clear" w:color="auto" w:fill="auto"/>
            <w:noWrap/>
            <w:vAlign w:val="center"/>
            <w:hideMark/>
          </w:tcPr>
          <w:p w14:paraId="6606D728"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1.946.458.000</w:t>
            </w:r>
          </w:p>
        </w:tc>
      </w:tr>
      <w:tr w:rsidR="00EC3804" w:rsidRPr="00321B46" w14:paraId="5DB9E37F"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FC3E22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N5L39</w:t>
            </w:r>
          </w:p>
        </w:tc>
        <w:tc>
          <w:tcPr>
            <w:tcW w:w="6980" w:type="dxa"/>
            <w:tcBorders>
              <w:top w:val="nil"/>
              <w:left w:val="nil"/>
              <w:bottom w:val="single" w:sz="4" w:space="0" w:color="auto"/>
              <w:right w:val="single" w:sz="4" w:space="0" w:color="auto"/>
            </w:tcBorders>
            <w:shd w:val="clear" w:color="auto" w:fill="auto"/>
            <w:noWrap/>
            <w:vAlign w:val="bottom"/>
            <w:hideMark/>
          </w:tcPr>
          <w:p w14:paraId="28C89365"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Banco de ductos - Circuito doble</w:t>
            </w:r>
          </w:p>
        </w:tc>
        <w:tc>
          <w:tcPr>
            <w:tcW w:w="1540" w:type="dxa"/>
            <w:tcBorders>
              <w:top w:val="nil"/>
              <w:left w:val="nil"/>
              <w:bottom w:val="single" w:sz="4" w:space="0" w:color="auto"/>
              <w:right w:val="single" w:sz="4" w:space="0" w:color="auto"/>
            </w:tcBorders>
            <w:shd w:val="clear" w:color="auto" w:fill="auto"/>
            <w:noWrap/>
            <w:vAlign w:val="center"/>
            <w:hideMark/>
          </w:tcPr>
          <w:p w14:paraId="31CB4243"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2.391.300.000</w:t>
            </w:r>
          </w:p>
        </w:tc>
      </w:tr>
      <w:tr w:rsidR="00EC3804" w:rsidRPr="00321B46" w14:paraId="70D2EF73"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F59733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N5L40</w:t>
            </w:r>
          </w:p>
        </w:tc>
        <w:tc>
          <w:tcPr>
            <w:tcW w:w="6980" w:type="dxa"/>
            <w:tcBorders>
              <w:top w:val="nil"/>
              <w:left w:val="nil"/>
              <w:bottom w:val="single" w:sz="4" w:space="0" w:color="auto"/>
              <w:right w:val="single" w:sz="4" w:space="0" w:color="auto"/>
            </w:tcBorders>
            <w:shd w:val="clear" w:color="auto" w:fill="auto"/>
            <w:noWrap/>
            <w:vAlign w:val="bottom"/>
            <w:hideMark/>
          </w:tcPr>
          <w:p w14:paraId="65A5533A"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Box-Culvert - Circuito doble</w:t>
            </w:r>
          </w:p>
        </w:tc>
        <w:tc>
          <w:tcPr>
            <w:tcW w:w="1540" w:type="dxa"/>
            <w:tcBorders>
              <w:top w:val="nil"/>
              <w:left w:val="nil"/>
              <w:bottom w:val="single" w:sz="4" w:space="0" w:color="auto"/>
              <w:right w:val="single" w:sz="4" w:space="0" w:color="auto"/>
            </w:tcBorders>
            <w:shd w:val="clear" w:color="auto" w:fill="auto"/>
            <w:noWrap/>
            <w:vAlign w:val="center"/>
            <w:hideMark/>
          </w:tcPr>
          <w:p w14:paraId="1276C0E6"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2.669.096.000</w:t>
            </w:r>
          </w:p>
        </w:tc>
      </w:tr>
      <w:tr w:rsidR="00EC3804" w:rsidRPr="00321B46" w14:paraId="336E74E4"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738FBF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N5L41</w:t>
            </w:r>
          </w:p>
        </w:tc>
        <w:tc>
          <w:tcPr>
            <w:tcW w:w="6980" w:type="dxa"/>
            <w:tcBorders>
              <w:top w:val="nil"/>
              <w:left w:val="nil"/>
              <w:bottom w:val="single" w:sz="4" w:space="0" w:color="auto"/>
              <w:right w:val="single" w:sz="4" w:space="0" w:color="auto"/>
            </w:tcBorders>
            <w:shd w:val="clear" w:color="auto" w:fill="auto"/>
            <w:noWrap/>
            <w:vAlign w:val="bottom"/>
            <w:hideMark/>
          </w:tcPr>
          <w:p w14:paraId="102665C8"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km de conductor ACSR 1113 kcmil (hasta 1kA)  230kV</w:t>
            </w:r>
          </w:p>
        </w:tc>
        <w:tc>
          <w:tcPr>
            <w:tcW w:w="1540" w:type="dxa"/>
            <w:tcBorders>
              <w:top w:val="nil"/>
              <w:left w:val="nil"/>
              <w:bottom w:val="single" w:sz="4" w:space="0" w:color="auto"/>
              <w:right w:val="single" w:sz="4" w:space="0" w:color="auto"/>
            </w:tcBorders>
            <w:shd w:val="clear" w:color="auto" w:fill="auto"/>
            <w:noWrap/>
            <w:vAlign w:val="center"/>
            <w:hideMark/>
          </w:tcPr>
          <w:p w14:paraId="2C1B6E98"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8.892.000</w:t>
            </w:r>
          </w:p>
        </w:tc>
      </w:tr>
      <w:tr w:rsidR="00EC3804" w:rsidRPr="00321B46" w14:paraId="1F450AAF"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F87271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N5L42</w:t>
            </w:r>
          </w:p>
        </w:tc>
        <w:tc>
          <w:tcPr>
            <w:tcW w:w="6980" w:type="dxa"/>
            <w:tcBorders>
              <w:top w:val="nil"/>
              <w:left w:val="nil"/>
              <w:bottom w:val="single" w:sz="4" w:space="0" w:color="auto"/>
              <w:right w:val="single" w:sz="4" w:space="0" w:color="auto"/>
            </w:tcBorders>
            <w:shd w:val="clear" w:color="auto" w:fill="auto"/>
            <w:noWrap/>
            <w:vAlign w:val="bottom"/>
            <w:hideMark/>
          </w:tcPr>
          <w:p w14:paraId="6EF39C82"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km de conductor AAAC 1600 kcmil (Mayor a 1 kA) 230kV</w:t>
            </w:r>
          </w:p>
        </w:tc>
        <w:tc>
          <w:tcPr>
            <w:tcW w:w="1540" w:type="dxa"/>
            <w:tcBorders>
              <w:top w:val="nil"/>
              <w:left w:val="nil"/>
              <w:bottom w:val="single" w:sz="4" w:space="0" w:color="auto"/>
              <w:right w:val="single" w:sz="4" w:space="0" w:color="auto"/>
            </w:tcBorders>
            <w:shd w:val="clear" w:color="auto" w:fill="auto"/>
            <w:noWrap/>
            <w:vAlign w:val="center"/>
            <w:hideMark/>
          </w:tcPr>
          <w:p w14:paraId="12C80A6F"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8.892.000</w:t>
            </w:r>
          </w:p>
        </w:tc>
      </w:tr>
      <w:tr w:rsidR="00EC3804" w:rsidRPr="00321B46" w14:paraId="05CA190D"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6B7A48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N5L43</w:t>
            </w:r>
          </w:p>
        </w:tc>
        <w:tc>
          <w:tcPr>
            <w:tcW w:w="6980" w:type="dxa"/>
            <w:tcBorders>
              <w:top w:val="nil"/>
              <w:left w:val="nil"/>
              <w:bottom w:val="single" w:sz="4" w:space="0" w:color="auto"/>
              <w:right w:val="single" w:sz="4" w:space="0" w:color="auto"/>
            </w:tcBorders>
            <w:shd w:val="clear" w:color="auto" w:fill="auto"/>
            <w:noWrap/>
            <w:vAlign w:val="bottom"/>
            <w:hideMark/>
          </w:tcPr>
          <w:p w14:paraId="3E30B247"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km de conductor ACSR Canary 900 kcmil</w:t>
            </w:r>
          </w:p>
        </w:tc>
        <w:tc>
          <w:tcPr>
            <w:tcW w:w="1540" w:type="dxa"/>
            <w:tcBorders>
              <w:top w:val="nil"/>
              <w:left w:val="nil"/>
              <w:bottom w:val="single" w:sz="4" w:space="0" w:color="auto"/>
              <w:right w:val="single" w:sz="4" w:space="0" w:color="auto"/>
            </w:tcBorders>
            <w:shd w:val="clear" w:color="auto" w:fill="auto"/>
            <w:noWrap/>
            <w:vAlign w:val="center"/>
            <w:hideMark/>
          </w:tcPr>
          <w:p w14:paraId="6D342DB3"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53.059.000</w:t>
            </w:r>
          </w:p>
        </w:tc>
      </w:tr>
      <w:tr w:rsidR="00EC3804" w:rsidRPr="00321B46" w14:paraId="4183199B"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52FC64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N5L44</w:t>
            </w:r>
          </w:p>
        </w:tc>
        <w:tc>
          <w:tcPr>
            <w:tcW w:w="6980" w:type="dxa"/>
            <w:tcBorders>
              <w:top w:val="nil"/>
              <w:left w:val="nil"/>
              <w:bottom w:val="single" w:sz="4" w:space="0" w:color="auto"/>
              <w:right w:val="single" w:sz="4" w:space="0" w:color="auto"/>
            </w:tcBorders>
            <w:shd w:val="clear" w:color="auto" w:fill="auto"/>
            <w:noWrap/>
            <w:vAlign w:val="bottom"/>
            <w:hideMark/>
          </w:tcPr>
          <w:p w14:paraId="04D6D210"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km de conductor ACSR Rail 954 kcmil</w:t>
            </w:r>
          </w:p>
        </w:tc>
        <w:tc>
          <w:tcPr>
            <w:tcW w:w="1540" w:type="dxa"/>
            <w:tcBorders>
              <w:top w:val="nil"/>
              <w:left w:val="nil"/>
              <w:bottom w:val="single" w:sz="4" w:space="0" w:color="auto"/>
              <w:right w:val="single" w:sz="4" w:space="0" w:color="auto"/>
            </w:tcBorders>
            <w:shd w:val="clear" w:color="auto" w:fill="auto"/>
            <w:noWrap/>
            <w:vAlign w:val="center"/>
            <w:hideMark/>
          </w:tcPr>
          <w:p w14:paraId="404566BC"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58.704.000</w:t>
            </w:r>
          </w:p>
        </w:tc>
      </w:tr>
      <w:tr w:rsidR="00EC3804" w:rsidRPr="00321B46" w14:paraId="1B2F3E36"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D7A2AF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N5L45</w:t>
            </w:r>
          </w:p>
        </w:tc>
        <w:tc>
          <w:tcPr>
            <w:tcW w:w="6980" w:type="dxa"/>
            <w:tcBorders>
              <w:top w:val="nil"/>
              <w:left w:val="nil"/>
              <w:bottom w:val="single" w:sz="4" w:space="0" w:color="auto"/>
              <w:right w:val="single" w:sz="4" w:space="0" w:color="auto"/>
            </w:tcBorders>
            <w:shd w:val="clear" w:color="auto" w:fill="auto"/>
            <w:noWrap/>
            <w:vAlign w:val="bottom"/>
            <w:hideMark/>
          </w:tcPr>
          <w:p w14:paraId="32CE6560"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km de conductor ACSR Cardinal 954 kcmil</w:t>
            </w:r>
          </w:p>
        </w:tc>
        <w:tc>
          <w:tcPr>
            <w:tcW w:w="1540" w:type="dxa"/>
            <w:tcBorders>
              <w:top w:val="nil"/>
              <w:left w:val="nil"/>
              <w:bottom w:val="single" w:sz="4" w:space="0" w:color="auto"/>
              <w:right w:val="single" w:sz="4" w:space="0" w:color="auto"/>
            </w:tcBorders>
            <w:shd w:val="clear" w:color="auto" w:fill="auto"/>
            <w:noWrap/>
            <w:vAlign w:val="center"/>
            <w:hideMark/>
          </w:tcPr>
          <w:p w14:paraId="3313D716"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64.251.000</w:t>
            </w:r>
          </w:p>
        </w:tc>
      </w:tr>
      <w:tr w:rsidR="00EC3804" w:rsidRPr="00321B46" w14:paraId="6A263D6B"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E72619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N5L46</w:t>
            </w:r>
          </w:p>
        </w:tc>
        <w:tc>
          <w:tcPr>
            <w:tcW w:w="6980" w:type="dxa"/>
            <w:tcBorders>
              <w:top w:val="nil"/>
              <w:left w:val="nil"/>
              <w:bottom w:val="single" w:sz="4" w:space="0" w:color="auto"/>
              <w:right w:val="single" w:sz="4" w:space="0" w:color="auto"/>
            </w:tcBorders>
            <w:shd w:val="clear" w:color="auto" w:fill="auto"/>
            <w:noWrap/>
            <w:vAlign w:val="bottom"/>
            <w:hideMark/>
          </w:tcPr>
          <w:p w14:paraId="05163AF1"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km de conductor ACSR Curlew 1033,5 kcmil</w:t>
            </w:r>
          </w:p>
        </w:tc>
        <w:tc>
          <w:tcPr>
            <w:tcW w:w="1540" w:type="dxa"/>
            <w:tcBorders>
              <w:top w:val="nil"/>
              <w:left w:val="nil"/>
              <w:bottom w:val="single" w:sz="4" w:space="0" w:color="auto"/>
              <w:right w:val="single" w:sz="4" w:space="0" w:color="auto"/>
            </w:tcBorders>
            <w:shd w:val="clear" w:color="auto" w:fill="auto"/>
            <w:noWrap/>
            <w:vAlign w:val="center"/>
            <w:hideMark/>
          </w:tcPr>
          <w:p w14:paraId="40DFF0D0"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80.380.000</w:t>
            </w:r>
          </w:p>
        </w:tc>
      </w:tr>
      <w:tr w:rsidR="00EC3804" w:rsidRPr="00321B46" w14:paraId="769C5D44"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80F144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N5L47</w:t>
            </w:r>
          </w:p>
        </w:tc>
        <w:tc>
          <w:tcPr>
            <w:tcW w:w="6980" w:type="dxa"/>
            <w:tcBorders>
              <w:top w:val="nil"/>
              <w:left w:val="nil"/>
              <w:bottom w:val="single" w:sz="4" w:space="0" w:color="auto"/>
              <w:right w:val="single" w:sz="4" w:space="0" w:color="auto"/>
            </w:tcBorders>
            <w:shd w:val="clear" w:color="auto" w:fill="auto"/>
            <w:noWrap/>
            <w:vAlign w:val="bottom"/>
            <w:hideMark/>
          </w:tcPr>
          <w:p w14:paraId="5588C80B"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km de conductor ACSR Parrot 1510,5 kcmil</w:t>
            </w:r>
          </w:p>
        </w:tc>
        <w:tc>
          <w:tcPr>
            <w:tcW w:w="1540" w:type="dxa"/>
            <w:tcBorders>
              <w:top w:val="nil"/>
              <w:left w:val="nil"/>
              <w:bottom w:val="single" w:sz="4" w:space="0" w:color="auto"/>
              <w:right w:val="single" w:sz="4" w:space="0" w:color="auto"/>
            </w:tcBorders>
            <w:shd w:val="clear" w:color="auto" w:fill="auto"/>
            <w:noWrap/>
            <w:vAlign w:val="center"/>
            <w:hideMark/>
          </w:tcPr>
          <w:p w14:paraId="7B6F444E"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65.809.000</w:t>
            </w:r>
          </w:p>
        </w:tc>
      </w:tr>
      <w:tr w:rsidR="00EC3804" w:rsidRPr="00321B46" w14:paraId="1AA358DE"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7B3007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N5L48</w:t>
            </w:r>
          </w:p>
        </w:tc>
        <w:tc>
          <w:tcPr>
            <w:tcW w:w="6980" w:type="dxa"/>
            <w:tcBorders>
              <w:top w:val="nil"/>
              <w:left w:val="nil"/>
              <w:bottom w:val="single" w:sz="4" w:space="0" w:color="auto"/>
              <w:right w:val="single" w:sz="4" w:space="0" w:color="auto"/>
            </w:tcBorders>
            <w:shd w:val="clear" w:color="auto" w:fill="auto"/>
            <w:noWrap/>
            <w:vAlign w:val="bottom"/>
            <w:hideMark/>
          </w:tcPr>
          <w:p w14:paraId="5926FFA5"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km de conductor ACSR Falcon 1590 kcmil</w:t>
            </w:r>
          </w:p>
        </w:tc>
        <w:tc>
          <w:tcPr>
            <w:tcW w:w="1540" w:type="dxa"/>
            <w:tcBorders>
              <w:top w:val="nil"/>
              <w:left w:val="nil"/>
              <w:bottom w:val="single" w:sz="4" w:space="0" w:color="auto"/>
              <w:right w:val="single" w:sz="4" w:space="0" w:color="auto"/>
            </w:tcBorders>
            <w:shd w:val="clear" w:color="auto" w:fill="auto"/>
            <w:noWrap/>
            <w:vAlign w:val="center"/>
            <w:hideMark/>
          </w:tcPr>
          <w:p w14:paraId="482A5247"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80.260.000</w:t>
            </w:r>
          </w:p>
        </w:tc>
      </w:tr>
      <w:tr w:rsidR="00EC3804" w:rsidRPr="00321B46" w14:paraId="7B3576F9"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79505C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N5L49</w:t>
            </w:r>
          </w:p>
        </w:tc>
        <w:tc>
          <w:tcPr>
            <w:tcW w:w="6980" w:type="dxa"/>
            <w:tcBorders>
              <w:top w:val="nil"/>
              <w:left w:val="nil"/>
              <w:bottom w:val="single" w:sz="4" w:space="0" w:color="auto"/>
              <w:right w:val="single" w:sz="4" w:space="0" w:color="auto"/>
            </w:tcBorders>
            <w:shd w:val="clear" w:color="auto" w:fill="auto"/>
            <w:noWrap/>
            <w:vAlign w:val="bottom"/>
            <w:hideMark/>
          </w:tcPr>
          <w:p w14:paraId="7B0B87EB"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km de conductor ACSR Kiwi 2167 kcmil</w:t>
            </w:r>
          </w:p>
        </w:tc>
        <w:tc>
          <w:tcPr>
            <w:tcW w:w="1540" w:type="dxa"/>
            <w:tcBorders>
              <w:top w:val="nil"/>
              <w:left w:val="nil"/>
              <w:bottom w:val="single" w:sz="4" w:space="0" w:color="auto"/>
              <w:right w:val="single" w:sz="4" w:space="0" w:color="auto"/>
            </w:tcBorders>
            <w:shd w:val="clear" w:color="auto" w:fill="auto"/>
            <w:noWrap/>
            <w:vAlign w:val="center"/>
            <w:hideMark/>
          </w:tcPr>
          <w:p w14:paraId="046A4068"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104.848.000</w:t>
            </w:r>
          </w:p>
        </w:tc>
      </w:tr>
      <w:tr w:rsidR="00EC3804" w:rsidRPr="00321B46" w14:paraId="45C27954" w14:textId="77777777" w:rsidTr="00B0187D">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D221A3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N5L50</w:t>
            </w:r>
          </w:p>
        </w:tc>
        <w:tc>
          <w:tcPr>
            <w:tcW w:w="6980" w:type="dxa"/>
            <w:tcBorders>
              <w:top w:val="nil"/>
              <w:left w:val="nil"/>
              <w:bottom w:val="single" w:sz="4" w:space="0" w:color="auto"/>
              <w:right w:val="single" w:sz="4" w:space="0" w:color="auto"/>
            </w:tcBorders>
            <w:shd w:val="clear" w:color="auto" w:fill="auto"/>
            <w:noWrap/>
            <w:vAlign w:val="bottom"/>
            <w:hideMark/>
          </w:tcPr>
          <w:p w14:paraId="30541E86"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km de conductor para línea subterránea - Sección transversal 1200 mm</w:t>
            </w:r>
            <w:r w:rsidRPr="00321B46">
              <w:rPr>
                <w:rFonts w:ascii="Calibri" w:hAnsi="Calibri"/>
                <w:sz w:val="16"/>
                <w:szCs w:val="16"/>
                <w:vertAlign w:val="superscript"/>
                <w:lang w:val="es-CO" w:eastAsia="es-CO"/>
              </w:rPr>
              <w:t>2</w:t>
            </w:r>
          </w:p>
        </w:tc>
        <w:tc>
          <w:tcPr>
            <w:tcW w:w="1540" w:type="dxa"/>
            <w:tcBorders>
              <w:top w:val="nil"/>
              <w:left w:val="nil"/>
              <w:bottom w:val="single" w:sz="4" w:space="0" w:color="auto"/>
              <w:right w:val="single" w:sz="4" w:space="0" w:color="auto"/>
            </w:tcBorders>
            <w:shd w:val="clear" w:color="auto" w:fill="auto"/>
            <w:noWrap/>
            <w:vAlign w:val="center"/>
            <w:hideMark/>
          </w:tcPr>
          <w:p w14:paraId="2623C828"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416.562.000</w:t>
            </w:r>
          </w:p>
        </w:tc>
      </w:tr>
      <w:tr w:rsidR="00EC3804" w:rsidRPr="00321B46" w14:paraId="0A164093" w14:textId="77777777" w:rsidTr="00B0187D">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0B55A5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N5L51</w:t>
            </w:r>
          </w:p>
        </w:tc>
        <w:tc>
          <w:tcPr>
            <w:tcW w:w="6980" w:type="dxa"/>
            <w:tcBorders>
              <w:top w:val="nil"/>
              <w:left w:val="nil"/>
              <w:bottom w:val="single" w:sz="4" w:space="0" w:color="auto"/>
              <w:right w:val="single" w:sz="4" w:space="0" w:color="auto"/>
            </w:tcBorders>
            <w:shd w:val="clear" w:color="auto" w:fill="auto"/>
            <w:noWrap/>
            <w:vAlign w:val="bottom"/>
            <w:hideMark/>
          </w:tcPr>
          <w:p w14:paraId="585798BD"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km de conductor para línea subterránea - Sección transversal 1800 mm</w:t>
            </w:r>
            <w:r w:rsidRPr="00321B46">
              <w:rPr>
                <w:rFonts w:ascii="Calibri" w:hAnsi="Calibri"/>
                <w:sz w:val="16"/>
                <w:szCs w:val="16"/>
                <w:vertAlign w:val="superscript"/>
                <w:lang w:val="es-CO" w:eastAsia="es-CO"/>
              </w:rPr>
              <w:t>2</w:t>
            </w:r>
          </w:p>
        </w:tc>
        <w:tc>
          <w:tcPr>
            <w:tcW w:w="1540" w:type="dxa"/>
            <w:tcBorders>
              <w:top w:val="nil"/>
              <w:left w:val="nil"/>
              <w:bottom w:val="single" w:sz="4" w:space="0" w:color="auto"/>
              <w:right w:val="single" w:sz="4" w:space="0" w:color="auto"/>
            </w:tcBorders>
            <w:shd w:val="clear" w:color="auto" w:fill="auto"/>
            <w:noWrap/>
            <w:vAlign w:val="center"/>
            <w:hideMark/>
          </w:tcPr>
          <w:p w14:paraId="338B8266"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715.820.000</w:t>
            </w:r>
          </w:p>
        </w:tc>
      </w:tr>
      <w:tr w:rsidR="00EC3804" w:rsidRPr="00321B46" w14:paraId="1998472D"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2B7FFC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N5L52</w:t>
            </w:r>
          </w:p>
        </w:tc>
        <w:tc>
          <w:tcPr>
            <w:tcW w:w="6980" w:type="dxa"/>
            <w:tcBorders>
              <w:top w:val="nil"/>
              <w:left w:val="nil"/>
              <w:bottom w:val="single" w:sz="4" w:space="0" w:color="auto"/>
              <w:right w:val="single" w:sz="4" w:space="0" w:color="auto"/>
            </w:tcBorders>
            <w:shd w:val="clear" w:color="auto" w:fill="auto"/>
            <w:noWrap/>
            <w:vAlign w:val="bottom"/>
            <w:hideMark/>
          </w:tcPr>
          <w:p w14:paraId="37DB3301"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Sistema de puesta a tierra diseño típico para torre</w:t>
            </w:r>
          </w:p>
        </w:tc>
        <w:tc>
          <w:tcPr>
            <w:tcW w:w="1540" w:type="dxa"/>
            <w:tcBorders>
              <w:top w:val="nil"/>
              <w:left w:val="nil"/>
              <w:bottom w:val="single" w:sz="4" w:space="0" w:color="auto"/>
              <w:right w:val="single" w:sz="4" w:space="0" w:color="auto"/>
            </w:tcBorders>
            <w:shd w:val="clear" w:color="auto" w:fill="auto"/>
            <w:noWrap/>
            <w:vAlign w:val="center"/>
            <w:hideMark/>
          </w:tcPr>
          <w:p w14:paraId="6F40876D"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4.069.000</w:t>
            </w:r>
          </w:p>
        </w:tc>
      </w:tr>
      <w:tr w:rsidR="00EC3804" w:rsidRPr="00321B46" w14:paraId="353A8012"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1EF5674"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N5L53</w:t>
            </w:r>
          </w:p>
        </w:tc>
        <w:tc>
          <w:tcPr>
            <w:tcW w:w="6980" w:type="dxa"/>
            <w:tcBorders>
              <w:top w:val="nil"/>
              <w:left w:val="nil"/>
              <w:bottom w:val="single" w:sz="4" w:space="0" w:color="auto"/>
              <w:right w:val="single" w:sz="4" w:space="0" w:color="auto"/>
            </w:tcBorders>
            <w:shd w:val="clear" w:color="auto" w:fill="auto"/>
            <w:noWrap/>
            <w:vAlign w:val="bottom"/>
            <w:hideMark/>
          </w:tcPr>
          <w:p w14:paraId="55D45018"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Sistema de puesta a tierra diseño típico para poste</w:t>
            </w:r>
          </w:p>
        </w:tc>
        <w:tc>
          <w:tcPr>
            <w:tcW w:w="1540" w:type="dxa"/>
            <w:tcBorders>
              <w:top w:val="nil"/>
              <w:left w:val="nil"/>
              <w:bottom w:val="single" w:sz="4" w:space="0" w:color="auto"/>
              <w:right w:val="single" w:sz="4" w:space="0" w:color="auto"/>
            </w:tcBorders>
            <w:shd w:val="clear" w:color="auto" w:fill="auto"/>
            <w:noWrap/>
            <w:vAlign w:val="center"/>
            <w:hideMark/>
          </w:tcPr>
          <w:p w14:paraId="4D118C27"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1.606.000</w:t>
            </w:r>
          </w:p>
        </w:tc>
      </w:tr>
      <w:tr w:rsidR="00EC3804" w:rsidRPr="00321B46" w14:paraId="44A891B3"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0500C75"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N5L54</w:t>
            </w:r>
          </w:p>
        </w:tc>
        <w:tc>
          <w:tcPr>
            <w:tcW w:w="6980" w:type="dxa"/>
            <w:tcBorders>
              <w:top w:val="nil"/>
              <w:left w:val="nil"/>
              <w:bottom w:val="single" w:sz="4" w:space="0" w:color="auto"/>
              <w:right w:val="single" w:sz="4" w:space="0" w:color="auto"/>
            </w:tcBorders>
            <w:shd w:val="clear" w:color="auto" w:fill="auto"/>
            <w:noWrap/>
            <w:vAlign w:val="bottom"/>
            <w:hideMark/>
          </w:tcPr>
          <w:p w14:paraId="39FA96C8"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km de cable de guarda STN</w:t>
            </w:r>
          </w:p>
        </w:tc>
        <w:tc>
          <w:tcPr>
            <w:tcW w:w="1540" w:type="dxa"/>
            <w:tcBorders>
              <w:top w:val="nil"/>
              <w:left w:val="nil"/>
              <w:bottom w:val="single" w:sz="4" w:space="0" w:color="auto"/>
              <w:right w:val="single" w:sz="4" w:space="0" w:color="auto"/>
            </w:tcBorders>
            <w:shd w:val="clear" w:color="auto" w:fill="auto"/>
            <w:noWrap/>
            <w:vAlign w:val="center"/>
            <w:hideMark/>
          </w:tcPr>
          <w:p w14:paraId="5D774BEC"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1.463.000</w:t>
            </w:r>
          </w:p>
        </w:tc>
      </w:tr>
      <w:tr w:rsidR="00EC3804" w:rsidRPr="00321B46" w14:paraId="38E2CD49"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1EA484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N5L55</w:t>
            </w:r>
          </w:p>
        </w:tc>
        <w:tc>
          <w:tcPr>
            <w:tcW w:w="6980" w:type="dxa"/>
            <w:tcBorders>
              <w:top w:val="nil"/>
              <w:left w:val="nil"/>
              <w:bottom w:val="single" w:sz="4" w:space="0" w:color="auto"/>
              <w:right w:val="single" w:sz="4" w:space="0" w:color="auto"/>
            </w:tcBorders>
            <w:shd w:val="clear" w:color="auto" w:fill="auto"/>
            <w:noWrap/>
            <w:vAlign w:val="bottom"/>
            <w:hideMark/>
          </w:tcPr>
          <w:p w14:paraId="63E2E9B6" w14:textId="77777777" w:rsidR="00EC3804" w:rsidRPr="00794F47" w:rsidRDefault="00EC3804" w:rsidP="00B0187D">
            <w:pPr>
              <w:spacing w:before="0" w:after="0"/>
              <w:jc w:val="left"/>
              <w:rPr>
                <w:sz w:val="16"/>
                <w:szCs w:val="16"/>
                <w:lang w:val="en-GB" w:eastAsia="es-CO"/>
              </w:rPr>
            </w:pPr>
            <w:r w:rsidRPr="00794F47">
              <w:rPr>
                <w:sz w:val="16"/>
                <w:szCs w:val="16"/>
                <w:lang w:val="en-GB" w:eastAsia="es-CO"/>
              </w:rPr>
              <w:t>Cable de fibra óptica  All-Dielectric Self-Supporting (ADSS) monomodo</w:t>
            </w:r>
          </w:p>
        </w:tc>
        <w:tc>
          <w:tcPr>
            <w:tcW w:w="1540" w:type="dxa"/>
            <w:tcBorders>
              <w:top w:val="nil"/>
              <w:left w:val="nil"/>
              <w:bottom w:val="single" w:sz="4" w:space="0" w:color="auto"/>
              <w:right w:val="single" w:sz="4" w:space="0" w:color="auto"/>
            </w:tcBorders>
            <w:shd w:val="clear" w:color="auto" w:fill="auto"/>
            <w:noWrap/>
            <w:vAlign w:val="center"/>
            <w:hideMark/>
          </w:tcPr>
          <w:p w14:paraId="132CCDE0"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9.706.000</w:t>
            </w:r>
          </w:p>
        </w:tc>
      </w:tr>
      <w:tr w:rsidR="00EC3804" w:rsidRPr="00321B46" w14:paraId="3984318F" w14:textId="77777777" w:rsidTr="00B0187D">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FEA4B39"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N5L56</w:t>
            </w:r>
          </w:p>
        </w:tc>
        <w:tc>
          <w:tcPr>
            <w:tcW w:w="6980" w:type="dxa"/>
            <w:tcBorders>
              <w:top w:val="nil"/>
              <w:left w:val="nil"/>
              <w:bottom w:val="single" w:sz="4" w:space="0" w:color="auto"/>
              <w:right w:val="single" w:sz="4" w:space="0" w:color="auto"/>
            </w:tcBorders>
            <w:shd w:val="clear" w:color="auto" w:fill="auto"/>
            <w:noWrap/>
            <w:vAlign w:val="bottom"/>
            <w:hideMark/>
          </w:tcPr>
          <w:p w14:paraId="0A54C485"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Fibra óptica tipo adosada</w:t>
            </w:r>
          </w:p>
        </w:tc>
        <w:tc>
          <w:tcPr>
            <w:tcW w:w="1540" w:type="dxa"/>
            <w:tcBorders>
              <w:top w:val="nil"/>
              <w:left w:val="nil"/>
              <w:bottom w:val="single" w:sz="4" w:space="0" w:color="auto"/>
              <w:right w:val="single" w:sz="4" w:space="0" w:color="auto"/>
            </w:tcBorders>
            <w:shd w:val="clear" w:color="auto" w:fill="auto"/>
            <w:noWrap/>
            <w:vAlign w:val="center"/>
            <w:hideMark/>
          </w:tcPr>
          <w:p w14:paraId="7103CAB3"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20.247.000</w:t>
            </w:r>
          </w:p>
        </w:tc>
      </w:tr>
    </w:tbl>
    <w:p w14:paraId="1F6E1098" w14:textId="77777777" w:rsidR="00EC3804" w:rsidRPr="00321B46" w:rsidRDefault="00EC3804" w:rsidP="00EC3804"/>
    <w:p w14:paraId="5C7F624C" w14:textId="77777777" w:rsidR="00EC3804" w:rsidRPr="00321B46" w:rsidRDefault="00EC3804" w:rsidP="00BF7220">
      <w:pPr>
        <w:pStyle w:val="Ttulo2"/>
      </w:pPr>
      <w:bookmarkStart w:id="472" w:name="_Toc445462495"/>
      <w:bookmarkStart w:id="473" w:name="_Toc466392690"/>
      <w:r w:rsidRPr="00321B46">
        <w:t>UC asociadas a sistemas de control</w:t>
      </w:r>
      <w:bookmarkEnd w:id="472"/>
      <w:bookmarkEnd w:id="473"/>
    </w:p>
    <w:p w14:paraId="1DEAD79A" w14:textId="77777777" w:rsidR="00EC3804" w:rsidRPr="00321B46" w:rsidRDefault="00EC3804" w:rsidP="00EC3804">
      <w:pPr>
        <w:pStyle w:val="Sangradetextonormal"/>
        <w:numPr>
          <w:ilvl w:val="0"/>
          <w:numId w:val="46"/>
        </w:numPr>
      </w:pPr>
      <w:r w:rsidRPr="00321B46">
        <w:t>La parte correspondiente de control y protección asociada a las bahías de línea y de transformación hacen parte de la UC de control.</w:t>
      </w:r>
    </w:p>
    <w:p w14:paraId="555DE831" w14:textId="77777777" w:rsidR="00EC3804" w:rsidRPr="00321B46" w:rsidRDefault="00EC3804" w:rsidP="00EC3804">
      <w:pPr>
        <w:pStyle w:val="Sangradetextonormal"/>
        <w:numPr>
          <w:ilvl w:val="0"/>
          <w:numId w:val="46"/>
        </w:numPr>
      </w:pPr>
      <w:r w:rsidRPr="00321B46">
        <w:t>Se define el control de las subestaciones dependiendo del número de bahías que opera la subestación.</w:t>
      </w:r>
    </w:p>
    <w:p w14:paraId="0EA170F4" w14:textId="77777777" w:rsidR="00EC3804" w:rsidRPr="00321B46" w:rsidRDefault="00EC3804" w:rsidP="00EC3804">
      <w:pPr>
        <w:pStyle w:val="Sangradetextonormal"/>
        <w:numPr>
          <w:ilvl w:val="0"/>
          <w:numId w:val="46"/>
        </w:numPr>
      </w:pPr>
      <w:r w:rsidRPr="00321B46">
        <w:t>Se define el valor de la estación de control maestra, de acuerdo con sus funcionalidades.</w:t>
      </w:r>
    </w:p>
    <w:p w14:paraId="6276E940" w14:textId="13CD88CD" w:rsidR="00EC3804" w:rsidRPr="00321B46" w:rsidRDefault="00BE0E49" w:rsidP="003448EC">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14</w:t>
      </w:r>
      <w:r w:rsidRPr="00321B46">
        <w:fldChar w:fldCharType="end"/>
      </w:r>
      <w:r w:rsidRPr="00321B46">
        <w:t>.</w:t>
      </w:r>
      <w:r w:rsidR="00EC3804" w:rsidRPr="00321B46">
        <w:t xml:space="preserve">  UC de control, comunicaciones y protecciones en subestaciones</w:t>
      </w:r>
    </w:p>
    <w:tbl>
      <w:tblPr>
        <w:tblW w:w="89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
        <w:gridCol w:w="6803"/>
        <w:gridCol w:w="1474"/>
      </w:tblGrid>
      <w:tr w:rsidR="00EC3804" w:rsidRPr="00321B46" w14:paraId="014FB0B1" w14:textId="77777777" w:rsidTr="00B0187D">
        <w:trPr>
          <w:trHeight w:val="720"/>
          <w:tblHeader/>
        </w:trPr>
        <w:tc>
          <w:tcPr>
            <w:tcW w:w="680" w:type="dxa"/>
            <w:shd w:val="clear" w:color="auto" w:fill="auto"/>
            <w:vAlign w:val="center"/>
            <w:hideMark/>
          </w:tcPr>
          <w:p w14:paraId="06DF2754" w14:textId="77777777" w:rsidR="00EC3804" w:rsidRPr="00321B46" w:rsidRDefault="00EC3804" w:rsidP="00B0187D">
            <w:pPr>
              <w:keepNext/>
              <w:spacing w:before="0" w:after="0"/>
              <w:jc w:val="center"/>
              <w:rPr>
                <w:color w:val="000000"/>
                <w:sz w:val="16"/>
                <w:szCs w:val="16"/>
                <w:lang w:val="es-CO" w:eastAsia="es-CO"/>
              </w:rPr>
            </w:pPr>
            <w:r w:rsidRPr="00321B46">
              <w:rPr>
                <w:color w:val="000000"/>
                <w:sz w:val="16"/>
                <w:szCs w:val="16"/>
                <w:lang w:val="es-CO" w:eastAsia="es-CO"/>
              </w:rPr>
              <w:t>UC</w:t>
            </w:r>
          </w:p>
        </w:tc>
        <w:tc>
          <w:tcPr>
            <w:tcW w:w="6803" w:type="dxa"/>
            <w:shd w:val="clear" w:color="auto" w:fill="auto"/>
            <w:vAlign w:val="center"/>
            <w:hideMark/>
          </w:tcPr>
          <w:p w14:paraId="39F46448" w14:textId="77777777" w:rsidR="00EC3804" w:rsidRPr="00321B46" w:rsidRDefault="00EC3804" w:rsidP="00B0187D">
            <w:pPr>
              <w:keepNext/>
              <w:spacing w:before="0" w:after="0"/>
              <w:jc w:val="center"/>
              <w:rPr>
                <w:color w:val="000000"/>
                <w:sz w:val="16"/>
                <w:szCs w:val="16"/>
                <w:lang w:val="es-CO" w:eastAsia="es-CO"/>
              </w:rPr>
            </w:pPr>
            <w:r w:rsidRPr="00321B46">
              <w:rPr>
                <w:color w:val="000000"/>
                <w:sz w:val="16"/>
                <w:szCs w:val="16"/>
                <w:lang w:val="es-CO" w:eastAsia="es-CO"/>
              </w:rPr>
              <w:t>Descripción</w:t>
            </w:r>
          </w:p>
        </w:tc>
        <w:tc>
          <w:tcPr>
            <w:tcW w:w="1474" w:type="dxa"/>
            <w:shd w:val="clear" w:color="auto" w:fill="auto"/>
            <w:vAlign w:val="center"/>
            <w:hideMark/>
          </w:tcPr>
          <w:p w14:paraId="6FB802C8" w14:textId="77777777" w:rsidR="00EC3804" w:rsidRPr="00321B46" w:rsidRDefault="00EC3804" w:rsidP="00B0187D">
            <w:pPr>
              <w:keepNext/>
              <w:spacing w:before="0" w:after="0"/>
              <w:jc w:val="center"/>
              <w:rPr>
                <w:color w:val="000000"/>
                <w:sz w:val="16"/>
                <w:szCs w:val="16"/>
                <w:lang w:val="es-CO" w:eastAsia="es-CO"/>
              </w:rPr>
            </w:pPr>
            <w:r w:rsidRPr="00321B46">
              <w:rPr>
                <w:color w:val="000000"/>
                <w:sz w:val="16"/>
                <w:szCs w:val="16"/>
                <w:lang w:val="es-CO" w:eastAsia="es-CO"/>
              </w:rPr>
              <w:t>VALOR INSTALADO</w:t>
            </w:r>
            <w:r w:rsidRPr="00321B46">
              <w:rPr>
                <w:color w:val="000000"/>
                <w:sz w:val="16"/>
                <w:szCs w:val="16"/>
                <w:lang w:val="es-CO" w:eastAsia="es-CO"/>
              </w:rPr>
              <w:br/>
              <w:t>[$ dic 2015]</w:t>
            </w:r>
          </w:p>
        </w:tc>
      </w:tr>
      <w:tr w:rsidR="00EC3804" w:rsidRPr="00321B46" w14:paraId="74F3DF5F" w14:textId="77777777" w:rsidTr="00B0187D">
        <w:trPr>
          <w:trHeight w:val="240"/>
        </w:trPr>
        <w:tc>
          <w:tcPr>
            <w:tcW w:w="680" w:type="dxa"/>
            <w:shd w:val="clear" w:color="auto" w:fill="auto"/>
            <w:noWrap/>
            <w:vAlign w:val="center"/>
            <w:hideMark/>
          </w:tcPr>
          <w:p w14:paraId="693A177E"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N6P1</w:t>
            </w:r>
          </w:p>
        </w:tc>
        <w:tc>
          <w:tcPr>
            <w:tcW w:w="6803" w:type="dxa"/>
            <w:shd w:val="clear" w:color="auto" w:fill="auto"/>
            <w:noWrap/>
            <w:vAlign w:val="center"/>
            <w:hideMark/>
          </w:tcPr>
          <w:p w14:paraId="74A42885"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Control y protección Bahía de Línea - 500 kV</w:t>
            </w:r>
          </w:p>
        </w:tc>
        <w:tc>
          <w:tcPr>
            <w:tcW w:w="1474" w:type="dxa"/>
            <w:shd w:val="clear" w:color="auto" w:fill="auto"/>
            <w:noWrap/>
            <w:vAlign w:val="center"/>
            <w:hideMark/>
          </w:tcPr>
          <w:p w14:paraId="58B36343" w14:textId="77777777" w:rsidR="00EC3804" w:rsidRPr="00321B46" w:rsidRDefault="00EC3804" w:rsidP="00B0187D">
            <w:pPr>
              <w:spacing w:before="0" w:after="0"/>
              <w:jc w:val="right"/>
              <w:rPr>
                <w:sz w:val="16"/>
                <w:szCs w:val="16"/>
                <w:lang w:val="es-CO" w:eastAsia="es-CO"/>
              </w:rPr>
            </w:pPr>
            <w:r w:rsidRPr="00321B46">
              <w:rPr>
                <w:sz w:val="16"/>
                <w:szCs w:val="16"/>
                <w:lang w:val="es-CO" w:eastAsia="es-CO"/>
              </w:rPr>
              <w:t>177.108.000</w:t>
            </w:r>
          </w:p>
        </w:tc>
      </w:tr>
      <w:tr w:rsidR="00EC3804" w:rsidRPr="00321B46" w14:paraId="5515B1B2" w14:textId="77777777" w:rsidTr="00B0187D">
        <w:trPr>
          <w:trHeight w:val="240"/>
        </w:trPr>
        <w:tc>
          <w:tcPr>
            <w:tcW w:w="680" w:type="dxa"/>
            <w:shd w:val="clear" w:color="auto" w:fill="auto"/>
            <w:noWrap/>
            <w:vAlign w:val="center"/>
            <w:hideMark/>
          </w:tcPr>
          <w:p w14:paraId="4ACD3E24"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N6P2</w:t>
            </w:r>
          </w:p>
        </w:tc>
        <w:tc>
          <w:tcPr>
            <w:tcW w:w="6803" w:type="dxa"/>
            <w:shd w:val="clear" w:color="auto" w:fill="auto"/>
            <w:noWrap/>
            <w:vAlign w:val="center"/>
            <w:hideMark/>
          </w:tcPr>
          <w:p w14:paraId="3ED5C405"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Control y protección Bahía de Transformador - 500 kV</w:t>
            </w:r>
          </w:p>
        </w:tc>
        <w:tc>
          <w:tcPr>
            <w:tcW w:w="1474" w:type="dxa"/>
            <w:shd w:val="clear" w:color="auto" w:fill="auto"/>
            <w:noWrap/>
            <w:vAlign w:val="center"/>
            <w:hideMark/>
          </w:tcPr>
          <w:p w14:paraId="29CDBE99" w14:textId="77777777" w:rsidR="00EC3804" w:rsidRPr="00321B46" w:rsidRDefault="00EC3804" w:rsidP="00B0187D">
            <w:pPr>
              <w:spacing w:before="0" w:after="0"/>
              <w:jc w:val="right"/>
              <w:rPr>
                <w:sz w:val="16"/>
                <w:szCs w:val="16"/>
                <w:lang w:val="es-CO" w:eastAsia="es-CO"/>
              </w:rPr>
            </w:pPr>
            <w:r w:rsidRPr="00321B46">
              <w:rPr>
                <w:sz w:val="16"/>
                <w:szCs w:val="16"/>
                <w:lang w:val="es-CO" w:eastAsia="es-CO"/>
              </w:rPr>
              <w:t>167.417.000</w:t>
            </w:r>
          </w:p>
        </w:tc>
      </w:tr>
      <w:tr w:rsidR="00EC3804" w:rsidRPr="00321B46" w14:paraId="4BD03157" w14:textId="77777777" w:rsidTr="00B0187D">
        <w:trPr>
          <w:trHeight w:val="240"/>
        </w:trPr>
        <w:tc>
          <w:tcPr>
            <w:tcW w:w="680" w:type="dxa"/>
            <w:shd w:val="clear" w:color="auto" w:fill="auto"/>
            <w:noWrap/>
            <w:vAlign w:val="center"/>
            <w:hideMark/>
          </w:tcPr>
          <w:p w14:paraId="3C4EE9C2"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N6P3</w:t>
            </w:r>
          </w:p>
        </w:tc>
        <w:tc>
          <w:tcPr>
            <w:tcW w:w="6803" w:type="dxa"/>
            <w:shd w:val="clear" w:color="auto" w:fill="auto"/>
            <w:noWrap/>
            <w:vAlign w:val="center"/>
            <w:hideMark/>
          </w:tcPr>
          <w:p w14:paraId="3A6A8720"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Control y protección Bahía de Acople o corte central - 500 kV</w:t>
            </w:r>
          </w:p>
        </w:tc>
        <w:tc>
          <w:tcPr>
            <w:tcW w:w="1474" w:type="dxa"/>
            <w:shd w:val="clear" w:color="auto" w:fill="auto"/>
            <w:noWrap/>
            <w:vAlign w:val="center"/>
            <w:hideMark/>
          </w:tcPr>
          <w:p w14:paraId="23CEB3B0" w14:textId="77777777" w:rsidR="00EC3804" w:rsidRPr="00321B46" w:rsidRDefault="00EC3804" w:rsidP="00B0187D">
            <w:pPr>
              <w:spacing w:before="0" w:after="0"/>
              <w:jc w:val="right"/>
              <w:rPr>
                <w:sz w:val="16"/>
                <w:szCs w:val="16"/>
                <w:lang w:val="es-CO" w:eastAsia="es-CO"/>
              </w:rPr>
            </w:pPr>
            <w:r w:rsidRPr="00321B46">
              <w:rPr>
                <w:sz w:val="16"/>
                <w:szCs w:val="16"/>
                <w:lang w:val="es-CO" w:eastAsia="es-CO"/>
              </w:rPr>
              <w:t>119.562.000</w:t>
            </w:r>
          </w:p>
        </w:tc>
      </w:tr>
      <w:tr w:rsidR="00EC3804" w:rsidRPr="00321B46" w14:paraId="1E5BF427" w14:textId="77777777" w:rsidTr="00B0187D">
        <w:trPr>
          <w:trHeight w:val="240"/>
        </w:trPr>
        <w:tc>
          <w:tcPr>
            <w:tcW w:w="680" w:type="dxa"/>
            <w:shd w:val="clear" w:color="auto" w:fill="auto"/>
            <w:noWrap/>
            <w:vAlign w:val="center"/>
            <w:hideMark/>
          </w:tcPr>
          <w:p w14:paraId="0D01BE9C"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N6P4</w:t>
            </w:r>
          </w:p>
        </w:tc>
        <w:tc>
          <w:tcPr>
            <w:tcW w:w="6803" w:type="dxa"/>
            <w:shd w:val="clear" w:color="auto" w:fill="auto"/>
            <w:noWrap/>
            <w:vAlign w:val="center"/>
            <w:hideMark/>
          </w:tcPr>
          <w:p w14:paraId="16FA1EA5"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Protección diferencial de Barras Tipo 1 - 500 kV</w:t>
            </w:r>
          </w:p>
        </w:tc>
        <w:tc>
          <w:tcPr>
            <w:tcW w:w="1474" w:type="dxa"/>
            <w:shd w:val="clear" w:color="auto" w:fill="auto"/>
            <w:noWrap/>
            <w:vAlign w:val="center"/>
            <w:hideMark/>
          </w:tcPr>
          <w:p w14:paraId="14766DB8" w14:textId="77777777" w:rsidR="00EC3804" w:rsidRPr="00321B46" w:rsidRDefault="00EC3804" w:rsidP="00B0187D">
            <w:pPr>
              <w:spacing w:before="0" w:after="0"/>
              <w:jc w:val="right"/>
              <w:rPr>
                <w:sz w:val="16"/>
                <w:szCs w:val="16"/>
                <w:lang w:val="es-CO" w:eastAsia="es-CO"/>
              </w:rPr>
            </w:pPr>
            <w:r w:rsidRPr="00321B46">
              <w:rPr>
                <w:sz w:val="16"/>
                <w:szCs w:val="16"/>
                <w:lang w:val="es-CO" w:eastAsia="es-CO"/>
              </w:rPr>
              <w:t>356.916.000</w:t>
            </w:r>
          </w:p>
        </w:tc>
      </w:tr>
      <w:tr w:rsidR="00EC3804" w:rsidRPr="00321B46" w14:paraId="56197F5F" w14:textId="77777777" w:rsidTr="00B0187D">
        <w:trPr>
          <w:trHeight w:val="240"/>
        </w:trPr>
        <w:tc>
          <w:tcPr>
            <w:tcW w:w="680" w:type="dxa"/>
            <w:shd w:val="clear" w:color="auto" w:fill="auto"/>
            <w:noWrap/>
            <w:vAlign w:val="center"/>
            <w:hideMark/>
          </w:tcPr>
          <w:p w14:paraId="48B23A82"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N6P5</w:t>
            </w:r>
          </w:p>
        </w:tc>
        <w:tc>
          <w:tcPr>
            <w:tcW w:w="6803" w:type="dxa"/>
            <w:shd w:val="clear" w:color="auto" w:fill="auto"/>
            <w:noWrap/>
            <w:vAlign w:val="center"/>
            <w:hideMark/>
          </w:tcPr>
          <w:p w14:paraId="787B6BDC"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Protección diferencial de Barras Tipo 2 - 500 kV</w:t>
            </w:r>
          </w:p>
        </w:tc>
        <w:tc>
          <w:tcPr>
            <w:tcW w:w="1474" w:type="dxa"/>
            <w:shd w:val="clear" w:color="auto" w:fill="auto"/>
            <w:noWrap/>
            <w:vAlign w:val="center"/>
            <w:hideMark/>
          </w:tcPr>
          <w:p w14:paraId="31E5C092" w14:textId="77777777" w:rsidR="00EC3804" w:rsidRPr="00321B46" w:rsidRDefault="00EC3804" w:rsidP="00B0187D">
            <w:pPr>
              <w:spacing w:before="0" w:after="0"/>
              <w:jc w:val="right"/>
              <w:rPr>
                <w:sz w:val="16"/>
                <w:szCs w:val="16"/>
                <w:lang w:val="es-CO" w:eastAsia="es-CO"/>
              </w:rPr>
            </w:pPr>
            <w:r w:rsidRPr="00321B46">
              <w:rPr>
                <w:sz w:val="16"/>
                <w:szCs w:val="16"/>
                <w:lang w:val="es-CO" w:eastAsia="es-CO"/>
              </w:rPr>
              <w:t>441.378.000</w:t>
            </w:r>
          </w:p>
        </w:tc>
      </w:tr>
      <w:tr w:rsidR="00EC3804" w:rsidRPr="00321B46" w14:paraId="1DE4A188" w14:textId="77777777" w:rsidTr="00B0187D">
        <w:trPr>
          <w:trHeight w:val="240"/>
        </w:trPr>
        <w:tc>
          <w:tcPr>
            <w:tcW w:w="680" w:type="dxa"/>
            <w:shd w:val="clear" w:color="auto" w:fill="auto"/>
            <w:noWrap/>
            <w:vAlign w:val="center"/>
            <w:hideMark/>
          </w:tcPr>
          <w:p w14:paraId="2B3853A7"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N6P6</w:t>
            </w:r>
          </w:p>
        </w:tc>
        <w:tc>
          <w:tcPr>
            <w:tcW w:w="6803" w:type="dxa"/>
            <w:shd w:val="clear" w:color="auto" w:fill="auto"/>
            <w:noWrap/>
            <w:vAlign w:val="center"/>
            <w:hideMark/>
          </w:tcPr>
          <w:p w14:paraId="2AEDF5FA"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Control y Protección del Transformador - 500 kV</w:t>
            </w:r>
          </w:p>
        </w:tc>
        <w:tc>
          <w:tcPr>
            <w:tcW w:w="1474" w:type="dxa"/>
            <w:shd w:val="clear" w:color="auto" w:fill="auto"/>
            <w:noWrap/>
            <w:vAlign w:val="center"/>
            <w:hideMark/>
          </w:tcPr>
          <w:p w14:paraId="0602362A" w14:textId="77777777" w:rsidR="00EC3804" w:rsidRPr="00321B46" w:rsidRDefault="00EC3804" w:rsidP="00B0187D">
            <w:pPr>
              <w:spacing w:before="0" w:after="0"/>
              <w:jc w:val="right"/>
              <w:rPr>
                <w:sz w:val="16"/>
                <w:szCs w:val="16"/>
                <w:lang w:val="es-CO" w:eastAsia="es-CO"/>
              </w:rPr>
            </w:pPr>
            <w:r w:rsidRPr="00321B46">
              <w:rPr>
                <w:sz w:val="16"/>
                <w:szCs w:val="16"/>
                <w:lang w:val="es-CO" w:eastAsia="es-CO"/>
              </w:rPr>
              <w:t>120.407.000</w:t>
            </w:r>
          </w:p>
        </w:tc>
      </w:tr>
      <w:tr w:rsidR="00EC3804" w:rsidRPr="00321B46" w14:paraId="40BDBFCC" w14:textId="77777777" w:rsidTr="00B0187D">
        <w:trPr>
          <w:trHeight w:val="240"/>
        </w:trPr>
        <w:tc>
          <w:tcPr>
            <w:tcW w:w="680" w:type="dxa"/>
            <w:shd w:val="clear" w:color="auto" w:fill="auto"/>
            <w:noWrap/>
            <w:vAlign w:val="center"/>
            <w:hideMark/>
          </w:tcPr>
          <w:p w14:paraId="6715A1B1"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N5P1</w:t>
            </w:r>
          </w:p>
        </w:tc>
        <w:tc>
          <w:tcPr>
            <w:tcW w:w="6803" w:type="dxa"/>
            <w:shd w:val="clear" w:color="auto" w:fill="auto"/>
            <w:noWrap/>
            <w:vAlign w:val="bottom"/>
            <w:hideMark/>
          </w:tcPr>
          <w:p w14:paraId="43E8E17C"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Control y protección Bahía de Línea -230 kV</w:t>
            </w:r>
          </w:p>
        </w:tc>
        <w:tc>
          <w:tcPr>
            <w:tcW w:w="1474" w:type="dxa"/>
            <w:shd w:val="clear" w:color="auto" w:fill="auto"/>
            <w:noWrap/>
            <w:vAlign w:val="center"/>
            <w:hideMark/>
          </w:tcPr>
          <w:p w14:paraId="581F383F" w14:textId="77777777" w:rsidR="00EC3804" w:rsidRPr="00321B46" w:rsidRDefault="00EC3804" w:rsidP="00B0187D">
            <w:pPr>
              <w:spacing w:before="0" w:after="0"/>
              <w:jc w:val="right"/>
              <w:rPr>
                <w:sz w:val="16"/>
                <w:szCs w:val="16"/>
                <w:lang w:val="es-CO" w:eastAsia="es-CO"/>
              </w:rPr>
            </w:pPr>
            <w:r w:rsidRPr="00321B46">
              <w:rPr>
                <w:sz w:val="16"/>
                <w:szCs w:val="16"/>
                <w:lang w:val="es-CO" w:eastAsia="es-CO"/>
              </w:rPr>
              <w:t>172.659.000</w:t>
            </w:r>
          </w:p>
        </w:tc>
      </w:tr>
      <w:tr w:rsidR="00EC3804" w:rsidRPr="00321B46" w14:paraId="77A569B7" w14:textId="77777777" w:rsidTr="00B0187D">
        <w:trPr>
          <w:trHeight w:val="240"/>
        </w:trPr>
        <w:tc>
          <w:tcPr>
            <w:tcW w:w="680" w:type="dxa"/>
            <w:shd w:val="clear" w:color="auto" w:fill="auto"/>
            <w:noWrap/>
            <w:vAlign w:val="center"/>
            <w:hideMark/>
          </w:tcPr>
          <w:p w14:paraId="4A73D910"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N5P2</w:t>
            </w:r>
          </w:p>
        </w:tc>
        <w:tc>
          <w:tcPr>
            <w:tcW w:w="6803" w:type="dxa"/>
            <w:shd w:val="clear" w:color="auto" w:fill="auto"/>
            <w:noWrap/>
            <w:vAlign w:val="bottom"/>
            <w:hideMark/>
          </w:tcPr>
          <w:p w14:paraId="595B207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Control y protección Bahía de Transformador - 230 kV</w:t>
            </w:r>
          </w:p>
        </w:tc>
        <w:tc>
          <w:tcPr>
            <w:tcW w:w="1474" w:type="dxa"/>
            <w:shd w:val="clear" w:color="auto" w:fill="auto"/>
            <w:noWrap/>
            <w:vAlign w:val="center"/>
            <w:hideMark/>
          </w:tcPr>
          <w:p w14:paraId="17FA47E9" w14:textId="77777777" w:rsidR="00EC3804" w:rsidRPr="00321B46" w:rsidRDefault="00EC3804" w:rsidP="00B0187D">
            <w:pPr>
              <w:spacing w:before="0" w:after="0"/>
              <w:jc w:val="right"/>
              <w:rPr>
                <w:sz w:val="16"/>
                <w:szCs w:val="16"/>
                <w:lang w:val="es-CO" w:eastAsia="es-CO"/>
              </w:rPr>
            </w:pPr>
            <w:r w:rsidRPr="00321B46">
              <w:rPr>
                <w:sz w:val="16"/>
                <w:szCs w:val="16"/>
                <w:lang w:val="es-CO" w:eastAsia="es-CO"/>
              </w:rPr>
              <w:t>163.527.000</w:t>
            </w:r>
          </w:p>
        </w:tc>
      </w:tr>
      <w:tr w:rsidR="00EC3804" w:rsidRPr="00321B46" w14:paraId="089E28BE" w14:textId="77777777" w:rsidTr="00B0187D">
        <w:trPr>
          <w:trHeight w:val="240"/>
        </w:trPr>
        <w:tc>
          <w:tcPr>
            <w:tcW w:w="680" w:type="dxa"/>
            <w:shd w:val="clear" w:color="auto" w:fill="auto"/>
            <w:noWrap/>
            <w:vAlign w:val="center"/>
            <w:hideMark/>
          </w:tcPr>
          <w:p w14:paraId="1FD59AE7"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N5P3</w:t>
            </w:r>
          </w:p>
        </w:tc>
        <w:tc>
          <w:tcPr>
            <w:tcW w:w="6803" w:type="dxa"/>
            <w:shd w:val="clear" w:color="auto" w:fill="auto"/>
            <w:noWrap/>
            <w:vAlign w:val="bottom"/>
            <w:hideMark/>
          </w:tcPr>
          <w:p w14:paraId="60A4487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Control y protección Bahía de Transf, Acopl, Corte Central - 230 kV</w:t>
            </w:r>
          </w:p>
        </w:tc>
        <w:tc>
          <w:tcPr>
            <w:tcW w:w="1474" w:type="dxa"/>
            <w:shd w:val="clear" w:color="auto" w:fill="auto"/>
            <w:noWrap/>
            <w:vAlign w:val="center"/>
            <w:hideMark/>
          </w:tcPr>
          <w:p w14:paraId="197DC292" w14:textId="77777777" w:rsidR="00EC3804" w:rsidRPr="00321B46" w:rsidRDefault="00EC3804" w:rsidP="00B0187D">
            <w:pPr>
              <w:spacing w:before="0" w:after="0"/>
              <w:jc w:val="right"/>
              <w:rPr>
                <w:sz w:val="16"/>
                <w:szCs w:val="16"/>
                <w:lang w:val="es-CO" w:eastAsia="es-CO"/>
              </w:rPr>
            </w:pPr>
            <w:r w:rsidRPr="00321B46">
              <w:rPr>
                <w:sz w:val="16"/>
                <w:szCs w:val="16"/>
                <w:lang w:val="es-CO" w:eastAsia="es-CO"/>
              </w:rPr>
              <w:t>115.672.000</w:t>
            </w:r>
          </w:p>
        </w:tc>
      </w:tr>
      <w:tr w:rsidR="00EC3804" w:rsidRPr="00321B46" w14:paraId="439BB7C3" w14:textId="77777777" w:rsidTr="00B0187D">
        <w:trPr>
          <w:trHeight w:val="240"/>
        </w:trPr>
        <w:tc>
          <w:tcPr>
            <w:tcW w:w="680" w:type="dxa"/>
            <w:shd w:val="clear" w:color="auto" w:fill="auto"/>
            <w:noWrap/>
            <w:vAlign w:val="center"/>
            <w:hideMark/>
          </w:tcPr>
          <w:p w14:paraId="368DC25D"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N5P4</w:t>
            </w:r>
          </w:p>
        </w:tc>
        <w:tc>
          <w:tcPr>
            <w:tcW w:w="6803" w:type="dxa"/>
            <w:shd w:val="clear" w:color="auto" w:fill="auto"/>
            <w:noWrap/>
            <w:vAlign w:val="bottom"/>
            <w:hideMark/>
          </w:tcPr>
          <w:p w14:paraId="77662C3E"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Control y protección Bahía de Seccionamiento -230 kV</w:t>
            </w:r>
          </w:p>
        </w:tc>
        <w:tc>
          <w:tcPr>
            <w:tcW w:w="1474" w:type="dxa"/>
            <w:shd w:val="clear" w:color="auto" w:fill="auto"/>
            <w:noWrap/>
            <w:vAlign w:val="center"/>
            <w:hideMark/>
          </w:tcPr>
          <w:p w14:paraId="25BC4B26" w14:textId="77777777" w:rsidR="00EC3804" w:rsidRPr="00321B46" w:rsidRDefault="00EC3804" w:rsidP="00B0187D">
            <w:pPr>
              <w:spacing w:before="0" w:after="0"/>
              <w:jc w:val="right"/>
              <w:rPr>
                <w:sz w:val="16"/>
                <w:szCs w:val="16"/>
                <w:lang w:val="es-CO" w:eastAsia="es-CO"/>
              </w:rPr>
            </w:pPr>
            <w:r w:rsidRPr="00321B46">
              <w:rPr>
                <w:sz w:val="16"/>
                <w:szCs w:val="16"/>
                <w:lang w:val="es-CO" w:eastAsia="es-CO"/>
              </w:rPr>
              <w:t>69.175.000</w:t>
            </w:r>
          </w:p>
        </w:tc>
      </w:tr>
      <w:tr w:rsidR="00EC3804" w:rsidRPr="00321B46" w14:paraId="19D9216C" w14:textId="77777777" w:rsidTr="00B0187D">
        <w:trPr>
          <w:trHeight w:val="240"/>
        </w:trPr>
        <w:tc>
          <w:tcPr>
            <w:tcW w:w="680" w:type="dxa"/>
            <w:shd w:val="clear" w:color="auto" w:fill="auto"/>
            <w:noWrap/>
            <w:vAlign w:val="center"/>
            <w:hideMark/>
          </w:tcPr>
          <w:p w14:paraId="47E58E34"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N5P5</w:t>
            </w:r>
          </w:p>
        </w:tc>
        <w:tc>
          <w:tcPr>
            <w:tcW w:w="6803" w:type="dxa"/>
            <w:shd w:val="clear" w:color="auto" w:fill="auto"/>
            <w:noWrap/>
            <w:vAlign w:val="bottom"/>
            <w:hideMark/>
          </w:tcPr>
          <w:p w14:paraId="4C8D3CF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Protección diferencial de Barras Tipo 1 y 2 - 230 kV</w:t>
            </w:r>
          </w:p>
        </w:tc>
        <w:tc>
          <w:tcPr>
            <w:tcW w:w="1474" w:type="dxa"/>
            <w:shd w:val="clear" w:color="auto" w:fill="auto"/>
            <w:noWrap/>
            <w:vAlign w:val="center"/>
            <w:hideMark/>
          </w:tcPr>
          <w:p w14:paraId="616925B9" w14:textId="77777777" w:rsidR="00EC3804" w:rsidRPr="00321B46" w:rsidRDefault="00EC3804" w:rsidP="00B0187D">
            <w:pPr>
              <w:spacing w:before="0" w:after="0"/>
              <w:jc w:val="right"/>
              <w:rPr>
                <w:sz w:val="16"/>
                <w:szCs w:val="16"/>
                <w:lang w:val="es-CO" w:eastAsia="es-CO"/>
              </w:rPr>
            </w:pPr>
            <w:r w:rsidRPr="00321B46">
              <w:rPr>
                <w:sz w:val="16"/>
                <w:szCs w:val="16"/>
                <w:lang w:val="es-CO" w:eastAsia="es-CO"/>
              </w:rPr>
              <w:t>264.472.000</w:t>
            </w:r>
          </w:p>
        </w:tc>
      </w:tr>
      <w:tr w:rsidR="00EC3804" w:rsidRPr="00321B46" w14:paraId="58EB3924" w14:textId="77777777" w:rsidTr="00B0187D">
        <w:trPr>
          <w:trHeight w:val="240"/>
        </w:trPr>
        <w:tc>
          <w:tcPr>
            <w:tcW w:w="680" w:type="dxa"/>
            <w:shd w:val="clear" w:color="auto" w:fill="auto"/>
            <w:noWrap/>
            <w:vAlign w:val="center"/>
            <w:hideMark/>
          </w:tcPr>
          <w:p w14:paraId="39E3DF56"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N5P6</w:t>
            </w:r>
          </w:p>
        </w:tc>
        <w:tc>
          <w:tcPr>
            <w:tcW w:w="6803" w:type="dxa"/>
            <w:shd w:val="clear" w:color="auto" w:fill="auto"/>
            <w:noWrap/>
            <w:vAlign w:val="bottom"/>
            <w:hideMark/>
          </w:tcPr>
          <w:p w14:paraId="75FBBB6F"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Protección diferencial de Barras Tipo 3 y 4 - 230 kV</w:t>
            </w:r>
          </w:p>
        </w:tc>
        <w:tc>
          <w:tcPr>
            <w:tcW w:w="1474" w:type="dxa"/>
            <w:shd w:val="clear" w:color="auto" w:fill="auto"/>
            <w:noWrap/>
            <w:vAlign w:val="center"/>
            <w:hideMark/>
          </w:tcPr>
          <w:p w14:paraId="55527F51" w14:textId="77777777" w:rsidR="00EC3804" w:rsidRPr="00321B46" w:rsidRDefault="00EC3804" w:rsidP="00B0187D">
            <w:pPr>
              <w:spacing w:before="0" w:after="0"/>
              <w:jc w:val="right"/>
              <w:rPr>
                <w:sz w:val="16"/>
                <w:szCs w:val="16"/>
                <w:lang w:val="es-CO" w:eastAsia="es-CO"/>
              </w:rPr>
            </w:pPr>
            <w:r w:rsidRPr="00321B46">
              <w:rPr>
                <w:sz w:val="16"/>
                <w:szCs w:val="16"/>
                <w:lang w:val="es-CO" w:eastAsia="es-CO"/>
              </w:rPr>
              <w:t>345.366.000</w:t>
            </w:r>
          </w:p>
        </w:tc>
      </w:tr>
      <w:tr w:rsidR="00EC3804" w:rsidRPr="00321B46" w14:paraId="755C50B8" w14:textId="77777777" w:rsidTr="00B0187D">
        <w:trPr>
          <w:trHeight w:val="240"/>
        </w:trPr>
        <w:tc>
          <w:tcPr>
            <w:tcW w:w="680" w:type="dxa"/>
            <w:shd w:val="clear" w:color="auto" w:fill="auto"/>
            <w:noWrap/>
            <w:vAlign w:val="center"/>
            <w:hideMark/>
          </w:tcPr>
          <w:p w14:paraId="52FBF770"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N5P7</w:t>
            </w:r>
          </w:p>
        </w:tc>
        <w:tc>
          <w:tcPr>
            <w:tcW w:w="6803" w:type="dxa"/>
            <w:shd w:val="clear" w:color="auto" w:fill="auto"/>
            <w:noWrap/>
            <w:vAlign w:val="bottom"/>
            <w:hideMark/>
          </w:tcPr>
          <w:p w14:paraId="275069F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Control y Protección del Transformador - 230 kV</w:t>
            </w:r>
          </w:p>
        </w:tc>
        <w:tc>
          <w:tcPr>
            <w:tcW w:w="1474" w:type="dxa"/>
            <w:shd w:val="clear" w:color="auto" w:fill="auto"/>
            <w:noWrap/>
            <w:vAlign w:val="center"/>
            <w:hideMark/>
          </w:tcPr>
          <w:p w14:paraId="52FE003F" w14:textId="77777777" w:rsidR="00EC3804" w:rsidRPr="00321B46" w:rsidRDefault="00EC3804" w:rsidP="00B0187D">
            <w:pPr>
              <w:spacing w:before="0" w:after="0"/>
              <w:jc w:val="right"/>
              <w:rPr>
                <w:sz w:val="16"/>
                <w:szCs w:val="16"/>
                <w:lang w:val="es-CO" w:eastAsia="es-CO"/>
              </w:rPr>
            </w:pPr>
            <w:r w:rsidRPr="00321B46">
              <w:rPr>
                <w:sz w:val="16"/>
                <w:szCs w:val="16"/>
                <w:lang w:val="es-CO" w:eastAsia="es-CO"/>
              </w:rPr>
              <w:t>101.558.000</w:t>
            </w:r>
          </w:p>
        </w:tc>
      </w:tr>
    </w:tbl>
    <w:p w14:paraId="719188E5" w14:textId="19D0EF19" w:rsidR="00EC3804" w:rsidRPr="00321B46" w:rsidRDefault="00BE0E49" w:rsidP="003448EC">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15</w:t>
      </w:r>
      <w:r w:rsidRPr="00321B46">
        <w:fldChar w:fldCharType="end"/>
      </w:r>
      <w:r w:rsidRPr="00321B46">
        <w:t>.</w:t>
      </w:r>
      <w:r w:rsidR="00EC3804" w:rsidRPr="00321B46">
        <w:t xml:space="preserve"> UC de control de subestaciones y estación maestra.</w:t>
      </w:r>
    </w:p>
    <w:tbl>
      <w:tblPr>
        <w:tblW w:w="8925" w:type="dxa"/>
        <w:tblInd w:w="55" w:type="dxa"/>
        <w:tblCellMar>
          <w:left w:w="70" w:type="dxa"/>
          <w:right w:w="70" w:type="dxa"/>
        </w:tblCellMar>
        <w:tblLook w:val="04A0" w:firstRow="1" w:lastRow="0" w:firstColumn="1" w:lastColumn="0" w:noHBand="0" w:noVBand="1"/>
      </w:tblPr>
      <w:tblGrid>
        <w:gridCol w:w="737"/>
        <w:gridCol w:w="6803"/>
        <w:gridCol w:w="1385"/>
      </w:tblGrid>
      <w:tr w:rsidR="00F42046" w:rsidRPr="00321B46" w14:paraId="1E7FE99A" w14:textId="77777777" w:rsidTr="00F42046">
        <w:trPr>
          <w:trHeight w:val="720"/>
          <w:tblHeader/>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DA250" w14:textId="77777777" w:rsidR="00F42046" w:rsidRPr="00321B46" w:rsidRDefault="00F42046" w:rsidP="00B0187D">
            <w:pPr>
              <w:spacing w:before="0" w:after="0"/>
              <w:jc w:val="center"/>
              <w:rPr>
                <w:color w:val="000000"/>
                <w:sz w:val="16"/>
                <w:szCs w:val="16"/>
                <w:lang w:val="es-CO" w:eastAsia="es-CO"/>
              </w:rPr>
            </w:pPr>
            <w:r w:rsidRPr="00321B46">
              <w:rPr>
                <w:color w:val="000000"/>
                <w:sz w:val="16"/>
                <w:szCs w:val="16"/>
                <w:lang w:val="es-CO" w:eastAsia="es-CO"/>
              </w:rPr>
              <w:t xml:space="preserve">UC </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1288D146" w14:textId="77777777" w:rsidR="00F42046" w:rsidRPr="00321B46" w:rsidRDefault="00F42046" w:rsidP="00B0187D">
            <w:pPr>
              <w:spacing w:before="0" w:after="0"/>
              <w:jc w:val="center"/>
              <w:rPr>
                <w:color w:val="000000"/>
                <w:sz w:val="16"/>
                <w:szCs w:val="16"/>
                <w:lang w:val="es-CO" w:eastAsia="es-CO"/>
              </w:rPr>
            </w:pPr>
            <w:r w:rsidRPr="00321B46">
              <w:rPr>
                <w:color w:val="000000"/>
                <w:sz w:val="16"/>
                <w:szCs w:val="16"/>
                <w:lang w:val="es-CO" w:eastAsia="es-CO"/>
              </w:rPr>
              <w:t>Descripción</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25D127CC" w14:textId="77777777" w:rsidR="00F42046" w:rsidRPr="00321B46" w:rsidRDefault="00F42046" w:rsidP="00B0187D">
            <w:pPr>
              <w:spacing w:before="0" w:after="0"/>
              <w:jc w:val="center"/>
              <w:rPr>
                <w:color w:val="000000"/>
                <w:sz w:val="16"/>
                <w:szCs w:val="16"/>
                <w:lang w:val="es-CO" w:eastAsia="es-CO"/>
              </w:rPr>
            </w:pPr>
            <w:r w:rsidRPr="00321B46">
              <w:rPr>
                <w:color w:val="000000"/>
                <w:sz w:val="16"/>
                <w:szCs w:val="16"/>
                <w:lang w:val="es-CO" w:eastAsia="es-CO"/>
              </w:rPr>
              <w:t>VALOR INSTALADO</w:t>
            </w:r>
            <w:r w:rsidRPr="00321B46">
              <w:rPr>
                <w:color w:val="000000"/>
                <w:sz w:val="16"/>
                <w:szCs w:val="16"/>
                <w:lang w:val="es-CO" w:eastAsia="es-CO"/>
              </w:rPr>
              <w:br/>
              <w:t>[$ dic 2015]</w:t>
            </w:r>
          </w:p>
        </w:tc>
      </w:tr>
      <w:tr w:rsidR="00F42046" w:rsidRPr="00321B46" w14:paraId="4C6D2308" w14:textId="77777777" w:rsidTr="00F42046">
        <w:trPr>
          <w:trHeight w:val="25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14:paraId="2C316BE6"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N0P1</w:t>
            </w:r>
          </w:p>
        </w:tc>
        <w:tc>
          <w:tcPr>
            <w:tcW w:w="6803" w:type="dxa"/>
            <w:tcBorders>
              <w:top w:val="nil"/>
              <w:left w:val="nil"/>
              <w:bottom w:val="single" w:sz="4" w:space="0" w:color="auto"/>
              <w:right w:val="single" w:sz="4" w:space="0" w:color="auto"/>
            </w:tcBorders>
            <w:shd w:val="clear" w:color="auto" w:fill="auto"/>
            <w:noWrap/>
            <w:vAlign w:val="center"/>
            <w:hideMark/>
          </w:tcPr>
          <w:p w14:paraId="7F051DCF" w14:textId="77777777" w:rsidR="00F42046" w:rsidRPr="00321B46" w:rsidRDefault="00F42046" w:rsidP="00B0187D">
            <w:pPr>
              <w:spacing w:before="0" w:after="0"/>
              <w:jc w:val="left"/>
              <w:rPr>
                <w:sz w:val="16"/>
                <w:szCs w:val="16"/>
                <w:lang w:val="es-CO" w:eastAsia="es-CO"/>
              </w:rPr>
            </w:pPr>
            <w:r w:rsidRPr="00321B46">
              <w:rPr>
                <w:sz w:val="16"/>
                <w:szCs w:val="16"/>
                <w:lang w:val="es-CO" w:eastAsia="es-CO"/>
              </w:rPr>
              <w:t>Control subestación Tipo 1 (1-2 Bahías)</w:t>
            </w:r>
          </w:p>
        </w:tc>
        <w:tc>
          <w:tcPr>
            <w:tcW w:w="1385" w:type="dxa"/>
            <w:tcBorders>
              <w:top w:val="nil"/>
              <w:left w:val="nil"/>
              <w:bottom w:val="single" w:sz="4" w:space="0" w:color="auto"/>
              <w:right w:val="single" w:sz="4" w:space="0" w:color="auto"/>
            </w:tcBorders>
            <w:shd w:val="clear" w:color="auto" w:fill="auto"/>
            <w:noWrap/>
            <w:vAlign w:val="bottom"/>
            <w:hideMark/>
          </w:tcPr>
          <w:p w14:paraId="02558471" w14:textId="77777777" w:rsidR="00F42046" w:rsidRPr="00321B46" w:rsidRDefault="00F42046" w:rsidP="00B0187D">
            <w:pPr>
              <w:spacing w:before="0" w:after="0"/>
              <w:jc w:val="right"/>
              <w:rPr>
                <w:color w:val="000000"/>
                <w:sz w:val="16"/>
                <w:szCs w:val="16"/>
                <w:lang w:val="es-CO" w:eastAsia="es-CO"/>
              </w:rPr>
            </w:pPr>
            <w:r w:rsidRPr="00321B46">
              <w:rPr>
                <w:color w:val="000000"/>
                <w:sz w:val="16"/>
                <w:szCs w:val="16"/>
                <w:lang w:val="es-CO" w:eastAsia="es-CO"/>
              </w:rPr>
              <w:t>96.573.000</w:t>
            </w:r>
          </w:p>
        </w:tc>
      </w:tr>
      <w:tr w:rsidR="00F42046" w:rsidRPr="00321B46" w14:paraId="0E4D94C0" w14:textId="77777777" w:rsidTr="00F42046">
        <w:trPr>
          <w:trHeight w:val="25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14:paraId="11E5BB6E"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N0P2</w:t>
            </w:r>
          </w:p>
        </w:tc>
        <w:tc>
          <w:tcPr>
            <w:tcW w:w="6803" w:type="dxa"/>
            <w:tcBorders>
              <w:top w:val="nil"/>
              <w:left w:val="nil"/>
              <w:bottom w:val="single" w:sz="4" w:space="0" w:color="auto"/>
              <w:right w:val="single" w:sz="4" w:space="0" w:color="auto"/>
            </w:tcBorders>
            <w:shd w:val="clear" w:color="auto" w:fill="auto"/>
            <w:noWrap/>
            <w:vAlign w:val="center"/>
            <w:hideMark/>
          </w:tcPr>
          <w:p w14:paraId="3554366A" w14:textId="77777777" w:rsidR="00F42046" w:rsidRPr="00321B46" w:rsidRDefault="00F42046" w:rsidP="00B0187D">
            <w:pPr>
              <w:spacing w:before="0" w:after="0"/>
              <w:jc w:val="left"/>
              <w:rPr>
                <w:sz w:val="16"/>
                <w:szCs w:val="16"/>
                <w:lang w:val="es-CO" w:eastAsia="es-CO"/>
              </w:rPr>
            </w:pPr>
            <w:r w:rsidRPr="00321B46">
              <w:rPr>
                <w:sz w:val="16"/>
                <w:szCs w:val="16"/>
                <w:lang w:val="es-CO" w:eastAsia="es-CO"/>
              </w:rPr>
              <w:t>Control subestación Tipo 2  (3-4 Bahías)</w:t>
            </w:r>
          </w:p>
        </w:tc>
        <w:tc>
          <w:tcPr>
            <w:tcW w:w="1385" w:type="dxa"/>
            <w:tcBorders>
              <w:top w:val="nil"/>
              <w:left w:val="nil"/>
              <w:bottom w:val="single" w:sz="4" w:space="0" w:color="auto"/>
              <w:right w:val="single" w:sz="4" w:space="0" w:color="auto"/>
            </w:tcBorders>
            <w:shd w:val="clear" w:color="auto" w:fill="auto"/>
            <w:noWrap/>
            <w:vAlign w:val="bottom"/>
            <w:hideMark/>
          </w:tcPr>
          <w:p w14:paraId="7AB856F9" w14:textId="77777777" w:rsidR="00F42046" w:rsidRPr="00321B46" w:rsidRDefault="00F42046" w:rsidP="00B0187D">
            <w:pPr>
              <w:spacing w:before="0" w:after="0"/>
              <w:jc w:val="right"/>
              <w:rPr>
                <w:color w:val="000000"/>
                <w:sz w:val="16"/>
                <w:szCs w:val="16"/>
                <w:lang w:val="es-CO" w:eastAsia="es-CO"/>
              </w:rPr>
            </w:pPr>
            <w:r w:rsidRPr="00321B46">
              <w:rPr>
                <w:color w:val="000000"/>
                <w:sz w:val="16"/>
                <w:szCs w:val="16"/>
                <w:lang w:val="es-CO" w:eastAsia="es-CO"/>
              </w:rPr>
              <w:t>166.508.000</w:t>
            </w:r>
          </w:p>
        </w:tc>
      </w:tr>
      <w:tr w:rsidR="00F42046" w:rsidRPr="00321B46" w14:paraId="5315EB13" w14:textId="77777777" w:rsidTr="00F42046">
        <w:trPr>
          <w:trHeight w:val="25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14:paraId="51504E15"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N0P3</w:t>
            </w:r>
          </w:p>
        </w:tc>
        <w:tc>
          <w:tcPr>
            <w:tcW w:w="6803" w:type="dxa"/>
            <w:tcBorders>
              <w:top w:val="nil"/>
              <w:left w:val="nil"/>
              <w:bottom w:val="single" w:sz="4" w:space="0" w:color="auto"/>
              <w:right w:val="single" w:sz="4" w:space="0" w:color="auto"/>
            </w:tcBorders>
            <w:shd w:val="clear" w:color="auto" w:fill="auto"/>
            <w:noWrap/>
            <w:vAlign w:val="center"/>
            <w:hideMark/>
          </w:tcPr>
          <w:p w14:paraId="10D06EA6" w14:textId="77777777" w:rsidR="00F42046" w:rsidRPr="00321B46" w:rsidRDefault="00F42046" w:rsidP="00B0187D">
            <w:pPr>
              <w:spacing w:before="0" w:after="0"/>
              <w:jc w:val="left"/>
              <w:rPr>
                <w:sz w:val="16"/>
                <w:szCs w:val="16"/>
                <w:lang w:val="es-CO" w:eastAsia="es-CO"/>
              </w:rPr>
            </w:pPr>
            <w:r w:rsidRPr="00321B46">
              <w:rPr>
                <w:sz w:val="16"/>
                <w:szCs w:val="16"/>
                <w:lang w:val="es-CO" w:eastAsia="es-CO"/>
              </w:rPr>
              <w:t>Control subestación Tipo 3 (5-8 Bahías)</w:t>
            </w:r>
          </w:p>
        </w:tc>
        <w:tc>
          <w:tcPr>
            <w:tcW w:w="1385" w:type="dxa"/>
            <w:tcBorders>
              <w:top w:val="nil"/>
              <w:left w:val="nil"/>
              <w:bottom w:val="single" w:sz="4" w:space="0" w:color="auto"/>
              <w:right w:val="single" w:sz="4" w:space="0" w:color="auto"/>
            </w:tcBorders>
            <w:shd w:val="clear" w:color="auto" w:fill="auto"/>
            <w:noWrap/>
            <w:vAlign w:val="bottom"/>
            <w:hideMark/>
          </w:tcPr>
          <w:p w14:paraId="273182D0" w14:textId="77777777" w:rsidR="00F42046" w:rsidRPr="00321B46" w:rsidRDefault="00F42046" w:rsidP="00B0187D">
            <w:pPr>
              <w:spacing w:before="0" w:after="0"/>
              <w:jc w:val="right"/>
              <w:rPr>
                <w:color w:val="000000"/>
                <w:sz w:val="16"/>
                <w:szCs w:val="16"/>
                <w:lang w:val="es-CO" w:eastAsia="es-CO"/>
              </w:rPr>
            </w:pPr>
            <w:r w:rsidRPr="00321B46">
              <w:rPr>
                <w:color w:val="000000"/>
                <w:sz w:val="16"/>
                <w:szCs w:val="16"/>
                <w:lang w:val="es-CO" w:eastAsia="es-CO"/>
              </w:rPr>
              <w:t>326.672.000</w:t>
            </w:r>
          </w:p>
        </w:tc>
      </w:tr>
      <w:tr w:rsidR="00F42046" w:rsidRPr="00321B46" w14:paraId="01D377F8" w14:textId="77777777" w:rsidTr="00F42046">
        <w:trPr>
          <w:trHeight w:val="25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14:paraId="0AE809A7"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N0P4</w:t>
            </w:r>
          </w:p>
        </w:tc>
        <w:tc>
          <w:tcPr>
            <w:tcW w:w="6803" w:type="dxa"/>
            <w:tcBorders>
              <w:top w:val="nil"/>
              <w:left w:val="nil"/>
              <w:bottom w:val="single" w:sz="4" w:space="0" w:color="auto"/>
              <w:right w:val="single" w:sz="4" w:space="0" w:color="auto"/>
            </w:tcBorders>
            <w:shd w:val="clear" w:color="auto" w:fill="auto"/>
            <w:noWrap/>
            <w:vAlign w:val="center"/>
            <w:hideMark/>
          </w:tcPr>
          <w:p w14:paraId="02C705AB" w14:textId="77777777" w:rsidR="00F42046" w:rsidRPr="00321B46" w:rsidRDefault="00F42046" w:rsidP="00B0187D">
            <w:pPr>
              <w:spacing w:before="0" w:after="0"/>
              <w:jc w:val="left"/>
              <w:rPr>
                <w:sz w:val="16"/>
                <w:szCs w:val="16"/>
                <w:lang w:val="es-CO" w:eastAsia="es-CO"/>
              </w:rPr>
            </w:pPr>
            <w:r w:rsidRPr="00321B46">
              <w:rPr>
                <w:sz w:val="16"/>
                <w:szCs w:val="16"/>
                <w:lang w:val="es-CO" w:eastAsia="es-CO"/>
              </w:rPr>
              <w:t>Control subestación Tipo 4 (9-12 Bahías)</w:t>
            </w:r>
          </w:p>
        </w:tc>
        <w:tc>
          <w:tcPr>
            <w:tcW w:w="1385" w:type="dxa"/>
            <w:tcBorders>
              <w:top w:val="nil"/>
              <w:left w:val="nil"/>
              <w:bottom w:val="single" w:sz="4" w:space="0" w:color="auto"/>
              <w:right w:val="single" w:sz="4" w:space="0" w:color="auto"/>
            </w:tcBorders>
            <w:shd w:val="clear" w:color="auto" w:fill="auto"/>
            <w:noWrap/>
            <w:vAlign w:val="bottom"/>
            <w:hideMark/>
          </w:tcPr>
          <w:p w14:paraId="283114DD" w14:textId="77777777" w:rsidR="00F42046" w:rsidRPr="00321B46" w:rsidRDefault="00F42046" w:rsidP="00B0187D">
            <w:pPr>
              <w:spacing w:before="0" w:after="0"/>
              <w:jc w:val="right"/>
              <w:rPr>
                <w:color w:val="000000"/>
                <w:sz w:val="16"/>
                <w:szCs w:val="16"/>
                <w:lang w:val="es-CO" w:eastAsia="es-CO"/>
              </w:rPr>
            </w:pPr>
            <w:r w:rsidRPr="00321B46">
              <w:rPr>
                <w:color w:val="000000"/>
                <w:sz w:val="16"/>
                <w:szCs w:val="16"/>
                <w:lang w:val="es-CO" w:eastAsia="es-CO"/>
              </w:rPr>
              <w:t>476.150.000</w:t>
            </w:r>
          </w:p>
        </w:tc>
      </w:tr>
      <w:tr w:rsidR="00F42046" w:rsidRPr="00321B46" w14:paraId="293C728E" w14:textId="77777777" w:rsidTr="00F42046">
        <w:trPr>
          <w:trHeight w:val="25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14:paraId="28AE2875"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N0P5</w:t>
            </w:r>
          </w:p>
        </w:tc>
        <w:tc>
          <w:tcPr>
            <w:tcW w:w="6803" w:type="dxa"/>
            <w:tcBorders>
              <w:top w:val="nil"/>
              <w:left w:val="nil"/>
              <w:bottom w:val="single" w:sz="4" w:space="0" w:color="auto"/>
              <w:right w:val="single" w:sz="4" w:space="0" w:color="auto"/>
            </w:tcBorders>
            <w:shd w:val="clear" w:color="auto" w:fill="auto"/>
            <w:noWrap/>
            <w:vAlign w:val="center"/>
            <w:hideMark/>
          </w:tcPr>
          <w:p w14:paraId="3C52CF4C" w14:textId="77777777" w:rsidR="00F42046" w:rsidRPr="00321B46" w:rsidRDefault="00F42046" w:rsidP="00B0187D">
            <w:pPr>
              <w:spacing w:before="0" w:after="0"/>
              <w:jc w:val="left"/>
              <w:rPr>
                <w:sz w:val="16"/>
                <w:szCs w:val="16"/>
                <w:lang w:val="es-CO" w:eastAsia="es-CO"/>
              </w:rPr>
            </w:pPr>
            <w:r w:rsidRPr="00321B46">
              <w:rPr>
                <w:sz w:val="16"/>
                <w:szCs w:val="16"/>
                <w:lang w:val="es-CO" w:eastAsia="es-CO"/>
              </w:rPr>
              <w:t>Control subestación Tipo 5 (Más de 13 Bahías)</w:t>
            </w:r>
          </w:p>
        </w:tc>
        <w:tc>
          <w:tcPr>
            <w:tcW w:w="1385" w:type="dxa"/>
            <w:tcBorders>
              <w:top w:val="nil"/>
              <w:left w:val="nil"/>
              <w:bottom w:val="single" w:sz="4" w:space="0" w:color="auto"/>
              <w:right w:val="single" w:sz="4" w:space="0" w:color="auto"/>
            </w:tcBorders>
            <w:shd w:val="clear" w:color="auto" w:fill="auto"/>
            <w:noWrap/>
            <w:vAlign w:val="bottom"/>
            <w:hideMark/>
          </w:tcPr>
          <w:p w14:paraId="4FE76954" w14:textId="77777777" w:rsidR="00F42046" w:rsidRPr="00321B46" w:rsidRDefault="00F42046" w:rsidP="00B0187D">
            <w:pPr>
              <w:spacing w:before="0" w:after="0"/>
              <w:jc w:val="right"/>
              <w:rPr>
                <w:color w:val="000000"/>
                <w:sz w:val="16"/>
                <w:szCs w:val="16"/>
                <w:lang w:val="es-CO" w:eastAsia="es-CO"/>
              </w:rPr>
            </w:pPr>
            <w:r w:rsidRPr="00321B46">
              <w:rPr>
                <w:color w:val="000000"/>
                <w:sz w:val="16"/>
                <w:szCs w:val="16"/>
                <w:lang w:val="es-CO" w:eastAsia="es-CO"/>
              </w:rPr>
              <w:t>590.168.000</w:t>
            </w:r>
          </w:p>
        </w:tc>
      </w:tr>
      <w:tr w:rsidR="00F42046" w:rsidRPr="00321B46" w14:paraId="2A9066E2" w14:textId="77777777" w:rsidTr="00F42046">
        <w:trPr>
          <w:trHeight w:val="25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14:paraId="0F0382BD"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N0P6</w:t>
            </w:r>
          </w:p>
        </w:tc>
        <w:tc>
          <w:tcPr>
            <w:tcW w:w="6803" w:type="dxa"/>
            <w:tcBorders>
              <w:top w:val="nil"/>
              <w:left w:val="nil"/>
              <w:bottom w:val="single" w:sz="4" w:space="0" w:color="auto"/>
              <w:right w:val="single" w:sz="4" w:space="0" w:color="auto"/>
            </w:tcBorders>
            <w:shd w:val="clear" w:color="auto" w:fill="auto"/>
            <w:noWrap/>
            <w:vAlign w:val="bottom"/>
            <w:hideMark/>
          </w:tcPr>
          <w:p w14:paraId="14BB3546"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Centro de control tipo 1 (SCADA)</w:t>
            </w:r>
          </w:p>
        </w:tc>
        <w:tc>
          <w:tcPr>
            <w:tcW w:w="1385" w:type="dxa"/>
            <w:tcBorders>
              <w:top w:val="nil"/>
              <w:left w:val="nil"/>
              <w:bottom w:val="single" w:sz="4" w:space="0" w:color="auto"/>
              <w:right w:val="nil"/>
            </w:tcBorders>
            <w:shd w:val="clear" w:color="000000" w:fill="F2F2F2"/>
            <w:vAlign w:val="center"/>
            <w:hideMark/>
          </w:tcPr>
          <w:p w14:paraId="6CF78323" w14:textId="77777777" w:rsidR="00F42046" w:rsidRPr="00321B46" w:rsidRDefault="00F42046" w:rsidP="00B0187D">
            <w:pPr>
              <w:spacing w:before="0" w:after="0"/>
              <w:jc w:val="right"/>
              <w:rPr>
                <w:sz w:val="16"/>
                <w:szCs w:val="16"/>
                <w:lang w:val="es-CO" w:eastAsia="es-CO"/>
              </w:rPr>
            </w:pPr>
            <w:r w:rsidRPr="00321B46">
              <w:rPr>
                <w:sz w:val="16"/>
                <w:szCs w:val="16"/>
                <w:lang w:val="es-CO" w:eastAsia="es-CO"/>
              </w:rPr>
              <w:t>1.135.343.000</w:t>
            </w:r>
          </w:p>
        </w:tc>
      </w:tr>
      <w:tr w:rsidR="00F42046" w:rsidRPr="00321B46" w14:paraId="3AD28D3B" w14:textId="77777777" w:rsidTr="00F42046">
        <w:trPr>
          <w:trHeight w:val="25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14:paraId="00C7C3D9"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N0P7</w:t>
            </w:r>
          </w:p>
        </w:tc>
        <w:tc>
          <w:tcPr>
            <w:tcW w:w="6803" w:type="dxa"/>
            <w:tcBorders>
              <w:top w:val="nil"/>
              <w:left w:val="nil"/>
              <w:bottom w:val="single" w:sz="4" w:space="0" w:color="auto"/>
              <w:right w:val="single" w:sz="4" w:space="0" w:color="auto"/>
            </w:tcBorders>
            <w:shd w:val="clear" w:color="auto" w:fill="auto"/>
            <w:noWrap/>
            <w:vAlign w:val="bottom"/>
            <w:hideMark/>
          </w:tcPr>
          <w:p w14:paraId="0AB103D9"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Centro de control tipo 2 (SCADA+EMS Operativo)</w:t>
            </w:r>
          </w:p>
        </w:tc>
        <w:tc>
          <w:tcPr>
            <w:tcW w:w="1385" w:type="dxa"/>
            <w:tcBorders>
              <w:top w:val="nil"/>
              <w:left w:val="nil"/>
              <w:bottom w:val="single" w:sz="4" w:space="0" w:color="auto"/>
              <w:right w:val="nil"/>
            </w:tcBorders>
            <w:shd w:val="clear" w:color="000000" w:fill="F2F2F2"/>
            <w:vAlign w:val="center"/>
            <w:hideMark/>
          </w:tcPr>
          <w:p w14:paraId="43ED4F29" w14:textId="77777777" w:rsidR="00F42046" w:rsidRPr="00321B46" w:rsidRDefault="00F42046" w:rsidP="00B0187D">
            <w:pPr>
              <w:spacing w:before="0" w:after="0"/>
              <w:jc w:val="right"/>
              <w:rPr>
                <w:sz w:val="16"/>
                <w:szCs w:val="16"/>
                <w:lang w:val="es-CO" w:eastAsia="es-CO"/>
              </w:rPr>
            </w:pPr>
            <w:r w:rsidRPr="00321B46">
              <w:rPr>
                <w:sz w:val="16"/>
                <w:szCs w:val="16"/>
                <w:lang w:val="es-CO" w:eastAsia="es-CO"/>
              </w:rPr>
              <w:t>3.998.432.000</w:t>
            </w:r>
          </w:p>
        </w:tc>
      </w:tr>
      <w:tr w:rsidR="00F42046" w:rsidRPr="00321B46" w14:paraId="7D89BA49" w14:textId="77777777" w:rsidTr="00F42046">
        <w:trPr>
          <w:trHeight w:val="25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14:paraId="3A80EE06"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N0P8</w:t>
            </w:r>
          </w:p>
        </w:tc>
        <w:tc>
          <w:tcPr>
            <w:tcW w:w="6803" w:type="dxa"/>
            <w:tcBorders>
              <w:top w:val="nil"/>
              <w:left w:val="nil"/>
              <w:bottom w:val="single" w:sz="4" w:space="0" w:color="auto"/>
              <w:right w:val="single" w:sz="4" w:space="0" w:color="auto"/>
            </w:tcBorders>
            <w:shd w:val="clear" w:color="auto" w:fill="auto"/>
            <w:noWrap/>
            <w:vAlign w:val="bottom"/>
            <w:hideMark/>
          </w:tcPr>
          <w:p w14:paraId="7F3821A2"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Centro de control tipo 2 (SCADA+DMS Operativo)</w:t>
            </w:r>
          </w:p>
        </w:tc>
        <w:tc>
          <w:tcPr>
            <w:tcW w:w="1385" w:type="dxa"/>
            <w:tcBorders>
              <w:top w:val="nil"/>
              <w:left w:val="nil"/>
              <w:bottom w:val="single" w:sz="4" w:space="0" w:color="auto"/>
              <w:right w:val="nil"/>
            </w:tcBorders>
            <w:shd w:val="clear" w:color="000000" w:fill="F2F2F2"/>
            <w:vAlign w:val="center"/>
            <w:hideMark/>
          </w:tcPr>
          <w:p w14:paraId="276F52AB" w14:textId="77777777" w:rsidR="00F42046" w:rsidRPr="00321B46" w:rsidRDefault="00F42046" w:rsidP="00B0187D">
            <w:pPr>
              <w:spacing w:before="0" w:after="0"/>
              <w:jc w:val="right"/>
              <w:rPr>
                <w:sz w:val="16"/>
                <w:szCs w:val="16"/>
                <w:lang w:val="es-CO" w:eastAsia="es-CO"/>
              </w:rPr>
            </w:pPr>
            <w:r w:rsidRPr="00321B46">
              <w:rPr>
                <w:sz w:val="16"/>
                <w:szCs w:val="16"/>
                <w:lang w:val="es-CO" w:eastAsia="es-CO"/>
              </w:rPr>
              <w:t>3.814.384.000</w:t>
            </w:r>
          </w:p>
        </w:tc>
      </w:tr>
      <w:tr w:rsidR="00F42046" w:rsidRPr="00321B46" w14:paraId="64B962CF" w14:textId="77777777" w:rsidTr="00F42046">
        <w:trPr>
          <w:trHeight w:val="25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14:paraId="27BC6B59"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N0P9</w:t>
            </w:r>
          </w:p>
        </w:tc>
        <w:tc>
          <w:tcPr>
            <w:tcW w:w="6803" w:type="dxa"/>
            <w:tcBorders>
              <w:top w:val="nil"/>
              <w:left w:val="nil"/>
              <w:bottom w:val="single" w:sz="4" w:space="0" w:color="auto"/>
              <w:right w:val="single" w:sz="4" w:space="0" w:color="auto"/>
            </w:tcBorders>
            <w:shd w:val="clear" w:color="auto" w:fill="auto"/>
            <w:noWrap/>
            <w:vAlign w:val="bottom"/>
            <w:hideMark/>
          </w:tcPr>
          <w:p w14:paraId="026EED4F"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Centro de control tipo 2 (SCADA+EMS + DMS Operativo)</w:t>
            </w:r>
          </w:p>
        </w:tc>
        <w:tc>
          <w:tcPr>
            <w:tcW w:w="1385" w:type="dxa"/>
            <w:tcBorders>
              <w:top w:val="nil"/>
              <w:left w:val="nil"/>
              <w:bottom w:val="single" w:sz="4" w:space="0" w:color="auto"/>
              <w:right w:val="nil"/>
            </w:tcBorders>
            <w:shd w:val="clear" w:color="000000" w:fill="F2F2F2"/>
            <w:vAlign w:val="center"/>
            <w:hideMark/>
          </w:tcPr>
          <w:p w14:paraId="7492971C" w14:textId="77777777" w:rsidR="00F42046" w:rsidRPr="00321B46" w:rsidRDefault="00F42046" w:rsidP="00B0187D">
            <w:pPr>
              <w:spacing w:before="0" w:after="0"/>
              <w:jc w:val="right"/>
              <w:rPr>
                <w:sz w:val="16"/>
                <w:szCs w:val="16"/>
                <w:lang w:val="es-CO" w:eastAsia="es-CO"/>
              </w:rPr>
            </w:pPr>
            <w:r w:rsidRPr="00321B46">
              <w:rPr>
                <w:sz w:val="16"/>
                <w:szCs w:val="16"/>
                <w:lang w:val="es-CO" w:eastAsia="es-CO"/>
              </w:rPr>
              <w:t>6.353.320.000</w:t>
            </w:r>
          </w:p>
        </w:tc>
      </w:tr>
      <w:tr w:rsidR="00F42046" w:rsidRPr="00321B46" w14:paraId="1398EEC2" w14:textId="77777777" w:rsidTr="00F42046">
        <w:trPr>
          <w:trHeight w:val="25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14:paraId="37109B22"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N0P10</w:t>
            </w:r>
          </w:p>
        </w:tc>
        <w:tc>
          <w:tcPr>
            <w:tcW w:w="6803" w:type="dxa"/>
            <w:tcBorders>
              <w:top w:val="nil"/>
              <w:left w:val="nil"/>
              <w:bottom w:val="single" w:sz="4" w:space="0" w:color="auto"/>
              <w:right w:val="single" w:sz="4" w:space="0" w:color="auto"/>
            </w:tcBorders>
            <w:shd w:val="clear" w:color="auto" w:fill="auto"/>
            <w:noWrap/>
            <w:vAlign w:val="bottom"/>
            <w:hideMark/>
          </w:tcPr>
          <w:p w14:paraId="131C2B77"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Centro de control tipo 3 (SCADA + EMS completa)</w:t>
            </w:r>
          </w:p>
        </w:tc>
        <w:tc>
          <w:tcPr>
            <w:tcW w:w="1385" w:type="dxa"/>
            <w:tcBorders>
              <w:top w:val="nil"/>
              <w:left w:val="nil"/>
              <w:bottom w:val="single" w:sz="4" w:space="0" w:color="auto"/>
              <w:right w:val="nil"/>
            </w:tcBorders>
            <w:shd w:val="clear" w:color="000000" w:fill="F2F2F2"/>
            <w:vAlign w:val="center"/>
            <w:hideMark/>
          </w:tcPr>
          <w:p w14:paraId="3ABC2BFA" w14:textId="77777777" w:rsidR="00F42046" w:rsidRPr="00321B46" w:rsidRDefault="00F42046" w:rsidP="00B0187D">
            <w:pPr>
              <w:spacing w:before="0" w:after="0"/>
              <w:jc w:val="right"/>
              <w:rPr>
                <w:sz w:val="16"/>
                <w:szCs w:val="16"/>
                <w:lang w:val="es-CO" w:eastAsia="es-CO"/>
              </w:rPr>
            </w:pPr>
            <w:r w:rsidRPr="00321B46">
              <w:rPr>
                <w:sz w:val="16"/>
                <w:szCs w:val="16"/>
                <w:lang w:val="es-CO" w:eastAsia="es-CO"/>
              </w:rPr>
              <w:t>7.393.234.000</w:t>
            </w:r>
          </w:p>
        </w:tc>
      </w:tr>
      <w:tr w:rsidR="00F42046" w:rsidRPr="00321B46" w14:paraId="499DCB05" w14:textId="77777777" w:rsidTr="00F42046">
        <w:trPr>
          <w:trHeight w:val="25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14:paraId="6D0C45B1"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N0P11</w:t>
            </w:r>
          </w:p>
        </w:tc>
        <w:tc>
          <w:tcPr>
            <w:tcW w:w="6803" w:type="dxa"/>
            <w:tcBorders>
              <w:top w:val="nil"/>
              <w:left w:val="nil"/>
              <w:bottom w:val="single" w:sz="4" w:space="0" w:color="auto"/>
              <w:right w:val="single" w:sz="4" w:space="0" w:color="auto"/>
            </w:tcBorders>
            <w:shd w:val="clear" w:color="auto" w:fill="auto"/>
            <w:noWrap/>
            <w:vAlign w:val="bottom"/>
            <w:hideMark/>
          </w:tcPr>
          <w:p w14:paraId="0ADA8081"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Centro de control tipo 4 (SCADA+DMS Completo+OMS+CMS+GIS</w:t>
            </w:r>
          </w:p>
        </w:tc>
        <w:tc>
          <w:tcPr>
            <w:tcW w:w="1385" w:type="dxa"/>
            <w:tcBorders>
              <w:top w:val="nil"/>
              <w:left w:val="nil"/>
              <w:bottom w:val="single" w:sz="4" w:space="0" w:color="auto"/>
              <w:right w:val="nil"/>
            </w:tcBorders>
            <w:shd w:val="clear" w:color="000000" w:fill="F2F2F2"/>
            <w:vAlign w:val="center"/>
            <w:hideMark/>
          </w:tcPr>
          <w:p w14:paraId="7B80893C" w14:textId="77777777" w:rsidR="00F42046" w:rsidRPr="00321B46" w:rsidRDefault="00F42046" w:rsidP="00B0187D">
            <w:pPr>
              <w:spacing w:before="0" w:after="0"/>
              <w:jc w:val="right"/>
              <w:rPr>
                <w:sz w:val="16"/>
                <w:szCs w:val="16"/>
                <w:lang w:val="es-CO" w:eastAsia="es-CO"/>
              </w:rPr>
            </w:pPr>
            <w:r w:rsidRPr="00321B46">
              <w:rPr>
                <w:sz w:val="16"/>
                <w:szCs w:val="16"/>
                <w:lang w:val="es-CO" w:eastAsia="es-CO"/>
              </w:rPr>
              <w:t>8.709.174.000</w:t>
            </w:r>
          </w:p>
        </w:tc>
      </w:tr>
      <w:tr w:rsidR="00F42046" w:rsidRPr="00321B46" w14:paraId="5596D66F" w14:textId="77777777" w:rsidTr="00F42046">
        <w:trPr>
          <w:trHeight w:val="255"/>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45825F79"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N0P12</w:t>
            </w:r>
          </w:p>
        </w:tc>
        <w:tc>
          <w:tcPr>
            <w:tcW w:w="6803" w:type="dxa"/>
            <w:tcBorders>
              <w:top w:val="nil"/>
              <w:left w:val="nil"/>
              <w:bottom w:val="single" w:sz="4" w:space="0" w:color="auto"/>
              <w:right w:val="single" w:sz="4" w:space="0" w:color="auto"/>
            </w:tcBorders>
            <w:shd w:val="clear" w:color="auto" w:fill="auto"/>
            <w:vAlign w:val="center"/>
            <w:hideMark/>
          </w:tcPr>
          <w:p w14:paraId="35958AEF"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Centro de control tipo 4 (SCADA+EMS-Completo+DMS Completo+OMS+CMS+GIS)</w:t>
            </w:r>
          </w:p>
        </w:tc>
        <w:tc>
          <w:tcPr>
            <w:tcW w:w="1385" w:type="dxa"/>
            <w:tcBorders>
              <w:top w:val="nil"/>
              <w:left w:val="nil"/>
              <w:bottom w:val="single" w:sz="4" w:space="0" w:color="auto"/>
              <w:right w:val="nil"/>
            </w:tcBorders>
            <w:shd w:val="clear" w:color="000000" w:fill="F2F2F2"/>
            <w:vAlign w:val="center"/>
            <w:hideMark/>
          </w:tcPr>
          <w:p w14:paraId="44FFD4D5" w14:textId="77777777" w:rsidR="00F42046" w:rsidRPr="00321B46" w:rsidRDefault="00F42046" w:rsidP="00B0187D">
            <w:pPr>
              <w:spacing w:before="0" w:after="0"/>
              <w:jc w:val="right"/>
              <w:rPr>
                <w:sz w:val="16"/>
                <w:szCs w:val="16"/>
                <w:lang w:val="es-CO" w:eastAsia="es-CO"/>
              </w:rPr>
            </w:pPr>
            <w:r w:rsidRPr="00321B46">
              <w:rPr>
                <w:sz w:val="16"/>
                <w:szCs w:val="16"/>
                <w:lang w:val="es-CO" w:eastAsia="es-CO"/>
              </w:rPr>
              <w:t>11.559.333.000</w:t>
            </w:r>
          </w:p>
        </w:tc>
      </w:tr>
      <w:tr w:rsidR="00F42046" w:rsidRPr="00321B46" w14:paraId="77C10DF7" w14:textId="77777777" w:rsidTr="00F42046">
        <w:trPr>
          <w:trHeight w:val="255"/>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14:paraId="16AD3106" w14:textId="77777777" w:rsidR="00F42046" w:rsidRPr="00321B46" w:rsidRDefault="00F42046" w:rsidP="00B0187D">
            <w:pPr>
              <w:spacing w:before="0" w:after="0"/>
              <w:jc w:val="left"/>
              <w:rPr>
                <w:color w:val="000000"/>
                <w:sz w:val="16"/>
                <w:szCs w:val="16"/>
                <w:lang w:val="es-CO" w:eastAsia="es-CO"/>
              </w:rPr>
            </w:pPr>
            <w:r w:rsidRPr="00321B46">
              <w:rPr>
                <w:color w:val="000000"/>
                <w:sz w:val="16"/>
                <w:szCs w:val="16"/>
                <w:lang w:val="es-CO" w:eastAsia="es-CO"/>
              </w:rPr>
              <w:t>N0P13</w:t>
            </w:r>
          </w:p>
        </w:tc>
        <w:tc>
          <w:tcPr>
            <w:tcW w:w="6803" w:type="dxa"/>
            <w:tcBorders>
              <w:top w:val="nil"/>
              <w:left w:val="nil"/>
              <w:bottom w:val="single" w:sz="4" w:space="0" w:color="auto"/>
              <w:right w:val="single" w:sz="4" w:space="0" w:color="auto"/>
            </w:tcBorders>
            <w:shd w:val="clear" w:color="auto" w:fill="auto"/>
            <w:noWrap/>
            <w:vAlign w:val="center"/>
            <w:hideMark/>
          </w:tcPr>
          <w:p w14:paraId="0D3E7EB6" w14:textId="77777777" w:rsidR="00F42046" w:rsidRPr="00321B46" w:rsidRDefault="00F42046" w:rsidP="00B0187D">
            <w:pPr>
              <w:spacing w:before="0" w:after="0"/>
              <w:jc w:val="left"/>
              <w:rPr>
                <w:sz w:val="16"/>
                <w:szCs w:val="16"/>
                <w:lang w:val="es-CO" w:eastAsia="es-CO"/>
              </w:rPr>
            </w:pPr>
            <w:r w:rsidRPr="00321B46">
              <w:rPr>
                <w:sz w:val="16"/>
                <w:szCs w:val="16"/>
                <w:lang w:val="es-CO" w:eastAsia="es-CO"/>
              </w:rPr>
              <w:t>Casa de control cualquier nivel de tensión ($/m</w:t>
            </w:r>
            <w:r w:rsidRPr="00321B46">
              <w:rPr>
                <w:sz w:val="16"/>
                <w:szCs w:val="16"/>
                <w:vertAlign w:val="superscript"/>
                <w:lang w:val="es-CO" w:eastAsia="es-CO"/>
              </w:rPr>
              <w:t>2</w:t>
            </w:r>
            <w:r w:rsidRPr="00321B46">
              <w:rPr>
                <w:sz w:val="16"/>
                <w:szCs w:val="16"/>
                <w:lang w:val="es-CO" w:eastAsia="es-CO"/>
              </w:rPr>
              <w:t>)</w:t>
            </w:r>
          </w:p>
        </w:tc>
        <w:tc>
          <w:tcPr>
            <w:tcW w:w="1385" w:type="dxa"/>
            <w:tcBorders>
              <w:top w:val="nil"/>
              <w:left w:val="nil"/>
              <w:bottom w:val="single" w:sz="4" w:space="0" w:color="auto"/>
              <w:right w:val="single" w:sz="4" w:space="0" w:color="auto"/>
            </w:tcBorders>
            <w:shd w:val="clear" w:color="auto" w:fill="auto"/>
            <w:noWrap/>
            <w:vAlign w:val="center"/>
            <w:hideMark/>
          </w:tcPr>
          <w:p w14:paraId="318FC331" w14:textId="77777777" w:rsidR="00F42046" w:rsidRPr="00321B46" w:rsidRDefault="00F42046" w:rsidP="00B0187D">
            <w:pPr>
              <w:spacing w:before="0" w:after="0"/>
              <w:jc w:val="right"/>
              <w:rPr>
                <w:sz w:val="16"/>
                <w:szCs w:val="16"/>
                <w:lang w:val="es-CO" w:eastAsia="es-CO"/>
              </w:rPr>
            </w:pPr>
            <w:r w:rsidRPr="00321B46">
              <w:rPr>
                <w:sz w:val="16"/>
                <w:szCs w:val="16"/>
                <w:lang w:val="es-CO" w:eastAsia="es-CO"/>
              </w:rPr>
              <w:t>2.680.000</w:t>
            </w:r>
          </w:p>
        </w:tc>
      </w:tr>
    </w:tbl>
    <w:p w14:paraId="4441C360" w14:textId="77777777" w:rsidR="00EC3804" w:rsidRPr="00321B46" w:rsidRDefault="00EC3804" w:rsidP="00BF7220">
      <w:pPr>
        <w:pStyle w:val="Ttulo2"/>
      </w:pPr>
      <w:bookmarkStart w:id="474" w:name="_Toc445462496"/>
      <w:bookmarkStart w:id="475" w:name="_Toc466392691"/>
      <w:r w:rsidRPr="00321B46">
        <w:t>Áreas reconocidas</w:t>
      </w:r>
      <w:bookmarkEnd w:id="474"/>
      <w:bookmarkEnd w:id="475"/>
    </w:p>
    <w:p w14:paraId="29F12373" w14:textId="367DDC85" w:rsidR="00EC3804" w:rsidRPr="00321B46" w:rsidRDefault="00BE0E49" w:rsidP="003448EC">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16</w:t>
      </w:r>
      <w:r w:rsidRPr="00321B46">
        <w:fldChar w:fldCharType="end"/>
      </w:r>
      <w:r w:rsidRPr="00321B46">
        <w:t>.</w:t>
      </w:r>
      <w:r w:rsidR="00EC3804" w:rsidRPr="00321B46">
        <w:t xml:space="preserve">  Subestaciones convencionales 500 kV</w:t>
      </w:r>
    </w:p>
    <w:tbl>
      <w:tblPr>
        <w:tblW w:w="8118" w:type="dxa"/>
        <w:jc w:val="center"/>
        <w:tblCellMar>
          <w:left w:w="70" w:type="dxa"/>
          <w:right w:w="70" w:type="dxa"/>
        </w:tblCellMar>
        <w:tblLook w:val="04A0" w:firstRow="1" w:lastRow="0" w:firstColumn="1" w:lastColumn="0" w:noHBand="0" w:noVBand="1"/>
      </w:tblPr>
      <w:tblGrid>
        <w:gridCol w:w="1721"/>
        <w:gridCol w:w="1134"/>
        <w:gridCol w:w="1716"/>
        <w:gridCol w:w="1723"/>
        <w:gridCol w:w="932"/>
        <w:gridCol w:w="892"/>
      </w:tblGrid>
      <w:tr w:rsidR="00EC3804" w:rsidRPr="00321B46" w14:paraId="73C0BEBF" w14:textId="77777777" w:rsidTr="00B0187D">
        <w:trPr>
          <w:trHeight w:val="1030"/>
          <w:jc w:val="center"/>
        </w:trPr>
        <w:tc>
          <w:tcPr>
            <w:tcW w:w="1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9C9FF" w14:textId="77777777" w:rsidR="00EC3804" w:rsidRPr="00321B46" w:rsidRDefault="00EC3804" w:rsidP="00B0187D">
            <w:pPr>
              <w:spacing w:before="0" w:after="0"/>
              <w:jc w:val="center"/>
              <w:rPr>
                <w:sz w:val="16"/>
                <w:szCs w:val="16"/>
                <w:lang w:val="es-CO" w:eastAsia="es-CO"/>
              </w:rPr>
            </w:pPr>
            <w:r w:rsidRPr="00321B46">
              <w:rPr>
                <w:sz w:val="16"/>
                <w:szCs w:val="16"/>
                <w:lang w:val="es-CO" w:eastAsia="es-CO"/>
              </w:rPr>
              <w:t>CONFIGURACIÓN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F6FF98" w14:textId="77777777" w:rsidR="00EC3804" w:rsidRPr="00321B46" w:rsidRDefault="00EC3804" w:rsidP="00B0187D">
            <w:pPr>
              <w:spacing w:before="0" w:after="0"/>
              <w:jc w:val="center"/>
              <w:rPr>
                <w:sz w:val="16"/>
                <w:szCs w:val="16"/>
                <w:lang w:val="es-CO" w:eastAsia="es-CO"/>
              </w:rPr>
            </w:pPr>
            <w:r w:rsidRPr="00321B46">
              <w:rPr>
                <w:sz w:val="16"/>
                <w:szCs w:val="16"/>
                <w:lang w:val="es-CO" w:eastAsia="es-CO"/>
              </w:rPr>
              <w:t xml:space="preserve">BAHÍA DE LÍNEA </w:t>
            </w:r>
            <w:r w:rsidRPr="00321B46">
              <w:rPr>
                <w:sz w:val="16"/>
                <w:szCs w:val="16"/>
                <w:lang w:val="es-CO" w:eastAsia="es-CO"/>
              </w:rPr>
              <w:br/>
              <w:t>[m</w:t>
            </w:r>
            <w:r w:rsidRPr="00321B46">
              <w:rPr>
                <w:sz w:val="16"/>
                <w:szCs w:val="16"/>
                <w:vertAlign w:val="superscript"/>
                <w:lang w:val="es-CO" w:eastAsia="es-CO"/>
              </w:rPr>
              <w:t>2</w:t>
            </w:r>
            <w:r w:rsidRPr="00321B46">
              <w:rPr>
                <w:sz w:val="16"/>
                <w:szCs w:val="16"/>
                <w:lang w:val="es-CO" w:eastAsia="es-CO"/>
              </w:rPr>
              <w:t>]</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14:paraId="07B860C2" w14:textId="77777777" w:rsidR="00EC3804" w:rsidRPr="00321B46" w:rsidRDefault="00EC3804" w:rsidP="00B0187D">
            <w:pPr>
              <w:spacing w:before="0" w:after="0"/>
              <w:jc w:val="center"/>
              <w:rPr>
                <w:sz w:val="16"/>
                <w:szCs w:val="16"/>
                <w:lang w:val="es-CO" w:eastAsia="es-CO"/>
              </w:rPr>
            </w:pPr>
            <w:r w:rsidRPr="00321B46">
              <w:rPr>
                <w:sz w:val="16"/>
                <w:szCs w:val="16"/>
                <w:lang w:val="es-CO" w:eastAsia="es-CO"/>
              </w:rPr>
              <w:t>BAHÍA TRANSFORMADOR [m</w:t>
            </w:r>
            <w:r w:rsidRPr="00321B46">
              <w:rPr>
                <w:sz w:val="16"/>
                <w:szCs w:val="16"/>
                <w:vertAlign w:val="superscript"/>
                <w:lang w:val="es-CO" w:eastAsia="es-CO"/>
              </w:rPr>
              <w:t>2</w:t>
            </w:r>
            <w:r w:rsidRPr="00321B46">
              <w:rPr>
                <w:sz w:val="16"/>
                <w:szCs w:val="16"/>
                <w:lang w:val="es-CO" w:eastAsia="es-CO"/>
              </w:rPr>
              <w:t>]</w:t>
            </w:r>
          </w:p>
        </w:tc>
        <w:tc>
          <w:tcPr>
            <w:tcW w:w="1723" w:type="dxa"/>
            <w:tcBorders>
              <w:top w:val="single" w:sz="4" w:space="0" w:color="auto"/>
              <w:left w:val="nil"/>
              <w:bottom w:val="single" w:sz="4" w:space="0" w:color="auto"/>
              <w:right w:val="single" w:sz="4" w:space="0" w:color="auto"/>
            </w:tcBorders>
            <w:shd w:val="clear" w:color="auto" w:fill="auto"/>
            <w:vAlign w:val="bottom"/>
            <w:hideMark/>
          </w:tcPr>
          <w:p w14:paraId="4764B3BD"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BAHÍA DE ACOPLE, SECCIONAMIENTO, TRANSFERENCIA O CORTE</w:t>
            </w:r>
            <w:r w:rsidRPr="00321B46">
              <w:rPr>
                <w:color w:val="000000"/>
                <w:sz w:val="16"/>
                <w:szCs w:val="16"/>
                <w:lang w:val="es-CO" w:eastAsia="es-CO"/>
              </w:rPr>
              <w:br/>
              <w:t xml:space="preserve"> [m</w:t>
            </w:r>
            <w:r w:rsidRPr="00321B46">
              <w:rPr>
                <w:color w:val="000000"/>
                <w:sz w:val="16"/>
                <w:szCs w:val="16"/>
                <w:vertAlign w:val="superscript"/>
                <w:lang w:val="es-CO" w:eastAsia="es-CO"/>
              </w:rPr>
              <w:t>2</w:t>
            </w:r>
            <w:r w:rsidRPr="00321B46">
              <w:rPr>
                <w:color w:val="000000"/>
                <w:sz w:val="16"/>
                <w:szCs w:val="16"/>
                <w:lang w:val="es-CO" w:eastAsia="es-CO"/>
              </w:rPr>
              <w:t>]</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7D503B83"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MÓDULO COMÚN TIPO 1 </w:t>
            </w:r>
            <w:r w:rsidRPr="00321B46">
              <w:rPr>
                <w:color w:val="000000"/>
                <w:sz w:val="16"/>
                <w:szCs w:val="16"/>
                <w:lang w:val="es-CO" w:eastAsia="es-CO"/>
              </w:rPr>
              <w:br/>
              <w:t>[m</w:t>
            </w:r>
            <w:r w:rsidRPr="00321B46">
              <w:rPr>
                <w:color w:val="000000"/>
                <w:sz w:val="16"/>
                <w:szCs w:val="16"/>
                <w:vertAlign w:val="superscript"/>
                <w:lang w:val="es-CO" w:eastAsia="es-CO"/>
              </w:rPr>
              <w:t>2</w:t>
            </w:r>
            <w:r w:rsidRPr="00321B46">
              <w:rPr>
                <w:color w:val="000000"/>
                <w:sz w:val="16"/>
                <w:szCs w:val="16"/>
                <w:lang w:val="es-CO" w:eastAsia="es-CO"/>
              </w:rPr>
              <w:t>]</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0A081956"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MÓDULO COMÚN TIPO 2 </w:t>
            </w:r>
            <w:r w:rsidRPr="00321B46">
              <w:rPr>
                <w:color w:val="000000"/>
                <w:sz w:val="16"/>
                <w:szCs w:val="16"/>
                <w:lang w:val="es-CO" w:eastAsia="es-CO"/>
              </w:rPr>
              <w:br/>
              <w:t>[m</w:t>
            </w:r>
            <w:r w:rsidRPr="00321B46">
              <w:rPr>
                <w:color w:val="000000"/>
                <w:sz w:val="16"/>
                <w:szCs w:val="16"/>
                <w:vertAlign w:val="superscript"/>
                <w:lang w:val="es-CO" w:eastAsia="es-CO"/>
              </w:rPr>
              <w:t>2</w:t>
            </w:r>
            <w:r w:rsidRPr="00321B46">
              <w:rPr>
                <w:color w:val="000000"/>
                <w:sz w:val="16"/>
                <w:szCs w:val="16"/>
                <w:lang w:val="es-CO" w:eastAsia="es-CO"/>
              </w:rPr>
              <w:t>]</w:t>
            </w:r>
          </w:p>
        </w:tc>
      </w:tr>
      <w:tr w:rsidR="00EC3804" w:rsidRPr="00321B46" w14:paraId="1B499DF8" w14:textId="77777777" w:rsidTr="00B0187D">
        <w:trPr>
          <w:trHeight w:val="240"/>
          <w:jc w:val="center"/>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4462A2AB"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Doble Barra más Transferencia (DBT)</w:t>
            </w:r>
          </w:p>
        </w:tc>
        <w:tc>
          <w:tcPr>
            <w:tcW w:w="1134" w:type="dxa"/>
            <w:tcBorders>
              <w:top w:val="nil"/>
              <w:left w:val="nil"/>
              <w:bottom w:val="single" w:sz="4" w:space="0" w:color="auto"/>
              <w:right w:val="single" w:sz="4" w:space="0" w:color="auto"/>
            </w:tcBorders>
            <w:shd w:val="clear" w:color="auto" w:fill="auto"/>
            <w:noWrap/>
            <w:vAlign w:val="bottom"/>
            <w:hideMark/>
          </w:tcPr>
          <w:p w14:paraId="17074893"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3.724</w:t>
            </w:r>
          </w:p>
        </w:tc>
        <w:tc>
          <w:tcPr>
            <w:tcW w:w="1716" w:type="dxa"/>
            <w:tcBorders>
              <w:top w:val="nil"/>
              <w:left w:val="nil"/>
              <w:bottom w:val="single" w:sz="4" w:space="0" w:color="auto"/>
              <w:right w:val="single" w:sz="4" w:space="0" w:color="auto"/>
            </w:tcBorders>
            <w:shd w:val="clear" w:color="auto" w:fill="auto"/>
            <w:noWrap/>
            <w:vAlign w:val="bottom"/>
            <w:hideMark/>
          </w:tcPr>
          <w:p w14:paraId="0D77E9B3"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3.948</w:t>
            </w:r>
          </w:p>
        </w:tc>
        <w:tc>
          <w:tcPr>
            <w:tcW w:w="1723" w:type="dxa"/>
            <w:tcBorders>
              <w:top w:val="nil"/>
              <w:left w:val="nil"/>
              <w:bottom w:val="single" w:sz="4" w:space="0" w:color="auto"/>
              <w:right w:val="single" w:sz="4" w:space="0" w:color="auto"/>
            </w:tcBorders>
            <w:shd w:val="clear" w:color="auto" w:fill="auto"/>
            <w:noWrap/>
            <w:vAlign w:val="bottom"/>
            <w:hideMark/>
          </w:tcPr>
          <w:p w14:paraId="4C4D37A4"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1.820</w:t>
            </w:r>
          </w:p>
        </w:tc>
        <w:tc>
          <w:tcPr>
            <w:tcW w:w="932" w:type="dxa"/>
            <w:tcBorders>
              <w:top w:val="nil"/>
              <w:left w:val="nil"/>
              <w:bottom w:val="single" w:sz="4" w:space="0" w:color="auto"/>
              <w:right w:val="single" w:sz="4" w:space="0" w:color="auto"/>
            </w:tcBorders>
            <w:shd w:val="clear" w:color="auto" w:fill="auto"/>
            <w:noWrap/>
            <w:vAlign w:val="center"/>
            <w:hideMark/>
          </w:tcPr>
          <w:p w14:paraId="495C7096"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33.260</w:t>
            </w:r>
          </w:p>
        </w:tc>
        <w:tc>
          <w:tcPr>
            <w:tcW w:w="892" w:type="dxa"/>
            <w:tcBorders>
              <w:top w:val="nil"/>
              <w:left w:val="nil"/>
              <w:bottom w:val="single" w:sz="4" w:space="0" w:color="auto"/>
              <w:right w:val="single" w:sz="4" w:space="0" w:color="auto"/>
            </w:tcBorders>
            <w:shd w:val="clear" w:color="auto" w:fill="auto"/>
            <w:noWrap/>
            <w:vAlign w:val="center"/>
            <w:hideMark/>
          </w:tcPr>
          <w:p w14:paraId="7A57F471"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50.116</w:t>
            </w:r>
          </w:p>
        </w:tc>
      </w:tr>
      <w:tr w:rsidR="00EC3804" w:rsidRPr="00321B46" w14:paraId="22A3EB92" w14:textId="77777777" w:rsidTr="00B0187D">
        <w:trPr>
          <w:trHeight w:val="240"/>
          <w:jc w:val="center"/>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723E03F0"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Interruptor y Medio (IM)</w:t>
            </w:r>
          </w:p>
        </w:tc>
        <w:tc>
          <w:tcPr>
            <w:tcW w:w="1134" w:type="dxa"/>
            <w:tcBorders>
              <w:top w:val="nil"/>
              <w:left w:val="nil"/>
              <w:bottom w:val="single" w:sz="4" w:space="0" w:color="auto"/>
              <w:right w:val="single" w:sz="4" w:space="0" w:color="auto"/>
            </w:tcBorders>
            <w:shd w:val="clear" w:color="auto" w:fill="auto"/>
            <w:noWrap/>
            <w:vAlign w:val="bottom"/>
            <w:hideMark/>
          </w:tcPr>
          <w:p w14:paraId="502A0E04"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3.500</w:t>
            </w:r>
          </w:p>
        </w:tc>
        <w:tc>
          <w:tcPr>
            <w:tcW w:w="1716" w:type="dxa"/>
            <w:tcBorders>
              <w:top w:val="nil"/>
              <w:left w:val="nil"/>
              <w:bottom w:val="single" w:sz="4" w:space="0" w:color="auto"/>
              <w:right w:val="single" w:sz="4" w:space="0" w:color="auto"/>
            </w:tcBorders>
            <w:shd w:val="clear" w:color="auto" w:fill="auto"/>
            <w:noWrap/>
            <w:vAlign w:val="bottom"/>
            <w:hideMark/>
          </w:tcPr>
          <w:p w14:paraId="786884CB"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2.800</w:t>
            </w:r>
          </w:p>
        </w:tc>
        <w:tc>
          <w:tcPr>
            <w:tcW w:w="1723" w:type="dxa"/>
            <w:tcBorders>
              <w:top w:val="nil"/>
              <w:left w:val="nil"/>
              <w:bottom w:val="single" w:sz="4" w:space="0" w:color="auto"/>
              <w:right w:val="single" w:sz="4" w:space="0" w:color="auto"/>
            </w:tcBorders>
            <w:shd w:val="clear" w:color="auto" w:fill="auto"/>
            <w:noWrap/>
            <w:vAlign w:val="bottom"/>
            <w:hideMark/>
          </w:tcPr>
          <w:p w14:paraId="5CBB5BAD"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980</w:t>
            </w:r>
          </w:p>
        </w:tc>
        <w:tc>
          <w:tcPr>
            <w:tcW w:w="932" w:type="dxa"/>
            <w:tcBorders>
              <w:top w:val="nil"/>
              <w:left w:val="nil"/>
              <w:bottom w:val="single" w:sz="4" w:space="0" w:color="auto"/>
              <w:right w:val="single" w:sz="4" w:space="0" w:color="auto"/>
            </w:tcBorders>
            <w:shd w:val="clear" w:color="auto" w:fill="auto"/>
            <w:noWrap/>
            <w:vAlign w:val="center"/>
            <w:hideMark/>
          </w:tcPr>
          <w:p w14:paraId="1AB8E679"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33.260</w:t>
            </w:r>
          </w:p>
        </w:tc>
        <w:tc>
          <w:tcPr>
            <w:tcW w:w="892" w:type="dxa"/>
            <w:tcBorders>
              <w:top w:val="nil"/>
              <w:left w:val="nil"/>
              <w:bottom w:val="single" w:sz="4" w:space="0" w:color="auto"/>
              <w:right w:val="single" w:sz="4" w:space="0" w:color="auto"/>
            </w:tcBorders>
            <w:shd w:val="clear" w:color="auto" w:fill="auto"/>
            <w:noWrap/>
            <w:vAlign w:val="center"/>
            <w:hideMark/>
          </w:tcPr>
          <w:p w14:paraId="426E75A4"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50.116</w:t>
            </w:r>
          </w:p>
        </w:tc>
      </w:tr>
      <w:tr w:rsidR="00EC3804" w:rsidRPr="00321B46" w14:paraId="7C22161A" w14:textId="77777777" w:rsidTr="00B0187D">
        <w:trPr>
          <w:trHeight w:val="240"/>
          <w:jc w:val="center"/>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05911576" w14:textId="77777777" w:rsidR="00EC3804" w:rsidRPr="00321B46" w:rsidRDefault="00EC3804" w:rsidP="00B0187D">
            <w:pPr>
              <w:spacing w:before="0" w:after="0"/>
              <w:jc w:val="left"/>
              <w:rPr>
                <w:sz w:val="16"/>
                <w:szCs w:val="16"/>
                <w:lang w:val="es-CO" w:eastAsia="es-CO"/>
              </w:rPr>
            </w:pPr>
            <w:r w:rsidRPr="00321B46">
              <w:rPr>
                <w:sz w:val="16"/>
                <w:szCs w:val="16"/>
                <w:lang w:val="es-CO" w:eastAsia="es-CO"/>
              </w:rPr>
              <w:t>Doble Barra más By-Pass (DBB)</w:t>
            </w:r>
          </w:p>
        </w:tc>
        <w:tc>
          <w:tcPr>
            <w:tcW w:w="1134" w:type="dxa"/>
            <w:tcBorders>
              <w:top w:val="nil"/>
              <w:left w:val="nil"/>
              <w:bottom w:val="single" w:sz="4" w:space="0" w:color="auto"/>
              <w:right w:val="single" w:sz="4" w:space="0" w:color="auto"/>
            </w:tcBorders>
            <w:shd w:val="clear" w:color="auto" w:fill="auto"/>
            <w:noWrap/>
            <w:vAlign w:val="bottom"/>
            <w:hideMark/>
          </w:tcPr>
          <w:p w14:paraId="29F1060B"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3.724</w:t>
            </w:r>
          </w:p>
        </w:tc>
        <w:tc>
          <w:tcPr>
            <w:tcW w:w="1716" w:type="dxa"/>
            <w:tcBorders>
              <w:top w:val="nil"/>
              <w:left w:val="nil"/>
              <w:bottom w:val="single" w:sz="4" w:space="0" w:color="auto"/>
              <w:right w:val="single" w:sz="4" w:space="0" w:color="auto"/>
            </w:tcBorders>
            <w:shd w:val="clear" w:color="auto" w:fill="auto"/>
            <w:noWrap/>
            <w:vAlign w:val="bottom"/>
            <w:hideMark/>
          </w:tcPr>
          <w:p w14:paraId="1E8193FD"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3.948</w:t>
            </w:r>
          </w:p>
        </w:tc>
        <w:tc>
          <w:tcPr>
            <w:tcW w:w="1723" w:type="dxa"/>
            <w:tcBorders>
              <w:top w:val="nil"/>
              <w:left w:val="nil"/>
              <w:bottom w:val="single" w:sz="4" w:space="0" w:color="auto"/>
              <w:right w:val="single" w:sz="4" w:space="0" w:color="auto"/>
            </w:tcBorders>
            <w:shd w:val="clear" w:color="auto" w:fill="auto"/>
            <w:noWrap/>
            <w:vAlign w:val="bottom"/>
            <w:hideMark/>
          </w:tcPr>
          <w:p w14:paraId="6C170907"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1.820</w:t>
            </w:r>
          </w:p>
        </w:tc>
        <w:tc>
          <w:tcPr>
            <w:tcW w:w="932" w:type="dxa"/>
            <w:tcBorders>
              <w:top w:val="nil"/>
              <w:left w:val="nil"/>
              <w:bottom w:val="single" w:sz="4" w:space="0" w:color="auto"/>
              <w:right w:val="single" w:sz="4" w:space="0" w:color="auto"/>
            </w:tcBorders>
            <w:shd w:val="clear" w:color="auto" w:fill="auto"/>
            <w:noWrap/>
            <w:vAlign w:val="center"/>
            <w:hideMark/>
          </w:tcPr>
          <w:p w14:paraId="4AC2539E"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33.260</w:t>
            </w:r>
          </w:p>
        </w:tc>
        <w:tc>
          <w:tcPr>
            <w:tcW w:w="892" w:type="dxa"/>
            <w:tcBorders>
              <w:top w:val="nil"/>
              <w:left w:val="nil"/>
              <w:bottom w:val="single" w:sz="4" w:space="0" w:color="auto"/>
              <w:right w:val="single" w:sz="4" w:space="0" w:color="auto"/>
            </w:tcBorders>
            <w:shd w:val="clear" w:color="auto" w:fill="auto"/>
            <w:noWrap/>
            <w:vAlign w:val="center"/>
            <w:hideMark/>
          </w:tcPr>
          <w:p w14:paraId="1C0EBAD4"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50.116</w:t>
            </w:r>
          </w:p>
        </w:tc>
      </w:tr>
    </w:tbl>
    <w:p w14:paraId="42B6E166" w14:textId="77777777" w:rsidR="00EC3804" w:rsidRPr="00321B46" w:rsidRDefault="00EC3804" w:rsidP="00EC3804">
      <w:pPr>
        <w:pStyle w:val="Descripcin"/>
        <w:spacing w:before="360" w:line="240" w:lineRule="auto"/>
      </w:pPr>
      <w:r w:rsidRPr="00321B46">
        <w:t xml:space="preserve">Tabla </w:t>
      </w:r>
      <w:r w:rsidRPr="00321B46">
        <w:rPr>
          <w:noProof/>
        </w:rPr>
        <w:t>13</w:t>
      </w:r>
      <w:r w:rsidRPr="00321B46">
        <w:t xml:space="preserve">  Subestaciones convencionales 230 kV</w:t>
      </w:r>
    </w:p>
    <w:tbl>
      <w:tblPr>
        <w:tblW w:w="8591" w:type="dxa"/>
        <w:jc w:val="center"/>
        <w:tblCellMar>
          <w:left w:w="70" w:type="dxa"/>
          <w:right w:w="70" w:type="dxa"/>
        </w:tblCellMar>
        <w:tblLook w:val="04A0" w:firstRow="1" w:lastRow="0" w:firstColumn="1" w:lastColumn="0" w:noHBand="0" w:noVBand="1"/>
      </w:tblPr>
      <w:tblGrid>
        <w:gridCol w:w="1721"/>
        <w:gridCol w:w="680"/>
        <w:gridCol w:w="1471"/>
        <w:gridCol w:w="1524"/>
        <w:gridCol w:w="798"/>
        <w:gridCol w:w="799"/>
        <w:gridCol w:w="799"/>
        <w:gridCol w:w="799"/>
      </w:tblGrid>
      <w:tr w:rsidR="00EC3804" w:rsidRPr="00321B46" w14:paraId="4514AB01" w14:textId="77777777" w:rsidTr="00B0187D">
        <w:trPr>
          <w:trHeight w:val="907"/>
          <w:tblHeader/>
          <w:jc w:val="center"/>
        </w:trPr>
        <w:tc>
          <w:tcPr>
            <w:tcW w:w="1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1ECEE" w14:textId="77777777" w:rsidR="00EC3804" w:rsidRPr="00321B46" w:rsidRDefault="00EC3804" w:rsidP="00B0187D">
            <w:pPr>
              <w:spacing w:before="0" w:after="0"/>
              <w:jc w:val="center"/>
              <w:rPr>
                <w:sz w:val="14"/>
                <w:szCs w:val="14"/>
                <w:lang w:val="es-CO" w:eastAsia="es-CO"/>
              </w:rPr>
            </w:pPr>
            <w:r w:rsidRPr="00321B46">
              <w:rPr>
                <w:sz w:val="14"/>
                <w:szCs w:val="14"/>
                <w:lang w:val="es-CO" w:eastAsia="es-CO"/>
              </w:rPr>
              <w:t>CONFIGURACIÓN</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81B4F5C" w14:textId="77777777" w:rsidR="00EC3804" w:rsidRPr="00321B46" w:rsidRDefault="00EC3804" w:rsidP="00B0187D">
            <w:pPr>
              <w:spacing w:before="0" w:after="0"/>
              <w:jc w:val="center"/>
              <w:rPr>
                <w:sz w:val="14"/>
                <w:szCs w:val="14"/>
                <w:lang w:val="es-CO" w:eastAsia="es-CO"/>
              </w:rPr>
            </w:pPr>
            <w:r w:rsidRPr="00321B46">
              <w:rPr>
                <w:sz w:val="14"/>
                <w:szCs w:val="14"/>
                <w:lang w:val="es-CO" w:eastAsia="es-CO"/>
              </w:rPr>
              <w:t xml:space="preserve">BAHÍA DE LÍNEA </w:t>
            </w:r>
            <w:r w:rsidRPr="00321B46">
              <w:rPr>
                <w:sz w:val="14"/>
                <w:szCs w:val="14"/>
                <w:lang w:val="es-CO" w:eastAsia="es-CO"/>
              </w:rPr>
              <w:br/>
              <w:t>[m</w:t>
            </w:r>
            <w:r w:rsidRPr="00321B46">
              <w:rPr>
                <w:sz w:val="14"/>
                <w:szCs w:val="14"/>
                <w:vertAlign w:val="superscript"/>
                <w:lang w:val="es-CO" w:eastAsia="es-CO"/>
              </w:rPr>
              <w:t>2</w:t>
            </w:r>
            <w:r w:rsidRPr="00321B46">
              <w:rPr>
                <w:sz w:val="14"/>
                <w:szCs w:val="14"/>
                <w:lang w:val="es-CO" w:eastAsia="es-CO"/>
              </w:rPr>
              <w:t>]</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7AC061A6" w14:textId="77777777" w:rsidR="00EC3804" w:rsidRPr="00321B46" w:rsidRDefault="00EC3804" w:rsidP="00B0187D">
            <w:pPr>
              <w:spacing w:before="0" w:after="0"/>
              <w:jc w:val="center"/>
              <w:rPr>
                <w:sz w:val="14"/>
                <w:szCs w:val="14"/>
                <w:lang w:val="es-CO" w:eastAsia="es-CO"/>
              </w:rPr>
            </w:pPr>
            <w:r w:rsidRPr="00321B46">
              <w:rPr>
                <w:sz w:val="14"/>
                <w:szCs w:val="14"/>
                <w:lang w:val="es-CO" w:eastAsia="es-CO"/>
              </w:rPr>
              <w:t>BAHÍA TRANSFORMADOR [m</w:t>
            </w:r>
            <w:r w:rsidRPr="00321B46">
              <w:rPr>
                <w:sz w:val="14"/>
                <w:szCs w:val="14"/>
                <w:vertAlign w:val="superscript"/>
                <w:lang w:val="es-CO" w:eastAsia="es-CO"/>
              </w:rPr>
              <w:t>2</w:t>
            </w:r>
            <w:r w:rsidRPr="00321B46">
              <w:rPr>
                <w:sz w:val="14"/>
                <w:szCs w:val="14"/>
                <w:lang w:val="es-CO" w:eastAsia="es-CO"/>
              </w:rPr>
              <w:t>]</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14:paraId="416F065B" w14:textId="77777777" w:rsidR="00EC3804" w:rsidRPr="00321B46" w:rsidRDefault="00EC3804" w:rsidP="00B0187D">
            <w:pPr>
              <w:spacing w:before="0" w:after="0"/>
              <w:jc w:val="center"/>
              <w:rPr>
                <w:color w:val="000000"/>
                <w:sz w:val="14"/>
                <w:szCs w:val="14"/>
                <w:lang w:val="es-CO" w:eastAsia="es-CO"/>
              </w:rPr>
            </w:pPr>
            <w:r w:rsidRPr="00321B46">
              <w:rPr>
                <w:color w:val="000000"/>
                <w:sz w:val="14"/>
                <w:szCs w:val="14"/>
                <w:lang w:val="es-CO" w:eastAsia="es-CO"/>
              </w:rPr>
              <w:t>BAHÍA DE ACOPLE, SECCIONAMIENTO, TRANSFERENCIA O CORTE</w:t>
            </w:r>
            <w:r w:rsidRPr="00321B46">
              <w:rPr>
                <w:color w:val="000000"/>
                <w:sz w:val="14"/>
                <w:szCs w:val="14"/>
                <w:lang w:val="es-CO" w:eastAsia="es-CO"/>
              </w:rPr>
              <w:br/>
              <w:t xml:space="preserve"> [m</w:t>
            </w:r>
            <w:r w:rsidRPr="00321B46">
              <w:rPr>
                <w:color w:val="000000"/>
                <w:sz w:val="14"/>
                <w:szCs w:val="14"/>
                <w:vertAlign w:val="superscript"/>
                <w:lang w:val="es-CO" w:eastAsia="es-CO"/>
              </w:rPr>
              <w:t>2</w:t>
            </w:r>
            <w:r w:rsidRPr="00321B46">
              <w:rPr>
                <w:color w:val="000000"/>
                <w:sz w:val="14"/>
                <w:szCs w:val="14"/>
                <w:lang w:val="es-CO" w:eastAsia="es-CO"/>
              </w:rPr>
              <w:t>]</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5B539E02" w14:textId="77777777" w:rsidR="00EC3804" w:rsidRPr="00321B46" w:rsidRDefault="00EC3804" w:rsidP="00B0187D">
            <w:pPr>
              <w:spacing w:before="0" w:after="0"/>
              <w:jc w:val="center"/>
              <w:rPr>
                <w:color w:val="000000"/>
                <w:sz w:val="14"/>
                <w:szCs w:val="14"/>
                <w:lang w:val="es-CO" w:eastAsia="es-CO"/>
              </w:rPr>
            </w:pPr>
            <w:r w:rsidRPr="00321B46">
              <w:rPr>
                <w:color w:val="000000"/>
                <w:sz w:val="14"/>
                <w:szCs w:val="14"/>
                <w:lang w:val="es-CO" w:eastAsia="es-CO"/>
              </w:rPr>
              <w:t>MÓDULO COMÚN TIPO 1 </w:t>
            </w:r>
            <w:r w:rsidRPr="00321B46">
              <w:rPr>
                <w:color w:val="000000"/>
                <w:sz w:val="14"/>
                <w:szCs w:val="14"/>
                <w:lang w:val="es-CO" w:eastAsia="es-CO"/>
              </w:rPr>
              <w:br/>
              <w:t>[m</w:t>
            </w:r>
            <w:r w:rsidRPr="00321B46">
              <w:rPr>
                <w:color w:val="000000"/>
                <w:sz w:val="14"/>
                <w:szCs w:val="14"/>
                <w:vertAlign w:val="superscript"/>
                <w:lang w:val="es-CO" w:eastAsia="es-CO"/>
              </w:rPr>
              <w:t>2</w:t>
            </w:r>
            <w:r w:rsidRPr="00321B46">
              <w:rPr>
                <w:color w:val="000000"/>
                <w:sz w:val="14"/>
                <w:szCs w:val="14"/>
                <w:lang w:val="es-CO" w:eastAsia="es-CO"/>
              </w:rPr>
              <w:t>]</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31E1A179" w14:textId="77777777" w:rsidR="00EC3804" w:rsidRPr="00321B46" w:rsidRDefault="00EC3804" w:rsidP="00B0187D">
            <w:pPr>
              <w:spacing w:before="0" w:after="0"/>
              <w:ind w:right="-118"/>
              <w:jc w:val="center"/>
              <w:rPr>
                <w:color w:val="000000"/>
                <w:sz w:val="14"/>
                <w:szCs w:val="14"/>
                <w:lang w:val="es-CO" w:eastAsia="es-CO"/>
              </w:rPr>
            </w:pPr>
            <w:r w:rsidRPr="00321B46">
              <w:rPr>
                <w:color w:val="000000"/>
                <w:sz w:val="14"/>
                <w:szCs w:val="14"/>
                <w:lang w:val="es-CO" w:eastAsia="es-CO"/>
              </w:rPr>
              <w:t>MÓDULO COMÚN TIPO 2 </w:t>
            </w:r>
            <w:r w:rsidRPr="00321B46">
              <w:rPr>
                <w:color w:val="000000"/>
                <w:sz w:val="14"/>
                <w:szCs w:val="14"/>
                <w:lang w:val="es-CO" w:eastAsia="es-CO"/>
              </w:rPr>
              <w:br/>
              <w:t>[m</w:t>
            </w:r>
            <w:r w:rsidRPr="00321B46">
              <w:rPr>
                <w:color w:val="000000"/>
                <w:sz w:val="14"/>
                <w:szCs w:val="14"/>
                <w:vertAlign w:val="superscript"/>
                <w:lang w:val="es-CO" w:eastAsia="es-CO"/>
              </w:rPr>
              <w:t>2</w:t>
            </w:r>
            <w:r w:rsidRPr="00321B46">
              <w:rPr>
                <w:color w:val="000000"/>
                <w:sz w:val="14"/>
                <w:szCs w:val="14"/>
                <w:lang w:val="es-CO" w:eastAsia="es-CO"/>
              </w:rPr>
              <w:t>]</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37FC6444" w14:textId="77777777" w:rsidR="00EC3804" w:rsidRPr="00321B46" w:rsidRDefault="00EC3804" w:rsidP="00B0187D">
            <w:pPr>
              <w:spacing w:before="0" w:after="0"/>
              <w:jc w:val="center"/>
              <w:rPr>
                <w:color w:val="000000"/>
                <w:sz w:val="14"/>
                <w:szCs w:val="14"/>
                <w:lang w:val="es-CO" w:eastAsia="es-CO"/>
              </w:rPr>
            </w:pPr>
            <w:r w:rsidRPr="00321B46">
              <w:rPr>
                <w:color w:val="000000"/>
                <w:sz w:val="14"/>
                <w:szCs w:val="14"/>
                <w:lang w:val="es-CO" w:eastAsia="es-CO"/>
              </w:rPr>
              <w:t>MÓDULO COMÚN TIPO 3 </w:t>
            </w:r>
            <w:r w:rsidRPr="00321B46">
              <w:rPr>
                <w:color w:val="000000"/>
                <w:sz w:val="14"/>
                <w:szCs w:val="14"/>
                <w:lang w:val="es-CO" w:eastAsia="es-CO"/>
              </w:rPr>
              <w:br/>
              <w:t>[m</w:t>
            </w:r>
            <w:r w:rsidRPr="00321B46">
              <w:rPr>
                <w:color w:val="000000"/>
                <w:sz w:val="14"/>
                <w:szCs w:val="14"/>
                <w:vertAlign w:val="superscript"/>
                <w:lang w:val="es-CO" w:eastAsia="es-CO"/>
              </w:rPr>
              <w:t>2</w:t>
            </w:r>
            <w:r w:rsidRPr="00321B46">
              <w:rPr>
                <w:color w:val="000000"/>
                <w:sz w:val="14"/>
                <w:szCs w:val="14"/>
                <w:lang w:val="es-CO" w:eastAsia="es-CO"/>
              </w:rPr>
              <w:t>]</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689F5F37" w14:textId="77777777" w:rsidR="00EC3804" w:rsidRPr="00321B46" w:rsidRDefault="00EC3804" w:rsidP="00B0187D">
            <w:pPr>
              <w:spacing w:before="0" w:after="0"/>
              <w:jc w:val="center"/>
              <w:rPr>
                <w:color w:val="000000"/>
                <w:sz w:val="14"/>
                <w:szCs w:val="14"/>
                <w:lang w:val="es-CO" w:eastAsia="es-CO"/>
              </w:rPr>
            </w:pPr>
            <w:r w:rsidRPr="00321B46">
              <w:rPr>
                <w:color w:val="000000"/>
                <w:sz w:val="14"/>
                <w:szCs w:val="14"/>
                <w:lang w:val="es-CO" w:eastAsia="es-CO"/>
              </w:rPr>
              <w:t>MÓDULO COMÚN TIPO 4 </w:t>
            </w:r>
            <w:r w:rsidRPr="00321B46">
              <w:rPr>
                <w:color w:val="000000"/>
                <w:sz w:val="14"/>
                <w:szCs w:val="14"/>
                <w:lang w:val="es-CO" w:eastAsia="es-CO"/>
              </w:rPr>
              <w:br/>
              <w:t>[m</w:t>
            </w:r>
            <w:r w:rsidRPr="00321B46">
              <w:rPr>
                <w:color w:val="000000"/>
                <w:sz w:val="14"/>
                <w:szCs w:val="14"/>
                <w:vertAlign w:val="superscript"/>
                <w:lang w:val="es-CO" w:eastAsia="es-CO"/>
              </w:rPr>
              <w:t>2</w:t>
            </w:r>
            <w:r w:rsidRPr="00321B46">
              <w:rPr>
                <w:color w:val="000000"/>
                <w:sz w:val="14"/>
                <w:szCs w:val="14"/>
                <w:lang w:val="es-CO" w:eastAsia="es-CO"/>
              </w:rPr>
              <w:t>]</w:t>
            </w:r>
          </w:p>
        </w:tc>
      </w:tr>
      <w:tr w:rsidR="00EC3804" w:rsidRPr="00321B46" w14:paraId="6D1523E7" w14:textId="77777777" w:rsidTr="00B0187D">
        <w:trPr>
          <w:trHeight w:val="240"/>
          <w:jc w:val="center"/>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44F12007"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Barra Sencilla (BS)</w:t>
            </w:r>
          </w:p>
        </w:tc>
        <w:tc>
          <w:tcPr>
            <w:tcW w:w="680" w:type="dxa"/>
            <w:tcBorders>
              <w:top w:val="nil"/>
              <w:left w:val="nil"/>
              <w:bottom w:val="single" w:sz="4" w:space="0" w:color="auto"/>
              <w:right w:val="single" w:sz="4" w:space="0" w:color="auto"/>
            </w:tcBorders>
            <w:shd w:val="clear" w:color="auto" w:fill="auto"/>
            <w:noWrap/>
            <w:vAlign w:val="center"/>
            <w:hideMark/>
          </w:tcPr>
          <w:p w14:paraId="71667E23"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613</w:t>
            </w:r>
          </w:p>
        </w:tc>
        <w:tc>
          <w:tcPr>
            <w:tcW w:w="1471" w:type="dxa"/>
            <w:tcBorders>
              <w:top w:val="nil"/>
              <w:left w:val="nil"/>
              <w:bottom w:val="single" w:sz="4" w:space="0" w:color="auto"/>
              <w:right w:val="single" w:sz="4" w:space="0" w:color="auto"/>
            </w:tcBorders>
            <w:shd w:val="clear" w:color="auto" w:fill="auto"/>
            <w:noWrap/>
            <w:vAlign w:val="center"/>
            <w:hideMark/>
          </w:tcPr>
          <w:p w14:paraId="0401FD81"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749</w:t>
            </w:r>
          </w:p>
        </w:tc>
        <w:tc>
          <w:tcPr>
            <w:tcW w:w="1524" w:type="dxa"/>
            <w:tcBorders>
              <w:top w:val="nil"/>
              <w:left w:val="nil"/>
              <w:bottom w:val="single" w:sz="4" w:space="0" w:color="auto"/>
              <w:right w:val="single" w:sz="4" w:space="0" w:color="auto"/>
            </w:tcBorders>
            <w:shd w:val="clear" w:color="auto" w:fill="auto"/>
            <w:noWrap/>
            <w:vAlign w:val="center"/>
            <w:hideMark/>
          </w:tcPr>
          <w:p w14:paraId="5B66E9D8" w14:textId="77777777" w:rsidR="00EC3804" w:rsidRPr="00321B46" w:rsidRDefault="00EC3804" w:rsidP="00B0187D">
            <w:pPr>
              <w:spacing w:before="0" w:after="0"/>
              <w:jc w:val="center"/>
              <w:rPr>
                <w:color w:val="000000"/>
                <w:sz w:val="16"/>
                <w:szCs w:val="16"/>
                <w:lang w:val="es-CO" w:eastAsia="es-CO"/>
              </w:rPr>
            </w:pPr>
          </w:p>
        </w:tc>
        <w:tc>
          <w:tcPr>
            <w:tcW w:w="798" w:type="dxa"/>
            <w:tcBorders>
              <w:top w:val="nil"/>
              <w:left w:val="nil"/>
              <w:bottom w:val="single" w:sz="4" w:space="0" w:color="auto"/>
              <w:right w:val="single" w:sz="4" w:space="0" w:color="auto"/>
            </w:tcBorders>
            <w:shd w:val="clear" w:color="auto" w:fill="auto"/>
            <w:noWrap/>
            <w:vAlign w:val="center"/>
            <w:hideMark/>
          </w:tcPr>
          <w:p w14:paraId="1625F536"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1.432</w:t>
            </w:r>
          </w:p>
        </w:tc>
        <w:tc>
          <w:tcPr>
            <w:tcW w:w="799" w:type="dxa"/>
            <w:tcBorders>
              <w:top w:val="nil"/>
              <w:left w:val="nil"/>
              <w:bottom w:val="single" w:sz="4" w:space="0" w:color="auto"/>
              <w:right w:val="single" w:sz="4" w:space="0" w:color="auto"/>
            </w:tcBorders>
            <w:shd w:val="clear" w:color="auto" w:fill="auto"/>
            <w:noWrap/>
            <w:vAlign w:val="center"/>
            <w:hideMark/>
          </w:tcPr>
          <w:p w14:paraId="493CE81E" w14:textId="77777777" w:rsidR="00EC3804" w:rsidRPr="00321B46" w:rsidRDefault="00EC3804" w:rsidP="00B0187D">
            <w:pPr>
              <w:spacing w:before="0" w:after="0"/>
              <w:ind w:right="-118"/>
              <w:jc w:val="center"/>
              <w:rPr>
                <w:color w:val="000000"/>
                <w:sz w:val="16"/>
                <w:szCs w:val="16"/>
                <w:lang w:val="es-CO" w:eastAsia="es-CO"/>
              </w:rPr>
            </w:pPr>
            <w:r w:rsidRPr="00321B46">
              <w:rPr>
                <w:color w:val="000000"/>
                <w:sz w:val="16"/>
                <w:szCs w:val="16"/>
                <w:lang w:val="es-CO" w:eastAsia="es-CO"/>
              </w:rPr>
              <w:t>1.672</w:t>
            </w:r>
          </w:p>
        </w:tc>
        <w:tc>
          <w:tcPr>
            <w:tcW w:w="799" w:type="dxa"/>
            <w:tcBorders>
              <w:top w:val="nil"/>
              <w:left w:val="nil"/>
              <w:bottom w:val="single" w:sz="4" w:space="0" w:color="auto"/>
              <w:right w:val="single" w:sz="4" w:space="0" w:color="auto"/>
            </w:tcBorders>
            <w:shd w:val="clear" w:color="auto" w:fill="auto"/>
            <w:noWrap/>
            <w:vAlign w:val="center"/>
            <w:hideMark/>
          </w:tcPr>
          <w:p w14:paraId="40A19606"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1.912</w:t>
            </w:r>
          </w:p>
        </w:tc>
        <w:tc>
          <w:tcPr>
            <w:tcW w:w="799" w:type="dxa"/>
            <w:tcBorders>
              <w:top w:val="nil"/>
              <w:left w:val="nil"/>
              <w:bottom w:val="single" w:sz="4" w:space="0" w:color="auto"/>
              <w:right w:val="single" w:sz="4" w:space="0" w:color="auto"/>
            </w:tcBorders>
            <w:shd w:val="clear" w:color="auto" w:fill="auto"/>
            <w:noWrap/>
            <w:vAlign w:val="center"/>
            <w:hideMark/>
          </w:tcPr>
          <w:p w14:paraId="120536D4"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2.392</w:t>
            </w:r>
          </w:p>
        </w:tc>
      </w:tr>
      <w:tr w:rsidR="00EC3804" w:rsidRPr="00321B46" w14:paraId="386EC64C" w14:textId="77777777" w:rsidTr="00B0187D">
        <w:trPr>
          <w:trHeight w:val="240"/>
          <w:jc w:val="center"/>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5F0F3A4B"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Barra Ppal Y Transferencia (BPT)</w:t>
            </w:r>
          </w:p>
        </w:tc>
        <w:tc>
          <w:tcPr>
            <w:tcW w:w="680" w:type="dxa"/>
            <w:tcBorders>
              <w:top w:val="nil"/>
              <w:left w:val="nil"/>
              <w:bottom w:val="single" w:sz="4" w:space="0" w:color="auto"/>
              <w:right w:val="single" w:sz="4" w:space="0" w:color="auto"/>
            </w:tcBorders>
            <w:shd w:val="clear" w:color="auto" w:fill="auto"/>
            <w:noWrap/>
            <w:vAlign w:val="center"/>
            <w:hideMark/>
          </w:tcPr>
          <w:p w14:paraId="663C464E"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877</w:t>
            </w:r>
          </w:p>
        </w:tc>
        <w:tc>
          <w:tcPr>
            <w:tcW w:w="1471" w:type="dxa"/>
            <w:tcBorders>
              <w:top w:val="nil"/>
              <w:left w:val="nil"/>
              <w:bottom w:val="single" w:sz="4" w:space="0" w:color="auto"/>
              <w:right w:val="single" w:sz="4" w:space="0" w:color="auto"/>
            </w:tcBorders>
            <w:shd w:val="clear" w:color="auto" w:fill="auto"/>
            <w:noWrap/>
            <w:vAlign w:val="center"/>
            <w:hideMark/>
          </w:tcPr>
          <w:p w14:paraId="3162103A"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989</w:t>
            </w:r>
          </w:p>
        </w:tc>
        <w:tc>
          <w:tcPr>
            <w:tcW w:w="1524" w:type="dxa"/>
            <w:tcBorders>
              <w:top w:val="nil"/>
              <w:left w:val="nil"/>
              <w:bottom w:val="single" w:sz="4" w:space="0" w:color="auto"/>
              <w:right w:val="single" w:sz="4" w:space="0" w:color="auto"/>
            </w:tcBorders>
            <w:shd w:val="clear" w:color="auto" w:fill="auto"/>
            <w:noWrap/>
            <w:vAlign w:val="center"/>
            <w:hideMark/>
          </w:tcPr>
          <w:p w14:paraId="1A155E82"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880</w:t>
            </w:r>
          </w:p>
        </w:tc>
        <w:tc>
          <w:tcPr>
            <w:tcW w:w="798" w:type="dxa"/>
            <w:tcBorders>
              <w:top w:val="nil"/>
              <w:left w:val="nil"/>
              <w:bottom w:val="single" w:sz="4" w:space="0" w:color="auto"/>
              <w:right w:val="single" w:sz="4" w:space="0" w:color="auto"/>
            </w:tcBorders>
            <w:shd w:val="clear" w:color="auto" w:fill="auto"/>
            <w:noWrap/>
            <w:vAlign w:val="center"/>
            <w:hideMark/>
          </w:tcPr>
          <w:p w14:paraId="40D7681C"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4.215</w:t>
            </w:r>
          </w:p>
        </w:tc>
        <w:tc>
          <w:tcPr>
            <w:tcW w:w="799" w:type="dxa"/>
            <w:tcBorders>
              <w:top w:val="nil"/>
              <w:left w:val="nil"/>
              <w:bottom w:val="single" w:sz="4" w:space="0" w:color="auto"/>
              <w:right w:val="single" w:sz="4" w:space="0" w:color="auto"/>
            </w:tcBorders>
            <w:shd w:val="clear" w:color="auto" w:fill="auto"/>
            <w:noWrap/>
            <w:vAlign w:val="center"/>
            <w:hideMark/>
          </w:tcPr>
          <w:p w14:paraId="22C1CD92" w14:textId="77777777" w:rsidR="00EC3804" w:rsidRPr="00321B46" w:rsidRDefault="00EC3804" w:rsidP="00B0187D">
            <w:pPr>
              <w:spacing w:before="0" w:after="0"/>
              <w:ind w:right="-118"/>
              <w:jc w:val="center"/>
              <w:rPr>
                <w:color w:val="000000"/>
                <w:sz w:val="16"/>
                <w:szCs w:val="16"/>
                <w:lang w:val="es-CO" w:eastAsia="es-CO"/>
              </w:rPr>
            </w:pPr>
            <w:r w:rsidRPr="00321B46">
              <w:rPr>
                <w:color w:val="000000"/>
                <w:sz w:val="16"/>
                <w:szCs w:val="16"/>
                <w:lang w:val="es-CO" w:eastAsia="es-CO"/>
              </w:rPr>
              <w:t>5.958</w:t>
            </w:r>
          </w:p>
        </w:tc>
        <w:tc>
          <w:tcPr>
            <w:tcW w:w="799" w:type="dxa"/>
            <w:tcBorders>
              <w:top w:val="nil"/>
              <w:left w:val="nil"/>
              <w:bottom w:val="single" w:sz="4" w:space="0" w:color="auto"/>
              <w:right w:val="single" w:sz="4" w:space="0" w:color="auto"/>
            </w:tcBorders>
            <w:shd w:val="clear" w:color="auto" w:fill="auto"/>
            <w:noWrap/>
            <w:vAlign w:val="center"/>
            <w:hideMark/>
          </w:tcPr>
          <w:p w14:paraId="7FF813E1"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7.700</w:t>
            </w:r>
          </w:p>
        </w:tc>
        <w:tc>
          <w:tcPr>
            <w:tcW w:w="799" w:type="dxa"/>
            <w:tcBorders>
              <w:top w:val="nil"/>
              <w:left w:val="nil"/>
              <w:bottom w:val="single" w:sz="4" w:space="0" w:color="auto"/>
              <w:right w:val="single" w:sz="4" w:space="0" w:color="auto"/>
            </w:tcBorders>
            <w:shd w:val="clear" w:color="auto" w:fill="auto"/>
            <w:noWrap/>
            <w:vAlign w:val="center"/>
            <w:hideMark/>
          </w:tcPr>
          <w:p w14:paraId="6B1FA7A1"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11.185</w:t>
            </w:r>
          </w:p>
        </w:tc>
      </w:tr>
      <w:tr w:rsidR="00EC3804" w:rsidRPr="00321B46" w14:paraId="760F45AB" w14:textId="77777777" w:rsidTr="00B0187D">
        <w:trPr>
          <w:trHeight w:val="240"/>
          <w:jc w:val="center"/>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0CBA205D"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Doble Barra (DB)</w:t>
            </w:r>
          </w:p>
        </w:tc>
        <w:tc>
          <w:tcPr>
            <w:tcW w:w="680" w:type="dxa"/>
            <w:tcBorders>
              <w:top w:val="nil"/>
              <w:left w:val="nil"/>
              <w:bottom w:val="single" w:sz="4" w:space="0" w:color="auto"/>
              <w:right w:val="single" w:sz="4" w:space="0" w:color="auto"/>
            </w:tcBorders>
            <w:shd w:val="clear" w:color="auto" w:fill="auto"/>
            <w:noWrap/>
            <w:vAlign w:val="center"/>
            <w:hideMark/>
          </w:tcPr>
          <w:p w14:paraId="5B783F97"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877</w:t>
            </w:r>
          </w:p>
        </w:tc>
        <w:tc>
          <w:tcPr>
            <w:tcW w:w="1471" w:type="dxa"/>
            <w:tcBorders>
              <w:top w:val="nil"/>
              <w:left w:val="nil"/>
              <w:bottom w:val="single" w:sz="4" w:space="0" w:color="auto"/>
              <w:right w:val="single" w:sz="4" w:space="0" w:color="auto"/>
            </w:tcBorders>
            <w:shd w:val="clear" w:color="auto" w:fill="auto"/>
            <w:noWrap/>
            <w:vAlign w:val="center"/>
            <w:hideMark/>
          </w:tcPr>
          <w:p w14:paraId="2F2C595A"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989</w:t>
            </w:r>
          </w:p>
        </w:tc>
        <w:tc>
          <w:tcPr>
            <w:tcW w:w="1524" w:type="dxa"/>
            <w:tcBorders>
              <w:top w:val="nil"/>
              <w:left w:val="nil"/>
              <w:bottom w:val="single" w:sz="4" w:space="0" w:color="auto"/>
              <w:right w:val="single" w:sz="4" w:space="0" w:color="auto"/>
            </w:tcBorders>
            <w:shd w:val="clear" w:color="auto" w:fill="auto"/>
            <w:noWrap/>
            <w:vAlign w:val="center"/>
            <w:hideMark/>
          </w:tcPr>
          <w:p w14:paraId="536C8ED6"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880</w:t>
            </w:r>
          </w:p>
        </w:tc>
        <w:tc>
          <w:tcPr>
            <w:tcW w:w="798" w:type="dxa"/>
            <w:tcBorders>
              <w:top w:val="nil"/>
              <w:left w:val="nil"/>
              <w:bottom w:val="single" w:sz="4" w:space="0" w:color="auto"/>
              <w:right w:val="single" w:sz="4" w:space="0" w:color="auto"/>
            </w:tcBorders>
            <w:shd w:val="clear" w:color="auto" w:fill="auto"/>
            <w:noWrap/>
            <w:vAlign w:val="center"/>
            <w:hideMark/>
          </w:tcPr>
          <w:p w14:paraId="06B089FA"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4.215</w:t>
            </w:r>
          </w:p>
        </w:tc>
        <w:tc>
          <w:tcPr>
            <w:tcW w:w="799" w:type="dxa"/>
            <w:tcBorders>
              <w:top w:val="nil"/>
              <w:left w:val="nil"/>
              <w:bottom w:val="single" w:sz="4" w:space="0" w:color="auto"/>
              <w:right w:val="single" w:sz="4" w:space="0" w:color="auto"/>
            </w:tcBorders>
            <w:shd w:val="clear" w:color="auto" w:fill="auto"/>
            <w:noWrap/>
            <w:vAlign w:val="center"/>
            <w:hideMark/>
          </w:tcPr>
          <w:p w14:paraId="3DA9F451" w14:textId="77777777" w:rsidR="00EC3804" w:rsidRPr="00321B46" w:rsidRDefault="00EC3804" w:rsidP="00B0187D">
            <w:pPr>
              <w:spacing w:before="0" w:after="0"/>
              <w:ind w:right="-118"/>
              <w:jc w:val="center"/>
              <w:rPr>
                <w:color w:val="000000"/>
                <w:sz w:val="16"/>
                <w:szCs w:val="16"/>
                <w:lang w:val="es-CO" w:eastAsia="es-CO"/>
              </w:rPr>
            </w:pPr>
            <w:r w:rsidRPr="00321B46">
              <w:rPr>
                <w:color w:val="000000"/>
                <w:sz w:val="16"/>
                <w:szCs w:val="16"/>
                <w:lang w:val="es-CO" w:eastAsia="es-CO"/>
              </w:rPr>
              <w:t>5.958</w:t>
            </w:r>
          </w:p>
        </w:tc>
        <w:tc>
          <w:tcPr>
            <w:tcW w:w="799" w:type="dxa"/>
            <w:tcBorders>
              <w:top w:val="nil"/>
              <w:left w:val="nil"/>
              <w:bottom w:val="single" w:sz="4" w:space="0" w:color="auto"/>
              <w:right w:val="single" w:sz="4" w:space="0" w:color="auto"/>
            </w:tcBorders>
            <w:shd w:val="clear" w:color="auto" w:fill="auto"/>
            <w:noWrap/>
            <w:vAlign w:val="center"/>
            <w:hideMark/>
          </w:tcPr>
          <w:p w14:paraId="3C0E9F9E"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7.700</w:t>
            </w:r>
          </w:p>
        </w:tc>
        <w:tc>
          <w:tcPr>
            <w:tcW w:w="799" w:type="dxa"/>
            <w:tcBorders>
              <w:top w:val="nil"/>
              <w:left w:val="nil"/>
              <w:bottom w:val="single" w:sz="4" w:space="0" w:color="auto"/>
              <w:right w:val="single" w:sz="4" w:space="0" w:color="auto"/>
            </w:tcBorders>
            <w:shd w:val="clear" w:color="auto" w:fill="auto"/>
            <w:noWrap/>
            <w:vAlign w:val="center"/>
            <w:hideMark/>
          </w:tcPr>
          <w:p w14:paraId="180E4239"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11.185</w:t>
            </w:r>
          </w:p>
        </w:tc>
      </w:tr>
      <w:tr w:rsidR="00EC3804" w:rsidRPr="00321B46" w14:paraId="2DD8CB0C" w14:textId="77777777" w:rsidTr="00B0187D">
        <w:trPr>
          <w:trHeight w:val="240"/>
          <w:jc w:val="center"/>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42F09D78"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Doble Barra más Transferencia (DBT)</w:t>
            </w:r>
          </w:p>
        </w:tc>
        <w:tc>
          <w:tcPr>
            <w:tcW w:w="680" w:type="dxa"/>
            <w:tcBorders>
              <w:top w:val="nil"/>
              <w:left w:val="nil"/>
              <w:bottom w:val="single" w:sz="4" w:space="0" w:color="auto"/>
              <w:right w:val="single" w:sz="4" w:space="0" w:color="auto"/>
            </w:tcBorders>
            <w:shd w:val="clear" w:color="auto" w:fill="auto"/>
            <w:noWrap/>
            <w:vAlign w:val="center"/>
            <w:hideMark/>
          </w:tcPr>
          <w:p w14:paraId="23D5D13F"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877</w:t>
            </w:r>
          </w:p>
        </w:tc>
        <w:tc>
          <w:tcPr>
            <w:tcW w:w="1471" w:type="dxa"/>
            <w:tcBorders>
              <w:top w:val="nil"/>
              <w:left w:val="nil"/>
              <w:bottom w:val="single" w:sz="4" w:space="0" w:color="auto"/>
              <w:right w:val="single" w:sz="4" w:space="0" w:color="auto"/>
            </w:tcBorders>
            <w:shd w:val="clear" w:color="auto" w:fill="auto"/>
            <w:noWrap/>
            <w:vAlign w:val="center"/>
            <w:hideMark/>
          </w:tcPr>
          <w:p w14:paraId="5CC930C2"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989</w:t>
            </w:r>
          </w:p>
        </w:tc>
        <w:tc>
          <w:tcPr>
            <w:tcW w:w="1524" w:type="dxa"/>
            <w:tcBorders>
              <w:top w:val="nil"/>
              <w:left w:val="nil"/>
              <w:bottom w:val="single" w:sz="4" w:space="0" w:color="auto"/>
              <w:right w:val="single" w:sz="4" w:space="0" w:color="auto"/>
            </w:tcBorders>
            <w:shd w:val="clear" w:color="auto" w:fill="auto"/>
            <w:noWrap/>
            <w:vAlign w:val="center"/>
            <w:hideMark/>
          </w:tcPr>
          <w:p w14:paraId="2D605845"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880</w:t>
            </w:r>
          </w:p>
        </w:tc>
        <w:tc>
          <w:tcPr>
            <w:tcW w:w="798" w:type="dxa"/>
            <w:tcBorders>
              <w:top w:val="nil"/>
              <w:left w:val="nil"/>
              <w:bottom w:val="single" w:sz="4" w:space="0" w:color="auto"/>
              <w:right w:val="single" w:sz="4" w:space="0" w:color="auto"/>
            </w:tcBorders>
            <w:shd w:val="clear" w:color="auto" w:fill="auto"/>
            <w:noWrap/>
            <w:vAlign w:val="center"/>
            <w:hideMark/>
          </w:tcPr>
          <w:p w14:paraId="64272814"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4.215</w:t>
            </w:r>
          </w:p>
        </w:tc>
        <w:tc>
          <w:tcPr>
            <w:tcW w:w="799" w:type="dxa"/>
            <w:tcBorders>
              <w:top w:val="nil"/>
              <w:left w:val="nil"/>
              <w:bottom w:val="single" w:sz="4" w:space="0" w:color="auto"/>
              <w:right w:val="single" w:sz="4" w:space="0" w:color="auto"/>
            </w:tcBorders>
            <w:shd w:val="clear" w:color="auto" w:fill="auto"/>
            <w:noWrap/>
            <w:vAlign w:val="center"/>
            <w:hideMark/>
          </w:tcPr>
          <w:p w14:paraId="4D397F60" w14:textId="77777777" w:rsidR="00EC3804" w:rsidRPr="00321B46" w:rsidRDefault="00EC3804" w:rsidP="00B0187D">
            <w:pPr>
              <w:spacing w:before="0" w:after="0"/>
              <w:ind w:right="-118"/>
              <w:jc w:val="center"/>
              <w:rPr>
                <w:color w:val="000000"/>
                <w:sz w:val="16"/>
                <w:szCs w:val="16"/>
                <w:lang w:val="es-CO" w:eastAsia="es-CO"/>
              </w:rPr>
            </w:pPr>
            <w:r w:rsidRPr="00321B46">
              <w:rPr>
                <w:color w:val="000000"/>
                <w:sz w:val="16"/>
                <w:szCs w:val="16"/>
                <w:lang w:val="es-CO" w:eastAsia="es-CO"/>
              </w:rPr>
              <w:t>5.958</w:t>
            </w:r>
          </w:p>
        </w:tc>
        <w:tc>
          <w:tcPr>
            <w:tcW w:w="799" w:type="dxa"/>
            <w:tcBorders>
              <w:top w:val="nil"/>
              <w:left w:val="nil"/>
              <w:bottom w:val="single" w:sz="4" w:space="0" w:color="auto"/>
              <w:right w:val="single" w:sz="4" w:space="0" w:color="auto"/>
            </w:tcBorders>
            <w:shd w:val="clear" w:color="auto" w:fill="auto"/>
            <w:noWrap/>
            <w:vAlign w:val="center"/>
            <w:hideMark/>
          </w:tcPr>
          <w:p w14:paraId="31D8663C"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7.700</w:t>
            </w:r>
          </w:p>
        </w:tc>
        <w:tc>
          <w:tcPr>
            <w:tcW w:w="799" w:type="dxa"/>
            <w:tcBorders>
              <w:top w:val="nil"/>
              <w:left w:val="nil"/>
              <w:bottom w:val="single" w:sz="4" w:space="0" w:color="auto"/>
              <w:right w:val="single" w:sz="4" w:space="0" w:color="auto"/>
            </w:tcBorders>
            <w:shd w:val="clear" w:color="auto" w:fill="auto"/>
            <w:noWrap/>
            <w:vAlign w:val="center"/>
            <w:hideMark/>
          </w:tcPr>
          <w:p w14:paraId="55D6D5E6"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11.185</w:t>
            </w:r>
          </w:p>
        </w:tc>
      </w:tr>
      <w:tr w:rsidR="00EC3804" w:rsidRPr="00321B46" w14:paraId="3993B0B6" w14:textId="77777777" w:rsidTr="00B0187D">
        <w:trPr>
          <w:trHeight w:val="240"/>
          <w:jc w:val="center"/>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70F253D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Doble Barra más By-Pass (DBB)</w:t>
            </w:r>
          </w:p>
        </w:tc>
        <w:tc>
          <w:tcPr>
            <w:tcW w:w="680" w:type="dxa"/>
            <w:tcBorders>
              <w:top w:val="nil"/>
              <w:left w:val="nil"/>
              <w:bottom w:val="single" w:sz="4" w:space="0" w:color="auto"/>
              <w:right w:val="single" w:sz="4" w:space="0" w:color="auto"/>
            </w:tcBorders>
            <w:shd w:val="clear" w:color="auto" w:fill="auto"/>
            <w:noWrap/>
            <w:vAlign w:val="center"/>
            <w:hideMark/>
          </w:tcPr>
          <w:p w14:paraId="1B864535"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877</w:t>
            </w:r>
          </w:p>
        </w:tc>
        <w:tc>
          <w:tcPr>
            <w:tcW w:w="1471" w:type="dxa"/>
            <w:tcBorders>
              <w:top w:val="nil"/>
              <w:left w:val="nil"/>
              <w:bottom w:val="single" w:sz="4" w:space="0" w:color="auto"/>
              <w:right w:val="single" w:sz="4" w:space="0" w:color="auto"/>
            </w:tcBorders>
            <w:shd w:val="clear" w:color="auto" w:fill="auto"/>
            <w:noWrap/>
            <w:vAlign w:val="center"/>
            <w:hideMark/>
          </w:tcPr>
          <w:p w14:paraId="0919B270"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989</w:t>
            </w:r>
          </w:p>
        </w:tc>
        <w:tc>
          <w:tcPr>
            <w:tcW w:w="1524" w:type="dxa"/>
            <w:tcBorders>
              <w:top w:val="nil"/>
              <w:left w:val="nil"/>
              <w:bottom w:val="single" w:sz="4" w:space="0" w:color="auto"/>
              <w:right w:val="single" w:sz="4" w:space="0" w:color="auto"/>
            </w:tcBorders>
            <w:shd w:val="clear" w:color="auto" w:fill="auto"/>
            <w:noWrap/>
            <w:vAlign w:val="center"/>
            <w:hideMark/>
          </w:tcPr>
          <w:p w14:paraId="39DF1E4C"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880</w:t>
            </w:r>
          </w:p>
        </w:tc>
        <w:tc>
          <w:tcPr>
            <w:tcW w:w="798" w:type="dxa"/>
            <w:tcBorders>
              <w:top w:val="nil"/>
              <w:left w:val="nil"/>
              <w:bottom w:val="single" w:sz="4" w:space="0" w:color="auto"/>
              <w:right w:val="single" w:sz="4" w:space="0" w:color="auto"/>
            </w:tcBorders>
            <w:shd w:val="clear" w:color="auto" w:fill="auto"/>
            <w:noWrap/>
            <w:vAlign w:val="center"/>
            <w:hideMark/>
          </w:tcPr>
          <w:p w14:paraId="3F9A1882"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4.215</w:t>
            </w:r>
          </w:p>
        </w:tc>
        <w:tc>
          <w:tcPr>
            <w:tcW w:w="799" w:type="dxa"/>
            <w:tcBorders>
              <w:top w:val="nil"/>
              <w:left w:val="nil"/>
              <w:bottom w:val="single" w:sz="4" w:space="0" w:color="auto"/>
              <w:right w:val="single" w:sz="4" w:space="0" w:color="auto"/>
            </w:tcBorders>
            <w:shd w:val="clear" w:color="auto" w:fill="auto"/>
            <w:noWrap/>
            <w:vAlign w:val="center"/>
            <w:hideMark/>
          </w:tcPr>
          <w:p w14:paraId="15AB1755" w14:textId="77777777" w:rsidR="00EC3804" w:rsidRPr="00321B46" w:rsidRDefault="00EC3804" w:rsidP="00B0187D">
            <w:pPr>
              <w:spacing w:before="0" w:after="0"/>
              <w:ind w:right="-118"/>
              <w:jc w:val="center"/>
              <w:rPr>
                <w:color w:val="000000"/>
                <w:sz w:val="16"/>
                <w:szCs w:val="16"/>
                <w:lang w:val="es-CO" w:eastAsia="es-CO"/>
              </w:rPr>
            </w:pPr>
            <w:r w:rsidRPr="00321B46">
              <w:rPr>
                <w:color w:val="000000"/>
                <w:sz w:val="16"/>
                <w:szCs w:val="16"/>
                <w:lang w:val="es-CO" w:eastAsia="es-CO"/>
              </w:rPr>
              <w:t>5.958</w:t>
            </w:r>
          </w:p>
        </w:tc>
        <w:tc>
          <w:tcPr>
            <w:tcW w:w="799" w:type="dxa"/>
            <w:tcBorders>
              <w:top w:val="nil"/>
              <w:left w:val="nil"/>
              <w:bottom w:val="single" w:sz="4" w:space="0" w:color="auto"/>
              <w:right w:val="single" w:sz="4" w:space="0" w:color="auto"/>
            </w:tcBorders>
            <w:shd w:val="clear" w:color="auto" w:fill="auto"/>
            <w:noWrap/>
            <w:vAlign w:val="center"/>
            <w:hideMark/>
          </w:tcPr>
          <w:p w14:paraId="5FAAE521"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7.700</w:t>
            </w:r>
          </w:p>
        </w:tc>
        <w:tc>
          <w:tcPr>
            <w:tcW w:w="799" w:type="dxa"/>
            <w:tcBorders>
              <w:top w:val="nil"/>
              <w:left w:val="nil"/>
              <w:bottom w:val="single" w:sz="4" w:space="0" w:color="auto"/>
              <w:right w:val="single" w:sz="4" w:space="0" w:color="auto"/>
            </w:tcBorders>
            <w:shd w:val="clear" w:color="auto" w:fill="auto"/>
            <w:noWrap/>
            <w:vAlign w:val="center"/>
            <w:hideMark/>
          </w:tcPr>
          <w:p w14:paraId="3A25073E"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11.185</w:t>
            </w:r>
          </w:p>
        </w:tc>
      </w:tr>
      <w:tr w:rsidR="00EC3804" w:rsidRPr="00321B46" w14:paraId="6B363C01" w14:textId="77777777" w:rsidTr="00B0187D">
        <w:trPr>
          <w:trHeight w:val="240"/>
          <w:jc w:val="center"/>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71EF1220"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Interruptor y Medio (IM)</w:t>
            </w:r>
          </w:p>
        </w:tc>
        <w:tc>
          <w:tcPr>
            <w:tcW w:w="680" w:type="dxa"/>
            <w:tcBorders>
              <w:top w:val="nil"/>
              <w:left w:val="nil"/>
              <w:bottom w:val="single" w:sz="4" w:space="0" w:color="auto"/>
              <w:right w:val="single" w:sz="4" w:space="0" w:color="auto"/>
            </w:tcBorders>
            <w:shd w:val="clear" w:color="auto" w:fill="auto"/>
            <w:noWrap/>
            <w:vAlign w:val="center"/>
            <w:hideMark/>
          </w:tcPr>
          <w:p w14:paraId="7B9757EC"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852</w:t>
            </w:r>
          </w:p>
        </w:tc>
        <w:tc>
          <w:tcPr>
            <w:tcW w:w="1471" w:type="dxa"/>
            <w:tcBorders>
              <w:top w:val="nil"/>
              <w:left w:val="nil"/>
              <w:bottom w:val="single" w:sz="4" w:space="0" w:color="auto"/>
              <w:right w:val="single" w:sz="4" w:space="0" w:color="auto"/>
            </w:tcBorders>
            <w:shd w:val="clear" w:color="auto" w:fill="auto"/>
            <w:noWrap/>
            <w:vAlign w:val="center"/>
            <w:hideMark/>
          </w:tcPr>
          <w:p w14:paraId="7814F423"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969</w:t>
            </w:r>
          </w:p>
        </w:tc>
        <w:tc>
          <w:tcPr>
            <w:tcW w:w="1524" w:type="dxa"/>
            <w:tcBorders>
              <w:top w:val="nil"/>
              <w:left w:val="nil"/>
              <w:bottom w:val="single" w:sz="4" w:space="0" w:color="auto"/>
              <w:right w:val="single" w:sz="4" w:space="0" w:color="auto"/>
            </w:tcBorders>
            <w:shd w:val="clear" w:color="auto" w:fill="auto"/>
            <w:noWrap/>
            <w:vAlign w:val="center"/>
            <w:hideMark/>
          </w:tcPr>
          <w:p w14:paraId="56E6E936"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679</w:t>
            </w:r>
          </w:p>
        </w:tc>
        <w:tc>
          <w:tcPr>
            <w:tcW w:w="798" w:type="dxa"/>
            <w:tcBorders>
              <w:top w:val="nil"/>
              <w:left w:val="nil"/>
              <w:bottom w:val="single" w:sz="4" w:space="0" w:color="auto"/>
              <w:right w:val="single" w:sz="4" w:space="0" w:color="auto"/>
            </w:tcBorders>
            <w:shd w:val="clear" w:color="auto" w:fill="auto"/>
            <w:noWrap/>
            <w:vAlign w:val="center"/>
            <w:hideMark/>
          </w:tcPr>
          <w:p w14:paraId="738D9840"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2.318</w:t>
            </w:r>
          </w:p>
        </w:tc>
        <w:tc>
          <w:tcPr>
            <w:tcW w:w="799" w:type="dxa"/>
            <w:tcBorders>
              <w:top w:val="nil"/>
              <w:left w:val="nil"/>
              <w:bottom w:val="single" w:sz="4" w:space="0" w:color="auto"/>
              <w:right w:val="single" w:sz="4" w:space="0" w:color="auto"/>
            </w:tcBorders>
            <w:shd w:val="clear" w:color="auto" w:fill="auto"/>
            <w:noWrap/>
            <w:vAlign w:val="center"/>
            <w:hideMark/>
          </w:tcPr>
          <w:p w14:paraId="1A16D513" w14:textId="77777777" w:rsidR="00EC3804" w:rsidRPr="00321B46" w:rsidRDefault="00EC3804" w:rsidP="00B0187D">
            <w:pPr>
              <w:spacing w:before="0" w:after="0"/>
              <w:ind w:right="-118"/>
              <w:jc w:val="center"/>
              <w:rPr>
                <w:color w:val="000000"/>
                <w:sz w:val="16"/>
                <w:szCs w:val="16"/>
                <w:lang w:val="es-CO" w:eastAsia="es-CO"/>
              </w:rPr>
            </w:pPr>
            <w:r w:rsidRPr="00321B46">
              <w:rPr>
                <w:color w:val="000000"/>
                <w:sz w:val="16"/>
                <w:szCs w:val="16"/>
                <w:lang w:val="es-CO" w:eastAsia="es-CO"/>
              </w:rPr>
              <w:t>3.227</w:t>
            </w:r>
          </w:p>
        </w:tc>
        <w:tc>
          <w:tcPr>
            <w:tcW w:w="799" w:type="dxa"/>
            <w:tcBorders>
              <w:top w:val="nil"/>
              <w:left w:val="nil"/>
              <w:bottom w:val="single" w:sz="4" w:space="0" w:color="auto"/>
              <w:right w:val="single" w:sz="4" w:space="0" w:color="auto"/>
            </w:tcBorders>
            <w:shd w:val="clear" w:color="auto" w:fill="auto"/>
            <w:noWrap/>
            <w:vAlign w:val="center"/>
            <w:hideMark/>
          </w:tcPr>
          <w:p w14:paraId="78F8FD42"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3.598</w:t>
            </w:r>
          </w:p>
        </w:tc>
        <w:tc>
          <w:tcPr>
            <w:tcW w:w="799" w:type="dxa"/>
            <w:tcBorders>
              <w:top w:val="nil"/>
              <w:left w:val="nil"/>
              <w:bottom w:val="single" w:sz="4" w:space="0" w:color="auto"/>
              <w:right w:val="single" w:sz="4" w:space="0" w:color="auto"/>
            </w:tcBorders>
            <w:shd w:val="clear" w:color="auto" w:fill="auto"/>
            <w:noWrap/>
            <w:vAlign w:val="center"/>
            <w:hideMark/>
          </w:tcPr>
          <w:p w14:paraId="0318D87F"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4.507</w:t>
            </w:r>
          </w:p>
        </w:tc>
      </w:tr>
      <w:tr w:rsidR="00EC3804" w:rsidRPr="00321B46" w14:paraId="1B349A11" w14:textId="77777777" w:rsidTr="00B0187D">
        <w:trPr>
          <w:trHeight w:val="240"/>
          <w:jc w:val="center"/>
        </w:trPr>
        <w:tc>
          <w:tcPr>
            <w:tcW w:w="1721" w:type="dxa"/>
            <w:tcBorders>
              <w:top w:val="nil"/>
              <w:left w:val="single" w:sz="4" w:space="0" w:color="auto"/>
              <w:bottom w:val="single" w:sz="4" w:space="0" w:color="auto"/>
              <w:right w:val="single" w:sz="4" w:space="0" w:color="auto"/>
            </w:tcBorders>
            <w:shd w:val="clear" w:color="auto" w:fill="auto"/>
            <w:noWrap/>
            <w:vAlign w:val="center"/>
            <w:hideMark/>
          </w:tcPr>
          <w:p w14:paraId="1AA8D13A"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Anillo (AN)</w:t>
            </w:r>
          </w:p>
        </w:tc>
        <w:tc>
          <w:tcPr>
            <w:tcW w:w="680" w:type="dxa"/>
            <w:tcBorders>
              <w:top w:val="nil"/>
              <w:left w:val="nil"/>
              <w:bottom w:val="single" w:sz="4" w:space="0" w:color="auto"/>
              <w:right w:val="single" w:sz="4" w:space="0" w:color="auto"/>
            </w:tcBorders>
            <w:shd w:val="clear" w:color="auto" w:fill="auto"/>
            <w:noWrap/>
            <w:vAlign w:val="center"/>
            <w:hideMark/>
          </w:tcPr>
          <w:p w14:paraId="596F66F9"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640</w:t>
            </w:r>
          </w:p>
        </w:tc>
        <w:tc>
          <w:tcPr>
            <w:tcW w:w="1471" w:type="dxa"/>
            <w:tcBorders>
              <w:top w:val="nil"/>
              <w:left w:val="nil"/>
              <w:bottom w:val="single" w:sz="4" w:space="0" w:color="auto"/>
              <w:right w:val="single" w:sz="4" w:space="0" w:color="auto"/>
            </w:tcBorders>
            <w:shd w:val="clear" w:color="auto" w:fill="auto"/>
            <w:noWrap/>
            <w:vAlign w:val="center"/>
            <w:hideMark/>
          </w:tcPr>
          <w:p w14:paraId="21CE548C"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840</w:t>
            </w:r>
          </w:p>
        </w:tc>
        <w:tc>
          <w:tcPr>
            <w:tcW w:w="1524" w:type="dxa"/>
            <w:tcBorders>
              <w:top w:val="nil"/>
              <w:left w:val="nil"/>
              <w:bottom w:val="single" w:sz="4" w:space="0" w:color="auto"/>
              <w:right w:val="single" w:sz="4" w:space="0" w:color="auto"/>
            </w:tcBorders>
            <w:shd w:val="clear" w:color="auto" w:fill="auto"/>
            <w:noWrap/>
            <w:vAlign w:val="center"/>
            <w:hideMark/>
          </w:tcPr>
          <w:p w14:paraId="038E3C88" w14:textId="77777777" w:rsidR="00EC3804" w:rsidRPr="00321B46" w:rsidRDefault="00EC3804" w:rsidP="00B0187D">
            <w:pPr>
              <w:spacing w:before="0" w:after="0"/>
              <w:jc w:val="center"/>
              <w:rPr>
                <w:color w:val="000000"/>
                <w:sz w:val="16"/>
                <w:szCs w:val="16"/>
                <w:lang w:val="es-CO" w:eastAsia="es-CO"/>
              </w:rPr>
            </w:pPr>
          </w:p>
        </w:tc>
        <w:tc>
          <w:tcPr>
            <w:tcW w:w="798" w:type="dxa"/>
            <w:tcBorders>
              <w:top w:val="nil"/>
              <w:left w:val="nil"/>
              <w:bottom w:val="single" w:sz="4" w:space="0" w:color="auto"/>
              <w:right w:val="single" w:sz="4" w:space="0" w:color="auto"/>
            </w:tcBorders>
            <w:shd w:val="clear" w:color="auto" w:fill="auto"/>
            <w:noWrap/>
            <w:vAlign w:val="center"/>
            <w:hideMark/>
          </w:tcPr>
          <w:p w14:paraId="02B4CD54"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2.270</w:t>
            </w:r>
          </w:p>
        </w:tc>
        <w:tc>
          <w:tcPr>
            <w:tcW w:w="799" w:type="dxa"/>
            <w:tcBorders>
              <w:top w:val="nil"/>
              <w:left w:val="nil"/>
              <w:bottom w:val="single" w:sz="4" w:space="0" w:color="auto"/>
              <w:right w:val="single" w:sz="4" w:space="0" w:color="auto"/>
            </w:tcBorders>
            <w:shd w:val="clear" w:color="auto" w:fill="auto"/>
            <w:noWrap/>
            <w:vAlign w:val="center"/>
            <w:hideMark/>
          </w:tcPr>
          <w:p w14:paraId="6D35D186" w14:textId="77777777" w:rsidR="00EC3804" w:rsidRPr="00321B46" w:rsidRDefault="00EC3804" w:rsidP="00B0187D">
            <w:pPr>
              <w:spacing w:before="0" w:after="0"/>
              <w:ind w:right="-118"/>
              <w:jc w:val="center"/>
              <w:rPr>
                <w:color w:val="000000"/>
                <w:sz w:val="16"/>
                <w:szCs w:val="16"/>
                <w:lang w:val="es-CO" w:eastAsia="es-CO"/>
              </w:rPr>
            </w:pPr>
            <w:r w:rsidRPr="00321B46">
              <w:rPr>
                <w:color w:val="000000"/>
                <w:sz w:val="16"/>
                <w:szCs w:val="16"/>
                <w:lang w:val="es-CO" w:eastAsia="es-CO"/>
              </w:rPr>
              <w:t>3.342</w:t>
            </w:r>
          </w:p>
        </w:tc>
        <w:tc>
          <w:tcPr>
            <w:tcW w:w="799" w:type="dxa"/>
            <w:tcBorders>
              <w:top w:val="nil"/>
              <w:left w:val="nil"/>
              <w:bottom w:val="single" w:sz="4" w:space="0" w:color="auto"/>
              <w:right w:val="single" w:sz="4" w:space="0" w:color="auto"/>
            </w:tcBorders>
            <w:shd w:val="clear" w:color="auto" w:fill="auto"/>
            <w:noWrap/>
            <w:vAlign w:val="center"/>
            <w:hideMark/>
          </w:tcPr>
          <w:p w14:paraId="44B402DC"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3.550</w:t>
            </w:r>
          </w:p>
        </w:tc>
        <w:tc>
          <w:tcPr>
            <w:tcW w:w="799" w:type="dxa"/>
            <w:tcBorders>
              <w:top w:val="nil"/>
              <w:left w:val="nil"/>
              <w:bottom w:val="single" w:sz="4" w:space="0" w:color="auto"/>
              <w:right w:val="single" w:sz="4" w:space="0" w:color="auto"/>
            </w:tcBorders>
            <w:shd w:val="clear" w:color="auto" w:fill="auto"/>
            <w:noWrap/>
            <w:vAlign w:val="center"/>
            <w:hideMark/>
          </w:tcPr>
          <w:p w14:paraId="48DE822B" w14:textId="77777777" w:rsidR="00EC3804" w:rsidRPr="00321B46" w:rsidRDefault="00EC3804" w:rsidP="00B0187D">
            <w:pPr>
              <w:spacing w:before="0" w:after="0"/>
              <w:jc w:val="right"/>
              <w:rPr>
                <w:color w:val="000000"/>
                <w:sz w:val="16"/>
                <w:szCs w:val="16"/>
                <w:lang w:val="es-CO" w:eastAsia="es-CO"/>
              </w:rPr>
            </w:pPr>
            <w:r w:rsidRPr="00321B46">
              <w:rPr>
                <w:color w:val="000000"/>
                <w:sz w:val="16"/>
                <w:szCs w:val="16"/>
                <w:lang w:val="es-CO" w:eastAsia="es-CO"/>
              </w:rPr>
              <w:t>4.622</w:t>
            </w:r>
          </w:p>
        </w:tc>
      </w:tr>
    </w:tbl>
    <w:p w14:paraId="4C074DF9" w14:textId="2B313C7B" w:rsidR="00EC3804" w:rsidRPr="00321B46" w:rsidRDefault="00BE0E49" w:rsidP="003448EC">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17</w:t>
      </w:r>
      <w:r w:rsidRPr="00321B46">
        <w:fldChar w:fldCharType="end"/>
      </w:r>
      <w:r w:rsidRPr="00321B46">
        <w:t>.</w:t>
      </w:r>
      <w:r w:rsidR="00EC3804" w:rsidRPr="00321B46">
        <w:t xml:space="preserve">  Subestaciones encapsuladas 230 kV</w:t>
      </w:r>
    </w:p>
    <w:tbl>
      <w:tblPr>
        <w:tblW w:w="7213" w:type="dxa"/>
        <w:jc w:val="center"/>
        <w:tblCellMar>
          <w:left w:w="70" w:type="dxa"/>
          <w:right w:w="70" w:type="dxa"/>
        </w:tblCellMar>
        <w:tblLook w:val="04A0" w:firstRow="1" w:lastRow="0" w:firstColumn="1" w:lastColumn="0" w:noHBand="0" w:noVBand="1"/>
      </w:tblPr>
      <w:tblGrid>
        <w:gridCol w:w="2154"/>
        <w:gridCol w:w="975"/>
        <w:gridCol w:w="1471"/>
        <w:gridCol w:w="1721"/>
        <w:gridCol w:w="892"/>
      </w:tblGrid>
      <w:tr w:rsidR="00EC3804" w:rsidRPr="00321B46" w14:paraId="69D21FB8" w14:textId="77777777" w:rsidTr="00B0187D">
        <w:trPr>
          <w:trHeight w:val="794"/>
          <w:jc w:val="center"/>
        </w:trPr>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73474" w14:textId="77777777" w:rsidR="00EC3804" w:rsidRPr="00321B46" w:rsidRDefault="00EC3804" w:rsidP="00B0187D">
            <w:pPr>
              <w:spacing w:before="0" w:after="0"/>
              <w:jc w:val="center"/>
              <w:rPr>
                <w:sz w:val="14"/>
                <w:szCs w:val="14"/>
                <w:lang w:val="es-CO" w:eastAsia="es-CO"/>
              </w:rPr>
            </w:pPr>
            <w:r w:rsidRPr="00321B46">
              <w:rPr>
                <w:sz w:val="14"/>
                <w:szCs w:val="14"/>
                <w:lang w:val="es-CO" w:eastAsia="es-CO"/>
              </w:rPr>
              <w:t>CONFIGURACIÓN</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79B42EAA" w14:textId="77777777" w:rsidR="00EC3804" w:rsidRPr="00321B46" w:rsidRDefault="00EC3804" w:rsidP="00B0187D">
            <w:pPr>
              <w:spacing w:before="0" w:after="0"/>
              <w:jc w:val="center"/>
              <w:rPr>
                <w:sz w:val="14"/>
                <w:szCs w:val="14"/>
                <w:lang w:val="es-CO" w:eastAsia="es-CO"/>
              </w:rPr>
            </w:pPr>
            <w:r w:rsidRPr="00321B46">
              <w:rPr>
                <w:sz w:val="14"/>
                <w:szCs w:val="14"/>
                <w:lang w:val="es-CO" w:eastAsia="es-CO"/>
              </w:rPr>
              <w:t xml:space="preserve">BAHÍA DE LÍNEA </w:t>
            </w:r>
            <w:r w:rsidRPr="00321B46">
              <w:rPr>
                <w:sz w:val="14"/>
                <w:szCs w:val="14"/>
                <w:lang w:val="es-CO" w:eastAsia="es-CO"/>
              </w:rPr>
              <w:br/>
              <w:t>[m</w:t>
            </w:r>
            <w:r w:rsidRPr="00321B46">
              <w:rPr>
                <w:sz w:val="14"/>
                <w:szCs w:val="14"/>
                <w:vertAlign w:val="superscript"/>
                <w:lang w:val="es-CO" w:eastAsia="es-CO"/>
              </w:rPr>
              <w:t>2</w:t>
            </w:r>
            <w:r w:rsidRPr="00321B46">
              <w:rPr>
                <w:sz w:val="14"/>
                <w:szCs w:val="14"/>
                <w:lang w:val="es-CO" w:eastAsia="es-CO"/>
              </w:rPr>
              <w:t>]</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106F1883" w14:textId="77777777" w:rsidR="00EC3804" w:rsidRPr="00321B46" w:rsidRDefault="00EC3804" w:rsidP="00B0187D">
            <w:pPr>
              <w:spacing w:before="0" w:after="0"/>
              <w:jc w:val="center"/>
              <w:rPr>
                <w:sz w:val="14"/>
                <w:szCs w:val="14"/>
                <w:lang w:val="es-CO" w:eastAsia="es-CO"/>
              </w:rPr>
            </w:pPr>
            <w:r w:rsidRPr="00321B46">
              <w:rPr>
                <w:sz w:val="14"/>
                <w:szCs w:val="14"/>
                <w:lang w:val="es-CO" w:eastAsia="es-CO"/>
              </w:rPr>
              <w:t>BAHÍA TRANSFORMADOR [m</w:t>
            </w:r>
            <w:r w:rsidRPr="00321B46">
              <w:rPr>
                <w:sz w:val="14"/>
                <w:szCs w:val="14"/>
                <w:vertAlign w:val="superscript"/>
                <w:lang w:val="es-CO" w:eastAsia="es-CO"/>
              </w:rPr>
              <w:t>2</w:t>
            </w:r>
            <w:r w:rsidRPr="00321B46">
              <w:rPr>
                <w:sz w:val="14"/>
                <w:szCs w:val="14"/>
                <w:lang w:val="es-CO" w:eastAsia="es-CO"/>
              </w:rPr>
              <w:t>]</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14:paraId="110C0AAC" w14:textId="77777777" w:rsidR="00EC3804" w:rsidRPr="00321B46" w:rsidRDefault="00EC3804" w:rsidP="00B0187D">
            <w:pPr>
              <w:spacing w:before="0" w:after="0"/>
              <w:jc w:val="center"/>
              <w:rPr>
                <w:color w:val="000000"/>
                <w:sz w:val="14"/>
                <w:szCs w:val="14"/>
                <w:lang w:val="es-CO" w:eastAsia="es-CO"/>
              </w:rPr>
            </w:pPr>
            <w:r w:rsidRPr="00321B46">
              <w:rPr>
                <w:color w:val="000000"/>
                <w:sz w:val="14"/>
                <w:szCs w:val="14"/>
                <w:lang w:val="es-CO" w:eastAsia="es-CO"/>
              </w:rPr>
              <w:t>BAHÍA DE ACOPLE, SECCIONAMIENTO, TRANSFERENCIA O CORTE</w:t>
            </w:r>
            <w:r w:rsidRPr="00321B46">
              <w:rPr>
                <w:color w:val="000000"/>
                <w:sz w:val="14"/>
                <w:szCs w:val="14"/>
                <w:lang w:val="es-CO" w:eastAsia="es-CO"/>
              </w:rPr>
              <w:br/>
              <w:t xml:space="preserve"> [m</w:t>
            </w:r>
            <w:r w:rsidRPr="00321B46">
              <w:rPr>
                <w:color w:val="000000"/>
                <w:sz w:val="14"/>
                <w:szCs w:val="14"/>
                <w:vertAlign w:val="superscript"/>
                <w:lang w:val="es-CO" w:eastAsia="es-CO"/>
              </w:rPr>
              <w:t>2</w:t>
            </w:r>
            <w:r w:rsidRPr="00321B46">
              <w:rPr>
                <w:color w:val="000000"/>
                <w:sz w:val="14"/>
                <w:szCs w:val="14"/>
                <w:lang w:val="es-CO" w:eastAsia="es-CO"/>
              </w:rPr>
              <w:t>]</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6021AFD" w14:textId="77777777" w:rsidR="00EC3804" w:rsidRPr="00321B46" w:rsidRDefault="00EC3804" w:rsidP="00B0187D">
            <w:pPr>
              <w:spacing w:before="0" w:after="0"/>
              <w:jc w:val="center"/>
              <w:rPr>
                <w:color w:val="000000"/>
                <w:sz w:val="14"/>
                <w:szCs w:val="14"/>
                <w:lang w:val="es-CO" w:eastAsia="es-CO"/>
              </w:rPr>
            </w:pPr>
            <w:r w:rsidRPr="00321B46">
              <w:rPr>
                <w:color w:val="000000"/>
                <w:sz w:val="14"/>
                <w:szCs w:val="14"/>
                <w:lang w:val="es-CO" w:eastAsia="es-CO"/>
              </w:rPr>
              <w:t>MÓDULO COMÚN TIPO 1 </w:t>
            </w:r>
            <w:r w:rsidRPr="00321B46">
              <w:rPr>
                <w:color w:val="000000"/>
                <w:sz w:val="14"/>
                <w:szCs w:val="14"/>
                <w:lang w:val="es-CO" w:eastAsia="es-CO"/>
              </w:rPr>
              <w:br/>
              <w:t>[m</w:t>
            </w:r>
            <w:r w:rsidRPr="00321B46">
              <w:rPr>
                <w:color w:val="000000"/>
                <w:sz w:val="14"/>
                <w:szCs w:val="14"/>
                <w:vertAlign w:val="superscript"/>
                <w:lang w:val="es-CO" w:eastAsia="es-CO"/>
              </w:rPr>
              <w:t>2</w:t>
            </w:r>
            <w:r w:rsidRPr="00321B46">
              <w:rPr>
                <w:color w:val="000000"/>
                <w:sz w:val="14"/>
                <w:szCs w:val="14"/>
                <w:lang w:val="es-CO" w:eastAsia="es-CO"/>
              </w:rPr>
              <w:t>]</w:t>
            </w:r>
          </w:p>
        </w:tc>
      </w:tr>
      <w:tr w:rsidR="00EC3804" w:rsidRPr="00321B46" w14:paraId="5FF19A95" w14:textId="77777777" w:rsidTr="00B0187D">
        <w:trPr>
          <w:trHeight w:val="240"/>
          <w:jc w:val="center"/>
        </w:trPr>
        <w:tc>
          <w:tcPr>
            <w:tcW w:w="2154" w:type="dxa"/>
            <w:tcBorders>
              <w:top w:val="nil"/>
              <w:left w:val="single" w:sz="4" w:space="0" w:color="auto"/>
              <w:bottom w:val="single" w:sz="4" w:space="0" w:color="auto"/>
              <w:right w:val="single" w:sz="4" w:space="0" w:color="auto"/>
            </w:tcBorders>
            <w:shd w:val="clear" w:color="auto" w:fill="auto"/>
            <w:noWrap/>
            <w:vAlign w:val="center"/>
            <w:hideMark/>
          </w:tcPr>
          <w:p w14:paraId="3D17BE72"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Barra Sencilla (BS)</w:t>
            </w:r>
          </w:p>
        </w:tc>
        <w:tc>
          <w:tcPr>
            <w:tcW w:w="975" w:type="dxa"/>
            <w:tcBorders>
              <w:top w:val="nil"/>
              <w:left w:val="nil"/>
              <w:bottom w:val="single" w:sz="4" w:space="0" w:color="auto"/>
              <w:right w:val="single" w:sz="4" w:space="0" w:color="auto"/>
            </w:tcBorders>
            <w:shd w:val="clear" w:color="auto" w:fill="auto"/>
            <w:noWrap/>
            <w:vAlign w:val="center"/>
            <w:hideMark/>
          </w:tcPr>
          <w:p w14:paraId="52F1E4C5"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120</w:t>
            </w:r>
          </w:p>
        </w:tc>
        <w:tc>
          <w:tcPr>
            <w:tcW w:w="1471" w:type="dxa"/>
            <w:tcBorders>
              <w:top w:val="nil"/>
              <w:left w:val="nil"/>
              <w:bottom w:val="single" w:sz="4" w:space="0" w:color="auto"/>
              <w:right w:val="single" w:sz="4" w:space="0" w:color="auto"/>
            </w:tcBorders>
            <w:shd w:val="clear" w:color="auto" w:fill="auto"/>
            <w:noWrap/>
            <w:vAlign w:val="center"/>
            <w:hideMark/>
          </w:tcPr>
          <w:p w14:paraId="24E22CBD"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48</w:t>
            </w:r>
          </w:p>
        </w:tc>
        <w:tc>
          <w:tcPr>
            <w:tcW w:w="1721" w:type="dxa"/>
            <w:tcBorders>
              <w:top w:val="nil"/>
              <w:left w:val="nil"/>
              <w:bottom w:val="single" w:sz="4" w:space="0" w:color="auto"/>
              <w:right w:val="single" w:sz="4" w:space="0" w:color="auto"/>
            </w:tcBorders>
            <w:shd w:val="clear" w:color="auto" w:fill="auto"/>
            <w:noWrap/>
            <w:vAlign w:val="center"/>
            <w:hideMark/>
          </w:tcPr>
          <w:p w14:paraId="13DB19F7" w14:textId="77777777" w:rsidR="00EC3804" w:rsidRPr="00321B46" w:rsidRDefault="00EC3804" w:rsidP="00B0187D">
            <w:pPr>
              <w:spacing w:before="0" w:after="0"/>
              <w:jc w:val="center"/>
              <w:rPr>
                <w:color w:val="000000"/>
                <w:sz w:val="16"/>
                <w:szCs w:val="16"/>
                <w:lang w:val="es-CO" w:eastAsia="es-CO"/>
              </w:rPr>
            </w:pPr>
          </w:p>
        </w:tc>
        <w:tc>
          <w:tcPr>
            <w:tcW w:w="892" w:type="dxa"/>
            <w:tcBorders>
              <w:top w:val="nil"/>
              <w:left w:val="nil"/>
              <w:bottom w:val="single" w:sz="4" w:space="0" w:color="auto"/>
              <w:right w:val="single" w:sz="4" w:space="0" w:color="auto"/>
            </w:tcBorders>
            <w:shd w:val="clear" w:color="auto" w:fill="auto"/>
            <w:noWrap/>
            <w:vAlign w:val="center"/>
            <w:hideMark/>
          </w:tcPr>
          <w:p w14:paraId="577FE143"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305</w:t>
            </w:r>
          </w:p>
        </w:tc>
      </w:tr>
      <w:tr w:rsidR="00EC3804" w:rsidRPr="00321B46" w14:paraId="7325184B" w14:textId="77777777" w:rsidTr="00B0187D">
        <w:trPr>
          <w:trHeight w:val="240"/>
          <w:jc w:val="center"/>
        </w:trPr>
        <w:tc>
          <w:tcPr>
            <w:tcW w:w="2154" w:type="dxa"/>
            <w:tcBorders>
              <w:top w:val="nil"/>
              <w:left w:val="single" w:sz="4" w:space="0" w:color="auto"/>
              <w:bottom w:val="single" w:sz="4" w:space="0" w:color="auto"/>
              <w:right w:val="single" w:sz="4" w:space="0" w:color="auto"/>
            </w:tcBorders>
            <w:shd w:val="clear" w:color="auto" w:fill="auto"/>
            <w:noWrap/>
            <w:vAlign w:val="center"/>
            <w:hideMark/>
          </w:tcPr>
          <w:p w14:paraId="52C43EC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Doble Barra (DB)</w:t>
            </w:r>
          </w:p>
        </w:tc>
        <w:tc>
          <w:tcPr>
            <w:tcW w:w="975" w:type="dxa"/>
            <w:tcBorders>
              <w:top w:val="nil"/>
              <w:left w:val="nil"/>
              <w:bottom w:val="single" w:sz="4" w:space="0" w:color="auto"/>
              <w:right w:val="single" w:sz="4" w:space="0" w:color="auto"/>
            </w:tcBorders>
            <w:shd w:val="clear" w:color="auto" w:fill="auto"/>
            <w:noWrap/>
            <w:vAlign w:val="center"/>
            <w:hideMark/>
          </w:tcPr>
          <w:p w14:paraId="4DA8A99D"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160</w:t>
            </w:r>
          </w:p>
        </w:tc>
        <w:tc>
          <w:tcPr>
            <w:tcW w:w="1471" w:type="dxa"/>
            <w:tcBorders>
              <w:top w:val="nil"/>
              <w:left w:val="nil"/>
              <w:bottom w:val="single" w:sz="4" w:space="0" w:color="auto"/>
              <w:right w:val="single" w:sz="4" w:space="0" w:color="auto"/>
            </w:tcBorders>
            <w:shd w:val="clear" w:color="auto" w:fill="auto"/>
            <w:noWrap/>
            <w:vAlign w:val="center"/>
            <w:hideMark/>
          </w:tcPr>
          <w:p w14:paraId="5A7FBFA7"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80</w:t>
            </w:r>
          </w:p>
        </w:tc>
        <w:tc>
          <w:tcPr>
            <w:tcW w:w="1721" w:type="dxa"/>
            <w:tcBorders>
              <w:top w:val="nil"/>
              <w:left w:val="nil"/>
              <w:bottom w:val="single" w:sz="4" w:space="0" w:color="auto"/>
              <w:right w:val="single" w:sz="4" w:space="0" w:color="auto"/>
            </w:tcBorders>
            <w:shd w:val="clear" w:color="auto" w:fill="auto"/>
            <w:noWrap/>
            <w:vAlign w:val="center"/>
            <w:hideMark/>
          </w:tcPr>
          <w:p w14:paraId="71E85EC7"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80</w:t>
            </w:r>
          </w:p>
        </w:tc>
        <w:tc>
          <w:tcPr>
            <w:tcW w:w="892" w:type="dxa"/>
            <w:tcBorders>
              <w:top w:val="nil"/>
              <w:left w:val="nil"/>
              <w:bottom w:val="single" w:sz="4" w:space="0" w:color="auto"/>
              <w:right w:val="single" w:sz="4" w:space="0" w:color="auto"/>
            </w:tcBorders>
            <w:shd w:val="clear" w:color="auto" w:fill="auto"/>
            <w:noWrap/>
            <w:vAlign w:val="center"/>
            <w:hideMark/>
          </w:tcPr>
          <w:p w14:paraId="7A88F4D2"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900</w:t>
            </w:r>
          </w:p>
        </w:tc>
      </w:tr>
      <w:tr w:rsidR="00EC3804" w:rsidRPr="00321B46" w14:paraId="2CD89261" w14:textId="77777777" w:rsidTr="00B0187D">
        <w:trPr>
          <w:trHeight w:val="240"/>
          <w:jc w:val="center"/>
        </w:trPr>
        <w:tc>
          <w:tcPr>
            <w:tcW w:w="2154" w:type="dxa"/>
            <w:tcBorders>
              <w:top w:val="nil"/>
              <w:left w:val="single" w:sz="4" w:space="0" w:color="auto"/>
              <w:bottom w:val="single" w:sz="4" w:space="0" w:color="auto"/>
              <w:right w:val="single" w:sz="4" w:space="0" w:color="auto"/>
            </w:tcBorders>
            <w:shd w:val="clear" w:color="auto" w:fill="auto"/>
            <w:noWrap/>
            <w:vAlign w:val="center"/>
            <w:hideMark/>
          </w:tcPr>
          <w:p w14:paraId="7121E6C3" w14:textId="77777777" w:rsidR="00EC3804" w:rsidRPr="00321B46" w:rsidRDefault="00EC3804" w:rsidP="00B0187D">
            <w:pPr>
              <w:spacing w:before="0" w:after="0"/>
              <w:jc w:val="left"/>
              <w:rPr>
                <w:color w:val="000000"/>
                <w:sz w:val="16"/>
                <w:szCs w:val="16"/>
                <w:lang w:val="es-CO" w:eastAsia="es-CO"/>
              </w:rPr>
            </w:pPr>
            <w:r w:rsidRPr="00321B46">
              <w:rPr>
                <w:color w:val="000000"/>
                <w:sz w:val="16"/>
                <w:szCs w:val="16"/>
                <w:lang w:val="es-CO" w:eastAsia="es-CO"/>
              </w:rPr>
              <w:t>Doble Barra más Transferencia (DBT)</w:t>
            </w:r>
          </w:p>
        </w:tc>
        <w:tc>
          <w:tcPr>
            <w:tcW w:w="975" w:type="dxa"/>
            <w:tcBorders>
              <w:top w:val="nil"/>
              <w:left w:val="nil"/>
              <w:bottom w:val="single" w:sz="4" w:space="0" w:color="auto"/>
              <w:right w:val="single" w:sz="4" w:space="0" w:color="auto"/>
            </w:tcBorders>
            <w:shd w:val="clear" w:color="auto" w:fill="auto"/>
            <w:noWrap/>
            <w:vAlign w:val="center"/>
            <w:hideMark/>
          </w:tcPr>
          <w:p w14:paraId="3C9EA7DF"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160</w:t>
            </w:r>
          </w:p>
        </w:tc>
        <w:tc>
          <w:tcPr>
            <w:tcW w:w="1471" w:type="dxa"/>
            <w:tcBorders>
              <w:top w:val="nil"/>
              <w:left w:val="nil"/>
              <w:bottom w:val="single" w:sz="4" w:space="0" w:color="auto"/>
              <w:right w:val="single" w:sz="4" w:space="0" w:color="auto"/>
            </w:tcBorders>
            <w:shd w:val="clear" w:color="auto" w:fill="auto"/>
            <w:noWrap/>
            <w:vAlign w:val="center"/>
            <w:hideMark/>
          </w:tcPr>
          <w:p w14:paraId="2D9AF88B"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80</w:t>
            </w:r>
          </w:p>
        </w:tc>
        <w:tc>
          <w:tcPr>
            <w:tcW w:w="1721" w:type="dxa"/>
            <w:tcBorders>
              <w:top w:val="nil"/>
              <w:left w:val="nil"/>
              <w:bottom w:val="single" w:sz="4" w:space="0" w:color="auto"/>
              <w:right w:val="single" w:sz="4" w:space="0" w:color="auto"/>
            </w:tcBorders>
            <w:shd w:val="clear" w:color="auto" w:fill="auto"/>
            <w:noWrap/>
            <w:vAlign w:val="center"/>
            <w:hideMark/>
          </w:tcPr>
          <w:p w14:paraId="2D3DC0DE"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80</w:t>
            </w:r>
          </w:p>
        </w:tc>
        <w:tc>
          <w:tcPr>
            <w:tcW w:w="892" w:type="dxa"/>
            <w:tcBorders>
              <w:top w:val="nil"/>
              <w:left w:val="nil"/>
              <w:bottom w:val="single" w:sz="4" w:space="0" w:color="auto"/>
              <w:right w:val="single" w:sz="4" w:space="0" w:color="auto"/>
            </w:tcBorders>
            <w:shd w:val="clear" w:color="auto" w:fill="auto"/>
            <w:noWrap/>
            <w:vAlign w:val="center"/>
            <w:hideMark/>
          </w:tcPr>
          <w:p w14:paraId="351CCC5B" w14:textId="77777777" w:rsidR="00EC3804" w:rsidRPr="00321B46" w:rsidRDefault="00EC3804" w:rsidP="00B0187D">
            <w:pPr>
              <w:spacing w:before="0" w:after="0"/>
              <w:jc w:val="center"/>
              <w:rPr>
                <w:color w:val="000000"/>
                <w:sz w:val="16"/>
                <w:szCs w:val="16"/>
                <w:lang w:val="es-CO" w:eastAsia="es-CO"/>
              </w:rPr>
            </w:pPr>
            <w:r w:rsidRPr="00321B46">
              <w:rPr>
                <w:color w:val="000000"/>
                <w:sz w:val="16"/>
                <w:szCs w:val="16"/>
                <w:lang w:val="es-CO" w:eastAsia="es-CO"/>
              </w:rPr>
              <w:t>900</w:t>
            </w:r>
          </w:p>
        </w:tc>
      </w:tr>
    </w:tbl>
    <w:p w14:paraId="0B746C7B" w14:textId="2058F368" w:rsidR="00EC3804" w:rsidRPr="00321B46" w:rsidRDefault="00BE0E49" w:rsidP="003448EC">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18</w:t>
      </w:r>
      <w:r w:rsidRPr="00321B46">
        <w:fldChar w:fldCharType="end"/>
      </w:r>
      <w:r w:rsidRPr="00321B46">
        <w:t>.</w:t>
      </w:r>
      <w:r w:rsidR="00EC3804" w:rsidRPr="00321B46">
        <w:t xml:space="preserve">  Componente para el edificio de control de las subestaciones</w:t>
      </w:r>
    </w:p>
    <w:tbl>
      <w:tblPr>
        <w:tblW w:w="5367" w:type="dxa"/>
        <w:jc w:val="center"/>
        <w:tblCellMar>
          <w:left w:w="70" w:type="dxa"/>
          <w:right w:w="70" w:type="dxa"/>
        </w:tblCellMar>
        <w:tblLook w:val="04A0" w:firstRow="1" w:lastRow="0" w:firstColumn="1" w:lastColumn="0" w:noHBand="0" w:noVBand="1"/>
      </w:tblPr>
      <w:tblGrid>
        <w:gridCol w:w="3268"/>
        <w:gridCol w:w="2099"/>
      </w:tblGrid>
      <w:tr w:rsidR="00EC3804" w:rsidRPr="00321B46" w14:paraId="41C47B5E" w14:textId="77777777" w:rsidTr="00B0187D">
        <w:trPr>
          <w:trHeight w:val="624"/>
          <w:tblHeader/>
          <w:jc w:val="center"/>
        </w:trPr>
        <w:tc>
          <w:tcPr>
            <w:tcW w:w="3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26AFA" w14:textId="77777777" w:rsidR="00EC3804" w:rsidRPr="00321B46" w:rsidRDefault="00EC3804" w:rsidP="00B0187D">
            <w:pPr>
              <w:spacing w:before="0" w:after="0"/>
              <w:contextualSpacing/>
              <w:jc w:val="center"/>
              <w:rPr>
                <w:rFonts w:cs="Arial"/>
                <w:sz w:val="18"/>
                <w:szCs w:val="16"/>
                <w:lang w:val="es-CO" w:eastAsia="es-CO"/>
              </w:rPr>
            </w:pPr>
            <w:r w:rsidRPr="00321B46">
              <w:rPr>
                <w:rFonts w:cs="Arial"/>
                <w:sz w:val="18"/>
                <w:szCs w:val="16"/>
                <w:lang w:val="es-CO" w:eastAsia="es-CO"/>
              </w:rPr>
              <w:t>ÍTEM</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14:paraId="1C7EA674" w14:textId="77777777" w:rsidR="00EC3804" w:rsidRPr="00321B46" w:rsidRDefault="00EC3804" w:rsidP="00B0187D">
            <w:pPr>
              <w:spacing w:before="0" w:after="0"/>
              <w:contextualSpacing/>
              <w:jc w:val="center"/>
              <w:rPr>
                <w:rFonts w:cs="Arial"/>
                <w:sz w:val="18"/>
                <w:szCs w:val="16"/>
                <w:lang w:val="es-CO" w:eastAsia="es-CO"/>
              </w:rPr>
            </w:pPr>
            <w:r w:rsidRPr="00321B46">
              <w:rPr>
                <w:rFonts w:cs="Arial"/>
                <w:sz w:val="18"/>
                <w:szCs w:val="16"/>
                <w:lang w:val="es-CO" w:eastAsia="es-CO"/>
              </w:rPr>
              <w:t>AREA RECONOCIDA [m</w:t>
            </w:r>
            <w:r w:rsidRPr="00321B46">
              <w:rPr>
                <w:rFonts w:cs="Arial"/>
                <w:sz w:val="18"/>
                <w:szCs w:val="16"/>
                <w:vertAlign w:val="superscript"/>
                <w:lang w:val="es-CO" w:eastAsia="es-CO"/>
              </w:rPr>
              <w:t>2</w:t>
            </w:r>
            <w:r w:rsidRPr="00321B46">
              <w:rPr>
                <w:rFonts w:cs="Arial"/>
                <w:sz w:val="18"/>
                <w:szCs w:val="16"/>
                <w:lang w:val="es-CO" w:eastAsia="es-CO"/>
              </w:rPr>
              <w:t>]</w:t>
            </w:r>
          </w:p>
        </w:tc>
      </w:tr>
      <w:tr w:rsidR="00EC3804" w:rsidRPr="00321B46" w14:paraId="258FEDF7" w14:textId="77777777" w:rsidTr="00B0187D">
        <w:trPr>
          <w:trHeight w:val="20"/>
          <w:jc w:val="center"/>
        </w:trPr>
        <w:tc>
          <w:tcPr>
            <w:tcW w:w="3268" w:type="dxa"/>
            <w:tcBorders>
              <w:top w:val="nil"/>
              <w:left w:val="single" w:sz="4" w:space="0" w:color="auto"/>
              <w:bottom w:val="single" w:sz="4" w:space="0" w:color="auto"/>
              <w:right w:val="single" w:sz="4" w:space="0" w:color="auto"/>
            </w:tcBorders>
            <w:shd w:val="clear" w:color="auto" w:fill="auto"/>
            <w:vAlign w:val="center"/>
            <w:hideMark/>
          </w:tcPr>
          <w:p w14:paraId="29BDAD13" w14:textId="77777777" w:rsidR="00EC3804" w:rsidRPr="00321B46" w:rsidRDefault="00EC3804" w:rsidP="00B0187D">
            <w:pPr>
              <w:spacing w:before="40" w:after="40"/>
              <w:jc w:val="left"/>
              <w:rPr>
                <w:rFonts w:cs="Arial"/>
                <w:sz w:val="16"/>
                <w:szCs w:val="16"/>
                <w:lang w:val="es-CO" w:eastAsia="es-CO"/>
              </w:rPr>
            </w:pPr>
            <w:r w:rsidRPr="00321B46">
              <w:rPr>
                <w:rFonts w:cs="Arial"/>
                <w:sz w:val="16"/>
                <w:szCs w:val="16"/>
                <w:lang w:val="es-CO" w:eastAsia="es-CO"/>
              </w:rPr>
              <w:t>Área general S/E</w:t>
            </w:r>
          </w:p>
        </w:tc>
        <w:tc>
          <w:tcPr>
            <w:tcW w:w="2099" w:type="dxa"/>
            <w:tcBorders>
              <w:top w:val="nil"/>
              <w:left w:val="nil"/>
              <w:bottom w:val="single" w:sz="4" w:space="0" w:color="auto"/>
              <w:right w:val="single" w:sz="4" w:space="0" w:color="auto"/>
            </w:tcBorders>
            <w:shd w:val="clear" w:color="auto" w:fill="auto"/>
            <w:noWrap/>
            <w:vAlign w:val="center"/>
            <w:hideMark/>
          </w:tcPr>
          <w:p w14:paraId="6CA58944" w14:textId="77777777" w:rsidR="00EC3804" w:rsidRPr="00321B46" w:rsidRDefault="00EC3804" w:rsidP="00B0187D">
            <w:pPr>
              <w:spacing w:before="40" w:after="40"/>
              <w:ind w:right="646"/>
              <w:jc w:val="right"/>
              <w:rPr>
                <w:rFonts w:cs="Arial"/>
                <w:sz w:val="16"/>
                <w:szCs w:val="16"/>
                <w:lang w:val="es-CO" w:eastAsia="es-CO"/>
              </w:rPr>
            </w:pPr>
            <w:r w:rsidRPr="00321B46">
              <w:rPr>
                <w:rFonts w:cs="Arial"/>
                <w:sz w:val="16"/>
                <w:szCs w:val="16"/>
                <w:lang w:val="es-CO" w:eastAsia="es-CO"/>
              </w:rPr>
              <w:t>75,00</w:t>
            </w:r>
          </w:p>
        </w:tc>
      </w:tr>
      <w:tr w:rsidR="00EC3804" w:rsidRPr="00321B46" w14:paraId="28FF7D88" w14:textId="77777777" w:rsidTr="00B0187D">
        <w:trPr>
          <w:trHeight w:val="20"/>
          <w:jc w:val="center"/>
        </w:trPr>
        <w:tc>
          <w:tcPr>
            <w:tcW w:w="3268" w:type="dxa"/>
            <w:tcBorders>
              <w:top w:val="nil"/>
              <w:left w:val="single" w:sz="4" w:space="0" w:color="auto"/>
              <w:bottom w:val="single" w:sz="4" w:space="0" w:color="auto"/>
              <w:right w:val="single" w:sz="4" w:space="0" w:color="auto"/>
            </w:tcBorders>
            <w:shd w:val="clear" w:color="auto" w:fill="auto"/>
            <w:vAlign w:val="center"/>
            <w:hideMark/>
          </w:tcPr>
          <w:p w14:paraId="1DA8E4BD" w14:textId="77777777" w:rsidR="00EC3804" w:rsidRPr="00321B46" w:rsidRDefault="00EC3804" w:rsidP="00B0187D">
            <w:pPr>
              <w:spacing w:before="40" w:after="40"/>
              <w:jc w:val="left"/>
              <w:rPr>
                <w:rFonts w:cs="Arial"/>
                <w:sz w:val="16"/>
                <w:szCs w:val="16"/>
                <w:lang w:val="es-CO" w:eastAsia="es-CO"/>
              </w:rPr>
            </w:pPr>
            <w:r w:rsidRPr="00321B46">
              <w:rPr>
                <w:rFonts w:cs="Arial"/>
                <w:sz w:val="16"/>
                <w:szCs w:val="16"/>
                <w:lang w:val="es-CO" w:eastAsia="es-CO"/>
              </w:rPr>
              <w:t>Bahía – Abh</w:t>
            </w:r>
          </w:p>
        </w:tc>
        <w:tc>
          <w:tcPr>
            <w:tcW w:w="2099" w:type="dxa"/>
            <w:tcBorders>
              <w:top w:val="nil"/>
              <w:left w:val="nil"/>
              <w:bottom w:val="single" w:sz="4" w:space="0" w:color="auto"/>
              <w:right w:val="single" w:sz="4" w:space="0" w:color="auto"/>
            </w:tcBorders>
            <w:shd w:val="clear" w:color="auto" w:fill="auto"/>
            <w:noWrap/>
            <w:vAlign w:val="center"/>
            <w:hideMark/>
          </w:tcPr>
          <w:p w14:paraId="735BEF7D" w14:textId="77777777" w:rsidR="00EC3804" w:rsidRPr="00321B46" w:rsidRDefault="00EC3804" w:rsidP="00B0187D">
            <w:pPr>
              <w:spacing w:before="40" w:after="40"/>
              <w:ind w:right="646"/>
              <w:jc w:val="right"/>
              <w:rPr>
                <w:rFonts w:cs="Arial"/>
                <w:sz w:val="16"/>
                <w:szCs w:val="16"/>
                <w:lang w:val="es-CO" w:eastAsia="es-CO"/>
              </w:rPr>
            </w:pPr>
            <w:r w:rsidRPr="00321B46">
              <w:rPr>
                <w:rFonts w:cs="Arial"/>
                <w:sz w:val="16"/>
                <w:szCs w:val="16"/>
                <w:lang w:val="es-CO" w:eastAsia="es-CO"/>
              </w:rPr>
              <w:t>11,25</w:t>
            </w:r>
          </w:p>
        </w:tc>
      </w:tr>
    </w:tbl>
    <w:p w14:paraId="6C7F8C44" w14:textId="085C6407" w:rsidR="00EC3804" w:rsidRPr="00321B46" w:rsidRDefault="00BE0E49" w:rsidP="003448EC">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19</w:t>
      </w:r>
      <w:r w:rsidRPr="00321B46">
        <w:fldChar w:fldCharType="end"/>
      </w:r>
      <w:r w:rsidRPr="00321B46">
        <w:t>.</w:t>
      </w:r>
      <w:r w:rsidR="00EC3804" w:rsidRPr="00321B46">
        <w:t xml:space="preserve">  Transformadores</w:t>
      </w:r>
    </w:p>
    <w:tbl>
      <w:tblPr>
        <w:tblW w:w="3880" w:type="dxa"/>
        <w:jc w:val="center"/>
        <w:tblLook w:val="04A0" w:firstRow="1" w:lastRow="0" w:firstColumn="1" w:lastColumn="0" w:noHBand="0" w:noVBand="1"/>
      </w:tblPr>
      <w:tblGrid>
        <w:gridCol w:w="2680"/>
        <w:gridCol w:w="1200"/>
      </w:tblGrid>
      <w:tr w:rsidR="00EC3804" w:rsidRPr="00321B46" w14:paraId="32813CB5" w14:textId="77777777" w:rsidTr="00B0187D">
        <w:trPr>
          <w:trHeight w:val="615"/>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4FFF1" w14:textId="77777777" w:rsidR="00EC3804" w:rsidRPr="00321B46" w:rsidRDefault="00EC3804" w:rsidP="00B0187D">
            <w:pPr>
              <w:spacing w:before="0" w:after="0"/>
              <w:jc w:val="center"/>
              <w:rPr>
                <w:sz w:val="16"/>
                <w:szCs w:val="16"/>
                <w:lang w:val="en-US" w:eastAsia="en-US"/>
              </w:rPr>
            </w:pPr>
            <w:r w:rsidRPr="00321B46">
              <w:rPr>
                <w:rFonts w:cs="Arial"/>
                <w:sz w:val="18"/>
                <w:szCs w:val="16"/>
                <w:lang w:val="es-CO" w:eastAsia="es-CO"/>
              </w:rPr>
              <w:t>ÍTEM</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04BA87A" w14:textId="77777777" w:rsidR="00EC3804" w:rsidRPr="00321B46" w:rsidRDefault="00EC3804" w:rsidP="00B0187D">
            <w:pPr>
              <w:spacing w:before="0" w:after="0"/>
              <w:jc w:val="center"/>
              <w:rPr>
                <w:sz w:val="16"/>
                <w:szCs w:val="16"/>
                <w:lang w:val="en-US" w:eastAsia="en-US"/>
              </w:rPr>
            </w:pPr>
            <w:r w:rsidRPr="00321B46">
              <w:rPr>
                <w:sz w:val="16"/>
                <w:szCs w:val="16"/>
                <w:lang w:val="en-US" w:eastAsia="en-US"/>
              </w:rPr>
              <w:t>Área</w:t>
            </w:r>
          </w:p>
          <w:p w14:paraId="618B27C3" w14:textId="77777777" w:rsidR="00EC3804" w:rsidRPr="00321B46" w:rsidRDefault="00EC3804" w:rsidP="00B0187D">
            <w:pPr>
              <w:spacing w:before="0" w:after="0"/>
              <w:jc w:val="center"/>
              <w:rPr>
                <w:sz w:val="16"/>
                <w:szCs w:val="16"/>
                <w:lang w:val="en-US" w:eastAsia="en-US"/>
              </w:rPr>
            </w:pPr>
            <w:r w:rsidRPr="00321B46">
              <w:rPr>
                <w:sz w:val="16"/>
                <w:szCs w:val="16"/>
                <w:lang w:val="en-US" w:eastAsia="en-US"/>
              </w:rPr>
              <w:t>[m</w:t>
            </w:r>
            <w:r w:rsidRPr="00321B46">
              <w:rPr>
                <w:sz w:val="16"/>
                <w:szCs w:val="16"/>
                <w:vertAlign w:val="superscript"/>
                <w:lang w:val="en-US" w:eastAsia="en-US"/>
              </w:rPr>
              <w:t>2</w:t>
            </w:r>
            <w:r w:rsidRPr="00321B46">
              <w:rPr>
                <w:sz w:val="16"/>
                <w:szCs w:val="16"/>
                <w:lang w:val="en-US" w:eastAsia="en-US"/>
              </w:rPr>
              <w:t>]</w:t>
            </w:r>
          </w:p>
        </w:tc>
      </w:tr>
      <w:tr w:rsidR="00EC3804" w:rsidRPr="00321B46" w14:paraId="1E6D4D5D" w14:textId="77777777" w:rsidTr="00B0187D">
        <w:trPr>
          <w:trHeight w:val="30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2302AF91" w14:textId="77777777" w:rsidR="00EC3804" w:rsidRPr="00321B46" w:rsidRDefault="00EC3804" w:rsidP="00B0187D">
            <w:pPr>
              <w:spacing w:before="0" w:after="0"/>
              <w:jc w:val="left"/>
              <w:rPr>
                <w:sz w:val="16"/>
                <w:szCs w:val="16"/>
                <w:lang w:val="en-US" w:eastAsia="en-US"/>
              </w:rPr>
            </w:pPr>
            <w:r w:rsidRPr="00321B46">
              <w:rPr>
                <w:sz w:val="16"/>
                <w:szCs w:val="16"/>
                <w:lang w:val="en-US" w:eastAsia="en-US"/>
              </w:rPr>
              <w:t>Bancos monofásicos</w:t>
            </w:r>
          </w:p>
        </w:tc>
        <w:tc>
          <w:tcPr>
            <w:tcW w:w="1200" w:type="dxa"/>
            <w:tcBorders>
              <w:top w:val="nil"/>
              <w:left w:val="nil"/>
              <w:bottom w:val="single" w:sz="4" w:space="0" w:color="auto"/>
              <w:right w:val="single" w:sz="4" w:space="0" w:color="auto"/>
            </w:tcBorders>
            <w:shd w:val="clear" w:color="auto" w:fill="auto"/>
            <w:noWrap/>
            <w:vAlign w:val="center"/>
            <w:hideMark/>
          </w:tcPr>
          <w:p w14:paraId="39160FEA" w14:textId="77777777" w:rsidR="00EC3804" w:rsidRPr="00321B46" w:rsidRDefault="00EC3804" w:rsidP="00B0187D">
            <w:pPr>
              <w:spacing w:before="0" w:after="0"/>
              <w:jc w:val="center"/>
              <w:rPr>
                <w:color w:val="000000"/>
                <w:sz w:val="16"/>
                <w:szCs w:val="16"/>
                <w:lang w:val="en-US" w:eastAsia="en-US"/>
              </w:rPr>
            </w:pPr>
            <w:r w:rsidRPr="00321B46">
              <w:rPr>
                <w:color w:val="000000"/>
                <w:sz w:val="16"/>
                <w:szCs w:val="16"/>
                <w:lang w:val="en-US" w:eastAsia="en-US"/>
              </w:rPr>
              <w:t>160</w:t>
            </w:r>
          </w:p>
        </w:tc>
      </w:tr>
    </w:tbl>
    <w:p w14:paraId="623DBBF4" w14:textId="6D652816" w:rsidR="00EC3804" w:rsidRPr="00321B46" w:rsidRDefault="00BE0E49" w:rsidP="003448EC">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20</w:t>
      </w:r>
      <w:r w:rsidRPr="00321B46">
        <w:fldChar w:fldCharType="end"/>
      </w:r>
      <w:r w:rsidRPr="00321B46">
        <w:t>.</w:t>
      </w:r>
      <w:r w:rsidR="00EC3804" w:rsidRPr="00321B46">
        <w:t xml:space="preserve">  Centros de </w:t>
      </w:r>
      <w:r w:rsidR="0084283B">
        <w:t>c</w:t>
      </w:r>
      <w:r w:rsidR="00EC3804" w:rsidRPr="00321B46">
        <w:t>ontrol</w:t>
      </w:r>
    </w:p>
    <w:tbl>
      <w:tblPr>
        <w:tblW w:w="3880" w:type="dxa"/>
        <w:jc w:val="center"/>
        <w:tblLook w:val="04A0" w:firstRow="1" w:lastRow="0" w:firstColumn="1" w:lastColumn="0" w:noHBand="0" w:noVBand="1"/>
      </w:tblPr>
      <w:tblGrid>
        <w:gridCol w:w="2531"/>
        <w:gridCol w:w="1349"/>
      </w:tblGrid>
      <w:tr w:rsidR="00EC3804" w:rsidRPr="00321B46" w14:paraId="45C726AE" w14:textId="77777777" w:rsidTr="00B0187D">
        <w:trPr>
          <w:trHeight w:val="780"/>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0714E" w14:textId="77777777" w:rsidR="00EC3804" w:rsidRPr="00321B46" w:rsidRDefault="00EC3804" w:rsidP="00B0187D">
            <w:pPr>
              <w:spacing w:before="0" w:after="0"/>
              <w:jc w:val="center"/>
              <w:rPr>
                <w:sz w:val="16"/>
                <w:szCs w:val="16"/>
                <w:lang w:val="en-US" w:eastAsia="en-US"/>
              </w:rPr>
            </w:pPr>
            <w:r w:rsidRPr="00321B46">
              <w:rPr>
                <w:rFonts w:cs="Arial"/>
                <w:sz w:val="18"/>
                <w:szCs w:val="16"/>
                <w:lang w:val="es-CO" w:eastAsia="es-CO"/>
              </w:rPr>
              <w:t>ÍTEM</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FE7AC3C" w14:textId="77777777" w:rsidR="00EC3804" w:rsidRPr="00321B46" w:rsidRDefault="00EC3804" w:rsidP="00B0187D">
            <w:pPr>
              <w:spacing w:before="0" w:after="0"/>
              <w:jc w:val="center"/>
              <w:rPr>
                <w:sz w:val="16"/>
                <w:szCs w:val="16"/>
                <w:lang w:val="en-US" w:eastAsia="en-US"/>
              </w:rPr>
            </w:pPr>
            <w:r w:rsidRPr="00321B46">
              <w:rPr>
                <w:sz w:val="16"/>
                <w:szCs w:val="16"/>
                <w:lang w:val="en-US" w:eastAsia="en-US"/>
              </w:rPr>
              <w:t>ÁREA RECONOCIDA</w:t>
            </w:r>
            <w:r w:rsidRPr="00321B46">
              <w:rPr>
                <w:sz w:val="16"/>
                <w:szCs w:val="16"/>
                <w:lang w:val="en-US" w:eastAsia="en-US"/>
              </w:rPr>
              <w:br/>
              <w:t xml:space="preserve"> [m</w:t>
            </w:r>
            <w:r w:rsidRPr="00321B46">
              <w:rPr>
                <w:sz w:val="16"/>
                <w:szCs w:val="16"/>
                <w:vertAlign w:val="superscript"/>
                <w:lang w:val="en-US" w:eastAsia="en-US"/>
              </w:rPr>
              <w:t>2</w:t>
            </w:r>
            <w:r w:rsidRPr="00321B46">
              <w:rPr>
                <w:sz w:val="16"/>
                <w:szCs w:val="16"/>
                <w:lang w:val="en-US" w:eastAsia="en-US"/>
              </w:rPr>
              <w:t>]</w:t>
            </w:r>
          </w:p>
        </w:tc>
      </w:tr>
      <w:tr w:rsidR="00EC3804" w:rsidRPr="00321B46" w14:paraId="44E63C20" w14:textId="77777777" w:rsidTr="00B0187D">
        <w:trPr>
          <w:trHeight w:val="289"/>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0423B37C" w14:textId="77777777" w:rsidR="00EC3804" w:rsidRPr="00321B46" w:rsidRDefault="00EC3804" w:rsidP="00B0187D">
            <w:pPr>
              <w:spacing w:before="0" w:after="0"/>
              <w:jc w:val="left"/>
              <w:rPr>
                <w:sz w:val="16"/>
                <w:szCs w:val="16"/>
                <w:lang w:val="en-US" w:eastAsia="en-US"/>
              </w:rPr>
            </w:pPr>
            <w:r w:rsidRPr="00321B46">
              <w:rPr>
                <w:sz w:val="16"/>
                <w:szCs w:val="16"/>
                <w:lang w:val="en-US" w:eastAsia="en-US"/>
              </w:rPr>
              <w:t>Centro de control Tipo 1</w:t>
            </w:r>
          </w:p>
        </w:tc>
        <w:tc>
          <w:tcPr>
            <w:tcW w:w="1200" w:type="dxa"/>
            <w:tcBorders>
              <w:top w:val="nil"/>
              <w:left w:val="nil"/>
              <w:bottom w:val="single" w:sz="4" w:space="0" w:color="auto"/>
              <w:right w:val="single" w:sz="4" w:space="0" w:color="auto"/>
            </w:tcBorders>
            <w:shd w:val="clear" w:color="auto" w:fill="auto"/>
            <w:noWrap/>
            <w:vAlign w:val="center"/>
            <w:hideMark/>
          </w:tcPr>
          <w:p w14:paraId="68A96074" w14:textId="77777777" w:rsidR="00EC3804" w:rsidRPr="00321B46" w:rsidRDefault="00EC3804" w:rsidP="00B0187D">
            <w:pPr>
              <w:spacing w:before="0" w:after="0"/>
              <w:jc w:val="center"/>
              <w:rPr>
                <w:color w:val="000000"/>
                <w:sz w:val="16"/>
                <w:szCs w:val="16"/>
                <w:lang w:val="en-US" w:eastAsia="en-US"/>
              </w:rPr>
            </w:pPr>
            <w:r w:rsidRPr="00321B46">
              <w:rPr>
                <w:color w:val="000000"/>
                <w:sz w:val="16"/>
                <w:szCs w:val="16"/>
                <w:lang w:val="en-US" w:eastAsia="en-US"/>
              </w:rPr>
              <w:t>500</w:t>
            </w:r>
          </w:p>
        </w:tc>
      </w:tr>
      <w:tr w:rsidR="00EC3804" w:rsidRPr="00321B46" w14:paraId="4F4B467D" w14:textId="77777777" w:rsidTr="00B0187D">
        <w:trPr>
          <w:trHeight w:val="289"/>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F9D6660" w14:textId="77777777" w:rsidR="00EC3804" w:rsidRPr="00321B46" w:rsidRDefault="00EC3804" w:rsidP="00B0187D">
            <w:pPr>
              <w:spacing w:before="0" w:after="0"/>
              <w:jc w:val="left"/>
              <w:rPr>
                <w:sz w:val="16"/>
                <w:szCs w:val="16"/>
                <w:lang w:val="en-US" w:eastAsia="en-US"/>
              </w:rPr>
            </w:pPr>
            <w:r w:rsidRPr="00321B46">
              <w:rPr>
                <w:sz w:val="16"/>
                <w:szCs w:val="16"/>
                <w:lang w:val="en-US" w:eastAsia="en-US"/>
              </w:rPr>
              <w:t>Centro de control Tipo 2</w:t>
            </w:r>
          </w:p>
        </w:tc>
        <w:tc>
          <w:tcPr>
            <w:tcW w:w="1200" w:type="dxa"/>
            <w:tcBorders>
              <w:top w:val="nil"/>
              <w:left w:val="nil"/>
              <w:bottom w:val="single" w:sz="4" w:space="0" w:color="auto"/>
              <w:right w:val="single" w:sz="4" w:space="0" w:color="auto"/>
            </w:tcBorders>
            <w:shd w:val="clear" w:color="auto" w:fill="auto"/>
            <w:noWrap/>
            <w:vAlign w:val="center"/>
            <w:hideMark/>
          </w:tcPr>
          <w:p w14:paraId="646D470A" w14:textId="77777777" w:rsidR="00EC3804" w:rsidRPr="00321B46" w:rsidRDefault="00EC3804" w:rsidP="00B0187D">
            <w:pPr>
              <w:spacing w:before="0" w:after="0"/>
              <w:jc w:val="center"/>
              <w:rPr>
                <w:color w:val="000000"/>
                <w:sz w:val="16"/>
                <w:szCs w:val="16"/>
                <w:lang w:val="en-US" w:eastAsia="en-US"/>
              </w:rPr>
            </w:pPr>
            <w:r w:rsidRPr="00321B46">
              <w:rPr>
                <w:color w:val="000000"/>
                <w:sz w:val="16"/>
                <w:szCs w:val="16"/>
                <w:lang w:val="en-US" w:eastAsia="en-US"/>
              </w:rPr>
              <w:t>410</w:t>
            </w:r>
          </w:p>
        </w:tc>
      </w:tr>
      <w:tr w:rsidR="00EC3804" w:rsidRPr="00321B46" w14:paraId="2C34B605" w14:textId="77777777" w:rsidTr="00B0187D">
        <w:trPr>
          <w:trHeight w:val="289"/>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15DC0CEB" w14:textId="77777777" w:rsidR="00EC3804" w:rsidRPr="00321B46" w:rsidRDefault="00EC3804" w:rsidP="00B0187D">
            <w:pPr>
              <w:spacing w:before="0" w:after="0"/>
              <w:jc w:val="left"/>
              <w:rPr>
                <w:sz w:val="16"/>
                <w:szCs w:val="16"/>
                <w:lang w:val="en-US" w:eastAsia="en-US"/>
              </w:rPr>
            </w:pPr>
            <w:r w:rsidRPr="00321B46">
              <w:rPr>
                <w:sz w:val="16"/>
                <w:szCs w:val="16"/>
                <w:lang w:val="en-US" w:eastAsia="en-US"/>
              </w:rPr>
              <w:t>Centro de control Tipo 3</w:t>
            </w:r>
          </w:p>
        </w:tc>
        <w:tc>
          <w:tcPr>
            <w:tcW w:w="1200" w:type="dxa"/>
            <w:tcBorders>
              <w:top w:val="nil"/>
              <w:left w:val="nil"/>
              <w:bottom w:val="single" w:sz="4" w:space="0" w:color="auto"/>
              <w:right w:val="single" w:sz="4" w:space="0" w:color="auto"/>
            </w:tcBorders>
            <w:shd w:val="clear" w:color="auto" w:fill="auto"/>
            <w:noWrap/>
            <w:vAlign w:val="center"/>
            <w:hideMark/>
          </w:tcPr>
          <w:p w14:paraId="35E84F3D" w14:textId="77777777" w:rsidR="00EC3804" w:rsidRPr="00321B46" w:rsidRDefault="00EC3804" w:rsidP="00B0187D">
            <w:pPr>
              <w:spacing w:before="0" w:after="0"/>
              <w:jc w:val="center"/>
              <w:rPr>
                <w:color w:val="000000"/>
                <w:sz w:val="16"/>
                <w:szCs w:val="16"/>
                <w:lang w:val="en-US" w:eastAsia="en-US"/>
              </w:rPr>
            </w:pPr>
            <w:r w:rsidRPr="00321B46">
              <w:rPr>
                <w:color w:val="000000"/>
                <w:sz w:val="16"/>
                <w:szCs w:val="16"/>
                <w:lang w:val="en-US" w:eastAsia="en-US"/>
              </w:rPr>
              <w:t>220</w:t>
            </w:r>
          </w:p>
        </w:tc>
      </w:tr>
      <w:tr w:rsidR="00EC3804" w:rsidRPr="00321B46" w14:paraId="1D75AE30" w14:textId="77777777" w:rsidTr="00B0187D">
        <w:trPr>
          <w:trHeight w:val="289"/>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7D37B601" w14:textId="77777777" w:rsidR="00EC3804" w:rsidRPr="00321B46" w:rsidRDefault="00EC3804" w:rsidP="00B0187D">
            <w:pPr>
              <w:spacing w:before="0" w:after="0"/>
              <w:jc w:val="left"/>
              <w:rPr>
                <w:sz w:val="16"/>
                <w:szCs w:val="16"/>
                <w:lang w:val="en-US" w:eastAsia="en-US"/>
              </w:rPr>
            </w:pPr>
            <w:r w:rsidRPr="00321B46">
              <w:rPr>
                <w:sz w:val="16"/>
                <w:szCs w:val="16"/>
                <w:lang w:val="en-US" w:eastAsia="en-US"/>
              </w:rPr>
              <w:t>Centro de control Tipo 4</w:t>
            </w:r>
          </w:p>
        </w:tc>
        <w:tc>
          <w:tcPr>
            <w:tcW w:w="1200" w:type="dxa"/>
            <w:tcBorders>
              <w:top w:val="nil"/>
              <w:left w:val="nil"/>
              <w:bottom w:val="single" w:sz="4" w:space="0" w:color="auto"/>
              <w:right w:val="single" w:sz="4" w:space="0" w:color="auto"/>
            </w:tcBorders>
            <w:shd w:val="clear" w:color="auto" w:fill="auto"/>
            <w:noWrap/>
            <w:vAlign w:val="center"/>
            <w:hideMark/>
          </w:tcPr>
          <w:p w14:paraId="5D4E3C8C" w14:textId="77777777" w:rsidR="00EC3804" w:rsidRPr="00321B46" w:rsidRDefault="00EC3804" w:rsidP="00B0187D">
            <w:pPr>
              <w:spacing w:before="0" w:after="0"/>
              <w:jc w:val="center"/>
              <w:rPr>
                <w:color w:val="000000"/>
                <w:sz w:val="16"/>
                <w:szCs w:val="16"/>
                <w:lang w:val="en-US" w:eastAsia="en-US"/>
              </w:rPr>
            </w:pPr>
            <w:r w:rsidRPr="00321B46">
              <w:rPr>
                <w:color w:val="000000"/>
                <w:sz w:val="16"/>
                <w:szCs w:val="16"/>
                <w:lang w:val="en-US" w:eastAsia="en-US"/>
              </w:rPr>
              <w:t>130</w:t>
            </w:r>
          </w:p>
        </w:tc>
      </w:tr>
    </w:tbl>
    <w:p w14:paraId="46A82D6C" w14:textId="77777777" w:rsidR="00EC3804" w:rsidRPr="00321B46" w:rsidRDefault="00EC3804" w:rsidP="00BF7220">
      <w:pPr>
        <w:pStyle w:val="Ttulo2"/>
      </w:pPr>
      <w:bookmarkStart w:id="476" w:name="_Ref445370460"/>
      <w:bookmarkStart w:id="477" w:name="_Toc445462497"/>
      <w:bookmarkStart w:id="478" w:name="_Toc466392692"/>
      <w:r w:rsidRPr="00321B46">
        <w:t>Categor</w:t>
      </w:r>
      <w:r w:rsidRPr="00321B46">
        <w:rPr>
          <w:lang w:val="es-CO"/>
        </w:rPr>
        <w:t>í</w:t>
      </w:r>
      <w:r w:rsidRPr="00321B46">
        <w:t>as de unidades constructivas</w:t>
      </w:r>
      <w:bookmarkEnd w:id="476"/>
      <w:bookmarkEnd w:id="477"/>
      <w:bookmarkEnd w:id="478"/>
    </w:p>
    <w:p w14:paraId="3CE354BD" w14:textId="77777777" w:rsidR="00EC3804" w:rsidRPr="00321B46" w:rsidRDefault="00EC3804" w:rsidP="00EC3804">
      <w:pPr>
        <w:rPr>
          <w:lang w:val="es-CO"/>
        </w:rPr>
      </w:pPr>
      <w:r w:rsidRPr="00321B46">
        <w:rPr>
          <w:lang w:val="es-CO"/>
        </w:rPr>
        <w:t xml:space="preserve">Para la clasificación de las UC establecidas en este capítulo, se deben utilizar las siguientes categorías: </w:t>
      </w:r>
    </w:p>
    <w:p w14:paraId="7F3FE150" w14:textId="5DA4ADE2" w:rsidR="00BE0E49" w:rsidRPr="00321B46" w:rsidRDefault="00BE0E49" w:rsidP="003448EC">
      <w:pPr>
        <w:pStyle w:val="Descripcin"/>
        <w:rPr>
          <w:lang w:val="es-CO"/>
        </w:rPr>
      </w:pPr>
      <w:r w:rsidRPr="00321B46">
        <w:t xml:space="preserve">Tabla </w:t>
      </w:r>
      <w:r w:rsidRPr="00321B46">
        <w:fldChar w:fldCharType="begin"/>
      </w:r>
      <w:r w:rsidRPr="00321B46">
        <w:instrText xml:space="preserve"> SEQ Tabla \* ARABIC </w:instrText>
      </w:r>
      <w:r w:rsidRPr="00321B46">
        <w:fldChar w:fldCharType="separate"/>
      </w:r>
      <w:r w:rsidR="000F355F">
        <w:rPr>
          <w:noProof/>
        </w:rPr>
        <w:t>21</w:t>
      </w:r>
      <w:r w:rsidRPr="00321B46">
        <w:fldChar w:fldCharType="end"/>
      </w:r>
      <w:r w:rsidRPr="00321B46">
        <w:t>. Categorías de unidades constructivas</w:t>
      </w:r>
    </w:p>
    <w:tbl>
      <w:tblPr>
        <w:tblW w:w="2483" w:type="pct"/>
        <w:jc w:val="center"/>
        <w:tblLayout w:type="fixed"/>
        <w:tblCellMar>
          <w:left w:w="70" w:type="dxa"/>
          <w:right w:w="70" w:type="dxa"/>
        </w:tblCellMar>
        <w:tblLook w:val="04A0" w:firstRow="1" w:lastRow="0" w:firstColumn="1" w:lastColumn="0" w:noHBand="0" w:noVBand="1"/>
      </w:tblPr>
      <w:tblGrid>
        <w:gridCol w:w="1119"/>
        <w:gridCol w:w="2463"/>
        <w:gridCol w:w="1059"/>
      </w:tblGrid>
      <w:tr w:rsidR="00EC3804" w:rsidRPr="00321B46" w14:paraId="4A7A2566" w14:textId="77777777" w:rsidTr="00B0187D">
        <w:trPr>
          <w:trHeight w:val="340"/>
          <w:tblHeader/>
          <w:jc w:val="center"/>
        </w:trPr>
        <w:tc>
          <w:tcPr>
            <w:tcW w:w="1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69B97" w14:textId="77777777" w:rsidR="00EC3804" w:rsidRPr="00321B46" w:rsidRDefault="00EC3804" w:rsidP="00B0187D">
            <w:pPr>
              <w:spacing w:before="0" w:after="0"/>
              <w:jc w:val="center"/>
              <w:rPr>
                <w:rFonts w:cs="Arial"/>
                <w:color w:val="000000"/>
                <w:sz w:val="16"/>
                <w:szCs w:val="16"/>
                <w:lang w:eastAsia="es-CO"/>
              </w:rPr>
            </w:pPr>
            <w:r w:rsidRPr="00321B46">
              <w:rPr>
                <w:rFonts w:cs="Arial"/>
                <w:color w:val="000000"/>
                <w:sz w:val="16"/>
                <w:szCs w:val="16"/>
                <w:lang w:eastAsia="es-CO"/>
              </w:rPr>
              <w:t>CATEGORÍA</w:t>
            </w:r>
          </w:p>
        </w:tc>
        <w:tc>
          <w:tcPr>
            <w:tcW w:w="2654" w:type="pct"/>
            <w:tcBorders>
              <w:top w:val="single" w:sz="4" w:space="0" w:color="auto"/>
              <w:left w:val="nil"/>
              <w:bottom w:val="single" w:sz="4" w:space="0" w:color="auto"/>
              <w:right w:val="single" w:sz="4" w:space="0" w:color="auto"/>
            </w:tcBorders>
            <w:shd w:val="clear" w:color="auto" w:fill="auto"/>
            <w:noWrap/>
            <w:vAlign w:val="center"/>
            <w:hideMark/>
          </w:tcPr>
          <w:p w14:paraId="61FBF441" w14:textId="77777777" w:rsidR="00EC3804" w:rsidRPr="00321B46" w:rsidRDefault="00EC3804" w:rsidP="00B0187D">
            <w:pPr>
              <w:spacing w:before="0" w:after="0"/>
              <w:jc w:val="center"/>
              <w:rPr>
                <w:rFonts w:cs="Arial"/>
                <w:color w:val="000000"/>
                <w:sz w:val="16"/>
                <w:szCs w:val="16"/>
                <w:lang w:eastAsia="es-CO"/>
              </w:rPr>
            </w:pPr>
            <w:r w:rsidRPr="00321B46">
              <w:rPr>
                <w:rFonts w:cs="Arial"/>
                <w:color w:val="000000"/>
                <w:sz w:val="16"/>
                <w:szCs w:val="16"/>
                <w:lang w:eastAsia="es-CO"/>
              </w:rPr>
              <w:t>DESCRIPCIÓN</w:t>
            </w:r>
          </w:p>
        </w:tc>
        <w:tc>
          <w:tcPr>
            <w:tcW w:w="1141" w:type="pct"/>
            <w:tcBorders>
              <w:top w:val="single" w:sz="4" w:space="0" w:color="auto"/>
              <w:left w:val="nil"/>
              <w:bottom w:val="single" w:sz="4" w:space="0" w:color="auto"/>
              <w:right w:val="single" w:sz="4" w:space="0" w:color="auto"/>
            </w:tcBorders>
            <w:shd w:val="clear" w:color="auto" w:fill="auto"/>
            <w:noWrap/>
            <w:vAlign w:val="center"/>
            <w:hideMark/>
          </w:tcPr>
          <w:p w14:paraId="19D639F5" w14:textId="77777777" w:rsidR="00EC3804" w:rsidRPr="00321B46" w:rsidRDefault="00EC3804" w:rsidP="00B0187D">
            <w:pPr>
              <w:spacing w:before="0" w:after="0"/>
              <w:jc w:val="center"/>
              <w:rPr>
                <w:rFonts w:cs="Arial"/>
                <w:color w:val="000000"/>
                <w:sz w:val="16"/>
                <w:szCs w:val="16"/>
                <w:lang w:eastAsia="es-CO"/>
              </w:rPr>
            </w:pPr>
            <w:r w:rsidRPr="00321B46">
              <w:rPr>
                <w:rFonts w:cs="Arial"/>
                <w:color w:val="000000"/>
                <w:sz w:val="16"/>
                <w:szCs w:val="16"/>
                <w:lang w:eastAsia="es-CO"/>
              </w:rPr>
              <w:t xml:space="preserve">VIDA ÚTIL </w:t>
            </w:r>
          </w:p>
        </w:tc>
      </w:tr>
      <w:tr w:rsidR="00EC3804" w:rsidRPr="00321B46" w14:paraId="5134F544" w14:textId="77777777" w:rsidTr="00B0187D">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hideMark/>
          </w:tcPr>
          <w:p w14:paraId="4AF99923" w14:textId="77777777" w:rsidR="00EC3804" w:rsidRPr="00321B46" w:rsidRDefault="00EC3804" w:rsidP="00B0187D">
            <w:pPr>
              <w:spacing w:before="0" w:after="0"/>
              <w:jc w:val="center"/>
              <w:rPr>
                <w:rFonts w:cs="Arial"/>
                <w:color w:val="000000"/>
                <w:sz w:val="16"/>
                <w:szCs w:val="16"/>
                <w:lang w:eastAsia="es-CO"/>
              </w:rPr>
            </w:pPr>
            <w:r w:rsidRPr="00321B46">
              <w:rPr>
                <w:rFonts w:cs="Arial"/>
                <w:color w:val="000000"/>
                <w:sz w:val="16"/>
                <w:szCs w:val="16"/>
                <w:lang w:eastAsia="es-CO"/>
              </w:rPr>
              <w:t>1</w:t>
            </w:r>
          </w:p>
        </w:tc>
        <w:tc>
          <w:tcPr>
            <w:tcW w:w="2654" w:type="pct"/>
            <w:tcBorders>
              <w:top w:val="nil"/>
              <w:left w:val="nil"/>
              <w:bottom w:val="single" w:sz="4" w:space="0" w:color="auto"/>
              <w:right w:val="single" w:sz="4" w:space="0" w:color="auto"/>
            </w:tcBorders>
            <w:shd w:val="clear" w:color="auto" w:fill="auto"/>
            <w:noWrap/>
            <w:vAlign w:val="center"/>
            <w:hideMark/>
          </w:tcPr>
          <w:p w14:paraId="6474C0CF" w14:textId="77777777" w:rsidR="00EC3804" w:rsidRPr="00321B46" w:rsidRDefault="00EC3804" w:rsidP="00B0187D">
            <w:pPr>
              <w:spacing w:before="0" w:after="0"/>
              <w:jc w:val="left"/>
              <w:rPr>
                <w:rFonts w:cs="Arial"/>
                <w:color w:val="000000"/>
                <w:sz w:val="16"/>
                <w:szCs w:val="16"/>
                <w:lang w:eastAsia="es-CO"/>
              </w:rPr>
            </w:pPr>
            <w:r w:rsidRPr="00321B46">
              <w:rPr>
                <w:rFonts w:cs="Arial"/>
                <w:color w:val="000000"/>
                <w:sz w:val="16"/>
                <w:szCs w:val="16"/>
                <w:lang w:eastAsia="es-CO"/>
              </w:rPr>
              <w:t>Transformadores  de potencia</w:t>
            </w:r>
          </w:p>
        </w:tc>
        <w:tc>
          <w:tcPr>
            <w:tcW w:w="1141" w:type="pct"/>
            <w:tcBorders>
              <w:top w:val="nil"/>
              <w:left w:val="nil"/>
              <w:bottom w:val="single" w:sz="4" w:space="0" w:color="auto"/>
              <w:right w:val="single" w:sz="4" w:space="0" w:color="auto"/>
            </w:tcBorders>
            <w:shd w:val="clear" w:color="auto" w:fill="auto"/>
            <w:noWrap/>
            <w:vAlign w:val="center"/>
            <w:hideMark/>
          </w:tcPr>
          <w:p w14:paraId="6E15B105" w14:textId="77777777" w:rsidR="00EC3804" w:rsidRPr="00321B46" w:rsidRDefault="00EC3804" w:rsidP="00B0187D">
            <w:pPr>
              <w:spacing w:before="0" w:after="0"/>
              <w:jc w:val="center"/>
              <w:rPr>
                <w:rFonts w:cs="Arial"/>
                <w:sz w:val="16"/>
                <w:szCs w:val="16"/>
                <w:lang w:eastAsia="es-CO"/>
              </w:rPr>
            </w:pPr>
            <w:r w:rsidRPr="00321B46">
              <w:rPr>
                <w:rFonts w:cs="Arial"/>
                <w:sz w:val="16"/>
                <w:szCs w:val="16"/>
                <w:lang w:eastAsia="es-CO"/>
              </w:rPr>
              <w:t>35</w:t>
            </w:r>
          </w:p>
        </w:tc>
      </w:tr>
      <w:tr w:rsidR="000C4C30" w:rsidRPr="00321B46" w14:paraId="40E376E5" w14:textId="77777777" w:rsidTr="00B0187D">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tcPr>
          <w:p w14:paraId="0A2F0A0A" w14:textId="164C7D2C" w:rsidR="000C4C30" w:rsidRPr="00321B46" w:rsidRDefault="000C4C30" w:rsidP="00B0187D">
            <w:pPr>
              <w:spacing w:before="0" w:after="0"/>
              <w:jc w:val="center"/>
              <w:rPr>
                <w:rFonts w:cs="Arial"/>
                <w:color w:val="000000"/>
                <w:sz w:val="16"/>
                <w:szCs w:val="16"/>
                <w:lang w:eastAsia="es-CO"/>
              </w:rPr>
            </w:pPr>
            <w:r w:rsidRPr="00321B46">
              <w:rPr>
                <w:rFonts w:cs="Arial"/>
                <w:color w:val="000000"/>
                <w:sz w:val="16"/>
                <w:szCs w:val="16"/>
                <w:lang w:eastAsia="es-CO"/>
              </w:rPr>
              <w:t>2</w:t>
            </w:r>
          </w:p>
        </w:tc>
        <w:tc>
          <w:tcPr>
            <w:tcW w:w="2654" w:type="pct"/>
            <w:tcBorders>
              <w:top w:val="nil"/>
              <w:left w:val="nil"/>
              <w:bottom w:val="single" w:sz="4" w:space="0" w:color="auto"/>
              <w:right w:val="single" w:sz="4" w:space="0" w:color="auto"/>
            </w:tcBorders>
            <w:shd w:val="clear" w:color="auto" w:fill="auto"/>
            <w:noWrap/>
            <w:vAlign w:val="center"/>
          </w:tcPr>
          <w:p w14:paraId="49A0DB41" w14:textId="49901496" w:rsidR="000C4C30" w:rsidRPr="00321B46" w:rsidRDefault="000C4C30" w:rsidP="00B0187D">
            <w:pPr>
              <w:spacing w:before="0" w:after="0"/>
              <w:jc w:val="left"/>
              <w:rPr>
                <w:rFonts w:cs="Arial"/>
                <w:color w:val="000000"/>
                <w:sz w:val="16"/>
                <w:szCs w:val="16"/>
                <w:lang w:eastAsia="es-CO"/>
              </w:rPr>
            </w:pPr>
            <w:r w:rsidRPr="00321B46">
              <w:rPr>
                <w:rFonts w:cs="Arial"/>
                <w:color w:val="000000"/>
                <w:sz w:val="16"/>
                <w:szCs w:val="16"/>
                <w:lang w:eastAsia="es-CO"/>
              </w:rPr>
              <w:t>Compensaciones y FACTS</w:t>
            </w:r>
          </w:p>
        </w:tc>
        <w:tc>
          <w:tcPr>
            <w:tcW w:w="1141" w:type="pct"/>
            <w:tcBorders>
              <w:top w:val="nil"/>
              <w:left w:val="nil"/>
              <w:bottom w:val="single" w:sz="4" w:space="0" w:color="auto"/>
              <w:right w:val="single" w:sz="4" w:space="0" w:color="auto"/>
            </w:tcBorders>
            <w:shd w:val="clear" w:color="auto" w:fill="auto"/>
            <w:noWrap/>
            <w:vAlign w:val="center"/>
          </w:tcPr>
          <w:p w14:paraId="3B081A3D" w14:textId="15C8F785" w:rsidR="000C4C30" w:rsidRPr="00321B46" w:rsidRDefault="000C4C30" w:rsidP="00B0187D">
            <w:pPr>
              <w:spacing w:before="0" w:after="0"/>
              <w:jc w:val="center"/>
              <w:rPr>
                <w:rFonts w:cs="Arial"/>
                <w:sz w:val="16"/>
                <w:szCs w:val="16"/>
                <w:lang w:eastAsia="es-CO"/>
              </w:rPr>
            </w:pPr>
            <w:r w:rsidRPr="00321B46">
              <w:rPr>
                <w:rFonts w:cs="Arial"/>
                <w:sz w:val="16"/>
                <w:szCs w:val="16"/>
                <w:lang w:eastAsia="es-CO"/>
              </w:rPr>
              <w:t>35</w:t>
            </w:r>
          </w:p>
        </w:tc>
      </w:tr>
      <w:tr w:rsidR="00EC3804" w:rsidRPr="00321B46" w14:paraId="3174A2F5" w14:textId="77777777" w:rsidTr="00B0187D">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hideMark/>
          </w:tcPr>
          <w:p w14:paraId="77B213A2" w14:textId="77777777" w:rsidR="00EC3804" w:rsidRPr="00321B46" w:rsidRDefault="00EC3804" w:rsidP="00B0187D">
            <w:pPr>
              <w:spacing w:before="0" w:after="0"/>
              <w:jc w:val="center"/>
              <w:rPr>
                <w:rFonts w:cs="Arial"/>
                <w:color w:val="000000"/>
                <w:sz w:val="16"/>
                <w:szCs w:val="16"/>
                <w:lang w:eastAsia="es-CO"/>
              </w:rPr>
            </w:pPr>
            <w:r w:rsidRPr="00321B46">
              <w:rPr>
                <w:rFonts w:cs="Arial"/>
                <w:color w:val="000000"/>
                <w:sz w:val="16"/>
                <w:szCs w:val="16"/>
                <w:lang w:eastAsia="es-CO"/>
              </w:rPr>
              <w:t>3</w:t>
            </w:r>
          </w:p>
        </w:tc>
        <w:tc>
          <w:tcPr>
            <w:tcW w:w="2654" w:type="pct"/>
            <w:tcBorders>
              <w:top w:val="nil"/>
              <w:left w:val="nil"/>
              <w:bottom w:val="single" w:sz="4" w:space="0" w:color="auto"/>
              <w:right w:val="single" w:sz="4" w:space="0" w:color="auto"/>
            </w:tcBorders>
            <w:shd w:val="clear" w:color="auto" w:fill="auto"/>
            <w:noWrap/>
            <w:vAlign w:val="center"/>
          </w:tcPr>
          <w:p w14:paraId="05A81734" w14:textId="77777777" w:rsidR="00EC3804" w:rsidRPr="00321B46" w:rsidRDefault="00EC3804" w:rsidP="00B0187D">
            <w:pPr>
              <w:spacing w:before="0" w:after="0"/>
              <w:jc w:val="left"/>
              <w:rPr>
                <w:rFonts w:cs="Arial"/>
                <w:color w:val="000000"/>
                <w:sz w:val="16"/>
                <w:szCs w:val="16"/>
                <w:lang w:eastAsia="es-CO"/>
              </w:rPr>
            </w:pPr>
            <w:r w:rsidRPr="00321B46">
              <w:rPr>
                <w:rFonts w:cs="Arial"/>
                <w:color w:val="000000"/>
                <w:sz w:val="16"/>
                <w:szCs w:val="16"/>
                <w:lang w:eastAsia="es-CO"/>
              </w:rPr>
              <w:t>Bahías</w:t>
            </w:r>
          </w:p>
        </w:tc>
        <w:tc>
          <w:tcPr>
            <w:tcW w:w="1141" w:type="pct"/>
            <w:tcBorders>
              <w:top w:val="nil"/>
              <w:left w:val="nil"/>
              <w:bottom w:val="single" w:sz="4" w:space="0" w:color="auto"/>
              <w:right w:val="single" w:sz="4" w:space="0" w:color="auto"/>
            </w:tcBorders>
            <w:shd w:val="clear" w:color="auto" w:fill="auto"/>
            <w:noWrap/>
            <w:vAlign w:val="center"/>
            <w:hideMark/>
          </w:tcPr>
          <w:p w14:paraId="1C8EE85B" w14:textId="77777777" w:rsidR="00EC3804" w:rsidRPr="00321B46" w:rsidRDefault="00EC3804" w:rsidP="00B0187D">
            <w:pPr>
              <w:spacing w:before="0" w:after="0"/>
              <w:jc w:val="center"/>
              <w:rPr>
                <w:rFonts w:cs="Arial"/>
                <w:sz w:val="16"/>
                <w:szCs w:val="16"/>
                <w:lang w:eastAsia="es-CO"/>
              </w:rPr>
            </w:pPr>
            <w:r w:rsidRPr="00321B46">
              <w:rPr>
                <w:rFonts w:cs="Arial"/>
                <w:sz w:val="16"/>
                <w:szCs w:val="16"/>
                <w:lang w:eastAsia="es-CO"/>
              </w:rPr>
              <w:t>35</w:t>
            </w:r>
          </w:p>
        </w:tc>
      </w:tr>
      <w:tr w:rsidR="00EC3804" w:rsidRPr="00321B46" w14:paraId="61047E51" w14:textId="77777777" w:rsidTr="00B0187D">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hideMark/>
          </w:tcPr>
          <w:p w14:paraId="629C57CF" w14:textId="77777777" w:rsidR="00EC3804" w:rsidRPr="00321B46" w:rsidRDefault="00EC3804" w:rsidP="00B0187D">
            <w:pPr>
              <w:spacing w:before="0" w:after="0"/>
              <w:jc w:val="center"/>
              <w:rPr>
                <w:rFonts w:cs="Arial"/>
                <w:color w:val="000000"/>
                <w:sz w:val="16"/>
                <w:szCs w:val="16"/>
                <w:lang w:eastAsia="es-CO"/>
              </w:rPr>
            </w:pPr>
            <w:r w:rsidRPr="00321B46">
              <w:rPr>
                <w:rFonts w:cs="Arial"/>
                <w:color w:val="000000"/>
                <w:sz w:val="16"/>
                <w:szCs w:val="16"/>
                <w:lang w:eastAsia="es-CO"/>
              </w:rPr>
              <w:t>4</w:t>
            </w:r>
          </w:p>
        </w:tc>
        <w:tc>
          <w:tcPr>
            <w:tcW w:w="2654" w:type="pct"/>
            <w:tcBorders>
              <w:top w:val="nil"/>
              <w:left w:val="nil"/>
              <w:bottom w:val="single" w:sz="4" w:space="0" w:color="auto"/>
              <w:right w:val="single" w:sz="4" w:space="0" w:color="auto"/>
            </w:tcBorders>
            <w:shd w:val="clear" w:color="auto" w:fill="auto"/>
            <w:noWrap/>
            <w:vAlign w:val="center"/>
          </w:tcPr>
          <w:p w14:paraId="22E192FE" w14:textId="77777777" w:rsidR="00EC3804" w:rsidRPr="00321B46" w:rsidRDefault="00EC3804" w:rsidP="00B0187D">
            <w:pPr>
              <w:spacing w:before="0" w:after="0"/>
              <w:jc w:val="left"/>
              <w:rPr>
                <w:rFonts w:cs="Arial"/>
                <w:color w:val="000000"/>
                <w:sz w:val="16"/>
                <w:szCs w:val="16"/>
                <w:lang w:eastAsia="es-CO"/>
              </w:rPr>
            </w:pPr>
            <w:r w:rsidRPr="00321B46">
              <w:rPr>
                <w:rFonts w:cs="Arial"/>
                <w:color w:val="000000"/>
                <w:sz w:val="16"/>
                <w:szCs w:val="16"/>
                <w:lang w:eastAsia="es-CO"/>
              </w:rPr>
              <w:t>Equipos de control y comunicaciones</w:t>
            </w:r>
          </w:p>
        </w:tc>
        <w:tc>
          <w:tcPr>
            <w:tcW w:w="1141" w:type="pct"/>
            <w:tcBorders>
              <w:top w:val="nil"/>
              <w:left w:val="nil"/>
              <w:bottom w:val="single" w:sz="4" w:space="0" w:color="auto"/>
              <w:right w:val="single" w:sz="4" w:space="0" w:color="auto"/>
            </w:tcBorders>
            <w:shd w:val="clear" w:color="auto" w:fill="auto"/>
            <w:noWrap/>
            <w:vAlign w:val="center"/>
            <w:hideMark/>
          </w:tcPr>
          <w:p w14:paraId="42D0D83D" w14:textId="77777777" w:rsidR="00EC3804" w:rsidRPr="00321B46" w:rsidRDefault="00EC3804" w:rsidP="00B0187D">
            <w:pPr>
              <w:spacing w:before="0" w:after="0"/>
              <w:jc w:val="center"/>
              <w:rPr>
                <w:rFonts w:cs="Arial"/>
                <w:sz w:val="16"/>
                <w:szCs w:val="16"/>
                <w:lang w:eastAsia="es-CO"/>
              </w:rPr>
            </w:pPr>
            <w:r w:rsidRPr="00321B46">
              <w:rPr>
                <w:rFonts w:cs="Arial"/>
                <w:sz w:val="16"/>
                <w:szCs w:val="16"/>
                <w:lang w:eastAsia="es-CO"/>
              </w:rPr>
              <w:t>10</w:t>
            </w:r>
          </w:p>
        </w:tc>
      </w:tr>
      <w:tr w:rsidR="00EC3804" w:rsidRPr="00321B46" w14:paraId="403006A8" w14:textId="77777777" w:rsidTr="00B0187D">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hideMark/>
          </w:tcPr>
          <w:p w14:paraId="046EC152" w14:textId="77777777" w:rsidR="00EC3804" w:rsidRPr="00321B46" w:rsidRDefault="00EC3804" w:rsidP="00B0187D">
            <w:pPr>
              <w:spacing w:before="0" w:after="0"/>
              <w:jc w:val="center"/>
              <w:rPr>
                <w:rFonts w:cs="Arial"/>
                <w:color w:val="000000"/>
                <w:sz w:val="16"/>
                <w:szCs w:val="16"/>
                <w:lang w:eastAsia="es-CO"/>
              </w:rPr>
            </w:pPr>
            <w:r w:rsidRPr="00321B46">
              <w:rPr>
                <w:rFonts w:cs="Arial"/>
                <w:color w:val="000000"/>
                <w:sz w:val="16"/>
                <w:szCs w:val="16"/>
                <w:lang w:eastAsia="es-CO"/>
              </w:rPr>
              <w:t>5</w:t>
            </w:r>
          </w:p>
        </w:tc>
        <w:tc>
          <w:tcPr>
            <w:tcW w:w="2654" w:type="pct"/>
            <w:tcBorders>
              <w:top w:val="nil"/>
              <w:left w:val="nil"/>
              <w:bottom w:val="single" w:sz="4" w:space="0" w:color="auto"/>
              <w:right w:val="single" w:sz="4" w:space="0" w:color="auto"/>
            </w:tcBorders>
            <w:shd w:val="clear" w:color="auto" w:fill="auto"/>
            <w:noWrap/>
            <w:vAlign w:val="center"/>
          </w:tcPr>
          <w:p w14:paraId="27FB1CBD" w14:textId="77777777" w:rsidR="00EC3804" w:rsidRPr="00321B46" w:rsidRDefault="00EC3804" w:rsidP="00B0187D">
            <w:pPr>
              <w:spacing w:before="0" w:after="0"/>
              <w:jc w:val="left"/>
              <w:rPr>
                <w:rFonts w:cs="Arial"/>
                <w:color w:val="000000"/>
                <w:sz w:val="16"/>
                <w:szCs w:val="16"/>
                <w:lang w:eastAsia="es-CO"/>
              </w:rPr>
            </w:pPr>
            <w:r w:rsidRPr="00321B46">
              <w:rPr>
                <w:rFonts w:cs="Arial"/>
                <w:color w:val="000000"/>
                <w:sz w:val="16"/>
                <w:szCs w:val="16"/>
                <w:lang w:eastAsia="es-CO"/>
              </w:rPr>
              <w:t>Equipos de subestación</w:t>
            </w:r>
          </w:p>
        </w:tc>
        <w:tc>
          <w:tcPr>
            <w:tcW w:w="1141" w:type="pct"/>
            <w:tcBorders>
              <w:top w:val="nil"/>
              <w:left w:val="nil"/>
              <w:bottom w:val="single" w:sz="4" w:space="0" w:color="auto"/>
              <w:right w:val="single" w:sz="4" w:space="0" w:color="auto"/>
            </w:tcBorders>
            <w:shd w:val="clear" w:color="auto" w:fill="auto"/>
            <w:noWrap/>
            <w:vAlign w:val="center"/>
            <w:hideMark/>
          </w:tcPr>
          <w:p w14:paraId="678A501B" w14:textId="77777777" w:rsidR="00EC3804" w:rsidRPr="00321B46" w:rsidRDefault="00EC3804" w:rsidP="00B0187D">
            <w:pPr>
              <w:spacing w:before="0" w:after="0"/>
              <w:jc w:val="center"/>
              <w:rPr>
                <w:rFonts w:cs="Arial"/>
                <w:sz w:val="16"/>
                <w:szCs w:val="16"/>
                <w:lang w:eastAsia="es-CO"/>
              </w:rPr>
            </w:pPr>
            <w:r w:rsidRPr="00321B46">
              <w:rPr>
                <w:rFonts w:cs="Arial"/>
                <w:sz w:val="16"/>
                <w:szCs w:val="16"/>
                <w:lang w:eastAsia="es-CO"/>
              </w:rPr>
              <w:t>35</w:t>
            </w:r>
          </w:p>
        </w:tc>
      </w:tr>
      <w:tr w:rsidR="00EC3804" w:rsidRPr="00321B46" w14:paraId="4BB09E0F" w14:textId="77777777" w:rsidTr="00B0187D">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hideMark/>
          </w:tcPr>
          <w:p w14:paraId="0D7C359F" w14:textId="77777777" w:rsidR="00EC3804" w:rsidRPr="00321B46" w:rsidRDefault="00EC3804" w:rsidP="00B0187D">
            <w:pPr>
              <w:spacing w:before="0" w:after="0"/>
              <w:jc w:val="center"/>
              <w:rPr>
                <w:rFonts w:cs="Arial"/>
                <w:color w:val="000000"/>
                <w:sz w:val="16"/>
                <w:szCs w:val="16"/>
                <w:lang w:eastAsia="es-CO"/>
              </w:rPr>
            </w:pPr>
            <w:r w:rsidRPr="00321B46">
              <w:rPr>
                <w:rFonts w:cs="Arial"/>
                <w:color w:val="000000"/>
                <w:sz w:val="16"/>
                <w:szCs w:val="16"/>
                <w:lang w:eastAsia="es-CO"/>
              </w:rPr>
              <w:t>6</w:t>
            </w:r>
          </w:p>
        </w:tc>
        <w:tc>
          <w:tcPr>
            <w:tcW w:w="2654" w:type="pct"/>
            <w:tcBorders>
              <w:top w:val="nil"/>
              <w:left w:val="nil"/>
              <w:bottom w:val="single" w:sz="4" w:space="0" w:color="auto"/>
              <w:right w:val="single" w:sz="4" w:space="0" w:color="auto"/>
            </w:tcBorders>
            <w:shd w:val="clear" w:color="auto" w:fill="auto"/>
            <w:noWrap/>
            <w:vAlign w:val="center"/>
          </w:tcPr>
          <w:p w14:paraId="7121DF63" w14:textId="77777777" w:rsidR="00EC3804" w:rsidRPr="00321B46" w:rsidRDefault="00EC3804" w:rsidP="00B0187D">
            <w:pPr>
              <w:spacing w:before="0" w:after="0"/>
              <w:jc w:val="left"/>
              <w:rPr>
                <w:rFonts w:cs="Arial"/>
                <w:color w:val="000000"/>
                <w:sz w:val="16"/>
                <w:szCs w:val="16"/>
                <w:lang w:eastAsia="es-CO"/>
              </w:rPr>
            </w:pPr>
            <w:r w:rsidRPr="00321B46">
              <w:rPr>
                <w:rFonts w:cs="Arial"/>
                <w:color w:val="000000"/>
                <w:sz w:val="16"/>
                <w:szCs w:val="16"/>
                <w:lang w:eastAsia="es-CO"/>
              </w:rPr>
              <w:t>Otros activos subestación</w:t>
            </w:r>
          </w:p>
        </w:tc>
        <w:tc>
          <w:tcPr>
            <w:tcW w:w="1141" w:type="pct"/>
            <w:tcBorders>
              <w:top w:val="nil"/>
              <w:left w:val="nil"/>
              <w:bottom w:val="single" w:sz="4" w:space="0" w:color="auto"/>
              <w:right w:val="single" w:sz="4" w:space="0" w:color="auto"/>
            </w:tcBorders>
            <w:shd w:val="clear" w:color="auto" w:fill="auto"/>
            <w:noWrap/>
            <w:vAlign w:val="center"/>
            <w:hideMark/>
          </w:tcPr>
          <w:p w14:paraId="3B83D5DF" w14:textId="77777777" w:rsidR="00EC3804" w:rsidRPr="00321B46" w:rsidRDefault="00EC3804" w:rsidP="00B0187D">
            <w:pPr>
              <w:spacing w:before="0" w:after="0"/>
              <w:jc w:val="center"/>
              <w:rPr>
                <w:rFonts w:cs="Arial"/>
                <w:sz w:val="16"/>
                <w:szCs w:val="16"/>
                <w:lang w:eastAsia="es-CO"/>
              </w:rPr>
            </w:pPr>
            <w:r w:rsidRPr="00321B46">
              <w:rPr>
                <w:rFonts w:cs="Arial"/>
                <w:sz w:val="16"/>
                <w:szCs w:val="16"/>
                <w:lang w:eastAsia="es-CO"/>
              </w:rPr>
              <w:t>35</w:t>
            </w:r>
          </w:p>
        </w:tc>
      </w:tr>
      <w:tr w:rsidR="00EC3804" w:rsidRPr="00321B46" w14:paraId="652EED4C" w14:textId="77777777" w:rsidTr="00B0187D">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hideMark/>
          </w:tcPr>
          <w:p w14:paraId="51AC7B51" w14:textId="77777777" w:rsidR="00EC3804" w:rsidRPr="00321B46" w:rsidRDefault="00EC3804" w:rsidP="00B0187D">
            <w:pPr>
              <w:spacing w:before="0" w:after="0"/>
              <w:jc w:val="center"/>
              <w:rPr>
                <w:rFonts w:cs="Arial"/>
                <w:color w:val="000000"/>
                <w:sz w:val="16"/>
                <w:szCs w:val="16"/>
                <w:lang w:eastAsia="es-CO"/>
              </w:rPr>
            </w:pPr>
            <w:r w:rsidRPr="00321B46">
              <w:rPr>
                <w:rFonts w:cs="Arial"/>
                <w:color w:val="000000"/>
                <w:sz w:val="16"/>
                <w:szCs w:val="16"/>
                <w:lang w:eastAsia="es-CO"/>
              </w:rPr>
              <w:t>7</w:t>
            </w:r>
          </w:p>
        </w:tc>
        <w:tc>
          <w:tcPr>
            <w:tcW w:w="2654" w:type="pct"/>
            <w:tcBorders>
              <w:top w:val="nil"/>
              <w:left w:val="nil"/>
              <w:bottom w:val="single" w:sz="4" w:space="0" w:color="auto"/>
              <w:right w:val="single" w:sz="4" w:space="0" w:color="auto"/>
            </w:tcBorders>
            <w:shd w:val="clear" w:color="auto" w:fill="auto"/>
            <w:noWrap/>
            <w:vAlign w:val="center"/>
          </w:tcPr>
          <w:p w14:paraId="6103B268" w14:textId="77777777" w:rsidR="00EC3804" w:rsidRPr="00321B46" w:rsidRDefault="00EC3804" w:rsidP="00B0187D">
            <w:pPr>
              <w:spacing w:before="0" w:after="0"/>
              <w:jc w:val="left"/>
              <w:rPr>
                <w:rFonts w:cs="Arial"/>
                <w:color w:val="000000"/>
                <w:sz w:val="16"/>
                <w:szCs w:val="16"/>
                <w:lang w:eastAsia="es-CO"/>
              </w:rPr>
            </w:pPr>
            <w:r w:rsidRPr="00321B46">
              <w:rPr>
                <w:rFonts w:cs="Arial"/>
                <w:color w:val="000000"/>
                <w:sz w:val="16"/>
                <w:szCs w:val="16"/>
                <w:lang w:eastAsia="es-CO"/>
              </w:rPr>
              <w:t>Centro de control</w:t>
            </w:r>
          </w:p>
        </w:tc>
        <w:tc>
          <w:tcPr>
            <w:tcW w:w="1141" w:type="pct"/>
            <w:tcBorders>
              <w:top w:val="nil"/>
              <w:left w:val="nil"/>
              <w:bottom w:val="single" w:sz="4" w:space="0" w:color="auto"/>
              <w:right w:val="single" w:sz="4" w:space="0" w:color="auto"/>
            </w:tcBorders>
            <w:shd w:val="clear" w:color="auto" w:fill="auto"/>
            <w:noWrap/>
            <w:vAlign w:val="center"/>
            <w:hideMark/>
          </w:tcPr>
          <w:p w14:paraId="65E033C5" w14:textId="77777777" w:rsidR="00EC3804" w:rsidRPr="00321B46" w:rsidRDefault="00EC3804" w:rsidP="00B0187D">
            <w:pPr>
              <w:spacing w:before="0" w:after="0"/>
              <w:jc w:val="center"/>
              <w:rPr>
                <w:rFonts w:cs="Arial"/>
                <w:sz w:val="16"/>
                <w:szCs w:val="16"/>
                <w:lang w:eastAsia="es-CO"/>
              </w:rPr>
            </w:pPr>
            <w:r w:rsidRPr="00321B46">
              <w:rPr>
                <w:rFonts w:cs="Arial"/>
                <w:sz w:val="16"/>
                <w:szCs w:val="16"/>
                <w:lang w:eastAsia="es-CO"/>
              </w:rPr>
              <w:t>10</w:t>
            </w:r>
          </w:p>
        </w:tc>
      </w:tr>
      <w:tr w:rsidR="00EC3804" w:rsidRPr="00321B46" w14:paraId="3D1FA78D" w14:textId="77777777" w:rsidTr="00B0187D">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hideMark/>
          </w:tcPr>
          <w:p w14:paraId="5452698E" w14:textId="77777777" w:rsidR="00EC3804" w:rsidRPr="00321B46" w:rsidRDefault="00EC3804" w:rsidP="00B0187D">
            <w:pPr>
              <w:spacing w:before="0" w:after="0"/>
              <w:jc w:val="center"/>
              <w:rPr>
                <w:rFonts w:cs="Arial"/>
                <w:color w:val="000000"/>
                <w:sz w:val="16"/>
                <w:szCs w:val="16"/>
                <w:lang w:eastAsia="es-CO"/>
              </w:rPr>
            </w:pPr>
            <w:r w:rsidRPr="00321B46">
              <w:rPr>
                <w:rFonts w:cs="Arial"/>
                <w:color w:val="000000"/>
                <w:sz w:val="16"/>
                <w:szCs w:val="16"/>
                <w:lang w:eastAsia="es-CO"/>
              </w:rPr>
              <w:t>8</w:t>
            </w:r>
          </w:p>
        </w:tc>
        <w:tc>
          <w:tcPr>
            <w:tcW w:w="2654" w:type="pct"/>
            <w:tcBorders>
              <w:top w:val="nil"/>
              <w:left w:val="nil"/>
              <w:bottom w:val="single" w:sz="4" w:space="0" w:color="auto"/>
              <w:right w:val="single" w:sz="4" w:space="0" w:color="auto"/>
            </w:tcBorders>
            <w:shd w:val="clear" w:color="auto" w:fill="auto"/>
            <w:noWrap/>
            <w:vAlign w:val="center"/>
          </w:tcPr>
          <w:p w14:paraId="78A84A78" w14:textId="77777777" w:rsidR="00EC3804" w:rsidRPr="00321B46" w:rsidRDefault="00EC3804" w:rsidP="00B0187D">
            <w:pPr>
              <w:spacing w:before="0" w:after="0"/>
              <w:jc w:val="left"/>
              <w:rPr>
                <w:rFonts w:cs="Arial"/>
                <w:color w:val="000000"/>
                <w:sz w:val="16"/>
                <w:szCs w:val="16"/>
                <w:lang w:eastAsia="es-CO"/>
              </w:rPr>
            </w:pPr>
            <w:r w:rsidRPr="00321B46">
              <w:rPr>
                <w:rFonts w:cs="Arial"/>
                <w:color w:val="000000"/>
                <w:sz w:val="16"/>
                <w:szCs w:val="16"/>
                <w:lang w:eastAsia="es-CO"/>
              </w:rPr>
              <w:t>Líneas aéreas</w:t>
            </w:r>
          </w:p>
        </w:tc>
        <w:tc>
          <w:tcPr>
            <w:tcW w:w="1141" w:type="pct"/>
            <w:tcBorders>
              <w:top w:val="nil"/>
              <w:left w:val="nil"/>
              <w:bottom w:val="single" w:sz="4" w:space="0" w:color="auto"/>
              <w:right w:val="single" w:sz="4" w:space="0" w:color="auto"/>
            </w:tcBorders>
            <w:shd w:val="clear" w:color="auto" w:fill="auto"/>
            <w:noWrap/>
            <w:vAlign w:val="center"/>
            <w:hideMark/>
          </w:tcPr>
          <w:p w14:paraId="6B3DCE49" w14:textId="77777777" w:rsidR="00EC3804" w:rsidRPr="00321B46" w:rsidRDefault="00EC3804" w:rsidP="00B0187D">
            <w:pPr>
              <w:spacing w:before="0" w:after="0"/>
              <w:jc w:val="center"/>
              <w:rPr>
                <w:rFonts w:cs="Arial"/>
                <w:sz w:val="16"/>
                <w:szCs w:val="16"/>
                <w:lang w:eastAsia="es-CO"/>
              </w:rPr>
            </w:pPr>
            <w:r w:rsidRPr="00321B46">
              <w:rPr>
                <w:rFonts w:cs="Arial"/>
                <w:sz w:val="16"/>
                <w:szCs w:val="16"/>
                <w:lang w:eastAsia="es-CO"/>
              </w:rPr>
              <w:t>45</w:t>
            </w:r>
          </w:p>
        </w:tc>
      </w:tr>
      <w:tr w:rsidR="00EC3804" w:rsidRPr="00321B46" w14:paraId="19C86870" w14:textId="77777777" w:rsidTr="00B0187D">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hideMark/>
          </w:tcPr>
          <w:p w14:paraId="026BAEC2" w14:textId="77777777" w:rsidR="00EC3804" w:rsidRPr="00321B46" w:rsidRDefault="00EC3804" w:rsidP="00B0187D">
            <w:pPr>
              <w:spacing w:before="0" w:after="0"/>
              <w:jc w:val="center"/>
              <w:rPr>
                <w:rFonts w:cs="Arial"/>
                <w:color w:val="000000"/>
                <w:sz w:val="16"/>
                <w:szCs w:val="16"/>
                <w:lang w:eastAsia="es-CO"/>
              </w:rPr>
            </w:pPr>
            <w:r w:rsidRPr="00321B46">
              <w:rPr>
                <w:rFonts w:cs="Arial"/>
                <w:color w:val="000000"/>
                <w:sz w:val="16"/>
                <w:szCs w:val="16"/>
                <w:lang w:eastAsia="es-CO"/>
              </w:rPr>
              <w:t>9</w:t>
            </w:r>
          </w:p>
        </w:tc>
        <w:tc>
          <w:tcPr>
            <w:tcW w:w="2654" w:type="pct"/>
            <w:tcBorders>
              <w:top w:val="nil"/>
              <w:left w:val="nil"/>
              <w:bottom w:val="single" w:sz="4" w:space="0" w:color="auto"/>
              <w:right w:val="single" w:sz="4" w:space="0" w:color="auto"/>
            </w:tcBorders>
            <w:shd w:val="clear" w:color="auto" w:fill="auto"/>
            <w:noWrap/>
            <w:vAlign w:val="center"/>
          </w:tcPr>
          <w:p w14:paraId="781BF67B" w14:textId="77777777" w:rsidR="00EC3804" w:rsidRPr="00321B46" w:rsidRDefault="00EC3804" w:rsidP="00B0187D">
            <w:pPr>
              <w:spacing w:before="0" w:after="0"/>
              <w:jc w:val="left"/>
              <w:rPr>
                <w:rFonts w:cs="Arial"/>
                <w:color w:val="000000"/>
                <w:sz w:val="16"/>
                <w:szCs w:val="16"/>
                <w:lang w:eastAsia="es-CO"/>
              </w:rPr>
            </w:pPr>
            <w:r w:rsidRPr="00321B46">
              <w:rPr>
                <w:rFonts w:cs="Arial"/>
                <w:color w:val="000000"/>
                <w:sz w:val="16"/>
                <w:szCs w:val="16"/>
                <w:lang w:eastAsia="es-CO"/>
              </w:rPr>
              <w:t>Líneas subterráneas</w:t>
            </w:r>
          </w:p>
        </w:tc>
        <w:tc>
          <w:tcPr>
            <w:tcW w:w="1141" w:type="pct"/>
            <w:tcBorders>
              <w:top w:val="nil"/>
              <w:left w:val="nil"/>
              <w:bottom w:val="single" w:sz="4" w:space="0" w:color="auto"/>
              <w:right w:val="single" w:sz="4" w:space="0" w:color="auto"/>
            </w:tcBorders>
            <w:shd w:val="clear" w:color="auto" w:fill="auto"/>
            <w:noWrap/>
            <w:vAlign w:val="center"/>
            <w:hideMark/>
          </w:tcPr>
          <w:p w14:paraId="63CBBAC1" w14:textId="77777777" w:rsidR="00EC3804" w:rsidRPr="00321B46" w:rsidRDefault="00EC3804" w:rsidP="00B0187D">
            <w:pPr>
              <w:spacing w:before="0" w:after="0"/>
              <w:jc w:val="center"/>
              <w:rPr>
                <w:rFonts w:cs="Arial"/>
                <w:sz w:val="16"/>
                <w:szCs w:val="16"/>
                <w:lang w:eastAsia="es-CO"/>
              </w:rPr>
            </w:pPr>
            <w:r w:rsidRPr="00321B46">
              <w:rPr>
                <w:rFonts w:cs="Arial"/>
                <w:sz w:val="16"/>
                <w:szCs w:val="16"/>
                <w:lang w:eastAsia="es-CO"/>
              </w:rPr>
              <w:t>45</w:t>
            </w:r>
          </w:p>
        </w:tc>
      </w:tr>
    </w:tbl>
    <w:p w14:paraId="385B60DD" w14:textId="77777777" w:rsidR="00EC3804" w:rsidRPr="00321B46" w:rsidRDefault="00EC3804" w:rsidP="00EC3804">
      <w:pPr>
        <w:spacing w:before="0" w:after="0"/>
        <w:jc w:val="left"/>
        <w:rPr>
          <w:rFonts w:cs="Arial"/>
        </w:rPr>
      </w:pPr>
    </w:p>
    <w:p w14:paraId="37300463" w14:textId="77777777" w:rsidR="00EC3804" w:rsidRPr="00321B46" w:rsidRDefault="00EC3804">
      <w:pPr>
        <w:spacing w:before="0" w:after="0"/>
        <w:jc w:val="left"/>
        <w:rPr>
          <w:b/>
          <w:caps/>
          <w:szCs w:val="20"/>
          <w:lang w:val="es-CO"/>
        </w:rPr>
      </w:pPr>
      <w:r w:rsidRPr="00321B46">
        <w:br w:type="page"/>
      </w:r>
    </w:p>
    <w:p w14:paraId="554333DE" w14:textId="7AC01D46" w:rsidR="00E43449" w:rsidRPr="00321B46" w:rsidRDefault="00E43449">
      <w:pPr>
        <w:pStyle w:val="Ttulo1"/>
      </w:pPr>
      <w:bookmarkStart w:id="479" w:name="_Ref465954654"/>
      <w:bookmarkStart w:id="480" w:name="_Toc466392693"/>
      <w:r w:rsidRPr="00321B46">
        <w:t>VALORACIÓN DE ACTIVOS EXISTENTES</w:t>
      </w:r>
      <w:bookmarkEnd w:id="459"/>
      <w:bookmarkEnd w:id="479"/>
      <w:bookmarkEnd w:id="480"/>
    </w:p>
    <w:p w14:paraId="0E29A1BF" w14:textId="77777777" w:rsidR="00E43449" w:rsidRPr="00321B46" w:rsidRDefault="00E43449" w:rsidP="00E43449">
      <w:r w:rsidRPr="00321B46">
        <w:t>Para la valoración de los activos construidos con anterioridad a  la fecha de corte, que hacen parte de la BRA inicial, se utilizan las UC y los valores que se presentan en este capítulo.</w:t>
      </w:r>
    </w:p>
    <w:p w14:paraId="6E2EC48C" w14:textId="77777777" w:rsidR="00E43449" w:rsidRPr="00321B46" w:rsidRDefault="00E43449" w:rsidP="00BF7220">
      <w:pPr>
        <w:pStyle w:val="Ttulo2"/>
      </w:pPr>
      <w:bookmarkStart w:id="481" w:name="_Toc220842331"/>
      <w:bookmarkStart w:id="482" w:name="_Toc466392694"/>
      <w:r w:rsidRPr="00321B46">
        <w:t>Valor de las UC</w:t>
      </w:r>
      <w:bookmarkEnd w:id="481"/>
      <w:bookmarkEnd w:id="482"/>
    </w:p>
    <w:p w14:paraId="1337167D" w14:textId="5B0168B9" w:rsidR="00E43449" w:rsidRPr="00321B46" w:rsidRDefault="00E43449" w:rsidP="00E43449">
      <w:pPr>
        <w:pStyle w:val="Ttulo3"/>
        <w:tabs>
          <w:tab w:val="left" w:pos="851"/>
        </w:tabs>
        <w:suppressAutoHyphens/>
        <w:ind w:left="851" w:hanging="851"/>
      </w:pPr>
      <w:bookmarkStart w:id="483" w:name="_Toc466392695"/>
      <w:r w:rsidRPr="00321B46">
        <w:t>Subestaciones</w:t>
      </w:r>
      <w:bookmarkEnd w:id="483"/>
    </w:p>
    <w:p w14:paraId="436674FA" w14:textId="77777777" w:rsidR="00E43449" w:rsidRPr="00321B46" w:rsidRDefault="00E43449" w:rsidP="00E43449">
      <w:r w:rsidRPr="00321B46">
        <w:t xml:space="preserve">Para las subestaciones del STN se tienen en cuenta las siguientes configuraciones, cuyos códigos se utilizan en la definición de las unidades constructivas: </w:t>
      </w:r>
    </w:p>
    <w:p w14:paraId="4CA2842B" w14:textId="4B74F0FB" w:rsidR="00E43449" w:rsidRPr="00321B46" w:rsidRDefault="00E43449" w:rsidP="00E434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22</w:t>
      </w:r>
      <w:r w:rsidRPr="00321B46">
        <w:rPr>
          <w:noProof/>
        </w:rPr>
        <w:fldChar w:fldCharType="end"/>
      </w:r>
      <w:r w:rsidRPr="00321B46">
        <w:t xml:space="preserve">. Configuraciones </w:t>
      </w:r>
      <w:r w:rsidR="00BE0E49" w:rsidRPr="00321B46">
        <w:t xml:space="preserve">existentes </w:t>
      </w:r>
      <w:r w:rsidRPr="00321B46">
        <w:t>de subestaciones</w:t>
      </w:r>
    </w:p>
    <w:p w14:paraId="11B54E4D" w14:textId="77777777" w:rsidR="00E43449" w:rsidRPr="00321B46" w:rsidRDefault="00E43449" w:rsidP="00E43449">
      <w:pPr>
        <w:jc w:val="center"/>
      </w:pPr>
      <w:r w:rsidRPr="00321B46">
        <w:rPr>
          <w:noProof/>
          <w:lang w:val="es-CO" w:eastAsia="es-CO"/>
        </w:rPr>
        <w:drawing>
          <wp:inline distT="0" distB="0" distL="0" distR="0" wp14:anchorId="14001F1C" wp14:editId="63B638FB">
            <wp:extent cx="4578350" cy="1790065"/>
            <wp:effectExtent l="19050" t="0" r="0" b="0"/>
            <wp:docPr id="5"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4578350" cy="1790065"/>
                    </a:xfrm>
                    <a:prstGeom prst="rect">
                      <a:avLst/>
                    </a:prstGeom>
                    <a:noFill/>
                    <a:ln w="9525">
                      <a:noFill/>
                      <a:miter lim="800000"/>
                      <a:headEnd/>
                      <a:tailEnd/>
                    </a:ln>
                  </pic:spPr>
                </pic:pic>
              </a:graphicData>
            </a:graphic>
          </wp:inline>
        </w:drawing>
      </w:r>
    </w:p>
    <w:p w14:paraId="738989EE" w14:textId="77777777" w:rsidR="00E43449" w:rsidRPr="00321B46" w:rsidRDefault="00E43449" w:rsidP="00E43449">
      <w:r w:rsidRPr="00321B46">
        <w:t>Adicionalmente, dependiendo del número de bahías del STN ubicadas en cada subestación, se clasifican en dos tipos:</w:t>
      </w:r>
    </w:p>
    <w:p w14:paraId="7E7D64DF" w14:textId="1DDC850D" w:rsidR="00E43449" w:rsidRPr="00321B46" w:rsidRDefault="00E43449" w:rsidP="00E434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23</w:t>
      </w:r>
      <w:r w:rsidRPr="00321B46">
        <w:rPr>
          <w:noProof/>
        </w:rPr>
        <w:fldChar w:fldCharType="end"/>
      </w:r>
      <w:r w:rsidRPr="00321B46">
        <w:t xml:space="preserve">. Tipos </w:t>
      </w:r>
      <w:r w:rsidR="00BE0E49" w:rsidRPr="00321B46">
        <w:t xml:space="preserve">existentes </w:t>
      </w:r>
      <w:r w:rsidRPr="00321B46">
        <w:t>según el número de bahías</w:t>
      </w:r>
      <w:r w:rsidR="00BE0E49" w:rsidRPr="00321B46">
        <w:t xml:space="preserve"> </w:t>
      </w:r>
    </w:p>
    <w:p w14:paraId="2B93B121" w14:textId="77777777" w:rsidR="00E43449" w:rsidRPr="00321B46" w:rsidRDefault="00E43449" w:rsidP="00E43449">
      <w:pPr>
        <w:jc w:val="center"/>
      </w:pPr>
      <w:r w:rsidRPr="00321B46">
        <w:rPr>
          <w:noProof/>
          <w:lang w:val="es-CO" w:eastAsia="es-CO"/>
        </w:rPr>
        <w:drawing>
          <wp:inline distT="0" distB="0" distL="0" distR="0" wp14:anchorId="60B4DDC8" wp14:editId="15AD3161">
            <wp:extent cx="4507865" cy="521335"/>
            <wp:effectExtent l="19050" t="0" r="6985"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507865" cy="521335"/>
                    </a:xfrm>
                    <a:prstGeom prst="rect">
                      <a:avLst/>
                    </a:prstGeom>
                    <a:noFill/>
                    <a:ln w="9525">
                      <a:noFill/>
                      <a:miter lim="800000"/>
                      <a:headEnd/>
                      <a:tailEnd/>
                    </a:ln>
                  </pic:spPr>
                </pic:pic>
              </a:graphicData>
            </a:graphic>
          </wp:inline>
        </w:drawing>
      </w:r>
    </w:p>
    <w:p w14:paraId="5BFF0B0A" w14:textId="1C0EDB46" w:rsidR="00E43449" w:rsidRPr="00321B46" w:rsidRDefault="00E43449" w:rsidP="00E434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24</w:t>
      </w:r>
      <w:r w:rsidRPr="00321B46">
        <w:rPr>
          <w:noProof/>
        </w:rPr>
        <w:fldChar w:fldCharType="end"/>
      </w:r>
      <w:r w:rsidRPr="00321B46">
        <w:t xml:space="preserve">. UC </w:t>
      </w:r>
      <w:r w:rsidR="00BE0E49" w:rsidRPr="00321B46">
        <w:t xml:space="preserve">existentes </w:t>
      </w:r>
      <w:r w:rsidRPr="00321B46">
        <w:t>de subestaciones de 230 kV</w:t>
      </w:r>
    </w:p>
    <w:p w14:paraId="6257667B" w14:textId="77777777" w:rsidR="00E43449" w:rsidRPr="00321B46" w:rsidRDefault="00E43449" w:rsidP="00E43449">
      <w:pPr>
        <w:jc w:val="center"/>
      </w:pPr>
      <w:r w:rsidRPr="00321B46">
        <w:rPr>
          <w:noProof/>
          <w:lang w:val="es-CO" w:eastAsia="es-CO"/>
        </w:rPr>
        <w:drawing>
          <wp:inline distT="0" distB="0" distL="0" distR="0" wp14:anchorId="304C030C" wp14:editId="6F1DAEA9">
            <wp:extent cx="5612130" cy="7010327"/>
            <wp:effectExtent l="19050" t="0" r="7620" b="0"/>
            <wp:docPr id="3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srcRect/>
                    <a:stretch>
                      <a:fillRect/>
                    </a:stretch>
                  </pic:blipFill>
                  <pic:spPr bwMode="auto">
                    <a:xfrm>
                      <a:off x="0" y="0"/>
                      <a:ext cx="5612130" cy="7010327"/>
                    </a:xfrm>
                    <a:prstGeom prst="rect">
                      <a:avLst/>
                    </a:prstGeom>
                    <a:noFill/>
                    <a:ln w="9525">
                      <a:noFill/>
                      <a:miter lim="800000"/>
                      <a:headEnd/>
                      <a:tailEnd/>
                    </a:ln>
                  </pic:spPr>
                </pic:pic>
              </a:graphicData>
            </a:graphic>
          </wp:inline>
        </w:drawing>
      </w:r>
    </w:p>
    <w:p w14:paraId="4E037372" w14:textId="49318C26" w:rsidR="00E43449" w:rsidRPr="00321B46" w:rsidRDefault="00E43449" w:rsidP="00E434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25</w:t>
      </w:r>
      <w:r w:rsidRPr="00321B46">
        <w:rPr>
          <w:noProof/>
        </w:rPr>
        <w:fldChar w:fldCharType="end"/>
      </w:r>
      <w:r w:rsidRPr="00321B46">
        <w:t xml:space="preserve">. UC </w:t>
      </w:r>
      <w:r w:rsidR="00BE0E49" w:rsidRPr="00321B46">
        <w:t xml:space="preserve">existentes </w:t>
      </w:r>
      <w:r w:rsidRPr="00321B46">
        <w:t>de subestaciones de 500 kV</w:t>
      </w:r>
    </w:p>
    <w:p w14:paraId="7570B26E" w14:textId="77777777" w:rsidR="00E43449" w:rsidRPr="00321B46" w:rsidRDefault="00E43449" w:rsidP="00E43449">
      <w:pPr>
        <w:jc w:val="center"/>
      </w:pPr>
      <w:r w:rsidRPr="00321B46">
        <w:rPr>
          <w:noProof/>
          <w:lang w:val="es-CO" w:eastAsia="es-CO"/>
        </w:rPr>
        <w:drawing>
          <wp:inline distT="0" distB="0" distL="0" distR="0" wp14:anchorId="60C27849" wp14:editId="1F8D8221">
            <wp:extent cx="5612130" cy="2467590"/>
            <wp:effectExtent l="19050" t="0" r="7620" b="0"/>
            <wp:docPr id="39"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srcRect/>
                    <a:stretch>
                      <a:fillRect/>
                    </a:stretch>
                  </pic:blipFill>
                  <pic:spPr bwMode="auto">
                    <a:xfrm>
                      <a:off x="0" y="0"/>
                      <a:ext cx="5612130" cy="2467590"/>
                    </a:xfrm>
                    <a:prstGeom prst="rect">
                      <a:avLst/>
                    </a:prstGeom>
                    <a:noFill/>
                    <a:ln w="9525">
                      <a:noFill/>
                      <a:miter lim="800000"/>
                      <a:headEnd/>
                      <a:tailEnd/>
                    </a:ln>
                  </pic:spPr>
                </pic:pic>
              </a:graphicData>
            </a:graphic>
          </wp:inline>
        </w:drawing>
      </w:r>
    </w:p>
    <w:p w14:paraId="7F7A13E1" w14:textId="327068D9" w:rsidR="00E43449" w:rsidRPr="00321B46" w:rsidRDefault="00E43449" w:rsidP="00E434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26</w:t>
      </w:r>
      <w:r w:rsidRPr="00321B46">
        <w:rPr>
          <w:noProof/>
        </w:rPr>
        <w:fldChar w:fldCharType="end"/>
      </w:r>
      <w:r w:rsidRPr="00321B46">
        <w:t xml:space="preserve">. </w:t>
      </w:r>
      <w:r w:rsidR="00700E95" w:rsidRPr="00321B46">
        <w:t>UC existentes  de t</w:t>
      </w:r>
      <w:r w:rsidRPr="00321B46">
        <w:t>ransformadores</w:t>
      </w:r>
    </w:p>
    <w:p w14:paraId="09598A90" w14:textId="77777777" w:rsidR="00E43449" w:rsidRPr="00321B46" w:rsidRDefault="00E43449" w:rsidP="00E43449">
      <w:pPr>
        <w:jc w:val="center"/>
      </w:pPr>
      <w:r w:rsidRPr="00321B46">
        <w:rPr>
          <w:noProof/>
          <w:lang w:val="es-CO" w:eastAsia="es-CO"/>
        </w:rPr>
        <w:drawing>
          <wp:inline distT="0" distB="0" distL="0" distR="0" wp14:anchorId="12C5FE43" wp14:editId="50B814C0">
            <wp:extent cx="5612130" cy="791126"/>
            <wp:effectExtent l="19050" t="0" r="7620" b="0"/>
            <wp:docPr id="4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srcRect/>
                    <a:stretch>
                      <a:fillRect/>
                    </a:stretch>
                  </pic:blipFill>
                  <pic:spPr bwMode="auto">
                    <a:xfrm>
                      <a:off x="0" y="0"/>
                      <a:ext cx="5612130" cy="791126"/>
                    </a:xfrm>
                    <a:prstGeom prst="rect">
                      <a:avLst/>
                    </a:prstGeom>
                    <a:noFill/>
                    <a:ln w="9525">
                      <a:noFill/>
                      <a:miter lim="800000"/>
                      <a:headEnd/>
                      <a:tailEnd/>
                    </a:ln>
                  </pic:spPr>
                </pic:pic>
              </a:graphicData>
            </a:graphic>
          </wp:inline>
        </w:drawing>
      </w:r>
    </w:p>
    <w:p w14:paraId="4B257879" w14:textId="77777777" w:rsidR="00E43449" w:rsidRPr="00321B46" w:rsidRDefault="00E43449" w:rsidP="00E43449">
      <w:pPr>
        <w:pStyle w:val="Ttulo3"/>
        <w:tabs>
          <w:tab w:val="left" w:pos="851"/>
        </w:tabs>
        <w:suppressAutoHyphens/>
        <w:ind w:left="851" w:hanging="851"/>
      </w:pPr>
      <w:bookmarkStart w:id="484" w:name="_Toc406258733"/>
      <w:bookmarkStart w:id="485" w:name="_Toc406258922"/>
      <w:bookmarkStart w:id="486" w:name="_Toc406259656"/>
      <w:bookmarkStart w:id="487" w:name="_Toc408221136"/>
      <w:bookmarkStart w:id="488" w:name="_Toc408221223"/>
      <w:bookmarkStart w:id="489" w:name="_Toc408230775"/>
      <w:bookmarkStart w:id="490" w:name="_Toc466392696"/>
      <w:bookmarkEnd w:id="484"/>
      <w:bookmarkEnd w:id="485"/>
      <w:bookmarkEnd w:id="486"/>
      <w:bookmarkEnd w:id="487"/>
      <w:bookmarkEnd w:id="488"/>
      <w:bookmarkEnd w:id="489"/>
      <w:r w:rsidRPr="00321B46">
        <w:t>UC de compensación</w:t>
      </w:r>
      <w:bookmarkEnd w:id="490"/>
    </w:p>
    <w:p w14:paraId="778BA2B4" w14:textId="65CA8437" w:rsidR="00E43449" w:rsidRPr="00321B46" w:rsidRDefault="00E43449" w:rsidP="00E434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27</w:t>
      </w:r>
      <w:r w:rsidRPr="00321B46">
        <w:rPr>
          <w:noProof/>
        </w:rPr>
        <w:fldChar w:fldCharType="end"/>
      </w:r>
      <w:r w:rsidRPr="00321B46">
        <w:t xml:space="preserve">. UC </w:t>
      </w:r>
      <w:r w:rsidR="00700E95" w:rsidRPr="00321B46">
        <w:t xml:space="preserve">existentes </w:t>
      </w:r>
      <w:r w:rsidRPr="00321B46">
        <w:t>de compensación para 230 kV</w:t>
      </w:r>
    </w:p>
    <w:p w14:paraId="42EDD10C" w14:textId="77777777" w:rsidR="00E43449" w:rsidRPr="00321B46" w:rsidRDefault="00E43449" w:rsidP="00E43449">
      <w:pPr>
        <w:jc w:val="center"/>
      </w:pPr>
      <w:r w:rsidRPr="00321B46">
        <w:rPr>
          <w:noProof/>
          <w:lang w:val="es-CO" w:eastAsia="es-CO"/>
        </w:rPr>
        <w:drawing>
          <wp:inline distT="0" distB="0" distL="0" distR="0" wp14:anchorId="4100DD5F" wp14:editId="59395443">
            <wp:extent cx="5612130" cy="3635596"/>
            <wp:effectExtent l="19050" t="0" r="7620" b="0"/>
            <wp:docPr id="4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srcRect/>
                    <a:stretch>
                      <a:fillRect/>
                    </a:stretch>
                  </pic:blipFill>
                  <pic:spPr bwMode="auto">
                    <a:xfrm>
                      <a:off x="0" y="0"/>
                      <a:ext cx="5612130" cy="3635596"/>
                    </a:xfrm>
                    <a:prstGeom prst="rect">
                      <a:avLst/>
                    </a:prstGeom>
                    <a:noFill/>
                    <a:ln w="9525">
                      <a:noFill/>
                      <a:miter lim="800000"/>
                      <a:headEnd/>
                      <a:tailEnd/>
                    </a:ln>
                  </pic:spPr>
                </pic:pic>
              </a:graphicData>
            </a:graphic>
          </wp:inline>
        </w:drawing>
      </w:r>
    </w:p>
    <w:p w14:paraId="3879845D" w14:textId="00E01001" w:rsidR="00E43449" w:rsidRPr="00321B46" w:rsidRDefault="00E43449" w:rsidP="00E434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28</w:t>
      </w:r>
      <w:r w:rsidRPr="00321B46">
        <w:rPr>
          <w:noProof/>
        </w:rPr>
        <w:fldChar w:fldCharType="end"/>
      </w:r>
      <w:r w:rsidRPr="00321B46">
        <w:t xml:space="preserve">. UC </w:t>
      </w:r>
      <w:r w:rsidR="00700E95" w:rsidRPr="00321B46">
        <w:t xml:space="preserve">existentes </w:t>
      </w:r>
      <w:r w:rsidRPr="00321B46">
        <w:t>de compensación para 500 kV</w:t>
      </w:r>
    </w:p>
    <w:p w14:paraId="28D7B6CF" w14:textId="77777777" w:rsidR="00E43449" w:rsidRPr="00321B46" w:rsidRDefault="00E43449" w:rsidP="00E43449">
      <w:pPr>
        <w:jc w:val="center"/>
      </w:pPr>
      <w:r w:rsidRPr="00321B46">
        <w:rPr>
          <w:noProof/>
          <w:lang w:val="es-CO" w:eastAsia="es-CO"/>
        </w:rPr>
        <w:drawing>
          <wp:inline distT="0" distB="0" distL="0" distR="0" wp14:anchorId="07626483" wp14:editId="64B6A4B8">
            <wp:extent cx="5612130" cy="1945277"/>
            <wp:effectExtent l="19050" t="0" r="7620" b="0"/>
            <wp:docPr id="42"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srcRect/>
                    <a:stretch>
                      <a:fillRect/>
                    </a:stretch>
                  </pic:blipFill>
                  <pic:spPr bwMode="auto">
                    <a:xfrm>
                      <a:off x="0" y="0"/>
                      <a:ext cx="5612130" cy="1945277"/>
                    </a:xfrm>
                    <a:prstGeom prst="rect">
                      <a:avLst/>
                    </a:prstGeom>
                    <a:noFill/>
                    <a:ln w="9525">
                      <a:noFill/>
                      <a:miter lim="800000"/>
                      <a:headEnd/>
                      <a:tailEnd/>
                    </a:ln>
                  </pic:spPr>
                </pic:pic>
              </a:graphicData>
            </a:graphic>
          </wp:inline>
        </w:drawing>
      </w:r>
    </w:p>
    <w:p w14:paraId="768CE090" w14:textId="16F5CB7A" w:rsidR="00E43449" w:rsidRPr="00321B46" w:rsidRDefault="00E43449" w:rsidP="00E434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29</w:t>
      </w:r>
      <w:r w:rsidRPr="00321B46">
        <w:fldChar w:fldCharType="end"/>
      </w:r>
      <w:r w:rsidRPr="00321B46">
        <w:t xml:space="preserve">. </w:t>
      </w:r>
      <w:r w:rsidR="00700E95" w:rsidRPr="00321B46">
        <w:t>UC existentes de b</w:t>
      </w:r>
      <w:r w:rsidRPr="00321B46">
        <w:t xml:space="preserve">ancos de </w:t>
      </w:r>
      <w:r w:rsidR="00700E95" w:rsidRPr="00321B46">
        <w:t>r</w:t>
      </w:r>
      <w:r w:rsidRPr="00321B46">
        <w:t>eactores</w:t>
      </w:r>
    </w:p>
    <w:p w14:paraId="158FEB74" w14:textId="77777777" w:rsidR="00E43449" w:rsidRPr="00321B46" w:rsidRDefault="00E43449" w:rsidP="00E43449">
      <w:pPr>
        <w:jc w:val="center"/>
      </w:pPr>
      <w:r w:rsidRPr="00321B46">
        <w:rPr>
          <w:noProof/>
          <w:lang w:val="es-CO" w:eastAsia="es-CO"/>
        </w:rPr>
        <w:drawing>
          <wp:inline distT="0" distB="0" distL="0" distR="0" wp14:anchorId="4DDA0A59" wp14:editId="40CBDA90">
            <wp:extent cx="5612130" cy="621459"/>
            <wp:effectExtent l="19050" t="0" r="7620" b="0"/>
            <wp:docPr id="43"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srcRect/>
                    <a:stretch>
                      <a:fillRect/>
                    </a:stretch>
                  </pic:blipFill>
                  <pic:spPr bwMode="auto">
                    <a:xfrm>
                      <a:off x="0" y="0"/>
                      <a:ext cx="5612130" cy="621459"/>
                    </a:xfrm>
                    <a:prstGeom prst="rect">
                      <a:avLst/>
                    </a:prstGeom>
                    <a:noFill/>
                    <a:ln w="9525">
                      <a:noFill/>
                      <a:miter lim="800000"/>
                      <a:headEnd/>
                      <a:tailEnd/>
                    </a:ln>
                  </pic:spPr>
                </pic:pic>
              </a:graphicData>
            </a:graphic>
          </wp:inline>
        </w:drawing>
      </w:r>
    </w:p>
    <w:p w14:paraId="4D486D6C" w14:textId="3EAA43ED" w:rsidR="00E43449" w:rsidRPr="00321B46" w:rsidRDefault="00E43449" w:rsidP="00E434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30</w:t>
      </w:r>
      <w:r w:rsidRPr="00321B46">
        <w:rPr>
          <w:noProof/>
        </w:rPr>
        <w:fldChar w:fldCharType="end"/>
      </w:r>
      <w:r w:rsidRPr="00321B46">
        <w:t xml:space="preserve">. </w:t>
      </w:r>
      <w:r w:rsidR="00700E95" w:rsidRPr="00321B46">
        <w:t>UC existentes  de c</w:t>
      </w:r>
      <w:r w:rsidRPr="00321B46">
        <w:t xml:space="preserve">ontrol de </w:t>
      </w:r>
      <w:r w:rsidR="00700E95" w:rsidRPr="00321B46">
        <w:t>t</w:t>
      </w:r>
      <w:r w:rsidRPr="00321B46">
        <w:t xml:space="preserve">ensión y </w:t>
      </w:r>
      <w:r w:rsidR="00700E95" w:rsidRPr="00321B46">
        <w:t>r</w:t>
      </w:r>
      <w:r w:rsidRPr="00321B46">
        <w:t>eactivos</w:t>
      </w:r>
    </w:p>
    <w:p w14:paraId="6E9AAF7C" w14:textId="77777777" w:rsidR="00E43449" w:rsidRPr="00321B46" w:rsidRDefault="00E43449" w:rsidP="00E43449">
      <w:pPr>
        <w:jc w:val="center"/>
      </w:pPr>
      <w:r w:rsidRPr="00321B46">
        <w:rPr>
          <w:noProof/>
          <w:lang w:val="es-CO" w:eastAsia="es-CO"/>
        </w:rPr>
        <w:drawing>
          <wp:inline distT="0" distB="0" distL="0" distR="0" wp14:anchorId="678CA52B" wp14:editId="19A9612D">
            <wp:extent cx="5612130" cy="784066"/>
            <wp:effectExtent l="19050" t="0" r="7620" b="0"/>
            <wp:docPr id="44"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srcRect/>
                    <a:stretch>
                      <a:fillRect/>
                    </a:stretch>
                  </pic:blipFill>
                  <pic:spPr bwMode="auto">
                    <a:xfrm>
                      <a:off x="0" y="0"/>
                      <a:ext cx="5612130" cy="784066"/>
                    </a:xfrm>
                    <a:prstGeom prst="rect">
                      <a:avLst/>
                    </a:prstGeom>
                    <a:noFill/>
                    <a:ln w="9525">
                      <a:noFill/>
                      <a:miter lim="800000"/>
                      <a:headEnd/>
                      <a:tailEnd/>
                    </a:ln>
                  </pic:spPr>
                </pic:pic>
              </a:graphicData>
            </a:graphic>
          </wp:inline>
        </w:drawing>
      </w:r>
    </w:p>
    <w:p w14:paraId="3F4B0D6D" w14:textId="77777777" w:rsidR="00E43449" w:rsidRPr="00321B46" w:rsidRDefault="00E43449" w:rsidP="00E43449">
      <w:pPr>
        <w:pStyle w:val="Ttulo3"/>
        <w:tabs>
          <w:tab w:val="left" w:pos="851"/>
        </w:tabs>
        <w:suppressAutoHyphens/>
        <w:ind w:left="851" w:hanging="851"/>
      </w:pPr>
      <w:bookmarkStart w:id="491" w:name="_Toc466392697"/>
      <w:r w:rsidRPr="00321B46">
        <w:t>Centros de supervisión y maniobra</w:t>
      </w:r>
      <w:bookmarkEnd w:id="491"/>
    </w:p>
    <w:p w14:paraId="3D4EDF4C" w14:textId="1B3CC915" w:rsidR="00E43449" w:rsidRPr="00321B46" w:rsidRDefault="00E43449" w:rsidP="00E43449">
      <w:r w:rsidRPr="00321B46">
        <w:t xml:space="preserve">Los centros de supervisión y maniobra (CSM) se clasifican de acuerdo con el número de señales que manejan. Este número de señales se estimará a partir de los activos reportados por cada TN, teniendo en cuenta los valores mostrados en la </w:t>
      </w:r>
      <w:r w:rsidRPr="00321B46">
        <w:fldChar w:fldCharType="begin"/>
      </w:r>
      <w:r w:rsidRPr="00321B46">
        <w:instrText xml:space="preserve"> REF _Ref220833733 \h  \* MERGEFORMAT </w:instrText>
      </w:r>
      <w:r w:rsidRPr="00321B46">
        <w:fldChar w:fldCharType="separate"/>
      </w:r>
      <w:r w:rsidR="000F355F" w:rsidRPr="00321B46">
        <w:t xml:space="preserve">Tabla </w:t>
      </w:r>
      <w:r w:rsidR="000F355F">
        <w:rPr>
          <w:noProof/>
        </w:rPr>
        <w:t>31</w:t>
      </w:r>
      <w:r w:rsidRPr="00321B46">
        <w:fldChar w:fldCharType="end"/>
      </w:r>
      <w:r w:rsidRPr="00321B46">
        <w:t>.</w:t>
      </w:r>
    </w:p>
    <w:p w14:paraId="15D93224" w14:textId="06AB6684" w:rsidR="00E43449" w:rsidRPr="00321B46" w:rsidRDefault="00E43449" w:rsidP="00E43449">
      <w:pPr>
        <w:pStyle w:val="Descripcin"/>
      </w:pPr>
      <w:bookmarkStart w:id="492" w:name="_Ref220833733"/>
      <w:r w:rsidRPr="00321B46">
        <w:t xml:space="preserve">Tabla </w:t>
      </w:r>
      <w:r w:rsidRPr="00321B46">
        <w:fldChar w:fldCharType="begin"/>
      </w:r>
      <w:r w:rsidRPr="00321B46">
        <w:instrText xml:space="preserve"> SEQ Tabla \* ARABIC </w:instrText>
      </w:r>
      <w:r w:rsidRPr="00321B46">
        <w:fldChar w:fldCharType="separate"/>
      </w:r>
      <w:r w:rsidR="000F355F">
        <w:rPr>
          <w:noProof/>
        </w:rPr>
        <w:t>31</w:t>
      </w:r>
      <w:r w:rsidRPr="00321B46">
        <w:rPr>
          <w:noProof/>
        </w:rPr>
        <w:fldChar w:fldCharType="end"/>
      </w:r>
      <w:bookmarkEnd w:id="492"/>
      <w:r w:rsidRPr="00321B46">
        <w:t xml:space="preserve">. Señales </w:t>
      </w:r>
      <w:r w:rsidR="00700E95" w:rsidRPr="00321B46">
        <w:t xml:space="preserve">existentes </w:t>
      </w:r>
      <w:r w:rsidRPr="00321B46">
        <w:t>por UC</w:t>
      </w:r>
    </w:p>
    <w:p w14:paraId="48654626" w14:textId="77777777" w:rsidR="00E43449" w:rsidRPr="00321B46" w:rsidRDefault="00E43449" w:rsidP="00E43449">
      <w:pPr>
        <w:jc w:val="center"/>
      </w:pPr>
      <w:r w:rsidRPr="00321B46">
        <w:rPr>
          <w:noProof/>
          <w:lang w:val="es-CO" w:eastAsia="es-CO"/>
        </w:rPr>
        <w:drawing>
          <wp:inline distT="0" distB="0" distL="0" distR="0" wp14:anchorId="1201CD2C" wp14:editId="6A28D1F2">
            <wp:extent cx="4500880" cy="1197610"/>
            <wp:effectExtent l="19050" t="0" r="0" b="0"/>
            <wp:docPr id="45"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cstate="print"/>
                    <a:srcRect/>
                    <a:stretch>
                      <a:fillRect/>
                    </a:stretch>
                  </pic:blipFill>
                  <pic:spPr bwMode="auto">
                    <a:xfrm>
                      <a:off x="0" y="0"/>
                      <a:ext cx="4500880" cy="1197610"/>
                    </a:xfrm>
                    <a:prstGeom prst="rect">
                      <a:avLst/>
                    </a:prstGeom>
                    <a:noFill/>
                    <a:ln w="9525">
                      <a:noFill/>
                      <a:miter lim="800000"/>
                      <a:headEnd/>
                      <a:tailEnd/>
                    </a:ln>
                  </pic:spPr>
                </pic:pic>
              </a:graphicData>
            </a:graphic>
          </wp:inline>
        </w:drawing>
      </w:r>
    </w:p>
    <w:p w14:paraId="70410D0C" w14:textId="50C7DCB8" w:rsidR="00E43449" w:rsidRPr="00321B46" w:rsidRDefault="00E43449" w:rsidP="00E43449">
      <w:r w:rsidRPr="00321B46">
        <w:t xml:space="preserve">A partir del número de señales estimadas, los CSM se clasifican en diferentes tipos como se muestra en la </w:t>
      </w:r>
      <w:r w:rsidRPr="00321B46">
        <w:fldChar w:fldCharType="begin"/>
      </w:r>
      <w:r w:rsidRPr="00321B46">
        <w:instrText xml:space="preserve"> REF _Ref220833742 \h  \* MERGEFORMAT </w:instrText>
      </w:r>
      <w:r w:rsidRPr="00321B46">
        <w:fldChar w:fldCharType="separate"/>
      </w:r>
      <w:r w:rsidR="000F355F" w:rsidRPr="00321B46">
        <w:t xml:space="preserve">Tabla </w:t>
      </w:r>
      <w:r w:rsidR="000F355F">
        <w:rPr>
          <w:noProof/>
        </w:rPr>
        <w:t>32</w:t>
      </w:r>
      <w:r w:rsidRPr="00321B46">
        <w:fldChar w:fldCharType="end"/>
      </w:r>
      <w:r w:rsidRPr="00321B46">
        <w:t>.</w:t>
      </w:r>
    </w:p>
    <w:p w14:paraId="0A9E7F1F" w14:textId="1989087A" w:rsidR="00E43449" w:rsidRPr="00321B46" w:rsidRDefault="00E43449" w:rsidP="00E43449">
      <w:pPr>
        <w:pStyle w:val="Descripcin"/>
      </w:pPr>
      <w:bookmarkStart w:id="493" w:name="_Ref220833742"/>
      <w:r w:rsidRPr="00321B46">
        <w:t xml:space="preserve">Tabla </w:t>
      </w:r>
      <w:r w:rsidRPr="00321B46">
        <w:fldChar w:fldCharType="begin"/>
      </w:r>
      <w:r w:rsidRPr="00321B46">
        <w:instrText xml:space="preserve"> SEQ Tabla \* ARABIC </w:instrText>
      </w:r>
      <w:r w:rsidRPr="00321B46">
        <w:fldChar w:fldCharType="separate"/>
      </w:r>
      <w:r w:rsidR="000F355F">
        <w:rPr>
          <w:noProof/>
        </w:rPr>
        <w:t>32</w:t>
      </w:r>
      <w:r w:rsidRPr="00321B46">
        <w:rPr>
          <w:noProof/>
        </w:rPr>
        <w:fldChar w:fldCharType="end"/>
      </w:r>
      <w:bookmarkEnd w:id="493"/>
      <w:r w:rsidRPr="00321B46">
        <w:t xml:space="preserve">.  Tipos </w:t>
      </w:r>
      <w:r w:rsidR="00700E95" w:rsidRPr="00321B46">
        <w:t xml:space="preserve">existentes </w:t>
      </w:r>
      <w:r w:rsidRPr="00321B46">
        <w:t>de CSM</w:t>
      </w:r>
    </w:p>
    <w:p w14:paraId="7D7F822E" w14:textId="77777777" w:rsidR="00E43449" w:rsidRPr="00321B46" w:rsidRDefault="00E43449" w:rsidP="00E43449">
      <w:pPr>
        <w:jc w:val="center"/>
      </w:pPr>
      <w:r w:rsidRPr="00321B46">
        <w:rPr>
          <w:noProof/>
          <w:lang w:val="es-CO" w:eastAsia="es-CO"/>
        </w:rPr>
        <w:drawing>
          <wp:inline distT="0" distB="0" distL="0" distR="0" wp14:anchorId="3B0B1D43" wp14:editId="346E5FD8">
            <wp:extent cx="2736850" cy="953135"/>
            <wp:effectExtent l="19050" t="0" r="6350" b="0"/>
            <wp:docPr id="2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2736850" cy="953135"/>
                    </a:xfrm>
                    <a:prstGeom prst="rect">
                      <a:avLst/>
                    </a:prstGeom>
                    <a:noFill/>
                    <a:ln w="9525">
                      <a:noFill/>
                      <a:miter lim="800000"/>
                      <a:headEnd/>
                      <a:tailEnd/>
                    </a:ln>
                  </pic:spPr>
                </pic:pic>
              </a:graphicData>
            </a:graphic>
          </wp:inline>
        </w:drawing>
      </w:r>
    </w:p>
    <w:p w14:paraId="1FB20836" w14:textId="2F45BFE3" w:rsidR="00E43449" w:rsidRPr="00321B46" w:rsidRDefault="00E43449" w:rsidP="00E434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33</w:t>
      </w:r>
      <w:r w:rsidRPr="00321B46">
        <w:rPr>
          <w:noProof/>
        </w:rPr>
        <w:fldChar w:fldCharType="end"/>
      </w:r>
      <w:r w:rsidRPr="00321B46">
        <w:t xml:space="preserve">.   UC </w:t>
      </w:r>
      <w:r w:rsidR="00700E95" w:rsidRPr="00321B46">
        <w:t xml:space="preserve">existentes </w:t>
      </w:r>
      <w:r w:rsidRPr="00321B46">
        <w:t>de los centros de supervisión y maniobra</w:t>
      </w:r>
    </w:p>
    <w:p w14:paraId="0BF1CFDE" w14:textId="77777777" w:rsidR="00E43449" w:rsidRPr="00321B46" w:rsidRDefault="00E43449" w:rsidP="00E43449">
      <w:pPr>
        <w:jc w:val="center"/>
      </w:pPr>
      <w:r w:rsidRPr="00321B46">
        <w:rPr>
          <w:noProof/>
          <w:lang w:val="es-CO" w:eastAsia="es-CO"/>
        </w:rPr>
        <w:drawing>
          <wp:inline distT="0" distB="0" distL="0" distR="0" wp14:anchorId="095FA668" wp14:editId="357F9B74">
            <wp:extent cx="5612130" cy="3956811"/>
            <wp:effectExtent l="19050" t="0" r="7620" b="0"/>
            <wp:docPr id="46"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srcRect/>
                    <a:stretch>
                      <a:fillRect/>
                    </a:stretch>
                  </pic:blipFill>
                  <pic:spPr bwMode="auto">
                    <a:xfrm>
                      <a:off x="0" y="0"/>
                      <a:ext cx="5612130" cy="3956811"/>
                    </a:xfrm>
                    <a:prstGeom prst="rect">
                      <a:avLst/>
                    </a:prstGeom>
                    <a:noFill/>
                    <a:ln w="9525">
                      <a:noFill/>
                      <a:miter lim="800000"/>
                      <a:headEnd/>
                      <a:tailEnd/>
                    </a:ln>
                  </pic:spPr>
                </pic:pic>
              </a:graphicData>
            </a:graphic>
          </wp:inline>
        </w:drawing>
      </w:r>
    </w:p>
    <w:p w14:paraId="56C03FBA" w14:textId="77777777" w:rsidR="00E43449" w:rsidRPr="00321B46" w:rsidRDefault="00E43449" w:rsidP="00E43449">
      <w:pPr>
        <w:pStyle w:val="Ttulo3"/>
        <w:tabs>
          <w:tab w:val="left" w:pos="851"/>
        </w:tabs>
        <w:suppressAutoHyphens/>
        <w:ind w:left="851" w:hanging="851"/>
      </w:pPr>
      <w:bookmarkStart w:id="494" w:name="_Toc466392698"/>
      <w:r w:rsidRPr="00321B46">
        <w:t>Líneas de transmisión</w:t>
      </w:r>
      <w:bookmarkEnd w:id="494"/>
    </w:p>
    <w:p w14:paraId="2859B8BC" w14:textId="5239C992" w:rsidR="00E43449" w:rsidRPr="00321B46" w:rsidRDefault="00E43449" w:rsidP="00E43449">
      <w:r w:rsidRPr="00321B46">
        <w:t xml:space="preserve">Las UC para Líneas de Transmisión están definidas en “km de línea” y se clasifican en tres niveles dependiendo de la altura sobre el nivel del mar donde están ubicadas, como </w:t>
      </w:r>
      <w:r w:rsidRPr="00321B46">
        <w:rPr>
          <w:lang w:val="es-ES_tradnl"/>
        </w:rPr>
        <w:t xml:space="preserve">se definen en la </w:t>
      </w:r>
      <w:r w:rsidRPr="00321B46">
        <w:fldChar w:fldCharType="begin"/>
      </w:r>
      <w:r w:rsidRPr="00321B46">
        <w:instrText xml:space="preserve"> REF _Ref220834167 \h  \* MERGEFORMAT </w:instrText>
      </w:r>
      <w:r w:rsidRPr="00321B46">
        <w:fldChar w:fldCharType="separate"/>
      </w:r>
      <w:r w:rsidR="000F355F" w:rsidRPr="00321B46">
        <w:t xml:space="preserve">Tabla </w:t>
      </w:r>
      <w:r w:rsidR="000F355F">
        <w:rPr>
          <w:noProof/>
        </w:rPr>
        <w:t>34</w:t>
      </w:r>
      <w:r w:rsidRPr="00321B46">
        <w:fldChar w:fldCharType="end"/>
      </w:r>
      <w:r w:rsidRPr="00321B46">
        <w:rPr>
          <w:lang w:val="es-ES_tradnl"/>
        </w:rPr>
        <w:t>.</w:t>
      </w:r>
    </w:p>
    <w:p w14:paraId="1510C8EF" w14:textId="4E206CED" w:rsidR="00E43449" w:rsidRPr="00321B46" w:rsidRDefault="00E43449" w:rsidP="00E43449">
      <w:pPr>
        <w:pStyle w:val="Descripcin"/>
      </w:pPr>
      <w:bookmarkStart w:id="495" w:name="_Ref220834167"/>
      <w:r w:rsidRPr="00321B46">
        <w:t xml:space="preserve">Tabla </w:t>
      </w:r>
      <w:r w:rsidRPr="00321B46">
        <w:fldChar w:fldCharType="begin"/>
      </w:r>
      <w:r w:rsidRPr="00321B46">
        <w:instrText xml:space="preserve"> SEQ Tabla \* ARABIC </w:instrText>
      </w:r>
      <w:r w:rsidRPr="00321B46">
        <w:fldChar w:fldCharType="separate"/>
      </w:r>
      <w:r w:rsidR="000F355F">
        <w:rPr>
          <w:noProof/>
        </w:rPr>
        <w:t>34</w:t>
      </w:r>
      <w:r w:rsidRPr="00321B46">
        <w:rPr>
          <w:noProof/>
        </w:rPr>
        <w:fldChar w:fldCharType="end"/>
      </w:r>
      <w:bookmarkEnd w:id="495"/>
      <w:r w:rsidRPr="00321B46">
        <w:t>.  Niveles para UC de líneas</w:t>
      </w:r>
    </w:p>
    <w:p w14:paraId="3FF93AFC" w14:textId="77777777" w:rsidR="00E43449" w:rsidRPr="00321B46" w:rsidRDefault="00E43449" w:rsidP="00E43449">
      <w:pPr>
        <w:jc w:val="center"/>
      </w:pPr>
      <w:r w:rsidRPr="00321B46">
        <w:rPr>
          <w:noProof/>
          <w:lang w:val="es-CO" w:eastAsia="es-CO"/>
        </w:rPr>
        <w:drawing>
          <wp:inline distT="0" distB="0" distL="0" distR="0" wp14:anchorId="7B7B8967" wp14:editId="4D533392">
            <wp:extent cx="2640330" cy="850265"/>
            <wp:effectExtent l="19050" t="0" r="7620" b="0"/>
            <wp:docPr id="31"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srcRect/>
                    <a:stretch>
                      <a:fillRect/>
                    </a:stretch>
                  </pic:blipFill>
                  <pic:spPr bwMode="auto">
                    <a:xfrm>
                      <a:off x="0" y="0"/>
                      <a:ext cx="2640330" cy="850265"/>
                    </a:xfrm>
                    <a:prstGeom prst="rect">
                      <a:avLst/>
                    </a:prstGeom>
                    <a:noFill/>
                    <a:ln w="9525">
                      <a:noFill/>
                      <a:miter lim="800000"/>
                      <a:headEnd/>
                      <a:tailEnd/>
                    </a:ln>
                  </pic:spPr>
                </pic:pic>
              </a:graphicData>
            </a:graphic>
          </wp:inline>
        </w:drawing>
      </w:r>
    </w:p>
    <w:p w14:paraId="5758BE4C" w14:textId="76C80D0A" w:rsidR="00E43449" w:rsidRPr="00321B46" w:rsidRDefault="00E43449" w:rsidP="00E434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35</w:t>
      </w:r>
      <w:r w:rsidRPr="00321B46">
        <w:rPr>
          <w:noProof/>
        </w:rPr>
        <w:fldChar w:fldCharType="end"/>
      </w:r>
      <w:r w:rsidRPr="00321B46">
        <w:t xml:space="preserve">.  UC </w:t>
      </w:r>
      <w:r w:rsidR="00700E95" w:rsidRPr="00321B46">
        <w:t xml:space="preserve">existentes </w:t>
      </w:r>
      <w:r w:rsidRPr="00321B46">
        <w:t>de líneas de 230 kV</w:t>
      </w:r>
    </w:p>
    <w:p w14:paraId="028940E8" w14:textId="77777777" w:rsidR="00E43449" w:rsidRPr="00321B46" w:rsidRDefault="00E43449" w:rsidP="00E43449">
      <w:r w:rsidRPr="00321B46">
        <w:rPr>
          <w:noProof/>
          <w:lang w:val="es-CO" w:eastAsia="es-CO"/>
        </w:rPr>
        <w:drawing>
          <wp:inline distT="0" distB="0" distL="0" distR="0" wp14:anchorId="0BEE4B53" wp14:editId="4FCC561D">
            <wp:extent cx="5976620" cy="1927644"/>
            <wp:effectExtent l="19050" t="0" r="508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976620" cy="1927644"/>
                    </a:xfrm>
                    <a:prstGeom prst="rect">
                      <a:avLst/>
                    </a:prstGeom>
                    <a:noFill/>
                    <a:ln w="9525">
                      <a:noFill/>
                      <a:miter lim="800000"/>
                      <a:headEnd/>
                      <a:tailEnd/>
                    </a:ln>
                  </pic:spPr>
                </pic:pic>
              </a:graphicData>
            </a:graphic>
          </wp:inline>
        </w:drawing>
      </w:r>
    </w:p>
    <w:p w14:paraId="668BA8D8" w14:textId="3D975FD5" w:rsidR="00E43449" w:rsidRPr="00321B46" w:rsidRDefault="00E43449" w:rsidP="00E434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36</w:t>
      </w:r>
      <w:r w:rsidRPr="00321B46">
        <w:rPr>
          <w:noProof/>
        </w:rPr>
        <w:fldChar w:fldCharType="end"/>
      </w:r>
      <w:r w:rsidRPr="00321B46">
        <w:t xml:space="preserve">.  UC </w:t>
      </w:r>
      <w:r w:rsidR="00700E95" w:rsidRPr="00321B46">
        <w:t xml:space="preserve">existentes </w:t>
      </w:r>
      <w:r w:rsidRPr="00321B46">
        <w:t>de líneas de 500 kV</w:t>
      </w:r>
    </w:p>
    <w:p w14:paraId="16D958E4" w14:textId="77777777" w:rsidR="00E43449" w:rsidRPr="00321B46" w:rsidRDefault="00E43449" w:rsidP="00E43449">
      <w:pPr>
        <w:jc w:val="center"/>
      </w:pPr>
      <w:r w:rsidRPr="00321B46">
        <w:rPr>
          <w:noProof/>
          <w:lang w:val="es-CO" w:eastAsia="es-CO"/>
        </w:rPr>
        <w:drawing>
          <wp:inline distT="0" distB="0" distL="0" distR="0" wp14:anchorId="6D1081C1" wp14:editId="2D4EC68B">
            <wp:extent cx="5976620" cy="682515"/>
            <wp:effectExtent l="19050" t="0" r="508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5976620" cy="682515"/>
                    </a:xfrm>
                    <a:prstGeom prst="rect">
                      <a:avLst/>
                    </a:prstGeom>
                    <a:noFill/>
                    <a:ln w="9525">
                      <a:noFill/>
                      <a:miter lim="800000"/>
                      <a:headEnd/>
                      <a:tailEnd/>
                    </a:ln>
                  </pic:spPr>
                </pic:pic>
              </a:graphicData>
            </a:graphic>
          </wp:inline>
        </w:drawing>
      </w:r>
    </w:p>
    <w:p w14:paraId="2B33D4F5" w14:textId="77777777" w:rsidR="00E43449" w:rsidRPr="00321B46" w:rsidRDefault="00E43449" w:rsidP="00BF7220">
      <w:pPr>
        <w:pStyle w:val="Ttulo2"/>
      </w:pPr>
      <w:bookmarkStart w:id="496" w:name="_Ref188102210"/>
      <w:bookmarkStart w:id="497" w:name="_Toc220842332"/>
      <w:bookmarkStart w:id="498" w:name="_Toc466392699"/>
      <w:r w:rsidRPr="00321B46">
        <w:t>Á</w:t>
      </w:r>
      <w:r w:rsidR="00B16725" w:rsidRPr="00321B46">
        <w:t>reas típicas de las UC de subestaciones</w:t>
      </w:r>
      <w:bookmarkEnd w:id="496"/>
      <w:bookmarkEnd w:id="497"/>
      <w:bookmarkEnd w:id="498"/>
    </w:p>
    <w:p w14:paraId="7E7D8255" w14:textId="533D16AD" w:rsidR="00E43449" w:rsidRPr="00321B46" w:rsidRDefault="00E43449" w:rsidP="00E434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37</w:t>
      </w:r>
      <w:r w:rsidRPr="00321B46">
        <w:rPr>
          <w:noProof/>
        </w:rPr>
        <w:fldChar w:fldCharType="end"/>
      </w:r>
      <w:r w:rsidRPr="00321B46">
        <w:t xml:space="preserve">.  </w:t>
      </w:r>
      <w:r w:rsidR="00700E95" w:rsidRPr="00321B46">
        <w:t>Áreas existentes  de s</w:t>
      </w:r>
      <w:r w:rsidRPr="00321B46">
        <w:t>ubestaciones de 230 kV</w:t>
      </w:r>
    </w:p>
    <w:p w14:paraId="2FFDF416" w14:textId="77777777" w:rsidR="00E43449" w:rsidRPr="00321B46" w:rsidRDefault="00E43449" w:rsidP="00E43449">
      <w:pPr>
        <w:widowControl w:val="0"/>
        <w:jc w:val="center"/>
      </w:pPr>
      <w:r w:rsidRPr="00321B46">
        <w:rPr>
          <w:noProof/>
          <w:lang w:val="es-CO" w:eastAsia="es-CO"/>
        </w:rPr>
        <w:drawing>
          <wp:inline distT="0" distB="0" distL="0" distR="0" wp14:anchorId="42239F08" wp14:editId="6B98DC42">
            <wp:extent cx="5612130" cy="3128020"/>
            <wp:effectExtent l="19050" t="0" r="7620" b="0"/>
            <wp:docPr id="49"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cstate="print"/>
                    <a:srcRect/>
                    <a:stretch>
                      <a:fillRect/>
                    </a:stretch>
                  </pic:blipFill>
                  <pic:spPr bwMode="auto">
                    <a:xfrm>
                      <a:off x="0" y="0"/>
                      <a:ext cx="5612130" cy="3128020"/>
                    </a:xfrm>
                    <a:prstGeom prst="rect">
                      <a:avLst/>
                    </a:prstGeom>
                    <a:noFill/>
                    <a:ln w="9525">
                      <a:noFill/>
                      <a:miter lim="800000"/>
                      <a:headEnd/>
                      <a:tailEnd/>
                    </a:ln>
                  </pic:spPr>
                </pic:pic>
              </a:graphicData>
            </a:graphic>
          </wp:inline>
        </w:drawing>
      </w:r>
    </w:p>
    <w:p w14:paraId="3C89B78D" w14:textId="587EFA1E" w:rsidR="00E43449" w:rsidRPr="00321B46" w:rsidRDefault="00E43449" w:rsidP="00E434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38</w:t>
      </w:r>
      <w:r w:rsidRPr="00321B46">
        <w:rPr>
          <w:noProof/>
        </w:rPr>
        <w:fldChar w:fldCharType="end"/>
      </w:r>
      <w:r w:rsidRPr="00321B46">
        <w:t xml:space="preserve">.  </w:t>
      </w:r>
      <w:r w:rsidR="00700E95" w:rsidRPr="00321B46">
        <w:t>Áreas existentes de s</w:t>
      </w:r>
      <w:r w:rsidRPr="00321B46">
        <w:t>ubestaciones de 500 kV</w:t>
      </w:r>
    </w:p>
    <w:p w14:paraId="0A53619C" w14:textId="77777777" w:rsidR="00E43449" w:rsidRPr="00321B46" w:rsidRDefault="00E43449" w:rsidP="00E43449">
      <w:pPr>
        <w:jc w:val="center"/>
      </w:pPr>
      <w:r w:rsidRPr="00321B46">
        <w:rPr>
          <w:noProof/>
          <w:lang w:val="es-CO" w:eastAsia="es-CO"/>
        </w:rPr>
        <w:drawing>
          <wp:inline distT="0" distB="0" distL="0" distR="0" wp14:anchorId="6246AE76" wp14:editId="4C9FC0A7">
            <wp:extent cx="5612130" cy="1320097"/>
            <wp:effectExtent l="19050" t="0" r="7620" b="0"/>
            <wp:docPr id="50"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cstate="print"/>
                    <a:srcRect/>
                    <a:stretch>
                      <a:fillRect/>
                    </a:stretch>
                  </pic:blipFill>
                  <pic:spPr bwMode="auto">
                    <a:xfrm>
                      <a:off x="0" y="0"/>
                      <a:ext cx="5612130" cy="1320097"/>
                    </a:xfrm>
                    <a:prstGeom prst="rect">
                      <a:avLst/>
                    </a:prstGeom>
                    <a:noFill/>
                    <a:ln w="9525">
                      <a:noFill/>
                      <a:miter lim="800000"/>
                      <a:headEnd/>
                      <a:tailEnd/>
                    </a:ln>
                  </pic:spPr>
                </pic:pic>
              </a:graphicData>
            </a:graphic>
          </wp:inline>
        </w:drawing>
      </w:r>
    </w:p>
    <w:p w14:paraId="3BD458CA" w14:textId="6FAE4276" w:rsidR="00E43449" w:rsidRPr="00321B46" w:rsidRDefault="00E43449" w:rsidP="00E43449">
      <w:pPr>
        <w:pStyle w:val="Descripcin"/>
      </w:pPr>
      <w:r w:rsidRPr="00321B46">
        <w:t xml:space="preserve">Tabla </w:t>
      </w:r>
      <w:r w:rsidRPr="00321B46">
        <w:fldChar w:fldCharType="begin"/>
      </w:r>
      <w:r w:rsidRPr="00321B46">
        <w:instrText xml:space="preserve"> SEQ Tabla \* ARABIC </w:instrText>
      </w:r>
      <w:r w:rsidRPr="00321B46">
        <w:fldChar w:fldCharType="separate"/>
      </w:r>
      <w:r w:rsidR="000F355F">
        <w:rPr>
          <w:noProof/>
        </w:rPr>
        <w:t>39</w:t>
      </w:r>
      <w:r w:rsidRPr="00321B46">
        <w:rPr>
          <w:noProof/>
        </w:rPr>
        <w:fldChar w:fldCharType="end"/>
      </w:r>
      <w:r w:rsidRPr="00321B46">
        <w:t xml:space="preserve">.  </w:t>
      </w:r>
      <w:r w:rsidR="00700E95" w:rsidRPr="00321B46">
        <w:t>Áreas existentes  de c</w:t>
      </w:r>
      <w:r w:rsidRPr="00321B46">
        <w:t>ompensación y transformación</w:t>
      </w:r>
    </w:p>
    <w:p w14:paraId="5C5F2349" w14:textId="77777777" w:rsidR="00E43449" w:rsidRPr="00321B46" w:rsidRDefault="00E43449" w:rsidP="00E43449">
      <w:pPr>
        <w:jc w:val="center"/>
      </w:pPr>
      <w:r w:rsidRPr="00321B46">
        <w:rPr>
          <w:noProof/>
          <w:lang w:val="es-CO" w:eastAsia="es-CO"/>
        </w:rPr>
        <w:drawing>
          <wp:inline distT="0" distB="0" distL="0" distR="0" wp14:anchorId="27AEB411" wp14:editId="743EAB24">
            <wp:extent cx="4511548" cy="3151759"/>
            <wp:effectExtent l="19050" t="0" r="3302" b="0"/>
            <wp:docPr id="51"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cstate="print"/>
                    <a:srcRect/>
                    <a:stretch>
                      <a:fillRect/>
                    </a:stretch>
                  </pic:blipFill>
                  <pic:spPr bwMode="auto">
                    <a:xfrm>
                      <a:off x="0" y="0"/>
                      <a:ext cx="4511548" cy="3151759"/>
                    </a:xfrm>
                    <a:prstGeom prst="rect">
                      <a:avLst/>
                    </a:prstGeom>
                    <a:noFill/>
                    <a:ln w="9525">
                      <a:noFill/>
                      <a:miter lim="800000"/>
                      <a:headEnd/>
                      <a:tailEnd/>
                    </a:ln>
                  </pic:spPr>
                </pic:pic>
              </a:graphicData>
            </a:graphic>
          </wp:inline>
        </w:drawing>
      </w:r>
    </w:p>
    <w:p w14:paraId="48D9828F" w14:textId="77777777" w:rsidR="005A25AF" w:rsidRPr="00321B46" w:rsidRDefault="0049041E" w:rsidP="00BF7220">
      <w:pPr>
        <w:pStyle w:val="Ttulo2"/>
      </w:pPr>
      <w:bookmarkStart w:id="499" w:name="_Toc445214157"/>
      <w:bookmarkStart w:id="500" w:name="_Ref445366424"/>
      <w:bookmarkStart w:id="501" w:name="_Toc466392700"/>
      <w:r w:rsidRPr="00321B46">
        <w:t>C</w:t>
      </w:r>
      <w:r w:rsidR="00FB0F2C" w:rsidRPr="00321B46">
        <w:t>ategor</w:t>
      </w:r>
      <w:r w:rsidR="00FB0F2C" w:rsidRPr="00321B46">
        <w:rPr>
          <w:lang w:val="es-CO"/>
        </w:rPr>
        <w:t>í</w:t>
      </w:r>
      <w:r w:rsidR="00FB0F2C" w:rsidRPr="00321B46">
        <w:t>as de unidades constructivas</w:t>
      </w:r>
      <w:bookmarkEnd w:id="499"/>
      <w:bookmarkEnd w:id="500"/>
      <w:bookmarkEnd w:id="501"/>
    </w:p>
    <w:p w14:paraId="5B727606" w14:textId="77777777" w:rsidR="00F209C4" w:rsidRPr="00321B46" w:rsidRDefault="00F209C4" w:rsidP="00F209C4">
      <w:pPr>
        <w:rPr>
          <w:lang w:val="es-CO"/>
        </w:rPr>
      </w:pPr>
      <w:r w:rsidRPr="00321B46">
        <w:rPr>
          <w:lang w:val="es-CO"/>
        </w:rPr>
        <w:t xml:space="preserve">Para la clasificación de las UC establecidas en este capítulo, se deben utilizar las siguientes categorías: </w:t>
      </w:r>
    </w:p>
    <w:p w14:paraId="2957D748" w14:textId="3E981C28" w:rsidR="00BE0E49" w:rsidRPr="00321B46" w:rsidRDefault="00BE0E49" w:rsidP="003448EC">
      <w:pPr>
        <w:pStyle w:val="Descripcin"/>
        <w:rPr>
          <w:lang w:val="es-CO"/>
        </w:rPr>
      </w:pPr>
      <w:r w:rsidRPr="00321B46">
        <w:t xml:space="preserve">Tabla </w:t>
      </w:r>
      <w:r w:rsidRPr="00321B46">
        <w:fldChar w:fldCharType="begin"/>
      </w:r>
      <w:r w:rsidRPr="00321B46">
        <w:instrText xml:space="preserve"> SEQ Tabla \* ARABIC </w:instrText>
      </w:r>
      <w:r w:rsidRPr="00321B46">
        <w:fldChar w:fldCharType="separate"/>
      </w:r>
      <w:r w:rsidR="000F355F">
        <w:rPr>
          <w:noProof/>
        </w:rPr>
        <w:t>40</w:t>
      </w:r>
      <w:r w:rsidRPr="00321B46">
        <w:fldChar w:fldCharType="end"/>
      </w:r>
      <w:r w:rsidRPr="00321B46">
        <w:t>. Categorías de unidades constructivas</w:t>
      </w:r>
      <w:r w:rsidR="00700E95" w:rsidRPr="00321B46">
        <w:t xml:space="preserve"> existentes</w:t>
      </w:r>
      <w:r w:rsidRPr="00321B46">
        <w:t xml:space="preserve"> </w:t>
      </w:r>
    </w:p>
    <w:tbl>
      <w:tblPr>
        <w:tblW w:w="2483" w:type="pct"/>
        <w:jc w:val="center"/>
        <w:tblLayout w:type="fixed"/>
        <w:tblCellMar>
          <w:left w:w="70" w:type="dxa"/>
          <w:right w:w="70" w:type="dxa"/>
        </w:tblCellMar>
        <w:tblLook w:val="04A0" w:firstRow="1" w:lastRow="0" w:firstColumn="1" w:lastColumn="0" w:noHBand="0" w:noVBand="1"/>
      </w:tblPr>
      <w:tblGrid>
        <w:gridCol w:w="1119"/>
        <w:gridCol w:w="2463"/>
        <w:gridCol w:w="1059"/>
      </w:tblGrid>
      <w:tr w:rsidR="00F209C4" w:rsidRPr="00321B46" w14:paraId="58A475AE" w14:textId="77777777" w:rsidTr="00900B78">
        <w:trPr>
          <w:trHeight w:val="340"/>
          <w:jc w:val="center"/>
        </w:trPr>
        <w:tc>
          <w:tcPr>
            <w:tcW w:w="1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6A85C" w14:textId="77777777" w:rsidR="00F209C4" w:rsidRPr="00321B46" w:rsidRDefault="00F209C4" w:rsidP="00900B78">
            <w:pPr>
              <w:spacing w:before="0" w:after="0"/>
              <w:jc w:val="center"/>
              <w:rPr>
                <w:rFonts w:cs="Arial"/>
                <w:color w:val="000000"/>
                <w:sz w:val="16"/>
                <w:szCs w:val="16"/>
                <w:lang w:eastAsia="es-CO"/>
              </w:rPr>
            </w:pPr>
            <w:r w:rsidRPr="00321B46">
              <w:rPr>
                <w:rFonts w:cs="Arial"/>
                <w:color w:val="000000"/>
                <w:sz w:val="16"/>
                <w:szCs w:val="16"/>
                <w:lang w:eastAsia="es-CO"/>
              </w:rPr>
              <w:t>CATEGORÍA</w:t>
            </w:r>
          </w:p>
        </w:tc>
        <w:tc>
          <w:tcPr>
            <w:tcW w:w="2654" w:type="pct"/>
            <w:tcBorders>
              <w:top w:val="single" w:sz="4" w:space="0" w:color="auto"/>
              <w:left w:val="nil"/>
              <w:bottom w:val="single" w:sz="4" w:space="0" w:color="auto"/>
              <w:right w:val="single" w:sz="4" w:space="0" w:color="auto"/>
            </w:tcBorders>
            <w:shd w:val="clear" w:color="auto" w:fill="auto"/>
            <w:noWrap/>
            <w:vAlign w:val="center"/>
            <w:hideMark/>
          </w:tcPr>
          <w:p w14:paraId="5315A5A4" w14:textId="77777777" w:rsidR="00F209C4" w:rsidRPr="00321B46" w:rsidRDefault="00F209C4" w:rsidP="00900B78">
            <w:pPr>
              <w:spacing w:before="0" w:after="0"/>
              <w:jc w:val="center"/>
              <w:rPr>
                <w:rFonts w:cs="Arial"/>
                <w:color w:val="000000"/>
                <w:sz w:val="16"/>
                <w:szCs w:val="16"/>
                <w:lang w:eastAsia="es-CO"/>
              </w:rPr>
            </w:pPr>
            <w:r w:rsidRPr="00321B46">
              <w:rPr>
                <w:rFonts w:cs="Arial"/>
                <w:color w:val="000000"/>
                <w:sz w:val="16"/>
                <w:szCs w:val="16"/>
                <w:lang w:eastAsia="es-CO"/>
              </w:rPr>
              <w:t>DESCRIPCIÓN</w:t>
            </w:r>
          </w:p>
        </w:tc>
        <w:tc>
          <w:tcPr>
            <w:tcW w:w="1141" w:type="pct"/>
            <w:tcBorders>
              <w:top w:val="single" w:sz="4" w:space="0" w:color="auto"/>
              <w:left w:val="nil"/>
              <w:bottom w:val="single" w:sz="4" w:space="0" w:color="auto"/>
              <w:right w:val="single" w:sz="4" w:space="0" w:color="auto"/>
            </w:tcBorders>
            <w:shd w:val="clear" w:color="auto" w:fill="auto"/>
            <w:noWrap/>
            <w:vAlign w:val="center"/>
            <w:hideMark/>
          </w:tcPr>
          <w:p w14:paraId="008064B7" w14:textId="77777777" w:rsidR="00F209C4" w:rsidRPr="00321B46" w:rsidRDefault="00F209C4" w:rsidP="00900B78">
            <w:pPr>
              <w:spacing w:before="0" w:after="0"/>
              <w:jc w:val="center"/>
              <w:rPr>
                <w:rFonts w:cs="Arial"/>
                <w:color w:val="000000"/>
                <w:sz w:val="16"/>
                <w:szCs w:val="16"/>
                <w:lang w:eastAsia="es-CO"/>
              </w:rPr>
            </w:pPr>
            <w:r w:rsidRPr="00321B46">
              <w:rPr>
                <w:rFonts w:cs="Arial"/>
                <w:color w:val="000000"/>
                <w:sz w:val="16"/>
                <w:szCs w:val="16"/>
                <w:lang w:eastAsia="es-CO"/>
              </w:rPr>
              <w:t xml:space="preserve">VIDA ÚTIL </w:t>
            </w:r>
          </w:p>
        </w:tc>
      </w:tr>
      <w:tr w:rsidR="00F209C4" w:rsidRPr="00321B46" w14:paraId="1AE72F7A" w14:textId="77777777" w:rsidTr="00900B78">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hideMark/>
          </w:tcPr>
          <w:p w14:paraId="38436CB4" w14:textId="77777777" w:rsidR="00F209C4" w:rsidRPr="00321B46" w:rsidRDefault="00F209C4" w:rsidP="00900B78">
            <w:pPr>
              <w:spacing w:before="0" w:after="0"/>
              <w:jc w:val="center"/>
              <w:rPr>
                <w:rFonts w:cs="Arial"/>
                <w:color w:val="000000"/>
                <w:sz w:val="16"/>
                <w:szCs w:val="16"/>
                <w:lang w:eastAsia="es-CO"/>
              </w:rPr>
            </w:pPr>
            <w:r w:rsidRPr="00321B46">
              <w:rPr>
                <w:rFonts w:cs="Arial"/>
                <w:color w:val="000000"/>
                <w:sz w:val="16"/>
                <w:szCs w:val="16"/>
                <w:lang w:eastAsia="es-CO"/>
              </w:rPr>
              <w:t>1</w:t>
            </w:r>
          </w:p>
        </w:tc>
        <w:tc>
          <w:tcPr>
            <w:tcW w:w="2654" w:type="pct"/>
            <w:tcBorders>
              <w:top w:val="nil"/>
              <w:left w:val="nil"/>
              <w:bottom w:val="single" w:sz="4" w:space="0" w:color="auto"/>
              <w:right w:val="single" w:sz="4" w:space="0" w:color="auto"/>
            </w:tcBorders>
            <w:shd w:val="clear" w:color="auto" w:fill="auto"/>
            <w:noWrap/>
            <w:vAlign w:val="center"/>
            <w:hideMark/>
          </w:tcPr>
          <w:p w14:paraId="0DAE0831" w14:textId="77777777" w:rsidR="00F209C4" w:rsidRPr="00321B46" w:rsidRDefault="00F209C4" w:rsidP="00900B78">
            <w:pPr>
              <w:spacing w:before="0" w:after="0"/>
              <w:jc w:val="left"/>
              <w:rPr>
                <w:rFonts w:cs="Arial"/>
                <w:color w:val="000000"/>
                <w:sz w:val="16"/>
                <w:szCs w:val="16"/>
                <w:lang w:eastAsia="es-CO"/>
              </w:rPr>
            </w:pPr>
            <w:r w:rsidRPr="00321B46">
              <w:rPr>
                <w:rFonts w:cs="Arial"/>
                <w:color w:val="000000"/>
                <w:sz w:val="16"/>
                <w:szCs w:val="16"/>
                <w:lang w:eastAsia="es-CO"/>
              </w:rPr>
              <w:t>Transformadores  de potencia</w:t>
            </w:r>
          </w:p>
        </w:tc>
        <w:tc>
          <w:tcPr>
            <w:tcW w:w="1141" w:type="pct"/>
            <w:tcBorders>
              <w:top w:val="nil"/>
              <w:left w:val="nil"/>
              <w:bottom w:val="single" w:sz="4" w:space="0" w:color="auto"/>
              <w:right w:val="single" w:sz="4" w:space="0" w:color="auto"/>
            </w:tcBorders>
            <w:shd w:val="clear" w:color="auto" w:fill="auto"/>
            <w:noWrap/>
            <w:vAlign w:val="center"/>
            <w:hideMark/>
          </w:tcPr>
          <w:p w14:paraId="687CE843" w14:textId="77777777" w:rsidR="00F209C4" w:rsidRPr="00321B46" w:rsidRDefault="00F209C4" w:rsidP="00900B78">
            <w:pPr>
              <w:spacing w:before="0" w:after="0"/>
              <w:jc w:val="center"/>
              <w:rPr>
                <w:rFonts w:cs="Arial"/>
                <w:sz w:val="16"/>
                <w:szCs w:val="16"/>
                <w:lang w:eastAsia="es-CO"/>
              </w:rPr>
            </w:pPr>
            <w:r w:rsidRPr="00321B46">
              <w:rPr>
                <w:rFonts w:cs="Arial"/>
                <w:sz w:val="16"/>
                <w:szCs w:val="16"/>
                <w:lang w:eastAsia="es-CO"/>
              </w:rPr>
              <w:t>30</w:t>
            </w:r>
          </w:p>
        </w:tc>
      </w:tr>
      <w:tr w:rsidR="00F209C4" w:rsidRPr="00321B46" w14:paraId="2A3AE67D" w14:textId="77777777" w:rsidTr="00900B78">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hideMark/>
          </w:tcPr>
          <w:p w14:paraId="32152CB2" w14:textId="77777777" w:rsidR="00F209C4" w:rsidRPr="00321B46" w:rsidRDefault="00F209C4" w:rsidP="00900B78">
            <w:pPr>
              <w:spacing w:before="0" w:after="0"/>
              <w:jc w:val="center"/>
              <w:rPr>
                <w:rFonts w:cs="Arial"/>
                <w:color w:val="000000"/>
                <w:sz w:val="16"/>
                <w:szCs w:val="16"/>
                <w:lang w:eastAsia="es-CO"/>
              </w:rPr>
            </w:pPr>
            <w:r w:rsidRPr="00321B46">
              <w:rPr>
                <w:rFonts w:cs="Arial"/>
                <w:color w:val="000000"/>
                <w:sz w:val="16"/>
                <w:szCs w:val="16"/>
                <w:lang w:eastAsia="es-CO"/>
              </w:rPr>
              <w:t>3</w:t>
            </w:r>
          </w:p>
        </w:tc>
        <w:tc>
          <w:tcPr>
            <w:tcW w:w="2654" w:type="pct"/>
            <w:tcBorders>
              <w:top w:val="nil"/>
              <w:left w:val="nil"/>
              <w:bottom w:val="single" w:sz="4" w:space="0" w:color="auto"/>
              <w:right w:val="single" w:sz="4" w:space="0" w:color="auto"/>
            </w:tcBorders>
            <w:shd w:val="clear" w:color="auto" w:fill="auto"/>
            <w:noWrap/>
            <w:vAlign w:val="center"/>
          </w:tcPr>
          <w:p w14:paraId="7160662D" w14:textId="77777777" w:rsidR="00F209C4" w:rsidRPr="00321B46" w:rsidRDefault="00F209C4" w:rsidP="00900B78">
            <w:pPr>
              <w:spacing w:before="0" w:after="0"/>
              <w:jc w:val="left"/>
              <w:rPr>
                <w:rFonts w:cs="Arial"/>
                <w:color w:val="000000"/>
                <w:sz w:val="16"/>
                <w:szCs w:val="16"/>
                <w:lang w:eastAsia="es-CO"/>
              </w:rPr>
            </w:pPr>
            <w:r w:rsidRPr="00321B46">
              <w:rPr>
                <w:rFonts w:cs="Arial"/>
                <w:color w:val="000000"/>
                <w:sz w:val="16"/>
                <w:szCs w:val="16"/>
                <w:lang w:eastAsia="es-CO"/>
              </w:rPr>
              <w:t>Bahías</w:t>
            </w:r>
          </w:p>
        </w:tc>
        <w:tc>
          <w:tcPr>
            <w:tcW w:w="1141" w:type="pct"/>
            <w:tcBorders>
              <w:top w:val="nil"/>
              <w:left w:val="nil"/>
              <w:bottom w:val="single" w:sz="4" w:space="0" w:color="auto"/>
              <w:right w:val="single" w:sz="4" w:space="0" w:color="auto"/>
            </w:tcBorders>
            <w:shd w:val="clear" w:color="auto" w:fill="auto"/>
            <w:noWrap/>
            <w:vAlign w:val="center"/>
            <w:hideMark/>
          </w:tcPr>
          <w:p w14:paraId="1A3CD16C" w14:textId="77777777" w:rsidR="00F209C4" w:rsidRPr="00321B46" w:rsidRDefault="00F209C4" w:rsidP="00F209C4">
            <w:pPr>
              <w:spacing w:before="0" w:after="0"/>
              <w:jc w:val="center"/>
              <w:rPr>
                <w:rFonts w:cs="Arial"/>
                <w:sz w:val="16"/>
                <w:szCs w:val="16"/>
                <w:lang w:eastAsia="es-CO"/>
              </w:rPr>
            </w:pPr>
            <w:r w:rsidRPr="00321B46">
              <w:rPr>
                <w:rFonts w:cs="Arial"/>
                <w:sz w:val="16"/>
                <w:szCs w:val="16"/>
                <w:lang w:eastAsia="es-CO"/>
              </w:rPr>
              <w:t>30</w:t>
            </w:r>
          </w:p>
        </w:tc>
      </w:tr>
      <w:tr w:rsidR="00F209C4" w:rsidRPr="00321B46" w14:paraId="04A9DC76" w14:textId="77777777" w:rsidTr="00900B78">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hideMark/>
          </w:tcPr>
          <w:p w14:paraId="30A9237A" w14:textId="77777777" w:rsidR="00F209C4" w:rsidRPr="00321B46" w:rsidRDefault="00F209C4" w:rsidP="00900B78">
            <w:pPr>
              <w:spacing w:before="0" w:after="0"/>
              <w:jc w:val="center"/>
              <w:rPr>
                <w:rFonts w:cs="Arial"/>
                <w:color w:val="000000"/>
                <w:sz w:val="16"/>
                <w:szCs w:val="16"/>
                <w:lang w:eastAsia="es-CO"/>
              </w:rPr>
            </w:pPr>
            <w:r w:rsidRPr="00321B46">
              <w:rPr>
                <w:rFonts w:cs="Arial"/>
                <w:color w:val="000000"/>
                <w:sz w:val="16"/>
                <w:szCs w:val="16"/>
                <w:lang w:eastAsia="es-CO"/>
              </w:rPr>
              <w:t>4</w:t>
            </w:r>
          </w:p>
        </w:tc>
        <w:tc>
          <w:tcPr>
            <w:tcW w:w="2654" w:type="pct"/>
            <w:tcBorders>
              <w:top w:val="nil"/>
              <w:left w:val="nil"/>
              <w:bottom w:val="single" w:sz="4" w:space="0" w:color="auto"/>
              <w:right w:val="single" w:sz="4" w:space="0" w:color="auto"/>
            </w:tcBorders>
            <w:shd w:val="clear" w:color="auto" w:fill="auto"/>
            <w:noWrap/>
            <w:vAlign w:val="center"/>
          </w:tcPr>
          <w:p w14:paraId="63C2BF88" w14:textId="77777777" w:rsidR="00F209C4" w:rsidRPr="00321B46" w:rsidRDefault="00F209C4" w:rsidP="00900B78">
            <w:pPr>
              <w:spacing w:before="0" w:after="0"/>
              <w:jc w:val="left"/>
              <w:rPr>
                <w:rFonts w:cs="Arial"/>
                <w:color w:val="000000"/>
                <w:sz w:val="16"/>
                <w:szCs w:val="16"/>
                <w:lang w:eastAsia="es-CO"/>
              </w:rPr>
            </w:pPr>
            <w:r w:rsidRPr="00321B46">
              <w:rPr>
                <w:rFonts w:cs="Arial"/>
                <w:color w:val="000000"/>
                <w:sz w:val="16"/>
                <w:szCs w:val="16"/>
                <w:lang w:eastAsia="es-CO"/>
              </w:rPr>
              <w:t>Equipos de control y comunicaciones</w:t>
            </w:r>
          </w:p>
        </w:tc>
        <w:tc>
          <w:tcPr>
            <w:tcW w:w="1141" w:type="pct"/>
            <w:tcBorders>
              <w:top w:val="nil"/>
              <w:left w:val="nil"/>
              <w:bottom w:val="single" w:sz="4" w:space="0" w:color="auto"/>
              <w:right w:val="single" w:sz="4" w:space="0" w:color="auto"/>
            </w:tcBorders>
            <w:shd w:val="clear" w:color="auto" w:fill="auto"/>
            <w:noWrap/>
            <w:vAlign w:val="center"/>
            <w:hideMark/>
          </w:tcPr>
          <w:p w14:paraId="413AB7CC" w14:textId="77777777" w:rsidR="00F209C4" w:rsidRPr="00321B46" w:rsidRDefault="00F209C4" w:rsidP="00900B78">
            <w:pPr>
              <w:spacing w:before="0" w:after="0"/>
              <w:jc w:val="center"/>
              <w:rPr>
                <w:rFonts w:cs="Arial"/>
                <w:sz w:val="16"/>
                <w:szCs w:val="16"/>
                <w:lang w:eastAsia="es-CO"/>
              </w:rPr>
            </w:pPr>
            <w:r w:rsidRPr="00321B46">
              <w:rPr>
                <w:rFonts w:cs="Arial"/>
                <w:sz w:val="16"/>
                <w:szCs w:val="16"/>
                <w:lang w:eastAsia="es-CO"/>
              </w:rPr>
              <w:t>10</w:t>
            </w:r>
          </w:p>
        </w:tc>
      </w:tr>
      <w:tr w:rsidR="00F209C4" w:rsidRPr="00321B46" w14:paraId="4ADFD86D" w14:textId="77777777" w:rsidTr="00900B78">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hideMark/>
          </w:tcPr>
          <w:p w14:paraId="037B5C0F" w14:textId="77777777" w:rsidR="00F209C4" w:rsidRPr="00321B46" w:rsidRDefault="00F209C4" w:rsidP="00900B78">
            <w:pPr>
              <w:spacing w:before="0" w:after="0"/>
              <w:jc w:val="center"/>
              <w:rPr>
                <w:rFonts w:cs="Arial"/>
                <w:color w:val="000000"/>
                <w:sz w:val="16"/>
                <w:szCs w:val="16"/>
                <w:lang w:eastAsia="es-CO"/>
              </w:rPr>
            </w:pPr>
            <w:r w:rsidRPr="00321B46">
              <w:rPr>
                <w:rFonts w:cs="Arial"/>
                <w:color w:val="000000"/>
                <w:sz w:val="16"/>
                <w:szCs w:val="16"/>
                <w:lang w:eastAsia="es-CO"/>
              </w:rPr>
              <w:t>5</w:t>
            </w:r>
          </w:p>
        </w:tc>
        <w:tc>
          <w:tcPr>
            <w:tcW w:w="2654" w:type="pct"/>
            <w:tcBorders>
              <w:top w:val="nil"/>
              <w:left w:val="nil"/>
              <w:bottom w:val="single" w:sz="4" w:space="0" w:color="auto"/>
              <w:right w:val="single" w:sz="4" w:space="0" w:color="auto"/>
            </w:tcBorders>
            <w:shd w:val="clear" w:color="auto" w:fill="auto"/>
            <w:noWrap/>
            <w:vAlign w:val="center"/>
          </w:tcPr>
          <w:p w14:paraId="2E875FFA" w14:textId="77777777" w:rsidR="00F209C4" w:rsidRPr="00321B46" w:rsidRDefault="00F209C4" w:rsidP="00900B78">
            <w:pPr>
              <w:spacing w:before="0" w:after="0"/>
              <w:jc w:val="left"/>
              <w:rPr>
                <w:rFonts w:cs="Arial"/>
                <w:color w:val="000000"/>
                <w:sz w:val="16"/>
                <w:szCs w:val="16"/>
                <w:lang w:eastAsia="es-CO"/>
              </w:rPr>
            </w:pPr>
            <w:r w:rsidRPr="00321B46">
              <w:rPr>
                <w:rFonts w:cs="Arial"/>
                <w:color w:val="000000"/>
                <w:sz w:val="16"/>
                <w:szCs w:val="16"/>
                <w:lang w:eastAsia="es-CO"/>
              </w:rPr>
              <w:t>Equipos de subestación</w:t>
            </w:r>
          </w:p>
        </w:tc>
        <w:tc>
          <w:tcPr>
            <w:tcW w:w="1141" w:type="pct"/>
            <w:tcBorders>
              <w:top w:val="nil"/>
              <w:left w:val="nil"/>
              <w:bottom w:val="single" w:sz="4" w:space="0" w:color="auto"/>
              <w:right w:val="single" w:sz="4" w:space="0" w:color="auto"/>
            </w:tcBorders>
            <w:shd w:val="clear" w:color="auto" w:fill="auto"/>
            <w:noWrap/>
            <w:vAlign w:val="center"/>
            <w:hideMark/>
          </w:tcPr>
          <w:p w14:paraId="1A79B9F6" w14:textId="77777777" w:rsidR="00F209C4" w:rsidRPr="00321B46" w:rsidRDefault="00F209C4" w:rsidP="00900B78">
            <w:pPr>
              <w:spacing w:before="0" w:after="0"/>
              <w:jc w:val="center"/>
              <w:rPr>
                <w:rFonts w:cs="Arial"/>
                <w:sz w:val="16"/>
                <w:szCs w:val="16"/>
                <w:lang w:eastAsia="es-CO"/>
              </w:rPr>
            </w:pPr>
            <w:r w:rsidRPr="00321B46">
              <w:rPr>
                <w:rFonts w:cs="Arial"/>
                <w:sz w:val="16"/>
                <w:szCs w:val="16"/>
                <w:lang w:eastAsia="es-CO"/>
              </w:rPr>
              <w:t>30</w:t>
            </w:r>
          </w:p>
        </w:tc>
      </w:tr>
      <w:tr w:rsidR="00F209C4" w:rsidRPr="00321B46" w14:paraId="1C6F5F8E" w14:textId="77777777" w:rsidTr="00900B78">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hideMark/>
          </w:tcPr>
          <w:p w14:paraId="087EA112" w14:textId="77777777" w:rsidR="00F209C4" w:rsidRPr="00321B46" w:rsidRDefault="00F209C4" w:rsidP="00900B78">
            <w:pPr>
              <w:spacing w:before="0" w:after="0"/>
              <w:jc w:val="center"/>
              <w:rPr>
                <w:rFonts w:cs="Arial"/>
                <w:color w:val="000000"/>
                <w:sz w:val="16"/>
                <w:szCs w:val="16"/>
                <w:lang w:eastAsia="es-CO"/>
              </w:rPr>
            </w:pPr>
            <w:r w:rsidRPr="00321B46">
              <w:rPr>
                <w:rFonts w:cs="Arial"/>
                <w:color w:val="000000"/>
                <w:sz w:val="16"/>
                <w:szCs w:val="16"/>
                <w:lang w:eastAsia="es-CO"/>
              </w:rPr>
              <w:t>6</w:t>
            </w:r>
          </w:p>
        </w:tc>
        <w:tc>
          <w:tcPr>
            <w:tcW w:w="2654" w:type="pct"/>
            <w:tcBorders>
              <w:top w:val="nil"/>
              <w:left w:val="nil"/>
              <w:bottom w:val="single" w:sz="4" w:space="0" w:color="auto"/>
              <w:right w:val="single" w:sz="4" w:space="0" w:color="auto"/>
            </w:tcBorders>
            <w:shd w:val="clear" w:color="auto" w:fill="auto"/>
            <w:noWrap/>
            <w:vAlign w:val="center"/>
          </w:tcPr>
          <w:p w14:paraId="7CF5F059" w14:textId="77777777" w:rsidR="00F209C4" w:rsidRPr="00321B46" w:rsidRDefault="00F209C4" w:rsidP="00900B78">
            <w:pPr>
              <w:spacing w:before="0" w:after="0"/>
              <w:jc w:val="left"/>
              <w:rPr>
                <w:rFonts w:cs="Arial"/>
                <w:color w:val="000000"/>
                <w:sz w:val="16"/>
                <w:szCs w:val="16"/>
                <w:lang w:eastAsia="es-CO"/>
              </w:rPr>
            </w:pPr>
            <w:r w:rsidRPr="00321B46">
              <w:rPr>
                <w:rFonts w:cs="Arial"/>
                <w:color w:val="000000"/>
                <w:sz w:val="16"/>
                <w:szCs w:val="16"/>
                <w:lang w:eastAsia="es-CO"/>
              </w:rPr>
              <w:t>Otros activos subestación</w:t>
            </w:r>
          </w:p>
        </w:tc>
        <w:tc>
          <w:tcPr>
            <w:tcW w:w="1141" w:type="pct"/>
            <w:tcBorders>
              <w:top w:val="nil"/>
              <w:left w:val="nil"/>
              <w:bottom w:val="single" w:sz="4" w:space="0" w:color="auto"/>
              <w:right w:val="single" w:sz="4" w:space="0" w:color="auto"/>
            </w:tcBorders>
            <w:shd w:val="clear" w:color="auto" w:fill="auto"/>
            <w:noWrap/>
            <w:vAlign w:val="center"/>
            <w:hideMark/>
          </w:tcPr>
          <w:p w14:paraId="02128B1C" w14:textId="77777777" w:rsidR="00F209C4" w:rsidRPr="00321B46" w:rsidRDefault="00F209C4" w:rsidP="00900B78">
            <w:pPr>
              <w:spacing w:before="0" w:after="0"/>
              <w:jc w:val="center"/>
              <w:rPr>
                <w:rFonts w:cs="Arial"/>
                <w:sz w:val="16"/>
                <w:szCs w:val="16"/>
                <w:lang w:eastAsia="es-CO"/>
              </w:rPr>
            </w:pPr>
            <w:r w:rsidRPr="00321B46">
              <w:rPr>
                <w:rFonts w:cs="Arial"/>
                <w:sz w:val="16"/>
                <w:szCs w:val="16"/>
                <w:lang w:eastAsia="es-CO"/>
              </w:rPr>
              <w:t>30</w:t>
            </w:r>
          </w:p>
        </w:tc>
      </w:tr>
      <w:tr w:rsidR="00F209C4" w:rsidRPr="00321B46" w14:paraId="1C3C0BA4" w14:textId="77777777" w:rsidTr="00900B78">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hideMark/>
          </w:tcPr>
          <w:p w14:paraId="77B18EC5" w14:textId="77777777" w:rsidR="00F209C4" w:rsidRPr="00321B46" w:rsidRDefault="00F209C4" w:rsidP="00900B78">
            <w:pPr>
              <w:spacing w:before="0" w:after="0"/>
              <w:jc w:val="center"/>
              <w:rPr>
                <w:rFonts w:cs="Arial"/>
                <w:color w:val="000000"/>
                <w:sz w:val="16"/>
                <w:szCs w:val="16"/>
                <w:lang w:eastAsia="es-CO"/>
              </w:rPr>
            </w:pPr>
            <w:r w:rsidRPr="00321B46">
              <w:rPr>
                <w:rFonts w:cs="Arial"/>
                <w:color w:val="000000"/>
                <w:sz w:val="16"/>
                <w:szCs w:val="16"/>
                <w:lang w:eastAsia="es-CO"/>
              </w:rPr>
              <w:t>7</w:t>
            </w:r>
          </w:p>
        </w:tc>
        <w:tc>
          <w:tcPr>
            <w:tcW w:w="2654" w:type="pct"/>
            <w:tcBorders>
              <w:top w:val="nil"/>
              <w:left w:val="nil"/>
              <w:bottom w:val="single" w:sz="4" w:space="0" w:color="auto"/>
              <w:right w:val="single" w:sz="4" w:space="0" w:color="auto"/>
            </w:tcBorders>
            <w:shd w:val="clear" w:color="auto" w:fill="auto"/>
            <w:noWrap/>
            <w:vAlign w:val="center"/>
          </w:tcPr>
          <w:p w14:paraId="71BF17A5" w14:textId="77777777" w:rsidR="00F209C4" w:rsidRPr="00321B46" w:rsidRDefault="00F209C4" w:rsidP="00900B78">
            <w:pPr>
              <w:spacing w:before="0" w:after="0"/>
              <w:jc w:val="left"/>
              <w:rPr>
                <w:rFonts w:cs="Arial"/>
                <w:color w:val="000000"/>
                <w:sz w:val="16"/>
                <w:szCs w:val="16"/>
                <w:lang w:eastAsia="es-CO"/>
              </w:rPr>
            </w:pPr>
            <w:r w:rsidRPr="00321B46">
              <w:rPr>
                <w:rFonts w:cs="Arial"/>
                <w:color w:val="000000"/>
                <w:sz w:val="16"/>
                <w:szCs w:val="16"/>
                <w:lang w:eastAsia="es-CO"/>
              </w:rPr>
              <w:t>Centro de control</w:t>
            </w:r>
          </w:p>
        </w:tc>
        <w:tc>
          <w:tcPr>
            <w:tcW w:w="1141" w:type="pct"/>
            <w:tcBorders>
              <w:top w:val="nil"/>
              <w:left w:val="nil"/>
              <w:bottom w:val="single" w:sz="4" w:space="0" w:color="auto"/>
              <w:right w:val="single" w:sz="4" w:space="0" w:color="auto"/>
            </w:tcBorders>
            <w:shd w:val="clear" w:color="auto" w:fill="auto"/>
            <w:noWrap/>
            <w:vAlign w:val="center"/>
            <w:hideMark/>
          </w:tcPr>
          <w:p w14:paraId="4AFB0D5A" w14:textId="77777777" w:rsidR="00F209C4" w:rsidRPr="00321B46" w:rsidRDefault="00F209C4" w:rsidP="00900B78">
            <w:pPr>
              <w:spacing w:before="0" w:after="0"/>
              <w:jc w:val="center"/>
              <w:rPr>
                <w:rFonts w:cs="Arial"/>
                <w:sz w:val="16"/>
                <w:szCs w:val="16"/>
                <w:lang w:eastAsia="es-CO"/>
              </w:rPr>
            </w:pPr>
            <w:r w:rsidRPr="00321B46">
              <w:rPr>
                <w:rFonts w:cs="Arial"/>
                <w:sz w:val="16"/>
                <w:szCs w:val="16"/>
                <w:lang w:eastAsia="es-CO"/>
              </w:rPr>
              <w:t>10</w:t>
            </w:r>
          </w:p>
        </w:tc>
      </w:tr>
      <w:tr w:rsidR="00F209C4" w:rsidRPr="00321B46" w14:paraId="0C915D5C" w14:textId="77777777" w:rsidTr="00900B78">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hideMark/>
          </w:tcPr>
          <w:p w14:paraId="4697532B" w14:textId="77777777" w:rsidR="00F209C4" w:rsidRPr="00321B46" w:rsidRDefault="00F209C4" w:rsidP="00900B78">
            <w:pPr>
              <w:spacing w:before="0" w:after="0"/>
              <w:jc w:val="center"/>
              <w:rPr>
                <w:rFonts w:cs="Arial"/>
                <w:color w:val="000000"/>
                <w:sz w:val="16"/>
                <w:szCs w:val="16"/>
                <w:lang w:eastAsia="es-CO"/>
              </w:rPr>
            </w:pPr>
            <w:r w:rsidRPr="00321B46">
              <w:rPr>
                <w:rFonts w:cs="Arial"/>
                <w:color w:val="000000"/>
                <w:sz w:val="16"/>
                <w:szCs w:val="16"/>
                <w:lang w:eastAsia="es-CO"/>
              </w:rPr>
              <w:t>8</w:t>
            </w:r>
          </w:p>
        </w:tc>
        <w:tc>
          <w:tcPr>
            <w:tcW w:w="2654" w:type="pct"/>
            <w:tcBorders>
              <w:top w:val="nil"/>
              <w:left w:val="nil"/>
              <w:bottom w:val="single" w:sz="4" w:space="0" w:color="auto"/>
              <w:right w:val="single" w:sz="4" w:space="0" w:color="auto"/>
            </w:tcBorders>
            <w:shd w:val="clear" w:color="auto" w:fill="auto"/>
            <w:noWrap/>
            <w:vAlign w:val="center"/>
          </w:tcPr>
          <w:p w14:paraId="365E6220" w14:textId="77777777" w:rsidR="00F209C4" w:rsidRPr="00321B46" w:rsidRDefault="00F209C4" w:rsidP="00900B78">
            <w:pPr>
              <w:spacing w:before="0" w:after="0"/>
              <w:jc w:val="left"/>
              <w:rPr>
                <w:rFonts w:cs="Arial"/>
                <w:color w:val="000000"/>
                <w:sz w:val="16"/>
                <w:szCs w:val="16"/>
                <w:lang w:eastAsia="es-CO"/>
              </w:rPr>
            </w:pPr>
            <w:r w:rsidRPr="00321B46">
              <w:rPr>
                <w:rFonts w:cs="Arial"/>
                <w:color w:val="000000"/>
                <w:sz w:val="16"/>
                <w:szCs w:val="16"/>
                <w:lang w:eastAsia="es-CO"/>
              </w:rPr>
              <w:t>Líneas aéreas</w:t>
            </w:r>
          </w:p>
        </w:tc>
        <w:tc>
          <w:tcPr>
            <w:tcW w:w="1141" w:type="pct"/>
            <w:tcBorders>
              <w:top w:val="nil"/>
              <w:left w:val="nil"/>
              <w:bottom w:val="single" w:sz="4" w:space="0" w:color="auto"/>
              <w:right w:val="single" w:sz="4" w:space="0" w:color="auto"/>
            </w:tcBorders>
            <w:shd w:val="clear" w:color="auto" w:fill="auto"/>
            <w:noWrap/>
            <w:vAlign w:val="center"/>
            <w:hideMark/>
          </w:tcPr>
          <w:p w14:paraId="5DE746BB" w14:textId="77777777" w:rsidR="00F209C4" w:rsidRPr="00321B46" w:rsidRDefault="00F209C4" w:rsidP="00900B78">
            <w:pPr>
              <w:spacing w:before="0" w:after="0"/>
              <w:jc w:val="center"/>
              <w:rPr>
                <w:rFonts w:cs="Arial"/>
                <w:sz w:val="16"/>
                <w:szCs w:val="16"/>
                <w:lang w:eastAsia="es-CO"/>
              </w:rPr>
            </w:pPr>
            <w:r w:rsidRPr="00321B46">
              <w:rPr>
                <w:rFonts w:cs="Arial"/>
                <w:sz w:val="16"/>
                <w:szCs w:val="16"/>
                <w:lang w:eastAsia="es-CO"/>
              </w:rPr>
              <w:t>40</w:t>
            </w:r>
          </w:p>
        </w:tc>
      </w:tr>
      <w:tr w:rsidR="00F209C4" w:rsidRPr="00321B46" w14:paraId="67AE7418" w14:textId="77777777" w:rsidTr="00900B78">
        <w:trPr>
          <w:trHeight w:val="283"/>
          <w:jc w:val="center"/>
        </w:trPr>
        <w:tc>
          <w:tcPr>
            <w:tcW w:w="1205" w:type="pct"/>
            <w:tcBorders>
              <w:top w:val="nil"/>
              <w:left w:val="single" w:sz="4" w:space="0" w:color="auto"/>
              <w:bottom w:val="single" w:sz="4" w:space="0" w:color="auto"/>
              <w:right w:val="single" w:sz="4" w:space="0" w:color="auto"/>
            </w:tcBorders>
            <w:shd w:val="clear" w:color="auto" w:fill="auto"/>
            <w:noWrap/>
            <w:vAlign w:val="center"/>
            <w:hideMark/>
          </w:tcPr>
          <w:p w14:paraId="3FB75BB4" w14:textId="77777777" w:rsidR="00F209C4" w:rsidRPr="00321B46" w:rsidRDefault="00F209C4" w:rsidP="00900B78">
            <w:pPr>
              <w:spacing w:before="0" w:after="0"/>
              <w:jc w:val="center"/>
              <w:rPr>
                <w:rFonts w:cs="Arial"/>
                <w:color w:val="000000"/>
                <w:sz w:val="16"/>
                <w:szCs w:val="16"/>
                <w:lang w:eastAsia="es-CO"/>
              </w:rPr>
            </w:pPr>
            <w:r w:rsidRPr="00321B46">
              <w:rPr>
                <w:rFonts w:cs="Arial"/>
                <w:color w:val="000000"/>
                <w:sz w:val="16"/>
                <w:szCs w:val="16"/>
                <w:lang w:eastAsia="es-CO"/>
              </w:rPr>
              <w:t>9</w:t>
            </w:r>
          </w:p>
        </w:tc>
        <w:tc>
          <w:tcPr>
            <w:tcW w:w="2654" w:type="pct"/>
            <w:tcBorders>
              <w:top w:val="nil"/>
              <w:left w:val="nil"/>
              <w:bottom w:val="single" w:sz="4" w:space="0" w:color="auto"/>
              <w:right w:val="single" w:sz="4" w:space="0" w:color="auto"/>
            </w:tcBorders>
            <w:shd w:val="clear" w:color="auto" w:fill="auto"/>
            <w:noWrap/>
            <w:vAlign w:val="center"/>
          </w:tcPr>
          <w:p w14:paraId="7845D497" w14:textId="77777777" w:rsidR="00F209C4" w:rsidRPr="00321B46" w:rsidRDefault="00F209C4" w:rsidP="00900B78">
            <w:pPr>
              <w:spacing w:before="0" w:after="0"/>
              <w:jc w:val="left"/>
              <w:rPr>
                <w:rFonts w:cs="Arial"/>
                <w:color w:val="000000"/>
                <w:sz w:val="16"/>
                <w:szCs w:val="16"/>
                <w:lang w:eastAsia="es-CO"/>
              </w:rPr>
            </w:pPr>
            <w:r w:rsidRPr="00321B46">
              <w:rPr>
                <w:rFonts w:cs="Arial"/>
                <w:color w:val="000000"/>
                <w:sz w:val="16"/>
                <w:szCs w:val="16"/>
                <w:lang w:eastAsia="es-CO"/>
              </w:rPr>
              <w:t>Líneas subterráneas</w:t>
            </w:r>
          </w:p>
        </w:tc>
        <w:tc>
          <w:tcPr>
            <w:tcW w:w="1141" w:type="pct"/>
            <w:tcBorders>
              <w:top w:val="nil"/>
              <w:left w:val="nil"/>
              <w:bottom w:val="single" w:sz="4" w:space="0" w:color="auto"/>
              <w:right w:val="single" w:sz="4" w:space="0" w:color="auto"/>
            </w:tcBorders>
            <w:shd w:val="clear" w:color="auto" w:fill="auto"/>
            <w:noWrap/>
            <w:vAlign w:val="center"/>
            <w:hideMark/>
          </w:tcPr>
          <w:p w14:paraId="29F99AA5" w14:textId="77777777" w:rsidR="00F209C4" w:rsidRPr="00321B46" w:rsidRDefault="00F209C4" w:rsidP="00F209C4">
            <w:pPr>
              <w:spacing w:before="0" w:after="0"/>
              <w:jc w:val="center"/>
              <w:rPr>
                <w:rFonts w:cs="Arial"/>
                <w:sz w:val="16"/>
                <w:szCs w:val="16"/>
                <w:lang w:eastAsia="es-CO"/>
              </w:rPr>
            </w:pPr>
            <w:r w:rsidRPr="00321B46">
              <w:rPr>
                <w:rFonts w:cs="Arial"/>
                <w:sz w:val="16"/>
                <w:szCs w:val="16"/>
                <w:lang w:eastAsia="es-CO"/>
              </w:rPr>
              <w:t>40</w:t>
            </w:r>
          </w:p>
        </w:tc>
      </w:tr>
    </w:tbl>
    <w:p w14:paraId="25EEA0B6" w14:textId="77777777" w:rsidR="00054DFB" w:rsidRPr="00321B46" w:rsidRDefault="00054DFB" w:rsidP="00054DFB">
      <w:pPr>
        <w:spacing w:before="0" w:after="0"/>
        <w:jc w:val="left"/>
        <w:rPr>
          <w:lang w:val="es-CO"/>
        </w:rPr>
      </w:pPr>
      <w:r w:rsidRPr="00321B46">
        <w:rPr>
          <w:lang w:val="es-CO"/>
        </w:rPr>
        <w:br w:type="page"/>
      </w:r>
    </w:p>
    <w:p w14:paraId="4E9828A7" w14:textId="77777777" w:rsidR="00054DFB" w:rsidRPr="00321B46" w:rsidRDefault="00054DFB">
      <w:pPr>
        <w:pStyle w:val="Ttulo1"/>
      </w:pPr>
      <w:bookmarkStart w:id="502" w:name="_Toc466392701"/>
      <w:r w:rsidRPr="00321B46">
        <w:t>CARGOS HORARIOS</w:t>
      </w:r>
      <w:bookmarkEnd w:id="502"/>
    </w:p>
    <w:p w14:paraId="3E5C73E6" w14:textId="77777777" w:rsidR="00054DFB" w:rsidRPr="00321B46" w:rsidRDefault="00054DFB" w:rsidP="00054DFB">
      <w:r w:rsidRPr="00321B46">
        <w:t>Los cargos por uso monomios horarios del STN, con diferenciación horaria por período de carga, que serán facturados por el LAC a los comercializadores del SIN que atienden usuarios finales, los calculará mensualmente el LAC a partir del cargo por uso monomio del STN, utilizando las siguientes variables:</w:t>
      </w:r>
    </w:p>
    <w:p w14:paraId="7BD7013D" w14:textId="77777777" w:rsidR="00054DFB" w:rsidRPr="00321B46" w:rsidRDefault="00054DFB" w:rsidP="00054DFB">
      <w:pPr>
        <w:tabs>
          <w:tab w:val="left" w:pos="1134"/>
        </w:tabs>
        <w:ind w:left="1134" w:hanging="1134"/>
      </w:pPr>
      <w:r w:rsidRPr="00321B46">
        <w:t>H</w:t>
      </w:r>
      <w:r w:rsidRPr="00321B46">
        <w:rPr>
          <w:vertAlign w:val="subscript"/>
        </w:rPr>
        <w:t>x</w:t>
      </w:r>
      <w:r w:rsidRPr="00321B46">
        <w:t>:</w:t>
      </w:r>
      <w:r w:rsidRPr="00321B46">
        <w:rPr>
          <w:vertAlign w:val="subscript"/>
        </w:rPr>
        <w:tab/>
      </w:r>
      <w:r w:rsidRPr="00321B46">
        <w:t>número de horas asociado al período de carga má</w:t>
      </w:r>
      <w:r w:rsidRPr="00321B46">
        <w:rPr>
          <w:b/>
        </w:rPr>
        <w:t>x</w:t>
      </w:r>
      <w:r w:rsidRPr="00321B46">
        <w:t>ima</w:t>
      </w:r>
    </w:p>
    <w:p w14:paraId="02577454" w14:textId="77777777" w:rsidR="00054DFB" w:rsidRPr="00321B46" w:rsidRDefault="00054DFB" w:rsidP="00054DFB">
      <w:pPr>
        <w:tabs>
          <w:tab w:val="left" w:pos="1134"/>
        </w:tabs>
        <w:spacing w:before="120"/>
        <w:ind w:left="1134" w:hanging="1134"/>
      </w:pPr>
      <w:r w:rsidRPr="00321B46">
        <w:t>H</w:t>
      </w:r>
      <w:r w:rsidRPr="00321B46">
        <w:rPr>
          <w:vertAlign w:val="subscript"/>
        </w:rPr>
        <w:t>d</w:t>
      </w:r>
      <w:r w:rsidRPr="00321B46">
        <w:t>:</w:t>
      </w:r>
      <w:r w:rsidRPr="00321B46">
        <w:rPr>
          <w:vertAlign w:val="subscript"/>
        </w:rPr>
        <w:tab/>
      </w:r>
      <w:r w:rsidRPr="00321B46">
        <w:t>número de horas asociado al período de carga me</w:t>
      </w:r>
      <w:r w:rsidRPr="00321B46">
        <w:rPr>
          <w:b/>
        </w:rPr>
        <w:t>d</w:t>
      </w:r>
      <w:r w:rsidRPr="00321B46">
        <w:t>ia</w:t>
      </w:r>
    </w:p>
    <w:p w14:paraId="70167508" w14:textId="77777777" w:rsidR="00054DFB" w:rsidRPr="00321B46" w:rsidRDefault="00054DFB" w:rsidP="00054DFB">
      <w:pPr>
        <w:tabs>
          <w:tab w:val="left" w:pos="1134"/>
        </w:tabs>
        <w:spacing w:before="120"/>
        <w:ind w:left="1134" w:hanging="1134"/>
      </w:pPr>
      <w:r w:rsidRPr="00321B46">
        <w:t>H</w:t>
      </w:r>
      <w:r w:rsidRPr="00321B46">
        <w:rPr>
          <w:vertAlign w:val="subscript"/>
        </w:rPr>
        <w:t>n</w:t>
      </w:r>
      <w:r w:rsidRPr="00321B46">
        <w:t>:</w:t>
      </w:r>
      <w:r w:rsidRPr="00321B46">
        <w:rPr>
          <w:vertAlign w:val="subscript"/>
        </w:rPr>
        <w:tab/>
      </w:r>
      <w:r w:rsidRPr="00321B46">
        <w:t>número de horas asociado al período de carga mí</w:t>
      </w:r>
      <w:r w:rsidRPr="00321B46">
        <w:rPr>
          <w:b/>
        </w:rPr>
        <w:t>n</w:t>
      </w:r>
      <w:r w:rsidRPr="00321B46">
        <w:t>ima.</w:t>
      </w:r>
    </w:p>
    <w:p w14:paraId="2894AECB" w14:textId="77777777" w:rsidR="00054DFB" w:rsidRPr="00321B46" w:rsidRDefault="00054DFB" w:rsidP="00054DFB">
      <w:pPr>
        <w:tabs>
          <w:tab w:val="left" w:pos="1134"/>
        </w:tabs>
        <w:spacing w:before="120"/>
        <w:ind w:left="1134" w:hanging="1134"/>
      </w:pPr>
      <w:r w:rsidRPr="00321B46">
        <w:t>P</w:t>
      </w:r>
      <w:r w:rsidRPr="00321B46">
        <w:rPr>
          <w:vertAlign w:val="subscript"/>
        </w:rPr>
        <w:t>i,m</w:t>
      </w:r>
      <w:r w:rsidRPr="00321B46">
        <w:t>:</w:t>
      </w:r>
      <w:r w:rsidRPr="00321B46">
        <w:rPr>
          <w:vertAlign w:val="subscript"/>
        </w:rPr>
        <w:tab/>
      </w:r>
      <w:r w:rsidRPr="00321B46">
        <w:t xml:space="preserve">potencia promedio para la hora </w:t>
      </w:r>
      <w:r w:rsidRPr="00321B46">
        <w:rPr>
          <w:i/>
        </w:rPr>
        <w:t>i</w:t>
      </w:r>
      <w:r w:rsidRPr="00321B46">
        <w:t xml:space="preserve"> durante el mes </w:t>
      </w:r>
      <w:r w:rsidRPr="00321B46">
        <w:rPr>
          <w:i/>
        </w:rPr>
        <w:t>m</w:t>
      </w:r>
      <w:r w:rsidRPr="00321B46">
        <w:t>, correspondiente a los consumos horarios nacionales de todos los usuarios finales.</w:t>
      </w:r>
    </w:p>
    <w:p w14:paraId="6B02681A" w14:textId="77777777" w:rsidR="00054DFB" w:rsidRPr="00321B46" w:rsidRDefault="00054DFB" w:rsidP="00054DFB">
      <w:pPr>
        <w:spacing w:before="120"/>
        <w:ind w:left="1134" w:hanging="1134"/>
      </w:pPr>
      <w:r w:rsidRPr="00321B46">
        <w:t>P</w:t>
      </w:r>
      <w:r w:rsidRPr="00321B46">
        <w:rPr>
          <w:vertAlign w:val="subscript"/>
        </w:rPr>
        <w:t>x,m</w:t>
      </w:r>
      <w:r w:rsidRPr="00321B46">
        <w:t>, P</w:t>
      </w:r>
      <w:r w:rsidRPr="00321B46">
        <w:rPr>
          <w:vertAlign w:val="subscript"/>
        </w:rPr>
        <w:t>d.m</w:t>
      </w:r>
      <w:r w:rsidRPr="00321B46">
        <w:t xml:space="preserve"> y P</w:t>
      </w:r>
      <w:r w:rsidRPr="00321B46">
        <w:rPr>
          <w:vertAlign w:val="subscript"/>
        </w:rPr>
        <w:t>n,m</w:t>
      </w:r>
      <w:r w:rsidRPr="00321B46">
        <w:t>:</w:t>
      </w:r>
      <w:r w:rsidRPr="00321B46">
        <w:rPr>
          <w:vertAlign w:val="subscript"/>
        </w:rPr>
        <w:tab/>
      </w:r>
      <w:r w:rsidRPr="00321B46">
        <w:t xml:space="preserve"> potencias resultantes de promediar las potencias (</w:t>
      </w:r>
      <w:r w:rsidRPr="00321B46">
        <w:rPr>
          <w:i/>
        </w:rPr>
        <w:t>P</w:t>
      </w:r>
      <w:r w:rsidRPr="00321B46">
        <w:rPr>
          <w:i/>
          <w:vertAlign w:val="subscript"/>
        </w:rPr>
        <w:t>i,m</w:t>
      </w:r>
      <w:r w:rsidRPr="00321B46">
        <w:t xml:space="preserve">) asociadas a las horas asignadas a cada uno de los períodos de carga para el mes </w:t>
      </w:r>
      <w:r w:rsidRPr="00321B46">
        <w:rPr>
          <w:i/>
        </w:rPr>
        <w:t>m</w:t>
      </w:r>
      <w:r w:rsidRPr="00321B46">
        <w:t>.</w:t>
      </w:r>
    </w:p>
    <w:p w14:paraId="56609CCA" w14:textId="77777777" w:rsidR="00054DFB" w:rsidRPr="00321B46" w:rsidRDefault="00054DFB" w:rsidP="00054DFB">
      <w:pPr>
        <w:spacing w:before="120"/>
        <w:ind w:left="1134" w:hanging="1134"/>
      </w:pPr>
      <w:r w:rsidRPr="00321B46">
        <w:t>T</w:t>
      </w:r>
      <w:r w:rsidRPr="00321B46">
        <w:rPr>
          <w:vertAlign w:val="subscript"/>
        </w:rPr>
        <w:t>m:</w:t>
      </w:r>
      <w:r w:rsidRPr="00321B46">
        <w:rPr>
          <w:vertAlign w:val="subscript"/>
        </w:rPr>
        <w:tab/>
      </w:r>
      <w:r w:rsidRPr="00321B46">
        <w:t xml:space="preserve">Cargo por uso monomio del STN, para el mes </w:t>
      </w:r>
      <w:r w:rsidRPr="00321B46">
        <w:rPr>
          <w:i/>
        </w:rPr>
        <w:t>m.</w:t>
      </w:r>
      <w:r w:rsidRPr="00321B46">
        <w:t xml:space="preserve"> ($/kWh).</w:t>
      </w:r>
    </w:p>
    <w:p w14:paraId="536BC839" w14:textId="77777777" w:rsidR="00054DFB" w:rsidRPr="00321B46" w:rsidRDefault="00054DFB" w:rsidP="00054DFB">
      <w:pPr>
        <w:spacing w:before="120"/>
        <w:ind w:left="1134" w:hanging="1134"/>
      </w:pPr>
      <w:r w:rsidRPr="00321B46">
        <w:t>T</w:t>
      </w:r>
      <w:r w:rsidRPr="00321B46">
        <w:rPr>
          <w:vertAlign w:val="subscript"/>
        </w:rPr>
        <w:t>x,m:</w:t>
      </w:r>
      <w:r w:rsidRPr="00321B46">
        <w:rPr>
          <w:vertAlign w:val="subscript"/>
        </w:rPr>
        <w:tab/>
      </w:r>
      <w:r w:rsidRPr="00321B46">
        <w:t>Cargo por uso monomio horario para el período de carga má</w:t>
      </w:r>
      <w:r w:rsidRPr="00321B46">
        <w:rPr>
          <w:b/>
        </w:rPr>
        <w:t>x</w:t>
      </w:r>
      <w:r w:rsidRPr="00321B46">
        <w:t xml:space="preserve">ima del STN, para el mes </w:t>
      </w:r>
      <w:r w:rsidRPr="00321B46">
        <w:rPr>
          <w:i/>
        </w:rPr>
        <w:t>m.</w:t>
      </w:r>
      <w:r w:rsidRPr="00321B46">
        <w:t xml:space="preserve"> ($/kWh).</w:t>
      </w:r>
    </w:p>
    <w:p w14:paraId="68ED208D" w14:textId="77777777" w:rsidR="00054DFB" w:rsidRPr="00321B46" w:rsidRDefault="00054DFB" w:rsidP="00054DFB">
      <w:pPr>
        <w:spacing w:before="120"/>
        <w:ind w:left="1134" w:hanging="1134"/>
      </w:pPr>
      <w:r w:rsidRPr="00321B46">
        <w:t>T</w:t>
      </w:r>
      <w:r w:rsidRPr="00321B46">
        <w:rPr>
          <w:vertAlign w:val="subscript"/>
        </w:rPr>
        <w:t>d,m:</w:t>
      </w:r>
      <w:r w:rsidRPr="00321B46">
        <w:rPr>
          <w:vertAlign w:val="subscript"/>
        </w:rPr>
        <w:tab/>
      </w:r>
      <w:r w:rsidRPr="00321B46">
        <w:t>Cargo por uso monomio horario para el período de carga me</w:t>
      </w:r>
      <w:r w:rsidRPr="00321B46">
        <w:rPr>
          <w:b/>
        </w:rPr>
        <w:t>d</w:t>
      </w:r>
      <w:r w:rsidRPr="00321B46">
        <w:t xml:space="preserve">ia del STN, para el mes </w:t>
      </w:r>
      <w:r w:rsidRPr="00321B46">
        <w:rPr>
          <w:i/>
        </w:rPr>
        <w:t>m</w:t>
      </w:r>
      <w:r w:rsidRPr="00321B46">
        <w:t>. ($/kWh).</w:t>
      </w:r>
    </w:p>
    <w:p w14:paraId="6C06A600" w14:textId="77777777" w:rsidR="00054DFB" w:rsidRPr="00321B46" w:rsidRDefault="00054DFB" w:rsidP="00054DFB">
      <w:pPr>
        <w:spacing w:before="120"/>
        <w:ind w:left="1134" w:hanging="1134"/>
      </w:pPr>
      <w:r w:rsidRPr="00321B46">
        <w:t>T</w:t>
      </w:r>
      <w:r w:rsidRPr="00321B46">
        <w:rPr>
          <w:vertAlign w:val="subscript"/>
        </w:rPr>
        <w:t>n,m:</w:t>
      </w:r>
      <w:r w:rsidRPr="00321B46">
        <w:rPr>
          <w:vertAlign w:val="subscript"/>
        </w:rPr>
        <w:tab/>
      </w:r>
      <w:r w:rsidRPr="00321B46">
        <w:t>Cargo por uso monomio horario para el período de carga mí</w:t>
      </w:r>
      <w:r w:rsidRPr="00321B46">
        <w:rPr>
          <w:b/>
        </w:rPr>
        <w:t>n</w:t>
      </w:r>
      <w:r w:rsidRPr="00321B46">
        <w:t xml:space="preserve">ima del STN, para el mes </w:t>
      </w:r>
      <w:r w:rsidRPr="00321B46">
        <w:rPr>
          <w:i/>
        </w:rPr>
        <w:t>m</w:t>
      </w:r>
      <w:r w:rsidRPr="00321B46">
        <w:t>. ($/kWh).</w:t>
      </w:r>
    </w:p>
    <w:p w14:paraId="561B339A" w14:textId="77777777" w:rsidR="00054DFB" w:rsidRPr="00321B46" w:rsidRDefault="00054DFB" w:rsidP="00054DFB">
      <w:r w:rsidRPr="00321B46">
        <w:t>Considerando que la magnitud de la energía de la hora i-ésima es igual a la magnitud de la potencia de la hora i-ésima (</w:t>
      </w:r>
      <w:r w:rsidRPr="00321B46">
        <w:rPr>
          <w:i/>
        </w:rPr>
        <w:t>P</w:t>
      </w:r>
      <w:r w:rsidRPr="00321B46">
        <w:rPr>
          <w:i/>
          <w:vertAlign w:val="subscript"/>
        </w:rPr>
        <w:t>i,m</w:t>
      </w:r>
      <w:r w:rsidRPr="00321B46">
        <w:t xml:space="preserve">) por tratarse de potencias promedios referidas a períodos de una hora, los cargos por uso monomios horarios para el mes </w:t>
      </w:r>
      <w:r w:rsidRPr="00321B46">
        <w:rPr>
          <w:i/>
        </w:rPr>
        <w:t>m</w:t>
      </w:r>
      <w:r w:rsidRPr="00321B46">
        <w:t xml:space="preserve">: </w:t>
      </w:r>
      <w:r w:rsidRPr="00321B46">
        <w:rPr>
          <w:i/>
        </w:rPr>
        <w:t>T</w:t>
      </w:r>
      <w:r w:rsidRPr="00321B46">
        <w:rPr>
          <w:i/>
          <w:vertAlign w:val="subscript"/>
        </w:rPr>
        <w:t>x,m</w:t>
      </w:r>
      <w:r w:rsidRPr="00321B46">
        <w:t xml:space="preserve">, </w:t>
      </w:r>
      <w:r w:rsidRPr="00321B46">
        <w:rPr>
          <w:i/>
        </w:rPr>
        <w:t>T</w:t>
      </w:r>
      <w:r w:rsidRPr="00321B46">
        <w:rPr>
          <w:i/>
          <w:vertAlign w:val="subscript"/>
        </w:rPr>
        <w:t>d,m</w:t>
      </w:r>
      <w:r w:rsidRPr="00321B46">
        <w:t xml:space="preserve"> y </w:t>
      </w:r>
      <w:r w:rsidRPr="00321B46">
        <w:rPr>
          <w:i/>
        </w:rPr>
        <w:t>T</w:t>
      </w:r>
      <w:r w:rsidRPr="00321B46">
        <w:rPr>
          <w:i/>
          <w:vertAlign w:val="subscript"/>
        </w:rPr>
        <w:t>n,m</w:t>
      </w:r>
      <w:r w:rsidRPr="00321B46">
        <w:t xml:space="preserve"> se calculan resolviendo el siguiente sistema de tres ecuaciones con tres incógnitas:</w:t>
      </w:r>
    </w:p>
    <w:p w14:paraId="6C978079" w14:textId="77777777" w:rsidR="00054DFB" w:rsidRPr="00321B46" w:rsidRDefault="00651802" w:rsidP="00054DFB">
      <w:pPr>
        <w:rPr>
          <w:spacing w:val="-3"/>
          <w:lang w:val="es-ES_tradnl"/>
        </w:rPr>
      </w:pPr>
      <m:oMathPara>
        <m:oMath>
          <m:sSub>
            <m:sSubPr>
              <m:ctrlPr>
                <w:rPr>
                  <w:rFonts w:ascii="Cambria Math" w:hAnsi="Cambria Math"/>
                  <w:i/>
                  <w:spacing w:val="-3"/>
                  <w:sz w:val="28"/>
                  <w:lang w:val="es-ES_tradnl"/>
                </w:rPr>
              </m:ctrlPr>
            </m:sSubPr>
            <m:e>
              <m:r>
                <w:rPr>
                  <w:rFonts w:ascii="Cambria Math" w:hAnsi="Cambria Math"/>
                  <w:spacing w:val="-3"/>
                  <w:sz w:val="28"/>
                  <w:lang w:val="es-ES_tradnl"/>
                </w:rPr>
                <m:t>H</m:t>
              </m:r>
            </m:e>
            <m:sub>
              <m:r>
                <w:rPr>
                  <w:rFonts w:ascii="Cambria Math" w:hAnsi="Cambria Math"/>
                  <w:spacing w:val="-3"/>
                  <w:sz w:val="28"/>
                  <w:lang w:val="es-ES_tradnl"/>
                </w:rPr>
                <m:t>x,m</m:t>
              </m:r>
            </m:sub>
          </m:sSub>
          <m:r>
            <w:rPr>
              <w:rFonts w:ascii="Cambria Math" w:hAnsi="Cambria Math"/>
              <w:spacing w:val="-3"/>
              <w:sz w:val="28"/>
              <w:lang w:val="es-ES_tradnl"/>
            </w:rPr>
            <m:t>*</m:t>
          </m:r>
          <m:sSub>
            <m:sSubPr>
              <m:ctrlPr>
                <w:rPr>
                  <w:rFonts w:ascii="Cambria Math" w:hAnsi="Cambria Math"/>
                  <w:i/>
                  <w:spacing w:val="-3"/>
                  <w:sz w:val="28"/>
                  <w:lang w:val="es-ES_tradnl"/>
                </w:rPr>
              </m:ctrlPr>
            </m:sSubPr>
            <m:e>
              <m:r>
                <w:rPr>
                  <w:rFonts w:ascii="Cambria Math" w:hAnsi="Cambria Math"/>
                  <w:spacing w:val="-3"/>
                  <w:sz w:val="28"/>
                  <w:lang w:val="es-ES_tradnl"/>
                </w:rPr>
                <m:t>P</m:t>
              </m:r>
            </m:e>
            <m:sub>
              <m:r>
                <w:rPr>
                  <w:rFonts w:ascii="Cambria Math" w:hAnsi="Cambria Math"/>
                  <w:spacing w:val="-3"/>
                  <w:sz w:val="28"/>
                  <w:lang w:val="es-ES_tradnl"/>
                </w:rPr>
                <m:t>x,m</m:t>
              </m:r>
            </m:sub>
          </m:sSub>
          <m:r>
            <w:rPr>
              <w:rFonts w:ascii="Cambria Math" w:hAnsi="Cambria Math"/>
              <w:spacing w:val="-3"/>
              <w:sz w:val="28"/>
              <w:lang w:val="es-ES_tradnl"/>
            </w:rPr>
            <m:t>*</m:t>
          </m:r>
          <m:sSub>
            <m:sSubPr>
              <m:ctrlPr>
                <w:rPr>
                  <w:rFonts w:ascii="Cambria Math" w:hAnsi="Cambria Math"/>
                  <w:i/>
                  <w:spacing w:val="-3"/>
                  <w:sz w:val="28"/>
                  <w:lang w:val="es-ES_tradnl"/>
                </w:rPr>
              </m:ctrlPr>
            </m:sSubPr>
            <m:e>
              <m:r>
                <w:rPr>
                  <w:rFonts w:ascii="Cambria Math" w:hAnsi="Cambria Math"/>
                  <w:spacing w:val="-3"/>
                  <w:sz w:val="28"/>
                  <w:lang w:val="es-ES_tradnl"/>
                </w:rPr>
                <m:t>T</m:t>
              </m:r>
            </m:e>
            <m:sub>
              <m:r>
                <w:rPr>
                  <w:rFonts w:ascii="Cambria Math" w:hAnsi="Cambria Math"/>
                  <w:spacing w:val="-3"/>
                  <w:sz w:val="28"/>
                  <w:lang w:val="es-ES_tradnl"/>
                </w:rPr>
                <m:t>x,m</m:t>
              </m:r>
            </m:sub>
          </m:sSub>
          <m:r>
            <w:rPr>
              <w:rFonts w:ascii="Cambria Math" w:hAnsi="Cambria Math"/>
              <w:spacing w:val="-3"/>
              <w:sz w:val="28"/>
              <w:lang w:val="es-ES_tradnl"/>
            </w:rPr>
            <m:t>+</m:t>
          </m:r>
          <m:sSub>
            <m:sSubPr>
              <m:ctrlPr>
                <w:rPr>
                  <w:rFonts w:ascii="Cambria Math" w:hAnsi="Cambria Math"/>
                  <w:i/>
                  <w:spacing w:val="-3"/>
                  <w:sz w:val="28"/>
                  <w:lang w:val="es-ES_tradnl"/>
                </w:rPr>
              </m:ctrlPr>
            </m:sSubPr>
            <m:e>
              <m:r>
                <w:rPr>
                  <w:rFonts w:ascii="Cambria Math" w:hAnsi="Cambria Math"/>
                  <w:spacing w:val="-3"/>
                  <w:sz w:val="28"/>
                  <w:lang w:val="es-ES_tradnl"/>
                </w:rPr>
                <m:t>H</m:t>
              </m:r>
            </m:e>
            <m:sub>
              <m:r>
                <w:rPr>
                  <w:rFonts w:ascii="Cambria Math" w:hAnsi="Cambria Math"/>
                  <w:spacing w:val="-3"/>
                  <w:sz w:val="28"/>
                  <w:lang w:val="es-ES_tradnl"/>
                </w:rPr>
                <m:t>d,m</m:t>
              </m:r>
            </m:sub>
          </m:sSub>
          <m:r>
            <w:rPr>
              <w:rFonts w:ascii="Cambria Math" w:hAnsi="Cambria Math"/>
              <w:spacing w:val="-3"/>
              <w:sz w:val="28"/>
              <w:lang w:val="es-ES_tradnl"/>
            </w:rPr>
            <m:t>*</m:t>
          </m:r>
          <m:sSub>
            <m:sSubPr>
              <m:ctrlPr>
                <w:rPr>
                  <w:rFonts w:ascii="Cambria Math" w:hAnsi="Cambria Math"/>
                  <w:i/>
                  <w:spacing w:val="-3"/>
                  <w:sz w:val="28"/>
                  <w:lang w:val="es-ES_tradnl"/>
                </w:rPr>
              </m:ctrlPr>
            </m:sSubPr>
            <m:e>
              <m:r>
                <w:rPr>
                  <w:rFonts w:ascii="Cambria Math" w:hAnsi="Cambria Math"/>
                  <w:spacing w:val="-3"/>
                  <w:sz w:val="28"/>
                  <w:lang w:val="es-ES_tradnl"/>
                </w:rPr>
                <m:t>P</m:t>
              </m:r>
            </m:e>
            <m:sub>
              <m:r>
                <w:rPr>
                  <w:rFonts w:ascii="Cambria Math" w:hAnsi="Cambria Math"/>
                  <w:spacing w:val="-3"/>
                  <w:sz w:val="28"/>
                  <w:lang w:val="es-ES_tradnl"/>
                </w:rPr>
                <m:t>d,m</m:t>
              </m:r>
            </m:sub>
          </m:sSub>
          <m:r>
            <w:rPr>
              <w:rFonts w:ascii="Cambria Math" w:hAnsi="Cambria Math"/>
              <w:spacing w:val="-3"/>
              <w:sz w:val="28"/>
              <w:lang w:val="es-ES_tradnl"/>
            </w:rPr>
            <m:t>*</m:t>
          </m:r>
          <m:sSub>
            <m:sSubPr>
              <m:ctrlPr>
                <w:rPr>
                  <w:rFonts w:ascii="Cambria Math" w:hAnsi="Cambria Math"/>
                  <w:i/>
                  <w:spacing w:val="-3"/>
                  <w:sz w:val="28"/>
                  <w:lang w:val="es-ES_tradnl"/>
                </w:rPr>
              </m:ctrlPr>
            </m:sSubPr>
            <m:e>
              <m:r>
                <w:rPr>
                  <w:rFonts w:ascii="Cambria Math" w:hAnsi="Cambria Math"/>
                  <w:spacing w:val="-3"/>
                  <w:sz w:val="28"/>
                  <w:lang w:val="es-ES_tradnl"/>
                </w:rPr>
                <m:t>T</m:t>
              </m:r>
            </m:e>
            <m:sub>
              <m:r>
                <w:rPr>
                  <w:rFonts w:ascii="Cambria Math" w:hAnsi="Cambria Math"/>
                  <w:spacing w:val="-3"/>
                  <w:sz w:val="28"/>
                  <w:lang w:val="es-ES_tradnl"/>
                </w:rPr>
                <m:t>d,m</m:t>
              </m:r>
            </m:sub>
          </m:sSub>
          <m:r>
            <w:rPr>
              <w:rFonts w:ascii="Cambria Math" w:hAnsi="Cambria Math"/>
              <w:spacing w:val="-3"/>
              <w:sz w:val="28"/>
              <w:lang w:val="es-ES_tradnl"/>
            </w:rPr>
            <m:t>+</m:t>
          </m:r>
          <m:sSub>
            <m:sSubPr>
              <m:ctrlPr>
                <w:rPr>
                  <w:rFonts w:ascii="Cambria Math" w:hAnsi="Cambria Math"/>
                  <w:i/>
                  <w:spacing w:val="-3"/>
                  <w:sz w:val="28"/>
                  <w:lang w:val="es-ES_tradnl"/>
                </w:rPr>
              </m:ctrlPr>
            </m:sSubPr>
            <m:e>
              <m:r>
                <w:rPr>
                  <w:rFonts w:ascii="Cambria Math" w:hAnsi="Cambria Math"/>
                  <w:spacing w:val="-3"/>
                  <w:sz w:val="28"/>
                  <w:lang w:val="es-ES_tradnl"/>
                </w:rPr>
                <m:t>H</m:t>
              </m:r>
            </m:e>
            <m:sub>
              <m:r>
                <w:rPr>
                  <w:rFonts w:ascii="Cambria Math" w:hAnsi="Cambria Math"/>
                  <w:spacing w:val="-3"/>
                  <w:sz w:val="28"/>
                  <w:lang w:val="es-ES_tradnl"/>
                </w:rPr>
                <m:t>n,m</m:t>
              </m:r>
            </m:sub>
          </m:sSub>
          <m:r>
            <w:rPr>
              <w:rFonts w:ascii="Cambria Math" w:hAnsi="Cambria Math"/>
              <w:spacing w:val="-3"/>
              <w:sz w:val="28"/>
              <w:lang w:val="es-ES_tradnl"/>
            </w:rPr>
            <m:t>*</m:t>
          </m:r>
          <m:sSub>
            <m:sSubPr>
              <m:ctrlPr>
                <w:rPr>
                  <w:rFonts w:ascii="Cambria Math" w:hAnsi="Cambria Math"/>
                  <w:i/>
                  <w:spacing w:val="-3"/>
                  <w:sz w:val="28"/>
                  <w:lang w:val="es-ES_tradnl"/>
                </w:rPr>
              </m:ctrlPr>
            </m:sSubPr>
            <m:e>
              <m:r>
                <w:rPr>
                  <w:rFonts w:ascii="Cambria Math" w:hAnsi="Cambria Math"/>
                  <w:spacing w:val="-3"/>
                  <w:sz w:val="28"/>
                  <w:lang w:val="es-ES_tradnl"/>
                </w:rPr>
                <m:t>P</m:t>
              </m:r>
            </m:e>
            <m:sub>
              <m:r>
                <w:rPr>
                  <w:rFonts w:ascii="Cambria Math" w:hAnsi="Cambria Math"/>
                  <w:spacing w:val="-3"/>
                  <w:sz w:val="28"/>
                  <w:lang w:val="es-ES_tradnl"/>
                </w:rPr>
                <m:t>n,m</m:t>
              </m:r>
            </m:sub>
          </m:sSub>
          <m:r>
            <w:rPr>
              <w:rFonts w:ascii="Cambria Math" w:hAnsi="Cambria Math"/>
              <w:spacing w:val="-3"/>
              <w:sz w:val="28"/>
              <w:lang w:val="es-ES_tradnl"/>
            </w:rPr>
            <m:t>*</m:t>
          </m:r>
          <m:sSub>
            <m:sSubPr>
              <m:ctrlPr>
                <w:rPr>
                  <w:rFonts w:ascii="Cambria Math" w:hAnsi="Cambria Math"/>
                  <w:i/>
                  <w:spacing w:val="-3"/>
                  <w:sz w:val="28"/>
                  <w:lang w:val="es-ES_tradnl"/>
                </w:rPr>
              </m:ctrlPr>
            </m:sSubPr>
            <m:e>
              <m:r>
                <w:rPr>
                  <w:rFonts w:ascii="Cambria Math" w:hAnsi="Cambria Math"/>
                  <w:spacing w:val="-3"/>
                  <w:sz w:val="28"/>
                  <w:lang w:val="es-ES_tradnl"/>
                </w:rPr>
                <m:t>T</m:t>
              </m:r>
            </m:e>
            <m:sub>
              <m:r>
                <w:rPr>
                  <w:rFonts w:ascii="Cambria Math" w:hAnsi="Cambria Math"/>
                  <w:spacing w:val="-3"/>
                  <w:sz w:val="28"/>
                  <w:lang w:val="es-ES_tradnl"/>
                </w:rPr>
                <m:t>n,m</m:t>
              </m:r>
            </m:sub>
          </m:sSub>
          <m:r>
            <w:rPr>
              <w:rFonts w:ascii="Cambria Math" w:hAnsi="Cambria Math"/>
              <w:spacing w:val="-3"/>
              <w:sz w:val="28"/>
              <w:lang w:val="es-ES_tradnl"/>
            </w:rPr>
            <m:t>=</m:t>
          </m:r>
          <m:sSub>
            <m:sSubPr>
              <m:ctrlPr>
                <w:rPr>
                  <w:rFonts w:ascii="Cambria Math" w:hAnsi="Cambria Math"/>
                  <w:i/>
                  <w:spacing w:val="-3"/>
                  <w:sz w:val="28"/>
                  <w:lang w:val="es-ES_tradnl"/>
                </w:rPr>
              </m:ctrlPr>
            </m:sSubPr>
            <m:e>
              <m:r>
                <w:rPr>
                  <w:rFonts w:ascii="Cambria Math" w:hAnsi="Cambria Math"/>
                  <w:spacing w:val="-3"/>
                  <w:sz w:val="28"/>
                  <w:lang w:val="es-ES_tradnl"/>
                </w:rPr>
                <m:t>T</m:t>
              </m:r>
            </m:e>
            <m:sub>
              <m:r>
                <w:rPr>
                  <w:rFonts w:ascii="Cambria Math" w:hAnsi="Cambria Math"/>
                  <w:spacing w:val="-3"/>
                  <w:sz w:val="28"/>
                  <w:lang w:val="es-ES_tradnl"/>
                </w:rPr>
                <m:t>m</m:t>
              </m:r>
            </m:sub>
          </m:sSub>
          <m:r>
            <w:rPr>
              <w:rFonts w:ascii="Cambria Math" w:hAnsi="Cambria Math"/>
              <w:spacing w:val="-3"/>
              <w:sz w:val="28"/>
              <w:lang w:val="es-ES_tradnl"/>
            </w:rPr>
            <m:t>*</m:t>
          </m:r>
          <m:nary>
            <m:naryPr>
              <m:chr m:val="∑"/>
              <m:limLoc m:val="undOvr"/>
              <m:ctrlPr>
                <w:rPr>
                  <w:rFonts w:ascii="Cambria Math" w:hAnsi="Cambria Math"/>
                  <w:i/>
                  <w:spacing w:val="-3"/>
                  <w:sz w:val="28"/>
                  <w:lang w:val="es-ES_tradnl"/>
                </w:rPr>
              </m:ctrlPr>
            </m:naryPr>
            <m:sub>
              <m:r>
                <w:rPr>
                  <w:rFonts w:ascii="Cambria Math" w:hAnsi="Cambria Math"/>
                  <w:spacing w:val="-3"/>
                  <w:sz w:val="28"/>
                  <w:lang w:val="es-ES_tradnl"/>
                </w:rPr>
                <m:t>i=1</m:t>
              </m:r>
            </m:sub>
            <m:sup>
              <m:r>
                <w:rPr>
                  <w:rFonts w:ascii="Cambria Math" w:hAnsi="Cambria Math"/>
                  <w:spacing w:val="-3"/>
                  <w:sz w:val="28"/>
                  <w:lang w:val="es-ES_tradnl"/>
                </w:rPr>
                <m:t>24</m:t>
              </m:r>
            </m:sup>
            <m:e>
              <m:sSub>
                <m:sSubPr>
                  <m:ctrlPr>
                    <w:rPr>
                      <w:rFonts w:ascii="Cambria Math" w:hAnsi="Cambria Math"/>
                      <w:i/>
                      <w:spacing w:val="-3"/>
                      <w:sz w:val="28"/>
                      <w:lang w:val="es-ES_tradnl"/>
                    </w:rPr>
                  </m:ctrlPr>
                </m:sSubPr>
                <m:e>
                  <m:r>
                    <w:rPr>
                      <w:rFonts w:ascii="Cambria Math" w:hAnsi="Cambria Math"/>
                      <w:spacing w:val="-3"/>
                      <w:sz w:val="28"/>
                      <w:lang w:val="es-ES_tradnl"/>
                    </w:rPr>
                    <m:t>P</m:t>
                  </m:r>
                </m:e>
                <m:sub>
                  <m:r>
                    <w:rPr>
                      <w:rFonts w:ascii="Cambria Math" w:hAnsi="Cambria Math"/>
                      <w:spacing w:val="-3"/>
                      <w:sz w:val="28"/>
                      <w:lang w:val="es-ES_tradnl"/>
                    </w:rPr>
                    <m:t>i,m</m:t>
                  </m:r>
                </m:sub>
              </m:sSub>
            </m:e>
          </m:nary>
        </m:oMath>
      </m:oMathPara>
    </w:p>
    <w:p w14:paraId="0B288085" w14:textId="77777777" w:rsidR="00054DFB" w:rsidRPr="00321B46" w:rsidRDefault="00651802" w:rsidP="00054DFB">
      <w:pPr>
        <w:jc w:val="center"/>
        <w:rPr>
          <w:spacing w:val="-3"/>
          <w:sz w:val="32"/>
          <w:lang w:val="es-ES_tradnl"/>
        </w:rPr>
      </w:pPr>
      <m:oMath>
        <m:f>
          <m:fPr>
            <m:ctrlPr>
              <w:rPr>
                <w:rFonts w:ascii="Cambria Math" w:hAnsi="Cambria Math"/>
                <w:i/>
                <w:spacing w:val="-3"/>
                <w:sz w:val="32"/>
                <w:lang w:val="es-ES_tradnl"/>
              </w:rPr>
            </m:ctrlPr>
          </m:fPr>
          <m:num>
            <m:sSub>
              <m:sSubPr>
                <m:ctrlPr>
                  <w:rPr>
                    <w:rFonts w:ascii="Cambria Math" w:hAnsi="Cambria Math"/>
                    <w:i/>
                    <w:spacing w:val="-3"/>
                    <w:sz w:val="32"/>
                    <w:lang w:val="es-ES_tradnl"/>
                  </w:rPr>
                </m:ctrlPr>
              </m:sSubPr>
              <m:e>
                <m:r>
                  <w:rPr>
                    <w:rFonts w:ascii="Cambria Math" w:hAnsi="Cambria Math"/>
                    <w:spacing w:val="-3"/>
                    <w:sz w:val="32"/>
                    <w:lang w:val="es-ES_tradnl"/>
                  </w:rPr>
                  <m:t>T</m:t>
                </m:r>
              </m:e>
              <m:sub>
                <m:r>
                  <w:rPr>
                    <w:rFonts w:ascii="Cambria Math" w:hAnsi="Cambria Math"/>
                    <w:spacing w:val="-3"/>
                    <w:sz w:val="32"/>
                    <w:lang w:val="es-ES_tradnl"/>
                  </w:rPr>
                  <m:t>x,m</m:t>
                </m:r>
              </m:sub>
            </m:sSub>
          </m:num>
          <m:den>
            <m:sSub>
              <m:sSubPr>
                <m:ctrlPr>
                  <w:rPr>
                    <w:rFonts w:ascii="Cambria Math" w:hAnsi="Cambria Math"/>
                    <w:i/>
                    <w:spacing w:val="-3"/>
                    <w:sz w:val="32"/>
                    <w:lang w:val="es-ES_tradnl"/>
                  </w:rPr>
                </m:ctrlPr>
              </m:sSubPr>
              <m:e>
                <m:r>
                  <w:rPr>
                    <w:rFonts w:ascii="Cambria Math" w:hAnsi="Cambria Math"/>
                    <w:spacing w:val="-3"/>
                    <w:sz w:val="32"/>
                    <w:lang w:val="es-ES_tradnl"/>
                  </w:rPr>
                  <m:t>T</m:t>
                </m:r>
              </m:e>
              <m:sub>
                <m:r>
                  <w:rPr>
                    <w:rFonts w:ascii="Cambria Math" w:hAnsi="Cambria Math"/>
                    <w:spacing w:val="-3"/>
                    <w:sz w:val="32"/>
                    <w:lang w:val="es-ES_tradnl"/>
                  </w:rPr>
                  <m:t>n,m</m:t>
                </m:r>
              </m:sub>
            </m:sSub>
          </m:den>
        </m:f>
        <m:r>
          <w:rPr>
            <w:rFonts w:ascii="Cambria Math" w:hAnsi="Cambria Math"/>
            <w:spacing w:val="-3"/>
            <w:sz w:val="32"/>
            <w:lang w:val="es-ES_tradnl"/>
          </w:rPr>
          <m:t>=</m:t>
        </m:r>
        <m:f>
          <m:fPr>
            <m:ctrlPr>
              <w:rPr>
                <w:rFonts w:ascii="Cambria Math" w:hAnsi="Cambria Math"/>
                <w:i/>
                <w:spacing w:val="-3"/>
                <w:sz w:val="32"/>
                <w:lang w:val="es-ES_tradnl"/>
              </w:rPr>
            </m:ctrlPr>
          </m:fPr>
          <m:num>
            <m:sSub>
              <m:sSubPr>
                <m:ctrlPr>
                  <w:rPr>
                    <w:rFonts w:ascii="Cambria Math" w:hAnsi="Cambria Math"/>
                    <w:i/>
                    <w:spacing w:val="-3"/>
                    <w:sz w:val="32"/>
                    <w:lang w:val="es-ES_tradnl"/>
                  </w:rPr>
                </m:ctrlPr>
              </m:sSubPr>
              <m:e>
                <m:r>
                  <w:rPr>
                    <w:rFonts w:ascii="Cambria Math" w:hAnsi="Cambria Math"/>
                    <w:spacing w:val="-3"/>
                    <w:sz w:val="32"/>
                    <w:lang w:val="es-ES_tradnl"/>
                  </w:rPr>
                  <m:t>P</m:t>
                </m:r>
              </m:e>
              <m:sub>
                <m:r>
                  <w:rPr>
                    <w:rFonts w:ascii="Cambria Math" w:hAnsi="Cambria Math"/>
                    <w:spacing w:val="-3"/>
                    <w:sz w:val="32"/>
                    <w:lang w:val="es-ES_tradnl"/>
                  </w:rPr>
                  <m:t>x,m</m:t>
                </m:r>
              </m:sub>
            </m:sSub>
          </m:num>
          <m:den>
            <m:sSub>
              <m:sSubPr>
                <m:ctrlPr>
                  <w:rPr>
                    <w:rFonts w:ascii="Cambria Math" w:hAnsi="Cambria Math"/>
                    <w:i/>
                    <w:spacing w:val="-3"/>
                    <w:sz w:val="32"/>
                    <w:lang w:val="es-ES_tradnl"/>
                  </w:rPr>
                </m:ctrlPr>
              </m:sSubPr>
              <m:e>
                <m:r>
                  <w:rPr>
                    <w:rFonts w:ascii="Cambria Math" w:hAnsi="Cambria Math"/>
                    <w:spacing w:val="-3"/>
                    <w:sz w:val="32"/>
                    <w:lang w:val="es-ES_tradnl"/>
                  </w:rPr>
                  <m:t>P</m:t>
                </m:r>
              </m:e>
              <m:sub>
                <m:r>
                  <w:rPr>
                    <w:rFonts w:ascii="Cambria Math" w:hAnsi="Cambria Math"/>
                    <w:spacing w:val="-3"/>
                    <w:sz w:val="32"/>
                    <w:lang w:val="es-ES_tradnl"/>
                  </w:rPr>
                  <m:t>n,m</m:t>
                </m:r>
              </m:sub>
            </m:sSub>
          </m:den>
        </m:f>
      </m:oMath>
      <w:r w:rsidR="00054DFB" w:rsidRPr="00321B46">
        <w:rPr>
          <w:spacing w:val="-3"/>
          <w:lang w:val="es-ES_tradnl"/>
        </w:rPr>
        <w:tab/>
        <w:t xml:space="preserve">  y</w:t>
      </w:r>
      <w:r w:rsidR="00054DFB" w:rsidRPr="00321B46">
        <w:rPr>
          <w:spacing w:val="-3"/>
          <w:lang w:val="es-ES_tradnl"/>
        </w:rPr>
        <w:tab/>
      </w:r>
      <m:oMath>
        <m:f>
          <m:fPr>
            <m:ctrlPr>
              <w:rPr>
                <w:rFonts w:ascii="Cambria Math" w:hAnsi="Cambria Math"/>
                <w:i/>
                <w:spacing w:val="-3"/>
                <w:sz w:val="32"/>
                <w:lang w:val="es-ES_tradnl"/>
              </w:rPr>
            </m:ctrlPr>
          </m:fPr>
          <m:num>
            <m:sSub>
              <m:sSubPr>
                <m:ctrlPr>
                  <w:rPr>
                    <w:rFonts w:ascii="Cambria Math" w:hAnsi="Cambria Math"/>
                    <w:i/>
                    <w:spacing w:val="-3"/>
                    <w:sz w:val="32"/>
                    <w:lang w:val="es-ES_tradnl"/>
                  </w:rPr>
                </m:ctrlPr>
              </m:sSubPr>
              <m:e>
                <m:r>
                  <w:rPr>
                    <w:rFonts w:ascii="Cambria Math" w:hAnsi="Cambria Math"/>
                    <w:spacing w:val="-3"/>
                    <w:sz w:val="32"/>
                    <w:lang w:val="es-ES_tradnl"/>
                  </w:rPr>
                  <m:t>T</m:t>
                </m:r>
              </m:e>
              <m:sub>
                <m:r>
                  <w:rPr>
                    <w:rFonts w:ascii="Cambria Math" w:hAnsi="Cambria Math"/>
                    <w:spacing w:val="-3"/>
                    <w:sz w:val="32"/>
                    <w:lang w:val="es-ES_tradnl"/>
                  </w:rPr>
                  <m:t>x,m</m:t>
                </m:r>
              </m:sub>
            </m:sSub>
          </m:num>
          <m:den>
            <m:sSub>
              <m:sSubPr>
                <m:ctrlPr>
                  <w:rPr>
                    <w:rFonts w:ascii="Cambria Math" w:hAnsi="Cambria Math"/>
                    <w:i/>
                    <w:spacing w:val="-3"/>
                    <w:sz w:val="32"/>
                    <w:lang w:val="es-ES_tradnl"/>
                  </w:rPr>
                </m:ctrlPr>
              </m:sSubPr>
              <m:e>
                <m:r>
                  <w:rPr>
                    <w:rFonts w:ascii="Cambria Math" w:hAnsi="Cambria Math"/>
                    <w:spacing w:val="-3"/>
                    <w:sz w:val="32"/>
                    <w:lang w:val="es-ES_tradnl"/>
                  </w:rPr>
                  <m:t>T</m:t>
                </m:r>
              </m:e>
              <m:sub>
                <m:r>
                  <w:rPr>
                    <w:rFonts w:ascii="Cambria Math" w:hAnsi="Cambria Math"/>
                    <w:spacing w:val="-3"/>
                    <w:sz w:val="32"/>
                    <w:lang w:val="es-ES_tradnl"/>
                  </w:rPr>
                  <m:t>d,m</m:t>
                </m:r>
              </m:sub>
            </m:sSub>
          </m:den>
        </m:f>
        <m:r>
          <w:rPr>
            <w:rFonts w:ascii="Cambria Math" w:hAnsi="Cambria Math"/>
            <w:spacing w:val="-3"/>
            <w:sz w:val="32"/>
            <w:lang w:val="es-ES_tradnl"/>
          </w:rPr>
          <m:t>=</m:t>
        </m:r>
        <m:f>
          <m:fPr>
            <m:ctrlPr>
              <w:rPr>
                <w:rFonts w:ascii="Cambria Math" w:hAnsi="Cambria Math"/>
                <w:i/>
                <w:spacing w:val="-3"/>
                <w:sz w:val="32"/>
                <w:lang w:val="es-ES_tradnl"/>
              </w:rPr>
            </m:ctrlPr>
          </m:fPr>
          <m:num>
            <m:sSub>
              <m:sSubPr>
                <m:ctrlPr>
                  <w:rPr>
                    <w:rFonts w:ascii="Cambria Math" w:hAnsi="Cambria Math"/>
                    <w:i/>
                    <w:spacing w:val="-3"/>
                    <w:sz w:val="32"/>
                    <w:lang w:val="es-ES_tradnl"/>
                  </w:rPr>
                </m:ctrlPr>
              </m:sSubPr>
              <m:e>
                <m:r>
                  <w:rPr>
                    <w:rFonts w:ascii="Cambria Math" w:hAnsi="Cambria Math"/>
                    <w:spacing w:val="-3"/>
                    <w:sz w:val="32"/>
                    <w:lang w:val="es-ES_tradnl"/>
                  </w:rPr>
                  <m:t>P</m:t>
                </m:r>
              </m:e>
              <m:sub>
                <m:r>
                  <w:rPr>
                    <w:rFonts w:ascii="Cambria Math" w:hAnsi="Cambria Math"/>
                    <w:spacing w:val="-3"/>
                    <w:sz w:val="32"/>
                    <w:lang w:val="es-ES_tradnl"/>
                  </w:rPr>
                  <m:t>x,m</m:t>
                </m:r>
              </m:sub>
            </m:sSub>
          </m:num>
          <m:den>
            <m:sSub>
              <m:sSubPr>
                <m:ctrlPr>
                  <w:rPr>
                    <w:rFonts w:ascii="Cambria Math" w:hAnsi="Cambria Math"/>
                    <w:i/>
                    <w:spacing w:val="-3"/>
                    <w:sz w:val="32"/>
                    <w:lang w:val="es-ES_tradnl"/>
                  </w:rPr>
                </m:ctrlPr>
              </m:sSubPr>
              <m:e>
                <m:r>
                  <w:rPr>
                    <w:rFonts w:ascii="Cambria Math" w:hAnsi="Cambria Math"/>
                    <w:spacing w:val="-3"/>
                    <w:sz w:val="32"/>
                    <w:lang w:val="es-ES_tradnl"/>
                  </w:rPr>
                  <m:t>P</m:t>
                </m:r>
              </m:e>
              <m:sub>
                <m:r>
                  <w:rPr>
                    <w:rFonts w:ascii="Cambria Math" w:hAnsi="Cambria Math"/>
                    <w:spacing w:val="-3"/>
                    <w:sz w:val="32"/>
                    <w:lang w:val="es-ES_tradnl"/>
                  </w:rPr>
                  <m:t>d,m</m:t>
                </m:r>
              </m:sub>
            </m:sSub>
          </m:den>
        </m:f>
      </m:oMath>
    </w:p>
    <w:p w14:paraId="7E618EC0" w14:textId="77777777" w:rsidR="00E00C43" w:rsidRPr="00205C9D" w:rsidRDefault="00E00C43" w:rsidP="00E00C43">
      <w:pPr>
        <w:spacing w:after="120"/>
        <w:rPr>
          <w:sz w:val="20"/>
        </w:rPr>
      </w:pPr>
    </w:p>
    <w:p w14:paraId="39154151" w14:textId="77777777" w:rsidR="00205C9D" w:rsidRPr="00321B46" w:rsidRDefault="00205C9D" w:rsidP="00E00C43">
      <w:pPr>
        <w:spacing w:after="120"/>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253"/>
      </w:tblGrid>
      <w:tr w:rsidR="00E00C43" w:rsidRPr="00321B46" w14:paraId="3A929036" w14:textId="77777777" w:rsidTr="00005762">
        <w:trPr>
          <w:tblCellSpacing w:w="0" w:type="dxa"/>
        </w:trPr>
        <w:tc>
          <w:tcPr>
            <w:tcW w:w="5245" w:type="dxa"/>
            <w:shd w:val="clear" w:color="auto" w:fill="FFFFFF"/>
            <w:hideMark/>
          </w:tcPr>
          <w:p w14:paraId="7FAE58A7" w14:textId="77777777" w:rsidR="00E00C43" w:rsidRPr="00321B46" w:rsidRDefault="00E00C43" w:rsidP="00005762">
            <w:pPr>
              <w:spacing w:before="0" w:after="0"/>
              <w:jc w:val="center"/>
              <w:rPr>
                <w:rFonts w:cs="Arial"/>
                <w:b/>
                <w:lang w:val="es-CO" w:eastAsia="es-CO"/>
              </w:rPr>
            </w:pPr>
            <w:r w:rsidRPr="00321B46">
              <w:rPr>
                <w:rFonts w:cs="Arial"/>
                <w:b/>
                <w:bCs/>
                <w:lang w:val="es-CO" w:eastAsia="es-CO"/>
              </w:rPr>
              <w:t xml:space="preserve">RUTTY PAOLA </w:t>
            </w:r>
            <w:r w:rsidRPr="00321B46">
              <w:rPr>
                <w:b/>
              </w:rPr>
              <w:t>ORTIZ JARA</w:t>
            </w:r>
          </w:p>
        </w:tc>
        <w:tc>
          <w:tcPr>
            <w:tcW w:w="4253" w:type="dxa"/>
            <w:shd w:val="clear" w:color="auto" w:fill="FFFFFF"/>
            <w:hideMark/>
          </w:tcPr>
          <w:p w14:paraId="5E8BF714" w14:textId="77777777" w:rsidR="00E00C43" w:rsidRPr="00321B46" w:rsidRDefault="00E00C43" w:rsidP="00005762">
            <w:pPr>
              <w:spacing w:before="0" w:after="0"/>
              <w:jc w:val="center"/>
              <w:rPr>
                <w:rFonts w:cs="Arial"/>
                <w:lang w:val="es-CO" w:eastAsia="es-CO"/>
              </w:rPr>
            </w:pPr>
            <w:r w:rsidRPr="00321B46">
              <w:rPr>
                <w:rFonts w:cs="Arial"/>
                <w:b/>
                <w:bCs/>
                <w:lang w:val="es-CO" w:eastAsia="es-CO"/>
              </w:rPr>
              <w:t>GERMÁN CASTRO FERREIRA</w:t>
            </w:r>
          </w:p>
        </w:tc>
      </w:tr>
      <w:tr w:rsidR="00E00C43" w:rsidRPr="00321B46" w14:paraId="2BCA568E" w14:textId="77777777" w:rsidTr="00005762">
        <w:trPr>
          <w:tblCellSpacing w:w="0" w:type="dxa"/>
        </w:trPr>
        <w:tc>
          <w:tcPr>
            <w:tcW w:w="5245" w:type="dxa"/>
            <w:shd w:val="clear" w:color="auto" w:fill="FFFFFF"/>
            <w:hideMark/>
          </w:tcPr>
          <w:p w14:paraId="23B32835" w14:textId="77777777" w:rsidR="00E00C43" w:rsidRPr="00321B46" w:rsidRDefault="00E00C43" w:rsidP="00005762">
            <w:pPr>
              <w:spacing w:before="0" w:after="0"/>
              <w:jc w:val="center"/>
              <w:rPr>
                <w:rFonts w:cs="Arial"/>
                <w:lang w:val="es-CO" w:eastAsia="es-CO"/>
              </w:rPr>
            </w:pPr>
            <w:r w:rsidRPr="00321B46">
              <w:rPr>
                <w:rFonts w:cs="Arial"/>
                <w:lang w:val="es-CO" w:eastAsia="es-CO"/>
              </w:rPr>
              <w:t>Viceministra de Energía</w:t>
            </w:r>
          </w:p>
          <w:p w14:paraId="2B1A42C3" w14:textId="77777777" w:rsidR="00E00C43" w:rsidRPr="00321B46" w:rsidRDefault="00E00C43" w:rsidP="00005762">
            <w:pPr>
              <w:spacing w:before="0" w:after="0"/>
              <w:jc w:val="center"/>
              <w:rPr>
                <w:rFonts w:cs="Arial"/>
                <w:lang w:val="es-CO" w:eastAsia="es-CO"/>
              </w:rPr>
            </w:pPr>
            <w:r w:rsidRPr="00321B46">
              <w:rPr>
                <w:rFonts w:cs="Arial"/>
                <w:lang w:val="es-CO" w:eastAsia="es-CO"/>
              </w:rPr>
              <w:t>Delegada del Ministro de Minas y Energía</w:t>
            </w:r>
          </w:p>
        </w:tc>
        <w:tc>
          <w:tcPr>
            <w:tcW w:w="4253" w:type="dxa"/>
            <w:shd w:val="clear" w:color="auto" w:fill="FFFFFF"/>
            <w:hideMark/>
          </w:tcPr>
          <w:p w14:paraId="297FED96" w14:textId="77777777" w:rsidR="00E00C43" w:rsidRPr="00321B46" w:rsidRDefault="00E00C43" w:rsidP="00005762">
            <w:pPr>
              <w:spacing w:before="0" w:after="0"/>
              <w:jc w:val="center"/>
              <w:rPr>
                <w:rFonts w:cs="Arial"/>
                <w:lang w:val="es-CO" w:eastAsia="es-CO"/>
              </w:rPr>
            </w:pPr>
            <w:r w:rsidRPr="00321B46">
              <w:rPr>
                <w:rFonts w:cs="Arial"/>
                <w:lang w:val="es-CO" w:eastAsia="es-CO"/>
              </w:rPr>
              <w:t>Director Ejecutivo</w:t>
            </w:r>
          </w:p>
        </w:tc>
      </w:tr>
      <w:tr w:rsidR="00E00C43" w:rsidRPr="004C2430" w14:paraId="04FB88A0" w14:textId="77777777" w:rsidTr="00005762">
        <w:trPr>
          <w:tblCellSpacing w:w="0" w:type="dxa"/>
        </w:trPr>
        <w:tc>
          <w:tcPr>
            <w:tcW w:w="5245" w:type="dxa"/>
            <w:shd w:val="clear" w:color="auto" w:fill="FFFFFF"/>
            <w:hideMark/>
          </w:tcPr>
          <w:p w14:paraId="0C674EDF" w14:textId="77777777" w:rsidR="00E00C43" w:rsidRPr="00321B46" w:rsidRDefault="00E00C43" w:rsidP="00005762">
            <w:pPr>
              <w:spacing w:before="0" w:after="0"/>
              <w:jc w:val="center"/>
              <w:rPr>
                <w:rFonts w:cs="Arial"/>
                <w:lang w:val="es-CO" w:eastAsia="es-CO"/>
              </w:rPr>
            </w:pPr>
            <w:r w:rsidRPr="00321B46">
              <w:rPr>
                <w:rFonts w:cs="Arial"/>
                <w:lang w:val="es-CO" w:eastAsia="es-CO"/>
              </w:rPr>
              <w:t>Presidente</w:t>
            </w:r>
          </w:p>
        </w:tc>
        <w:tc>
          <w:tcPr>
            <w:tcW w:w="4253" w:type="dxa"/>
            <w:shd w:val="clear" w:color="auto" w:fill="FFFFFF"/>
            <w:hideMark/>
          </w:tcPr>
          <w:p w14:paraId="724966D9" w14:textId="77777777" w:rsidR="00E00C43" w:rsidRPr="004C2430" w:rsidRDefault="00E00C43" w:rsidP="00005762">
            <w:pPr>
              <w:spacing w:before="0" w:after="0"/>
              <w:jc w:val="left"/>
              <w:rPr>
                <w:rFonts w:cs="Arial"/>
                <w:lang w:val="es-CO" w:eastAsia="es-CO"/>
              </w:rPr>
            </w:pPr>
            <w:r w:rsidRPr="00321B46">
              <w:rPr>
                <w:rFonts w:cs="Arial"/>
                <w:noProof/>
                <w:lang w:val="es-CO" w:eastAsia="es-CO"/>
              </w:rPr>
              <w:drawing>
                <wp:inline distT="0" distB="0" distL="0" distR="0" wp14:anchorId="40B503EB" wp14:editId="7B642522">
                  <wp:extent cx="9525" cy="9525"/>
                  <wp:effectExtent l="0" t="0" r="0" b="0"/>
                  <wp:docPr id="11" name="Imagen 11"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8912AE5" w14:textId="77777777" w:rsidR="00726C52" w:rsidRPr="00726C52" w:rsidRDefault="00726C52" w:rsidP="00205C9D">
      <w:pPr>
        <w:pStyle w:val="TDC1"/>
        <w:ind w:left="0" w:firstLine="0"/>
      </w:pPr>
    </w:p>
    <w:sectPr w:rsidR="00726C52" w:rsidRPr="00726C52" w:rsidSect="00321B46">
      <w:headerReference w:type="default" r:id="rId27"/>
      <w:headerReference w:type="first" r:id="rId28"/>
      <w:type w:val="continuous"/>
      <w:pgSz w:w="12242" w:h="18722" w:code="123"/>
      <w:pgMar w:top="2438" w:right="1185" w:bottom="1276" w:left="1701" w:header="79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CBBC8" w14:textId="77777777" w:rsidR="00461FB8" w:rsidRDefault="00461FB8">
      <w:r>
        <w:separator/>
      </w:r>
    </w:p>
  </w:endnote>
  <w:endnote w:type="continuationSeparator" w:id="0">
    <w:p w14:paraId="5C1A2463" w14:textId="77777777" w:rsidR="00461FB8" w:rsidRDefault="00461FB8">
      <w:r>
        <w:continuationSeparator/>
      </w:r>
    </w:p>
  </w:endnote>
  <w:endnote w:type="continuationNotice" w:id="1">
    <w:p w14:paraId="0ADB35AA" w14:textId="77777777" w:rsidR="00461FB8" w:rsidRDefault="00461F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AFFA3" w14:textId="77777777" w:rsidR="00461FB8" w:rsidRDefault="00461FB8">
      <w:r>
        <w:separator/>
      </w:r>
    </w:p>
  </w:footnote>
  <w:footnote w:type="continuationSeparator" w:id="0">
    <w:p w14:paraId="0B980AB5" w14:textId="77777777" w:rsidR="00461FB8" w:rsidRDefault="00461FB8">
      <w:r>
        <w:continuationSeparator/>
      </w:r>
    </w:p>
  </w:footnote>
  <w:footnote w:type="continuationNotice" w:id="1">
    <w:p w14:paraId="342DACC0" w14:textId="77777777" w:rsidR="00461FB8" w:rsidRDefault="00461FB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ABDFD" w14:textId="394AF8F0" w:rsidR="00337273" w:rsidRPr="00123158" w:rsidRDefault="00337273" w:rsidP="00123158">
    <w:pPr>
      <w:rPr>
        <w:sz w:val="20"/>
        <w:szCs w:val="20"/>
      </w:rPr>
    </w:pPr>
    <w:r w:rsidRPr="00123158">
      <w:rPr>
        <w:sz w:val="20"/>
        <w:szCs w:val="20"/>
      </w:rPr>
      <w:t>RESOLUCIÓN No.  ________________</w:t>
    </w:r>
    <w:r w:rsidRPr="00123158">
      <w:rPr>
        <w:sz w:val="20"/>
        <w:szCs w:val="20"/>
      </w:rPr>
      <w:tab/>
      <w:t>DE ________________</w:t>
    </w:r>
    <w:r w:rsidRPr="00123158">
      <w:rPr>
        <w:sz w:val="20"/>
        <w:szCs w:val="20"/>
      </w:rPr>
      <w:tab/>
    </w:r>
    <w:r>
      <w:rPr>
        <w:sz w:val="20"/>
        <w:szCs w:val="20"/>
      </w:rPr>
      <w:tab/>
    </w:r>
    <w:r>
      <w:rPr>
        <w:sz w:val="20"/>
        <w:szCs w:val="20"/>
      </w:rPr>
      <w:tab/>
    </w:r>
    <w:r w:rsidRPr="00123158">
      <w:rPr>
        <w:sz w:val="20"/>
        <w:szCs w:val="20"/>
      </w:rPr>
      <w:t xml:space="preserve">HOJA No. </w:t>
    </w:r>
    <w:r w:rsidRPr="00123158">
      <w:rPr>
        <w:sz w:val="20"/>
        <w:szCs w:val="20"/>
      </w:rPr>
      <w:fldChar w:fldCharType="begin"/>
    </w:r>
    <w:r w:rsidRPr="00123158">
      <w:rPr>
        <w:sz w:val="20"/>
        <w:szCs w:val="20"/>
      </w:rPr>
      <w:instrText xml:space="preserve"> PAGE   \* MERGEFORMAT </w:instrText>
    </w:r>
    <w:r w:rsidRPr="00123158">
      <w:rPr>
        <w:sz w:val="20"/>
        <w:szCs w:val="20"/>
      </w:rPr>
      <w:fldChar w:fldCharType="separate"/>
    </w:r>
    <w:r w:rsidR="00651802">
      <w:rPr>
        <w:noProof/>
        <w:sz w:val="20"/>
        <w:szCs w:val="20"/>
      </w:rPr>
      <w:t>24</w:t>
    </w:r>
    <w:r w:rsidRPr="00123158">
      <w:rPr>
        <w:sz w:val="20"/>
        <w:szCs w:val="20"/>
      </w:rPr>
      <w:fldChar w:fldCharType="end"/>
    </w:r>
    <w:r w:rsidRPr="00123158">
      <w:rPr>
        <w:sz w:val="20"/>
        <w:szCs w:val="20"/>
      </w:rPr>
      <w:t>/</w:t>
    </w:r>
    <w:r w:rsidRPr="00123158">
      <w:rPr>
        <w:sz w:val="20"/>
        <w:szCs w:val="20"/>
      </w:rPr>
      <w:fldChar w:fldCharType="begin"/>
    </w:r>
    <w:r w:rsidRPr="00123158">
      <w:rPr>
        <w:sz w:val="20"/>
        <w:szCs w:val="20"/>
      </w:rPr>
      <w:instrText xml:space="preserve"> NUMPAGES  \* MERGEFORMAT </w:instrText>
    </w:r>
    <w:r w:rsidRPr="00123158">
      <w:rPr>
        <w:sz w:val="20"/>
        <w:szCs w:val="20"/>
      </w:rPr>
      <w:fldChar w:fldCharType="separate"/>
    </w:r>
    <w:r w:rsidR="00651802">
      <w:rPr>
        <w:noProof/>
        <w:sz w:val="20"/>
        <w:szCs w:val="20"/>
      </w:rPr>
      <w:t>24</w:t>
    </w:r>
    <w:r w:rsidRPr="00123158">
      <w:rPr>
        <w:noProof/>
        <w:sz w:val="20"/>
        <w:szCs w:val="20"/>
      </w:rPr>
      <w:fldChar w:fldCharType="end"/>
    </w:r>
  </w:p>
  <w:p w14:paraId="6AC74C27" w14:textId="77777777" w:rsidR="00337273" w:rsidRDefault="00337273" w:rsidP="00CD665F">
    <w:pPr>
      <w:ind w:left="142" w:right="148"/>
      <w:rPr>
        <w:rFonts w:cs="Arial"/>
        <w:sz w:val="22"/>
        <w:szCs w:val="22"/>
      </w:rPr>
    </w:pPr>
    <w:r>
      <w:rPr>
        <w:noProof/>
        <w:lang w:val="es-CO" w:eastAsia="es-CO"/>
      </w:rPr>
      <mc:AlternateContent>
        <mc:Choice Requires="wps">
          <w:drawing>
            <wp:anchor distT="0" distB="0" distL="114300" distR="114300" simplePos="0" relativeHeight="251657216" behindDoc="0" locked="0" layoutInCell="1" allowOverlap="1" wp14:anchorId="4598B22E" wp14:editId="396B6527">
              <wp:simplePos x="0" y="0"/>
              <wp:positionH relativeFrom="margin">
                <wp:align>center</wp:align>
              </wp:positionH>
              <wp:positionV relativeFrom="paragraph">
                <wp:posOffset>223520</wp:posOffset>
              </wp:positionV>
              <wp:extent cx="6267450" cy="99771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771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F31A7" id="Rectangle 1" o:spid="_x0000_s1026" style="position:absolute;margin-left:0;margin-top:17.6pt;width:493.5pt;height:785.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" filled="f" strokeweight="1.5pt">
              <w10:wrap anchorx="margin"/>
            </v:rect>
          </w:pict>
        </mc:Fallback>
      </mc:AlternateContent>
    </w:r>
  </w:p>
  <w:p w14:paraId="7AC16BAD" w14:textId="087F23A3" w:rsidR="00337273" w:rsidRPr="00CD4D82" w:rsidRDefault="00337273" w:rsidP="00CD4D82">
    <w:pPr>
      <w:pBdr>
        <w:bottom w:val="single" w:sz="4" w:space="1" w:color="auto"/>
      </w:pBdr>
      <w:rPr>
        <w:rFonts w:cs="Arial"/>
        <w:sz w:val="16"/>
        <w:szCs w:val="22"/>
      </w:rPr>
    </w:pPr>
    <w:r w:rsidRPr="00CD4D82">
      <w:rPr>
        <w:sz w:val="22"/>
      </w:rPr>
      <w:t>Por la cual se ordena hacer público el proyecto de resolución “Por la cual se establece la metodología para la remuneración de la actividad de transmisión de energía eléctrica en el sistema interconectado nacional”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EF318" w14:textId="25A200DE" w:rsidR="00337273" w:rsidRDefault="00651802" w:rsidP="00025383">
    <w:pPr>
      <w:pStyle w:val="Encabezado"/>
      <w:rPr>
        <w:rFonts w:ascii="Arial" w:hAnsi="Arial" w:cs="Arial"/>
        <w:spacing w:val="20"/>
        <w:sz w:val="20"/>
      </w:rPr>
    </w:pPr>
    <w:r>
      <w:rPr>
        <w:rFonts w:ascii="Arial" w:hAnsi="Arial" w:cs="Arial"/>
        <w:noProof/>
        <w:spacing w:val="20"/>
        <w:sz w:val="20"/>
        <w:lang w:eastAsia="es-CO"/>
      </w:rPr>
      <w:object w:dxaOrig="1440" w:dyaOrig="1440" w14:anchorId="0DD57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1.95pt;margin-top:41.75pt;width:52.5pt;height:48.75pt;z-index:251660288;mso-position-horizontal-relative:text;mso-position-vertical-relative:text" fillcolor="#0c9">
          <v:imagedata r:id="rId1" o:title=""/>
        </v:shape>
        <o:OLEObject Type="Embed" ProgID="PBrush" ShapeID="_x0000_s2049" DrawAspect="Content" ObjectID="_1541595982" r:id="rId2"/>
      </w:object>
    </w:r>
    <w:r w:rsidR="00337273">
      <w:rPr>
        <w:rFonts w:ascii="Arial" w:hAnsi="Arial" w:cs="Arial"/>
        <w:spacing w:val="20"/>
        <w:sz w:val="20"/>
      </w:rPr>
      <w:t xml:space="preserve">                                           República de Colombia</w:t>
    </w:r>
  </w:p>
  <w:p w14:paraId="2CE0ABB3" w14:textId="77777777" w:rsidR="00337273" w:rsidRDefault="00337273">
    <w:pPr>
      <w:pStyle w:val="Encabezado"/>
      <w:jc w:val="center"/>
      <w:rPr>
        <w:rFonts w:ascii="Arial" w:hAnsi="Arial" w:cs="Arial"/>
        <w:spacing w:val="20"/>
        <w:sz w:val="20"/>
      </w:rPr>
    </w:pPr>
  </w:p>
  <w:p w14:paraId="4227AC8C" w14:textId="77777777" w:rsidR="00337273" w:rsidRDefault="0033727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1CE905D" wp14:editId="7C850EC2">
              <wp:simplePos x="0" y="0"/>
              <wp:positionH relativeFrom="column">
                <wp:posOffset>-213360</wp:posOffset>
              </wp:positionH>
              <wp:positionV relativeFrom="paragraph">
                <wp:posOffset>85090</wp:posOffset>
              </wp:positionV>
              <wp:extent cx="6343650" cy="100488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0048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37DB99" id="Rectangle 2" o:spid="_x0000_s1026" style="position:absolute;margin-left:-16.8pt;margin-top:6.7pt;width:499.5pt;height:79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706F17"/>
    <w:multiLevelType w:val="hybridMultilevel"/>
    <w:tmpl w:val="30B04788"/>
    <w:lvl w:ilvl="0" w:tplc="240A001B">
      <w:start w:val="1"/>
      <w:numFmt w:val="lowerRoman"/>
      <w:lvlText w:val="%1."/>
      <w:lvlJc w:val="righ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32D720B"/>
    <w:multiLevelType w:val="hybridMultilevel"/>
    <w:tmpl w:val="CCC41E90"/>
    <w:lvl w:ilvl="0" w:tplc="F432ADB8">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4D3982"/>
    <w:multiLevelType w:val="hybridMultilevel"/>
    <w:tmpl w:val="F21A6C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8487161"/>
    <w:multiLevelType w:val="hybridMultilevel"/>
    <w:tmpl w:val="C038DC86"/>
    <w:lvl w:ilvl="0" w:tplc="240A0019">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95658E7"/>
    <w:multiLevelType w:val="hybridMultilevel"/>
    <w:tmpl w:val="D61A3E9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D703423"/>
    <w:multiLevelType w:val="hybridMultilevel"/>
    <w:tmpl w:val="AD82C51E"/>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0F832DD"/>
    <w:multiLevelType w:val="hybridMultilevel"/>
    <w:tmpl w:val="20747920"/>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2A909E6"/>
    <w:multiLevelType w:val="multilevel"/>
    <w:tmpl w:val="5AB06492"/>
    <w:lvl w:ilvl="0">
      <w:start w:val="1"/>
      <w:numFmt w:val="decimal"/>
      <w:pStyle w:val="Ttulo1"/>
      <w:lvlText w:val="CAPÍTULO %1."/>
      <w:lvlJc w:val="center"/>
      <w:pPr>
        <w:ind w:left="360" w:hanging="360"/>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524" w:hanging="720"/>
      </w:pPr>
      <w:rPr>
        <w:rFonts w:hint="default"/>
      </w:rPr>
    </w:lvl>
    <w:lvl w:ilvl="3">
      <w:start w:val="1"/>
      <w:numFmt w:val="decimal"/>
      <w:pStyle w:val="Ttulo4"/>
      <w:lvlText w:val="%1.%2.%3.%4"/>
      <w:lvlJc w:val="left"/>
      <w:pPr>
        <w:ind w:left="864" w:hanging="864"/>
      </w:pPr>
      <w:rPr>
        <w:rFonts w:hint="default"/>
        <w:lang w:val="es-ES"/>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15:restartNumberingAfterBreak="0">
    <w:nsid w:val="13D86D3C"/>
    <w:multiLevelType w:val="hybridMultilevel"/>
    <w:tmpl w:val="0DEC61C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147E5DB0"/>
    <w:multiLevelType w:val="hybridMultilevel"/>
    <w:tmpl w:val="02166B02"/>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3" w15:restartNumberingAfterBreak="0">
    <w:nsid w:val="16033740"/>
    <w:multiLevelType w:val="hybridMultilevel"/>
    <w:tmpl w:val="744C1474"/>
    <w:lvl w:ilvl="0" w:tplc="B76C1F0E">
      <w:start w:val="1"/>
      <w:numFmt w:val="bullet"/>
      <w:pStyle w:val="Sangradetextonormal"/>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1E5C6DDF"/>
    <w:multiLevelType w:val="hybridMultilevel"/>
    <w:tmpl w:val="9392E566"/>
    <w:lvl w:ilvl="0" w:tplc="93247788">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38909FE"/>
    <w:multiLevelType w:val="hybridMultilevel"/>
    <w:tmpl w:val="2FA42880"/>
    <w:lvl w:ilvl="0" w:tplc="454E4A82">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40F798C"/>
    <w:multiLevelType w:val="hybridMultilevel"/>
    <w:tmpl w:val="65DE879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62D3B01"/>
    <w:multiLevelType w:val="hybridMultilevel"/>
    <w:tmpl w:val="65DE879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29DB7ED8"/>
    <w:multiLevelType w:val="hybridMultilevel"/>
    <w:tmpl w:val="408CBE02"/>
    <w:lvl w:ilvl="0" w:tplc="D6DC4BA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2C3A5D64"/>
    <w:multiLevelType w:val="hybridMultilevel"/>
    <w:tmpl w:val="0FC2FC0E"/>
    <w:lvl w:ilvl="0" w:tplc="240A0019">
      <w:start w:val="1"/>
      <w:numFmt w:val="lowerLetter"/>
      <w:lvlText w:val="%1."/>
      <w:lvlJc w:val="left"/>
      <w:pPr>
        <w:ind w:left="360" w:hanging="360"/>
      </w:p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21" w15:restartNumberingAfterBreak="0">
    <w:nsid w:val="2FDA05F1"/>
    <w:multiLevelType w:val="hybridMultilevel"/>
    <w:tmpl w:val="74CC316C"/>
    <w:lvl w:ilvl="0" w:tplc="D6DC4BA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2FEE05E1"/>
    <w:multiLevelType w:val="hybridMultilevel"/>
    <w:tmpl w:val="94ACFD7C"/>
    <w:lvl w:ilvl="0" w:tplc="778469C6">
      <w:start w:val="1"/>
      <w:numFmt w:val="decimal"/>
      <w:pStyle w:val="Puest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01A0A86"/>
    <w:multiLevelType w:val="hybridMultilevel"/>
    <w:tmpl w:val="F59C07A0"/>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32AB16C4"/>
    <w:multiLevelType w:val="hybridMultilevel"/>
    <w:tmpl w:val="254A0604"/>
    <w:lvl w:ilvl="0" w:tplc="240A001B">
      <w:start w:val="1"/>
      <w:numFmt w:val="lowerRoman"/>
      <w:lvlText w:val="%1."/>
      <w:lvlJc w:val="righ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344204F5"/>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35EF4F77"/>
    <w:multiLevelType w:val="hybridMultilevel"/>
    <w:tmpl w:val="7F4CEE6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36CD2111"/>
    <w:multiLevelType w:val="hybridMultilevel"/>
    <w:tmpl w:val="AD82C51E"/>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37F161E7"/>
    <w:multiLevelType w:val="hybridMultilevel"/>
    <w:tmpl w:val="6BC01F24"/>
    <w:lvl w:ilvl="0" w:tplc="240A0019">
      <w:start w:val="1"/>
      <w:numFmt w:val="lowerLetter"/>
      <w:lvlText w:val="%1."/>
      <w:lvlJc w:val="left"/>
      <w:pPr>
        <w:tabs>
          <w:tab w:val="num" w:pos="360"/>
        </w:tabs>
        <w:ind w:left="360" w:hanging="360"/>
      </w:pPr>
      <w:rPr>
        <w:rFont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A0C25EE"/>
    <w:multiLevelType w:val="hybridMultilevel"/>
    <w:tmpl w:val="7840D0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A38249E"/>
    <w:multiLevelType w:val="hybridMultilevel"/>
    <w:tmpl w:val="7840D0D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3EA75FB7"/>
    <w:multiLevelType w:val="hybridMultilevel"/>
    <w:tmpl w:val="841E1050"/>
    <w:lvl w:ilvl="0" w:tplc="240A0019">
      <w:start w:val="1"/>
      <w:numFmt w:val="lowerLetter"/>
      <w:lvlText w:val="%1."/>
      <w:lvlJc w:val="left"/>
      <w:pPr>
        <w:ind w:left="360" w:hanging="360"/>
      </w:pPr>
      <w:rPr>
        <w:rFonts w:hint="default"/>
      </w:rPr>
    </w:lvl>
    <w:lvl w:ilvl="1" w:tplc="7BF60CD8">
      <w:start w:val="1"/>
      <w:numFmt w:val="bullet"/>
      <w:lvlText w:val="-"/>
      <w:lvlJc w:val="left"/>
      <w:pPr>
        <w:ind w:left="1080" w:hanging="360"/>
      </w:pPr>
      <w:rPr>
        <w:rFonts w:ascii="Bookman Old Style" w:hAnsi="Bookman Old Style"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4385089A"/>
    <w:multiLevelType w:val="hybridMultilevel"/>
    <w:tmpl w:val="5AD6280C"/>
    <w:lvl w:ilvl="0" w:tplc="89E811D6">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34" w15:restartNumberingAfterBreak="0">
    <w:nsid w:val="4C8C6E13"/>
    <w:multiLevelType w:val="hybridMultilevel"/>
    <w:tmpl w:val="7840D0D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4D0F73DF"/>
    <w:multiLevelType w:val="hybridMultilevel"/>
    <w:tmpl w:val="0C8EEA36"/>
    <w:lvl w:ilvl="0" w:tplc="240A0019">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50BA377F"/>
    <w:multiLevelType w:val="hybridMultilevel"/>
    <w:tmpl w:val="7FE27D8C"/>
    <w:lvl w:ilvl="0" w:tplc="6DDAD968">
      <w:start w:val="1"/>
      <w:numFmt w:val="lowerLetter"/>
      <w:lvlText w:val="%1)"/>
      <w:lvlJc w:val="left"/>
      <w:pPr>
        <w:tabs>
          <w:tab w:val="num" w:pos="936"/>
        </w:tabs>
        <w:ind w:left="936" w:hanging="360"/>
      </w:p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7" w15:restartNumberingAfterBreak="0">
    <w:nsid w:val="542A0C9B"/>
    <w:multiLevelType w:val="hybridMultilevel"/>
    <w:tmpl w:val="840C697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59DD2C15"/>
    <w:multiLevelType w:val="hybridMultilevel"/>
    <w:tmpl w:val="A0BE13F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5A3569FB"/>
    <w:multiLevelType w:val="hybridMultilevel"/>
    <w:tmpl w:val="0FC2FC0E"/>
    <w:lvl w:ilvl="0" w:tplc="240A0019">
      <w:start w:val="1"/>
      <w:numFmt w:val="lowerLetter"/>
      <w:lvlText w:val="%1."/>
      <w:lvlJc w:val="left"/>
      <w:pPr>
        <w:ind w:left="360" w:hanging="360"/>
      </w:p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40"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620358C3"/>
    <w:multiLevelType w:val="hybridMultilevel"/>
    <w:tmpl w:val="EDF6AFAE"/>
    <w:lvl w:ilvl="0" w:tplc="D6DC4BAE">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621622C0"/>
    <w:multiLevelType w:val="hybridMultilevel"/>
    <w:tmpl w:val="C038DC86"/>
    <w:lvl w:ilvl="0" w:tplc="240A0019">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65A541F3"/>
    <w:multiLevelType w:val="hybridMultilevel"/>
    <w:tmpl w:val="A0E62C74"/>
    <w:lvl w:ilvl="0" w:tplc="240A0019">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67B60C02"/>
    <w:multiLevelType w:val="hybridMultilevel"/>
    <w:tmpl w:val="CA6874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68B53130"/>
    <w:multiLevelType w:val="hybridMultilevel"/>
    <w:tmpl w:val="85D6FB12"/>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69B6499B"/>
    <w:multiLevelType w:val="hybridMultilevel"/>
    <w:tmpl w:val="0DEC61C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6C2924F2"/>
    <w:multiLevelType w:val="hybridMultilevel"/>
    <w:tmpl w:val="0FB4DF94"/>
    <w:lvl w:ilvl="0" w:tplc="240A001B">
      <w:start w:val="1"/>
      <w:numFmt w:val="lowerRoman"/>
      <w:lvlText w:val="%1."/>
      <w:lvlJc w:val="righ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15:restartNumberingAfterBreak="0">
    <w:nsid w:val="6CE309A0"/>
    <w:multiLevelType w:val="hybridMultilevel"/>
    <w:tmpl w:val="7840D0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1F812DC"/>
    <w:multiLevelType w:val="hybridMultilevel"/>
    <w:tmpl w:val="6F28BF5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0" w15:restartNumberingAfterBreak="0">
    <w:nsid w:val="733C0399"/>
    <w:multiLevelType w:val="hybridMultilevel"/>
    <w:tmpl w:val="69C664CE"/>
    <w:lvl w:ilvl="0" w:tplc="D2B060E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766544CC"/>
    <w:multiLevelType w:val="hybridMultilevel"/>
    <w:tmpl w:val="23F0074E"/>
    <w:lvl w:ilvl="0" w:tplc="0652D292">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4" w15:restartNumberingAfterBreak="0">
    <w:nsid w:val="77856879"/>
    <w:multiLevelType w:val="multilevel"/>
    <w:tmpl w:val="74F0B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77BE1027"/>
    <w:multiLevelType w:val="hybridMultilevel"/>
    <w:tmpl w:val="AD82C51E"/>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780B10EA"/>
    <w:multiLevelType w:val="hybridMultilevel"/>
    <w:tmpl w:val="63E4A890"/>
    <w:lvl w:ilvl="0" w:tplc="08D067B2">
      <w:start w:val="1"/>
      <w:numFmt w:val="decimal"/>
      <w:pStyle w:val="Artculo"/>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7" w15:restartNumberingAfterBreak="0">
    <w:nsid w:val="78F8158B"/>
    <w:multiLevelType w:val="hybridMultilevel"/>
    <w:tmpl w:val="6840D5F2"/>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8" w15:restartNumberingAfterBreak="0">
    <w:nsid w:val="7A2355FF"/>
    <w:multiLevelType w:val="hybridMultilevel"/>
    <w:tmpl w:val="B666EE18"/>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9" w15:restartNumberingAfterBreak="0">
    <w:nsid w:val="7AA97CA2"/>
    <w:multiLevelType w:val="hybridMultilevel"/>
    <w:tmpl w:val="3028F776"/>
    <w:lvl w:ilvl="0" w:tplc="2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7F052A1E"/>
    <w:multiLevelType w:val="hybridMultilevel"/>
    <w:tmpl w:val="0A28DB6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13"/>
  </w:num>
  <w:num w:numId="3">
    <w:abstractNumId w:val="22"/>
  </w:num>
  <w:num w:numId="4">
    <w:abstractNumId w:val="9"/>
  </w:num>
  <w:num w:numId="5">
    <w:abstractNumId w:val="35"/>
  </w:num>
  <w:num w:numId="6">
    <w:abstractNumId w:val="53"/>
  </w:num>
  <w:num w:numId="7">
    <w:abstractNumId w:val="56"/>
  </w:num>
  <w:num w:numId="8">
    <w:abstractNumId w:val="16"/>
  </w:num>
  <w:num w:numId="9">
    <w:abstractNumId w:val="60"/>
  </w:num>
  <w:num w:numId="10">
    <w:abstractNumId w:val="46"/>
  </w:num>
  <w:num w:numId="11">
    <w:abstractNumId w:val="31"/>
  </w:num>
  <w:num w:numId="12">
    <w:abstractNumId w:val="4"/>
  </w:num>
  <w:num w:numId="13">
    <w:abstractNumId w:val="39"/>
  </w:num>
  <w:num w:numId="14">
    <w:abstractNumId w:val="44"/>
  </w:num>
  <w:num w:numId="15">
    <w:abstractNumId w:val="43"/>
  </w:num>
  <w:num w:numId="16">
    <w:abstractNumId w:val="15"/>
  </w:num>
  <w:num w:numId="17">
    <w:abstractNumId w:val="25"/>
  </w:num>
  <w:num w:numId="18">
    <w:abstractNumId w:val="48"/>
  </w:num>
  <w:num w:numId="19">
    <w:abstractNumId w:val="29"/>
  </w:num>
  <w:num w:numId="20">
    <w:abstractNumId w:val="34"/>
  </w:num>
  <w:num w:numId="21">
    <w:abstractNumId w:val="30"/>
  </w:num>
  <w:num w:numId="22">
    <w:abstractNumId w:val="21"/>
  </w:num>
  <w:num w:numId="23">
    <w:abstractNumId w:val="18"/>
  </w:num>
  <w:num w:numId="24">
    <w:abstractNumId w:val="41"/>
  </w:num>
  <w:num w:numId="25">
    <w:abstractNumId w:val="19"/>
  </w:num>
  <w:num w:numId="26">
    <w:abstractNumId w:val="40"/>
  </w:num>
  <w:num w:numId="27">
    <w:abstractNumId w:val="6"/>
  </w:num>
  <w:num w:numId="28">
    <w:abstractNumId w:val="37"/>
  </w:num>
  <w:num w:numId="29">
    <w:abstractNumId w:val="51"/>
  </w:num>
  <w:num w:numId="30">
    <w:abstractNumId w:val="59"/>
  </w:num>
  <w:num w:numId="31">
    <w:abstractNumId w:val="28"/>
  </w:num>
  <w:num w:numId="32">
    <w:abstractNumId w:val="38"/>
  </w:num>
  <w:num w:numId="33">
    <w:abstractNumId w:val="42"/>
  </w:num>
  <w:num w:numId="34">
    <w:abstractNumId w:val="26"/>
  </w:num>
  <w:num w:numId="35">
    <w:abstractNumId w:val="45"/>
  </w:num>
  <w:num w:numId="36">
    <w:abstractNumId w:val="8"/>
  </w:num>
  <w:num w:numId="37">
    <w:abstractNumId w:val="23"/>
  </w:num>
  <w:num w:numId="38">
    <w:abstractNumId w:val="17"/>
  </w:num>
  <w:num w:numId="39">
    <w:abstractNumId w:val="10"/>
  </w:num>
  <w:num w:numId="40">
    <w:abstractNumId w:val="20"/>
  </w:num>
  <w:num w:numId="41">
    <w:abstractNumId w:val="24"/>
  </w:num>
  <w:num w:numId="42">
    <w:abstractNumId w:val="2"/>
  </w:num>
  <w:num w:numId="43">
    <w:abstractNumId w:val="47"/>
  </w:num>
  <w:num w:numId="44">
    <w:abstractNumId w:val="36"/>
  </w:num>
  <w:num w:numId="45">
    <w:abstractNumId w:val="9"/>
  </w:num>
  <w:num w:numId="46">
    <w:abstractNumId w:val="50"/>
  </w:num>
  <w:num w:numId="47">
    <w:abstractNumId w:val="11"/>
  </w:num>
  <w:num w:numId="48">
    <w:abstractNumId w:val="27"/>
  </w:num>
  <w:num w:numId="49">
    <w:abstractNumId w:val="7"/>
  </w:num>
  <w:num w:numId="50">
    <w:abstractNumId w:val="55"/>
  </w:num>
  <w:num w:numId="51">
    <w:abstractNumId w:val="56"/>
  </w:num>
  <w:num w:numId="52">
    <w:abstractNumId w:val="14"/>
  </w:num>
  <w:num w:numId="53">
    <w:abstractNumId w:val="57"/>
  </w:num>
  <w:num w:numId="54">
    <w:abstractNumId w:val="32"/>
  </w:num>
  <w:num w:numId="55">
    <w:abstractNumId w:val="3"/>
  </w:num>
  <w:num w:numId="56">
    <w:abstractNumId w:val="9"/>
  </w:num>
  <w:num w:numId="57">
    <w:abstractNumId w:val="9"/>
  </w:num>
  <w:num w:numId="58">
    <w:abstractNumId w:val="58"/>
  </w:num>
  <w:num w:numId="59">
    <w:abstractNumId w:val="5"/>
  </w:num>
  <w:num w:numId="60">
    <w:abstractNumId w:val="49"/>
  </w:num>
  <w:num w:numId="61">
    <w:abstractNumId w:val="52"/>
  </w:num>
  <w:num w:numId="62">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27C"/>
    <w:rsid w:val="00004531"/>
    <w:rsid w:val="00004661"/>
    <w:rsid w:val="00005536"/>
    <w:rsid w:val="000055AB"/>
    <w:rsid w:val="00005762"/>
    <w:rsid w:val="0000611B"/>
    <w:rsid w:val="00006587"/>
    <w:rsid w:val="00006AE2"/>
    <w:rsid w:val="000075B9"/>
    <w:rsid w:val="000076A1"/>
    <w:rsid w:val="0000774E"/>
    <w:rsid w:val="00010373"/>
    <w:rsid w:val="000107DC"/>
    <w:rsid w:val="00011802"/>
    <w:rsid w:val="00011A72"/>
    <w:rsid w:val="0001207A"/>
    <w:rsid w:val="000120B8"/>
    <w:rsid w:val="00012259"/>
    <w:rsid w:val="0001464C"/>
    <w:rsid w:val="00015010"/>
    <w:rsid w:val="00015219"/>
    <w:rsid w:val="00015C9B"/>
    <w:rsid w:val="00016C00"/>
    <w:rsid w:val="0001744C"/>
    <w:rsid w:val="0002012E"/>
    <w:rsid w:val="00020ACC"/>
    <w:rsid w:val="0002118E"/>
    <w:rsid w:val="00021765"/>
    <w:rsid w:val="00021777"/>
    <w:rsid w:val="00023835"/>
    <w:rsid w:val="000241DD"/>
    <w:rsid w:val="0002425A"/>
    <w:rsid w:val="00024F79"/>
    <w:rsid w:val="00025383"/>
    <w:rsid w:val="00025F3B"/>
    <w:rsid w:val="000260AD"/>
    <w:rsid w:val="00026EC6"/>
    <w:rsid w:val="00030D24"/>
    <w:rsid w:val="00030D32"/>
    <w:rsid w:val="000325CB"/>
    <w:rsid w:val="00032F7B"/>
    <w:rsid w:val="00032F99"/>
    <w:rsid w:val="000338F9"/>
    <w:rsid w:val="00034839"/>
    <w:rsid w:val="000360CD"/>
    <w:rsid w:val="00036985"/>
    <w:rsid w:val="00041B54"/>
    <w:rsid w:val="00042C2A"/>
    <w:rsid w:val="00042E82"/>
    <w:rsid w:val="000436C2"/>
    <w:rsid w:val="00044E99"/>
    <w:rsid w:val="0004502D"/>
    <w:rsid w:val="0004541E"/>
    <w:rsid w:val="00045D3D"/>
    <w:rsid w:val="000464B1"/>
    <w:rsid w:val="0004762D"/>
    <w:rsid w:val="0005178F"/>
    <w:rsid w:val="00051DEA"/>
    <w:rsid w:val="00052F6C"/>
    <w:rsid w:val="00053843"/>
    <w:rsid w:val="00054813"/>
    <w:rsid w:val="00054DFB"/>
    <w:rsid w:val="00055691"/>
    <w:rsid w:val="0005651F"/>
    <w:rsid w:val="000577E1"/>
    <w:rsid w:val="000607EB"/>
    <w:rsid w:val="00061A9D"/>
    <w:rsid w:val="0006203D"/>
    <w:rsid w:val="000631F8"/>
    <w:rsid w:val="0006350C"/>
    <w:rsid w:val="00063657"/>
    <w:rsid w:val="000641B8"/>
    <w:rsid w:val="000653D7"/>
    <w:rsid w:val="0006600D"/>
    <w:rsid w:val="00066500"/>
    <w:rsid w:val="00066E71"/>
    <w:rsid w:val="00067E01"/>
    <w:rsid w:val="00070E80"/>
    <w:rsid w:val="0007138B"/>
    <w:rsid w:val="000716CF"/>
    <w:rsid w:val="0007499E"/>
    <w:rsid w:val="00074C28"/>
    <w:rsid w:val="00076680"/>
    <w:rsid w:val="00076A1D"/>
    <w:rsid w:val="00077527"/>
    <w:rsid w:val="00080605"/>
    <w:rsid w:val="0008073E"/>
    <w:rsid w:val="00081416"/>
    <w:rsid w:val="00081D32"/>
    <w:rsid w:val="00082E7E"/>
    <w:rsid w:val="00083509"/>
    <w:rsid w:val="00084CA6"/>
    <w:rsid w:val="00085931"/>
    <w:rsid w:val="00086666"/>
    <w:rsid w:val="00086BC3"/>
    <w:rsid w:val="00087918"/>
    <w:rsid w:val="00091CDB"/>
    <w:rsid w:val="00092426"/>
    <w:rsid w:val="00092430"/>
    <w:rsid w:val="0009287D"/>
    <w:rsid w:val="00092CF2"/>
    <w:rsid w:val="000933ED"/>
    <w:rsid w:val="0009400E"/>
    <w:rsid w:val="00094219"/>
    <w:rsid w:val="00094FC1"/>
    <w:rsid w:val="000950DA"/>
    <w:rsid w:val="00095178"/>
    <w:rsid w:val="000973CA"/>
    <w:rsid w:val="000A1503"/>
    <w:rsid w:val="000A19AC"/>
    <w:rsid w:val="000A226A"/>
    <w:rsid w:val="000A2414"/>
    <w:rsid w:val="000A25FC"/>
    <w:rsid w:val="000A2B86"/>
    <w:rsid w:val="000A429B"/>
    <w:rsid w:val="000A4B57"/>
    <w:rsid w:val="000A7416"/>
    <w:rsid w:val="000B1944"/>
    <w:rsid w:val="000B2EC9"/>
    <w:rsid w:val="000B319C"/>
    <w:rsid w:val="000B422B"/>
    <w:rsid w:val="000B49BA"/>
    <w:rsid w:val="000B4E51"/>
    <w:rsid w:val="000B5148"/>
    <w:rsid w:val="000B6CB7"/>
    <w:rsid w:val="000B7039"/>
    <w:rsid w:val="000C04B6"/>
    <w:rsid w:val="000C1737"/>
    <w:rsid w:val="000C1B79"/>
    <w:rsid w:val="000C1C22"/>
    <w:rsid w:val="000C4C30"/>
    <w:rsid w:val="000C51DB"/>
    <w:rsid w:val="000C5BF3"/>
    <w:rsid w:val="000C7B41"/>
    <w:rsid w:val="000C7E93"/>
    <w:rsid w:val="000D17BD"/>
    <w:rsid w:val="000D2239"/>
    <w:rsid w:val="000D24CB"/>
    <w:rsid w:val="000D26F8"/>
    <w:rsid w:val="000D398C"/>
    <w:rsid w:val="000D39CF"/>
    <w:rsid w:val="000D6DED"/>
    <w:rsid w:val="000E1899"/>
    <w:rsid w:val="000E26E9"/>
    <w:rsid w:val="000E3852"/>
    <w:rsid w:val="000E4CFE"/>
    <w:rsid w:val="000E5619"/>
    <w:rsid w:val="000E69CA"/>
    <w:rsid w:val="000E7EE8"/>
    <w:rsid w:val="000F038B"/>
    <w:rsid w:val="000F1408"/>
    <w:rsid w:val="000F1A6B"/>
    <w:rsid w:val="000F1F85"/>
    <w:rsid w:val="000F355F"/>
    <w:rsid w:val="000F39A1"/>
    <w:rsid w:val="000F4507"/>
    <w:rsid w:val="000F535D"/>
    <w:rsid w:val="000F777B"/>
    <w:rsid w:val="001006BB"/>
    <w:rsid w:val="00100739"/>
    <w:rsid w:val="00100853"/>
    <w:rsid w:val="00100AAC"/>
    <w:rsid w:val="0010147B"/>
    <w:rsid w:val="00101876"/>
    <w:rsid w:val="0010293A"/>
    <w:rsid w:val="00104414"/>
    <w:rsid w:val="00104750"/>
    <w:rsid w:val="001052FA"/>
    <w:rsid w:val="00106276"/>
    <w:rsid w:val="0010689B"/>
    <w:rsid w:val="001078D1"/>
    <w:rsid w:val="0011006D"/>
    <w:rsid w:val="001103D5"/>
    <w:rsid w:val="00110626"/>
    <w:rsid w:val="00110898"/>
    <w:rsid w:val="00110BF4"/>
    <w:rsid w:val="0011192D"/>
    <w:rsid w:val="0011378B"/>
    <w:rsid w:val="00113D49"/>
    <w:rsid w:val="00114D4A"/>
    <w:rsid w:val="001159F3"/>
    <w:rsid w:val="00115F90"/>
    <w:rsid w:val="001171A9"/>
    <w:rsid w:val="00120949"/>
    <w:rsid w:val="00120A62"/>
    <w:rsid w:val="001216FB"/>
    <w:rsid w:val="001217E7"/>
    <w:rsid w:val="00123158"/>
    <w:rsid w:val="00123755"/>
    <w:rsid w:val="00125F33"/>
    <w:rsid w:val="00126A60"/>
    <w:rsid w:val="00127399"/>
    <w:rsid w:val="00127CE6"/>
    <w:rsid w:val="00130771"/>
    <w:rsid w:val="00131716"/>
    <w:rsid w:val="00132AEA"/>
    <w:rsid w:val="0013442B"/>
    <w:rsid w:val="00134544"/>
    <w:rsid w:val="001347D1"/>
    <w:rsid w:val="0013526C"/>
    <w:rsid w:val="001352E7"/>
    <w:rsid w:val="00135BDE"/>
    <w:rsid w:val="00135FFE"/>
    <w:rsid w:val="00136267"/>
    <w:rsid w:val="00136E19"/>
    <w:rsid w:val="00136FDF"/>
    <w:rsid w:val="0013790B"/>
    <w:rsid w:val="001405C6"/>
    <w:rsid w:val="00141013"/>
    <w:rsid w:val="00141BC3"/>
    <w:rsid w:val="0014211C"/>
    <w:rsid w:val="00142A34"/>
    <w:rsid w:val="00143803"/>
    <w:rsid w:val="00143C48"/>
    <w:rsid w:val="00146A05"/>
    <w:rsid w:val="00146B6B"/>
    <w:rsid w:val="00146DBA"/>
    <w:rsid w:val="001502CE"/>
    <w:rsid w:val="00150339"/>
    <w:rsid w:val="00150C00"/>
    <w:rsid w:val="00151216"/>
    <w:rsid w:val="00151D90"/>
    <w:rsid w:val="00154391"/>
    <w:rsid w:val="00154A26"/>
    <w:rsid w:val="00154E89"/>
    <w:rsid w:val="00155D79"/>
    <w:rsid w:val="001563A9"/>
    <w:rsid w:val="00156DB2"/>
    <w:rsid w:val="00157C86"/>
    <w:rsid w:val="00157FD9"/>
    <w:rsid w:val="00161A92"/>
    <w:rsid w:val="0016391D"/>
    <w:rsid w:val="00164980"/>
    <w:rsid w:val="00164C3F"/>
    <w:rsid w:val="00165C8F"/>
    <w:rsid w:val="00167F2E"/>
    <w:rsid w:val="0017134E"/>
    <w:rsid w:val="00172074"/>
    <w:rsid w:val="00172371"/>
    <w:rsid w:val="0017291B"/>
    <w:rsid w:val="0017651A"/>
    <w:rsid w:val="001769E5"/>
    <w:rsid w:val="0017796B"/>
    <w:rsid w:val="00181460"/>
    <w:rsid w:val="00182665"/>
    <w:rsid w:val="00183ECF"/>
    <w:rsid w:val="00183F48"/>
    <w:rsid w:val="001846E9"/>
    <w:rsid w:val="00185A79"/>
    <w:rsid w:val="00185DBD"/>
    <w:rsid w:val="00186065"/>
    <w:rsid w:val="001921CF"/>
    <w:rsid w:val="00192386"/>
    <w:rsid w:val="00192CBF"/>
    <w:rsid w:val="00192FF1"/>
    <w:rsid w:val="001941A5"/>
    <w:rsid w:val="001959E0"/>
    <w:rsid w:val="001A0191"/>
    <w:rsid w:val="001A0735"/>
    <w:rsid w:val="001A0BD1"/>
    <w:rsid w:val="001A10B3"/>
    <w:rsid w:val="001A1654"/>
    <w:rsid w:val="001A1BF9"/>
    <w:rsid w:val="001A4FCE"/>
    <w:rsid w:val="001A5056"/>
    <w:rsid w:val="001A50AC"/>
    <w:rsid w:val="001A595B"/>
    <w:rsid w:val="001A5F1B"/>
    <w:rsid w:val="001A7D69"/>
    <w:rsid w:val="001B00DD"/>
    <w:rsid w:val="001B052D"/>
    <w:rsid w:val="001B1C22"/>
    <w:rsid w:val="001B2022"/>
    <w:rsid w:val="001B255A"/>
    <w:rsid w:val="001B2DEC"/>
    <w:rsid w:val="001B2F96"/>
    <w:rsid w:val="001B34C6"/>
    <w:rsid w:val="001B5CF1"/>
    <w:rsid w:val="001B75EE"/>
    <w:rsid w:val="001C113D"/>
    <w:rsid w:val="001C31CC"/>
    <w:rsid w:val="001C3369"/>
    <w:rsid w:val="001C482E"/>
    <w:rsid w:val="001C55B8"/>
    <w:rsid w:val="001C7957"/>
    <w:rsid w:val="001C7D1D"/>
    <w:rsid w:val="001D0314"/>
    <w:rsid w:val="001D391A"/>
    <w:rsid w:val="001D3D97"/>
    <w:rsid w:val="001D5E03"/>
    <w:rsid w:val="001D642A"/>
    <w:rsid w:val="001D6670"/>
    <w:rsid w:val="001D7832"/>
    <w:rsid w:val="001D7EFA"/>
    <w:rsid w:val="001E21E5"/>
    <w:rsid w:val="001E363B"/>
    <w:rsid w:val="001E392A"/>
    <w:rsid w:val="001E5761"/>
    <w:rsid w:val="001E5CC9"/>
    <w:rsid w:val="001E5E65"/>
    <w:rsid w:val="001F42A4"/>
    <w:rsid w:val="001F4F97"/>
    <w:rsid w:val="001F5718"/>
    <w:rsid w:val="001F6E1B"/>
    <w:rsid w:val="0020105F"/>
    <w:rsid w:val="0020212A"/>
    <w:rsid w:val="002022C3"/>
    <w:rsid w:val="00202449"/>
    <w:rsid w:val="00203B12"/>
    <w:rsid w:val="00204D40"/>
    <w:rsid w:val="00205121"/>
    <w:rsid w:val="00205C9D"/>
    <w:rsid w:val="002066BA"/>
    <w:rsid w:val="002067EF"/>
    <w:rsid w:val="00210191"/>
    <w:rsid w:val="00210DC1"/>
    <w:rsid w:val="00211D34"/>
    <w:rsid w:val="00211FA8"/>
    <w:rsid w:val="00214847"/>
    <w:rsid w:val="00214F04"/>
    <w:rsid w:val="00217B33"/>
    <w:rsid w:val="002219A9"/>
    <w:rsid w:val="0022206B"/>
    <w:rsid w:val="002223A4"/>
    <w:rsid w:val="00222F95"/>
    <w:rsid w:val="00223F4C"/>
    <w:rsid w:val="00224A3D"/>
    <w:rsid w:val="0022532E"/>
    <w:rsid w:val="00225E6D"/>
    <w:rsid w:val="00225E9D"/>
    <w:rsid w:val="00226376"/>
    <w:rsid w:val="002271D5"/>
    <w:rsid w:val="00234D8A"/>
    <w:rsid w:val="00236FD5"/>
    <w:rsid w:val="00237A0B"/>
    <w:rsid w:val="0024143D"/>
    <w:rsid w:val="00247538"/>
    <w:rsid w:val="00250A35"/>
    <w:rsid w:val="00250C72"/>
    <w:rsid w:val="00251433"/>
    <w:rsid w:val="0025678F"/>
    <w:rsid w:val="00257391"/>
    <w:rsid w:val="0025771C"/>
    <w:rsid w:val="00257E20"/>
    <w:rsid w:val="0026111F"/>
    <w:rsid w:val="00261785"/>
    <w:rsid w:val="00261D52"/>
    <w:rsid w:val="00261E04"/>
    <w:rsid w:val="00262662"/>
    <w:rsid w:val="002630BF"/>
    <w:rsid w:val="0026340C"/>
    <w:rsid w:val="0026344B"/>
    <w:rsid w:val="0026368E"/>
    <w:rsid w:val="0026403A"/>
    <w:rsid w:val="002646F1"/>
    <w:rsid w:val="00266CD6"/>
    <w:rsid w:val="00270CDF"/>
    <w:rsid w:val="002715CD"/>
    <w:rsid w:val="00271A2B"/>
    <w:rsid w:val="00271E74"/>
    <w:rsid w:val="00274055"/>
    <w:rsid w:val="00274EDE"/>
    <w:rsid w:val="002756DC"/>
    <w:rsid w:val="00275DAB"/>
    <w:rsid w:val="002761CD"/>
    <w:rsid w:val="0028152F"/>
    <w:rsid w:val="00281CD5"/>
    <w:rsid w:val="00282203"/>
    <w:rsid w:val="00282CD3"/>
    <w:rsid w:val="00282CF2"/>
    <w:rsid w:val="00285940"/>
    <w:rsid w:val="002868CE"/>
    <w:rsid w:val="002874BE"/>
    <w:rsid w:val="0029003D"/>
    <w:rsid w:val="00292249"/>
    <w:rsid w:val="0029253B"/>
    <w:rsid w:val="00292550"/>
    <w:rsid w:val="0029373B"/>
    <w:rsid w:val="002A0593"/>
    <w:rsid w:val="002A0EC3"/>
    <w:rsid w:val="002A22B1"/>
    <w:rsid w:val="002A4D18"/>
    <w:rsid w:val="002A6B9A"/>
    <w:rsid w:val="002A6DC5"/>
    <w:rsid w:val="002A782A"/>
    <w:rsid w:val="002B032D"/>
    <w:rsid w:val="002B0C17"/>
    <w:rsid w:val="002B0D11"/>
    <w:rsid w:val="002B11E2"/>
    <w:rsid w:val="002B24B8"/>
    <w:rsid w:val="002B3288"/>
    <w:rsid w:val="002B38AE"/>
    <w:rsid w:val="002B3AC0"/>
    <w:rsid w:val="002B40FE"/>
    <w:rsid w:val="002C01DB"/>
    <w:rsid w:val="002C1A78"/>
    <w:rsid w:val="002C2BAF"/>
    <w:rsid w:val="002C3BBA"/>
    <w:rsid w:val="002D0C4C"/>
    <w:rsid w:val="002D1624"/>
    <w:rsid w:val="002D1917"/>
    <w:rsid w:val="002D2D44"/>
    <w:rsid w:val="002D3AE9"/>
    <w:rsid w:val="002D4510"/>
    <w:rsid w:val="002D5B3D"/>
    <w:rsid w:val="002E08E5"/>
    <w:rsid w:val="002E26F2"/>
    <w:rsid w:val="002E5292"/>
    <w:rsid w:val="002E5531"/>
    <w:rsid w:val="002E6639"/>
    <w:rsid w:val="002E7ABA"/>
    <w:rsid w:val="002F0734"/>
    <w:rsid w:val="002F1F62"/>
    <w:rsid w:val="002F2BDE"/>
    <w:rsid w:val="002F2F75"/>
    <w:rsid w:val="002F438D"/>
    <w:rsid w:val="002F46E7"/>
    <w:rsid w:val="002F5B1C"/>
    <w:rsid w:val="002F5DBB"/>
    <w:rsid w:val="002F7B4D"/>
    <w:rsid w:val="00301B84"/>
    <w:rsid w:val="003023AC"/>
    <w:rsid w:val="0030379F"/>
    <w:rsid w:val="003041CC"/>
    <w:rsid w:val="003044AB"/>
    <w:rsid w:val="00305842"/>
    <w:rsid w:val="003058C4"/>
    <w:rsid w:val="00306952"/>
    <w:rsid w:val="00306EFB"/>
    <w:rsid w:val="003079AC"/>
    <w:rsid w:val="003101DA"/>
    <w:rsid w:val="003111CA"/>
    <w:rsid w:val="00311D9A"/>
    <w:rsid w:val="0031200B"/>
    <w:rsid w:val="003123C5"/>
    <w:rsid w:val="00312B7A"/>
    <w:rsid w:val="00312C64"/>
    <w:rsid w:val="00313EDE"/>
    <w:rsid w:val="00314715"/>
    <w:rsid w:val="00314757"/>
    <w:rsid w:val="00315ABF"/>
    <w:rsid w:val="003163BC"/>
    <w:rsid w:val="003211CE"/>
    <w:rsid w:val="003219CD"/>
    <w:rsid w:val="00321B46"/>
    <w:rsid w:val="00321BDD"/>
    <w:rsid w:val="003248F9"/>
    <w:rsid w:val="00325991"/>
    <w:rsid w:val="00325E06"/>
    <w:rsid w:val="00325FF5"/>
    <w:rsid w:val="003271B2"/>
    <w:rsid w:val="003276B5"/>
    <w:rsid w:val="0032792D"/>
    <w:rsid w:val="00333A36"/>
    <w:rsid w:val="00334221"/>
    <w:rsid w:val="00334DE8"/>
    <w:rsid w:val="00335979"/>
    <w:rsid w:val="0033681F"/>
    <w:rsid w:val="00337273"/>
    <w:rsid w:val="00337AB8"/>
    <w:rsid w:val="00340B17"/>
    <w:rsid w:val="00342D8A"/>
    <w:rsid w:val="003448EC"/>
    <w:rsid w:val="003451A7"/>
    <w:rsid w:val="00345C10"/>
    <w:rsid w:val="00346EC0"/>
    <w:rsid w:val="00350D9E"/>
    <w:rsid w:val="00351339"/>
    <w:rsid w:val="003513C1"/>
    <w:rsid w:val="0035403A"/>
    <w:rsid w:val="00354588"/>
    <w:rsid w:val="00355320"/>
    <w:rsid w:val="0035627D"/>
    <w:rsid w:val="003570A4"/>
    <w:rsid w:val="0035774A"/>
    <w:rsid w:val="00360FA9"/>
    <w:rsid w:val="003635CB"/>
    <w:rsid w:val="0036394B"/>
    <w:rsid w:val="00363FA5"/>
    <w:rsid w:val="003651CF"/>
    <w:rsid w:val="00365F76"/>
    <w:rsid w:val="00366DB6"/>
    <w:rsid w:val="003709B5"/>
    <w:rsid w:val="0037238F"/>
    <w:rsid w:val="003727EB"/>
    <w:rsid w:val="00373F50"/>
    <w:rsid w:val="003755F3"/>
    <w:rsid w:val="003759C2"/>
    <w:rsid w:val="00375F44"/>
    <w:rsid w:val="003764CC"/>
    <w:rsid w:val="003771D9"/>
    <w:rsid w:val="00380888"/>
    <w:rsid w:val="00380962"/>
    <w:rsid w:val="00383302"/>
    <w:rsid w:val="003849AF"/>
    <w:rsid w:val="003857DE"/>
    <w:rsid w:val="0038666D"/>
    <w:rsid w:val="003867C2"/>
    <w:rsid w:val="00386A11"/>
    <w:rsid w:val="0038714C"/>
    <w:rsid w:val="00391097"/>
    <w:rsid w:val="003916BD"/>
    <w:rsid w:val="00392A0B"/>
    <w:rsid w:val="00397365"/>
    <w:rsid w:val="00397A79"/>
    <w:rsid w:val="00397B9A"/>
    <w:rsid w:val="003A2390"/>
    <w:rsid w:val="003A31F6"/>
    <w:rsid w:val="003A3455"/>
    <w:rsid w:val="003A40A8"/>
    <w:rsid w:val="003A496E"/>
    <w:rsid w:val="003A4A06"/>
    <w:rsid w:val="003A575F"/>
    <w:rsid w:val="003A5A45"/>
    <w:rsid w:val="003A5C56"/>
    <w:rsid w:val="003B1819"/>
    <w:rsid w:val="003B184D"/>
    <w:rsid w:val="003B18DA"/>
    <w:rsid w:val="003B20FB"/>
    <w:rsid w:val="003B4E6C"/>
    <w:rsid w:val="003B4FAA"/>
    <w:rsid w:val="003B54EA"/>
    <w:rsid w:val="003B5A07"/>
    <w:rsid w:val="003B67A1"/>
    <w:rsid w:val="003B7722"/>
    <w:rsid w:val="003C0750"/>
    <w:rsid w:val="003C1B89"/>
    <w:rsid w:val="003C22F0"/>
    <w:rsid w:val="003C2B93"/>
    <w:rsid w:val="003C319C"/>
    <w:rsid w:val="003C3447"/>
    <w:rsid w:val="003C5153"/>
    <w:rsid w:val="003C5544"/>
    <w:rsid w:val="003C5A54"/>
    <w:rsid w:val="003C65EA"/>
    <w:rsid w:val="003C7D0B"/>
    <w:rsid w:val="003D076C"/>
    <w:rsid w:val="003D1375"/>
    <w:rsid w:val="003D63C7"/>
    <w:rsid w:val="003E2CE0"/>
    <w:rsid w:val="003E3B22"/>
    <w:rsid w:val="003E3CA6"/>
    <w:rsid w:val="003E54AC"/>
    <w:rsid w:val="003E5BDB"/>
    <w:rsid w:val="003E6B36"/>
    <w:rsid w:val="003E7434"/>
    <w:rsid w:val="003E78B5"/>
    <w:rsid w:val="003E7977"/>
    <w:rsid w:val="003F0DF9"/>
    <w:rsid w:val="003F214B"/>
    <w:rsid w:val="003F24DF"/>
    <w:rsid w:val="003F2829"/>
    <w:rsid w:val="003F2EF0"/>
    <w:rsid w:val="003F3582"/>
    <w:rsid w:val="003F5A6C"/>
    <w:rsid w:val="003F5D97"/>
    <w:rsid w:val="003F626E"/>
    <w:rsid w:val="003F74AA"/>
    <w:rsid w:val="00401EE5"/>
    <w:rsid w:val="00404B04"/>
    <w:rsid w:val="00405466"/>
    <w:rsid w:val="0040573B"/>
    <w:rsid w:val="00405F84"/>
    <w:rsid w:val="00407989"/>
    <w:rsid w:val="00407BD8"/>
    <w:rsid w:val="00410704"/>
    <w:rsid w:val="00412370"/>
    <w:rsid w:val="004129EE"/>
    <w:rsid w:val="00414B95"/>
    <w:rsid w:val="00414C52"/>
    <w:rsid w:val="0041585A"/>
    <w:rsid w:val="00415BAB"/>
    <w:rsid w:val="00415ED2"/>
    <w:rsid w:val="00416124"/>
    <w:rsid w:val="004165DF"/>
    <w:rsid w:val="004173CA"/>
    <w:rsid w:val="0041785E"/>
    <w:rsid w:val="00417D7B"/>
    <w:rsid w:val="0042068C"/>
    <w:rsid w:val="004219A9"/>
    <w:rsid w:val="004222A7"/>
    <w:rsid w:val="00422466"/>
    <w:rsid w:val="004224BE"/>
    <w:rsid w:val="004228CD"/>
    <w:rsid w:val="00422D86"/>
    <w:rsid w:val="004232E6"/>
    <w:rsid w:val="0042441F"/>
    <w:rsid w:val="00425CE0"/>
    <w:rsid w:val="00425DD2"/>
    <w:rsid w:val="00427C0B"/>
    <w:rsid w:val="00427CCC"/>
    <w:rsid w:val="00427E59"/>
    <w:rsid w:val="0043033F"/>
    <w:rsid w:val="004358A7"/>
    <w:rsid w:val="00436618"/>
    <w:rsid w:val="004366BC"/>
    <w:rsid w:val="00436F01"/>
    <w:rsid w:val="004421A1"/>
    <w:rsid w:val="0044318E"/>
    <w:rsid w:val="00443B35"/>
    <w:rsid w:val="00444413"/>
    <w:rsid w:val="00444BD7"/>
    <w:rsid w:val="004510B0"/>
    <w:rsid w:val="00453047"/>
    <w:rsid w:val="0045414E"/>
    <w:rsid w:val="00454E5F"/>
    <w:rsid w:val="00455259"/>
    <w:rsid w:val="00455286"/>
    <w:rsid w:val="00455289"/>
    <w:rsid w:val="00455E28"/>
    <w:rsid w:val="00457858"/>
    <w:rsid w:val="00457EE2"/>
    <w:rsid w:val="00457F1A"/>
    <w:rsid w:val="0046060C"/>
    <w:rsid w:val="00461FB8"/>
    <w:rsid w:val="0046231C"/>
    <w:rsid w:val="00462AB7"/>
    <w:rsid w:val="00463019"/>
    <w:rsid w:val="00463B90"/>
    <w:rsid w:val="00464524"/>
    <w:rsid w:val="0046462C"/>
    <w:rsid w:val="004650A2"/>
    <w:rsid w:val="00465FBA"/>
    <w:rsid w:val="0046639A"/>
    <w:rsid w:val="00466740"/>
    <w:rsid w:val="004706E5"/>
    <w:rsid w:val="0047122B"/>
    <w:rsid w:val="0047244E"/>
    <w:rsid w:val="00472E1D"/>
    <w:rsid w:val="0047304B"/>
    <w:rsid w:val="00473388"/>
    <w:rsid w:val="00473B7A"/>
    <w:rsid w:val="00474D06"/>
    <w:rsid w:val="00474DC2"/>
    <w:rsid w:val="00475975"/>
    <w:rsid w:val="00475F38"/>
    <w:rsid w:val="004762CE"/>
    <w:rsid w:val="00476BF7"/>
    <w:rsid w:val="0047752D"/>
    <w:rsid w:val="0048115A"/>
    <w:rsid w:val="00482E08"/>
    <w:rsid w:val="00484222"/>
    <w:rsid w:val="00485F1A"/>
    <w:rsid w:val="004861AB"/>
    <w:rsid w:val="0049041E"/>
    <w:rsid w:val="004905D8"/>
    <w:rsid w:val="00490639"/>
    <w:rsid w:val="004909A7"/>
    <w:rsid w:val="00490C46"/>
    <w:rsid w:val="00491BAF"/>
    <w:rsid w:val="0049233E"/>
    <w:rsid w:val="004926AC"/>
    <w:rsid w:val="00492EC9"/>
    <w:rsid w:val="004945BF"/>
    <w:rsid w:val="004960E9"/>
    <w:rsid w:val="00496F84"/>
    <w:rsid w:val="0049707D"/>
    <w:rsid w:val="004972BF"/>
    <w:rsid w:val="004972E5"/>
    <w:rsid w:val="00497F9B"/>
    <w:rsid w:val="004A18A9"/>
    <w:rsid w:val="004A1AF8"/>
    <w:rsid w:val="004A209D"/>
    <w:rsid w:val="004A26A8"/>
    <w:rsid w:val="004A2E3A"/>
    <w:rsid w:val="004A2E52"/>
    <w:rsid w:val="004A2E88"/>
    <w:rsid w:val="004A2F7E"/>
    <w:rsid w:val="004A359E"/>
    <w:rsid w:val="004A35F1"/>
    <w:rsid w:val="004A372F"/>
    <w:rsid w:val="004A3D15"/>
    <w:rsid w:val="004A40CF"/>
    <w:rsid w:val="004A4FA1"/>
    <w:rsid w:val="004A4FF1"/>
    <w:rsid w:val="004A5305"/>
    <w:rsid w:val="004A67AD"/>
    <w:rsid w:val="004B1462"/>
    <w:rsid w:val="004B1C18"/>
    <w:rsid w:val="004B1D8F"/>
    <w:rsid w:val="004B1FCF"/>
    <w:rsid w:val="004B2780"/>
    <w:rsid w:val="004B35B2"/>
    <w:rsid w:val="004B5BC6"/>
    <w:rsid w:val="004B7AB9"/>
    <w:rsid w:val="004C0221"/>
    <w:rsid w:val="004C0F9C"/>
    <w:rsid w:val="004C2430"/>
    <w:rsid w:val="004C35EE"/>
    <w:rsid w:val="004C3914"/>
    <w:rsid w:val="004C424F"/>
    <w:rsid w:val="004C4550"/>
    <w:rsid w:val="004C460D"/>
    <w:rsid w:val="004C5845"/>
    <w:rsid w:val="004C69AB"/>
    <w:rsid w:val="004D0991"/>
    <w:rsid w:val="004D0CB5"/>
    <w:rsid w:val="004D1762"/>
    <w:rsid w:val="004D17ED"/>
    <w:rsid w:val="004D1DCB"/>
    <w:rsid w:val="004D50C0"/>
    <w:rsid w:val="004D57BC"/>
    <w:rsid w:val="004D5EAB"/>
    <w:rsid w:val="004D6A05"/>
    <w:rsid w:val="004D6B41"/>
    <w:rsid w:val="004D7634"/>
    <w:rsid w:val="004D784F"/>
    <w:rsid w:val="004E0F99"/>
    <w:rsid w:val="004E198F"/>
    <w:rsid w:val="004E1C91"/>
    <w:rsid w:val="004E2085"/>
    <w:rsid w:val="004E2E16"/>
    <w:rsid w:val="004E3535"/>
    <w:rsid w:val="004E3F58"/>
    <w:rsid w:val="004E42A7"/>
    <w:rsid w:val="004E4C09"/>
    <w:rsid w:val="004E5863"/>
    <w:rsid w:val="004E611A"/>
    <w:rsid w:val="004F2273"/>
    <w:rsid w:val="004F2768"/>
    <w:rsid w:val="004F2BE0"/>
    <w:rsid w:val="004F3217"/>
    <w:rsid w:val="004F3424"/>
    <w:rsid w:val="004F3E10"/>
    <w:rsid w:val="004F4FD2"/>
    <w:rsid w:val="004F5947"/>
    <w:rsid w:val="004F65A0"/>
    <w:rsid w:val="005001AD"/>
    <w:rsid w:val="005003EF"/>
    <w:rsid w:val="00500DF2"/>
    <w:rsid w:val="00501843"/>
    <w:rsid w:val="0050246D"/>
    <w:rsid w:val="00503E22"/>
    <w:rsid w:val="005048D3"/>
    <w:rsid w:val="00504C02"/>
    <w:rsid w:val="005055CE"/>
    <w:rsid w:val="0050763F"/>
    <w:rsid w:val="0051173D"/>
    <w:rsid w:val="005118A1"/>
    <w:rsid w:val="0051488C"/>
    <w:rsid w:val="00514DB8"/>
    <w:rsid w:val="005175B6"/>
    <w:rsid w:val="00521743"/>
    <w:rsid w:val="00521A80"/>
    <w:rsid w:val="005228EE"/>
    <w:rsid w:val="0052323C"/>
    <w:rsid w:val="00523559"/>
    <w:rsid w:val="00524BF8"/>
    <w:rsid w:val="00525E8D"/>
    <w:rsid w:val="0052779D"/>
    <w:rsid w:val="0053006E"/>
    <w:rsid w:val="005300D3"/>
    <w:rsid w:val="00530D22"/>
    <w:rsid w:val="005331DF"/>
    <w:rsid w:val="005334BE"/>
    <w:rsid w:val="0053406B"/>
    <w:rsid w:val="005366F6"/>
    <w:rsid w:val="00536B97"/>
    <w:rsid w:val="00537381"/>
    <w:rsid w:val="00540B9A"/>
    <w:rsid w:val="005411E2"/>
    <w:rsid w:val="00541E5B"/>
    <w:rsid w:val="00542464"/>
    <w:rsid w:val="00542821"/>
    <w:rsid w:val="00543B97"/>
    <w:rsid w:val="00544F82"/>
    <w:rsid w:val="00544FE0"/>
    <w:rsid w:val="00545E52"/>
    <w:rsid w:val="005461BF"/>
    <w:rsid w:val="00546F21"/>
    <w:rsid w:val="00547BCF"/>
    <w:rsid w:val="00547E7A"/>
    <w:rsid w:val="005507A3"/>
    <w:rsid w:val="005509D2"/>
    <w:rsid w:val="005516D7"/>
    <w:rsid w:val="005519A7"/>
    <w:rsid w:val="005540B1"/>
    <w:rsid w:val="00554B43"/>
    <w:rsid w:val="005562EC"/>
    <w:rsid w:val="0056519A"/>
    <w:rsid w:val="00565466"/>
    <w:rsid w:val="00565739"/>
    <w:rsid w:val="005658B4"/>
    <w:rsid w:val="00566499"/>
    <w:rsid w:val="00567325"/>
    <w:rsid w:val="005678DE"/>
    <w:rsid w:val="0057076D"/>
    <w:rsid w:val="0057320F"/>
    <w:rsid w:val="005734BF"/>
    <w:rsid w:val="00573930"/>
    <w:rsid w:val="005740B7"/>
    <w:rsid w:val="00575D57"/>
    <w:rsid w:val="0057636B"/>
    <w:rsid w:val="00576B29"/>
    <w:rsid w:val="005779D9"/>
    <w:rsid w:val="00580DEC"/>
    <w:rsid w:val="00581248"/>
    <w:rsid w:val="00585F1A"/>
    <w:rsid w:val="0058759F"/>
    <w:rsid w:val="00587739"/>
    <w:rsid w:val="0059031D"/>
    <w:rsid w:val="005908FE"/>
    <w:rsid w:val="00592A68"/>
    <w:rsid w:val="00593076"/>
    <w:rsid w:val="005935FB"/>
    <w:rsid w:val="00593C4F"/>
    <w:rsid w:val="00593E35"/>
    <w:rsid w:val="00593EB2"/>
    <w:rsid w:val="005946A8"/>
    <w:rsid w:val="00594DF0"/>
    <w:rsid w:val="00596ECE"/>
    <w:rsid w:val="00597458"/>
    <w:rsid w:val="005A200A"/>
    <w:rsid w:val="005A227B"/>
    <w:rsid w:val="005A25AF"/>
    <w:rsid w:val="005A4407"/>
    <w:rsid w:val="005A59EF"/>
    <w:rsid w:val="005A5BFB"/>
    <w:rsid w:val="005B07F1"/>
    <w:rsid w:val="005B1231"/>
    <w:rsid w:val="005B1C7E"/>
    <w:rsid w:val="005B4088"/>
    <w:rsid w:val="005B5446"/>
    <w:rsid w:val="005C0126"/>
    <w:rsid w:val="005C07AF"/>
    <w:rsid w:val="005C12AD"/>
    <w:rsid w:val="005C1895"/>
    <w:rsid w:val="005C20F7"/>
    <w:rsid w:val="005C284B"/>
    <w:rsid w:val="005C36E0"/>
    <w:rsid w:val="005C4524"/>
    <w:rsid w:val="005C5D79"/>
    <w:rsid w:val="005C6976"/>
    <w:rsid w:val="005C79AB"/>
    <w:rsid w:val="005D0606"/>
    <w:rsid w:val="005D06F4"/>
    <w:rsid w:val="005D08CF"/>
    <w:rsid w:val="005D0A52"/>
    <w:rsid w:val="005D45E5"/>
    <w:rsid w:val="005D7AF1"/>
    <w:rsid w:val="005E0CC2"/>
    <w:rsid w:val="005E117C"/>
    <w:rsid w:val="005E255C"/>
    <w:rsid w:val="005E2F54"/>
    <w:rsid w:val="005E3186"/>
    <w:rsid w:val="005E31F1"/>
    <w:rsid w:val="005E357B"/>
    <w:rsid w:val="005E47CD"/>
    <w:rsid w:val="005E71D8"/>
    <w:rsid w:val="005F1A8B"/>
    <w:rsid w:val="005F1BA7"/>
    <w:rsid w:val="005F2A4F"/>
    <w:rsid w:val="005F3414"/>
    <w:rsid w:val="005F46C2"/>
    <w:rsid w:val="005F4AF1"/>
    <w:rsid w:val="005F518A"/>
    <w:rsid w:val="005F602B"/>
    <w:rsid w:val="005F60BD"/>
    <w:rsid w:val="005F6F41"/>
    <w:rsid w:val="00600834"/>
    <w:rsid w:val="00600949"/>
    <w:rsid w:val="0060167B"/>
    <w:rsid w:val="00601FAA"/>
    <w:rsid w:val="00602C3E"/>
    <w:rsid w:val="0060460B"/>
    <w:rsid w:val="00604C10"/>
    <w:rsid w:val="00605DA7"/>
    <w:rsid w:val="00605E4D"/>
    <w:rsid w:val="0060636D"/>
    <w:rsid w:val="0060745A"/>
    <w:rsid w:val="00607FC7"/>
    <w:rsid w:val="006108F8"/>
    <w:rsid w:val="0061304A"/>
    <w:rsid w:val="00613841"/>
    <w:rsid w:val="006140E4"/>
    <w:rsid w:val="00614356"/>
    <w:rsid w:val="0061728F"/>
    <w:rsid w:val="0062037A"/>
    <w:rsid w:val="00620FBC"/>
    <w:rsid w:val="00621968"/>
    <w:rsid w:val="0062370D"/>
    <w:rsid w:val="0062513C"/>
    <w:rsid w:val="00625C18"/>
    <w:rsid w:val="00625DC6"/>
    <w:rsid w:val="00625F80"/>
    <w:rsid w:val="006262E1"/>
    <w:rsid w:val="00626DB1"/>
    <w:rsid w:val="00630C4B"/>
    <w:rsid w:val="0063121E"/>
    <w:rsid w:val="006317E0"/>
    <w:rsid w:val="006325C5"/>
    <w:rsid w:val="00632E98"/>
    <w:rsid w:val="006343F6"/>
    <w:rsid w:val="0063658B"/>
    <w:rsid w:val="00637CA5"/>
    <w:rsid w:val="006405E4"/>
    <w:rsid w:val="00640802"/>
    <w:rsid w:val="00640DA9"/>
    <w:rsid w:val="006433A9"/>
    <w:rsid w:val="0064391D"/>
    <w:rsid w:val="006456F9"/>
    <w:rsid w:val="0064641F"/>
    <w:rsid w:val="00646976"/>
    <w:rsid w:val="00646C6C"/>
    <w:rsid w:val="006471E8"/>
    <w:rsid w:val="00651802"/>
    <w:rsid w:val="00651821"/>
    <w:rsid w:val="00652988"/>
    <w:rsid w:val="00653464"/>
    <w:rsid w:val="00654384"/>
    <w:rsid w:val="006544E3"/>
    <w:rsid w:val="0065562B"/>
    <w:rsid w:val="00655FC8"/>
    <w:rsid w:val="00660569"/>
    <w:rsid w:val="006620C4"/>
    <w:rsid w:val="00662EC0"/>
    <w:rsid w:val="006641A7"/>
    <w:rsid w:val="006647F3"/>
    <w:rsid w:val="006651B4"/>
    <w:rsid w:val="0066579B"/>
    <w:rsid w:val="00665E27"/>
    <w:rsid w:val="00666233"/>
    <w:rsid w:val="006675CD"/>
    <w:rsid w:val="00667D9B"/>
    <w:rsid w:val="006707FD"/>
    <w:rsid w:val="006708E8"/>
    <w:rsid w:val="00670B37"/>
    <w:rsid w:val="00670C55"/>
    <w:rsid w:val="00670D53"/>
    <w:rsid w:val="006712CA"/>
    <w:rsid w:val="00672208"/>
    <w:rsid w:val="0067228F"/>
    <w:rsid w:val="00674134"/>
    <w:rsid w:val="00674567"/>
    <w:rsid w:val="0067470F"/>
    <w:rsid w:val="006758CE"/>
    <w:rsid w:val="00676C0B"/>
    <w:rsid w:val="00677E32"/>
    <w:rsid w:val="00681492"/>
    <w:rsid w:val="00683629"/>
    <w:rsid w:val="00683CC1"/>
    <w:rsid w:val="00683FE4"/>
    <w:rsid w:val="00684259"/>
    <w:rsid w:val="00684BDF"/>
    <w:rsid w:val="00684D9B"/>
    <w:rsid w:val="00690518"/>
    <w:rsid w:val="00690C47"/>
    <w:rsid w:val="006936E5"/>
    <w:rsid w:val="00693DA9"/>
    <w:rsid w:val="0069565C"/>
    <w:rsid w:val="00697556"/>
    <w:rsid w:val="006A14A5"/>
    <w:rsid w:val="006A2884"/>
    <w:rsid w:val="006A31ED"/>
    <w:rsid w:val="006A45CB"/>
    <w:rsid w:val="006A597A"/>
    <w:rsid w:val="006A614E"/>
    <w:rsid w:val="006B0313"/>
    <w:rsid w:val="006B0FC9"/>
    <w:rsid w:val="006B119F"/>
    <w:rsid w:val="006B2AF0"/>
    <w:rsid w:val="006B4647"/>
    <w:rsid w:val="006B4C2B"/>
    <w:rsid w:val="006B5493"/>
    <w:rsid w:val="006B5E80"/>
    <w:rsid w:val="006B6194"/>
    <w:rsid w:val="006B6D47"/>
    <w:rsid w:val="006B6FFF"/>
    <w:rsid w:val="006B78A8"/>
    <w:rsid w:val="006B7B21"/>
    <w:rsid w:val="006C0354"/>
    <w:rsid w:val="006C06FE"/>
    <w:rsid w:val="006C1683"/>
    <w:rsid w:val="006C5473"/>
    <w:rsid w:val="006C5902"/>
    <w:rsid w:val="006C5AFE"/>
    <w:rsid w:val="006C71BD"/>
    <w:rsid w:val="006D047A"/>
    <w:rsid w:val="006D0604"/>
    <w:rsid w:val="006D067E"/>
    <w:rsid w:val="006D0EB2"/>
    <w:rsid w:val="006D1138"/>
    <w:rsid w:val="006D1524"/>
    <w:rsid w:val="006D2F02"/>
    <w:rsid w:val="006D37A9"/>
    <w:rsid w:val="006D3CA0"/>
    <w:rsid w:val="006D49EB"/>
    <w:rsid w:val="006D5001"/>
    <w:rsid w:val="006E0EA8"/>
    <w:rsid w:val="006E16BF"/>
    <w:rsid w:val="006E3A5B"/>
    <w:rsid w:val="006E3F01"/>
    <w:rsid w:val="006E403F"/>
    <w:rsid w:val="006E50BB"/>
    <w:rsid w:val="006E5EB9"/>
    <w:rsid w:val="006E62A5"/>
    <w:rsid w:val="006E657F"/>
    <w:rsid w:val="006E792E"/>
    <w:rsid w:val="006E7EC4"/>
    <w:rsid w:val="006F0DFC"/>
    <w:rsid w:val="006F0FE7"/>
    <w:rsid w:val="006F15F6"/>
    <w:rsid w:val="006F2AE7"/>
    <w:rsid w:val="006F417D"/>
    <w:rsid w:val="006F45CD"/>
    <w:rsid w:val="006F5EDC"/>
    <w:rsid w:val="006F6204"/>
    <w:rsid w:val="006F6D95"/>
    <w:rsid w:val="006F7DCF"/>
    <w:rsid w:val="00700E95"/>
    <w:rsid w:val="00701556"/>
    <w:rsid w:val="0070419E"/>
    <w:rsid w:val="0070464C"/>
    <w:rsid w:val="00706248"/>
    <w:rsid w:val="00706F13"/>
    <w:rsid w:val="007072E8"/>
    <w:rsid w:val="00707909"/>
    <w:rsid w:val="00707C5D"/>
    <w:rsid w:val="007107C8"/>
    <w:rsid w:val="00710A3E"/>
    <w:rsid w:val="00714C78"/>
    <w:rsid w:val="00714EED"/>
    <w:rsid w:val="007155AF"/>
    <w:rsid w:val="0071596B"/>
    <w:rsid w:val="00715994"/>
    <w:rsid w:val="00715D1C"/>
    <w:rsid w:val="00715D46"/>
    <w:rsid w:val="0071609D"/>
    <w:rsid w:val="0071618D"/>
    <w:rsid w:val="0072028D"/>
    <w:rsid w:val="00721CD5"/>
    <w:rsid w:val="0072217F"/>
    <w:rsid w:val="00723B9C"/>
    <w:rsid w:val="00725E7A"/>
    <w:rsid w:val="00725FA4"/>
    <w:rsid w:val="00726944"/>
    <w:rsid w:val="00726C52"/>
    <w:rsid w:val="00731B07"/>
    <w:rsid w:val="00732476"/>
    <w:rsid w:val="00733627"/>
    <w:rsid w:val="0073381D"/>
    <w:rsid w:val="0073395E"/>
    <w:rsid w:val="007357A4"/>
    <w:rsid w:val="007369C5"/>
    <w:rsid w:val="0073794E"/>
    <w:rsid w:val="00737DD3"/>
    <w:rsid w:val="00740446"/>
    <w:rsid w:val="00740D6C"/>
    <w:rsid w:val="00741F51"/>
    <w:rsid w:val="00743124"/>
    <w:rsid w:val="00743283"/>
    <w:rsid w:val="007438A9"/>
    <w:rsid w:val="0074491E"/>
    <w:rsid w:val="00745F56"/>
    <w:rsid w:val="00747FC1"/>
    <w:rsid w:val="00751B90"/>
    <w:rsid w:val="00753B21"/>
    <w:rsid w:val="00754083"/>
    <w:rsid w:val="00754D20"/>
    <w:rsid w:val="00755C9E"/>
    <w:rsid w:val="00757A94"/>
    <w:rsid w:val="00760141"/>
    <w:rsid w:val="00760C3B"/>
    <w:rsid w:val="00761B07"/>
    <w:rsid w:val="00761D34"/>
    <w:rsid w:val="00761E79"/>
    <w:rsid w:val="0076247A"/>
    <w:rsid w:val="00762941"/>
    <w:rsid w:val="007643D5"/>
    <w:rsid w:val="007649AB"/>
    <w:rsid w:val="00765A78"/>
    <w:rsid w:val="00770965"/>
    <w:rsid w:val="00770A6A"/>
    <w:rsid w:val="00772EA9"/>
    <w:rsid w:val="00772ED9"/>
    <w:rsid w:val="00773B71"/>
    <w:rsid w:val="007753C9"/>
    <w:rsid w:val="00775505"/>
    <w:rsid w:val="0077554F"/>
    <w:rsid w:val="00775964"/>
    <w:rsid w:val="00775A9E"/>
    <w:rsid w:val="00775B3F"/>
    <w:rsid w:val="00776547"/>
    <w:rsid w:val="007765FE"/>
    <w:rsid w:val="0077673A"/>
    <w:rsid w:val="00777738"/>
    <w:rsid w:val="00777954"/>
    <w:rsid w:val="0078001B"/>
    <w:rsid w:val="007810DB"/>
    <w:rsid w:val="0078146C"/>
    <w:rsid w:val="00781CD4"/>
    <w:rsid w:val="0078271C"/>
    <w:rsid w:val="00782B03"/>
    <w:rsid w:val="00782F97"/>
    <w:rsid w:val="007843AE"/>
    <w:rsid w:val="007852FE"/>
    <w:rsid w:val="00785932"/>
    <w:rsid w:val="00785998"/>
    <w:rsid w:val="0078710B"/>
    <w:rsid w:val="007874EA"/>
    <w:rsid w:val="00790822"/>
    <w:rsid w:val="00790D8E"/>
    <w:rsid w:val="0079266B"/>
    <w:rsid w:val="00793119"/>
    <w:rsid w:val="00794E2E"/>
    <w:rsid w:val="00794F47"/>
    <w:rsid w:val="00794F93"/>
    <w:rsid w:val="007955D7"/>
    <w:rsid w:val="00795BFB"/>
    <w:rsid w:val="00795E23"/>
    <w:rsid w:val="00796E7F"/>
    <w:rsid w:val="0079743F"/>
    <w:rsid w:val="007A02A0"/>
    <w:rsid w:val="007A4A46"/>
    <w:rsid w:val="007A69B3"/>
    <w:rsid w:val="007A7FD2"/>
    <w:rsid w:val="007B00CA"/>
    <w:rsid w:val="007B2760"/>
    <w:rsid w:val="007B5293"/>
    <w:rsid w:val="007B6026"/>
    <w:rsid w:val="007B6717"/>
    <w:rsid w:val="007B7246"/>
    <w:rsid w:val="007B74B3"/>
    <w:rsid w:val="007B75F2"/>
    <w:rsid w:val="007B75F9"/>
    <w:rsid w:val="007C2C87"/>
    <w:rsid w:val="007C2E1E"/>
    <w:rsid w:val="007C3548"/>
    <w:rsid w:val="007C6236"/>
    <w:rsid w:val="007C755E"/>
    <w:rsid w:val="007C7D40"/>
    <w:rsid w:val="007D04E4"/>
    <w:rsid w:val="007D0916"/>
    <w:rsid w:val="007D0FF7"/>
    <w:rsid w:val="007D230E"/>
    <w:rsid w:val="007D28D3"/>
    <w:rsid w:val="007D34EF"/>
    <w:rsid w:val="007D3604"/>
    <w:rsid w:val="007D4DF4"/>
    <w:rsid w:val="007D5750"/>
    <w:rsid w:val="007E0AC8"/>
    <w:rsid w:val="007E1CB4"/>
    <w:rsid w:val="007E2387"/>
    <w:rsid w:val="007E2656"/>
    <w:rsid w:val="007E2D7F"/>
    <w:rsid w:val="007E412B"/>
    <w:rsid w:val="007E5FAC"/>
    <w:rsid w:val="007E624E"/>
    <w:rsid w:val="007E6884"/>
    <w:rsid w:val="007E6A60"/>
    <w:rsid w:val="007F0C78"/>
    <w:rsid w:val="007F1C50"/>
    <w:rsid w:val="007F6992"/>
    <w:rsid w:val="007F6EB9"/>
    <w:rsid w:val="00800404"/>
    <w:rsid w:val="00800FDD"/>
    <w:rsid w:val="0080213C"/>
    <w:rsid w:val="00802A18"/>
    <w:rsid w:val="00802DE7"/>
    <w:rsid w:val="0080301D"/>
    <w:rsid w:val="008048C5"/>
    <w:rsid w:val="00804D11"/>
    <w:rsid w:val="00805A34"/>
    <w:rsid w:val="00805B4E"/>
    <w:rsid w:val="00806C01"/>
    <w:rsid w:val="00807947"/>
    <w:rsid w:val="00811AC7"/>
    <w:rsid w:val="00812275"/>
    <w:rsid w:val="00812657"/>
    <w:rsid w:val="008129E6"/>
    <w:rsid w:val="00813AF1"/>
    <w:rsid w:val="00813BEC"/>
    <w:rsid w:val="00814275"/>
    <w:rsid w:val="008148CC"/>
    <w:rsid w:val="00814B3A"/>
    <w:rsid w:val="008170DF"/>
    <w:rsid w:val="00817A04"/>
    <w:rsid w:val="00817BF5"/>
    <w:rsid w:val="00820518"/>
    <w:rsid w:val="00820ABF"/>
    <w:rsid w:val="008211A4"/>
    <w:rsid w:val="008212D0"/>
    <w:rsid w:val="00821F6F"/>
    <w:rsid w:val="0082246B"/>
    <w:rsid w:val="00822C39"/>
    <w:rsid w:val="00823D54"/>
    <w:rsid w:val="00823E73"/>
    <w:rsid w:val="008248BC"/>
    <w:rsid w:val="00825B26"/>
    <w:rsid w:val="008305EB"/>
    <w:rsid w:val="0083268D"/>
    <w:rsid w:val="008337F3"/>
    <w:rsid w:val="00836F3B"/>
    <w:rsid w:val="00837924"/>
    <w:rsid w:val="00841015"/>
    <w:rsid w:val="00841FDE"/>
    <w:rsid w:val="0084283B"/>
    <w:rsid w:val="00843E1F"/>
    <w:rsid w:val="00847275"/>
    <w:rsid w:val="0084794B"/>
    <w:rsid w:val="00850849"/>
    <w:rsid w:val="00850951"/>
    <w:rsid w:val="008516DB"/>
    <w:rsid w:val="008520C3"/>
    <w:rsid w:val="0085212B"/>
    <w:rsid w:val="008531DF"/>
    <w:rsid w:val="00853546"/>
    <w:rsid w:val="00855393"/>
    <w:rsid w:val="00855439"/>
    <w:rsid w:val="00855712"/>
    <w:rsid w:val="0085623D"/>
    <w:rsid w:val="00856798"/>
    <w:rsid w:val="00856DCD"/>
    <w:rsid w:val="008574E4"/>
    <w:rsid w:val="008575E4"/>
    <w:rsid w:val="00857A4A"/>
    <w:rsid w:val="00860DBE"/>
    <w:rsid w:val="00861690"/>
    <w:rsid w:val="008640F4"/>
    <w:rsid w:val="008649CF"/>
    <w:rsid w:val="00864C08"/>
    <w:rsid w:val="00865FCA"/>
    <w:rsid w:val="00866F33"/>
    <w:rsid w:val="008702D7"/>
    <w:rsid w:val="00873150"/>
    <w:rsid w:val="008742F4"/>
    <w:rsid w:val="00874A90"/>
    <w:rsid w:val="00876477"/>
    <w:rsid w:val="0087657D"/>
    <w:rsid w:val="008807D5"/>
    <w:rsid w:val="00880832"/>
    <w:rsid w:val="008815DE"/>
    <w:rsid w:val="00883A44"/>
    <w:rsid w:val="00886EE1"/>
    <w:rsid w:val="0088727D"/>
    <w:rsid w:val="008873DF"/>
    <w:rsid w:val="00887827"/>
    <w:rsid w:val="0089080B"/>
    <w:rsid w:val="00891AED"/>
    <w:rsid w:val="00891B29"/>
    <w:rsid w:val="00892346"/>
    <w:rsid w:val="008942B5"/>
    <w:rsid w:val="0089439C"/>
    <w:rsid w:val="008944D6"/>
    <w:rsid w:val="00894510"/>
    <w:rsid w:val="0089470C"/>
    <w:rsid w:val="00894FAD"/>
    <w:rsid w:val="00895743"/>
    <w:rsid w:val="00895C5A"/>
    <w:rsid w:val="0089710D"/>
    <w:rsid w:val="00897C75"/>
    <w:rsid w:val="008A06D0"/>
    <w:rsid w:val="008A3B2C"/>
    <w:rsid w:val="008A530F"/>
    <w:rsid w:val="008A609F"/>
    <w:rsid w:val="008A6F54"/>
    <w:rsid w:val="008A7A70"/>
    <w:rsid w:val="008A7CEB"/>
    <w:rsid w:val="008B127E"/>
    <w:rsid w:val="008B2FC5"/>
    <w:rsid w:val="008B38E0"/>
    <w:rsid w:val="008B4334"/>
    <w:rsid w:val="008B5C74"/>
    <w:rsid w:val="008B5DDB"/>
    <w:rsid w:val="008B6CE9"/>
    <w:rsid w:val="008C00BA"/>
    <w:rsid w:val="008C0B29"/>
    <w:rsid w:val="008C1130"/>
    <w:rsid w:val="008C172B"/>
    <w:rsid w:val="008C283D"/>
    <w:rsid w:val="008C3542"/>
    <w:rsid w:val="008C5B89"/>
    <w:rsid w:val="008C5BD5"/>
    <w:rsid w:val="008D0BA7"/>
    <w:rsid w:val="008D10AE"/>
    <w:rsid w:val="008D11D6"/>
    <w:rsid w:val="008D18E6"/>
    <w:rsid w:val="008D1B73"/>
    <w:rsid w:val="008D1E6E"/>
    <w:rsid w:val="008D253B"/>
    <w:rsid w:val="008D3B42"/>
    <w:rsid w:val="008D5802"/>
    <w:rsid w:val="008D7A9B"/>
    <w:rsid w:val="008E0060"/>
    <w:rsid w:val="008E00D8"/>
    <w:rsid w:val="008E2AC4"/>
    <w:rsid w:val="008E2B4F"/>
    <w:rsid w:val="008E38FD"/>
    <w:rsid w:val="008E55CD"/>
    <w:rsid w:val="008E5870"/>
    <w:rsid w:val="008E5B78"/>
    <w:rsid w:val="008E6072"/>
    <w:rsid w:val="008E6813"/>
    <w:rsid w:val="008E76AC"/>
    <w:rsid w:val="008F10F7"/>
    <w:rsid w:val="008F17E2"/>
    <w:rsid w:val="008F1A26"/>
    <w:rsid w:val="008F1FB2"/>
    <w:rsid w:val="008F21F6"/>
    <w:rsid w:val="008F278E"/>
    <w:rsid w:val="008F2AB4"/>
    <w:rsid w:val="008F3378"/>
    <w:rsid w:val="008F49B0"/>
    <w:rsid w:val="008F5809"/>
    <w:rsid w:val="008F5E67"/>
    <w:rsid w:val="008F722A"/>
    <w:rsid w:val="008F7905"/>
    <w:rsid w:val="008F7B6F"/>
    <w:rsid w:val="00900B78"/>
    <w:rsid w:val="0090317E"/>
    <w:rsid w:val="00903EEB"/>
    <w:rsid w:val="00904635"/>
    <w:rsid w:val="00906E81"/>
    <w:rsid w:val="009129A4"/>
    <w:rsid w:val="00912CB7"/>
    <w:rsid w:val="00912EE0"/>
    <w:rsid w:val="00914591"/>
    <w:rsid w:val="00914768"/>
    <w:rsid w:val="00914C5D"/>
    <w:rsid w:val="00915046"/>
    <w:rsid w:val="0091583E"/>
    <w:rsid w:val="0091598B"/>
    <w:rsid w:val="00915D71"/>
    <w:rsid w:val="00916161"/>
    <w:rsid w:val="00916CD8"/>
    <w:rsid w:val="00921339"/>
    <w:rsid w:val="009227DC"/>
    <w:rsid w:val="00923884"/>
    <w:rsid w:val="00923D00"/>
    <w:rsid w:val="00923E7A"/>
    <w:rsid w:val="00923F10"/>
    <w:rsid w:val="0092416A"/>
    <w:rsid w:val="00925087"/>
    <w:rsid w:val="009277E9"/>
    <w:rsid w:val="009301BB"/>
    <w:rsid w:val="0093049E"/>
    <w:rsid w:val="0093150F"/>
    <w:rsid w:val="009322B8"/>
    <w:rsid w:val="00932BB4"/>
    <w:rsid w:val="009336DF"/>
    <w:rsid w:val="00933E12"/>
    <w:rsid w:val="009341BA"/>
    <w:rsid w:val="00936A44"/>
    <w:rsid w:val="00936C9F"/>
    <w:rsid w:val="009410AD"/>
    <w:rsid w:val="00942921"/>
    <w:rsid w:val="00943D96"/>
    <w:rsid w:val="0094445E"/>
    <w:rsid w:val="00947330"/>
    <w:rsid w:val="00951B52"/>
    <w:rsid w:val="00951F79"/>
    <w:rsid w:val="00952612"/>
    <w:rsid w:val="0095356E"/>
    <w:rsid w:val="00953B0C"/>
    <w:rsid w:val="009541D6"/>
    <w:rsid w:val="00954BC8"/>
    <w:rsid w:val="009553AD"/>
    <w:rsid w:val="00955950"/>
    <w:rsid w:val="00957C11"/>
    <w:rsid w:val="00961C3E"/>
    <w:rsid w:val="00962BF8"/>
    <w:rsid w:val="00962DD6"/>
    <w:rsid w:val="009642C6"/>
    <w:rsid w:val="0096490B"/>
    <w:rsid w:val="00964B48"/>
    <w:rsid w:val="00966971"/>
    <w:rsid w:val="0096798F"/>
    <w:rsid w:val="009747AB"/>
    <w:rsid w:val="0097487E"/>
    <w:rsid w:val="00974AB5"/>
    <w:rsid w:val="00974CEF"/>
    <w:rsid w:val="00976174"/>
    <w:rsid w:val="00980634"/>
    <w:rsid w:val="00981379"/>
    <w:rsid w:val="00981465"/>
    <w:rsid w:val="0098148B"/>
    <w:rsid w:val="009816D3"/>
    <w:rsid w:val="00981A7F"/>
    <w:rsid w:val="00981F88"/>
    <w:rsid w:val="0098215D"/>
    <w:rsid w:val="00983822"/>
    <w:rsid w:val="00984D66"/>
    <w:rsid w:val="0098574C"/>
    <w:rsid w:val="00985AB1"/>
    <w:rsid w:val="0098706D"/>
    <w:rsid w:val="00990168"/>
    <w:rsid w:val="0099151F"/>
    <w:rsid w:val="00992E73"/>
    <w:rsid w:val="009935FB"/>
    <w:rsid w:val="009954EA"/>
    <w:rsid w:val="0099585F"/>
    <w:rsid w:val="0099795A"/>
    <w:rsid w:val="009979A6"/>
    <w:rsid w:val="009A2CF6"/>
    <w:rsid w:val="009A2F9C"/>
    <w:rsid w:val="009A3BFC"/>
    <w:rsid w:val="009A46F7"/>
    <w:rsid w:val="009A571D"/>
    <w:rsid w:val="009A5D08"/>
    <w:rsid w:val="009A7025"/>
    <w:rsid w:val="009A7C14"/>
    <w:rsid w:val="009B1651"/>
    <w:rsid w:val="009B211F"/>
    <w:rsid w:val="009B6F28"/>
    <w:rsid w:val="009B78E1"/>
    <w:rsid w:val="009B7CC8"/>
    <w:rsid w:val="009C1741"/>
    <w:rsid w:val="009C2618"/>
    <w:rsid w:val="009C27A5"/>
    <w:rsid w:val="009C3B64"/>
    <w:rsid w:val="009C3EE0"/>
    <w:rsid w:val="009C4DB1"/>
    <w:rsid w:val="009C541D"/>
    <w:rsid w:val="009C5CF6"/>
    <w:rsid w:val="009C74A2"/>
    <w:rsid w:val="009D1909"/>
    <w:rsid w:val="009D23A6"/>
    <w:rsid w:val="009D31AA"/>
    <w:rsid w:val="009D39EA"/>
    <w:rsid w:val="009D4635"/>
    <w:rsid w:val="009D640B"/>
    <w:rsid w:val="009D7190"/>
    <w:rsid w:val="009E1157"/>
    <w:rsid w:val="009E1264"/>
    <w:rsid w:val="009E1566"/>
    <w:rsid w:val="009E40DD"/>
    <w:rsid w:val="009E4415"/>
    <w:rsid w:val="009E44CE"/>
    <w:rsid w:val="009E5486"/>
    <w:rsid w:val="009E788D"/>
    <w:rsid w:val="009F01A5"/>
    <w:rsid w:val="009F0EEA"/>
    <w:rsid w:val="009F4A54"/>
    <w:rsid w:val="009F4B93"/>
    <w:rsid w:val="009F4BEC"/>
    <w:rsid w:val="009F5874"/>
    <w:rsid w:val="009F5A24"/>
    <w:rsid w:val="009F6482"/>
    <w:rsid w:val="00A001BA"/>
    <w:rsid w:val="00A009C5"/>
    <w:rsid w:val="00A03E14"/>
    <w:rsid w:val="00A044CA"/>
    <w:rsid w:val="00A04E7D"/>
    <w:rsid w:val="00A0559F"/>
    <w:rsid w:val="00A055E8"/>
    <w:rsid w:val="00A05818"/>
    <w:rsid w:val="00A064C1"/>
    <w:rsid w:val="00A101E7"/>
    <w:rsid w:val="00A10EAB"/>
    <w:rsid w:val="00A10FF4"/>
    <w:rsid w:val="00A113CF"/>
    <w:rsid w:val="00A116C8"/>
    <w:rsid w:val="00A11BBE"/>
    <w:rsid w:val="00A11E0C"/>
    <w:rsid w:val="00A12D3F"/>
    <w:rsid w:val="00A203B5"/>
    <w:rsid w:val="00A208B5"/>
    <w:rsid w:val="00A20A08"/>
    <w:rsid w:val="00A25FD7"/>
    <w:rsid w:val="00A27083"/>
    <w:rsid w:val="00A30B59"/>
    <w:rsid w:val="00A31074"/>
    <w:rsid w:val="00A32CED"/>
    <w:rsid w:val="00A376C6"/>
    <w:rsid w:val="00A37A12"/>
    <w:rsid w:val="00A402DC"/>
    <w:rsid w:val="00A40710"/>
    <w:rsid w:val="00A40D25"/>
    <w:rsid w:val="00A416B0"/>
    <w:rsid w:val="00A43AFF"/>
    <w:rsid w:val="00A43B35"/>
    <w:rsid w:val="00A458E7"/>
    <w:rsid w:val="00A475D8"/>
    <w:rsid w:val="00A47C88"/>
    <w:rsid w:val="00A47EE0"/>
    <w:rsid w:val="00A5250A"/>
    <w:rsid w:val="00A52A8A"/>
    <w:rsid w:val="00A53B05"/>
    <w:rsid w:val="00A54BB3"/>
    <w:rsid w:val="00A550C1"/>
    <w:rsid w:val="00A5648D"/>
    <w:rsid w:val="00A577CA"/>
    <w:rsid w:val="00A5789C"/>
    <w:rsid w:val="00A603CA"/>
    <w:rsid w:val="00A609A4"/>
    <w:rsid w:val="00A6140C"/>
    <w:rsid w:val="00A61512"/>
    <w:rsid w:val="00A61D3B"/>
    <w:rsid w:val="00A6265E"/>
    <w:rsid w:val="00A65B4B"/>
    <w:rsid w:val="00A7165F"/>
    <w:rsid w:val="00A71B24"/>
    <w:rsid w:val="00A7255A"/>
    <w:rsid w:val="00A7314A"/>
    <w:rsid w:val="00A7514B"/>
    <w:rsid w:val="00A761B3"/>
    <w:rsid w:val="00A76EC5"/>
    <w:rsid w:val="00A7793A"/>
    <w:rsid w:val="00A82C40"/>
    <w:rsid w:val="00A83899"/>
    <w:rsid w:val="00A84A9B"/>
    <w:rsid w:val="00A85075"/>
    <w:rsid w:val="00A85FBC"/>
    <w:rsid w:val="00A87550"/>
    <w:rsid w:val="00A901C6"/>
    <w:rsid w:val="00A9323E"/>
    <w:rsid w:val="00A935DC"/>
    <w:rsid w:val="00A94656"/>
    <w:rsid w:val="00A94991"/>
    <w:rsid w:val="00A94F77"/>
    <w:rsid w:val="00A96A23"/>
    <w:rsid w:val="00A97286"/>
    <w:rsid w:val="00AA11BE"/>
    <w:rsid w:val="00AA133F"/>
    <w:rsid w:val="00AA1997"/>
    <w:rsid w:val="00AA2DA0"/>
    <w:rsid w:val="00AA3421"/>
    <w:rsid w:val="00AA371D"/>
    <w:rsid w:val="00AA4CC7"/>
    <w:rsid w:val="00AA5E8E"/>
    <w:rsid w:val="00AB14AA"/>
    <w:rsid w:val="00AB1B90"/>
    <w:rsid w:val="00AB4122"/>
    <w:rsid w:val="00AB4706"/>
    <w:rsid w:val="00AB5E46"/>
    <w:rsid w:val="00AB6CA7"/>
    <w:rsid w:val="00AC1B46"/>
    <w:rsid w:val="00AC3138"/>
    <w:rsid w:val="00AC39D9"/>
    <w:rsid w:val="00AC44D5"/>
    <w:rsid w:val="00AC46C9"/>
    <w:rsid w:val="00AC4C92"/>
    <w:rsid w:val="00AC4E8F"/>
    <w:rsid w:val="00AC6090"/>
    <w:rsid w:val="00AC6928"/>
    <w:rsid w:val="00AC749A"/>
    <w:rsid w:val="00AD01E4"/>
    <w:rsid w:val="00AD0858"/>
    <w:rsid w:val="00AD413B"/>
    <w:rsid w:val="00AD665B"/>
    <w:rsid w:val="00AD7359"/>
    <w:rsid w:val="00AD7A57"/>
    <w:rsid w:val="00AE046B"/>
    <w:rsid w:val="00AE0780"/>
    <w:rsid w:val="00AE0A6D"/>
    <w:rsid w:val="00AE2058"/>
    <w:rsid w:val="00AE2A1A"/>
    <w:rsid w:val="00AE34AF"/>
    <w:rsid w:val="00AE3E71"/>
    <w:rsid w:val="00AE407C"/>
    <w:rsid w:val="00AE4C91"/>
    <w:rsid w:val="00AE5B15"/>
    <w:rsid w:val="00AE70D2"/>
    <w:rsid w:val="00AE7340"/>
    <w:rsid w:val="00AF1015"/>
    <w:rsid w:val="00AF181B"/>
    <w:rsid w:val="00AF1BBD"/>
    <w:rsid w:val="00AF24C9"/>
    <w:rsid w:val="00AF33B0"/>
    <w:rsid w:val="00AF3778"/>
    <w:rsid w:val="00AF3CB1"/>
    <w:rsid w:val="00AF4B12"/>
    <w:rsid w:val="00AF4D3E"/>
    <w:rsid w:val="00AF5565"/>
    <w:rsid w:val="00AF5873"/>
    <w:rsid w:val="00AF600E"/>
    <w:rsid w:val="00AF6024"/>
    <w:rsid w:val="00AF71E0"/>
    <w:rsid w:val="00AF7A84"/>
    <w:rsid w:val="00B00929"/>
    <w:rsid w:val="00B00CB6"/>
    <w:rsid w:val="00B00FD2"/>
    <w:rsid w:val="00B0187D"/>
    <w:rsid w:val="00B01BB4"/>
    <w:rsid w:val="00B0299C"/>
    <w:rsid w:val="00B05756"/>
    <w:rsid w:val="00B05EF1"/>
    <w:rsid w:val="00B10207"/>
    <w:rsid w:val="00B10FDA"/>
    <w:rsid w:val="00B11B0E"/>
    <w:rsid w:val="00B13717"/>
    <w:rsid w:val="00B141E7"/>
    <w:rsid w:val="00B142FD"/>
    <w:rsid w:val="00B15046"/>
    <w:rsid w:val="00B15D50"/>
    <w:rsid w:val="00B160D7"/>
    <w:rsid w:val="00B16725"/>
    <w:rsid w:val="00B16E46"/>
    <w:rsid w:val="00B171C5"/>
    <w:rsid w:val="00B17290"/>
    <w:rsid w:val="00B17A74"/>
    <w:rsid w:val="00B21408"/>
    <w:rsid w:val="00B216EB"/>
    <w:rsid w:val="00B22B25"/>
    <w:rsid w:val="00B24E4A"/>
    <w:rsid w:val="00B25BE1"/>
    <w:rsid w:val="00B27560"/>
    <w:rsid w:val="00B3027F"/>
    <w:rsid w:val="00B3289B"/>
    <w:rsid w:val="00B333B4"/>
    <w:rsid w:val="00B33E05"/>
    <w:rsid w:val="00B347D4"/>
    <w:rsid w:val="00B351B4"/>
    <w:rsid w:val="00B35A79"/>
    <w:rsid w:val="00B3608C"/>
    <w:rsid w:val="00B3646A"/>
    <w:rsid w:val="00B3741A"/>
    <w:rsid w:val="00B37A6A"/>
    <w:rsid w:val="00B405DE"/>
    <w:rsid w:val="00B425EB"/>
    <w:rsid w:val="00B46BCA"/>
    <w:rsid w:val="00B46F9B"/>
    <w:rsid w:val="00B473E2"/>
    <w:rsid w:val="00B478AA"/>
    <w:rsid w:val="00B47A17"/>
    <w:rsid w:val="00B50000"/>
    <w:rsid w:val="00B532BF"/>
    <w:rsid w:val="00B53F9E"/>
    <w:rsid w:val="00B54D3A"/>
    <w:rsid w:val="00B55041"/>
    <w:rsid w:val="00B554C3"/>
    <w:rsid w:val="00B57765"/>
    <w:rsid w:val="00B61C1B"/>
    <w:rsid w:val="00B623D9"/>
    <w:rsid w:val="00B62648"/>
    <w:rsid w:val="00B64BF4"/>
    <w:rsid w:val="00B658F8"/>
    <w:rsid w:val="00B66032"/>
    <w:rsid w:val="00B6742C"/>
    <w:rsid w:val="00B701E4"/>
    <w:rsid w:val="00B72202"/>
    <w:rsid w:val="00B734B3"/>
    <w:rsid w:val="00B7435B"/>
    <w:rsid w:val="00B750F9"/>
    <w:rsid w:val="00B7584A"/>
    <w:rsid w:val="00B76198"/>
    <w:rsid w:val="00B769CB"/>
    <w:rsid w:val="00B77D33"/>
    <w:rsid w:val="00B80201"/>
    <w:rsid w:val="00B80423"/>
    <w:rsid w:val="00B80864"/>
    <w:rsid w:val="00B80E18"/>
    <w:rsid w:val="00B818F7"/>
    <w:rsid w:val="00B83C2A"/>
    <w:rsid w:val="00B840A0"/>
    <w:rsid w:val="00B85DE4"/>
    <w:rsid w:val="00B868CB"/>
    <w:rsid w:val="00B8724E"/>
    <w:rsid w:val="00B87806"/>
    <w:rsid w:val="00B87EC9"/>
    <w:rsid w:val="00B923ED"/>
    <w:rsid w:val="00B928A6"/>
    <w:rsid w:val="00B92EEF"/>
    <w:rsid w:val="00B93259"/>
    <w:rsid w:val="00B95880"/>
    <w:rsid w:val="00BA16B9"/>
    <w:rsid w:val="00BA29ED"/>
    <w:rsid w:val="00BA39C6"/>
    <w:rsid w:val="00BA46B7"/>
    <w:rsid w:val="00BA4E1A"/>
    <w:rsid w:val="00BA4E1E"/>
    <w:rsid w:val="00BA50BE"/>
    <w:rsid w:val="00BA5FF7"/>
    <w:rsid w:val="00BA66E6"/>
    <w:rsid w:val="00BA7797"/>
    <w:rsid w:val="00BB11A2"/>
    <w:rsid w:val="00BB28E9"/>
    <w:rsid w:val="00BB3180"/>
    <w:rsid w:val="00BB49A4"/>
    <w:rsid w:val="00BB4CC8"/>
    <w:rsid w:val="00BB4DA8"/>
    <w:rsid w:val="00BB4FA4"/>
    <w:rsid w:val="00BB5784"/>
    <w:rsid w:val="00BB7629"/>
    <w:rsid w:val="00BB7D19"/>
    <w:rsid w:val="00BC0169"/>
    <w:rsid w:val="00BC1334"/>
    <w:rsid w:val="00BC1589"/>
    <w:rsid w:val="00BC1C0E"/>
    <w:rsid w:val="00BC1D46"/>
    <w:rsid w:val="00BC21BE"/>
    <w:rsid w:val="00BC222A"/>
    <w:rsid w:val="00BC38FD"/>
    <w:rsid w:val="00BC3DFB"/>
    <w:rsid w:val="00BC4328"/>
    <w:rsid w:val="00BC6608"/>
    <w:rsid w:val="00BC6EF0"/>
    <w:rsid w:val="00BD0059"/>
    <w:rsid w:val="00BD0CED"/>
    <w:rsid w:val="00BD0E5B"/>
    <w:rsid w:val="00BD1441"/>
    <w:rsid w:val="00BD1DBA"/>
    <w:rsid w:val="00BD2780"/>
    <w:rsid w:val="00BD5780"/>
    <w:rsid w:val="00BD5FAC"/>
    <w:rsid w:val="00BD7A69"/>
    <w:rsid w:val="00BE0E49"/>
    <w:rsid w:val="00BE1BAC"/>
    <w:rsid w:val="00BE28C1"/>
    <w:rsid w:val="00BE3CEF"/>
    <w:rsid w:val="00BE76DB"/>
    <w:rsid w:val="00BF0265"/>
    <w:rsid w:val="00BF0795"/>
    <w:rsid w:val="00BF147F"/>
    <w:rsid w:val="00BF2841"/>
    <w:rsid w:val="00BF2DD0"/>
    <w:rsid w:val="00BF31DC"/>
    <w:rsid w:val="00BF4CFB"/>
    <w:rsid w:val="00BF4DAB"/>
    <w:rsid w:val="00BF52BE"/>
    <w:rsid w:val="00BF63E2"/>
    <w:rsid w:val="00BF7220"/>
    <w:rsid w:val="00BF7B83"/>
    <w:rsid w:val="00C00DDE"/>
    <w:rsid w:val="00C00F14"/>
    <w:rsid w:val="00C01580"/>
    <w:rsid w:val="00C02135"/>
    <w:rsid w:val="00C0336F"/>
    <w:rsid w:val="00C034CB"/>
    <w:rsid w:val="00C03AD3"/>
    <w:rsid w:val="00C04136"/>
    <w:rsid w:val="00C04A99"/>
    <w:rsid w:val="00C051A8"/>
    <w:rsid w:val="00C054BC"/>
    <w:rsid w:val="00C06262"/>
    <w:rsid w:val="00C064D6"/>
    <w:rsid w:val="00C10CD7"/>
    <w:rsid w:val="00C10D7B"/>
    <w:rsid w:val="00C111C6"/>
    <w:rsid w:val="00C122EF"/>
    <w:rsid w:val="00C12409"/>
    <w:rsid w:val="00C12986"/>
    <w:rsid w:val="00C1411D"/>
    <w:rsid w:val="00C14D77"/>
    <w:rsid w:val="00C161DB"/>
    <w:rsid w:val="00C168F6"/>
    <w:rsid w:val="00C17897"/>
    <w:rsid w:val="00C22334"/>
    <w:rsid w:val="00C2647C"/>
    <w:rsid w:val="00C3296C"/>
    <w:rsid w:val="00C342E7"/>
    <w:rsid w:val="00C34783"/>
    <w:rsid w:val="00C36C33"/>
    <w:rsid w:val="00C36F20"/>
    <w:rsid w:val="00C407CA"/>
    <w:rsid w:val="00C409D5"/>
    <w:rsid w:val="00C40C3C"/>
    <w:rsid w:val="00C41A04"/>
    <w:rsid w:val="00C41A94"/>
    <w:rsid w:val="00C435C3"/>
    <w:rsid w:val="00C4574C"/>
    <w:rsid w:val="00C467B7"/>
    <w:rsid w:val="00C47A00"/>
    <w:rsid w:val="00C52345"/>
    <w:rsid w:val="00C52F39"/>
    <w:rsid w:val="00C53260"/>
    <w:rsid w:val="00C532AD"/>
    <w:rsid w:val="00C534E6"/>
    <w:rsid w:val="00C539A4"/>
    <w:rsid w:val="00C543F1"/>
    <w:rsid w:val="00C55261"/>
    <w:rsid w:val="00C56108"/>
    <w:rsid w:val="00C61763"/>
    <w:rsid w:val="00C61E41"/>
    <w:rsid w:val="00C6234B"/>
    <w:rsid w:val="00C62754"/>
    <w:rsid w:val="00C62F78"/>
    <w:rsid w:val="00C63065"/>
    <w:rsid w:val="00C63637"/>
    <w:rsid w:val="00C63981"/>
    <w:rsid w:val="00C63EAE"/>
    <w:rsid w:val="00C642D6"/>
    <w:rsid w:val="00C65A78"/>
    <w:rsid w:val="00C65F61"/>
    <w:rsid w:val="00C666F5"/>
    <w:rsid w:val="00C6726E"/>
    <w:rsid w:val="00C71CEF"/>
    <w:rsid w:val="00C73C28"/>
    <w:rsid w:val="00C74A6A"/>
    <w:rsid w:val="00C750FD"/>
    <w:rsid w:val="00C7629F"/>
    <w:rsid w:val="00C766A3"/>
    <w:rsid w:val="00C7757E"/>
    <w:rsid w:val="00C7767F"/>
    <w:rsid w:val="00C77F12"/>
    <w:rsid w:val="00C80377"/>
    <w:rsid w:val="00C804B4"/>
    <w:rsid w:val="00C815FD"/>
    <w:rsid w:val="00C845ED"/>
    <w:rsid w:val="00C850D9"/>
    <w:rsid w:val="00C863FE"/>
    <w:rsid w:val="00C86476"/>
    <w:rsid w:val="00C8661B"/>
    <w:rsid w:val="00C90238"/>
    <w:rsid w:val="00C9033F"/>
    <w:rsid w:val="00C91BA2"/>
    <w:rsid w:val="00C9256F"/>
    <w:rsid w:val="00C92ABC"/>
    <w:rsid w:val="00C94175"/>
    <w:rsid w:val="00C95652"/>
    <w:rsid w:val="00C96F11"/>
    <w:rsid w:val="00C972EC"/>
    <w:rsid w:val="00C9732D"/>
    <w:rsid w:val="00C97ECA"/>
    <w:rsid w:val="00CA139A"/>
    <w:rsid w:val="00CA2899"/>
    <w:rsid w:val="00CA3A3D"/>
    <w:rsid w:val="00CA4F69"/>
    <w:rsid w:val="00CA50A1"/>
    <w:rsid w:val="00CA607D"/>
    <w:rsid w:val="00CA6F9B"/>
    <w:rsid w:val="00CA72AC"/>
    <w:rsid w:val="00CA77FB"/>
    <w:rsid w:val="00CA7895"/>
    <w:rsid w:val="00CB1F39"/>
    <w:rsid w:val="00CB2C5F"/>
    <w:rsid w:val="00CB379B"/>
    <w:rsid w:val="00CB5B0F"/>
    <w:rsid w:val="00CB5DD0"/>
    <w:rsid w:val="00CB6627"/>
    <w:rsid w:val="00CC06D8"/>
    <w:rsid w:val="00CC12DC"/>
    <w:rsid w:val="00CC14C1"/>
    <w:rsid w:val="00CC23D2"/>
    <w:rsid w:val="00CC281F"/>
    <w:rsid w:val="00CC2CD5"/>
    <w:rsid w:val="00CC4242"/>
    <w:rsid w:val="00CC494A"/>
    <w:rsid w:val="00CC51D4"/>
    <w:rsid w:val="00CC65DA"/>
    <w:rsid w:val="00CC6C9D"/>
    <w:rsid w:val="00CD2803"/>
    <w:rsid w:val="00CD2AFB"/>
    <w:rsid w:val="00CD3AA4"/>
    <w:rsid w:val="00CD452C"/>
    <w:rsid w:val="00CD4CC8"/>
    <w:rsid w:val="00CD4D82"/>
    <w:rsid w:val="00CD665F"/>
    <w:rsid w:val="00CD6D60"/>
    <w:rsid w:val="00CD6DDF"/>
    <w:rsid w:val="00CD7318"/>
    <w:rsid w:val="00CD7B75"/>
    <w:rsid w:val="00CE024A"/>
    <w:rsid w:val="00CE07C5"/>
    <w:rsid w:val="00CE0D74"/>
    <w:rsid w:val="00CE1039"/>
    <w:rsid w:val="00CE1B15"/>
    <w:rsid w:val="00CE1EC2"/>
    <w:rsid w:val="00CE2573"/>
    <w:rsid w:val="00CE340A"/>
    <w:rsid w:val="00CE4C3F"/>
    <w:rsid w:val="00CE51FF"/>
    <w:rsid w:val="00CE557B"/>
    <w:rsid w:val="00CE613A"/>
    <w:rsid w:val="00CF0B66"/>
    <w:rsid w:val="00CF21B9"/>
    <w:rsid w:val="00CF3A00"/>
    <w:rsid w:val="00CF3AA9"/>
    <w:rsid w:val="00CF4245"/>
    <w:rsid w:val="00CF567F"/>
    <w:rsid w:val="00CF6032"/>
    <w:rsid w:val="00CF6388"/>
    <w:rsid w:val="00CF6BF9"/>
    <w:rsid w:val="00CF72A6"/>
    <w:rsid w:val="00CF7DDA"/>
    <w:rsid w:val="00D00385"/>
    <w:rsid w:val="00D008A9"/>
    <w:rsid w:val="00D00F22"/>
    <w:rsid w:val="00D00F64"/>
    <w:rsid w:val="00D014A6"/>
    <w:rsid w:val="00D02BE7"/>
    <w:rsid w:val="00D03800"/>
    <w:rsid w:val="00D03BEB"/>
    <w:rsid w:val="00D065D3"/>
    <w:rsid w:val="00D06CCE"/>
    <w:rsid w:val="00D0704A"/>
    <w:rsid w:val="00D072E3"/>
    <w:rsid w:val="00D079FC"/>
    <w:rsid w:val="00D10A3C"/>
    <w:rsid w:val="00D10EC6"/>
    <w:rsid w:val="00D12C4F"/>
    <w:rsid w:val="00D14C94"/>
    <w:rsid w:val="00D150D2"/>
    <w:rsid w:val="00D1555D"/>
    <w:rsid w:val="00D16D33"/>
    <w:rsid w:val="00D17140"/>
    <w:rsid w:val="00D1735E"/>
    <w:rsid w:val="00D17F83"/>
    <w:rsid w:val="00D2014B"/>
    <w:rsid w:val="00D20161"/>
    <w:rsid w:val="00D21049"/>
    <w:rsid w:val="00D211F6"/>
    <w:rsid w:val="00D2196A"/>
    <w:rsid w:val="00D22D21"/>
    <w:rsid w:val="00D2320C"/>
    <w:rsid w:val="00D232DA"/>
    <w:rsid w:val="00D2516B"/>
    <w:rsid w:val="00D25535"/>
    <w:rsid w:val="00D25ABE"/>
    <w:rsid w:val="00D26E84"/>
    <w:rsid w:val="00D31AC4"/>
    <w:rsid w:val="00D32566"/>
    <w:rsid w:val="00D3307A"/>
    <w:rsid w:val="00D331AD"/>
    <w:rsid w:val="00D342A6"/>
    <w:rsid w:val="00D36254"/>
    <w:rsid w:val="00D36318"/>
    <w:rsid w:val="00D4084B"/>
    <w:rsid w:val="00D43AB3"/>
    <w:rsid w:val="00D44102"/>
    <w:rsid w:val="00D44D65"/>
    <w:rsid w:val="00D459AD"/>
    <w:rsid w:val="00D45CA6"/>
    <w:rsid w:val="00D4638F"/>
    <w:rsid w:val="00D464BF"/>
    <w:rsid w:val="00D477A9"/>
    <w:rsid w:val="00D47E71"/>
    <w:rsid w:val="00D51301"/>
    <w:rsid w:val="00D51AC0"/>
    <w:rsid w:val="00D526E7"/>
    <w:rsid w:val="00D539BC"/>
    <w:rsid w:val="00D53E26"/>
    <w:rsid w:val="00D54578"/>
    <w:rsid w:val="00D55E0C"/>
    <w:rsid w:val="00D568DE"/>
    <w:rsid w:val="00D57896"/>
    <w:rsid w:val="00D578DC"/>
    <w:rsid w:val="00D61DFB"/>
    <w:rsid w:val="00D62659"/>
    <w:rsid w:val="00D6390C"/>
    <w:rsid w:val="00D63D39"/>
    <w:rsid w:val="00D649BC"/>
    <w:rsid w:val="00D649F8"/>
    <w:rsid w:val="00D64F31"/>
    <w:rsid w:val="00D6553A"/>
    <w:rsid w:val="00D65A1A"/>
    <w:rsid w:val="00D66C31"/>
    <w:rsid w:val="00D67268"/>
    <w:rsid w:val="00D67DD8"/>
    <w:rsid w:val="00D700EB"/>
    <w:rsid w:val="00D70F57"/>
    <w:rsid w:val="00D71070"/>
    <w:rsid w:val="00D710A1"/>
    <w:rsid w:val="00D71510"/>
    <w:rsid w:val="00D72426"/>
    <w:rsid w:val="00D7270C"/>
    <w:rsid w:val="00D7289B"/>
    <w:rsid w:val="00D730DA"/>
    <w:rsid w:val="00D74A6F"/>
    <w:rsid w:val="00D74ACB"/>
    <w:rsid w:val="00D766CC"/>
    <w:rsid w:val="00D76880"/>
    <w:rsid w:val="00D813FD"/>
    <w:rsid w:val="00D81CBF"/>
    <w:rsid w:val="00D82636"/>
    <w:rsid w:val="00D82ED0"/>
    <w:rsid w:val="00D82F85"/>
    <w:rsid w:val="00D83129"/>
    <w:rsid w:val="00D860D9"/>
    <w:rsid w:val="00D9030D"/>
    <w:rsid w:val="00D9413E"/>
    <w:rsid w:val="00D95652"/>
    <w:rsid w:val="00D96BEF"/>
    <w:rsid w:val="00D978DD"/>
    <w:rsid w:val="00D97D76"/>
    <w:rsid w:val="00DA0CBA"/>
    <w:rsid w:val="00DA1B43"/>
    <w:rsid w:val="00DA249D"/>
    <w:rsid w:val="00DA2E79"/>
    <w:rsid w:val="00DA2F0A"/>
    <w:rsid w:val="00DA40A0"/>
    <w:rsid w:val="00DA42C9"/>
    <w:rsid w:val="00DA4A19"/>
    <w:rsid w:val="00DA4CDB"/>
    <w:rsid w:val="00DA52A4"/>
    <w:rsid w:val="00DA645F"/>
    <w:rsid w:val="00DA69D9"/>
    <w:rsid w:val="00DB02CF"/>
    <w:rsid w:val="00DB043F"/>
    <w:rsid w:val="00DB0721"/>
    <w:rsid w:val="00DB12A1"/>
    <w:rsid w:val="00DB26B5"/>
    <w:rsid w:val="00DB358C"/>
    <w:rsid w:val="00DB7021"/>
    <w:rsid w:val="00DB7C80"/>
    <w:rsid w:val="00DC0410"/>
    <w:rsid w:val="00DC09C1"/>
    <w:rsid w:val="00DC09E2"/>
    <w:rsid w:val="00DC0BC0"/>
    <w:rsid w:val="00DC0C1B"/>
    <w:rsid w:val="00DC16E1"/>
    <w:rsid w:val="00DC2380"/>
    <w:rsid w:val="00DC3A3F"/>
    <w:rsid w:val="00DC43C4"/>
    <w:rsid w:val="00DC4E6A"/>
    <w:rsid w:val="00DC5B01"/>
    <w:rsid w:val="00DC6A30"/>
    <w:rsid w:val="00DC6DED"/>
    <w:rsid w:val="00DD01F2"/>
    <w:rsid w:val="00DD2906"/>
    <w:rsid w:val="00DD2E6F"/>
    <w:rsid w:val="00DD41BB"/>
    <w:rsid w:val="00DD4351"/>
    <w:rsid w:val="00DD4730"/>
    <w:rsid w:val="00DD493A"/>
    <w:rsid w:val="00DD4AFD"/>
    <w:rsid w:val="00DD4F0E"/>
    <w:rsid w:val="00DD5332"/>
    <w:rsid w:val="00DD6ABA"/>
    <w:rsid w:val="00DE0B60"/>
    <w:rsid w:val="00DE22D6"/>
    <w:rsid w:val="00DE3346"/>
    <w:rsid w:val="00DE387F"/>
    <w:rsid w:val="00DE3BE7"/>
    <w:rsid w:val="00DE51DE"/>
    <w:rsid w:val="00DE579F"/>
    <w:rsid w:val="00DE777C"/>
    <w:rsid w:val="00DF0364"/>
    <w:rsid w:val="00DF0BF0"/>
    <w:rsid w:val="00DF0F6F"/>
    <w:rsid w:val="00DF199B"/>
    <w:rsid w:val="00DF30DB"/>
    <w:rsid w:val="00DF3CA2"/>
    <w:rsid w:val="00DF50FA"/>
    <w:rsid w:val="00DF74C4"/>
    <w:rsid w:val="00DF75C7"/>
    <w:rsid w:val="00E00C43"/>
    <w:rsid w:val="00E01463"/>
    <w:rsid w:val="00E01809"/>
    <w:rsid w:val="00E02A46"/>
    <w:rsid w:val="00E02EEB"/>
    <w:rsid w:val="00E03BD2"/>
    <w:rsid w:val="00E04050"/>
    <w:rsid w:val="00E041CD"/>
    <w:rsid w:val="00E04C82"/>
    <w:rsid w:val="00E04F59"/>
    <w:rsid w:val="00E05E0A"/>
    <w:rsid w:val="00E05EB9"/>
    <w:rsid w:val="00E060BE"/>
    <w:rsid w:val="00E0722F"/>
    <w:rsid w:val="00E07B9A"/>
    <w:rsid w:val="00E07E7B"/>
    <w:rsid w:val="00E108FB"/>
    <w:rsid w:val="00E115A5"/>
    <w:rsid w:val="00E11F2B"/>
    <w:rsid w:val="00E124F6"/>
    <w:rsid w:val="00E12B49"/>
    <w:rsid w:val="00E1369E"/>
    <w:rsid w:val="00E13D5D"/>
    <w:rsid w:val="00E14CC4"/>
    <w:rsid w:val="00E15479"/>
    <w:rsid w:val="00E15920"/>
    <w:rsid w:val="00E15DC5"/>
    <w:rsid w:val="00E17091"/>
    <w:rsid w:val="00E219E5"/>
    <w:rsid w:val="00E23278"/>
    <w:rsid w:val="00E24738"/>
    <w:rsid w:val="00E25B8C"/>
    <w:rsid w:val="00E268A5"/>
    <w:rsid w:val="00E268E2"/>
    <w:rsid w:val="00E30607"/>
    <w:rsid w:val="00E31746"/>
    <w:rsid w:val="00E31CFC"/>
    <w:rsid w:val="00E32004"/>
    <w:rsid w:val="00E37E95"/>
    <w:rsid w:val="00E400F7"/>
    <w:rsid w:val="00E4095D"/>
    <w:rsid w:val="00E40DAC"/>
    <w:rsid w:val="00E413EC"/>
    <w:rsid w:val="00E42006"/>
    <w:rsid w:val="00E43449"/>
    <w:rsid w:val="00E43925"/>
    <w:rsid w:val="00E447F9"/>
    <w:rsid w:val="00E45008"/>
    <w:rsid w:val="00E45CE5"/>
    <w:rsid w:val="00E45D23"/>
    <w:rsid w:val="00E45D86"/>
    <w:rsid w:val="00E46186"/>
    <w:rsid w:val="00E52D12"/>
    <w:rsid w:val="00E534CF"/>
    <w:rsid w:val="00E53C3A"/>
    <w:rsid w:val="00E54411"/>
    <w:rsid w:val="00E54C73"/>
    <w:rsid w:val="00E556A2"/>
    <w:rsid w:val="00E55B4A"/>
    <w:rsid w:val="00E55F88"/>
    <w:rsid w:val="00E56199"/>
    <w:rsid w:val="00E5773A"/>
    <w:rsid w:val="00E57869"/>
    <w:rsid w:val="00E603D7"/>
    <w:rsid w:val="00E608F2"/>
    <w:rsid w:val="00E60C09"/>
    <w:rsid w:val="00E61D98"/>
    <w:rsid w:val="00E645BD"/>
    <w:rsid w:val="00E66F98"/>
    <w:rsid w:val="00E673F6"/>
    <w:rsid w:val="00E72840"/>
    <w:rsid w:val="00E72DCD"/>
    <w:rsid w:val="00E74DBA"/>
    <w:rsid w:val="00E74E77"/>
    <w:rsid w:val="00E75EB7"/>
    <w:rsid w:val="00E75ECC"/>
    <w:rsid w:val="00E770DF"/>
    <w:rsid w:val="00E809A5"/>
    <w:rsid w:val="00E80DAC"/>
    <w:rsid w:val="00E81CB4"/>
    <w:rsid w:val="00E81F1E"/>
    <w:rsid w:val="00E8240B"/>
    <w:rsid w:val="00E83E4B"/>
    <w:rsid w:val="00E8585B"/>
    <w:rsid w:val="00E860E7"/>
    <w:rsid w:val="00E8707D"/>
    <w:rsid w:val="00E91E4E"/>
    <w:rsid w:val="00E91FD7"/>
    <w:rsid w:val="00E9292A"/>
    <w:rsid w:val="00E92A1B"/>
    <w:rsid w:val="00E94283"/>
    <w:rsid w:val="00E94904"/>
    <w:rsid w:val="00E956C5"/>
    <w:rsid w:val="00E9653F"/>
    <w:rsid w:val="00E968DE"/>
    <w:rsid w:val="00E96EE1"/>
    <w:rsid w:val="00EA06CA"/>
    <w:rsid w:val="00EA2EFF"/>
    <w:rsid w:val="00EA3D82"/>
    <w:rsid w:val="00EA3F15"/>
    <w:rsid w:val="00EA3FFA"/>
    <w:rsid w:val="00EA5A5D"/>
    <w:rsid w:val="00EA7847"/>
    <w:rsid w:val="00EA7BAD"/>
    <w:rsid w:val="00EB1E0B"/>
    <w:rsid w:val="00EB263B"/>
    <w:rsid w:val="00EB2746"/>
    <w:rsid w:val="00EB4C2F"/>
    <w:rsid w:val="00EB4ECD"/>
    <w:rsid w:val="00EB59CA"/>
    <w:rsid w:val="00EB6655"/>
    <w:rsid w:val="00EB6DF0"/>
    <w:rsid w:val="00EB74D3"/>
    <w:rsid w:val="00EB7A7A"/>
    <w:rsid w:val="00EC3732"/>
    <w:rsid w:val="00EC3804"/>
    <w:rsid w:val="00EC448C"/>
    <w:rsid w:val="00EC5024"/>
    <w:rsid w:val="00EC527D"/>
    <w:rsid w:val="00EC6133"/>
    <w:rsid w:val="00EC7C21"/>
    <w:rsid w:val="00ED0178"/>
    <w:rsid w:val="00ED26AF"/>
    <w:rsid w:val="00ED2FBC"/>
    <w:rsid w:val="00ED4B5D"/>
    <w:rsid w:val="00ED52DA"/>
    <w:rsid w:val="00ED590E"/>
    <w:rsid w:val="00EE12F5"/>
    <w:rsid w:val="00EE167D"/>
    <w:rsid w:val="00EE1DE7"/>
    <w:rsid w:val="00EE1F2B"/>
    <w:rsid w:val="00EE2E6E"/>
    <w:rsid w:val="00EE3B39"/>
    <w:rsid w:val="00EE49B9"/>
    <w:rsid w:val="00EE4D57"/>
    <w:rsid w:val="00EE69EB"/>
    <w:rsid w:val="00EF0082"/>
    <w:rsid w:val="00EF3FA8"/>
    <w:rsid w:val="00EF43F5"/>
    <w:rsid w:val="00EF47F2"/>
    <w:rsid w:val="00EF5F5D"/>
    <w:rsid w:val="00EF6167"/>
    <w:rsid w:val="00EF6D78"/>
    <w:rsid w:val="00EF77CA"/>
    <w:rsid w:val="00F004AF"/>
    <w:rsid w:val="00F0185A"/>
    <w:rsid w:val="00F02289"/>
    <w:rsid w:val="00F022D3"/>
    <w:rsid w:val="00F028B3"/>
    <w:rsid w:val="00F04F7C"/>
    <w:rsid w:val="00F0759E"/>
    <w:rsid w:val="00F13246"/>
    <w:rsid w:val="00F14E06"/>
    <w:rsid w:val="00F1583A"/>
    <w:rsid w:val="00F16A43"/>
    <w:rsid w:val="00F16B57"/>
    <w:rsid w:val="00F17682"/>
    <w:rsid w:val="00F20432"/>
    <w:rsid w:val="00F209C4"/>
    <w:rsid w:val="00F22A3D"/>
    <w:rsid w:val="00F24351"/>
    <w:rsid w:val="00F252A1"/>
    <w:rsid w:val="00F260E3"/>
    <w:rsid w:val="00F26F97"/>
    <w:rsid w:val="00F307A2"/>
    <w:rsid w:val="00F3097B"/>
    <w:rsid w:val="00F30BCA"/>
    <w:rsid w:val="00F30C55"/>
    <w:rsid w:val="00F316E4"/>
    <w:rsid w:val="00F32F56"/>
    <w:rsid w:val="00F33D6A"/>
    <w:rsid w:val="00F33F1C"/>
    <w:rsid w:val="00F36924"/>
    <w:rsid w:val="00F373C5"/>
    <w:rsid w:val="00F42046"/>
    <w:rsid w:val="00F42AB4"/>
    <w:rsid w:val="00F431E4"/>
    <w:rsid w:val="00F43C05"/>
    <w:rsid w:val="00F44E5C"/>
    <w:rsid w:val="00F46780"/>
    <w:rsid w:val="00F46A54"/>
    <w:rsid w:val="00F50148"/>
    <w:rsid w:val="00F510E0"/>
    <w:rsid w:val="00F517D7"/>
    <w:rsid w:val="00F52E4E"/>
    <w:rsid w:val="00F53D20"/>
    <w:rsid w:val="00F545EA"/>
    <w:rsid w:val="00F55370"/>
    <w:rsid w:val="00F55E6C"/>
    <w:rsid w:val="00F56851"/>
    <w:rsid w:val="00F576D5"/>
    <w:rsid w:val="00F604A1"/>
    <w:rsid w:val="00F6127E"/>
    <w:rsid w:val="00F61F50"/>
    <w:rsid w:val="00F62818"/>
    <w:rsid w:val="00F62A86"/>
    <w:rsid w:val="00F62E5A"/>
    <w:rsid w:val="00F6400F"/>
    <w:rsid w:val="00F649FB"/>
    <w:rsid w:val="00F65433"/>
    <w:rsid w:val="00F655F7"/>
    <w:rsid w:val="00F6648F"/>
    <w:rsid w:val="00F66546"/>
    <w:rsid w:val="00F66D96"/>
    <w:rsid w:val="00F6753B"/>
    <w:rsid w:val="00F67C83"/>
    <w:rsid w:val="00F70059"/>
    <w:rsid w:val="00F72990"/>
    <w:rsid w:val="00F72A24"/>
    <w:rsid w:val="00F7355A"/>
    <w:rsid w:val="00F738BB"/>
    <w:rsid w:val="00F73F1C"/>
    <w:rsid w:val="00F754F8"/>
    <w:rsid w:val="00F75745"/>
    <w:rsid w:val="00F76B34"/>
    <w:rsid w:val="00F80227"/>
    <w:rsid w:val="00F80C5B"/>
    <w:rsid w:val="00F821A3"/>
    <w:rsid w:val="00F83A8F"/>
    <w:rsid w:val="00F854BF"/>
    <w:rsid w:val="00F90885"/>
    <w:rsid w:val="00F91C84"/>
    <w:rsid w:val="00F92CDF"/>
    <w:rsid w:val="00F9314A"/>
    <w:rsid w:val="00F940B2"/>
    <w:rsid w:val="00F94F14"/>
    <w:rsid w:val="00F967C8"/>
    <w:rsid w:val="00F97057"/>
    <w:rsid w:val="00FA08EB"/>
    <w:rsid w:val="00FA20C4"/>
    <w:rsid w:val="00FA21AF"/>
    <w:rsid w:val="00FA2507"/>
    <w:rsid w:val="00FA4AD9"/>
    <w:rsid w:val="00FA4DAB"/>
    <w:rsid w:val="00FA5C64"/>
    <w:rsid w:val="00FA5DC7"/>
    <w:rsid w:val="00FA69B6"/>
    <w:rsid w:val="00FA6C85"/>
    <w:rsid w:val="00FB0939"/>
    <w:rsid w:val="00FB0BDE"/>
    <w:rsid w:val="00FB0F2C"/>
    <w:rsid w:val="00FB219A"/>
    <w:rsid w:val="00FB257C"/>
    <w:rsid w:val="00FB6B72"/>
    <w:rsid w:val="00FB7B05"/>
    <w:rsid w:val="00FB7EAD"/>
    <w:rsid w:val="00FC0E36"/>
    <w:rsid w:val="00FC37F9"/>
    <w:rsid w:val="00FC3F5A"/>
    <w:rsid w:val="00FC55D6"/>
    <w:rsid w:val="00FC58EF"/>
    <w:rsid w:val="00FC5CA8"/>
    <w:rsid w:val="00FC6BDA"/>
    <w:rsid w:val="00FD026A"/>
    <w:rsid w:val="00FD0381"/>
    <w:rsid w:val="00FD0B77"/>
    <w:rsid w:val="00FD0BCE"/>
    <w:rsid w:val="00FD1D3C"/>
    <w:rsid w:val="00FD1E22"/>
    <w:rsid w:val="00FD33DF"/>
    <w:rsid w:val="00FD35D1"/>
    <w:rsid w:val="00FD3AAB"/>
    <w:rsid w:val="00FD4EE8"/>
    <w:rsid w:val="00FD504C"/>
    <w:rsid w:val="00FD5240"/>
    <w:rsid w:val="00FE0667"/>
    <w:rsid w:val="00FE0AF5"/>
    <w:rsid w:val="00FE0E43"/>
    <w:rsid w:val="00FE162A"/>
    <w:rsid w:val="00FE1B9C"/>
    <w:rsid w:val="00FE259D"/>
    <w:rsid w:val="00FE36AA"/>
    <w:rsid w:val="00FE39D7"/>
    <w:rsid w:val="00FE6682"/>
    <w:rsid w:val="00FE6AFD"/>
    <w:rsid w:val="00FE6BA0"/>
    <w:rsid w:val="00FE745B"/>
    <w:rsid w:val="00FF01CF"/>
    <w:rsid w:val="00FF0997"/>
    <w:rsid w:val="00FF0D1B"/>
    <w:rsid w:val="00FF1275"/>
    <w:rsid w:val="00FF1529"/>
    <w:rsid w:val="00FF1967"/>
    <w:rsid w:val="00FF3525"/>
    <w:rsid w:val="00FF358B"/>
    <w:rsid w:val="00FF3C2F"/>
    <w:rsid w:val="00FF472F"/>
    <w:rsid w:val="00FF6F0B"/>
    <w:rsid w:val="00FF70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A49559"/>
  <w15:docId w15:val="{75A7516C-AE70-4368-BF89-A751281F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A04"/>
    <w:pPr>
      <w:spacing w:before="240" w:after="240"/>
      <w:jc w:val="both"/>
    </w:pPr>
    <w:rPr>
      <w:rFonts w:ascii="Bookman Old Style" w:hAnsi="Bookman Old Style"/>
      <w:sz w:val="24"/>
      <w:szCs w:val="24"/>
      <w:lang w:val="es-ES" w:eastAsia="es-ES"/>
    </w:rPr>
  </w:style>
  <w:style w:type="paragraph" w:styleId="Ttulo1">
    <w:name w:val="heading 1"/>
    <w:aliases w:val="Capítulo"/>
    <w:basedOn w:val="Normal"/>
    <w:next w:val="Normal"/>
    <w:link w:val="Ttulo1Car"/>
    <w:autoRedefine/>
    <w:qFormat/>
    <w:rsid w:val="00F30BCA"/>
    <w:pPr>
      <w:keepNext/>
      <w:numPr>
        <w:numId w:val="4"/>
      </w:numPr>
      <w:ind w:left="357" w:hanging="357"/>
      <w:jc w:val="center"/>
      <w:outlineLvl w:val="0"/>
    </w:pPr>
    <w:rPr>
      <w:b/>
      <w:caps/>
      <w:szCs w:val="20"/>
      <w:lang w:val="es-CO"/>
    </w:rPr>
  </w:style>
  <w:style w:type="paragraph" w:styleId="Ttulo2">
    <w:name w:val="heading 2"/>
    <w:basedOn w:val="Ttulo1"/>
    <w:next w:val="Normal"/>
    <w:link w:val="Ttulo2Car"/>
    <w:autoRedefine/>
    <w:qFormat/>
    <w:rsid w:val="00BF7220"/>
    <w:pPr>
      <w:numPr>
        <w:ilvl w:val="1"/>
      </w:numPr>
      <w:ind w:left="851" w:hanging="851"/>
      <w:jc w:val="left"/>
      <w:outlineLvl w:val="1"/>
    </w:pPr>
    <w:rPr>
      <w:caps w:val="0"/>
      <w:spacing w:val="4"/>
      <w:szCs w:val="24"/>
      <w:lang w:val="es-ES"/>
    </w:rPr>
  </w:style>
  <w:style w:type="paragraph" w:styleId="Ttulo3">
    <w:name w:val="heading 3"/>
    <w:basedOn w:val="Normal"/>
    <w:next w:val="Normal"/>
    <w:link w:val="Ttulo3Car"/>
    <w:uiPriority w:val="9"/>
    <w:qFormat/>
    <w:rsid w:val="00490639"/>
    <w:pPr>
      <w:keepNext/>
      <w:numPr>
        <w:ilvl w:val="2"/>
        <w:numId w:val="4"/>
      </w:numPr>
      <w:ind w:left="720"/>
      <w:outlineLvl w:val="2"/>
    </w:pPr>
    <w:rPr>
      <w:b/>
      <w:snapToGrid w:val="0"/>
      <w:color w:val="000000"/>
      <w:szCs w:val="20"/>
      <w:lang w:val="es-ES_tradnl"/>
    </w:rPr>
  </w:style>
  <w:style w:type="paragraph" w:styleId="Ttulo4">
    <w:name w:val="heading 4"/>
    <w:basedOn w:val="Normal"/>
    <w:next w:val="Normal"/>
    <w:link w:val="Ttulo4Car"/>
    <w:qFormat/>
    <w:rsid w:val="006D1524"/>
    <w:pPr>
      <w:keepNext/>
      <w:numPr>
        <w:ilvl w:val="3"/>
        <w:numId w:val="4"/>
      </w:numPr>
      <w:ind w:left="0" w:firstLine="0"/>
      <w:outlineLvl w:val="3"/>
    </w:pPr>
    <w:rPr>
      <w:rFonts w:cs="Arial"/>
      <w:b/>
      <w:snapToGrid w:val="0"/>
      <w:color w:val="000000"/>
      <w:szCs w:val="20"/>
      <w:lang w:val="es-ES_tradnl"/>
    </w:rPr>
  </w:style>
  <w:style w:type="paragraph" w:styleId="Ttulo5">
    <w:name w:val="heading 5"/>
    <w:basedOn w:val="Normal"/>
    <w:next w:val="Normal"/>
    <w:link w:val="Ttulo5Car"/>
    <w:qFormat/>
    <w:rsid w:val="00E02EEB"/>
    <w:pPr>
      <w:keepNext/>
      <w:numPr>
        <w:ilvl w:val="4"/>
        <w:numId w:val="4"/>
      </w:numPr>
      <w:outlineLvl w:val="4"/>
    </w:pPr>
    <w:rPr>
      <w:rFonts w:cs="Arial"/>
      <w:b/>
      <w:snapToGrid w:val="0"/>
      <w:color w:val="000000"/>
      <w:szCs w:val="20"/>
      <w:lang w:val="es-ES_tradnl"/>
    </w:rPr>
  </w:style>
  <w:style w:type="paragraph" w:styleId="Ttulo6">
    <w:name w:val="heading 6"/>
    <w:basedOn w:val="Normal"/>
    <w:next w:val="Normal"/>
    <w:link w:val="Ttulo6Car"/>
    <w:uiPriority w:val="9"/>
    <w:unhideWhenUsed/>
    <w:qFormat/>
    <w:rsid w:val="00E556A2"/>
    <w:pPr>
      <w:numPr>
        <w:ilvl w:val="5"/>
        <w:numId w:val="4"/>
      </w:numPr>
      <w:spacing w:after="60"/>
      <w:outlineLvl w:val="5"/>
    </w:pPr>
    <w:rPr>
      <w:b/>
      <w:bCs/>
      <w:szCs w:val="22"/>
    </w:rPr>
  </w:style>
  <w:style w:type="paragraph" w:styleId="Ttulo7">
    <w:name w:val="heading 7"/>
    <w:basedOn w:val="Normal"/>
    <w:next w:val="Normal"/>
    <w:link w:val="Ttulo7Car"/>
    <w:uiPriority w:val="9"/>
    <w:unhideWhenUsed/>
    <w:qFormat/>
    <w:rsid w:val="006B4647"/>
    <w:pPr>
      <w:numPr>
        <w:ilvl w:val="6"/>
        <w:numId w:val="4"/>
      </w:numPr>
      <w:spacing w:after="60"/>
      <w:outlineLvl w:val="6"/>
    </w:pPr>
    <w:rPr>
      <w:rFonts w:ascii="Calibri" w:hAnsi="Calibri"/>
    </w:rPr>
  </w:style>
  <w:style w:type="paragraph" w:styleId="Ttulo8">
    <w:name w:val="heading 8"/>
    <w:basedOn w:val="Normal"/>
    <w:next w:val="Normal"/>
    <w:link w:val="Ttulo8Car"/>
    <w:uiPriority w:val="9"/>
    <w:qFormat/>
    <w:rsid w:val="000B4E51"/>
    <w:pPr>
      <w:keepNext/>
      <w:numPr>
        <w:ilvl w:val="7"/>
        <w:numId w:val="4"/>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uiPriority w:val="9"/>
    <w:qFormat/>
    <w:rsid w:val="000B4E51"/>
    <w:pPr>
      <w:keepNext/>
      <w:numPr>
        <w:ilvl w:val="8"/>
        <w:numId w:val="4"/>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link w:val="Ttulo1"/>
    <w:rsid w:val="00F30BCA"/>
    <w:rPr>
      <w:rFonts w:ascii="Bookman Old Style" w:hAnsi="Bookman Old Style"/>
      <w:b/>
      <w:caps/>
      <w:sz w:val="24"/>
      <w:lang w:eastAsia="es-ES"/>
    </w:rPr>
  </w:style>
  <w:style w:type="character" w:customStyle="1" w:styleId="Ttulo2Car">
    <w:name w:val="Título 2 Car"/>
    <w:link w:val="Ttulo2"/>
    <w:rsid w:val="00BF7220"/>
    <w:rPr>
      <w:rFonts w:ascii="Bookman Old Style" w:hAnsi="Bookman Old Style"/>
      <w:b/>
      <w:spacing w:val="4"/>
      <w:sz w:val="24"/>
      <w:szCs w:val="24"/>
      <w:lang w:val="es-ES" w:eastAsia="es-ES"/>
    </w:rPr>
  </w:style>
  <w:style w:type="character" w:customStyle="1" w:styleId="Ttulo3Car">
    <w:name w:val="Título 3 Car"/>
    <w:link w:val="Ttulo3"/>
    <w:uiPriority w:val="9"/>
    <w:rsid w:val="00490639"/>
    <w:rPr>
      <w:rFonts w:ascii="Bookman Old Style" w:hAnsi="Bookman Old Style"/>
      <w:b/>
      <w:snapToGrid w:val="0"/>
      <w:color w:val="000000"/>
      <w:sz w:val="24"/>
      <w:lang w:val="es-ES_tradnl" w:eastAsia="es-ES"/>
    </w:rPr>
  </w:style>
  <w:style w:type="character" w:customStyle="1" w:styleId="Ttulo4Car">
    <w:name w:val="Título 4 Car"/>
    <w:link w:val="Ttulo4"/>
    <w:rsid w:val="006D1524"/>
    <w:rPr>
      <w:rFonts w:ascii="Bookman Old Style" w:hAnsi="Bookman Old Style" w:cs="Arial"/>
      <w:b/>
      <w:snapToGrid w:val="0"/>
      <w:color w:val="000000"/>
      <w:sz w:val="24"/>
      <w:lang w:val="es-ES_tradnl" w:eastAsia="es-ES"/>
    </w:rPr>
  </w:style>
  <w:style w:type="character" w:customStyle="1" w:styleId="Ttulo5Car">
    <w:name w:val="Título 5 Car"/>
    <w:link w:val="Ttulo5"/>
    <w:rsid w:val="00E02EEB"/>
    <w:rPr>
      <w:rFonts w:ascii="Bookman Old Style" w:hAnsi="Bookman Old Style" w:cs="Arial"/>
      <w:b/>
      <w:snapToGrid w:val="0"/>
      <w:color w:val="000000"/>
      <w:sz w:val="24"/>
      <w:lang w:val="es-ES_tradnl" w:eastAsia="es-ES"/>
    </w:rPr>
  </w:style>
  <w:style w:type="character" w:customStyle="1" w:styleId="Ttulo6Car">
    <w:name w:val="Título 6 Car"/>
    <w:link w:val="Ttulo6"/>
    <w:uiPriority w:val="9"/>
    <w:rsid w:val="00E556A2"/>
    <w:rPr>
      <w:rFonts w:ascii="Bookman Old Style" w:hAnsi="Bookman Old Style"/>
      <w:b/>
      <w:bCs/>
      <w:sz w:val="24"/>
      <w:szCs w:val="22"/>
      <w:lang w:val="es-ES" w:eastAsia="es-ES"/>
    </w:rPr>
  </w:style>
  <w:style w:type="character" w:customStyle="1" w:styleId="Ttulo7Car">
    <w:name w:val="Título 7 Car"/>
    <w:link w:val="Ttulo7"/>
    <w:uiPriority w:val="9"/>
    <w:rsid w:val="006B4647"/>
    <w:rPr>
      <w:rFonts w:ascii="Calibri" w:hAnsi="Calibri"/>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link w:val="Piedepgina"/>
    <w:rsid w:val="000B4E51"/>
    <w:rPr>
      <w:sz w:val="24"/>
      <w:szCs w:val="24"/>
      <w:lang w:val="es-ES" w:eastAsia="es-ES"/>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table" w:styleId="Tablaconcuadrcula">
    <w:name w:val="Table Grid"/>
    <w:basedOn w:val="Tablanormal"/>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esto">
    <w:name w:val="Title"/>
    <w:basedOn w:val="Normal"/>
    <w:link w:val="PuestoCar"/>
    <w:qFormat/>
    <w:rsid w:val="00B05EF1"/>
    <w:pPr>
      <w:widowControl w:val="0"/>
      <w:numPr>
        <w:numId w:val="3"/>
      </w:numPr>
      <w:adjustRightInd w:val="0"/>
      <w:spacing w:line="360" w:lineRule="atLeast"/>
      <w:ind w:left="357" w:hanging="357"/>
      <w:textAlignment w:val="baseline"/>
    </w:pPr>
    <w:rPr>
      <w:rFonts w:cs="Arial"/>
      <w:b/>
      <w:bCs/>
      <w:caps/>
    </w:rPr>
  </w:style>
  <w:style w:type="character" w:customStyle="1" w:styleId="PuestoCar">
    <w:name w:val="Puesto Car"/>
    <w:link w:val="Puesto"/>
    <w:rsid w:val="00B05EF1"/>
    <w:rPr>
      <w:rFonts w:ascii="Bookman Old Style" w:hAnsi="Bookman Old Style" w:cs="Arial"/>
      <w:b/>
      <w:bCs/>
      <w:caps/>
      <w:sz w:val="24"/>
      <w:szCs w:val="24"/>
      <w:lang w:val="es-ES" w:eastAsia="es-ES"/>
    </w:rPr>
  </w:style>
  <w:style w:type="paragraph" w:styleId="Prrafodelista">
    <w:name w:val="List Paragraph"/>
    <w:basedOn w:val="Normal"/>
    <w:link w:val="PrrafodelistaCar"/>
    <w:qFormat/>
    <w:rsid w:val="00490639"/>
    <w:pPr>
      <w:ind w:left="708"/>
    </w:pPr>
    <w:rPr>
      <w:szCs w:val="20"/>
      <w:lang w:val="es-CO"/>
    </w:rPr>
  </w:style>
  <w:style w:type="character" w:customStyle="1" w:styleId="PrrafodelistaCar">
    <w:name w:val="Párrafo de lista Car"/>
    <w:link w:val="Prrafodelista"/>
    <w:rsid w:val="00490639"/>
    <w:rPr>
      <w:rFonts w:ascii="Bookman Old Style" w:hAnsi="Bookman Old Style"/>
      <w:sz w:val="24"/>
      <w:lang w:eastAsia="es-ES"/>
    </w:rPr>
  </w:style>
  <w:style w:type="paragraph" w:styleId="TDC1">
    <w:name w:val="toc 1"/>
    <w:basedOn w:val="Normal"/>
    <w:next w:val="Normal"/>
    <w:autoRedefine/>
    <w:uiPriority w:val="39"/>
    <w:qFormat/>
    <w:rsid w:val="00E43449"/>
    <w:pPr>
      <w:tabs>
        <w:tab w:val="left" w:pos="2127"/>
        <w:tab w:val="right" w:leader="dot" w:pos="9214"/>
      </w:tabs>
      <w:spacing w:before="120"/>
      <w:ind w:left="2127" w:right="142" w:hanging="2127"/>
    </w:pPr>
    <w:rPr>
      <w:b/>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link w:val="DescripcinCar"/>
    <w:uiPriority w:val="35"/>
    <w:qFormat/>
    <w:rsid w:val="00C4574C"/>
    <w:pPr>
      <w:keepNext/>
      <w:widowControl w:val="0"/>
      <w:adjustRightInd w:val="0"/>
      <w:spacing w:before="120" w:after="120" w:line="360" w:lineRule="atLeast"/>
      <w:jc w:val="center"/>
      <w:textAlignment w:val="baseline"/>
    </w:pPr>
    <w:rPr>
      <w:sz w:val="22"/>
      <w:szCs w:val="20"/>
    </w:rPr>
  </w:style>
  <w:style w:type="character" w:customStyle="1" w:styleId="DescripcinCar">
    <w:name w:val="Descripción Car"/>
    <w:link w:val="Descripcin"/>
    <w:uiPriority w:val="35"/>
    <w:rsid w:val="00C4574C"/>
    <w:rPr>
      <w:rFonts w:ascii="Bookman Old Style" w:hAnsi="Bookman Old Style"/>
      <w:sz w:val="22"/>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styleId="Sangradetextonormal">
    <w:name w:val="Body Text Indent"/>
    <w:basedOn w:val="Normal"/>
    <w:link w:val="SangradetextonormalCar"/>
    <w:unhideWhenUsed/>
    <w:rsid w:val="00E01463"/>
    <w:pPr>
      <w:numPr>
        <w:numId w:val="2"/>
      </w:numPr>
      <w:spacing w:after="120"/>
    </w:pPr>
  </w:style>
  <w:style w:type="character" w:customStyle="1" w:styleId="SangradetextonormalCar">
    <w:name w:val="Sangría de texto normal Car"/>
    <w:link w:val="Sangradetextonormal"/>
    <w:rsid w:val="00E01463"/>
    <w:rPr>
      <w:rFonts w:ascii="Bookman Old Style" w:hAnsi="Bookman Old Style"/>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paragraph" w:customStyle="1" w:styleId="Artculo">
    <w:name w:val="Artículo"/>
    <w:basedOn w:val="Normal"/>
    <w:next w:val="articulo"/>
    <w:link w:val="ArtculoCar"/>
    <w:qFormat/>
    <w:rsid w:val="006620C4"/>
    <w:pPr>
      <w:numPr>
        <w:numId w:val="7"/>
      </w:numPr>
      <w:tabs>
        <w:tab w:val="left" w:pos="1701"/>
      </w:tabs>
    </w:pPr>
    <w:rPr>
      <w:rFonts w:cs="Arial"/>
      <w:b/>
    </w:rPr>
  </w:style>
  <w:style w:type="character" w:customStyle="1" w:styleId="ArtculoCar">
    <w:name w:val="Artículo Car"/>
    <w:link w:val="Artculo"/>
    <w:rsid w:val="006620C4"/>
    <w:rPr>
      <w:rFonts w:ascii="Bookman Old Style" w:hAnsi="Bookman Old Style" w:cs="Arial"/>
      <w:b/>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172371"/>
    <w:pPr>
      <w:tabs>
        <w:tab w:val="left" w:pos="1701"/>
        <w:tab w:val="right" w:leader="dot" w:pos="9214"/>
      </w:tabs>
      <w:spacing w:before="160" w:after="0"/>
      <w:ind w:left="1560" w:hanging="709"/>
    </w:pPr>
    <w:rPr>
      <w:bCs/>
      <w:noProof/>
      <w:szCs w:val="20"/>
      <w:lang w:val="es-CO"/>
    </w:rPr>
  </w:style>
  <w:style w:type="paragraph" w:styleId="TDC3">
    <w:name w:val="toc 3"/>
    <w:basedOn w:val="Normal"/>
    <w:next w:val="Normal"/>
    <w:autoRedefine/>
    <w:uiPriority w:val="39"/>
    <w:qFormat/>
    <w:rsid w:val="00E43449"/>
    <w:pPr>
      <w:tabs>
        <w:tab w:val="left" w:pos="2552"/>
        <w:tab w:val="right" w:leader="dot" w:pos="9214"/>
      </w:tabs>
      <w:spacing w:before="0" w:after="0"/>
      <w:ind w:left="2552" w:right="425" w:hanging="993"/>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uiPriority w:val="99"/>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semiHidden/>
    <w:unhideWhenUsed/>
    <w:rsid w:val="000B4E51"/>
    <w:rPr>
      <w:sz w:val="16"/>
      <w:szCs w:val="16"/>
    </w:rPr>
  </w:style>
  <w:style w:type="paragraph" w:styleId="Textocomentario">
    <w:name w:val="annotation text"/>
    <w:basedOn w:val="Normal"/>
    <w:link w:val="TextocomentarioCar"/>
    <w:unhideWhenUsed/>
    <w:rsid w:val="000B4E51"/>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uiPriority w:val="99"/>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jc w:val="left"/>
      <w:outlineLvl w:val="9"/>
    </w:pPr>
    <w:rPr>
      <w:rFonts w:ascii="Cambria" w:hAnsi="Cambria"/>
      <w:bCs/>
      <w:caps w:val="0"/>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DD41BB"/>
    <w:pPr>
      <w:suppressAutoHyphens/>
      <w:spacing w:after="0"/>
    </w:pPr>
    <w:rPr>
      <w:rFonts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lang w:val="es-ES"/>
    </w:rPr>
  </w:style>
  <w:style w:type="paragraph" w:customStyle="1" w:styleId="Vietas">
    <w:name w:val="Viñetas"/>
    <w:basedOn w:val="Prrafodelista"/>
    <w:rsid w:val="000B4E51"/>
    <w:pPr>
      <w:spacing w:before="120"/>
      <w:ind w:left="720" w:hanging="360"/>
    </w:pPr>
    <w:rPr>
      <w:spacing w:val="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link w:val="Estilo2Car"/>
    <w:rsid w:val="000B4E51"/>
    <w:pPr>
      <w:adjustRightInd w:val="0"/>
      <w:spacing w:after="360"/>
      <w:textAlignment w:val="baseline"/>
    </w:pPr>
    <w:rPr>
      <w:bCs/>
      <w:caps w:val="0"/>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0B4E51"/>
    <w:pPr>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 w:type="paragraph" w:customStyle="1" w:styleId="Default">
    <w:name w:val="Default"/>
    <w:rsid w:val="004224BE"/>
    <w:pPr>
      <w:autoSpaceDE w:val="0"/>
      <w:autoSpaceDN w:val="0"/>
      <w:adjustRightInd w:val="0"/>
    </w:pPr>
    <w:rPr>
      <w:rFonts w:ascii="Arial" w:eastAsiaTheme="minorHAnsi" w:hAnsi="Arial" w:cs="Arial"/>
      <w:color w:val="000000"/>
      <w:sz w:val="24"/>
      <w:szCs w:val="24"/>
      <w:lang w:eastAsia="en-US"/>
    </w:rPr>
  </w:style>
  <w:style w:type="paragraph" w:customStyle="1" w:styleId="ARTICULOS">
    <w:name w:val="ARTICULOS"/>
    <w:basedOn w:val="Normal"/>
    <w:link w:val="ARTICULOSCar"/>
    <w:autoRedefine/>
    <w:qFormat/>
    <w:rsid w:val="00DB7021"/>
    <w:pPr>
      <w:numPr>
        <w:numId w:val="29"/>
      </w:numPr>
      <w:tabs>
        <w:tab w:val="left" w:pos="1560"/>
      </w:tabs>
      <w:adjustRightInd w:val="0"/>
      <w:spacing w:before="120" w:after="0"/>
      <w:ind w:left="0" w:firstLine="0"/>
      <w:textAlignment w:val="baseline"/>
    </w:pPr>
    <w:rPr>
      <w:bCs/>
    </w:rPr>
  </w:style>
  <w:style w:type="character" w:customStyle="1" w:styleId="ARTICULOSCar">
    <w:name w:val="ARTICULOS Car"/>
    <w:basedOn w:val="Fuentedeprrafopredeter"/>
    <w:link w:val="ARTICULOS"/>
    <w:rsid w:val="00DB7021"/>
    <w:rPr>
      <w:rFonts w:ascii="Bookman Old Style" w:hAnsi="Bookman Old Style"/>
      <w:bCs/>
      <w:sz w:val="24"/>
      <w:szCs w:val="24"/>
      <w:lang w:val="es-ES" w:eastAsia="es-ES"/>
    </w:rPr>
  </w:style>
  <w:style w:type="character" w:customStyle="1" w:styleId="Estilo2Car">
    <w:name w:val="Estilo2 Car"/>
    <w:link w:val="Estilo2"/>
    <w:rsid w:val="00DB7021"/>
    <w:rPr>
      <w:rFonts w:ascii="Bookman Old Style" w:hAnsi="Bookman Old Style"/>
      <w:b/>
      <w:bCs/>
      <w:spacing w:val="4"/>
      <w:sz w:val="24"/>
      <w:szCs w:val="24"/>
      <w:lang w:val="es-ES" w:eastAsia="es-ES"/>
    </w:rPr>
  </w:style>
  <w:style w:type="paragraph" w:styleId="HTMLconformatoprevio">
    <w:name w:val="HTML Preformatted"/>
    <w:basedOn w:val="Normal"/>
    <w:link w:val="HTMLconformatoprevioCar"/>
    <w:semiHidden/>
    <w:rsid w:val="00DB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semiHidden/>
    <w:rsid w:val="00DB7021"/>
    <w:rPr>
      <w:rFonts w:ascii="Arial Unicode MS" w:eastAsia="Arial Unicode MS" w:hAnsi="Arial Unicode MS" w:cs="Arial Unicode MS"/>
      <w:lang w:val="es-ES" w:eastAsia="es-ES"/>
    </w:rPr>
  </w:style>
  <w:style w:type="paragraph" w:styleId="Sangranormal">
    <w:name w:val="Normal Indent"/>
    <w:basedOn w:val="Normal"/>
    <w:semiHidden/>
    <w:rsid w:val="00DB7021"/>
    <w:pPr>
      <w:overflowPunct w:val="0"/>
      <w:autoSpaceDE w:val="0"/>
      <w:autoSpaceDN w:val="0"/>
      <w:adjustRightInd w:val="0"/>
      <w:spacing w:before="120" w:after="120"/>
      <w:ind w:left="461"/>
      <w:jc w:val="left"/>
      <w:textAlignment w:val="baseline"/>
    </w:pPr>
    <w:rPr>
      <w:rFonts w:ascii="Arial" w:hAnsi="Arial"/>
      <w:szCs w:val="20"/>
      <w:lang w:val="es-ES_tradnl"/>
    </w:rPr>
  </w:style>
  <w:style w:type="paragraph" w:customStyle="1" w:styleId="CAPTULO">
    <w:name w:val="CAPÍTULO"/>
    <w:basedOn w:val="Ttulo1"/>
    <w:next w:val="Normal"/>
    <w:qFormat/>
    <w:rsid w:val="00DB7021"/>
    <w:pPr>
      <w:numPr>
        <w:numId w:val="0"/>
      </w:numPr>
      <w:ind w:left="432" w:hanging="432"/>
    </w:pPr>
    <w:rPr>
      <w:caps w:val="0"/>
      <w:spacing w:val="4"/>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4696">
      <w:bodyDiv w:val="1"/>
      <w:marLeft w:val="0"/>
      <w:marRight w:val="0"/>
      <w:marTop w:val="0"/>
      <w:marBottom w:val="0"/>
      <w:divBdr>
        <w:top w:val="none" w:sz="0" w:space="0" w:color="auto"/>
        <w:left w:val="none" w:sz="0" w:space="0" w:color="auto"/>
        <w:bottom w:val="none" w:sz="0" w:space="0" w:color="auto"/>
        <w:right w:val="none" w:sz="0" w:space="0" w:color="auto"/>
      </w:divBdr>
    </w:div>
    <w:div w:id="62917018">
      <w:bodyDiv w:val="1"/>
      <w:marLeft w:val="0"/>
      <w:marRight w:val="0"/>
      <w:marTop w:val="0"/>
      <w:marBottom w:val="0"/>
      <w:divBdr>
        <w:top w:val="none" w:sz="0" w:space="0" w:color="auto"/>
        <w:left w:val="none" w:sz="0" w:space="0" w:color="auto"/>
        <w:bottom w:val="none" w:sz="0" w:space="0" w:color="auto"/>
        <w:right w:val="none" w:sz="0" w:space="0" w:color="auto"/>
      </w:divBdr>
    </w:div>
    <w:div w:id="156581274">
      <w:bodyDiv w:val="1"/>
      <w:marLeft w:val="0"/>
      <w:marRight w:val="0"/>
      <w:marTop w:val="0"/>
      <w:marBottom w:val="0"/>
      <w:divBdr>
        <w:top w:val="none" w:sz="0" w:space="0" w:color="auto"/>
        <w:left w:val="none" w:sz="0" w:space="0" w:color="auto"/>
        <w:bottom w:val="none" w:sz="0" w:space="0" w:color="auto"/>
        <w:right w:val="none" w:sz="0" w:space="0" w:color="auto"/>
      </w:divBdr>
    </w:div>
    <w:div w:id="242187712">
      <w:bodyDiv w:val="1"/>
      <w:marLeft w:val="0"/>
      <w:marRight w:val="0"/>
      <w:marTop w:val="0"/>
      <w:marBottom w:val="0"/>
      <w:divBdr>
        <w:top w:val="none" w:sz="0" w:space="0" w:color="auto"/>
        <w:left w:val="none" w:sz="0" w:space="0" w:color="auto"/>
        <w:bottom w:val="none" w:sz="0" w:space="0" w:color="auto"/>
        <w:right w:val="none" w:sz="0" w:space="0" w:color="auto"/>
      </w:divBdr>
    </w:div>
    <w:div w:id="247883796">
      <w:bodyDiv w:val="1"/>
      <w:marLeft w:val="0"/>
      <w:marRight w:val="0"/>
      <w:marTop w:val="0"/>
      <w:marBottom w:val="0"/>
      <w:divBdr>
        <w:top w:val="none" w:sz="0" w:space="0" w:color="auto"/>
        <w:left w:val="none" w:sz="0" w:space="0" w:color="auto"/>
        <w:bottom w:val="none" w:sz="0" w:space="0" w:color="auto"/>
        <w:right w:val="none" w:sz="0" w:space="0" w:color="auto"/>
      </w:divBdr>
    </w:div>
    <w:div w:id="322706355">
      <w:bodyDiv w:val="1"/>
      <w:marLeft w:val="0"/>
      <w:marRight w:val="0"/>
      <w:marTop w:val="0"/>
      <w:marBottom w:val="0"/>
      <w:divBdr>
        <w:top w:val="none" w:sz="0" w:space="0" w:color="auto"/>
        <w:left w:val="none" w:sz="0" w:space="0" w:color="auto"/>
        <w:bottom w:val="none" w:sz="0" w:space="0" w:color="auto"/>
        <w:right w:val="none" w:sz="0" w:space="0" w:color="auto"/>
      </w:divBdr>
    </w:div>
    <w:div w:id="367074273">
      <w:bodyDiv w:val="1"/>
      <w:marLeft w:val="0"/>
      <w:marRight w:val="0"/>
      <w:marTop w:val="0"/>
      <w:marBottom w:val="0"/>
      <w:divBdr>
        <w:top w:val="none" w:sz="0" w:space="0" w:color="auto"/>
        <w:left w:val="none" w:sz="0" w:space="0" w:color="auto"/>
        <w:bottom w:val="none" w:sz="0" w:space="0" w:color="auto"/>
        <w:right w:val="none" w:sz="0" w:space="0" w:color="auto"/>
      </w:divBdr>
    </w:div>
    <w:div w:id="410396238">
      <w:bodyDiv w:val="1"/>
      <w:marLeft w:val="0"/>
      <w:marRight w:val="0"/>
      <w:marTop w:val="0"/>
      <w:marBottom w:val="0"/>
      <w:divBdr>
        <w:top w:val="none" w:sz="0" w:space="0" w:color="auto"/>
        <w:left w:val="none" w:sz="0" w:space="0" w:color="auto"/>
        <w:bottom w:val="none" w:sz="0" w:space="0" w:color="auto"/>
        <w:right w:val="none" w:sz="0" w:space="0" w:color="auto"/>
      </w:divBdr>
    </w:div>
    <w:div w:id="415980442">
      <w:bodyDiv w:val="1"/>
      <w:marLeft w:val="0"/>
      <w:marRight w:val="0"/>
      <w:marTop w:val="0"/>
      <w:marBottom w:val="0"/>
      <w:divBdr>
        <w:top w:val="none" w:sz="0" w:space="0" w:color="auto"/>
        <w:left w:val="none" w:sz="0" w:space="0" w:color="auto"/>
        <w:bottom w:val="none" w:sz="0" w:space="0" w:color="auto"/>
        <w:right w:val="none" w:sz="0" w:space="0" w:color="auto"/>
      </w:divBdr>
    </w:div>
    <w:div w:id="445347142">
      <w:bodyDiv w:val="1"/>
      <w:marLeft w:val="0"/>
      <w:marRight w:val="0"/>
      <w:marTop w:val="0"/>
      <w:marBottom w:val="0"/>
      <w:divBdr>
        <w:top w:val="none" w:sz="0" w:space="0" w:color="auto"/>
        <w:left w:val="none" w:sz="0" w:space="0" w:color="auto"/>
        <w:bottom w:val="none" w:sz="0" w:space="0" w:color="auto"/>
        <w:right w:val="none" w:sz="0" w:space="0" w:color="auto"/>
      </w:divBdr>
    </w:div>
    <w:div w:id="454755050">
      <w:bodyDiv w:val="1"/>
      <w:marLeft w:val="0"/>
      <w:marRight w:val="0"/>
      <w:marTop w:val="0"/>
      <w:marBottom w:val="0"/>
      <w:divBdr>
        <w:top w:val="none" w:sz="0" w:space="0" w:color="auto"/>
        <w:left w:val="none" w:sz="0" w:space="0" w:color="auto"/>
        <w:bottom w:val="none" w:sz="0" w:space="0" w:color="auto"/>
        <w:right w:val="none" w:sz="0" w:space="0" w:color="auto"/>
      </w:divBdr>
    </w:div>
    <w:div w:id="534465740">
      <w:bodyDiv w:val="1"/>
      <w:marLeft w:val="0"/>
      <w:marRight w:val="0"/>
      <w:marTop w:val="0"/>
      <w:marBottom w:val="0"/>
      <w:divBdr>
        <w:top w:val="none" w:sz="0" w:space="0" w:color="auto"/>
        <w:left w:val="none" w:sz="0" w:space="0" w:color="auto"/>
        <w:bottom w:val="none" w:sz="0" w:space="0" w:color="auto"/>
        <w:right w:val="none" w:sz="0" w:space="0" w:color="auto"/>
      </w:divBdr>
    </w:div>
    <w:div w:id="587928292">
      <w:bodyDiv w:val="1"/>
      <w:marLeft w:val="0"/>
      <w:marRight w:val="0"/>
      <w:marTop w:val="0"/>
      <w:marBottom w:val="0"/>
      <w:divBdr>
        <w:top w:val="none" w:sz="0" w:space="0" w:color="auto"/>
        <w:left w:val="none" w:sz="0" w:space="0" w:color="auto"/>
        <w:bottom w:val="none" w:sz="0" w:space="0" w:color="auto"/>
        <w:right w:val="none" w:sz="0" w:space="0" w:color="auto"/>
      </w:divBdr>
    </w:div>
    <w:div w:id="618537843">
      <w:bodyDiv w:val="1"/>
      <w:marLeft w:val="0"/>
      <w:marRight w:val="0"/>
      <w:marTop w:val="0"/>
      <w:marBottom w:val="0"/>
      <w:divBdr>
        <w:top w:val="none" w:sz="0" w:space="0" w:color="auto"/>
        <w:left w:val="none" w:sz="0" w:space="0" w:color="auto"/>
        <w:bottom w:val="none" w:sz="0" w:space="0" w:color="auto"/>
        <w:right w:val="none" w:sz="0" w:space="0" w:color="auto"/>
      </w:divBdr>
    </w:div>
    <w:div w:id="657273466">
      <w:bodyDiv w:val="1"/>
      <w:marLeft w:val="0"/>
      <w:marRight w:val="0"/>
      <w:marTop w:val="0"/>
      <w:marBottom w:val="0"/>
      <w:divBdr>
        <w:top w:val="none" w:sz="0" w:space="0" w:color="auto"/>
        <w:left w:val="none" w:sz="0" w:space="0" w:color="auto"/>
        <w:bottom w:val="none" w:sz="0" w:space="0" w:color="auto"/>
        <w:right w:val="none" w:sz="0" w:space="0" w:color="auto"/>
      </w:divBdr>
    </w:div>
    <w:div w:id="683826192">
      <w:bodyDiv w:val="1"/>
      <w:marLeft w:val="0"/>
      <w:marRight w:val="0"/>
      <w:marTop w:val="0"/>
      <w:marBottom w:val="0"/>
      <w:divBdr>
        <w:top w:val="none" w:sz="0" w:space="0" w:color="auto"/>
        <w:left w:val="none" w:sz="0" w:space="0" w:color="auto"/>
        <w:bottom w:val="none" w:sz="0" w:space="0" w:color="auto"/>
        <w:right w:val="none" w:sz="0" w:space="0" w:color="auto"/>
      </w:divBdr>
    </w:div>
    <w:div w:id="734086988">
      <w:bodyDiv w:val="1"/>
      <w:marLeft w:val="0"/>
      <w:marRight w:val="0"/>
      <w:marTop w:val="0"/>
      <w:marBottom w:val="0"/>
      <w:divBdr>
        <w:top w:val="none" w:sz="0" w:space="0" w:color="auto"/>
        <w:left w:val="none" w:sz="0" w:space="0" w:color="auto"/>
        <w:bottom w:val="none" w:sz="0" w:space="0" w:color="auto"/>
        <w:right w:val="none" w:sz="0" w:space="0" w:color="auto"/>
      </w:divBdr>
    </w:div>
    <w:div w:id="765611422">
      <w:bodyDiv w:val="1"/>
      <w:marLeft w:val="0"/>
      <w:marRight w:val="0"/>
      <w:marTop w:val="0"/>
      <w:marBottom w:val="0"/>
      <w:divBdr>
        <w:top w:val="none" w:sz="0" w:space="0" w:color="auto"/>
        <w:left w:val="none" w:sz="0" w:space="0" w:color="auto"/>
        <w:bottom w:val="none" w:sz="0" w:space="0" w:color="auto"/>
        <w:right w:val="none" w:sz="0" w:space="0" w:color="auto"/>
      </w:divBdr>
    </w:div>
    <w:div w:id="895238213">
      <w:bodyDiv w:val="1"/>
      <w:marLeft w:val="0"/>
      <w:marRight w:val="0"/>
      <w:marTop w:val="0"/>
      <w:marBottom w:val="0"/>
      <w:divBdr>
        <w:top w:val="none" w:sz="0" w:space="0" w:color="auto"/>
        <w:left w:val="none" w:sz="0" w:space="0" w:color="auto"/>
        <w:bottom w:val="none" w:sz="0" w:space="0" w:color="auto"/>
        <w:right w:val="none" w:sz="0" w:space="0" w:color="auto"/>
      </w:divBdr>
    </w:div>
    <w:div w:id="938179336">
      <w:bodyDiv w:val="1"/>
      <w:marLeft w:val="0"/>
      <w:marRight w:val="0"/>
      <w:marTop w:val="0"/>
      <w:marBottom w:val="0"/>
      <w:divBdr>
        <w:top w:val="none" w:sz="0" w:space="0" w:color="auto"/>
        <w:left w:val="none" w:sz="0" w:space="0" w:color="auto"/>
        <w:bottom w:val="none" w:sz="0" w:space="0" w:color="auto"/>
        <w:right w:val="none" w:sz="0" w:space="0" w:color="auto"/>
      </w:divBdr>
    </w:div>
    <w:div w:id="950236361">
      <w:bodyDiv w:val="1"/>
      <w:marLeft w:val="0"/>
      <w:marRight w:val="0"/>
      <w:marTop w:val="0"/>
      <w:marBottom w:val="0"/>
      <w:divBdr>
        <w:top w:val="none" w:sz="0" w:space="0" w:color="auto"/>
        <w:left w:val="none" w:sz="0" w:space="0" w:color="auto"/>
        <w:bottom w:val="none" w:sz="0" w:space="0" w:color="auto"/>
        <w:right w:val="none" w:sz="0" w:space="0" w:color="auto"/>
      </w:divBdr>
    </w:div>
    <w:div w:id="1101608820">
      <w:bodyDiv w:val="1"/>
      <w:marLeft w:val="0"/>
      <w:marRight w:val="0"/>
      <w:marTop w:val="0"/>
      <w:marBottom w:val="0"/>
      <w:divBdr>
        <w:top w:val="none" w:sz="0" w:space="0" w:color="auto"/>
        <w:left w:val="none" w:sz="0" w:space="0" w:color="auto"/>
        <w:bottom w:val="none" w:sz="0" w:space="0" w:color="auto"/>
        <w:right w:val="none" w:sz="0" w:space="0" w:color="auto"/>
      </w:divBdr>
    </w:div>
    <w:div w:id="1144591193">
      <w:bodyDiv w:val="1"/>
      <w:marLeft w:val="0"/>
      <w:marRight w:val="0"/>
      <w:marTop w:val="0"/>
      <w:marBottom w:val="0"/>
      <w:divBdr>
        <w:top w:val="none" w:sz="0" w:space="0" w:color="auto"/>
        <w:left w:val="none" w:sz="0" w:space="0" w:color="auto"/>
        <w:bottom w:val="none" w:sz="0" w:space="0" w:color="auto"/>
        <w:right w:val="none" w:sz="0" w:space="0" w:color="auto"/>
      </w:divBdr>
    </w:div>
    <w:div w:id="1149323754">
      <w:bodyDiv w:val="1"/>
      <w:marLeft w:val="0"/>
      <w:marRight w:val="0"/>
      <w:marTop w:val="0"/>
      <w:marBottom w:val="0"/>
      <w:divBdr>
        <w:top w:val="none" w:sz="0" w:space="0" w:color="auto"/>
        <w:left w:val="none" w:sz="0" w:space="0" w:color="auto"/>
        <w:bottom w:val="none" w:sz="0" w:space="0" w:color="auto"/>
        <w:right w:val="none" w:sz="0" w:space="0" w:color="auto"/>
      </w:divBdr>
    </w:div>
    <w:div w:id="1158809302">
      <w:bodyDiv w:val="1"/>
      <w:marLeft w:val="0"/>
      <w:marRight w:val="0"/>
      <w:marTop w:val="0"/>
      <w:marBottom w:val="0"/>
      <w:divBdr>
        <w:top w:val="none" w:sz="0" w:space="0" w:color="auto"/>
        <w:left w:val="none" w:sz="0" w:space="0" w:color="auto"/>
        <w:bottom w:val="none" w:sz="0" w:space="0" w:color="auto"/>
        <w:right w:val="none" w:sz="0" w:space="0" w:color="auto"/>
      </w:divBdr>
    </w:div>
    <w:div w:id="1247962128">
      <w:bodyDiv w:val="1"/>
      <w:marLeft w:val="0"/>
      <w:marRight w:val="0"/>
      <w:marTop w:val="0"/>
      <w:marBottom w:val="0"/>
      <w:divBdr>
        <w:top w:val="none" w:sz="0" w:space="0" w:color="auto"/>
        <w:left w:val="none" w:sz="0" w:space="0" w:color="auto"/>
        <w:bottom w:val="none" w:sz="0" w:space="0" w:color="auto"/>
        <w:right w:val="none" w:sz="0" w:space="0" w:color="auto"/>
      </w:divBdr>
    </w:div>
    <w:div w:id="1267153318">
      <w:bodyDiv w:val="1"/>
      <w:marLeft w:val="0"/>
      <w:marRight w:val="0"/>
      <w:marTop w:val="0"/>
      <w:marBottom w:val="0"/>
      <w:divBdr>
        <w:top w:val="none" w:sz="0" w:space="0" w:color="auto"/>
        <w:left w:val="none" w:sz="0" w:space="0" w:color="auto"/>
        <w:bottom w:val="none" w:sz="0" w:space="0" w:color="auto"/>
        <w:right w:val="none" w:sz="0" w:space="0" w:color="auto"/>
      </w:divBdr>
    </w:div>
    <w:div w:id="1295405369">
      <w:bodyDiv w:val="1"/>
      <w:marLeft w:val="0"/>
      <w:marRight w:val="0"/>
      <w:marTop w:val="0"/>
      <w:marBottom w:val="0"/>
      <w:divBdr>
        <w:top w:val="none" w:sz="0" w:space="0" w:color="auto"/>
        <w:left w:val="none" w:sz="0" w:space="0" w:color="auto"/>
        <w:bottom w:val="none" w:sz="0" w:space="0" w:color="auto"/>
        <w:right w:val="none" w:sz="0" w:space="0" w:color="auto"/>
      </w:divBdr>
    </w:div>
    <w:div w:id="1313095614">
      <w:bodyDiv w:val="1"/>
      <w:marLeft w:val="0"/>
      <w:marRight w:val="0"/>
      <w:marTop w:val="0"/>
      <w:marBottom w:val="0"/>
      <w:divBdr>
        <w:top w:val="none" w:sz="0" w:space="0" w:color="auto"/>
        <w:left w:val="none" w:sz="0" w:space="0" w:color="auto"/>
        <w:bottom w:val="none" w:sz="0" w:space="0" w:color="auto"/>
        <w:right w:val="none" w:sz="0" w:space="0" w:color="auto"/>
      </w:divBdr>
    </w:div>
    <w:div w:id="1342388195">
      <w:bodyDiv w:val="1"/>
      <w:marLeft w:val="0"/>
      <w:marRight w:val="0"/>
      <w:marTop w:val="0"/>
      <w:marBottom w:val="0"/>
      <w:divBdr>
        <w:top w:val="none" w:sz="0" w:space="0" w:color="auto"/>
        <w:left w:val="none" w:sz="0" w:space="0" w:color="auto"/>
        <w:bottom w:val="none" w:sz="0" w:space="0" w:color="auto"/>
        <w:right w:val="none" w:sz="0" w:space="0" w:color="auto"/>
      </w:divBdr>
    </w:div>
    <w:div w:id="1401054214">
      <w:bodyDiv w:val="1"/>
      <w:marLeft w:val="0"/>
      <w:marRight w:val="0"/>
      <w:marTop w:val="0"/>
      <w:marBottom w:val="0"/>
      <w:divBdr>
        <w:top w:val="none" w:sz="0" w:space="0" w:color="auto"/>
        <w:left w:val="none" w:sz="0" w:space="0" w:color="auto"/>
        <w:bottom w:val="none" w:sz="0" w:space="0" w:color="auto"/>
        <w:right w:val="none" w:sz="0" w:space="0" w:color="auto"/>
      </w:divBdr>
    </w:div>
    <w:div w:id="1411854714">
      <w:bodyDiv w:val="1"/>
      <w:marLeft w:val="0"/>
      <w:marRight w:val="0"/>
      <w:marTop w:val="0"/>
      <w:marBottom w:val="0"/>
      <w:divBdr>
        <w:top w:val="none" w:sz="0" w:space="0" w:color="auto"/>
        <w:left w:val="none" w:sz="0" w:space="0" w:color="auto"/>
        <w:bottom w:val="none" w:sz="0" w:space="0" w:color="auto"/>
        <w:right w:val="none" w:sz="0" w:space="0" w:color="auto"/>
      </w:divBdr>
    </w:div>
    <w:div w:id="1528982782">
      <w:bodyDiv w:val="1"/>
      <w:marLeft w:val="0"/>
      <w:marRight w:val="0"/>
      <w:marTop w:val="0"/>
      <w:marBottom w:val="0"/>
      <w:divBdr>
        <w:top w:val="none" w:sz="0" w:space="0" w:color="auto"/>
        <w:left w:val="none" w:sz="0" w:space="0" w:color="auto"/>
        <w:bottom w:val="none" w:sz="0" w:space="0" w:color="auto"/>
        <w:right w:val="none" w:sz="0" w:space="0" w:color="auto"/>
      </w:divBdr>
    </w:div>
    <w:div w:id="1531993496">
      <w:bodyDiv w:val="1"/>
      <w:marLeft w:val="0"/>
      <w:marRight w:val="0"/>
      <w:marTop w:val="0"/>
      <w:marBottom w:val="0"/>
      <w:divBdr>
        <w:top w:val="none" w:sz="0" w:space="0" w:color="auto"/>
        <w:left w:val="none" w:sz="0" w:space="0" w:color="auto"/>
        <w:bottom w:val="none" w:sz="0" w:space="0" w:color="auto"/>
        <w:right w:val="none" w:sz="0" w:space="0" w:color="auto"/>
      </w:divBdr>
    </w:div>
    <w:div w:id="1634824749">
      <w:bodyDiv w:val="1"/>
      <w:marLeft w:val="0"/>
      <w:marRight w:val="0"/>
      <w:marTop w:val="0"/>
      <w:marBottom w:val="0"/>
      <w:divBdr>
        <w:top w:val="none" w:sz="0" w:space="0" w:color="auto"/>
        <w:left w:val="none" w:sz="0" w:space="0" w:color="auto"/>
        <w:bottom w:val="none" w:sz="0" w:space="0" w:color="auto"/>
        <w:right w:val="none" w:sz="0" w:space="0" w:color="auto"/>
      </w:divBdr>
    </w:div>
    <w:div w:id="1652369409">
      <w:bodyDiv w:val="1"/>
      <w:marLeft w:val="0"/>
      <w:marRight w:val="0"/>
      <w:marTop w:val="0"/>
      <w:marBottom w:val="0"/>
      <w:divBdr>
        <w:top w:val="none" w:sz="0" w:space="0" w:color="auto"/>
        <w:left w:val="none" w:sz="0" w:space="0" w:color="auto"/>
        <w:bottom w:val="none" w:sz="0" w:space="0" w:color="auto"/>
        <w:right w:val="none" w:sz="0" w:space="0" w:color="auto"/>
      </w:divBdr>
    </w:div>
    <w:div w:id="1657680480">
      <w:bodyDiv w:val="1"/>
      <w:marLeft w:val="0"/>
      <w:marRight w:val="0"/>
      <w:marTop w:val="0"/>
      <w:marBottom w:val="0"/>
      <w:divBdr>
        <w:top w:val="none" w:sz="0" w:space="0" w:color="auto"/>
        <w:left w:val="none" w:sz="0" w:space="0" w:color="auto"/>
        <w:bottom w:val="none" w:sz="0" w:space="0" w:color="auto"/>
        <w:right w:val="none" w:sz="0" w:space="0" w:color="auto"/>
      </w:divBdr>
    </w:div>
    <w:div w:id="1674726452">
      <w:bodyDiv w:val="1"/>
      <w:marLeft w:val="0"/>
      <w:marRight w:val="0"/>
      <w:marTop w:val="0"/>
      <w:marBottom w:val="0"/>
      <w:divBdr>
        <w:top w:val="none" w:sz="0" w:space="0" w:color="auto"/>
        <w:left w:val="none" w:sz="0" w:space="0" w:color="auto"/>
        <w:bottom w:val="none" w:sz="0" w:space="0" w:color="auto"/>
        <w:right w:val="none" w:sz="0" w:space="0" w:color="auto"/>
      </w:divBdr>
    </w:div>
    <w:div w:id="1686442345">
      <w:bodyDiv w:val="1"/>
      <w:marLeft w:val="0"/>
      <w:marRight w:val="0"/>
      <w:marTop w:val="0"/>
      <w:marBottom w:val="0"/>
      <w:divBdr>
        <w:top w:val="none" w:sz="0" w:space="0" w:color="auto"/>
        <w:left w:val="none" w:sz="0" w:space="0" w:color="auto"/>
        <w:bottom w:val="none" w:sz="0" w:space="0" w:color="auto"/>
        <w:right w:val="none" w:sz="0" w:space="0" w:color="auto"/>
      </w:divBdr>
    </w:div>
    <w:div w:id="1802305680">
      <w:bodyDiv w:val="1"/>
      <w:marLeft w:val="0"/>
      <w:marRight w:val="0"/>
      <w:marTop w:val="0"/>
      <w:marBottom w:val="0"/>
      <w:divBdr>
        <w:top w:val="none" w:sz="0" w:space="0" w:color="auto"/>
        <w:left w:val="none" w:sz="0" w:space="0" w:color="auto"/>
        <w:bottom w:val="none" w:sz="0" w:space="0" w:color="auto"/>
        <w:right w:val="none" w:sz="0" w:space="0" w:color="auto"/>
      </w:divBdr>
    </w:div>
    <w:div w:id="1849908953">
      <w:bodyDiv w:val="1"/>
      <w:marLeft w:val="0"/>
      <w:marRight w:val="0"/>
      <w:marTop w:val="0"/>
      <w:marBottom w:val="0"/>
      <w:divBdr>
        <w:top w:val="none" w:sz="0" w:space="0" w:color="auto"/>
        <w:left w:val="none" w:sz="0" w:space="0" w:color="auto"/>
        <w:bottom w:val="none" w:sz="0" w:space="0" w:color="auto"/>
        <w:right w:val="none" w:sz="0" w:space="0" w:color="auto"/>
      </w:divBdr>
    </w:div>
    <w:div w:id="1870946009">
      <w:bodyDiv w:val="1"/>
      <w:marLeft w:val="0"/>
      <w:marRight w:val="0"/>
      <w:marTop w:val="0"/>
      <w:marBottom w:val="0"/>
      <w:divBdr>
        <w:top w:val="none" w:sz="0" w:space="0" w:color="auto"/>
        <w:left w:val="none" w:sz="0" w:space="0" w:color="auto"/>
        <w:bottom w:val="none" w:sz="0" w:space="0" w:color="auto"/>
        <w:right w:val="none" w:sz="0" w:space="0" w:color="auto"/>
      </w:divBdr>
    </w:div>
    <w:div w:id="1935284944">
      <w:bodyDiv w:val="1"/>
      <w:marLeft w:val="0"/>
      <w:marRight w:val="0"/>
      <w:marTop w:val="0"/>
      <w:marBottom w:val="0"/>
      <w:divBdr>
        <w:top w:val="none" w:sz="0" w:space="0" w:color="auto"/>
        <w:left w:val="none" w:sz="0" w:space="0" w:color="auto"/>
        <w:bottom w:val="none" w:sz="0" w:space="0" w:color="auto"/>
        <w:right w:val="none" w:sz="0" w:space="0" w:color="auto"/>
      </w:divBdr>
    </w:div>
    <w:div w:id="1994067765">
      <w:bodyDiv w:val="1"/>
      <w:marLeft w:val="0"/>
      <w:marRight w:val="0"/>
      <w:marTop w:val="0"/>
      <w:marBottom w:val="0"/>
      <w:divBdr>
        <w:top w:val="none" w:sz="0" w:space="0" w:color="auto"/>
        <w:left w:val="none" w:sz="0" w:space="0" w:color="auto"/>
        <w:bottom w:val="none" w:sz="0" w:space="0" w:color="auto"/>
        <w:right w:val="none" w:sz="0" w:space="0" w:color="auto"/>
      </w:divBdr>
    </w:div>
    <w:div w:id="2002542419">
      <w:bodyDiv w:val="1"/>
      <w:marLeft w:val="0"/>
      <w:marRight w:val="0"/>
      <w:marTop w:val="0"/>
      <w:marBottom w:val="0"/>
      <w:divBdr>
        <w:top w:val="none" w:sz="0" w:space="0" w:color="auto"/>
        <w:left w:val="none" w:sz="0" w:space="0" w:color="auto"/>
        <w:bottom w:val="none" w:sz="0" w:space="0" w:color="auto"/>
        <w:right w:val="none" w:sz="0" w:space="0" w:color="auto"/>
      </w:divBdr>
    </w:div>
    <w:div w:id="2071032834">
      <w:bodyDiv w:val="1"/>
      <w:marLeft w:val="0"/>
      <w:marRight w:val="0"/>
      <w:marTop w:val="0"/>
      <w:marBottom w:val="0"/>
      <w:divBdr>
        <w:top w:val="none" w:sz="0" w:space="0" w:color="auto"/>
        <w:left w:val="none" w:sz="0" w:space="0" w:color="auto"/>
        <w:bottom w:val="none" w:sz="0" w:space="0" w:color="auto"/>
        <w:right w:val="none" w:sz="0" w:space="0" w:color="auto"/>
      </w:divBdr>
    </w:div>
    <w:div w:id="2071534195">
      <w:bodyDiv w:val="1"/>
      <w:marLeft w:val="0"/>
      <w:marRight w:val="0"/>
      <w:marTop w:val="0"/>
      <w:marBottom w:val="0"/>
      <w:divBdr>
        <w:top w:val="none" w:sz="0" w:space="0" w:color="auto"/>
        <w:left w:val="none" w:sz="0" w:space="0" w:color="auto"/>
        <w:bottom w:val="none" w:sz="0" w:space="0" w:color="auto"/>
        <w:right w:val="none" w:sz="0" w:space="0" w:color="auto"/>
      </w:divBdr>
    </w:div>
    <w:div w:id="21156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emf"/><Relationship Id="rId28"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header" Target="head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67A52-A38F-4CEA-8CB5-F159D742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25</Pages>
  <Words>33654</Words>
  <Characters>185102</Characters>
  <Application>Microsoft Office Word</Application>
  <DocSecurity>0</DocSecurity>
  <Lines>1542</Lines>
  <Paragraphs>436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218320</CharactersWithSpaces>
  <SharedDoc>false</SharedDoc>
  <HLinks>
    <vt:vector size="300" baseType="variant">
      <vt:variant>
        <vt:i4>1310768</vt:i4>
      </vt:variant>
      <vt:variant>
        <vt:i4>443</vt:i4>
      </vt:variant>
      <vt:variant>
        <vt:i4>0</vt:i4>
      </vt:variant>
      <vt:variant>
        <vt:i4>5</vt:i4>
      </vt:variant>
      <vt:variant>
        <vt:lpwstr/>
      </vt:variant>
      <vt:variant>
        <vt:lpwstr>_Toc310577409</vt:lpwstr>
      </vt:variant>
      <vt:variant>
        <vt:i4>1310768</vt:i4>
      </vt:variant>
      <vt:variant>
        <vt:i4>437</vt:i4>
      </vt:variant>
      <vt:variant>
        <vt:i4>0</vt:i4>
      </vt:variant>
      <vt:variant>
        <vt:i4>5</vt:i4>
      </vt:variant>
      <vt:variant>
        <vt:lpwstr/>
      </vt:variant>
      <vt:variant>
        <vt:lpwstr>_Toc310577408</vt:lpwstr>
      </vt:variant>
      <vt:variant>
        <vt:i4>1310768</vt:i4>
      </vt:variant>
      <vt:variant>
        <vt:i4>431</vt:i4>
      </vt:variant>
      <vt:variant>
        <vt:i4>0</vt:i4>
      </vt:variant>
      <vt:variant>
        <vt:i4>5</vt:i4>
      </vt:variant>
      <vt:variant>
        <vt:lpwstr/>
      </vt:variant>
      <vt:variant>
        <vt:lpwstr>_Toc310577407</vt:lpwstr>
      </vt:variant>
      <vt:variant>
        <vt:i4>1310768</vt:i4>
      </vt:variant>
      <vt:variant>
        <vt:i4>425</vt:i4>
      </vt:variant>
      <vt:variant>
        <vt:i4>0</vt:i4>
      </vt:variant>
      <vt:variant>
        <vt:i4>5</vt:i4>
      </vt:variant>
      <vt:variant>
        <vt:lpwstr/>
      </vt:variant>
      <vt:variant>
        <vt:lpwstr>_Toc310577406</vt:lpwstr>
      </vt:variant>
      <vt:variant>
        <vt:i4>1310768</vt:i4>
      </vt:variant>
      <vt:variant>
        <vt:i4>419</vt:i4>
      </vt:variant>
      <vt:variant>
        <vt:i4>0</vt:i4>
      </vt:variant>
      <vt:variant>
        <vt:i4>5</vt:i4>
      </vt:variant>
      <vt:variant>
        <vt:lpwstr/>
      </vt:variant>
      <vt:variant>
        <vt:lpwstr>_Toc310577405</vt:lpwstr>
      </vt:variant>
      <vt:variant>
        <vt:i4>1310768</vt:i4>
      </vt:variant>
      <vt:variant>
        <vt:i4>413</vt:i4>
      </vt:variant>
      <vt:variant>
        <vt:i4>0</vt:i4>
      </vt:variant>
      <vt:variant>
        <vt:i4>5</vt:i4>
      </vt:variant>
      <vt:variant>
        <vt:lpwstr/>
      </vt:variant>
      <vt:variant>
        <vt:lpwstr>_Toc310577404</vt:lpwstr>
      </vt:variant>
      <vt:variant>
        <vt:i4>1310768</vt:i4>
      </vt:variant>
      <vt:variant>
        <vt:i4>407</vt:i4>
      </vt:variant>
      <vt:variant>
        <vt:i4>0</vt:i4>
      </vt:variant>
      <vt:variant>
        <vt:i4>5</vt:i4>
      </vt:variant>
      <vt:variant>
        <vt:lpwstr/>
      </vt:variant>
      <vt:variant>
        <vt:lpwstr>_Toc310577403</vt:lpwstr>
      </vt:variant>
      <vt:variant>
        <vt:i4>1310768</vt:i4>
      </vt:variant>
      <vt:variant>
        <vt:i4>401</vt:i4>
      </vt:variant>
      <vt:variant>
        <vt:i4>0</vt:i4>
      </vt:variant>
      <vt:variant>
        <vt:i4>5</vt:i4>
      </vt:variant>
      <vt:variant>
        <vt:lpwstr/>
      </vt:variant>
      <vt:variant>
        <vt:lpwstr>_Toc310577402</vt:lpwstr>
      </vt:variant>
      <vt:variant>
        <vt:i4>1310768</vt:i4>
      </vt:variant>
      <vt:variant>
        <vt:i4>395</vt:i4>
      </vt:variant>
      <vt:variant>
        <vt:i4>0</vt:i4>
      </vt:variant>
      <vt:variant>
        <vt:i4>5</vt:i4>
      </vt:variant>
      <vt:variant>
        <vt:lpwstr/>
      </vt:variant>
      <vt:variant>
        <vt:lpwstr>_Toc310577401</vt:lpwstr>
      </vt:variant>
      <vt:variant>
        <vt:i4>1310768</vt:i4>
      </vt:variant>
      <vt:variant>
        <vt:i4>389</vt:i4>
      </vt:variant>
      <vt:variant>
        <vt:i4>0</vt:i4>
      </vt:variant>
      <vt:variant>
        <vt:i4>5</vt:i4>
      </vt:variant>
      <vt:variant>
        <vt:lpwstr/>
      </vt:variant>
      <vt:variant>
        <vt:lpwstr>_Toc310577400</vt:lpwstr>
      </vt:variant>
      <vt:variant>
        <vt:i4>1900599</vt:i4>
      </vt:variant>
      <vt:variant>
        <vt:i4>383</vt:i4>
      </vt:variant>
      <vt:variant>
        <vt:i4>0</vt:i4>
      </vt:variant>
      <vt:variant>
        <vt:i4>5</vt:i4>
      </vt:variant>
      <vt:variant>
        <vt:lpwstr/>
      </vt:variant>
      <vt:variant>
        <vt:lpwstr>_Toc310577399</vt:lpwstr>
      </vt:variant>
      <vt:variant>
        <vt:i4>1900599</vt:i4>
      </vt:variant>
      <vt:variant>
        <vt:i4>377</vt:i4>
      </vt:variant>
      <vt:variant>
        <vt:i4>0</vt:i4>
      </vt:variant>
      <vt:variant>
        <vt:i4>5</vt:i4>
      </vt:variant>
      <vt:variant>
        <vt:lpwstr/>
      </vt:variant>
      <vt:variant>
        <vt:lpwstr>_Toc310577398</vt:lpwstr>
      </vt:variant>
      <vt:variant>
        <vt:i4>1900599</vt:i4>
      </vt:variant>
      <vt:variant>
        <vt:i4>371</vt:i4>
      </vt:variant>
      <vt:variant>
        <vt:i4>0</vt:i4>
      </vt:variant>
      <vt:variant>
        <vt:i4>5</vt:i4>
      </vt:variant>
      <vt:variant>
        <vt:lpwstr/>
      </vt:variant>
      <vt:variant>
        <vt:lpwstr>_Toc310577397</vt:lpwstr>
      </vt:variant>
      <vt:variant>
        <vt:i4>1900599</vt:i4>
      </vt:variant>
      <vt:variant>
        <vt:i4>365</vt:i4>
      </vt:variant>
      <vt:variant>
        <vt:i4>0</vt:i4>
      </vt:variant>
      <vt:variant>
        <vt:i4>5</vt:i4>
      </vt:variant>
      <vt:variant>
        <vt:lpwstr/>
      </vt:variant>
      <vt:variant>
        <vt:lpwstr>_Toc310577396</vt:lpwstr>
      </vt:variant>
      <vt:variant>
        <vt:i4>1900599</vt:i4>
      </vt:variant>
      <vt:variant>
        <vt:i4>359</vt:i4>
      </vt:variant>
      <vt:variant>
        <vt:i4>0</vt:i4>
      </vt:variant>
      <vt:variant>
        <vt:i4>5</vt:i4>
      </vt:variant>
      <vt:variant>
        <vt:lpwstr/>
      </vt:variant>
      <vt:variant>
        <vt:lpwstr>_Toc310577395</vt:lpwstr>
      </vt:variant>
      <vt:variant>
        <vt:i4>1900599</vt:i4>
      </vt:variant>
      <vt:variant>
        <vt:i4>353</vt:i4>
      </vt:variant>
      <vt:variant>
        <vt:i4>0</vt:i4>
      </vt:variant>
      <vt:variant>
        <vt:i4>5</vt:i4>
      </vt:variant>
      <vt:variant>
        <vt:lpwstr/>
      </vt:variant>
      <vt:variant>
        <vt:lpwstr>_Toc310577394</vt:lpwstr>
      </vt:variant>
      <vt:variant>
        <vt:i4>1900599</vt:i4>
      </vt:variant>
      <vt:variant>
        <vt:i4>347</vt:i4>
      </vt:variant>
      <vt:variant>
        <vt:i4>0</vt:i4>
      </vt:variant>
      <vt:variant>
        <vt:i4>5</vt:i4>
      </vt:variant>
      <vt:variant>
        <vt:lpwstr/>
      </vt:variant>
      <vt:variant>
        <vt:lpwstr>_Toc310577393</vt:lpwstr>
      </vt:variant>
      <vt:variant>
        <vt:i4>1900599</vt:i4>
      </vt:variant>
      <vt:variant>
        <vt:i4>341</vt:i4>
      </vt:variant>
      <vt:variant>
        <vt:i4>0</vt:i4>
      </vt:variant>
      <vt:variant>
        <vt:i4>5</vt:i4>
      </vt:variant>
      <vt:variant>
        <vt:lpwstr/>
      </vt:variant>
      <vt:variant>
        <vt:lpwstr>_Toc310577392</vt:lpwstr>
      </vt:variant>
      <vt:variant>
        <vt:i4>1900599</vt:i4>
      </vt:variant>
      <vt:variant>
        <vt:i4>335</vt:i4>
      </vt:variant>
      <vt:variant>
        <vt:i4>0</vt:i4>
      </vt:variant>
      <vt:variant>
        <vt:i4>5</vt:i4>
      </vt:variant>
      <vt:variant>
        <vt:lpwstr/>
      </vt:variant>
      <vt:variant>
        <vt:lpwstr>_Toc310577391</vt:lpwstr>
      </vt:variant>
      <vt:variant>
        <vt:i4>1900599</vt:i4>
      </vt:variant>
      <vt:variant>
        <vt:i4>329</vt:i4>
      </vt:variant>
      <vt:variant>
        <vt:i4>0</vt:i4>
      </vt:variant>
      <vt:variant>
        <vt:i4>5</vt:i4>
      </vt:variant>
      <vt:variant>
        <vt:lpwstr/>
      </vt:variant>
      <vt:variant>
        <vt:lpwstr>_Toc310577390</vt:lpwstr>
      </vt:variant>
      <vt:variant>
        <vt:i4>1835063</vt:i4>
      </vt:variant>
      <vt:variant>
        <vt:i4>323</vt:i4>
      </vt:variant>
      <vt:variant>
        <vt:i4>0</vt:i4>
      </vt:variant>
      <vt:variant>
        <vt:i4>5</vt:i4>
      </vt:variant>
      <vt:variant>
        <vt:lpwstr/>
      </vt:variant>
      <vt:variant>
        <vt:lpwstr>_Toc310577389</vt:lpwstr>
      </vt:variant>
      <vt:variant>
        <vt:i4>1835063</vt:i4>
      </vt:variant>
      <vt:variant>
        <vt:i4>317</vt:i4>
      </vt:variant>
      <vt:variant>
        <vt:i4>0</vt:i4>
      </vt:variant>
      <vt:variant>
        <vt:i4>5</vt:i4>
      </vt:variant>
      <vt:variant>
        <vt:lpwstr/>
      </vt:variant>
      <vt:variant>
        <vt:lpwstr>_Toc310577388</vt:lpwstr>
      </vt:variant>
      <vt:variant>
        <vt:i4>1835063</vt:i4>
      </vt:variant>
      <vt:variant>
        <vt:i4>311</vt:i4>
      </vt:variant>
      <vt:variant>
        <vt:i4>0</vt:i4>
      </vt:variant>
      <vt:variant>
        <vt:i4>5</vt:i4>
      </vt:variant>
      <vt:variant>
        <vt:lpwstr/>
      </vt:variant>
      <vt:variant>
        <vt:lpwstr>_Toc310577387</vt:lpwstr>
      </vt:variant>
      <vt:variant>
        <vt:i4>1835063</vt:i4>
      </vt:variant>
      <vt:variant>
        <vt:i4>305</vt:i4>
      </vt:variant>
      <vt:variant>
        <vt:i4>0</vt:i4>
      </vt:variant>
      <vt:variant>
        <vt:i4>5</vt:i4>
      </vt:variant>
      <vt:variant>
        <vt:lpwstr/>
      </vt:variant>
      <vt:variant>
        <vt:lpwstr>_Toc310577386</vt:lpwstr>
      </vt:variant>
      <vt:variant>
        <vt:i4>1835063</vt:i4>
      </vt:variant>
      <vt:variant>
        <vt:i4>299</vt:i4>
      </vt:variant>
      <vt:variant>
        <vt:i4>0</vt:i4>
      </vt:variant>
      <vt:variant>
        <vt:i4>5</vt:i4>
      </vt:variant>
      <vt:variant>
        <vt:lpwstr/>
      </vt:variant>
      <vt:variant>
        <vt:lpwstr>_Toc310577385</vt:lpwstr>
      </vt:variant>
      <vt:variant>
        <vt:i4>1835063</vt:i4>
      </vt:variant>
      <vt:variant>
        <vt:i4>293</vt:i4>
      </vt:variant>
      <vt:variant>
        <vt:i4>0</vt:i4>
      </vt:variant>
      <vt:variant>
        <vt:i4>5</vt:i4>
      </vt:variant>
      <vt:variant>
        <vt:lpwstr/>
      </vt:variant>
      <vt:variant>
        <vt:lpwstr>_Toc310577384</vt:lpwstr>
      </vt:variant>
      <vt:variant>
        <vt:i4>1835063</vt:i4>
      </vt:variant>
      <vt:variant>
        <vt:i4>287</vt:i4>
      </vt:variant>
      <vt:variant>
        <vt:i4>0</vt:i4>
      </vt:variant>
      <vt:variant>
        <vt:i4>5</vt:i4>
      </vt:variant>
      <vt:variant>
        <vt:lpwstr/>
      </vt:variant>
      <vt:variant>
        <vt:lpwstr>_Toc310577383</vt:lpwstr>
      </vt:variant>
      <vt:variant>
        <vt:i4>1835063</vt:i4>
      </vt:variant>
      <vt:variant>
        <vt:i4>281</vt:i4>
      </vt:variant>
      <vt:variant>
        <vt:i4>0</vt:i4>
      </vt:variant>
      <vt:variant>
        <vt:i4>5</vt:i4>
      </vt:variant>
      <vt:variant>
        <vt:lpwstr/>
      </vt:variant>
      <vt:variant>
        <vt:lpwstr>_Toc310577382</vt:lpwstr>
      </vt:variant>
      <vt:variant>
        <vt:i4>1835063</vt:i4>
      </vt:variant>
      <vt:variant>
        <vt:i4>275</vt:i4>
      </vt:variant>
      <vt:variant>
        <vt:i4>0</vt:i4>
      </vt:variant>
      <vt:variant>
        <vt:i4>5</vt:i4>
      </vt:variant>
      <vt:variant>
        <vt:lpwstr/>
      </vt:variant>
      <vt:variant>
        <vt:lpwstr>_Toc310577381</vt:lpwstr>
      </vt:variant>
      <vt:variant>
        <vt:i4>1835063</vt:i4>
      </vt:variant>
      <vt:variant>
        <vt:i4>269</vt:i4>
      </vt:variant>
      <vt:variant>
        <vt:i4>0</vt:i4>
      </vt:variant>
      <vt:variant>
        <vt:i4>5</vt:i4>
      </vt:variant>
      <vt:variant>
        <vt:lpwstr/>
      </vt:variant>
      <vt:variant>
        <vt:lpwstr>_Toc310577380</vt:lpwstr>
      </vt:variant>
      <vt:variant>
        <vt:i4>1245239</vt:i4>
      </vt:variant>
      <vt:variant>
        <vt:i4>263</vt:i4>
      </vt:variant>
      <vt:variant>
        <vt:i4>0</vt:i4>
      </vt:variant>
      <vt:variant>
        <vt:i4>5</vt:i4>
      </vt:variant>
      <vt:variant>
        <vt:lpwstr/>
      </vt:variant>
      <vt:variant>
        <vt:lpwstr>_Toc310577379</vt:lpwstr>
      </vt:variant>
      <vt:variant>
        <vt:i4>1245239</vt:i4>
      </vt:variant>
      <vt:variant>
        <vt:i4>257</vt:i4>
      </vt:variant>
      <vt:variant>
        <vt:i4>0</vt:i4>
      </vt:variant>
      <vt:variant>
        <vt:i4>5</vt:i4>
      </vt:variant>
      <vt:variant>
        <vt:lpwstr/>
      </vt:variant>
      <vt:variant>
        <vt:lpwstr>_Toc310577378</vt:lpwstr>
      </vt:variant>
      <vt:variant>
        <vt:i4>1245239</vt:i4>
      </vt:variant>
      <vt:variant>
        <vt:i4>251</vt:i4>
      </vt:variant>
      <vt:variant>
        <vt:i4>0</vt:i4>
      </vt:variant>
      <vt:variant>
        <vt:i4>5</vt:i4>
      </vt:variant>
      <vt:variant>
        <vt:lpwstr/>
      </vt:variant>
      <vt:variant>
        <vt:lpwstr>_Toc310577377</vt:lpwstr>
      </vt:variant>
      <vt:variant>
        <vt:i4>1245239</vt:i4>
      </vt:variant>
      <vt:variant>
        <vt:i4>245</vt:i4>
      </vt:variant>
      <vt:variant>
        <vt:i4>0</vt:i4>
      </vt:variant>
      <vt:variant>
        <vt:i4>5</vt:i4>
      </vt:variant>
      <vt:variant>
        <vt:lpwstr/>
      </vt:variant>
      <vt:variant>
        <vt:lpwstr>_Toc310577376</vt:lpwstr>
      </vt:variant>
      <vt:variant>
        <vt:i4>1245239</vt:i4>
      </vt:variant>
      <vt:variant>
        <vt:i4>239</vt:i4>
      </vt:variant>
      <vt:variant>
        <vt:i4>0</vt:i4>
      </vt:variant>
      <vt:variant>
        <vt:i4>5</vt:i4>
      </vt:variant>
      <vt:variant>
        <vt:lpwstr/>
      </vt:variant>
      <vt:variant>
        <vt:lpwstr>_Toc310577375</vt:lpwstr>
      </vt:variant>
      <vt:variant>
        <vt:i4>1245239</vt:i4>
      </vt:variant>
      <vt:variant>
        <vt:i4>233</vt:i4>
      </vt:variant>
      <vt:variant>
        <vt:i4>0</vt:i4>
      </vt:variant>
      <vt:variant>
        <vt:i4>5</vt:i4>
      </vt:variant>
      <vt:variant>
        <vt:lpwstr/>
      </vt:variant>
      <vt:variant>
        <vt:lpwstr>_Toc310577374</vt:lpwstr>
      </vt:variant>
      <vt:variant>
        <vt:i4>1245239</vt:i4>
      </vt:variant>
      <vt:variant>
        <vt:i4>227</vt:i4>
      </vt:variant>
      <vt:variant>
        <vt:i4>0</vt:i4>
      </vt:variant>
      <vt:variant>
        <vt:i4>5</vt:i4>
      </vt:variant>
      <vt:variant>
        <vt:lpwstr/>
      </vt:variant>
      <vt:variant>
        <vt:lpwstr>_Toc310577373</vt:lpwstr>
      </vt:variant>
      <vt:variant>
        <vt:i4>1245239</vt:i4>
      </vt:variant>
      <vt:variant>
        <vt:i4>221</vt:i4>
      </vt:variant>
      <vt:variant>
        <vt:i4>0</vt:i4>
      </vt:variant>
      <vt:variant>
        <vt:i4>5</vt:i4>
      </vt:variant>
      <vt:variant>
        <vt:lpwstr/>
      </vt:variant>
      <vt:variant>
        <vt:lpwstr>_Toc310577372</vt:lpwstr>
      </vt:variant>
      <vt:variant>
        <vt:i4>1245239</vt:i4>
      </vt:variant>
      <vt:variant>
        <vt:i4>215</vt:i4>
      </vt:variant>
      <vt:variant>
        <vt:i4>0</vt:i4>
      </vt:variant>
      <vt:variant>
        <vt:i4>5</vt:i4>
      </vt:variant>
      <vt:variant>
        <vt:lpwstr/>
      </vt:variant>
      <vt:variant>
        <vt:lpwstr>_Toc310577371</vt:lpwstr>
      </vt:variant>
      <vt:variant>
        <vt:i4>1245239</vt:i4>
      </vt:variant>
      <vt:variant>
        <vt:i4>209</vt:i4>
      </vt:variant>
      <vt:variant>
        <vt:i4>0</vt:i4>
      </vt:variant>
      <vt:variant>
        <vt:i4>5</vt:i4>
      </vt:variant>
      <vt:variant>
        <vt:lpwstr/>
      </vt:variant>
      <vt:variant>
        <vt:lpwstr>_Toc310577370</vt:lpwstr>
      </vt:variant>
      <vt:variant>
        <vt:i4>1179703</vt:i4>
      </vt:variant>
      <vt:variant>
        <vt:i4>203</vt:i4>
      </vt:variant>
      <vt:variant>
        <vt:i4>0</vt:i4>
      </vt:variant>
      <vt:variant>
        <vt:i4>5</vt:i4>
      </vt:variant>
      <vt:variant>
        <vt:lpwstr/>
      </vt:variant>
      <vt:variant>
        <vt:lpwstr>_Toc310577369</vt:lpwstr>
      </vt:variant>
      <vt:variant>
        <vt:i4>1179703</vt:i4>
      </vt:variant>
      <vt:variant>
        <vt:i4>197</vt:i4>
      </vt:variant>
      <vt:variant>
        <vt:i4>0</vt:i4>
      </vt:variant>
      <vt:variant>
        <vt:i4>5</vt:i4>
      </vt:variant>
      <vt:variant>
        <vt:lpwstr/>
      </vt:variant>
      <vt:variant>
        <vt:lpwstr>_Toc310577368</vt:lpwstr>
      </vt:variant>
      <vt:variant>
        <vt:i4>1179703</vt:i4>
      </vt:variant>
      <vt:variant>
        <vt:i4>191</vt:i4>
      </vt:variant>
      <vt:variant>
        <vt:i4>0</vt:i4>
      </vt:variant>
      <vt:variant>
        <vt:i4>5</vt:i4>
      </vt:variant>
      <vt:variant>
        <vt:lpwstr/>
      </vt:variant>
      <vt:variant>
        <vt:lpwstr>_Toc310577367</vt:lpwstr>
      </vt:variant>
      <vt:variant>
        <vt:i4>1179703</vt:i4>
      </vt:variant>
      <vt:variant>
        <vt:i4>185</vt:i4>
      </vt:variant>
      <vt:variant>
        <vt:i4>0</vt:i4>
      </vt:variant>
      <vt:variant>
        <vt:i4>5</vt:i4>
      </vt:variant>
      <vt:variant>
        <vt:lpwstr/>
      </vt:variant>
      <vt:variant>
        <vt:lpwstr>_Toc310577366</vt:lpwstr>
      </vt:variant>
      <vt:variant>
        <vt:i4>1179703</vt:i4>
      </vt:variant>
      <vt:variant>
        <vt:i4>179</vt:i4>
      </vt:variant>
      <vt:variant>
        <vt:i4>0</vt:i4>
      </vt:variant>
      <vt:variant>
        <vt:i4>5</vt:i4>
      </vt:variant>
      <vt:variant>
        <vt:lpwstr/>
      </vt:variant>
      <vt:variant>
        <vt:lpwstr>_Toc310577365</vt:lpwstr>
      </vt:variant>
      <vt:variant>
        <vt:i4>1179703</vt:i4>
      </vt:variant>
      <vt:variant>
        <vt:i4>173</vt:i4>
      </vt:variant>
      <vt:variant>
        <vt:i4>0</vt:i4>
      </vt:variant>
      <vt:variant>
        <vt:i4>5</vt:i4>
      </vt:variant>
      <vt:variant>
        <vt:lpwstr/>
      </vt:variant>
      <vt:variant>
        <vt:lpwstr>_Toc310577364</vt:lpwstr>
      </vt:variant>
      <vt:variant>
        <vt:i4>1179703</vt:i4>
      </vt:variant>
      <vt:variant>
        <vt:i4>167</vt:i4>
      </vt:variant>
      <vt:variant>
        <vt:i4>0</vt:i4>
      </vt:variant>
      <vt:variant>
        <vt:i4>5</vt:i4>
      </vt:variant>
      <vt:variant>
        <vt:lpwstr/>
      </vt:variant>
      <vt:variant>
        <vt:lpwstr>_Toc310577363</vt:lpwstr>
      </vt:variant>
      <vt:variant>
        <vt:i4>1179703</vt:i4>
      </vt:variant>
      <vt:variant>
        <vt:i4>161</vt:i4>
      </vt:variant>
      <vt:variant>
        <vt:i4>0</vt:i4>
      </vt:variant>
      <vt:variant>
        <vt:i4>5</vt:i4>
      </vt:variant>
      <vt:variant>
        <vt:lpwstr/>
      </vt:variant>
      <vt:variant>
        <vt:lpwstr>_Toc310577362</vt:lpwstr>
      </vt:variant>
      <vt:variant>
        <vt:i4>1179703</vt:i4>
      </vt:variant>
      <vt:variant>
        <vt:i4>155</vt:i4>
      </vt:variant>
      <vt:variant>
        <vt:i4>0</vt:i4>
      </vt:variant>
      <vt:variant>
        <vt:i4>5</vt:i4>
      </vt:variant>
      <vt:variant>
        <vt:lpwstr/>
      </vt:variant>
      <vt:variant>
        <vt:lpwstr>_Toc310577361</vt:lpwstr>
      </vt:variant>
      <vt:variant>
        <vt:i4>1179703</vt:i4>
      </vt:variant>
      <vt:variant>
        <vt:i4>149</vt:i4>
      </vt:variant>
      <vt:variant>
        <vt:i4>0</vt:i4>
      </vt:variant>
      <vt:variant>
        <vt:i4>5</vt:i4>
      </vt:variant>
      <vt:variant>
        <vt:lpwstr/>
      </vt:variant>
      <vt:variant>
        <vt:lpwstr>_Toc310577360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2016-11-08T23:53:00Z</cp:lastPrinted>
  <dcterms:created xsi:type="dcterms:W3CDTF">2016-11-25T21:20:00Z</dcterms:created>
  <dcterms:modified xsi:type="dcterms:W3CDTF">2016-11-25T21:20:00Z</dcterms:modified>
</cp:coreProperties>
</file>