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8BA54" w14:textId="77777777" w:rsidR="00E45C04" w:rsidRPr="00E07CE8" w:rsidRDefault="0054720A" w:rsidP="00E45C04">
      <w:pPr>
        <w:pStyle w:val="Encabezado"/>
        <w:tabs>
          <w:tab w:val="clear" w:pos="8504"/>
          <w:tab w:val="left" w:pos="0"/>
          <w:tab w:val="right" w:pos="9356"/>
        </w:tabs>
        <w:ind w:left="0"/>
        <w:jc w:val="both"/>
        <w:rPr>
          <w:rFonts w:ascii="Bookman Old Style" w:hAnsi="Bookman Old Style" w:cs="Arial"/>
          <w:szCs w:val="24"/>
        </w:rPr>
      </w:pPr>
      <w:r>
        <w:rPr>
          <w:rFonts w:ascii="Bookman Old Style" w:hAnsi="Bookman Old Style" w:cs="Arial"/>
          <w:noProof/>
          <w:szCs w:val="24"/>
          <w:lang w:eastAsia="es-ES"/>
        </w:rPr>
        <w:object w:dxaOrig="1440" w:dyaOrig="1440" w14:anchorId="091A3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9264" fillcolor="#0c9">
            <v:imagedata r:id="rId8" o:title=""/>
          </v:shape>
          <o:OLEObject Type="Embed" ProgID="PBrush" ShapeID="_x0000_s1027" DrawAspect="Content" ObjectID="_1541396472" r:id="rId9"/>
        </w:object>
      </w:r>
    </w:p>
    <w:p w14:paraId="1B710C8C" w14:textId="77777777" w:rsidR="00E45C04" w:rsidRPr="00E07CE8" w:rsidRDefault="00E45C04" w:rsidP="00E45C04">
      <w:pPr>
        <w:pStyle w:val="Ttulo4"/>
        <w:tabs>
          <w:tab w:val="left" w:pos="0"/>
          <w:tab w:val="right" w:pos="9356"/>
        </w:tabs>
        <w:ind w:left="0"/>
        <w:rPr>
          <w:rFonts w:ascii="Bookman Old Style" w:hAnsi="Bookman Old Style" w:cs="Arial"/>
          <w:b w:val="0"/>
          <w:bCs/>
          <w:color w:val="auto"/>
          <w:sz w:val="24"/>
          <w:szCs w:val="24"/>
        </w:rPr>
      </w:pPr>
    </w:p>
    <w:p w14:paraId="5AFB1D24" w14:textId="77777777" w:rsidR="00E45C04" w:rsidRPr="00E07CE8" w:rsidRDefault="00E45C04" w:rsidP="00E45C04">
      <w:pPr>
        <w:pStyle w:val="Ttulo4"/>
        <w:tabs>
          <w:tab w:val="left" w:pos="0"/>
          <w:tab w:val="right" w:pos="9356"/>
        </w:tabs>
        <w:ind w:left="0"/>
        <w:rPr>
          <w:rFonts w:ascii="Bookman Old Style" w:hAnsi="Bookman Old Style" w:cs="Arial"/>
          <w:b w:val="0"/>
          <w:bCs/>
          <w:noProof/>
          <w:color w:val="auto"/>
          <w:sz w:val="24"/>
          <w:szCs w:val="24"/>
          <w:lang w:val="es-ES"/>
        </w:rPr>
      </w:pPr>
      <w:r w:rsidRPr="00E07CE8">
        <w:rPr>
          <w:rFonts w:ascii="Bookman Old Style" w:hAnsi="Bookman Old Style" w:cs="Arial"/>
          <w:b w:val="0"/>
          <w:bCs/>
          <w:color w:val="auto"/>
          <w:sz w:val="24"/>
          <w:szCs w:val="24"/>
        </w:rPr>
        <w:t>Ministerio de Minas y Energía</w:t>
      </w:r>
    </w:p>
    <w:p w14:paraId="6E99D673" w14:textId="77777777" w:rsidR="00E45C04" w:rsidRPr="00E07CE8" w:rsidRDefault="00E45C04" w:rsidP="00E45C04">
      <w:pPr>
        <w:pStyle w:val="Ttulo4"/>
        <w:tabs>
          <w:tab w:val="left" w:pos="0"/>
          <w:tab w:val="right" w:pos="9356"/>
        </w:tabs>
        <w:ind w:left="0"/>
        <w:rPr>
          <w:rFonts w:ascii="Bookman Old Style" w:hAnsi="Bookman Old Style" w:cs="Arial"/>
          <w:b w:val="0"/>
          <w:bCs/>
          <w:color w:val="auto"/>
          <w:sz w:val="24"/>
          <w:szCs w:val="24"/>
          <w:lang w:val="es-ES"/>
        </w:rPr>
      </w:pPr>
    </w:p>
    <w:p w14:paraId="1EC4FAF5" w14:textId="77777777" w:rsidR="00E45C04" w:rsidRPr="00E07CE8" w:rsidRDefault="00E45C04" w:rsidP="00E45C04">
      <w:pPr>
        <w:pStyle w:val="Ttulo3"/>
        <w:tabs>
          <w:tab w:val="left" w:pos="0"/>
          <w:tab w:val="right" w:pos="9356"/>
        </w:tabs>
        <w:ind w:left="0"/>
        <w:rPr>
          <w:rFonts w:ascii="Bookman Old Style" w:hAnsi="Bookman Old Style" w:cs="Arial"/>
          <w:color w:val="auto"/>
          <w:spacing w:val="20"/>
          <w:szCs w:val="24"/>
        </w:rPr>
      </w:pPr>
      <w:r w:rsidRPr="00E07CE8">
        <w:rPr>
          <w:rFonts w:ascii="Bookman Old Style" w:hAnsi="Bookman Old Style" w:cs="Arial"/>
          <w:color w:val="auto"/>
          <w:spacing w:val="20"/>
          <w:szCs w:val="24"/>
        </w:rPr>
        <w:t>COMISIÓN DE REGULACIÓN DE ENERGÍA Y GAS</w:t>
      </w:r>
    </w:p>
    <w:p w14:paraId="05DC422E" w14:textId="77777777" w:rsidR="00E45C04" w:rsidRPr="00E07CE8" w:rsidRDefault="00E45C04" w:rsidP="00E45C04">
      <w:pPr>
        <w:pStyle w:val="Ttulo5"/>
        <w:tabs>
          <w:tab w:val="left" w:pos="0"/>
          <w:tab w:val="right" w:pos="9356"/>
        </w:tabs>
        <w:ind w:left="0"/>
        <w:rPr>
          <w:rFonts w:ascii="Bookman Old Style" w:hAnsi="Bookman Old Style" w:cs="Arial"/>
          <w:color w:val="auto"/>
          <w:sz w:val="24"/>
          <w:szCs w:val="24"/>
        </w:rPr>
      </w:pPr>
    </w:p>
    <w:p w14:paraId="6DE38286" w14:textId="77777777" w:rsidR="00E45C04" w:rsidRPr="00E07CE8" w:rsidRDefault="00E45C04" w:rsidP="00E45C04">
      <w:pPr>
        <w:pStyle w:val="Ttulo5"/>
        <w:tabs>
          <w:tab w:val="left" w:pos="0"/>
          <w:tab w:val="right" w:pos="9356"/>
        </w:tabs>
        <w:ind w:left="0"/>
        <w:rPr>
          <w:rFonts w:ascii="Bookman Old Style" w:hAnsi="Bookman Old Style" w:cs="Arial"/>
          <w:color w:val="auto"/>
          <w:sz w:val="24"/>
          <w:szCs w:val="24"/>
        </w:rPr>
      </w:pPr>
    </w:p>
    <w:p w14:paraId="4C134823" w14:textId="77777777" w:rsidR="00E45C04" w:rsidRPr="00E07CE8" w:rsidRDefault="00E45C04" w:rsidP="00E45C04">
      <w:pPr>
        <w:pStyle w:val="Ttulo5"/>
        <w:tabs>
          <w:tab w:val="left" w:pos="0"/>
          <w:tab w:val="right" w:pos="9356"/>
        </w:tabs>
        <w:ind w:left="0"/>
        <w:rPr>
          <w:rFonts w:ascii="Bookman Old Style" w:hAnsi="Bookman Old Style" w:cs="Arial"/>
          <w:color w:val="auto"/>
          <w:sz w:val="24"/>
          <w:szCs w:val="24"/>
        </w:rPr>
      </w:pPr>
      <w:r w:rsidRPr="00E07CE8">
        <w:rPr>
          <w:rFonts w:ascii="Bookman Old Style" w:hAnsi="Bookman Old Style" w:cs="Arial"/>
          <w:color w:val="auto"/>
          <w:sz w:val="24"/>
          <w:szCs w:val="24"/>
        </w:rPr>
        <w:t>RESOLUCIÓN No.                   DE 201</w:t>
      </w:r>
      <w:r>
        <w:rPr>
          <w:rFonts w:ascii="Bookman Old Style" w:hAnsi="Bookman Old Style" w:cs="Arial"/>
          <w:color w:val="auto"/>
          <w:sz w:val="24"/>
          <w:szCs w:val="24"/>
        </w:rPr>
        <w:t>6</w:t>
      </w:r>
    </w:p>
    <w:p w14:paraId="1AC3517E" w14:textId="77777777" w:rsidR="00E45C04" w:rsidRPr="00E07CE8" w:rsidRDefault="00E45C04" w:rsidP="00E45C04">
      <w:pPr>
        <w:tabs>
          <w:tab w:val="left" w:pos="0"/>
          <w:tab w:val="right" w:pos="9356"/>
        </w:tabs>
        <w:ind w:left="0"/>
        <w:jc w:val="center"/>
        <w:rPr>
          <w:rFonts w:ascii="Bookman Old Style" w:hAnsi="Bookman Old Style" w:cs="Arial"/>
          <w:b/>
          <w:snapToGrid w:val="0"/>
          <w:lang w:val="es-ES_tradnl"/>
        </w:rPr>
      </w:pPr>
    </w:p>
    <w:p w14:paraId="5219FC08" w14:textId="77777777" w:rsidR="00E45C04" w:rsidRPr="00E07CE8" w:rsidRDefault="00E45C04" w:rsidP="00E45C04">
      <w:pPr>
        <w:pStyle w:val="Ttulo3"/>
        <w:tabs>
          <w:tab w:val="left" w:pos="0"/>
          <w:tab w:val="right" w:pos="9356"/>
        </w:tabs>
        <w:ind w:left="0"/>
        <w:rPr>
          <w:rFonts w:ascii="Bookman Old Style" w:hAnsi="Bookman Old Style" w:cs="Arial"/>
          <w:b w:val="0"/>
          <w:color w:val="auto"/>
          <w:szCs w:val="24"/>
        </w:rPr>
      </w:pPr>
      <w:r w:rsidRPr="00E07CE8">
        <w:rPr>
          <w:rFonts w:ascii="Bookman Old Style" w:hAnsi="Bookman Old Style" w:cs="Arial"/>
          <w:b w:val="0"/>
          <w:color w:val="auto"/>
          <w:szCs w:val="24"/>
        </w:rPr>
        <w:t>(                                  )</w:t>
      </w:r>
    </w:p>
    <w:p w14:paraId="49E68DA8" w14:textId="77777777" w:rsidR="00E45C04" w:rsidRPr="00E07CE8" w:rsidRDefault="00E45C04" w:rsidP="00E45C04">
      <w:pPr>
        <w:rPr>
          <w:rFonts w:ascii="Bookman Old Style" w:hAnsi="Bookman Old Style" w:cs="Arial"/>
        </w:rPr>
      </w:pPr>
    </w:p>
    <w:p w14:paraId="2CD53C33" w14:textId="77777777" w:rsidR="00E45C04" w:rsidRPr="00E07CE8" w:rsidRDefault="00E45C04" w:rsidP="00E45C04">
      <w:pPr>
        <w:rPr>
          <w:rFonts w:ascii="Bookman Old Style" w:hAnsi="Bookman Old Style" w:cs="Arial"/>
        </w:rPr>
      </w:pPr>
    </w:p>
    <w:p w14:paraId="0B734606"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bookmarkStart w:id="0" w:name="_GoBack"/>
      <w:r w:rsidRPr="00E07CE8">
        <w:rPr>
          <w:rFonts w:ascii="Bookman Old Style" w:hAnsi="Bookman Old Style"/>
        </w:rPr>
        <w:t>Por la cual se ordena hacer público un proyecto de resolución “</w:t>
      </w:r>
      <w:r w:rsidRPr="00E07CE8">
        <w:rPr>
          <w:rFonts w:ascii="Bookman Old Style" w:hAnsi="Bookman Old Style" w:cs="Arial"/>
          <w:bCs/>
          <w:lang w:eastAsia="es-CO"/>
        </w:rPr>
        <w:t xml:space="preserve">Por la cual se modifica </w:t>
      </w:r>
      <w:r w:rsidRPr="00E07CE8">
        <w:rPr>
          <w:rFonts w:ascii="Bookman Old Style" w:hAnsi="Bookman Old Style" w:cs="Arial"/>
          <w:lang w:val="es-CO"/>
        </w:rPr>
        <w:t xml:space="preserve">la Resolución 062 de 2013 “Por medio de la cual se </w:t>
      </w:r>
      <w:r w:rsidRPr="00E07CE8">
        <w:rPr>
          <w:rFonts w:ascii="Bookman Old Style" w:hAnsi="Bookman Old Style" w:cs="Arial"/>
          <w:bCs/>
          <w:lang w:eastAsia="es-CO"/>
        </w:rPr>
        <w:t xml:space="preserve">establece un ingreso regulado por el uso de Gas Natural Importado en generaciones de seguridad” </w:t>
      </w:r>
    </w:p>
    <w:bookmarkEnd w:id="0"/>
    <w:p w14:paraId="60521152" w14:textId="77777777" w:rsidR="00E45C04" w:rsidRPr="00E07CE8" w:rsidRDefault="00E45C04" w:rsidP="00E45C04">
      <w:pPr>
        <w:ind w:right="51"/>
        <w:rPr>
          <w:rFonts w:ascii="Bookman Old Style" w:hAnsi="Bookman Old Style"/>
        </w:rPr>
      </w:pPr>
    </w:p>
    <w:p w14:paraId="476F5905" w14:textId="77777777" w:rsidR="00E45C04" w:rsidRPr="00E07CE8" w:rsidRDefault="00E45C04" w:rsidP="00E45C04">
      <w:pPr>
        <w:ind w:right="51"/>
        <w:rPr>
          <w:rFonts w:ascii="Bookman Old Style" w:hAnsi="Bookman Old Style"/>
        </w:rPr>
      </w:pPr>
    </w:p>
    <w:p w14:paraId="15B6F3AE" w14:textId="77777777" w:rsidR="00E45C04" w:rsidRPr="00E07CE8" w:rsidRDefault="00E45C04" w:rsidP="00E45C04">
      <w:pPr>
        <w:ind w:right="51"/>
        <w:rPr>
          <w:rFonts w:ascii="Bookman Old Style" w:hAnsi="Bookman Old Style"/>
        </w:rPr>
      </w:pPr>
    </w:p>
    <w:p w14:paraId="26AF0C0A" w14:textId="77777777" w:rsidR="00E45C04" w:rsidRPr="00E07CE8" w:rsidRDefault="00E45C04" w:rsidP="00E45C04">
      <w:pPr>
        <w:ind w:right="51"/>
        <w:jc w:val="center"/>
        <w:rPr>
          <w:rFonts w:ascii="Bookman Old Style" w:hAnsi="Bookman Old Style"/>
          <w:b/>
        </w:rPr>
      </w:pPr>
      <w:r w:rsidRPr="00E07CE8">
        <w:rPr>
          <w:rFonts w:ascii="Bookman Old Style" w:hAnsi="Bookman Old Style"/>
          <w:b/>
        </w:rPr>
        <w:t xml:space="preserve">LA COMISIÓN DE REGULACIÓN </w:t>
      </w:r>
      <w:proofErr w:type="gramStart"/>
      <w:r w:rsidRPr="00E07CE8">
        <w:rPr>
          <w:rFonts w:ascii="Bookman Old Style" w:hAnsi="Bookman Old Style"/>
          <w:b/>
        </w:rPr>
        <w:t>DE  ENERGÍA</w:t>
      </w:r>
      <w:proofErr w:type="gramEnd"/>
      <w:r w:rsidRPr="00E07CE8">
        <w:rPr>
          <w:rFonts w:ascii="Bookman Old Style" w:hAnsi="Bookman Old Style"/>
          <w:b/>
        </w:rPr>
        <w:t xml:space="preserve"> Y GAS</w:t>
      </w:r>
    </w:p>
    <w:p w14:paraId="246DAD75" w14:textId="77777777" w:rsidR="00E45C04" w:rsidRDefault="00E45C04" w:rsidP="00E45C04">
      <w:pPr>
        <w:ind w:left="0" w:right="51"/>
        <w:rPr>
          <w:rFonts w:ascii="Bookman Old Style" w:hAnsi="Bookman Old Style"/>
        </w:rPr>
      </w:pPr>
    </w:p>
    <w:p w14:paraId="1EA42278" w14:textId="77777777" w:rsidR="00E45C04" w:rsidRPr="00E07CE8" w:rsidRDefault="00E45C04" w:rsidP="00E45C04">
      <w:pPr>
        <w:ind w:left="0" w:right="51"/>
        <w:rPr>
          <w:rFonts w:ascii="Bookman Old Style" w:hAnsi="Bookman Old Style"/>
        </w:rPr>
      </w:pPr>
    </w:p>
    <w:p w14:paraId="19CB1B94" w14:textId="77777777" w:rsidR="00E45C04" w:rsidRPr="00E07CE8" w:rsidRDefault="00E45C04" w:rsidP="00E45C04">
      <w:pPr>
        <w:ind w:left="0" w:right="51"/>
        <w:rPr>
          <w:rFonts w:ascii="Bookman Old Style" w:hAnsi="Bookman Old Style"/>
        </w:rPr>
      </w:pPr>
    </w:p>
    <w:p w14:paraId="1FEDC945" w14:textId="77777777" w:rsidR="00E45C04" w:rsidRPr="00E07CE8" w:rsidRDefault="00E45C04" w:rsidP="00E45C04">
      <w:pPr>
        <w:ind w:left="0"/>
        <w:jc w:val="center"/>
        <w:rPr>
          <w:rFonts w:ascii="Bookman Old Style" w:hAnsi="Bookman Old Style" w:cs="Arial"/>
          <w:lang w:eastAsia="es-CO"/>
        </w:rPr>
      </w:pPr>
      <w:r w:rsidRPr="00E07CE8">
        <w:rPr>
          <w:rFonts w:ascii="Bookman Old Style" w:hAnsi="Bookman Old Style" w:cs="Arial"/>
          <w:lang w:eastAsia="es-CO"/>
        </w:rPr>
        <w:t>En ejercicio de sus atribuciones legales, en especial las conferidas por la Ley 142 de 1994, y en desarrollo de los Decretos 2253 de 1994 y 1260 de 2013, y</w:t>
      </w:r>
    </w:p>
    <w:p w14:paraId="004F2101" w14:textId="77777777" w:rsidR="00E45C04" w:rsidRPr="00E07CE8" w:rsidRDefault="00E45C04" w:rsidP="00E45C04">
      <w:pPr>
        <w:ind w:right="51"/>
        <w:rPr>
          <w:rFonts w:ascii="Bookman Old Style" w:hAnsi="Bookman Old Style"/>
        </w:rPr>
      </w:pPr>
    </w:p>
    <w:p w14:paraId="76B1DB08" w14:textId="77777777" w:rsidR="00E45C04" w:rsidRPr="00E07CE8" w:rsidRDefault="00E45C04" w:rsidP="00E45C04">
      <w:pPr>
        <w:ind w:right="51"/>
        <w:rPr>
          <w:rFonts w:ascii="Bookman Old Style" w:hAnsi="Bookman Old Style"/>
        </w:rPr>
      </w:pPr>
    </w:p>
    <w:p w14:paraId="202CC08A" w14:textId="77777777" w:rsidR="00E45C04" w:rsidRPr="00E07CE8" w:rsidRDefault="00E45C04" w:rsidP="00E45C04">
      <w:pPr>
        <w:ind w:right="51"/>
        <w:rPr>
          <w:rFonts w:ascii="Bookman Old Style" w:hAnsi="Bookman Old Style"/>
        </w:rPr>
      </w:pPr>
    </w:p>
    <w:p w14:paraId="6FE32EF1" w14:textId="77777777" w:rsidR="00E45C04" w:rsidRPr="00E07CE8" w:rsidRDefault="00E45C04" w:rsidP="00E45C04">
      <w:pPr>
        <w:ind w:right="51"/>
        <w:jc w:val="center"/>
        <w:rPr>
          <w:rFonts w:ascii="Bookman Old Style" w:hAnsi="Bookman Old Style"/>
          <w:b/>
        </w:rPr>
      </w:pPr>
      <w:r w:rsidRPr="00E07CE8">
        <w:rPr>
          <w:rFonts w:ascii="Bookman Old Style" w:hAnsi="Bookman Old Style"/>
          <w:b/>
        </w:rPr>
        <w:t xml:space="preserve">C O N S I D E R A N D </w:t>
      </w:r>
      <w:proofErr w:type="gramStart"/>
      <w:r w:rsidRPr="00E07CE8">
        <w:rPr>
          <w:rFonts w:ascii="Bookman Old Style" w:hAnsi="Bookman Old Style"/>
          <w:b/>
        </w:rPr>
        <w:t>O  Q</w:t>
      </w:r>
      <w:proofErr w:type="gramEnd"/>
      <w:r w:rsidRPr="00E07CE8">
        <w:rPr>
          <w:rFonts w:ascii="Bookman Old Style" w:hAnsi="Bookman Old Style"/>
          <w:b/>
        </w:rPr>
        <w:t xml:space="preserve"> U E:</w:t>
      </w:r>
    </w:p>
    <w:p w14:paraId="798CD852" w14:textId="77777777" w:rsidR="00E45C04" w:rsidRPr="00E07CE8" w:rsidRDefault="00E45C04" w:rsidP="00E45C04">
      <w:pPr>
        <w:ind w:right="51"/>
        <w:jc w:val="center"/>
        <w:rPr>
          <w:rFonts w:ascii="Bookman Old Style" w:hAnsi="Bookman Old Style"/>
          <w:b/>
        </w:rPr>
      </w:pPr>
    </w:p>
    <w:p w14:paraId="2B53BCE6" w14:textId="77777777" w:rsidR="00E45C04" w:rsidRDefault="00E45C04" w:rsidP="00E45C04">
      <w:pPr>
        <w:ind w:right="51"/>
        <w:jc w:val="center"/>
        <w:rPr>
          <w:rFonts w:ascii="Bookman Old Style" w:hAnsi="Bookman Old Style"/>
          <w:b/>
        </w:rPr>
      </w:pPr>
    </w:p>
    <w:p w14:paraId="468287D0" w14:textId="77777777" w:rsidR="00E45C04" w:rsidRPr="00E07CE8" w:rsidRDefault="00E45C04" w:rsidP="00E45C04">
      <w:pPr>
        <w:ind w:right="51"/>
        <w:jc w:val="center"/>
        <w:rPr>
          <w:rFonts w:ascii="Bookman Old Style" w:hAnsi="Bookman Old Style"/>
          <w:b/>
        </w:rPr>
      </w:pPr>
    </w:p>
    <w:p w14:paraId="18A1229D" w14:textId="77777777" w:rsidR="00E45C04" w:rsidRPr="00E07CE8" w:rsidRDefault="00E45C04" w:rsidP="00E45C04">
      <w:pPr>
        <w:widowControl w:val="0"/>
        <w:tabs>
          <w:tab w:val="left" w:pos="0"/>
        </w:tabs>
        <w:ind w:left="0"/>
        <w:contextualSpacing/>
        <w:jc w:val="both"/>
        <w:rPr>
          <w:rFonts w:ascii="Bookman Old Style" w:hAnsi="Bookman Old Style" w:cs="Arial"/>
        </w:rPr>
      </w:pPr>
      <w:r w:rsidRPr="00E07CE8">
        <w:rPr>
          <w:rFonts w:ascii="Bookman Old Style" w:hAnsi="Bookman Old Style" w:cs="Arial"/>
        </w:rPr>
        <w:t>Conforme a lo dispuesto por el artículo 8 del Código de Procedimiento Administrativo y de lo Contencioso Administrativo, así como d</w:t>
      </w:r>
      <w:r>
        <w:rPr>
          <w:rFonts w:ascii="Bookman Old Style" w:hAnsi="Bookman Old Style" w:cs="Arial"/>
        </w:rPr>
        <w:t>e acuerdo con lo establecido en</w:t>
      </w:r>
      <w:r w:rsidRPr="00E07CE8">
        <w:rPr>
          <w:rFonts w:ascii="Bookman Old Style" w:hAnsi="Bookman Old Style" w:cs="Arial"/>
        </w:rPr>
        <w:t xml:space="preserve"> el Decreto 2696 de 2004, el cual ha sido compilado por el Decreto 1078 de 2015, la Comisión debe hacer público en su página web todos los proyectos de resolución de carácter general que pretenda adoptar.</w:t>
      </w:r>
    </w:p>
    <w:p w14:paraId="78B991A9" w14:textId="77777777" w:rsidR="00E45C04" w:rsidRPr="00E07CE8" w:rsidRDefault="00E45C04" w:rsidP="00E45C04">
      <w:pPr>
        <w:widowControl w:val="0"/>
        <w:tabs>
          <w:tab w:val="left" w:pos="0"/>
        </w:tabs>
        <w:contextualSpacing/>
        <w:jc w:val="both"/>
        <w:rPr>
          <w:rFonts w:ascii="Bookman Old Style" w:hAnsi="Bookman Old Style" w:cs="Arial"/>
        </w:rPr>
      </w:pPr>
    </w:p>
    <w:p w14:paraId="0215FC2E" w14:textId="77777777" w:rsidR="00E45C04" w:rsidRPr="00E07CE8" w:rsidRDefault="00E45C04" w:rsidP="00E45C04">
      <w:pPr>
        <w:tabs>
          <w:tab w:val="center" w:pos="4512"/>
          <w:tab w:val="left" w:pos="7088"/>
        </w:tabs>
        <w:suppressAutoHyphens/>
        <w:ind w:left="0" w:right="51"/>
        <w:jc w:val="both"/>
        <w:rPr>
          <w:rFonts w:ascii="Bookman Old Style" w:hAnsi="Bookman Old Style" w:cs="Arial"/>
          <w:bCs/>
          <w:lang w:eastAsia="es-CO"/>
        </w:rPr>
      </w:pPr>
      <w:r w:rsidRPr="00E07CE8">
        <w:rPr>
          <w:rFonts w:ascii="Bookman Old Style" w:hAnsi="Bookman Old Style"/>
        </w:rPr>
        <w:t xml:space="preserve">La </w:t>
      </w:r>
      <w:r w:rsidRPr="00E07CE8">
        <w:rPr>
          <w:rFonts w:ascii="Bookman Old Style" w:hAnsi="Bookman Old Style" w:cs="Arial"/>
        </w:rPr>
        <w:t>Comisión</w:t>
      </w:r>
      <w:r w:rsidRPr="00E07CE8">
        <w:rPr>
          <w:rFonts w:ascii="Bookman Old Style" w:hAnsi="Bookman Old Style"/>
        </w:rPr>
        <w:t xml:space="preserve"> de Regulación de Energía y Gas, en su sesión No. </w:t>
      </w:r>
      <w:r>
        <w:rPr>
          <w:rFonts w:ascii="Bookman Old Style" w:hAnsi="Bookman Old Style"/>
        </w:rPr>
        <w:t>746</w:t>
      </w:r>
      <w:r w:rsidRPr="00E07CE8">
        <w:rPr>
          <w:rFonts w:ascii="Bookman Old Style" w:hAnsi="Bookman Old Style"/>
        </w:rPr>
        <w:t xml:space="preserve"> del </w:t>
      </w:r>
      <w:r>
        <w:rPr>
          <w:rFonts w:ascii="Bookman Old Style" w:hAnsi="Bookman Old Style"/>
        </w:rPr>
        <w:t>21</w:t>
      </w:r>
      <w:r w:rsidRPr="00E07CE8">
        <w:rPr>
          <w:rFonts w:ascii="Bookman Old Style" w:hAnsi="Bookman Old Style"/>
        </w:rPr>
        <w:t xml:space="preserve"> de </w:t>
      </w:r>
      <w:r>
        <w:rPr>
          <w:rFonts w:ascii="Bookman Old Style" w:hAnsi="Bookman Old Style"/>
        </w:rPr>
        <w:t>noviembre</w:t>
      </w:r>
      <w:r w:rsidRPr="00E07CE8">
        <w:rPr>
          <w:rFonts w:ascii="Bookman Old Style" w:hAnsi="Bookman Old Style"/>
        </w:rPr>
        <w:t xml:space="preserve"> de 2016, aprobó hacer público el proyecto de resolución</w:t>
      </w:r>
      <w:r>
        <w:rPr>
          <w:rFonts w:ascii="Bookman Old Style" w:hAnsi="Bookman Old Style"/>
        </w:rPr>
        <w:t xml:space="preserve"> </w:t>
      </w:r>
      <w:r w:rsidRPr="00E07CE8">
        <w:rPr>
          <w:rFonts w:ascii="Bookman Old Style" w:hAnsi="Bookman Old Style"/>
        </w:rPr>
        <w:t>“</w:t>
      </w:r>
      <w:r w:rsidRPr="00E07CE8">
        <w:rPr>
          <w:rFonts w:ascii="Bookman Old Style" w:hAnsi="Bookman Old Style" w:cs="Arial"/>
          <w:bCs/>
          <w:lang w:eastAsia="es-CO"/>
        </w:rPr>
        <w:t xml:space="preserve">Por la cual se modifica </w:t>
      </w:r>
      <w:r w:rsidRPr="00E07CE8">
        <w:rPr>
          <w:rFonts w:ascii="Bookman Old Style" w:hAnsi="Bookman Old Style" w:cs="Arial"/>
          <w:lang w:val="es-CO"/>
        </w:rPr>
        <w:t xml:space="preserve">la Resolución 062 de 2013 “Por medio de la cual se </w:t>
      </w:r>
      <w:r w:rsidRPr="00E07CE8">
        <w:rPr>
          <w:rFonts w:ascii="Bookman Old Style" w:hAnsi="Bookman Old Style" w:cs="Arial"/>
          <w:bCs/>
          <w:lang w:eastAsia="es-CO"/>
        </w:rPr>
        <w:t xml:space="preserve">establece un ingreso regulado por el uso de Gas Natural Importado en generaciones de seguridad” </w:t>
      </w:r>
    </w:p>
    <w:p w14:paraId="207826E3" w14:textId="77777777" w:rsidR="00E45C04" w:rsidRPr="00E07CE8" w:rsidRDefault="00E45C04" w:rsidP="00E45C04">
      <w:pPr>
        <w:pStyle w:val="Prrafodelista"/>
        <w:tabs>
          <w:tab w:val="left" w:pos="0"/>
        </w:tabs>
        <w:jc w:val="both"/>
        <w:rPr>
          <w:rFonts w:ascii="Bookman Old Style" w:hAnsi="Bookman Old Style"/>
          <w:lang w:val="es-ES"/>
        </w:rPr>
      </w:pPr>
    </w:p>
    <w:p w14:paraId="3C789275" w14:textId="77777777" w:rsidR="00E45C04" w:rsidRPr="00E07CE8" w:rsidRDefault="00E45C04" w:rsidP="00E45C04">
      <w:pPr>
        <w:suppressAutoHyphens/>
        <w:jc w:val="center"/>
        <w:rPr>
          <w:rFonts w:ascii="Bookman Old Style" w:hAnsi="Bookman Old Style"/>
          <w:spacing w:val="-3"/>
        </w:rPr>
      </w:pPr>
      <w:r w:rsidRPr="00E07CE8">
        <w:rPr>
          <w:rFonts w:ascii="Bookman Old Style" w:hAnsi="Bookman Old Style"/>
          <w:b/>
          <w:spacing w:val="-3"/>
        </w:rPr>
        <w:t>R E S U E L V E:</w:t>
      </w:r>
    </w:p>
    <w:p w14:paraId="789761A0" w14:textId="77777777" w:rsidR="00E45C04" w:rsidRPr="00E07CE8" w:rsidRDefault="00E45C04" w:rsidP="00E45C04">
      <w:pPr>
        <w:jc w:val="center"/>
        <w:rPr>
          <w:rFonts w:ascii="Bookman Old Style" w:hAnsi="Bookman Old Style"/>
        </w:rPr>
      </w:pPr>
    </w:p>
    <w:p w14:paraId="62893022" w14:textId="77777777" w:rsidR="00E45C04" w:rsidRPr="00E07CE8" w:rsidRDefault="00E45C04" w:rsidP="00E45C04">
      <w:pPr>
        <w:jc w:val="center"/>
        <w:rPr>
          <w:rFonts w:ascii="Bookman Old Style" w:hAnsi="Bookman Old Style"/>
        </w:rPr>
      </w:pPr>
    </w:p>
    <w:p w14:paraId="44086FAE" w14:textId="77777777" w:rsidR="00E45C04" w:rsidRPr="00E07CE8" w:rsidRDefault="00E45C04" w:rsidP="00E45C04">
      <w:pPr>
        <w:pStyle w:val="ARTICULOS"/>
      </w:pPr>
      <w:r w:rsidRPr="00E07CE8">
        <w:t xml:space="preserve">Hágase público el siguiente  proyecto  de resolución “Por la cual se modifica </w:t>
      </w:r>
      <w:r w:rsidRPr="00E07CE8">
        <w:rPr>
          <w:lang w:val="es-CO"/>
        </w:rPr>
        <w:t xml:space="preserve">la Resolución 062 de 2013 “Por medio de la cual se </w:t>
      </w:r>
      <w:r w:rsidRPr="00E07CE8">
        <w:t xml:space="preserve">establece un ingreso regulado por el uso de Gas Natural Importado en generaciones de seguridad” </w:t>
      </w:r>
    </w:p>
    <w:p w14:paraId="12B12C32" w14:textId="77777777" w:rsidR="00E45C04" w:rsidRPr="00E07CE8" w:rsidRDefault="00E45C04" w:rsidP="00E45C04">
      <w:pPr>
        <w:tabs>
          <w:tab w:val="left" w:pos="0"/>
        </w:tabs>
        <w:ind w:left="0"/>
        <w:jc w:val="both"/>
        <w:rPr>
          <w:rFonts w:ascii="Bookman Old Style" w:hAnsi="Bookman Old Style" w:cs="Arial"/>
          <w:i/>
          <w:szCs w:val="27"/>
        </w:rPr>
      </w:pPr>
    </w:p>
    <w:p w14:paraId="31F946AB" w14:textId="77777777" w:rsidR="00E45C04" w:rsidRPr="00E07CE8" w:rsidRDefault="00E45C04" w:rsidP="00E45C04">
      <w:pPr>
        <w:pStyle w:val="ARTICULOS"/>
        <w:rPr>
          <w:szCs w:val="27"/>
        </w:rPr>
      </w:pPr>
      <w:r w:rsidRPr="00E07CE8">
        <w:lastRenderedPageBreak/>
        <w:t xml:space="preserve">Se invita a los agentes, a los usuarios, a las autoridades competentes, a la Superintendencia de Servicios Públicos Domiciliarios y a la Superintendencia de Industria y Comercio, para que remitan sus observaciones o sugerencias sobre la propuesta dentro de los </w:t>
      </w:r>
      <w:r>
        <w:t>diez</w:t>
      </w:r>
      <w:r w:rsidRPr="00E07CE8">
        <w:t xml:space="preserve"> (</w:t>
      </w:r>
      <w:r>
        <w:t>10</w:t>
      </w:r>
      <w:r w:rsidRPr="00E07CE8">
        <w:t>) días calendario siguientes a su publicación en la página Web de la CREG. Lo anterior, de conformidad con lo dispuesto el Decreto 1078 de 2015.</w:t>
      </w:r>
    </w:p>
    <w:p w14:paraId="4318D30E" w14:textId="77777777" w:rsidR="00E45C04" w:rsidRPr="00E07CE8" w:rsidRDefault="00E45C04" w:rsidP="00E45C04">
      <w:pPr>
        <w:tabs>
          <w:tab w:val="left" w:pos="0"/>
        </w:tabs>
        <w:ind w:left="0" w:right="45"/>
        <w:jc w:val="both"/>
        <w:rPr>
          <w:rFonts w:ascii="Bookman Old Style" w:hAnsi="Bookman Old Style" w:cs="Arial"/>
          <w:szCs w:val="27"/>
        </w:rPr>
      </w:pPr>
    </w:p>
    <w:p w14:paraId="2A659E1F" w14:textId="77777777" w:rsidR="00E45C04" w:rsidRPr="007A5CCB" w:rsidRDefault="00E45C04" w:rsidP="00E45C04">
      <w:pPr>
        <w:pStyle w:val="ARTICULOS"/>
      </w:pPr>
      <w:r w:rsidRPr="007A5CCB">
        <w:t>. Las observaciones y sugerencias sobre el proyecto deberán dirigirse en formato Excel “</w:t>
      </w:r>
      <w:r w:rsidRPr="00EC3FF4">
        <w:t xml:space="preserve"> comentarios_</w:t>
      </w:r>
      <w:r>
        <w:rPr>
          <w:lang w:val="es-CO"/>
        </w:rPr>
        <w:t>mod_062_2013</w:t>
      </w:r>
      <w:r w:rsidRPr="00EC3FF4">
        <w:t>.</w:t>
      </w:r>
      <w:proofErr w:type="spellStart"/>
      <w:r w:rsidRPr="00EC3FF4">
        <w:t>xlsm</w:t>
      </w:r>
      <w:proofErr w:type="spellEnd"/>
      <w:r w:rsidRPr="007A5CCB">
        <w:t xml:space="preserve">” anexo a esta resolución a </w:t>
      </w:r>
      <w:r w:rsidRPr="00EC3FF4">
        <w:t>Germán Castro Ferreira</w:t>
      </w:r>
      <w:r w:rsidRPr="007A5CCB">
        <w:t xml:space="preserve">, Director Ejecutivo de la Comisión, a la siguiente dirección: Avenida Calle 116 No. 7-15, Edificio Torre </w:t>
      </w:r>
      <w:proofErr w:type="spellStart"/>
      <w:r w:rsidRPr="007A5CCB">
        <w:t>Cusezar</w:t>
      </w:r>
      <w:proofErr w:type="spellEnd"/>
      <w:r w:rsidRPr="007A5CCB">
        <w:t xml:space="preserve">, Interior 2, Oficina 901 o al correo electrónico </w:t>
      </w:r>
      <w:hyperlink r:id="rId10" w:history="1">
        <w:r w:rsidRPr="007A5CCB">
          <w:rPr>
            <w:rStyle w:val="Hipervnculo"/>
            <w:rFonts w:cs="Arial"/>
          </w:rPr>
          <w:t>creg@creg.gov.co</w:t>
        </w:r>
      </w:hyperlink>
      <w:r w:rsidRPr="007A5CCB">
        <w:t xml:space="preserve"> con asunto: </w:t>
      </w:r>
      <w:r>
        <w:rPr>
          <w:lang w:val="es-CO"/>
        </w:rPr>
        <w:t xml:space="preserve">Comentarios modificación </w:t>
      </w:r>
      <w:r w:rsidRPr="00E07CE8">
        <w:rPr>
          <w:rFonts w:cs="Arial"/>
          <w:lang w:val="es-CO"/>
        </w:rPr>
        <w:t xml:space="preserve">Resolución </w:t>
      </w:r>
      <w:r>
        <w:rPr>
          <w:rFonts w:cs="Arial"/>
          <w:lang w:val="es-CO"/>
        </w:rPr>
        <w:t>062</w:t>
      </w:r>
      <w:r w:rsidRPr="00E07CE8">
        <w:rPr>
          <w:rFonts w:cs="Arial"/>
          <w:lang w:val="es-CO"/>
        </w:rPr>
        <w:t xml:space="preserve"> de 201</w:t>
      </w:r>
      <w:r>
        <w:rPr>
          <w:rFonts w:cs="Arial"/>
          <w:lang w:val="es-CO"/>
        </w:rPr>
        <w:t>3</w:t>
      </w:r>
      <w:r w:rsidRPr="007A5CCB">
        <w:t>” de acuerdo con los aspectos previstos en el artículo 10 del Decreto 2696 de 2004</w:t>
      </w:r>
      <w:r>
        <w:rPr>
          <w:lang w:val="es-CO"/>
        </w:rPr>
        <w:t xml:space="preserve"> compilado por el Decreto 1078 de 2015</w:t>
      </w:r>
      <w:r w:rsidRPr="007A5CCB">
        <w:t>.</w:t>
      </w:r>
    </w:p>
    <w:p w14:paraId="176FE388" w14:textId="77777777" w:rsidR="00E45C04" w:rsidRPr="00535D8D" w:rsidRDefault="00E45C04" w:rsidP="00E45C04">
      <w:pPr>
        <w:tabs>
          <w:tab w:val="left" w:pos="0"/>
        </w:tabs>
        <w:ind w:left="0" w:right="47"/>
        <w:jc w:val="both"/>
        <w:rPr>
          <w:rFonts w:ascii="Bookman Old Style" w:hAnsi="Bookman Old Style" w:cs="Arial"/>
          <w:b/>
          <w:bCs/>
          <w:szCs w:val="27"/>
          <w:lang w:val="x-none"/>
        </w:rPr>
      </w:pPr>
    </w:p>
    <w:p w14:paraId="3A788AD5" w14:textId="77777777" w:rsidR="00E45C04" w:rsidRPr="00535D8D" w:rsidRDefault="00E45C04" w:rsidP="00E45C04">
      <w:pPr>
        <w:tabs>
          <w:tab w:val="left" w:pos="0"/>
        </w:tabs>
        <w:ind w:left="0" w:right="47"/>
        <w:jc w:val="both"/>
        <w:rPr>
          <w:rFonts w:ascii="Bookman Old Style" w:hAnsi="Bookman Old Style" w:cs="Arial"/>
          <w:b/>
          <w:bCs/>
          <w:szCs w:val="27"/>
          <w:lang w:val="x-none"/>
        </w:rPr>
      </w:pPr>
    </w:p>
    <w:p w14:paraId="3D72F096" w14:textId="77777777" w:rsidR="00E45C04" w:rsidRPr="00E07CE8" w:rsidRDefault="00E45C04" w:rsidP="00E45C04">
      <w:pPr>
        <w:pStyle w:val="ARTICULOS"/>
      </w:pPr>
      <w:r w:rsidRPr="00E07CE8">
        <w:t>La presente Resolución no deroga disposiciones vigentes por tratarse de un acto de trámite.</w:t>
      </w:r>
    </w:p>
    <w:p w14:paraId="7D8470D9" w14:textId="77777777" w:rsidR="00E45C04" w:rsidRPr="00E07CE8" w:rsidRDefault="00E45C04" w:rsidP="00E45C04">
      <w:pPr>
        <w:ind w:left="0"/>
        <w:rPr>
          <w:rFonts w:ascii="Bookman Old Style" w:hAnsi="Bookman Old Style"/>
        </w:rPr>
      </w:pPr>
    </w:p>
    <w:p w14:paraId="5CEA242D" w14:textId="77777777" w:rsidR="00E45C04" w:rsidRPr="00E07CE8" w:rsidRDefault="00E45C04" w:rsidP="00E45C04">
      <w:pPr>
        <w:widowControl w:val="0"/>
        <w:adjustRightInd w:val="0"/>
        <w:ind w:left="0"/>
        <w:textAlignment w:val="baseline"/>
        <w:rPr>
          <w:rFonts w:ascii="Bookman Old Style" w:hAnsi="Bookman Old Style"/>
        </w:rPr>
      </w:pPr>
    </w:p>
    <w:p w14:paraId="1D7AA931" w14:textId="77777777" w:rsidR="00E45C04" w:rsidRPr="00E07CE8" w:rsidRDefault="00E45C04" w:rsidP="00E45C04">
      <w:pPr>
        <w:jc w:val="center"/>
        <w:rPr>
          <w:rFonts w:ascii="Bookman Old Style" w:hAnsi="Bookman Old Style"/>
          <w:b/>
        </w:rPr>
      </w:pPr>
      <w:r w:rsidRPr="00E07CE8">
        <w:rPr>
          <w:rFonts w:ascii="Bookman Old Style" w:hAnsi="Bookman Old Style"/>
          <w:b/>
        </w:rPr>
        <w:t>PUBLÍQUESE Y CÚMPLASE</w:t>
      </w:r>
    </w:p>
    <w:p w14:paraId="05B98449" w14:textId="77777777" w:rsidR="00E45C04" w:rsidRPr="00E07CE8" w:rsidRDefault="00E45C04" w:rsidP="00E45C04">
      <w:pPr>
        <w:ind w:left="0"/>
        <w:rPr>
          <w:rFonts w:ascii="Bookman Old Style" w:hAnsi="Bookman Old Style"/>
        </w:rPr>
      </w:pPr>
    </w:p>
    <w:p w14:paraId="3914A2F0" w14:textId="77777777" w:rsidR="00E45C04" w:rsidRPr="00E07CE8" w:rsidRDefault="00E45C04" w:rsidP="00E45C04">
      <w:pPr>
        <w:ind w:left="0"/>
        <w:rPr>
          <w:rFonts w:ascii="Bookman Old Style" w:hAnsi="Bookman Old Style"/>
        </w:rPr>
      </w:pPr>
      <w:r w:rsidRPr="00E07CE8">
        <w:rPr>
          <w:rFonts w:ascii="Bookman Old Style" w:hAnsi="Bookman Old Style"/>
        </w:rPr>
        <w:t xml:space="preserve">Dada en Bogotá DC, a </w:t>
      </w:r>
    </w:p>
    <w:p w14:paraId="67BB906D" w14:textId="77777777" w:rsidR="00E45C04" w:rsidRPr="00E07CE8" w:rsidRDefault="00E45C04" w:rsidP="00E45C04">
      <w:pPr>
        <w:ind w:left="0"/>
        <w:rPr>
          <w:rFonts w:ascii="Bookman Old Style" w:hAnsi="Bookman Old Style"/>
        </w:rPr>
      </w:pPr>
    </w:p>
    <w:p w14:paraId="21A08B21" w14:textId="77777777" w:rsidR="00E45C04" w:rsidRPr="00E07CE8" w:rsidRDefault="00E45C04" w:rsidP="00E45C04">
      <w:pPr>
        <w:ind w:left="0"/>
        <w:rPr>
          <w:rFonts w:ascii="Bookman Old Style" w:hAnsi="Bookman Old Style"/>
        </w:rPr>
      </w:pPr>
    </w:p>
    <w:p w14:paraId="27062930" w14:textId="77777777" w:rsidR="00E45C04" w:rsidRPr="00E07CE8" w:rsidRDefault="00E45C04" w:rsidP="00E45C04">
      <w:pPr>
        <w:ind w:left="0"/>
        <w:rPr>
          <w:rFonts w:ascii="Bookman Old Style" w:hAnsi="Bookman Old Style"/>
        </w:rPr>
      </w:pPr>
    </w:p>
    <w:p w14:paraId="3266D2C2" w14:textId="77777777" w:rsidR="00E45C04" w:rsidRPr="00E07CE8" w:rsidRDefault="00E45C04" w:rsidP="00E45C04">
      <w:pPr>
        <w:ind w:left="0"/>
        <w:rPr>
          <w:rFonts w:ascii="Bookman Old Style" w:hAnsi="Bookman Old Style"/>
        </w:rPr>
      </w:pPr>
    </w:p>
    <w:p w14:paraId="2DB0186C" w14:textId="77777777" w:rsidR="00E45C04" w:rsidRPr="00E07CE8" w:rsidRDefault="00E45C04" w:rsidP="00E45C04">
      <w:pPr>
        <w:ind w:left="0"/>
        <w:rPr>
          <w:rFonts w:ascii="Bookman Old Style" w:hAnsi="Bookman Old Style"/>
        </w:rPr>
      </w:pPr>
    </w:p>
    <w:tbl>
      <w:tblPr>
        <w:tblW w:w="14075" w:type="dxa"/>
        <w:tblLayout w:type="fixed"/>
        <w:tblCellMar>
          <w:left w:w="70" w:type="dxa"/>
          <w:right w:w="70" w:type="dxa"/>
        </w:tblCellMar>
        <w:tblLook w:val="04A0" w:firstRow="1" w:lastRow="0" w:firstColumn="1" w:lastColumn="0" w:noHBand="0" w:noVBand="1"/>
      </w:tblPr>
      <w:tblGrid>
        <w:gridCol w:w="5387"/>
        <w:gridCol w:w="3827"/>
        <w:gridCol w:w="4861"/>
      </w:tblGrid>
      <w:tr w:rsidR="00E45C04" w:rsidRPr="00E07CE8" w14:paraId="08FB919A" w14:textId="77777777" w:rsidTr="00D2521D">
        <w:trPr>
          <w:trHeight w:val="302"/>
        </w:trPr>
        <w:tc>
          <w:tcPr>
            <w:tcW w:w="5387" w:type="dxa"/>
          </w:tcPr>
          <w:p w14:paraId="57A5A6B3" w14:textId="77777777" w:rsidR="00E45C04" w:rsidRPr="00E07CE8" w:rsidRDefault="00E45C04" w:rsidP="00D2521D">
            <w:pPr>
              <w:ind w:left="0"/>
              <w:jc w:val="center"/>
              <w:rPr>
                <w:rFonts w:ascii="Bookman Old Style" w:hAnsi="Bookman Old Style" w:cs="Arial"/>
                <w:b/>
                <w:bCs/>
              </w:rPr>
            </w:pPr>
            <w:r w:rsidRPr="00486601">
              <w:rPr>
                <w:rFonts w:ascii="Bookman Old Style" w:hAnsi="Bookman Old Style" w:cs="Arial"/>
                <w:b/>
              </w:rPr>
              <w:t>RUTTY PAOLA ORTIZ JARA</w:t>
            </w:r>
          </w:p>
        </w:tc>
        <w:tc>
          <w:tcPr>
            <w:tcW w:w="3827" w:type="dxa"/>
            <w:hideMark/>
          </w:tcPr>
          <w:p w14:paraId="08F8F51A" w14:textId="77777777" w:rsidR="00E45C04" w:rsidRPr="00E07CE8" w:rsidRDefault="00E45C04" w:rsidP="00D2521D">
            <w:pPr>
              <w:ind w:left="0"/>
              <w:jc w:val="center"/>
              <w:rPr>
                <w:rFonts w:ascii="Bookman Old Style" w:hAnsi="Bookman Old Style" w:cs="Arial"/>
                <w:b/>
                <w:spacing w:val="-3"/>
                <w:sz w:val="22"/>
                <w:szCs w:val="22"/>
                <w:lang w:val="es-ES_tradnl"/>
              </w:rPr>
            </w:pPr>
            <w:r w:rsidRPr="006F6765">
              <w:rPr>
                <w:rFonts w:ascii="Bookman Old Style" w:hAnsi="Bookman Old Style" w:cs="Arial"/>
                <w:b/>
                <w:bCs/>
              </w:rPr>
              <w:t>GERMÁN CASTRO FERREIRA</w:t>
            </w:r>
          </w:p>
        </w:tc>
        <w:tc>
          <w:tcPr>
            <w:tcW w:w="4861" w:type="dxa"/>
          </w:tcPr>
          <w:p w14:paraId="51DF9247" w14:textId="77777777" w:rsidR="00E45C04" w:rsidRPr="00E07CE8" w:rsidRDefault="00E45C04" w:rsidP="00D2521D">
            <w:pPr>
              <w:ind w:left="355" w:right="567"/>
              <w:jc w:val="center"/>
              <w:rPr>
                <w:rFonts w:ascii="Bookman Old Style" w:hAnsi="Bookman Old Style" w:cs="Arial"/>
                <w:b/>
                <w:spacing w:val="-3"/>
                <w:lang w:val="es-ES_tradnl"/>
              </w:rPr>
            </w:pPr>
          </w:p>
        </w:tc>
      </w:tr>
      <w:tr w:rsidR="00E45C04" w:rsidRPr="00E07CE8" w14:paraId="6B88BB9B" w14:textId="77777777" w:rsidTr="00D2521D">
        <w:trPr>
          <w:trHeight w:val="572"/>
        </w:trPr>
        <w:tc>
          <w:tcPr>
            <w:tcW w:w="5387" w:type="dxa"/>
          </w:tcPr>
          <w:p w14:paraId="360D7253" w14:textId="77777777" w:rsidR="00E45C04" w:rsidRPr="00E97F33" w:rsidRDefault="00E45C04" w:rsidP="00D2521D">
            <w:pPr>
              <w:widowControl w:val="0"/>
              <w:ind w:left="0"/>
              <w:jc w:val="center"/>
              <w:rPr>
                <w:rFonts w:ascii="Bookman Old Style" w:hAnsi="Bookman Old Style" w:cs="Arial"/>
              </w:rPr>
            </w:pPr>
            <w:r w:rsidRPr="00E97F33">
              <w:rPr>
                <w:rFonts w:ascii="Bookman Old Style" w:hAnsi="Bookman Old Style" w:cs="Arial"/>
              </w:rPr>
              <w:t>Delegada del Ministro de Minas y Energía</w:t>
            </w:r>
          </w:p>
          <w:p w14:paraId="3CE7A887" w14:textId="77777777" w:rsidR="00E45C04" w:rsidRPr="00E97F33" w:rsidRDefault="00E45C04" w:rsidP="00D2521D">
            <w:pPr>
              <w:widowControl w:val="0"/>
              <w:ind w:left="0"/>
              <w:jc w:val="center"/>
              <w:rPr>
                <w:rFonts w:ascii="Bookman Old Style" w:hAnsi="Bookman Old Style" w:cs="Arial"/>
              </w:rPr>
            </w:pPr>
            <w:r w:rsidRPr="00E97F33">
              <w:rPr>
                <w:rFonts w:ascii="Bookman Old Style" w:hAnsi="Bookman Old Style" w:cs="Arial"/>
              </w:rPr>
              <w:t>Viceministra de Energía</w:t>
            </w:r>
          </w:p>
          <w:p w14:paraId="1E391CBC" w14:textId="77777777" w:rsidR="00E45C04" w:rsidRPr="00E07CE8" w:rsidRDefault="00E45C04" w:rsidP="00D2521D">
            <w:pPr>
              <w:ind w:left="0"/>
              <w:jc w:val="center"/>
              <w:rPr>
                <w:rFonts w:ascii="Bookman Old Style" w:hAnsi="Bookman Old Style" w:cs="Arial"/>
                <w:spacing w:val="-3"/>
              </w:rPr>
            </w:pPr>
            <w:r w:rsidRPr="00E97F33">
              <w:rPr>
                <w:rFonts w:ascii="Bookman Old Style" w:hAnsi="Bookman Old Style" w:cs="Arial"/>
              </w:rPr>
              <w:t>Presidente</w:t>
            </w:r>
          </w:p>
        </w:tc>
        <w:tc>
          <w:tcPr>
            <w:tcW w:w="3827" w:type="dxa"/>
            <w:hideMark/>
          </w:tcPr>
          <w:p w14:paraId="10101C09" w14:textId="77777777" w:rsidR="00E45C04" w:rsidRPr="00E07CE8" w:rsidRDefault="00E45C04" w:rsidP="00D2521D">
            <w:pPr>
              <w:ind w:left="0"/>
              <w:jc w:val="center"/>
              <w:rPr>
                <w:rFonts w:ascii="Bookman Old Style" w:hAnsi="Bookman Old Style" w:cs="Arial"/>
                <w:spacing w:val="-3"/>
                <w:lang w:val="es-ES_tradnl"/>
              </w:rPr>
            </w:pPr>
            <w:r w:rsidRPr="00E97F33">
              <w:rPr>
                <w:rFonts w:ascii="Bookman Old Style" w:hAnsi="Bookman Old Style" w:cs="Arial"/>
                <w:bCs/>
              </w:rPr>
              <w:t>Director Ejecutivo</w:t>
            </w:r>
          </w:p>
        </w:tc>
        <w:tc>
          <w:tcPr>
            <w:tcW w:w="4861" w:type="dxa"/>
          </w:tcPr>
          <w:p w14:paraId="55104089" w14:textId="77777777" w:rsidR="00E45C04" w:rsidRPr="00E07CE8" w:rsidRDefault="00E45C04" w:rsidP="00D2521D">
            <w:pPr>
              <w:ind w:left="355"/>
              <w:rPr>
                <w:rFonts w:ascii="Bookman Old Style" w:hAnsi="Bookman Old Style" w:cs="Arial"/>
                <w:spacing w:val="-3"/>
                <w:lang w:val="es-ES_tradnl"/>
              </w:rPr>
            </w:pPr>
          </w:p>
        </w:tc>
      </w:tr>
    </w:tbl>
    <w:p w14:paraId="77922277" w14:textId="77777777" w:rsidR="00E45C04" w:rsidRPr="00E07CE8" w:rsidRDefault="00E45C04" w:rsidP="00E45C04">
      <w:pPr>
        <w:pStyle w:val="Encabezado"/>
        <w:tabs>
          <w:tab w:val="clear" w:pos="8504"/>
          <w:tab w:val="left" w:pos="0"/>
          <w:tab w:val="right" w:pos="9356"/>
        </w:tabs>
        <w:ind w:left="0"/>
        <w:jc w:val="both"/>
        <w:rPr>
          <w:rFonts w:ascii="Bookman Old Style" w:hAnsi="Bookman Old Style"/>
          <w:szCs w:val="24"/>
        </w:rPr>
      </w:pPr>
    </w:p>
    <w:p w14:paraId="3C41247E" w14:textId="77777777" w:rsidR="00E45C04" w:rsidRPr="00E07CE8" w:rsidRDefault="00E45C04" w:rsidP="00E45C04">
      <w:pPr>
        <w:pStyle w:val="Encabezado"/>
        <w:tabs>
          <w:tab w:val="clear" w:pos="8504"/>
          <w:tab w:val="left" w:pos="0"/>
          <w:tab w:val="right" w:pos="9356"/>
        </w:tabs>
        <w:ind w:left="0"/>
        <w:jc w:val="both"/>
        <w:rPr>
          <w:rFonts w:ascii="Bookman Old Style" w:hAnsi="Bookman Old Style"/>
          <w:szCs w:val="24"/>
        </w:rPr>
      </w:pPr>
    </w:p>
    <w:p w14:paraId="2A21D9F4" w14:textId="77777777" w:rsidR="00E45C04" w:rsidRPr="00E07CE8" w:rsidRDefault="00E45C04" w:rsidP="00E45C04">
      <w:pPr>
        <w:rPr>
          <w:rFonts w:ascii="Bookman Old Style" w:hAnsi="Bookman Old Style" w:cs="Arial"/>
        </w:rPr>
      </w:pPr>
    </w:p>
    <w:p w14:paraId="6FB339DC"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49BF8D0E"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54932DB9"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2D4DF1AB"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223CF055"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16DCC419"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2E5BB70B"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0F89F12C"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39F5E619"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29892101"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0CC3E7A0"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5299AACF"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6C3A9E30"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1FD39339"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12C3A7E2"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770C4916"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2D5CD5D7"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5D8474E4"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3D853C39"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3B64380A"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0EC6AF9A"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p>
    <w:p w14:paraId="774B63DC" w14:textId="77777777" w:rsidR="00E45C04" w:rsidRPr="00E07CE8" w:rsidRDefault="00E45C04" w:rsidP="00E45C04">
      <w:pPr>
        <w:tabs>
          <w:tab w:val="center" w:pos="4512"/>
          <w:tab w:val="left" w:pos="7088"/>
        </w:tabs>
        <w:suppressAutoHyphens/>
        <w:ind w:left="0" w:right="51"/>
        <w:jc w:val="center"/>
        <w:rPr>
          <w:rFonts w:ascii="Bookman Old Style" w:hAnsi="Bookman Old Style" w:cs="Arial"/>
          <w:bCs/>
          <w:lang w:eastAsia="es-CO"/>
        </w:rPr>
      </w:pPr>
      <w:r w:rsidRPr="00E07CE8">
        <w:rPr>
          <w:rFonts w:ascii="Bookman Old Style" w:hAnsi="Bookman Old Style" w:cs="Arial"/>
          <w:bCs/>
          <w:lang w:eastAsia="es-CO"/>
        </w:rPr>
        <w:t xml:space="preserve">Por la cual se modifica </w:t>
      </w:r>
      <w:r w:rsidRPr="00E07CE8">
        <w:rPr>
          <w:rFonts w:ascii="Bookman Old Style" w:hAnsi="Bookman Old Style" w:cs="Arial"/>
          <w:lang w:val="es-CO"/>
        </w:rPr>
        <w:t xml:space="preserve">la Resolución 062 de 2013 “Por medio de la cual se </w:t>
      </w:r>
      <w:r w:rsidRPr="00E07CE8">
        <w:rPr>
          <w:rFonts w:ascii="Bookman Old Style" w:hAnsi="Bookman Old Style" w:cs="Arial"/>
          <w:bCs/>
          <w:lang w:eastAsia="es-CO"/>
        </w:rPr>
        <w:t xml:space="preserve">establece un ingreso regulado por el uso de Gas Natural Importado en generaciones de seguridad” </w:t>
      </w:r>
    </w:p>
    <w:p w14:paraId="2242E29D" w14:textId="77777777" w:rsidR="00E45C04" w:rsidRPr="00E07CE8" w:rsidRDefault="00E45C04" w:rsidP="00E45C04">
      <w:pPr>
        <w:tabs>
          <w:tab w:val="left" w:pos="2520"/>
        </w:tabs>
        <w:ind w:left="0"/>
        <w:jc w:val="both"/>
        <w:rPr>
          <w:rFonts w:ascii="Bookman Old Style" w:hAnsi="Bookman Old Style" w:cs="Arial"/>
          <w:lang w:val="es-CO"/>
        </w:rPr>
      </w:pPr>
      <w:r w:rsidRPr="00E07CE8">
        <w:rPr>
          <w:rFonts w:ascii="Bookman Old Style" w:hAnsi="Bookman Old Style" w:cs="Arial"/>
          <w:lang w:val="es-CO"/>
        </w:rPr>
        <w:tab/>
      </w:r>
    </w:p>
    <w:p w14:paraId="7AFC65E4" w14:textId="77777777" w:rsidR="00E45C04" w:rsidRPr="00E07CE8" w:rsidRDefault="00E45C04" w:rsidP="00E45C04">
      <w:pPr>
        <w:tabs>
          <w:tab w:val="left" w:pos="2520"/>
        </w:tabs>
        <w:ind w:left="0"/>
        <w:jc w:val="both"/>
        <w:rPr>
          <w:rFonts w:ascii="Bookman Old Style" w:hAnsi="Bookman Old Style" w:cs="Arial"/>
          <w:lang w:val="es-CO"/>
        </w:rPr>
      </w:pPr>
    </w:p>
    <w:p w14:paraId="3FDDD942" w14:textId="77777777" w:rsidR="00E45C04" w:rsidRPr="00E07CE8" w:rsidRDefault="00E45C04" w:rsidP="00E45C04">
      <w:pPr>
        <w:tabs>
          <w:tab w:val="left" w:pos="2520"/>
        </w:tabs>
        <w:ind w:left="0"/>
        <w:jc w:val="both"/>
        <w:rPr>
          <w:rFonts w:ascii="Bookman Old Style" w:hAnsi="Bookman Old Style" w:cs="Arial"/>
          <w:lang w:val="es-CO"/>
        </w:rPr>
      </w:pPr>
    </w:p>
    <w:p w14:paraId="3CE49583" w14:textId="77777777" w:rsidR="00E45C04" w:rsidRPr="00E07CE8" w:rsidRDefault="00E45C04" w:rsidP="00E45C04">
      <w:pPr>
        <w:ind w:left="0"/>
        <w:jc w:val="center"/>
        <w:outlineLvl w:val="5"/>
        <w:rPr>
          <w:rFonts w:ascii="Bookman Old Style" w:hAnsi="Bookman Old Style" w:cs="Arial"/>
          <w:b/>
          <w:bCs/>
          <w:lang w:val="es-CO"/>
        </w:rPr>
      </w:pPr>
    </w:p>
    <w:p w14:paraId="2848A8F2" w14:textId="77777777" w:rsidR="00E45C04" w:rsidRPr="00E07CE8" w:rsidRDefault="00E45C04" w:rsidP="00E45C04">
      <w:pPr>
        <w:ind w:left="0"/>
        <w:jc w:val="center"/>
        <w:outlineLvl w:val="5"/>
        <w:rPr>
          <w:rFonts w:ascii="Bookman Old Style" w:hAnsi="Bookman Old Style" w:cs="Arial"/>
          <w:b/>
          <w:bCs/>
        </w:rPr>
      </w:pPr>
      <w:r w:rsidRPr="00E07CE8">
        <w:rPr>
          <w:rFonts w:ascii="Bookman Old Style" w:hAnsi="Bookman Old Style" w:cs="Arial"/>
          <w:b/>
          <w:bCs/>
        </w:rPr>
        <w:t>LA COMISIÓN DE REGULACIÓN DE ENERGÍA Y GAS</w:t>
      </w:r>
    </w:p>
    <w:p w14:paraId="0686040A" w14:textId="77777777" w:rsidR="00E45C04" w:rsidRPr="00E07CE8" w:rsidRDefault="00E45C04" w:rsidP="00E45C04">
      <w:pPr>
        <w:ind w:left="0"/>
        <w:jc w:val="both"/>
        <w:rPr>
          <w:rFonts w:ascii="Bookman Old Style" w:hAnsi="Bookman Old Style" w:cs="Arial"/>
          <w:b/>
          <w:bCs/>
        </w:rPr>
      </w:pPr>
    </w:p>
    <w:p w14:paraId="5E55A8FB" w14:textId="77777777" w:rsidR="00E45C04" w:rsidRPr="00E07CE8" w:rsidRDefault="00E45C04" w:rsidP="00E45C04">
      <w:pPr>
        <w:ind w:left="0"/>
        <w:jc w:val="both"/>
        <w:rPr>
          <w:rFonts w:ascii="Bookman Old Style" w:hAnsi="Bookman Old Style" w:cs="Arial"/>
          <w:b/>
          <w:bCs/>
        </w:rPr>
      </w:pPr>
    </w:p>
    <w:p w14:paraId="17408B9D" w14:textId="77777777" w:rsidR="00E45C04" w:rsidRPr="00E07CE8" w:rsidRDefault="00E45C04" w:rsidP="00E45C04">
      <w:pPr>
        <w:ind w:left="0"/>
        <w:jc w:val="both"/>
        <w:rPr>
          <w:rFonts w:ascii="Bookman Old Style" w:hAnsi="Bookman Old Style" w:cs="Arial"/>
        </w:rPr>
      </w:pPr>
    </w:p>
    <w:p w14:paraId="2238C520" w14:textId="77777777" w:rsidR="00E45C04" w:rsidRPr="00E07CE8" w:rsidRDefault="00E45C04" w:rsidP="00E45C04">
      <w:pPr>
        <w:tabs>
          <w:tab w:val="left" w:pos="0"/>
        </w:tabs>
        <w:ind w:left="0"/>
        <w:jc w:val="both"/>
        <w:rPr>
          <w:rFonts w:ascii="Bookman Old Style" w:hAnsi="Bookman Old Style" w:cs="Arial"/>
        </w:rPr>
      </w:pPr>
      <w:r w:rsidRPr="00E07CE8">
        <w:rPr>
          <w:rFonts w:ascii="Bookman Old Style" w:hAnsi="Bookman Old Style" w:cs="Arial"/>
        </w:rPr>
        <w:t>En ejercicio de las atribuciones legales, en especial las conferidas por las Leyes 142 y 143 de 1994, y en desarrollo de los decretos 1524 y 2253 de 1994, y</w:t>
      </w:r>
      <w:r>
        <w:rPr>
          <w:rFonts w:ascii="Bookman Old Style" w:hAnsi="Bookman Old Style" w:cs="Arial"/>
        </w:rPr>
        <w:t xml:space="preserve"> 1260 de 2013, y</w:t>
      </w:r>
    </w:p>
    <w:p w14:paraId="76EF3437" w14:textId="77777777" w:rsidR="00E45C04" w:rsidRPr="00E07CE8" w:rsidRDefault="00E45C04" w:rsidP="00E45C04">
      <w:pPr>
        <w:tabs>
          <w:tab w:val="left" w:pos="624"/>
        </w:tabs>
        <w:ind w:left="0"/>
        <w:jc w:val="both"/>
        <w:rPr>
          <w:rFonts w:ascii="Bookman Old Style" w:hAnsi="Bookman Old Style" w:cs="Arial"/>
        </w:rPr>
      </w:pPr>
    </w:p>
    <w:p w14:paraId="51B308C8" w14:textId="77777777" w:rsidR="00E45C04" w:rsidRPr="00E07CE8" w:rsidRDefault="00E45C04" w:rsidP="00E45C04">
      <w:pPr>
        <w:tabs>
          <w:tab w:val="left" w:pos="624"/>
        </w:tabs>
        <w:ind w:left="0"/>
        <w:jc w:val="both"/>
        <w:rPr>
          <w:rFonts w:ascii="Bookman Old Style" w:hAnsi="Bookman Old Style" w:cs="Arial"/>
        </w:rPr>
      </w:pPr>
    </w:p>
    <w:p w14:paraId="5C64C296" w14:textId="77777777" w:rsidR="00E45C04" w:rsidRPr="00E07CE8" w:rsidRDefault="00E45C04" w:rsidP="00E45C04">
      <w:pPr>
        <w:ind w:left="0"/>
        <w:jc w:val="both"/>
        <w:rPr>
          <w:rFonts w:ascii="Bookman Old Style" w:hAnsi="Bookman Old Style" w:cs="Arial"/>
        </w:rPr>
      </w:pPr>
    </w:p>
    <w:p w14:paraId="2089DDD8" w14:textId="77777777" w:rsidR="00E45C04" w:rsidRPr="00E07CE8" w:rsidRDefault="00E45C04" w:rsidP="00E45C04">
      <w:pPr>
        <w:suppressAutoHyphens/>
        <w:ind w:left="0"/>
        <w:jc w:val="center"/>
        <w:rPr>
          <w:rFonts w:ascii="Bookman Old Style" w:hAnsi="Bookman Old Style" w:cs="Arial"/>
          <w:b/>
          <w:lang w:eastAsia="ar-SA"/>
        </w:rPr>
      </w:pPr>
      <w:r w:rsidRPr="00E07CE8">
        <w:rPr>
          <w:rFonts w:ascii="Bookman Old Style" w:hAnsi="Bookman Old Style" w:cs="Arial"/>
          <w:b/>
          <w:lang w:eastAsia="ar-SA"/>
        </w:rPr>
        <w:t xml:space="preserve">C O N S I D E R A N D </w:t>
      </w:r>
      <w:proofErr w:type="gramStart"/>
      <w:r w:rsidRPr="00E07CE8">
        <w:rPr>
          <w:rFonts w:ascii="Bookman Old Style" w:hAnsi="Bookman Old Style" w:cs="Arial"/>
          <w:b/>
          <w:lang w:eastAsia="ar-SA"/>
        </w:rPr>
        <w:t>O  Q</w:t>
      </w:r>
      <w:proofErr w:type="gramEnd"/>
      <w:r w:rsidRPr="00E07CE8">
        <w:rPr>
          <w:rFonts w:ascii="Bookman Old Style" w:hAnsi="Bookman Old Style" w:cs="Arial"/>
          <w:b/>
          <w:lang w:eastAsia="ar-SA"/>
        </w:rPr>
        <w:t xml:space="preserve"> U E:</w:t>
      </w:r>
    </w:p>
    <w:p w14:paraId="641069C7" w14:textId="77777777" w:rsidR="00E45C04" w:rsidRPr="00E07CE8" w:rsidRDefault="00E45C04" w:rsidP="00E45C04">
      <w:pPr>
        <w:ind w:left="0"/>
        <w:jc w:val="both"/>
        <w:rPr>
          <w:rFonts w:ascii="Bookman Old Style" w:hAnsi="Bookman Old Style" w:cs="Arial"/>
        </w:rPr>
      </w:pPr>
    </w:p>
    <w:p w14:paraId="64B6EDFA" w14:textId="77777777" w:rsidR="00E45C04" w:rsidRPr="00E07CE8" w:rsidRDefault="00E45C04" w:rsidP="00E45C04">
      <w:pPr>
        <w:ind w:left="0"/>
        <w:jc w:val="both"/>
        <w:rPr>
          <w:rFonts w:ascii="Bookman Old Style" w:hAnsi="Bookman Old Style" w:cs="Arial"/>
        </w:rPr>
      </w:pPr>
    </w:p>
    <w:p w14:paraId="58D4853B" w14:textId="77777777" w:rsidR="00E45C04" w:rsidRPr="00E07CE8" w:rsidRDefault="00E45C04" w:rsidP="00E45C04">
      <w:pPr>
        <w:ind w:left="0"/>
        <w:jc w:val="both"/>
        <w:rPr>
          <w:rFonts w:ascii="Bookman Old Style" w:hAnsi="Bookman Old Style" w:cs="Arial"/>
        </w:rPr>
      </w:pPr>
      <w:r w:rsidRPr="00E07CE8">
        <w:rPr>
          <w:rFonts w:ascii="Bookman Old Style" w:hAnsi="Bookman Old Style" w:cs="Arial"/>
        </w:rPr>
        <w:t xml:space="preserve">Mediante la Resolución 062 de 2013 de fecha 29 de mayo de 2013, se profirió la regulación mediante la cual se estableció un ingreso regulado para el uso de Gas Natural Importado – GNI en generaciones de seguridad. </w:t>
      </w:r>
    </w:p>
    <w:p w14:paraId="6C081A79" w14:textId="77777777" w:rsidR="00E45C04" w:rsidRPr="00E07CE8" w:rsidRDefault="00E45C04" w:rsidP="00E45C04">
      <w:pPr>
        <w:ind w:left="0"/>
        <w:jc w:val="both"/>
        <w:rPr>
          <w:rFonts w:ascii="Bookman Old Style" w:hAnsi="Bookman Old Style" w:cs="Arial"/>
        </w:rPr>
      </w:pPr>
    </w:p>
    <w:p w14:paraId="0DEC7F55" w14:textId="77777777" w:rsidR="00E45C04" w:rsidRPr="00E07CE8" w:rsidRDefault="00E45C04" w:rsidP="00E45C04">
      <w:pPr>
        <w:keepNext/>
        <w:ind w:left="0"/>
        <w:jc w:val="both"/>
        <w:outlineLvl w:val="0"/>
        <w:rPr>
          <w:rFonts w:ascii="Bookman Old Style" w:hAnsi="Bookman Old Style" w:cs="Arial"/>
          <w:lang w:val="es-CO"/>
        </w:rPr>
      </w:pPr>
      <w:r w:rsidRPr="00E07CE8">
        <w:rPr>
          <w:rFonts w:ascii="Bookman Old Style" w:hAnsi="Bookman Old Style" w:cs="Arial"/>
          <w:lang w:val="es-CO"/>
        </w:rPr>
        <w:t>El objeto de la mencionada resolución consiste en</w:t>
      </w:r>
      <w:r w:rsidRPr="00E07CE8">
        <w:rPr>
          <w:rFonts w:ascii="Bookman Old Style" w:hAnsi="Bookman Old Style" w:cs="Arial"/>
          <w:b/>
          <w:lang w:val="es-CO"/>
        </w:rPr>
        <w:t xml:space="preserve"> </w:t>
      </w:r>
      <w:r w:rsidRPr="00E07CE8">
        <w:rPr>
          <w:rFonts w:ascii="Bookman Old Style" w:hAnsi="Bookman Old Style" w:cs="Arial"/>
          <w:lang w:val="es-CO"/>
        </w:rPr>
        <w:t xml:space="preserve">definir la metodología para establecer el ingreso regulado a un Grupo de Generadores Térmicos - GT que utilice  el GNI  para cubrir generaciones de seguridad conforme los requerimientos del Centro Nacional de Despacho - CND. </w:t>
      </w:r>
    </w:p>
    <w:p w14:paraId="44DD9E98" w14:textId="77777777" w:rsidR="00E45C04" w:rsidRPr="00E07CE8" w:rsidRDefault="00E45C04" w:rsidP="00E45C04">
      <w:pPr>
        <w:keepNext/>
        <w:ind w:left="0"/>
        <w:jc w:val="both"/>
        <w:outlineLvl w:val="0"/>
        <w:rPr>
          <w:rFonts w:ascii="Bookman Old Style" w:hAnsi="Bookman Old Style" w:cs="Arial"/>
          <w:lang w:val="es-CO"/>
        </w:rPr>
      </w:pPr>
    </w:p>
    <w:p w14:paraId="051A0856" w14:textId="77777777" w:rsidR="00E45C04" w:rsidRPr="00E07CE8" w:rsidRDefault="00E45C04" w:rsidP="00E45C04">
      <w:pPr>
        <w:keepNext/>
        <w:ind w:left="0"/>
        <w:jc w:val="both"/>
        <w:outlineLvl w:val="0"/>
        <w:rPr>
          <w:rFonts w:ascii="Bookman Old Style" w:hAnsi="Bookman Old Style" w:cs="Arial"/>
          <w:lang w:val="es-CO"/>
        </w:rPr>
      </w:pPr>
      <w:r w:rsidRPr="00E07CE8">
        <w:rPr>
          <w:rFonts w:ascii="Bookman Old Style" w:hAnsi="Bookman Old Style" w:cs="Arial"/>
          <w:lang w:val="es-CO"/>
        </w:rPr>
        <w:t xml:space="preserve">Con posterioridad y por algunas sugerencias realizadas por los miembros que conforman el GT, se vio la necesidad de realizar algunos ajustes a la mencionada resolución, los cuales se encuentran incorporados en la Resolución CREG 152 de 2013. </w:t>
      </w:r>
    </w:p>
    <w:p w14:paraId="52BE79EC" w14:textId="77777777" w:rsidR="00E45C04" w:rsidRDefault="00E45C04" w:rsidP="00E45C04">
      <w:pPr>
        <w:ind w:left="0"/>
        <w:jc w:val="both"/>
        <w:rPr>
          <w:rFonts w:ascii="Bookman Old Style" w:hAnsi="Bookman Old Style" w:cs="Arial"/>
        </w:rPr>
      </w:pPr>
    </w:p>
    <w:p w14:paraId="705832CA" w14:textId="77777777" w:rsidR="00E45C04" w:rsidRDefault="00E45C04" w:rsidP="00E45C04">
      <w:pPr>
        <w:ind w:left="0"/>
        <w:jc w:val="both"/>
        <w:rPr>
          <w:rFonts w:ascii="Bookman Old Style" w:hAnsi="Bookman Old Style" w:cs="Arial"/>
        </w:rPr>
      </w:pPr>
      <w:r>
        <w:rPr>
          <w:rFonts w:ascii="Bookman Old Style" w:hAnsi="Bookman Old Style" w:cs="Arial"/>
        </w:rPr>
        <w:t xml:space="preserve">Mediante comunicación </w:t>
      </w:r>
      <w:r w:rsidRPr="009C51F1">
        <w:rPr>
          <w:rFonts w:ascii="Bookman Old Style" w:hAnsi="Bookman Old Style" w:cs="Arial"/>
        </w:rPr>
        <w:t>E-2016-010038</w:t>
      </w:r>
      <w:r>
        <w:rPr>
          <w:rFonts w:ascii="Bookman Old Style" w:hAnsi="Bookman Old Style" w:cs="Arial"/>
        </w:rPr>
        <w:t xml:space="preserve"> enviada por XM, se hace la solicitud respecto de los siguientes aspectos que consideran deben ser ajustados en la regulación actual, siendo estos los siguientes:</w:t>
      </w:r>
    </w:p>
    <w:p w14:paraId="02A16A58" w14:textId="77777777" w:rsidR="00E45C04" w:rsidRDefault="00E45C04" w:rsidP="00E45C04">
      <w:pPr>
        <w:ind w:left="0"/>
        <w:jc w:val="both"/>
        <w:rPr>
          <w:rFonts w:ascii="Bookman Old Style" w:hAnsi="Bookman Old Style" w:cs="Arial"/>
        </w:rPr>
      </w:pPr>
    </w:p>
    <w:p w14:paraId="0579684C" w14:textId="77777777" w:rsidR="00E45C04" w:rsidRDefault="00E45C04" w:rsidP="00E45C04">
      <w:pPr>
        <w:ind w:left="0"/>
        <w:jc w:val="both"/>
        <w:rPr>
          <w:rFonts w:ascii="Bookman Old Style" w:hAnsi="Bookman Old Style" w:cs="Arial"/>
        </w:rPr>
      </w:pPr>
      <w:r w:rsidRPr="00C50CFF">
        <w:rPr>
          <w:rFonts w:ascii="Bookman Old Style" w:hAnsi="Bookman Old Style" w:cs="Arial"/>
        </w:rPr>
        <w:t>Dado que el Costo de Suministro de Combustible de referencia es publicado por</w:t>
      </w:r>
      <w:r>
        <w:rPr>
          <w:rFonts w:ascii="Bookman Old Style" w:hAnsi="Bookman Old Style" w:cs="Arial"/>
        </w:rPr>
        <w:t xml:space="preserve"> </w:t>
      </w:r>
      <w:r w:rsidRPr="00C50CFF">
        <w:rPr>
          <w:rFonts w:ascii="Bookman Old Style" w:hAnsi="Bookman Old Style" w:cs="Arial"/>
        </w:rPr>
        <w:t>el ASIC durante los primeros 15 días calendario al mes de consumo, y que este</w:t>
      </w:r>
      <w:r>
        <w:rPr>
          <w:rFonts w:ascii="Bookman Old Style" w:hAnsi="Bookman Old Style" w:cs="Arial"/>
        </w:rPr>
        <w:t xml:space="preserve"> </w:t>
      </w:r>
      <w:r w:rsidRPr="00C50CFF">
        <w:rPr>
          <w:rFonts w:ascii="Bookman Old Style" w:hAnsi="Bookman Old Style" w:cs="Arial"/>
        </w:rPr>
        <w:t>valor es requerido para la liquidación de la Generaciones de Seguridad con Gas</w:t>
      </w:r>
      <w:r>
        <w:rPr>
          <w:rFonts w:ascii="Bookman Old Style" w:hAnsi="Bookman Old Style" w:cs="Arial"/>
        </w:rPr>
        <w:t xml:space="preserve"> </w:t>
      </w:r>
      <w:r w:rsidRPr="00C50CFF">
        <w:rPr>
          <w:rFonts w:ascii="Bookman Old Style" w:hAnsi="Bookman Old Style" w:cs="Arial"/>
        </w:rPr>
        <w:t>Natural Importado de todo el mes, no es posible aplicar el literal a del numeral 9,</w:t>
      </w:r>
      <w:r>
        <w:rPr>
          <w:rFonts w:ascii="Bookman Old Style" w:hAnsi="Bookman Old Style" w:cs="Arial"/>
        </w:rPr>
        <w:t xml:space="preserve"> </w:t>
      </w:r>
      <w:r w:rsidRPr="00C50CFF">
        <w:rPr>
          <w:rFonts w:ascii="Bookman Old Style" w:hAnsi="Bookman Old Style" w:cs="Arial"/>
        </w:rPr>
        <w:t>Anexo 1 de la R</w:t>
      </w:r>
      <w:r>
        <w:rPr>
          <w:rFonts w:ascii="Bookman Old Style" w:hAnsi="Bookman Old Style" w:cs="Arial"/>
        </w:rPr>
        <w:t>esolución CREG 062 de 2013, el cual dispone:</w:t>
      </w:r>
    </w:p>
    <w:p w14:paraId="1DA2D32D" w14:textId="77777777" w:rsidR="00E45C04" w:rsidRDefault="00E45C04" w:rsidP="00E45C04">
      <w:pPr>
        <w:ind w:left="0"/>
        <w:jc w:val="both"/>
        <w:rPr>
          <w:rFonts w:ascii="Bookman Old Style" w:hAnsi="Bookman Old Style" w:cs="Arial"/>
        </w:rPr>
      </w:pPr>
    </w:p>
    <w:p w14:paraId="0A8C2C39" w14:textId="77777777" w:rsidR="00E45C04" w:rsidRPr="00C50CFF" w:rsidRDefault="00E45C04" w:rsidP="00E45C04">
      <w:pPr>
        <w:pStyle w:val="Prrafodelista"/>
        <w:numPr>
          <w:ilvl w:val="1"/>
          <w:numId w:val="6"/>
        </w:numPr>
        <w:tabs>
          <w:tab w:val="center" w:pos="0"/>
          <w:tab w:val="left" w:pos="567"/>
        </w:tabs>
        <w:suppressAutoHyphens/>
        <w:spacing w:after="0" w:line="240" w:lineRule="auto"/>
        <w:ind w:right="51"/>
        <w:jc w:val="both"/>
        <w:rPr>
          <w:rFonts w:ascii="Bookman Old Style" w:hAnsi="Bookman Old Style"/>
          <w:i/>
          <w:sz w:val="20"/>
          <w:szCs w:val="20"/>
        </w:rPr>
      </w:pPr>
      <w:r w:rsidRPr="00C50CFF">
        <w:rPr>
          <w:rFonts w:ascii="Bookman Old Style" w:hAnsi="Bookman Old Style"/>
          <w:i/>
          <w:sz w:val="20"/>
          <w:szCs w:val="20"/>
        </w:rPr>
        <w:lastRenderedPageBreak/>
        <w:t xml:space="preserve">En el evento de que de parte de las generaciones de seguridad se generen con combustible sustituto o gas nacional con un precio superior al costo de referencia del GNI, tan solo se le reconocerá el costo de suministro de combustible - CSC al precio de referencia del GNI que se esté pagando en el mercado en el día en que se debía honrar con ese compromiso, conforme a lo establecido en la página web de XM, teniendo en cuenta lo dispuesto por la Resolución CREG 139 de 2011. </w:t>
      </w:r>
    </w:p>
    <w:p w14:paraId="3E894ADB" w14:textId="77777777" w:rsidR="00E45C04" w:rsidRPr="0087799F" w:rsidRDefault="00E45C04" w:rsidP="00E45C04">
      <w:pPr>
        <w:pStyle w:val="Prrafodelista"/>
        <w:tabs>
          <w:tab w:val="center" w:pos="0"/>
          <w:tab w:val="left" w:pos="567"/>
        </w:tabs>
        <w:suppressAutoHyphens/>
        <w:spacing w:after="0" w:line="240" w:lineRule="auto"/>
        <w:ind w:left="1440" w:right="51"/>
        <w:jc w:val="both"/>
        <w:rPr>
          <w:rFonts w:ascii="Bookman Old Style" w:hAnsi="Bookman Old Style"/>
          <w:sz w:val="24"/>
          <w:szCs w:val="24"/>
        </w:rPr>
      </w:pPr>
    </w:p>
    <w:p w14:paraId="340981F9" w14:textId="77777777" w:rsidR="00E45C04" w:rsidRDefault="00E45C04" w:rsidP="00E45C04">
      <w:pPr>
        <w:ind w:left="0"/>
        <w:jc w:val="both"/>
        <w:rPr>
          <w:rFonts w:ascii="Bookman Old Style" w:hAnsi="Bookman Old Style" w:cs="Arial"/>
          <w:lang w:val="es-CO"/>
        </w:rPr>
      </w:pPr>
      <w:r w:rsidRPr="00C50CFF">
        <w:rPr>
          <w:rFonts w:ascii="Bookman Old Style" w:hAnsi="Bookman Old Style" w:cs="Arial"/>
          <w:lang w:val="es-CO"/>
        </w:rPr>
        <w:t>El numeral 6 del Anexo 1 de la Resolución CREG 062 de 2013 establece un</w:t>
      </w:r>
      <w:r>
        <w:rPr>
          <w:rFonts w:ascii="Bookman Old Style" w:hAnsi="Bookman Old Style" w:cs="Arial"/>
          <w:lang w:val="es-CO"/>
        </w:rPr>
        <w:t xml:space="preserve"> </w:t>
      </w:r>
      <w:r w:rsidRPr="00C50CFF">
        <w:rPr>
          <w:rFonts w:ascii="Bookman Old Style" w:hAnsi="Bookman Old Style" w:cs="Arial"/>
          <w:lang w:val="es-CO"/>
        </w:rPr>
        <w:t>valor anual en dólares para la remuneración de la disponibilidad para suministrar</w:t>
      </w:r>
      <w:r>
        <w:rPr>
          <w:rFonts w:ascii="Bookman Old Style" w:hAnsi="Bookman Old Style" w:cs="Arial"/>
          <w:lang w:val="es-CO"/>
        </w:rPr>
        <w:t xml:space="preserve"> </w:t>
      </w:r>
      <w:r w:rsidRPr="00C50CFF">
        <w:rPr>
          <w:rFonts w:ascii="Bookman Old Style" w:hAnsi="Bookman Old Style" w:cs="Arial"/>
          <w:lang w:val="es-CO"/>
        </w:rPr>
        <w:t>Gas Natural Importado a los generadores; sin embargo la norma no define la</w:t>
      </w:r>
      <w:r>
        <w:rPr>
          <w:rFonts w:ascii="Bookman Old Style" w:hAnsi="Bookman Old Style" w:cs="Arial"/>
          <w:lang w:val="es-CO"/>
        </w:rPr>
        <w:t xml:space="preserve"> </w:t>
      </w:r>
      <w:r w:rsidRPr="00C50CFF">
        <w:rPr>
          <w:rFonts w:ascii="Bookman Old Style" w:hAnsi="Bookman Old Style" w:cs="Arial"/>
          <w:lang w:val="es-CO"/>
        </w:rPr>
        <w:t>TRM a utilizar para convertir dicho valor en pesos</w:t>
      </w:r>
      <w:r>
        <w:rPr>
          <w:rFonts w:ascii="Bookman Old Style" w:hAnsi="Bookman Old Style" w:cs="Arial"/>
          <w:lang w:val="es-CO"/>
        </w:rPr>
        <w:t>.</w:t>
      </w:r>
    </w:p>
    <w:p w14:paraId="6BCBF77C" w14:textId="77777777" w:rsidR="00E45C04" w:rsidRDefault="00E45C04" w:rsidP="00E45C04">
      <w:pPr>
        <w:ind w:left="0"/>
        <w:jc w:val="both"/>
        <w:rPr>
          <w:rFonts w:ascii="Bookman Old Style" w:hAnsi="Bookman Old Style" w:cs="Arial"/>
          <w:lang w:val="es-CO"/>
        </w:rPr>
      </w:pPr>
    </w:p>
    <w:p w14:paraId="0AE23B93" w14:textId="77777777" w:rsidR="00E45C04" w:rsidRDefault="00E45C04" w:rsidP="00E45C04">
      <w:pPr>
        <w:ind w:left="0"/>
        <w:jc w:val="both"/>
        <w:rPr>
          <w:rFonts w:ascii="Bookman Old Style" w:hAnsi="Bookman Old Style" w:cs="Arial"/>
          <w:lang w:val="es-CO"/>
        </w:rPr>
      </w:pPr>
      <w:r w:rsidRPr="00C50CFF">
        <w:rPr>
          <w:rFonts w:ascii="Bookman Old Style" w:hAnsi="Bookman Old Style" w:cs="Arial"/>
          <w:lang w:val="es-CO"/>
        </w:rPr>
        <w:t>En la modificación al numeral 8 del Anexo 1 realizada por la Resolución CREG</w:t>
      </w:r>
      <w:r>
        <w:rPr>
          <w:rFonts w:ascii="Bookman Old Style" w:hAnsi="Bookman Old Style" w:cs="Arial"/>
          <w:lang w:val="es-CO"/>
        </w:rPr>
        <w:t xml:space="preserve"> </w:t>
      </w:r>
      <w:r w:rsidRPr="00C50CFF">
        <w:rPr>
          <w:rFonts w:ascii="Bookman Old Style" w:hAnsi="Bookman Old Style" w:cs="Arial"/>
          <w:lang w:val="es-CO"/>
        </w:rPr>
        <w:t>152 de 2013, se establece que el ASIC girará los dineros correspondientes al</w:t>
      </w:r>
      <w:r>
        <w:rPr>
          <w:rFonts w:ascii="Bookman Old Style" w:hAnsi="Bookman Old Style" w:cs="Arial"/>
          <w:lang w:val="es-CO"/>
        </w:rPr>
        <w:t xml:space="preserve"> </w:t>
      </w:r>
      <w:r w:rsidRPr="00C50CFF">
        <w:rPr>
          <w:rFonts w:ascii="Bookman Old Style" w:hAnsi="Bookman Old Style" w:cs="Arial"/>
          <w:lang w:val="es-CO"/>
        </w:rPr>
        <w:t>ingreso regulado de los agentes dentro de los cinco primeros días siguientes al</w:t>
      </w:r>
      <w:r>
        <w:rPr>
          <w:rFonts w:ascii="Bookman Old Style" w:hAnsi="Bookman Old Style" w:cs="Arial"/>
          <w:lang w:val="es-CO"/>
        </w:rPr>
        <w:t xml:space="preserve"> </w:t>
      </w:r>
      <w:r w:rsidRPr="00C50CFF">
        <w:rPr>
          <w:rFonts w:ascii="Bookman Old Style" w:hAnsi="Bookman Old Style" w:cs="Arial"/>
          <w:lang w:val="es-CO"/>
        </w:rPr>
        <w:t>mes de consumo, sin embargo en dicho plazo el ASIC no cuenta con los</w:t>
      </w:r>
      <w:r>
        <w:rPr>
          <w:rFonts w:ascii="Bookman Old Style" w:hAnsi="Bookman Old Style" w:cs="Arial"/>
          <w:lang w:val="es-CO"/>
        </w:rPr>
        <w:t xml:space="preserve"> </w:t>
      </w:r>
      <w:r w:rsidRPr="00C50CFF">
        <w:rPr>
          <w:rFonts w:ascii="Bookman Old Style" w:hAnsi="Bookman Old Style" w:cs="Arial"/>
          <w:lang w:val="es-CO"/>
        </w:rPr>
        <w:t>recursos para ser distribuidos sino hasta el quinto día hábil posterior a la</w:t>
      </w:r>
      <w:r>
        <w:rPr>
          <w:rFonts w:ascii="Bookman Old Style" w:hAnsi="Bookman Old Style" w:cs="Arial"/>
          <w:lang w:val="es-CO"/>
        </w:rPr>
        <w:t xml:space="preserve"> </w:t>
      </w:r>
      <w:r w:rsidRPr="00C50CFF">
        <w:rPr>
          <w:rFonts w:ascii="Bookman Old Style" w:hAnsi="Bookman Old Style" w:cs="Arial"/>
          <w:lang w:val="es-CO"/>
        </w:rPr>
        <w:t>facturación mensual, la cual se realiza el décimo día calendario del mes siguiente</w:t>
      </w:r>
      <w:r>
        <w:rPr>
          <w:rFonts w:ascii="Bookman Old Style" w:hAnsi="Bookman Old Style" w:cs="Arial"/>
          <w:lang w:val="es-CO"/>
        </w:rPr>
        <w:t xml:space="preserve"> </w:t>
      </w:r>
      <w:r w:rsidRPr="00C50CFF">
        <w:rPr>
          <w:rFonts w:ascii="Bookman Old Style" w:hAnsi="Bookman Old Style" w:cs="Arial"/>
          <w:lang w:val="es-CO"/>
        </w:rPr>
        <w:t>al de consumo</w:t>
      </w:r>
      <w:r>
        <w:rPr>
          <w:rFonts w:ascii="Bookman Old Style" w:hAnsi="Bookman Old Style" w:cs="Arial"/>
          <w:lang w:val="es-CO"/>
        </w:rPr>
        <w:t xml:space="preserve">. </w:t>
      </w:r>
    </w:p>
    <w:p w14:paraId="24141CB1" w14:textId="77777777" w:rsidR="00E45C04" w:rsidRDefault="00E45C04" w:rsidP="00E45C04">
      <w:pPr>
        <w:ind w:left="0"/>
        <w:jc w:val="both"/>
        <w:rPr>
          <w:rFonts w:ascii="Bookman Old Style" w:hAnsi="Bookman Old Style" w:cs="Arial"/>
          <w:lang w:val="es-CO"/>
        </w:rPr>
      </w:pPr>
    </w:p>
    <w:p w14:paraId="329D852C" w14:textId="77777777" w:rsidR="00E45C04" w:rsidRPr="00C50CFF" w:rsidRDefault="00E45C04" w:rsidP="00E45C04">
      <w:pPr>
        <w:ind w:left="0"/>
        <w:jc w:val="both"/>
        <w:rPr>
          <w:rFonts w:ascii="Bookman Old Style" w:hAnsi="Bookman Old Style" w:cs="Arial"/>
          <w:lang w:val="es-CO"/>
        </w:rPr>
      </w:pPr>
      <w:r>
        <w:rPr>
          <w:rFonts w:ascii="Bookman Old Style" w:hAnsi="Bookman Old Style" w:cs="Arial"/>
          <w:lang w:val="es-CO"/>
        </w:rPr>
        <w:t xml:space="preserve">De otra parte, se recibieron otro tipo de comentarios, los cuales consideramos que no deben ser objeto de modificación, los cuales son respondidos en debida forma, tal y como lo exige la regulación, en el documento soporte de la presente resolución. </w:t>
      </w:r>
      <w:r w:rsidRPr="00C50CFF">
        <w:rPr>
          <w:rFonts w:ascii="Bookman Old Style" w:hAnsi="Bookman Old Style" w:cs="Arial"/>
          <w:lang w:val="es-CO"/>
        </w:rPr>
        <w:t xml:space="preserve"> </w:t>
      </w:r>
    </w:p>
    <w:p w14:paraId="600ABEC7" w14:textId="77777777" w:rsidR="00E45C04" w:rsidRDefault="00E45C04" w:rsidP="00E45C04">
      <w:pPr>
        <w:ind w:left="0"/>
        <w:jc w:val="both"/>
        <w:rPr>
          <w:rFonts w:ascii="Bookman Old Style" w:hAnsi="Bookman Old Style" w:cs="Arial"/>
        </w:rPr>
      </w:pPr>
    </w:p>
    <w:p w14:paraId="1745B150" w14:textId="77777777" w:rsidR="00E45C04" w:rsidRPr="00E07CE8" w:rsidRDefault="00E45C04" w:rsidP="00E45C04">
      <w:pPr>
        <w:ind w:left="0"/>
        <w:jc w:val="both"/>
        <w:rPr>
          <w:rFonts w:ascii="Bookman Old Style" w:hAnsi="Bookman Old Style" w:cs="Arial"/>
        </w:rPr>
      </w:pPr>
      <w:r w:rsidRPr="00E07CE8">
        <w:rPr>
          <w:rFonts w:ascii="Bookman Old Style" w:hAnsi="Bookman Old Style" w:cs="Arial"/>
        </w:rPr>
        <w:t>Teniendo en cuenta la solicitud de</w:t>
      </w:r>
      <w:r>
        <w:rPr>
          <w:rFonts w:ascii="Bookman Old Style" w:hAnsi="Bookman Old Style" w:cs="Arial"/>
        </w:rPr>
        <w:t xml:space="preserve"> XM </w:t>
      </w:r>
      <w:r w:rsidRPr="00E07CE8">
        <w:rPr>
          <w:rFonts w:ascii="Bookman Old Style" w:hAnsi="Bookman Old Style" w:cs="Arial"/>
        </w:rPr>
        <w:t>con base en los análisis realizados de parte de la Comisión se profiere la siguiente regulación.</w:t>
      </w:r>
    </w:p>
    <w:p w14:paraId="67AFF572" w14:textId="77777777" w:rsidR="00E45C04" w:rsidRPr="00A54835" w:rsidRDefault="00E45C04" w:rsidP="00E45C04">
      <w:pPr>
        <w:ind w:left="0"/>
        <w:jc w:val="both"/>
        <w:rPr>
          <w:rFonts w:ascii="Bookman Old Style" w:hAnsi="Bookman Old Style" w:cs="Arial"/>
        </w:rPr>
      </w:pPr>
    </w:p>
    <w:p w14:paraId="6467F6C5" w14:textId="77777777" w:rsidR="00E45C04" w:rsidRPr="00E07CE8" w:rsidRDefault="00E45C04" w:rsidP="00E45C04">
      <w:pPr>
        <w:jc w:val="center"/>
        <w:rPr>
          <w:rFonts w:ascii="Bookman Old Style" w:hAnsi="Bookman Old Style" w:cs="Arial"/>
          <w:b/>
        </w:rPr>
      </w:pPr>
    </w:p>
    <w:p w14:paraId="0372D40A" w14:textId="77777777" w:rsidR="00E45C04" w:rsidRPr="00E07CE8" w:rsidRDefault="00E45C04" w:rsidP="00E45C04">
      <w:pPr>
        <w:jc w:val="center"/>
        <w:rPr>
          <w:rFonts w:ascii="Bookman Old Style" w:hAnsi="Bookman Old Style" w:cs="Arial"/>
          <w:b/>
        </w:rPr>
      </w:pPr>
      <w:r w:rsidRPr="00E07CE8">
        <w:rPr>
          <w:rFonts w:ascii="Bookman Old Style" w:hAnsi="Bookman Old Style" w:cs="Arial"/>
          <w:b/>
        </w:rPr>
        <w:t>R E S U E L V E:</w:t>
      </w:r>
    </w:p>
    <w:p w14:paraId="673D2965" w14:textId="77777777" w:rsidR="00E45C04" w:rsidRPr="00E07CE8" w:rsidRDefault="00E45C04" w:rsidP="00E45C04">
      <w:pPr>
        <w:jc w:val="center"/>
        <w:rPr>
          <w:rFonts w:ascii="Bookman Old Style" w:hAnsi="Bookman Old Style" w:cs="Arial"/>
          <w:b/>
        </w:rPr>
      </w:pPr>
    </w:p>
    <w:p w14:paraId="3069F683" w14:textId="77777777" w:rsidR="00E45C04" w:rsidRPr="00E07CE8" w:rsidRDefault="00E45C04" w:rsidP="00E45C04">
      <w:pPr>
        <w:jc w:val="center"/>
        <w:rPr>
          <w:rFonts w:ascii="Bookman Old Style" w:hAnsi="Bookman Old Style" w:cs="Arial"/>
          <w:b/>
        </w:rPr>
      </w:pPr>
    </w:p>
    <w:p w14:paraId="6C22CBDD" w14:textId="77777777" w:rsidR="00E45C04" w:rsidRDefault="00E45C04" w:rsidP="00E45C04">
      <w:pPr>
        <w:keepNext/>
        <w:ind w:left="0"/>
        <w:jc w:val="both"/>
        <w:outlineLvl w:val="0"/>
        <w:rPr>
          <w:rFonts w:ascii="Bookman Old Style" w:hAnsi="Bookman Old Style" w:cs="Arial"/>
          <w:lang w:val="es-CO"/>
        </w:rPr>
      </w:pPr>
      <w:r w:rsidRPr="00E07CE8">
        <w:rPr>
          <w:rFonts w:ascii="Bookman Old Style" w:hAnsi="Bookman Old Style" w:cs="Arial"/>
          <w:b/>
          <w:lang w:val="es-CO"/>
        </w:rPr>
        <w:t xml:space="preserve">Artículo 1. </w:t>
      </w:r>
      <w:r>
        <w:rPr>
          <w:rFonts w:ascii="Bookman Old Style" w:hAnsi="Bookman Old Style" w:cs="Arial"/>
          <w:lang w:val="es-CO"/>
        </w:rPr>
        <w:t xml:space="preserve">Modificar el literal a. del numeral 9 Compensaciones del Anexo 1 de la </w:t>
      </w:r>
      <w:r w:rsidRPr="00E07CE8">
        <w:rPr>
          <w:rFonts w:ascii="Bookman Old Style" w:hAnsi="Bookman Old Style" w:cs="Arial"/>
          <w:lang w:val="es-CO"/>
        </w:rPr>
        <w:t xml:space="preserve">Resolución 062 de mayo 29 de 2013, así: </w:t>
      </w:r>
    </w:p>
    <w:p w14:paraId="0DF3DA0B" w14:textId="77777777" w:rsidR="00E45C04" w:rsidRPr="00E07CE8" w:rsidRDefault="00E45C04" w:rsidP="00E45C04">
      <w:pPr>
        <w:rPr>
          <w:lang w:val="es-CO"/>
        </w:rPr>
      </w:pPr>
    </w:p>
    <w:p w14:paraId="5F009C1B" w14:textId="77777777" w:rsidR="00E45C04" w:rsidRDefault="00E45C04" w:rsidP="00E45C04">
      <w:pPr>
        <w:keepNext/>
        <w:ind w:left="0"/>
        <w:jc w:val="both"/>
        <w:outlineLvl w:val="0"/>
        <w:rPr>
          <w:rFonts w:ascii="Bookman Old Style" w:hAnsi="Bookman Old Style"/>
        </w:rPr>
      </w:pPr>
      <w:r>
        <w:rPr>
          <w:rFonts w:ascii="Bookman Old Style" w:hAnsi="Bookman Old Style"/>
          <w:b/>
        </w:rPr>
        <w:t xml:space="preserve">9. </w:t>
      </w:r>
      <w:r w:rsidRPr="0087799F">
        <w:rPr>
          <w:rFonts w:ascii="Bookman Old Style" w:hAnsi="Bookman Old Style"/>
          <w:b/>
        </w:rPr>
        <w:t xml:space="preserve">Compensación.- </w:t>
      </w:r>
      <w:r w:rsidRPr="0087799F">
        <w:rPr>
          <w:rFonts w:ascii="Bookman Old Style" w:hAnsi="Bookman Old Style"/>
        </w:rPr>
        <w:t>En caso de que el generador térmico miembro del grupo GT, no cumpl</w:t>
      </w:r>
      <w:r>
        <w:rPr>
          <w:rFonts w:ascii="Bookman Old Style" w:hAnsi="Bookman Old Style"/>
        </w:rPr>
        <w:t>a</w:t>
      </w:r>
      <w:r w:rsidRPr="0087799F">
        <w:rPr>
          <w:rFonts w:ascii="Bookman Old Style" w:hAnsi="Bookman Old Style"/>
        </w:rPr>
        <w:t xml:space="preserve"> con el compromiso de realizar generaciones de seguridad fuera de mérito</w:t>
      </w:r>
      <w:r>
        <w:rPr>
          <w:rFonts w:ascii="Bookman Old Style" w:hAnsi="Bookman Old Style"/>
        </w:rPr>
        <w:t xml:space="preserve"> con GNI</w:t>
      </w:r>
      <w:r w:rsidRPr="0087799F">
        <w:rPr>
          <w:rFonts w:ascii="Bookman Old Style" w:hAnsi="Bookman Old Style"/>
        </w:rPr>
        <w:t>, deberá asumir los costos de las siguientes compensaciones</w:t>
      </w:r>
    </w:p>
    <w:p w14:paraId="357195EB" w14:textId="77777777" w:rsidR="00E45C04" w:rsidRDefault="00E45C04" w:rsidP="00E45C04">
      <w:pPr>
        <w:rPr>
          <w:lang w:val="es-CO"/>
        </w:rPr>
      </w:pPr>
    </w:p>
    <w:p w14:paraId="6191379A" w14:textId="77777777" w:rsidR="00E45C04" w:rsidRDefault="00E45C04" w:rsidP="00E45C04">
      <w:pPr>
        <w:pStyle w:val="Prrafodelista"/>
        <w:keepNext/>
        <w:numPr>
          <w:ilvl w:val="0"/>
          <w:numId w:val="17"/>
        </w:numPr>
        <w:tabs>
          <w:tab w:val="center" w:pos="0"/>
          <w:tab w:val="left" w:pos="567"/>
        </w:tabs>
        <w:suppressAutoHyphens/>
        <w:spacing w:after="0" w:line="240" w:lineRule="auto"/>
        <w:ind w:left="360" w:right="51"/>
        <w:jc w:val="both"/>
        <w:outlineLvl w:val="0"/>
        <w:rPr>
          <w:rFonts w:ascii="Bookman Old Style" w:hAnsi="Bookman Old Style"/>
          <w:i/>
        </w:rPr>
      </w:pPr>
      <w:r w:rsidRPr="00E47177">
        <w:rPr>
          <w:rFonts w:ascii="Bookman Old Style" w:hAnsi="Bookman Old Style"/>
          <w:i/>
          <w:sz w:val="24"/>
          <w:szCs w:val="24"/>
        </w:rPr>
        <w:t xml:space="preserve">En el evento </w:t>
      </w:r>
      <w:r>
        <w:rPr>
          <w:rFonts w:ascii="Bookman Old Style" w:hAnsi="Bookman Old Style"/>
          <w:i/>
          <w:sz w:val="24"/>
          <w:szCs w:val="24"/>
        </w:rPr>
        <w:t>en</w:t>
      </w:r>
      <w:r w:rsidRPr="00E47177">
        <w:rPr>
          <w:rFonts w:ascii="Bookman Old Style" w:hAnsi="Bookman Old Style"/>
          <w:i/>
          <w:sz w:val="24"/>
          <w:szCs w:val="24"/>
        </w:rPr>
        <w:t xml:space="preserve"> que parte de las generaciones de seguridad se generen con combustible sustituto o gas </w:t>
      </w:r>
      <w:r>
        <w:rPr>
          <w:rFonts w:ascii="Bookman Old Style" w:hAnsi="Bookman Old Style"/>
          <w:i/>
          <w:sz w:val="24"/>
          <w:szCs w:val="24"/>
        </w:rPr>
        <w:t xml:space="preserve">natural </w:t>
      </w:r>
      <w:r w:rsidRPr="00E47177">
        <w:rPr>
          <w:rFonts w:ascii="Bookman Old Style" w:hAnsi="Bookman Old Style"/>
          <w:i/>
          <w:sz w:val="24"/>
          <w:szCs w:val="24"/>
        </w:rPr>
        <w:t>nacional con un precio sup</w:t>
      </w:r>
      <w:r w:rsidRPr="004E6F57">
        <w:rPr>
          <w:rFonts w:ascii="Bookman Old Style" w:hAnsi="Bookman Old Style"/>
          <w:i/>
          <w:sz w:val="24"/>
          <w:szCs w:val="24"/>
        </w:rPr>
        <w:t xml:space="preserve">erior al costo de referencia del GNI, tan solo se le reconocerá el costo de suministro de combustible - CSC al precio de referencia del GNI declarado </w:t>
      </w:r>
      <w:r>
        <w:rPr>
          <w:rFonts w:ascii="Bookman Old Style" w:hAnsi="Bookman Old Style"/>
          <w:i/>
          <w:sz w:val="24"/>
          <w:szCs w:val="24"/>
        </w:rPr>
        <w:t xml:space="preserve">al ASIC </w:t>
      </w:r>
      <w:r w:rsidRPr="004E6F57">
        <w:rPr>
          <w:rFonts w:ascii="Bookman Old Style" w:hAnsi="Bookman Old Style"/>
          <w:i/>
          <w:sz w:val="24"/>
          <w:szCs w:val="24"/>
        </w:rPr>
        <w:t>acorde con lo</w:t>
      </w:r>
      <w:r>
        <w:rPr>
          <w:rFonts w:ascii="Bookman Old Style" w:hAnsi="Bookman Old Style"/>
          <w:i/>
          <w:sz w:val="24"/>
          <w:szCs w:val="24"/>
        </w:rPr>
        <w:t xml:space="preserve">s tiempos establecidos en el parágrafo 2 del </w:t>
      </w:r>
      <w:r w:rsidRPr="004E6F57">
        <w:rPr>
          <w:rFonts w:ascii="Bookman Old Style" w:hAnsi="Bookman Old Style"/>
          <w:i/>
          <w:sz w:val="24"/>
          <w:szCs w:val="24"/>
        </w:rPr>
        <w:t xml:space="preserve">artículo 1 de la resolución CREG 034 de 2001 </w:t>
      </w:r>
      <w:r>
        <w:rPr>
          <w:rFonts w:ascii="Bookman Old Style" w:hAnsi="Bookman Old Style"/>
          <w:i/>
          <w:sz w:val="24"/>
          <w:szCs w:val="24"/>
        </w:rPr>
        <w:t xml:space="preserve">o aquella que la modifique, adicione o sustituya y publicado por el ASIC. </w:t>
      </w:r>
    </w:p>
    <w:p w14:paraId="1B0F09FB" w14:textId="77777777" w:rsidR="00E45C04" w:rsidRDefault="00E45C04" w:rsidP="00E45C04">
      <w:pPr>
        <w:pStyle w:val="Prrafodelista"/>
        <w:keepNext/>
        <w:tabs>
          <w:tab w:val="center" w:pos="0"/>
          <w:tab w:val="left" w:pos="567"/>
        </w:tabs>
        <w:suppressAutoHyphens/>
        <w:spacing w:after="0" w:line="240" w:lineRule="auto"/>
        <w:ind w:left="360" w:right="51"/>
        <w:jc w:val="both"/>
        <w:outlineLvl w:val="0"/>
        <w:rPr>
          <w:rFonts w:ascii="Bookman Old Style" w:hAnsi="Bookman Old Style"/>
          <w:i/>
        </w:rPr>
      </w:pPr>
    </w:p>
    <w:p w14:paraId="2AFE9F67" w14:textId="77777777" w:rsidR="00E45C04" w:rsidRPr="004E6F57" w:rsidRDefault="00E45C04" w:rsidP="00E45C04">
      <w:pPr>
        <w:pStyle w:val="Prrafodelista"/>
        <w:keepNext/>
        <w:numPr>
          <w:ilvl w:val="0"/>
          <w:numId w:val="17"/>
        </w:numPr>
        <w:tabs>
          <w:tab w:val="center" w:pos="0"/>
          <w:tab w:val="left" w:pos="567"/>
        </w:tabs>
        <w:suppressAutoHyphens/>
        <w:ind w:left="360" w:right="51"/>
        <w:jc w:val="both"/>
        <w:outlineLvl w:val="0"/>
        <w:rPr>
          <w:rFonts w:ascii="Bookman Old Style" w:hAnsi="Bookman Old Style"/>
          <w:i/>
          <w:sz w:val="24"/>
          <w:szCs w:val="24"/>
        </w:rPr>
      </w:pPr>
      <w:r w:rsidRPr="0033475B">
        <w:rPr>
          <w:rFonts w:ascii="Bookman Old Style" w:hAnsi="Bookman Old Style"/>
          <w:i/>
          <w:sz w:val="24"/>
          <w:szCs w:val="24"/>
        </w:rPr>
        <w:t xml:space="preserve">En el evento </w:t>
      </w:r>
      <w:r>
        <w:rPr>
          <w:rFonts w:ascii="Bookman Old Style" w:hAnsi="Bookman Old Style"/>
          <w:i/>
          <w:sz w:val="24"/>
          <w:szCs w:val="24"/>
        </w:rPr>
        <w:t>en</w:t>
      </w:r>
      <w:r w:rsidRPr="0033475B">
        <w:rPr>
          <w:rFonts w:ascii="Bookman Old Style" w:hAnsi="Bookman Old Style"/>
          <w:i/>
          <w:sz w:val="24"/>
          <w:szCs w:val="24"/>
        </w:rPr>
        <w:t xml:space="preserve"> que parte de las ge</w:t>
      </w:r>
      <w:r>
        <w:rPr>
          <w:rFonts w:ascii="Bookman Old Style" w:hAnsi="Bookman Old Style"/>
          <w:i/>
          <w:sz w:val="24"/>
          <w:szCs w:val="24"/>
        </w:rPr>
        <w:t xml:space="preserve">neraciones de seguridad GNI se </w:t>
      </w:r>
      <w:r w:rsidRPr="0033475B">
        <w:rPr>
          <w:rFonts w:ascii="Bookman Old Style" w:hAnsi="Bookman Old Style"/>
          <w:i/>
          <w:sz w:val="24"/>
          <w:szCs w:val="24"/>
        </w:rPr>
        <w:t>generen con otro combustible sustituto con un precio inferior al costo</w:t>
      </w:r>
      <w:r>
        <w:rPr>
          <w:rFonts w:ascii="Bookman Old Style" w:hAnsi="Bookman Old Style"/>
          <w:i/>
          <w:sz w:val="24"/>
          <w:szCs w:val="24"/>
        </w:rPr>
        <w:t xml:space="preserve"> de referencia del GNI, t</w:t>
      </w:r>
      <w:r w:rsidRPr="0033475B">
        <w:rPr>
          <w:rFonts w:ascii="Bookman Old Style" w:hAnsi="Bookman Old Style"/>
          <w:i/>
          <w:sz w:val="24"/>
          <w:szCs w:val="24"/>
        </w:rPr>
        <w:t xml:space="preserve">an solo se le reconocerá el costo que por concepto de ese sustituto se haya cancelado en el día en que se debía honrar con ese compromiso, conforme </w:t>
      </w:r>
      <w:r w:rsidRPr="0033475B">
        <w:rPr>
          <w:rFonts w:ascii="Bookman Old Style" w:hAnsi="Bookman Old Style"/>
          <w:i/>
          <w:sz w:val="24"/>
          <w:szCs w:val="24"/>
        </w:rPr>
        <w:lastRenderedPageBreak/>
        <w:t xml:space="preserve">se establece </w:t>
      </w:r>
      <w:r>
        <w:rPr>
          <w:rFonts w:ascii="Bookman Old Style" w:hAnsi="Bookman Old Style"/>
          <w:i/>
          <w:sz w:val="24"/>
          <w:szCs w:val="24"/>
        </w:rPr>
        <w:t>en la Resolución CREG 034 de 200</w:t>
      </w:r>
      <w:r w:rsidRPr="0033475B">
        <w:rPr>
          <w:rFonts w:ascii="Bookman Old Style" w:hAnsi="Bookman Old Style"/>
          <w:i/>
          <w:sz w:val="24"/>
          <w:szCs w:val="24"/>
        </w:rPr>
        <w:t>1 y aquellas que la modifiquen, adicionen o sustituyan</w:t>
      </w:r>
      <w:r>
        <w:rPr>
          <w:rFonts w:ascii="Bookman Old Style" w:hAnsi="Bookman Old Style"/>
          <w:i/>
          <w:sz w:val="24"/>
          <w:szCs w:val="24"/>
        </w:rPr>
        <w:t xml:space="preserve"> y publicado por el ASIC.</w:t>
      </w:r>
    </w:p>
    <w:p w14:paraId="0535F542" w14:textId="77777777" w:rsidR="00E45C04" w:rsidRPr="00E07CE8" w:rsidRDefault="00E45C04" w:rsidP="00E45C04">
      <w:pPr>
        <w:rPr>
          <w:rFonts w:ascii="Bookman Old Style" w:hAnsi="Bookman Old Style"/>
          <w:lang w:val="es-CO"/>
        </w:rPr>
      </w:pPr>
    </w:p>
    <w:p w14:paraId="020E995B" w14:textId="77777777" w:rsidR="00E45C04" w:rsidRPr="00E07CE8" w:rsidRDefault="00E45C04" w:rsidP="00E45C04">
      <w:pPr>
        <w:keepNext/>
        <w:ind w:left="0"/>
        <w:jc w:val="both"/>
        <w:outlineLvl w:val="0"/>
        <w:rPr>
          <w:rFonts w:ascii="Bookman Old Style" w:hAnsi="Bookman Old Style" w:cs="Arial"/>
          <w:lang w:val="es-CO"/>
        </w:rPr>
      </w:pPr>
      <w:r w:rsidRPr="00E07CE8">
        <w:rPr>
          <w:rFonts w:ascii="Bookman Old Style" w:hAnsi="Bookman Old Style" w:cs="Arial"/>
          <w:b/>
          <w:lang w:val="es-CO"/>
        </w:rPr>
        <w:t xml:space="preserve">Artículo 2. </w:t>
      </w:r>
      <w:r>
        <w:rPr>
          <w:rFonts w:ascii="Bookman Old Style" w:hAnsi="Bookman Old Style" w:cs="Arial"/>
          <w:lang w:val="es-CO"/>
        </w:rPr>
        <w:t xml:space="preserve">Modificar el numeral 6 </w:t>
      </w:r>
      <w:r w:rsidRPr="00E07CE8">
        <w:rPr>
          <w:rFonts w:ascii="Bookman Old Style" w:hAnsi="Bookman Old Style" w:cs="Arial"/>
          <w:lang w:val="es-CO"/>
        </w:rPr>
        <w:t>del Anexo No. 1 de la Resolución 062 de 2013</w:t>
      </w:r>
      <w:r>
        <w:rPr>
          <w:rFonts w:ascii="Bookman Old Style" w:hAnsi="Bookman Old Style" w:cs="Arial"/>
          <w:lang w:val="es-CO"/>
        </w:rPr>
        <w:t xml:space="preserve">, el cual quedará </w:t>
      </w:r>
      <w:r w:rsidRPr="00E07CE8">
        <w:rPr>
          <w:rFonts w:ascii="Bookman Old Style" w:hAnsi="Bookman Old Style" w:cs="Arial"/>
          <w:lang w:val="es-CO"/>
        </w:rPr>
        <w:t xml:space="preserve">así: </w:t>
      </w:r>
    </w:p>
    <w:p w14:paraId="051DEA44" w14:textId="77777777" w:rsidR="00E45C04" w:rsidRDefault="00E45C04" w:rsidP="00E45C04">
      <w:pPr>
        <w:ind w:left="0"/>
        <w:rPr>
          <w:rFonts w:ascii="Bookman Old Style" w:hAnsi="Bookman Old Style" w:cs="Arial"/>
          <w:lang w:val="es-CO"/>
        </w:rPr>
      </w:pPr>
    </w:p>
    <w:p w14:paraId="67B0DAA4" w14:textId="77777777" w:rsidR="00E45C04" w:rsidRPr="004E6F57" w:rsidRDefault="00E45C04" w:rsidP="00E45C04">
      <w:pPr>
        <w:pStyle w:val="Prrafodelista"/>
        <w:numPr>
          <w:ilvl w:val="0"/>
          <w:numId w:val="18"/>
        </w:numPr>
        <w:tabs>
          <w:tab w:val="center" w:pos="0"/>
          <w:tab w:val="left" w:pos="567"/>
        </w:tabs>
        <w:suppressAutoHyphens/>
        <w:ind w:right="51"/>
        <w:jc w:val="both"/>
        <w:rPr>
          <w:rFonts w:ascii="Bookman Old Style" w:hAnsi="Bookman Old Style"/>
          <w:i/>
          <w:sz w:val="24"/>
          <w:szCs w:val="24"/>
        </w:rPr>
      </w:pPr>
      <w:r w:rsidRPr="004E6F57">
        <w:rPr>
          <w:rFonts w:ascii="Bookman Old Style" w:hAnsi="Bookman Old Style"/>
          <w:b/>
          <w:i/>
          <w:sz w:val="24"/>
          <w:szCs w:val="24"/>
        </w:rPr>
        <w:t xml:space="preserve">Ajuste mensual del valor anual de los ingresos regulados. </w:t>
      </w:r>
      <w:r w:rsidRPr="004E6F57">
        <w:rPr>
          <w:rFonts w:ascii="Bookman Old Style" w:hAnsi="Bookman Old Style"/>
          <w:i/>
          <w:sz w:val="24"/>
          <w:szCs w:val="24"/>
        </w:rPr>
        <w:t>El valor anual del  ingreso regulado al que se refiere el artículo anterior se ajustará mensualmente conforme a la siguiente fórmula, en todo caso teniendo en cuenta la TRM del último día hábil del mes anterior a la realización del cálculo, así:</w:t>
      </w:r>
    </w:p>
    <w:p w14:paraId="06C0AF4C" w14:textId="77777777" w:rsidR="00E45C04" w:rsidRPr="001272C3" w:rsidRDefault="00E45C04" w:rsidP="00E45C04">
      <w:pPr>
        <w:tabs>
          <w:tab w:val="center" w:pos="0"/>
          <w:tab w:val="left" w:pos="567"/>
        </w:tabs>
        <w:suppressAutoHyphens/>
        <w:ind w:left="0" w:right="51"/>
        <w:jc w:val="both"/>
        <w:rPr>
          <w:rFonts w:ascii="Bookman Old Style" w:hAnsi="Bookman Old Style"/>
        </w:rPr>
      </w:pPr>
    </w:p>
    <w:p w14:paraId="2911A61E" w14:textId="77777777" w:rsidR="00E45C04" w:rsidRPr="001272C3" w:rsidRDefault="00E45C04" w:rsidP="00E45C04">
      <w:pPr>
        <w:pStyle w:val="Prrafodelista"/>
        <w:jc w:val="both"/>
        <w:rPr>
          <w:szCs w:val="24"/>
          <w:lang w:val="es-ES"/>
        </w:rPr>
      </w:pPr>
    </w:p>
    <w:p w14:paraId="251E8685" w14:textId="77777777" w:rsidR="00E45C04" w:rsidRPr="00387BB1" w:rsidRDefault="0054720A" w:rsidP="00E45C04">
      <w:pPr>
        <w:pStyle w:val="Prrafodelista"/>
        <w:jc w:val="center"/>
        <w:rPr>
          <w:rFonts w:ascii="Bookman Old Style" w:hAnsi="Bookman Old Style"/>
          <w:b/>
          <w:i/>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IRT</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IRT</m:t>
              </m:r>
            </m:e>
            <m:sub>
              <m:r>
                <m:rPr>
                  <m:sty m:val="bi"/>
                </m:rPr>
                <w:rPr>
                  <w:rFonts w:ascii="Cambria Math" w:hAnsi="Cambria Math"/>
                  <w:sz w:val="24"/>
                  <w:szCs w:val="24"/>
                </w:rPr>
                <m:t>0</m:t>
              </m:r>
            </m:sub>
          </m:sSub>
          <m:r>
            <m:rPr>
              <m:sty m:val="bi"/>
            </m:rPr>
            <w:rPr>
              <w:rFonts w:ascii="Cambria Math" w:hAnsi="Cambria Math"/>
              <w:sz w:val="24"/>
              <w:szCs w:val="24"/>
            </w:rPr>
            <m:t xml:space="preserve"> ×</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PPI</m:t>
                  </m:r>
                </m:e>
                <m:sub>
                  <m:r>
                    <m:rPr>
                      <m:sty m:val="bi"/>
                    </m:rPr>
                    <w:rPr>
                      <w:rFonts w:ascii="Cambria Math" w:hAnsi="Cambria Math"/>
                      <w:sz w:val="24"/>
                      <w:szCs w:val="24"/>
                    </w:rPr>
                    <m:t>m-1</m:t>
                  </m:r>
                </m:sub>
              </m:sSub>
            </m:num>
            <m:den>
              <m:sSub>
                <m:sSubPr>
                  <m:ctrlPr>
                    <w:rPr>
                      <w:rFonts w:ascii="Cambria Math" w:hAnsi="Cambria Math"/>
                      <w:b/>
                      <w:i/>
                      <w:sz w:val="24"/>
                      <w:szCs w:val="24"/>
                    </w:rPr>
                  </m:ctrlPr>
                </m:sSubPr>
                <m:e>
                  <m:r>
                    <m:rPr>
                      <m:sty m:val="bi"/>
                    </m:rPr>
                    <w:rPr>
                      <w:rFonts w:ascii="Cambria Math" w:hAnsi="Cambria Math"/>
                      <w:sz w:val="24"/>
                      <w:szCs w:val="24"/>
                    </w:rPr>
                    <m:t>PPI</m:t>
                  </m:r>
                </m:e>
                <m:sub>
                  <m:r>
                    <m:rPr>
                      <m:sty m:val="bi"/>
                    </m:rPr>
                    <w:rPr>
                      <w:rFonts w:ascii="Cambria Math" w:hAnsi="Cambria Math"/>
                      <w:sz w:val="24"/>
                      <w:szCs w:val="24"/>
                    </w:rPr>
                    <m:t>0</m:t>
                  </m:r>
                </m:sub>
              </m:sSub>
            </m:den>
          </m:f>
        </m:oMath>
      </m:oMathPara>
    </w:p>
    <w:p w14:paraId="1F1B69F2" w14:textId="77777777" w:rsidR="00E45C04" w:rsidRPr="001272C3" w:rsidRDefault="00E45C04" w:rsidP="00E45C04">
      <w:pPr>
        <w:pStyle w:val="Prrafodelista"/>
        <w:jc w:val="center"/>
        <w:rPr>
          <w:rFonts w:ascii="Bookman Old Style" w:hAnsi="Bookman Old Style"/>
          <w:i/>
          <w:sz w:val="24"/>
          <w:szCs w:val="24"/>
          <w:vertAlign w:val="subscript"/>
          <w:lang w:val="en-US"/>
        </w:rPr>
      </w:pPr>
    </w:p>
    <w:p w14:paraId="79BC2348" w14:textId="77777777" w:rsidR="00E45C04" w:rsidRPr="001272C3" w:rsidRDefault="00E45C04" w:rsidP="00E45C04">
      <w:pPr>
        <w:tabs>
          <w:tab w:val="left" w:pos="1418"/>
        </w:tabs>
        <w:ind w:left="2127" w:hanging="1419"/>
        <w:jc w:val="both"/>
        <w:rPr>
          <w:rFonts w:ascii="Bookman Old Style" w:hAnsi="Bookman Old Style"/>
          <w:i/>
        </w:rPr>
      </w:pPr>
      <m:oMath>
        <m:r>
          <w:rPr>
            <w:rFonts w:ascii="Cambria Math" w:hAnsi="Cambria Math"/>
          </w:rPr>
          <m:t>m</m:t>
        </m:r>
      </m:oMath>
      <w:r w:rsidRPr="001272C3">
        <w:rPr>
          <w:rFonts w:ascii="Bookman Old Style" w:hAnsi="Bookman Old Style"/>
          <w:i/>
        </w:rPr>
        <w:tab/>
      </w:r>
      <w:r w:rsidRPr="001272C3">
        <w:rPr>
          <w:rFonts w:ascii="Bookman Old Style" w:hAnsi="Bookman Old Style"/>
          <w:i/>
        </w:rPr>
        <w:tab/>
        <w:t xml:space="preserve">Mes para el que se calcula el pago del ingreso regulado </w:t>
      </w:r>
    </w:p>
    <w:p w14:paraId="41A26E1A" w14:textId="77777777" w:rsidR="00E45C04" w:rsidRPr="001272C3" w:rsidRDefault="0054720A" w:rsidP="00E45C04">
      <w:pPr>
        <w:ind w:left="2124" w:hanging="1415"/>
        <w:jc w:val="both"/>
        <w:rPr>
          <w:rFonts w:ascii="Bookman Old Style" w:hAnsi="Bookman Old Style"/>
          <w:i/>
        </w:rPr>
      </w:pPr>
      <m:oMath>
        <m:sSub>
          <m:sSubPr>
            <m:ctrlPr>
              <w:rPr>
                <w:rFonts w:ascii="Cambria Math" w:hAnsi="Cambria Math"/>
                <w:i/>
              </w:rPr>
            </m:ctrlPr>
          </m:sSubPr>
          <m:e>
            <m:r>
              <w:rPr>
                <w:rFonts w:ascii="Cambria Math" w:hAnsi="Cambria Math"/>
              </w:rPr>
              <m:t>IRT</m:t>
            </m:r>
          </m:e>
          <m:sub>
            <m:r>
              <w:rPr>
                <w:rFonts w:ascii="Cambria Math" w:hAnsi="Cambria Math"/>
              </w:rPr>
              <m:t>m</m:t>
            </m:r>
          </m:sub>
        </m:sSub>
      </m:oMath>
      <w:r w:rsidR="00E45C04" w:rsidRPr="001272C3">
        <w:rPr>
          <w:rFonts w:ascii="Bookman Old Style" w:hAnsi="Bookman Old Style"/>
          <w:i/>
        </w:rPr>
        <w:tab/>
        <w:t xml:space="preserve">Valor anual, en el mes m, de la remuneración por la disponibilidad de la máxima capacidad en MPCD requerida para suministrar el GNI a los generadores </w:t>
      </w:r>
    </w:p>
    <w:p w14:paraId="0F66B97C" w14:textId="77777777" w:rsidR="00E45C04" w:rsidRPr="001272C3" w:rsidRDefault="0054720A" w:rsidP="00E45C04">
      <w:pPr>
        <w:ind w:left="2124" w:hanging="1415"/>
        <w:jc w:val="both"/>
        <w:rPr>
          <w:rFonts w:ascii="Bookman Old Style" w:hAnsi="Bookman Old Style"/>
          <w:i/>
        </w:rPr>
      </w:pPr>
      <m:oMath>
        <m:sSub>
          <m:sSubPr>
            <m:ctrlPr>
              <w:rPr>
                <w:rFonts w:ascii="Cambria Math" w:hAnsi="Cambria Math"/>
                <w:i/>
              </w:rPr>
            </m:ctrlPr>
          </m:sSubPr>
          <m:e>
            <m:r>
              <w:rPr>
                <w:rFonts w:ascii="Cambria Math" w:hAnsi="Cambria Math"/>
              </w:rPr>
              <m:t>IRT</m:t>
            </m:r>
          </m:e>
          <m:sub>
            <m:r>
              <w:rPr>
                <w:rFonts w:ascii="Cambria Math" w:hAnsi="Cambria Math"/>
              </w:rPr>
              <m:t>o</m:t>
            </m:r>
          </m:sub>
        </m:sSub>
      </m:oMath>
      <w:r w:rsidR="00E45C04" w:rsidRPr="001272C3">
        <w:rPr>
          <w:rFonts w:ascii="Bookman Old Style" w:hAnsi="Bookman Old Style"/>
          <w:i/>
        </w:rPr>
        <w:tab/>
        <w:t xml:space="preserve">Valor anual, en el mes m en Dólares de los Estados Unidos </w:t>
      </w:r>
      <w:r w:rsidR="00E45C04">
        <w:rPr>
          <w:rFonts w:ascii="Bookman Old Style" w:hAnsi="Bookman Old Style"/>
          <w:i/>
        </w:rPr>
        <w:t>en el mes de adjudicación</w:t>
      </w:r>
      <w:r w:rsidR="00E45C04" w:rsidRPr="001272C3">
        <w:rPr>
          <w:rFonts w:ascii="Bookman Old Style" w:hAnsi="Bookman Old Style"/>
          <w:i/>
        </w:rPr>
        <w:t xml:space="preserve">, de la remuneración por la disponibilidad de la máxima capacidad en MPCD requerida para suministrar el GNI a los generadores </w:t>
      </w:r>
    </w:p>
    <w:p w14:paraId="72E67BF2" w14:textId="77777777" w:rsidR="00E45C04" w:rsidRPr="001272C3" w:rsidRDefault="0054720A" w:rsidP="00E45C04">
      <w:pPr>
        <w:pStyle w:val="Prrafodelista"/>
        <w:ind w:left="708"/>
        <w:jc w:val="both"/>
        <w:rPr>
          <w:rFonts w:ascii="Bookman Old Style" w:eastAsia="Times New Roman" w:hAnsi="Bookman Old Style"/>
          <w:i/>
          <w:sz w:val="24"/>
          <w:szCs w:val="24"/>
          <w:lang w:val="es-ES" w:eastAsia="es-ES"/>
        </w:rPr>
      </w:pPr>
      <m:oMath>
        <m:sSub>
          <m:sSubPr>
            <m:ctrlPr>
              <w:rPr>
                <w:rFonts w:ascii="Cambria Math" w:eastAsia="Times New Roman" w:hAnsi="Cambria Math"/>
                <w:i/>
                <w:sz w:val="24"/>
                <w:szCs w:val="24"/>
                <w:lang w:val="es-ES" w:eastAsia="es-ES"/>
              </w:rPr>
            </m:ctrlPr>
          </m:sSubPr>
          <m:e>
            <m:r>
              <w:rPr>
                <w:rFonts w:ascii="Cambria Math" w:eastAsia="Times New Roman" w:hAnsi="Cambria Math"/>
                <w:sz w:val="24"/>
                <w:szCs w:val="24"/>
                <w:lang w:val="es-ES" w:eastAsia="es-ES"/>
              </w:rPr>
              <m:t>PPI</m:t>
            </m:r>
          </m:e>
          <m:sub>
            <m:r>
              <w:rPr>
                <w:rFonts w:ascii="Cambria Math" w:eastAsia="Times New Roman" w:hAnsi="Cambria Math"/>
                <w:sz w:val="24"/>
                <w:szCs w:val="24"/>
                <w:lang w:val="es-ES" w:eastAsia="es-ES"/>
              </w:rPr>
              <m:t>m-1</m:t>
            </m:r>
          </m:sub>
        </m:sSub>
      </m:oMath>
      <w:r w:rsidR="00E45C04" w:rsidRPr="001272C3">
        <w:rPr>
          <w:rFonts w:ascii="Bookman Old Style" w:eastAsia="Times New Roman" w:hAnsi="Bookman Old Style"/>
          <w:i/>
          <w:sz w:val="24"/>
          <w:szCs w:val="24"/>
          <w:lang w:val="es-ES" w:eastAsia="es-ES"/>
        </w:rPr>
        <w:tab/>
        <w:t>PPI del mes m-1</w:t>
      </w:r>
    </w:p>
    <w:p w14:paraId="0F2DF212" w14:textId="77777777" w:rsidR="00E45C04" w:rsidRPr="001272C3" w:rsidRDefault="0054720A" w:rsidP="00E45C04">
      <w:pPr>
        <w:pStyle w:val="Prrafodelista"/>
        <w:ind w:left="708"/>
        <w:jc w:val="both"/>
        <w:rPr>
          <w:rFonts w:ascii="Bookman Old Style" w:eastAsia="Times New Roman" w:hAnsi="Bookman Old Style"/>
          <w:i/>
          <w:sz w:val="24"/>
          <w:szCs w:val="24"/>
          <w:lang w:val="es-ES" w:eastAsia="es-ES"/>
        </w:rPr>
      </w:pPr>
      <m:oMath>
        <m:sSub>
          <m:sSubPr>
            <m:ctrlPr>
              <w:rPr>
                <w:rFonts w:ascii="Cambria Math" w:eastAsia="Times New Roman" w:hAnsi="Cambria Math"/>
                <w:i/>
                <w:sz w:val="24"/>
                <w:szCs w:val="24"/>
                <w:lang w:val="es-ES" w:eastAsia="es-ES"/>
              </w:rPr>
            </m:ctrlPr>
          </m:sSubPr>
          <m:e>
            <m:r>
              <w:rPr>
                <w:rFonts w:ascii="Cambria Math" w:eastAsia="Times New Roman" w:hAnsi="Cambria Math"/>
                <w:sz w:val="24"/>
                <w:szCs w:val="24"/>
                <w:lang w:val="es-ES" w:eastAsia="es-ES"/>
              </w:rPr>
              <m:t>PPI</m:t>
            </m:r>
          </m:e>
          <m:sub>
            <m:r>
              <w:rPr>
                <w:rFonts w:ascii="Cambria Math" w:eastAsia="Times New Roman" w:hAnsi="Cambria Math"/>
                <w:sz w:val="24"/>
                <w:szCs w:val="24"/>
                <w:lang w:val="es-ES" w:eastAsia="es-ES"/>
              </w:rPr>
              <m:t>0</m:t>
            </m:r>
          </m:sub>
        </m:sSub>
      </m:oMath>
      <w:r w:rsidR="00E45C04" w:rsidRPr="001272C3">
        <w:rPr>
          <w:rFonts w:ascii="Bookman Old Style" w:eastAsia="Times New Roman" w:hAnsi="Bookman Old Style"/>
          <w:i/>
          <w:sz w:val="24"/>
          <w:szCs w:val="24"/>
          <w:lang w:val="es-ES" w:eastAsia="es-ES"/>
        </w:rPr>
        <w:tab/>
      </w:r>
      <w:r w:rsidR="00E45C04" w:rsidRPr="001272C3">
        <w:rPr>
          <w:rFonts w:ascii="Bookman Old Style" w:eastAsia="Times New Roman" w:hAnsi="Bookman Old Style"/>
          <w:i/>
          <w:sz w:val="24"/>
          <w:szCs w:val="24"/>
          <w:lang w:val="es-ES" w:eastAsia="es-ES"/>
        </w:rPr>
        <w:tab/>
        <w:t xml:space="preserve">PPI del mes </w:t>
      </w:r>
      <w:r w:rsidR="00E45C04">
        <w:rPr>
          <w:rFonts w:ascii="Bookman Old Style" w:hAnsi="Bookman Old Style"/>
          <w:i/>
        </w:rPr>
        <w:t>de adjudicación</w:t>
      </w:r>
    </w:p>
    <w:p w14:paraId="70AC5974" w14:textId="77777777" w:rsidR="00E45C04" w:rsidRPr="00535D8D" w:rsidRDefault="00E45C04" w:rsidP="00E45C04">
      <w:pPr>
        <w:ind w:left="0"/>
        <w:rPr>
          <w:rFonts w:ascii="Bookman Old Style" w:hAnsi="Bookman Old Style" w:cs="Arial"/>
        </w:rPr>
      </w:pPr>
    </w:p>
    <w:p w14:paraId="1EF0AAD5" w14:textId="77777777" w:rsidR="00E45C04" w:rsidRDefault="00E45C04" w:rsidP="00E45C04">
      <w:pPr>
        <w:keepNext/>
        <w:ind w:left="0"/>
        <w:jc w:val="both"/>
        <w:outlineLvl w:val="0"/>
        <w:rPr>
          <w:rFonts w:ascii="Bookman Old Style" w:hAnsi="Bookman Old Style" w:cs="Arial"/>
          <w:lang w:val="es-CO"/>
        </w:rPr>
      </w:pPr>
      <w:r w:rsidRPr="00E07CE8">
        <w:rPr>
          <w:rFonts w:ascii="Bookman Old Style" w:hAnsi="Bookman Old Style" w:cs="Arial"/>
          <w:b/>
          <w:lang w:val="es-CO"/>
        </w:rPr>
        <w:t xml:space="preserve">Artículo 3. </w:t>
      </w:r>
      <w:r>
        <w:rPr>
          <w:rFonts w:ascii="Bookman Old Style" w:hAnsi="Bookman Old Style" w:cs="Arial"/>
          <w:lang w:val="es-CO"/>
        </w:rPr>
        <w:t xml:space="preserve">Modificar el numeral 8 del Anexo 1 de la Resolución CREG 062 de 2013, el cual a su vez fue modificado por el Artículo 8 de la Resolución CREG 152 de 2013, el cual quedará así: </w:t>
      </w:r>
    </w:p>
    <w:p w14:paraId="11D6723E" w14:textId="77777777" w:rsidR="00E45C04" w:rsidRDefault="00E45C04" w:rsidP="00E45C04">
      <w:pPr>
        <w:keepNext/>
        <w:ind w:left="0"/>
        <w:jc w:val="both"/>
        <w:outlineLvl w:val="0"/>
        <w:rPr>
          <w:rFonts w:ascii="Bookman Old Style" w:hAnsi="Bookman Old Style" w:cs="Arial"/>
          <w:lang w:val="es-CO"/>
        </w:rPr>
      </w:pPr>
    </w:p>
    <w:p w14:paraId="6AE96539" w14:textId="77777777" w:rsidR="00E45C04" w:rsidRPr="007A6E79" w:rsidRDefault="00E45C04" w:rsidP="00E45C04">
      <w:pPr>
        <w:numPr>
          <w:ilvl w:val="0"/>
          <w:numId w:val="4"/>
        </w:numPr>
        <w:suppressAutoHyphens/>
        <w:ind w:left="1276" w:right="51" w:hanging="425"/>
        <w:contextualSpacing/>
        <w:jc w:val="both"/>
        <w:rPr>
          <w:rFonts w:ascii="Bookman Old Style" w:eastAsia="Calibri" w:hAnsi="Bookman Old Style"/>
          <w:i/>
          <w:lang w:val="es-CO" w:eastAsia="en-US"/>
        </w:rPr>
      </w:pPr>
      <w:r w:rsidRPr="007A6E79">
        <w:rPr>
          <w:rFonts w:ascii="Bookman Old Style" w:eastAsia="Calibri" w:hAnsi="Bookman Old Style"/>
          <w:b/>
          <w:i/>
          <w:lang w:val="es-CO" w:eastAsia="en-US"/>
        </w:rPr>
        <w:t>Remuneración del ingreso máximo regulado.-</w:t>
      </w:r>
      <w:r w:rsidRPr="007A6E79">
        <w:rPr>
          <w:rFonts w:ascii="Bookman Old Style" w:eastAsia="Calibri" w:hAnsi="Bookman Old Style"/>
          <w:i/>
          <w:lang w:val="es-CO" w:eastAsia="en-US"/>
        </w:rPr>
        <w:t xml:space="preserve"> El ASIC realizará la administración de cuentas de los recursos correspondientes a los miembros del GT individualmente considerados y que cuenten con contrato vigente tanto con el AI como con el AC considerando los mismos plazos y procedimientos establecidos en la resolución CREG 024 de 1995 y aquellas que la modifiquen adiciones o sustituyan. </w:t>
      </w:r>
    </w:p>
    <w:p w14:paraId="16DD3E76" w14:textId="77777777" w:rsidR="00E45C04" w:rsidRPr="00535D8D" w:rsidRDefault="00E45C04" w:rsidP="00E45C04">
      <w:pPr>
        <w:suppressAutoHyphens/>
        <w:ind w:left="1276" w:right="51"/>
        <w:contextualSpacing/>
        <w:jc w:val="both"/>
        <w:rPr>
          <w:rFonts w:ascii="Bookman Old Style" w:eastAsia="Calibri" w:hAnsi="Bookman Old Style"/>
          <w:i/>
          <w:sz w:val="16"/>
          <w:lang w:val="es-CO" w:eastAsia="en-US"/>
        </w:rPr>
      </w:pPr>
    </w:p>
    <w:p w14:paraId="40B1E6FF" w14:textId="77777777" w:rsidR="00E45C04" w:rsidRPr="00535D8D" w:rsidRDefault="00E45C04" w:rsidP="00E45C04">
      <w:pPr>
        <w:suppressAutoHyphens/>
        <w:ind w:left="1276" w:right="51"/>
        <w:contextualSpacing/>
        <w:jc w:val="both"/>
        <w:rPr>
          <w:rFonts w:ascii="Bookman Old Style" w:eastAsia="Calibri" w:hAnsi="Bookman Old Style"/>
          <w:i/>
          <w:lang w:val="es-CO" w:eastAsia="en-US"/>
        </w:rPr>
      </w:pPr>
      <w:r w:rsidRPr="00535D8D">
        <w:rPr>
          <w:rFonts w:ascii="Bookman Old Style" w:eastAsia="Calibri" w:hAnsi="Bookman Old Style"/>
          <w:b/>
          <w:i/>
          <w:lang w:val="es-CO" w:eastAsia="en-US"/>
        </w:rPr>
        <w:t xml:space="preserve">PARÁGRAFO.- </w:t>
      </w:r>
      <w:r w:rsidRPr="00535D8D">
        <w:rPr>
          <w:rFonts w:ascii="Bookman Old Style" w:eastAsia="Calibri" w:hAnsi="Bookman Old Style"/>
          <w:i/>
          <w:lang w:val="es-CO" w:eastAsia="en-US"/>
        </w:rPr>
        <w:t>El Ingreso Regulado IR se reconocerá a partir de la entrada en operación del proyecto y hasta el 30 de noviembre de 2025. Para el primer mes de operación se reconocerá el IR en forma proporcional al número de días que efectivamente la planta haya estado en operación. No obstante sí la entrada del proyecto es posterior al 30 de noviembre de 201</w:t>
      </w:r>
      <w:r>
        <w:rPr>
          <w:rFonts w:ascii="Bookman Old Style" w:eastAsia="Calibri" w:hAnsi="Bookman Old Style"/>
          <w:i/>
          <w:lang w:val="es-CO" w:eastAsia="en-US"/>
        </w:rPr>
        <w:t>7</w:t>
      </w:r>
      <w:r w:rsidRPr="00535D8D">
        <w:rPr>
          <w:rFonts w:ascii="Bookman Old Style" w:eastAsia="Calibri" w:hAnsi="Bookman Old Style"/>
          <w:i/>
          <w:lang w:val="es-CO" w:eastAsia="en-US"/>
        </w:rPr>
        <w:t xml:space="preserve"> no se tendrá derecho a percibir lo correspondiente al IR.</w:t>
      </w:r>
    </w:p>
    <w:p w14:paraId="03F78BF9" w14:textId="77777777" w:rsidR="00E45C04" w:rsidRPr="00535D8D" w:rsidRDefault="00E45C04" w:rsidP="00E45C04">
      <w:pPr>
        <w:suppressAutoHyphens/>
        <w:ind w:left="1276" w:right="51"/>
        <w:contextualSpacing/>
        <w:jc w:val="both"/>
        <w:rPr>
          <w:rFonts w:ascii="Bookman Old Style" w:eastAsia="Calibri" w:hAnsi="Bookman Old Style"/>
          <w:i/>
          <w:lang w:val="es-CO" w:eastAsia="en-US"/>
        </w:rPr>
      </w:pPr>
    </w:p>
    <w:p w14:paraId="4AC17FEF" w14:textId="77777777" w:rsidR="00E45C04" w:rsidRPr="00E07CE8" w:rsidRDefault="00E45C04" w:rsidP="00E45C04">
      <w:pPr>
        <w:tabs>
          <w:tab w:val="center" w:pos="0"/>
          <w:tab w:val="left" w:pos="567"/>
        </w:tabs>
        <w:suppressAutoHyphens/>
        <w:ind w:left="0" w:right="51"/>
        <w:contextualSpacing/>
        <w:jc w:val="both"/>
        <w:rPr>
          <w:rFonts w:ascii="Bookman Old Style" w:hAnsi="Bookman Old Style"/>
          <w:lang w:val="es-CO"/>
        </w:rPr>
      </w:pPr>
    </w:p>
    <w:p w14:paraId="7C55E1AA" w14:textId="77777777" w:rsidR="00E45C04" w:rsidRPr="00E07CE8" w:rsidRDefault="00E45C04" w:rsidP="00E45C04">
      <w:pPr>
        <w:tabs>
          <w:tab w:val="center" w:pos="0"/>
          <w:tab w:val="left" w:pos="567"/>
        </w:tabs>
        <w:suppressAutoHyphens/>
        <w:ind w:left="0" w:right="51"/>
        <w:jc w:val="both"/>
        <w:rPr>
          <w:rFonts w:ascii="Bookman Old Style" w:hAnsi="Bookman Old Style" w:cs="Arial"/>
          <w:lang w:val="es-CO"/>
        </w:rPr>
      </w:pPr>
      <w:r w:rsidRPr="00E07CE8">
        <w:rPr>
          <w:rFonts w:ascii="Bookman Old Style" w:hAnsi="Bookman Old Style" w:cs="Arial"/>
          <w:b/>
          <w:lang w:val="es-CO"/>
        </w:rPr>
        <w:t xml:space="preserve">Artículo </w:t>
      </w:r>
      <w:r>
        <w:rPr>
          <w:rFonts w:ascii="Bookman Old Style" w:hAnsi="Bookman Old Style" w:cs="Arial"/>
          <w:b/>
          <w:lang w:val="es-CO"/>
        </w:rPr>
        <w:t>4</w:t>
      </w:r>
      <w:r w:rsidRPr="00E07CE8">
        <w:rPr>
          <w:rFonts w:ascii="Bookman Old Style" w:hAnsi="Bookman Old Style" w:cs="Arial"/>
          <w:b/>
          <w:lang w:val="es-CO"/>
        </w:rPr>
        <w:t xml:space="preserve">. </w:t>
      </w:r>
      <w:r>
        <w:rPr>
          <w:rFonts w:ascii="Bookman Old Style" w:hAnsi="Bookman Old Style" w:cs="Arial"/>
          <w:b/>
          <w:lang w:val="es-CO"/>
        </w:rPr>
        <w:t xml:space="preserve">Vigencia.- </w:t>
      </w:r>
      <w:r w:rsidRPr="00E07CE8">
        <w:rPr>
          <w:rFonts w:ascii="Bookman Old Style" w:hAnsi="Bookman Old Style" w:cs="Arial"/>
          <w:lang w:val="es-CO"/>
        </w:rPr>
        <w:t xml:space="preserve">La presente </w:t>
      </w:r>
      <w:r w:rsidRPr="00E07CE8">
        <w:rPr>
          <w:rFonts w:ascii="Bookman Old Style" w:hAnsi="Bookman Old Style" w:cs="Arial"/>
        </w:rPr>
        <w:t xml:space="preserve">resolución rige desde su publicación en el </w:t>
      </w:r>
      <w:r w:rsidRPr="00E07CE8">
        <w:rPr>
          <w:rFonts w:ascii="Bookman Old Style" w:hAnsi="Bookman Old Style" w:cs="Arial"/>
          <w:i/>
        </w:rPr>
        <w:t>Diario Oficial</w:t>
      </w:r>
      <w:r>
        <w:rPr>
          <w:rFonts w:ascii="Bookman Old Style" w:hAnsi="Bookman Old Style" w:cs="Arial"/>
          <w:i/>
        </w:rPr>
        <w:t xml:space="preserve"> </w:t>
      </w:r>
      <w:r>
        <w:rPr>
          <w:rFonts w:ascii="Bookman Old Style" w:hAnsi="Bookman Old Style" w:cs="Arial"/>
        </w:rPr>
        <w:t>y deroga todas las disposiciones que le sean contrarias</w:t>
      </w:r>
      <w:r w:rsidRPr="00E07CE8">
        <w:rPr>
          <w:rFonts w:ascii="Bookman Old Style" w:hAnsi="Bookman Old Style" w:cs="Arial"/>
          <w:lang w:val="es-CO"/>
        </w:rPr>
        <w:t>. Los demás aspectos no modificados con la</w:t>
      </w:r>
      <w:r>
        <w:rPr>
          <w:rFonts w:ascii="Bookman Old Style" w:hAnsi="Bookman Old Style" w:cs="Arial"/>
          <w:lang w:val="es-CO"/>
        </w:rPr>
        <w:t xml:space="preserve"> presente</w:t>
      </w:r>
      <w:r w:rsidRPr="00E07CE8">
        <w:rPr>
          <w:rFonts w:ascii="Bookman Old Style" w:hAnsi="Bookman Old Style" w:cs="Arial"/>
          <w:lang w:val="es-CO"/>
        </w:rPr>
        <w:t xml:space="preserve"> Resolución permanecerán vigentes. </w:t>
      </w:r>
    </w:p>
    <w:p w14:paraId="05BF41E7" w14:textId="77777777" w:rsidR="00E45C04" w:rsidRPr="00E07CE8" w:rsidRDefault="00E45C04" w:rsidP="00E45C04">
      <w:pPr>
        <w:tabs>
          <w:tab w:val="center" w:pos="0"/>
          <w:tab w:val="left" w:pos="567"/>
        </w:tabs>
        <w:suppressAutoHyphens/>
        <w:ind w:left="0" w:right="51"/>
        <w:jc w:val="both"/>
        <w:rPr>
          <w:rFonts w:ascii="Bookman Old Style" w:hAnsi="Bookman Old Style" w:cs="Arial"/>
          <w:lang w:val="es-CO"/>
        </w:rPr>
      </w:pPr>
    </w:p>
    <w:p w14:paraId="154FFA3C" w14:textId="77777777" w:rsidR="00E45C04" w:rsidRPr="00E07CE8" w:rsidRDefault="00E45C04" w:rsidP="00E45C04">
      <w:pPr>
        <w:rPr>
          <w:rFonts w:ascii="Bookman Old Style" w:hAnsi="Bookman Old Style" w:cs="Arial"/>
          <w:lang w:val="es-CO" w:eastAsia="ar-SA"/>
        </w:rPr>
      </w:pPr>
    </w:p>
    <w:p w14:paraId="383F95EE" w14:textId="77777777" w:rsidR="00E45C04" w:rsidRPr="00E07CE8" w:rsidRDefault="00E45C04" w:rsidP="00E45C04">
      <w:pPr>
        <w:rPr>
          <w:rFonts w:ascii="Bookman Old Style" w:hAnsi="Bookman Old Style" w:cs="Arial"/>
          <w:lang w:eastAsia="ar-SA"/>
        </w:rPr>
      </w:pPr>
    </w:p>
    <w:p w14:paraId="7A67A5E5" w14:textId="77777777" w:rsidR="00E45C04" w:rsidRPr="00E07CE8" w:rsidRDefault="00E45C04" w:rsidP="00E45C04">
      <w:pPr>
        <w:jc w:val="center"/>
        <w:rPr>
          <w:rFonts w:ascii="Bookman Old Style" w:hAnsi="Bookman Old Style" w:cs="Arial"/>
          <w:lang w:eastAsia="ar-SA"/>
        </w:rPr>
      </w:pPr>
      <w:r w:rsidRPr="00E07CE8">
        <w:rPr>
          <w:rFonts w:ascii="Bookman Old Style" w:hAnsi="Bookman Old Style" w:cs="Arial"/>
          <w:b/>
        </w:rPr>
        <w:t>PUBLÍQUESE Y CÚMPLASE</w:t>
      </w:r>
    </w:p>
    <w:p w14:paraId="75544B9B" w14:textId="77777777" w:rsidR="00E45C04" w:rsidRPr="00E07CE8" w:rsidRDefault="00E45C04" w:rsidP="00E45C04">
      <w:pPr>
        <w:rPr>
          <w:rFonts w:ascii="Bookman Old Style" w:hAnsi="Bookman Old Style" w:cs="Arial"/>
        </w:rPr>
      </w:pPr>
    </w:p>
    <w:p w14:paraId="3DE57E9B" w14:textId="77777777" w:rsidR="00E45C04" w:rsidRPr="00E07CE8" w:rsidRDefault="00E45C04" w:rsidP="00E45C04">
      <w:pPr>
        <w:rPr>
          <w:rFonts w:ascii="Bookman Old Style" w:hAnsi="Bookman Old Style" w:cs="Arial"/>
        </w:rPr>
      </w:pPr>
    </w:p>
    <w:p w14:paraId="2836DF8B" w14:textId="77777777" w:rsidR="00E45C04" w:rsidRPr="00E07CE8" w:rsidRDefault="00E45C04" w:rsidP="00E45C04">
      <w:pPr>
        <w:ind w:left="0"/>
        <w:rPr>
          <w:rFonts w:ascii="Bookman Old Style" w:hAnsi="Bookman Old Style" w:cs="Arial"/>
        </w:rPr>
      </w:pPr>
      <w:r w:rsidRPr="00E07CE8">
        <w:rPr>
          <w:rFonts w:ascii="Bookman Old Style" w:hAnsi="Bookman Old Style" w:cs="Arial"/>
        </w:rPr>
        <w:t>Firma del proyecto,</w:t>
      </w:r>
    </w:p>
    <w:p w14:paraId="5C2AAC2A" w14:textId="77777777" w:rsidR="00E45C04" w:rsidRPr="00E07CE8" w:rsidRDefault="00E45C04" w:rsidP="00E45C04">
      <w:pPr>
        <w:rPr>
          <w:rFonts w:ascii="Bookman Old Style" w:hAnsi="Bookman Old Style" w:cs="Arial"/>
        </w:rPr>
      </w:pPr>
    </w:p>
    <w:p w14:paraId="6C1BAAD6" w14:textId="77777777" w:rsidR="00E45C04" w:rsidRDefault="00E45C04" w:rsidP="00E45C04">
      <w:pPr>
        <w:rPr>
          <w:rFonts w:ascii="Bookman Old Style" w:hAnsi="Bookman Old Style" w:cs="Arial"/>
        </w:rPr>
      </w:pPr>
    </w:p>
    <w:p w14:paraId="7C75BCF0" w14:textId="77777777" w:rsidR="00E45C04" w:rsidRDefault="00E45C04" w:rsidP="00E45C04">
      <w:pPr>
        <w:rPr>
          <w:rFonts w:ascii="Bookman Old Style" w:hAnsi="Bookman Old Style" w:cs="Arial"/>
        </w:rPr>
      </w:pPr>
    </w:p>
    <w:p w14:paraId="4BDE444A" w14:textId="77777777" w:rsidR="00E45C04" w:rsidRPr="00E07CE8" w:rsidRDefault="00E45C04" w:rsidP="00E45C04">
      <w:pPr>
        <w:rPr>
          <w:rFonts w:ascii="Bookman Old Style" w:hAnsi="Bookman Old Style" w:cs="Arial"/>
        </w:rPr>
      </w:pPr>
    </w:p>
    <w:p w14:paraId="28EEA386" w14:textId="77777777" w:rsidR="00E45C04" w:rsidRPr="00E07CE8" w:rsidRDefault="00E45C04" w:rsidP="00E45C04">
      <w:pPr>
        <w:rPr>
          <w:rFonts w:ascii="Bookman Old Style" w:hAnsi="Bookman Old Style" w:cs="Arial"/>
        </w:rPr>
      </w:pPr>
    </w:p>
    <w:p w14:paraId="660420F2" w14:textId="77777777" w:rsidR="00E45C04" w:rsidRPr="00E07CE8" w:rsidRDefault="00E45C04" w:rsidP="00E45C04">
      <w:pPr>
        <w:rPr>
          <w:rFonts w:ascii="Bookman Old Style" w:hAnsi="Bookman Old Style" w:cs="Arial"/>
        </w:rPr>
      </w:pPr>
    </w:p>
    <w:tbl>
      <w:tblPr>
        <w:tblW w:w="0" w:type="auto"/>
        <w:jc w:val="center"/>
        <w:tblCellSpacing w:w="0" w:type="dxa"/>
        <w:tblCellMar>
          <w:left w:w="0" w:type="dxa"/>
          <w:right w:w="0" w:type="dxa"/>
        </w:tblCellMar>
        <w:tblLook w:val="04A0" w:firstRow="1" w:lastRow="0" w:firstColumn="1" w:lastColumn="0" w:noHBand="0" w:noVBand="1"/>
      </w:tblPr>
      <w:tblGrid>
        <w:gridCol w:w="5529"/>
        <w:gridCol w:w="3827"/>
      </w:tblGrid>
      <w:tr w:rsidR="00E45C04" w:rsidRPr="00E07CE8" w14:paraId="7101C2D4" w14:textId="77777777" w:rsidTr="00D2521D">
        <w:trPr>
          <w:tblCellSpacing w:w="0" w:type="dxa"/>
          <w:jc w:val="center"/>
        </w:trPr>
        <w:tc>
          <w:tcPr>
            <w:tcW w:w="5529" w:type="dxa"/>
            <w:hideMark/>
          </w:tcPr>
          <w:p w14:paraId="4770D8E1" w14:textId="77777777" w:rsidR="00E45C04" w:rsidRPr="00E07CE8" w:rsidRDefault="00E45C04" w:rsidP="00D2521D">
            <w:pPr>
              <w:widowControl w:val="0"/>
              <w:ind w:left="0"/>
              <w:jc w:val="center"/>
              <w:rPr>
                <w:rFonts w:ascii="Bookman Old Style" w:hAnsi="Bookman Old Style" w:cs="Arial"/>
                <w:b/>
              </w:rPr>
            </w:pPr>
            <w:r w:rsidRPr="00486601">
              <w:rPr>
                <w:rFonts w:ascii="Bookman Old Style" w:hAnsi="Bookman Old Style" w:cs="Arial"/>
                <w:b/>
              </w:rPr>
              <w:t>RUTTY PAOLA ORTIZ JARA</w:t>
            </w:r>
          </w:p>
        </w:tc>
        <w:tc>
          <w:tcPr>
            <w:tcW w:w="3827" w:type="dxa"/>
            <w:hideMark/>
          </w:tcPr>
          <w:p w14:paraId="4F3CF7F8" w14:textId="77777777" w:rsidR="00E45C04" w:rsidRPr="00E07CE8" w:rsidRDefault="00E45C04" w:rsidP="00D2521D">
            <w:pPr>
              <w:widowControl w:val="0"/>
              <w:ind w:left="0"/>
              <w:jc w:val="center"/>
              <w:rPr>
                <w:rFonts w:ascii="Bookman Old Style" w:hAnsi="Bookman Old Style" w:cs="Arial"/>
                <w:b/>
                <w:bCs/>
              </w:rPr>
            </w:pPr>
            <w:r w:rsidRPr="00061F48">
              <w:rPr>
                <w:rFonts w:ascii="Bookman Old Style" w:hAnsi="Bookman Old Style" w:cs="Arial"/>
                <w:b/>
                <w:bCs/>
              </w:rPr>
              <w:t>GERMÁN CASTRO FERREIRA</w:t>
            </w:r>
          </w:p>
        </w:tc>
      </w:tr>
      <w:tr w:rsidR="00E45C04" w:rsidRPr="00E07CE8" w14:paraId="6347DDB2" w14:textId="77777777" w:rsidTr="00D2521D">
        <w:trPr>
          <w:tblCellSpacing w:w="0" w:type="dxa"/>
          <w:jc w:val="center"/>
        </w:trPr>
        <w:tc>
          <w:tcPr>
            <w:tcW w:w="5529" w:type="dxa"/>
            <w:hideMark/>
          </w:tcPr>
          <w:p w14:paraId="6B9C21C5" w14:textId="77777777" w:rsidR="00E45C04" w:rsidRPr="00E97F33" w:rsidRDefault="00E45C04" w:rsidP="00D2521D">
            <w:pPr>
              <w:widowControl w:val="0"/>
              <w:ind w:left="0"/>
              <w:jc w:val="center"/>
              <w:rPr>
                <w:rFonts w:ascii="Bookman Old Style" w:hAnsi="Bookman Old Style" w:cs="Arial"/>
              </w:rPr>
            </w:pPr>
            <w:r w:rsidRPr="00E97F33">
              <w:rPr>
                <w:rFonts w:ascii="Bookman Old Style" w:hAnsi="Bookman Old Style" w:cs="Arial"/>
              </w:rPr>
              <w:t>Delegada del Ministro de Minas y Energía</w:t>
            </w:r>
          </w:p>
          <w:p w14:paraId="5FC86BFD" w14:textId="77777777" w:rsidR="00E45C04" w:rsidRPr="00E97F33" w:rsidRDefault="00E45C04" w:rsidP="00D2521D">
            <w:pPr>
              <w:widowControl w:val="0"/>
              <w:ind w:left="0"/>
              <w:jc w:val="center"/>
              <w:rPr>
                <w:rFonts w:ascii="Bookman Old Style" w:hAnsi="Bookman Old Style" w:cs="Arial"/>
              </w:rPr>
            </w:pPr>
            <w:r w:rsidRPr="00E97F33">
              <w:rPr>
                <w:rFonts w:ascii="Bookman Old Style" w:hAnsi="Bookman Old Style" w:cs="Arial"/>
              </w:rPr>
              <w:t>Viceministra de Energía</w:t>
            </w:r>
          </w:p>
          <w:p w14:paraId="26E3B8A1" w14:textId="77777777" w:rsidR="00E45C04" w:rsidRPr="00E97F33" w:rsidRDefault="00E45C04" w:rsidP="00D2521D">
            <w:pPr>
              <w:widowControl w:val="0"/>
              <w:ind w:left="0"/>
              <w:jc w:val="center"/>
              <w:rPr>
                <w:rFonts w:ascii="Bookman Old Style" w:hAnsi="Bookman Old Style" w:cs="Arial"/>
              </w:rPr>
            </w:pPr>
            <w:r w:rsidRPr="00E97F33">
              <w:rPr>
                <w:rFonts w:ascii="Bookman Old Style" w:hAnsi="Bookman Old Style" w:cs="Arial"/>
              </w:rPr>
              <w:t>Presidente</w:t>
            </w:r>
          </w:p>
        </w:tc>
        <w:tc>
          <w:tcPr>
            <w:tcW w:w="3827" w:type="dxa"/>
            <w:hideMark/>
          </w:tcPr>
          <w:p w14:paraId="092ECBAA" w14:textId="77777777" w:rsidR="00E45C04" w:rsidRPr="00E97F33" w:rsidRDefault="00E45C04" w:rsidP="00D2521D">
            <w:pPr>
              <w:widowControl w:val="0"/>
              <w:ind w:left="0"/>
              <w:jc w:val="center"/>
              <w:rPr>
                <w:rFonts w:ascii="Bookman Old Style" w:hAnsi="Bookman Old Style" w:cs="Arial"/>
                <w:bCs/>
              </w:rPr>
            </w:pPr>
            <w:r w:rsidRPr="00E97F33">
              <w:rPr>
                <w:rFonts w:ascii="Bookman Old Style" w:hAnsi="Bookman Old Style" w:cs="Arial"/>
                <w:bCs/>
              </w:rPr>
              <w:t>Director Ejecutivo</w:t>
            </w:r>
          </w:p>
        </w:tc>
      </w:tr>
    </w:tbl>
    <w:p w14:paraId="5710E48F" w14:textId="77777777" w:rsidR="00E45C04" w:rsidRPr="00E07CE8" w:rsidRDefault="00E45C04" w:rsidP="00E45C04">
      <w:pPr>
        <w:tabs>
          <w:tab w:val="center" w:pos="4512"/>
          <w:tab w:val="left" w:pos="7088"/>
        </w:tabs>
        <w:suppressAutoHyphens/>
        <w:ind w:left="0" w:right="51"/>
        <w:rPr>
          <w:rFonts w:ascii="Bookman Old Style" w:hAnsi="Bookman Old Style" w:cs="Arial"/>
          <w:b/>
        </w:rPr>
      </w:pPr>
    </w:p>
    <w:p w14:paraId="72235CB0" w14:textId="77777777" w:rsidR="00E8459C" w:rsidRPr="00E45C04" w:rsidRDefault="00E8459C" w:rsidP="00E45C04"/>
    <w:sectPr w:rsidR="00E8459C" w:rsidRPr="00E45C04" w:rsidSect="00C823A9">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C8D5E" w14:textId="77777777" w:rsidR="003E7721" w:rsidRDefault="003E7721">
      <w:r>
        <w:separator/>
      </w:r>
    </w:p>
  </w:endnote>
  <w:endnote w:type="continuationSeparator" w:id="0">
    <w:p w14:paraId="7124A81B" w14:textId="77777777" w:rsidR="003E7721" w:rsidRDefault="003E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B2194" w14:textId="77777777" w:rsidR="003E7721" w:rsidRDefault="003E7721">
      <w:r>
        <w:separator/>
      </w:r>
    </w:p>
  </w:footnote>
  <w:footnote w:type="continuationSeparator" w:id="0">
    <w:p w14:paraId="1582B2FB" w14:textId="77777777" w:rsidR="003E7721" w:rsidRDefault="003E7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87318" w14:textId="77777777" w:rsidR="009B4D93" w:rsidRDefault="009B4D93" w:rsidP="00C823A9">
    <w:pPr>
      <w:pStyle w:val="Ttulo1"/>
      <w:ind w:right="6"/>
      <w:jc w:val="left"/>
      <w:rPr>
        <w:rFonts w:ascii="Bookman Old Style" w:hAnsi="Bookman Old Style" w:cs="Arial"/>
        <w:b w:val="0"/>
        <w:sz w:val="22"/>
        <w:szCs w:val="22"/>
      </w:rPr>
    </w:pPr>
  </w:p>
  <w:p w14:paraId="7D24476B" w14:textId="77777777" w:rsidR="009B4D93" w:rsidRPr="00951F79" w:rsidRDefault="009B4D93" w:rsidP="00C823A9">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4720A">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4720A">
      <w:fldChar w:fldCharType="begin"/>
    </w:r>
    <w:r w:rsidR="0054720A">
      <w:instrText xml:space="preserve"> NUMPAGES  \* MERGEFORMAT </w:instrText>
    </w:r>
    <w:r w:rsidR="0054720A">
      <w:fldChar w:fldCharType="separate"/>
    </w:r>
    <w:r w:rsidR="0054720A" w:rsidRPr="0054720A">
      <w:rPr>
        <w:rFonts w:ascii="Bookman Old Style" w:hAnsi="Bookman Old Style" w:cs="Arial"/>
        <w:b w:val="0"/>
        <w:noProof/>
        <w:sz w:val="22"/>
        <w:szCs w:val="22"/>
      </w:rPr>
      <w:t>6</w:t>
    </w:r>
    <w:r w:rsidR="0054720A">
      <w:rPr>
        <w:rFonts w:ascii="Bookman Old Style" w:hAnsi="Bookman Old Style" w:cs="Arial"/>
        <w:b w:val="0"/>
        <w:noProof/>
        <w:sz w:val="22"/>
        <w:szCs w:val="22"/>
      </w:rPr>
      <w:fldChar w:fldCharType="end"/>
    </w:r>
  </w:p>
  <w:p w14:paraId="73D4BCB1" w14:textId="77777777" w:rsidR="009B4D93" w:rsidRDefault="009B4D93" w:rsidP="00C823A9">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7325FB7" wp14:editId="228ECAF8">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6DC3D"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4357D700" w14:textId="77777777" w:rsidR="009B4D93" w:rsidRPr="006541F2" w:rsidRDefault="009B4D93" w:rsidP="006541F2">
    <w:pPr>
      <w:tabs>
        <w:tab w:val="center" w:pos="4512"/>
        <w:tab w:val="left" w:pos="7088"/>
      </w:tabs>
      <w:suppressAutoHyphens/>
      <w:ind w:left="0" w:right="51"/>
      <w:jc w:val="both"/>
      <w:rPr>
        <w:rFonts w:ascii="Bookman Old Style" w:hAnsi="Bookman Old Style" w:cs="Arial"/>
        <w:bCs/>
        <w:lang w:eastAsia="es-CO"/>
      </w:rPr>
    </w:pPr>
    <w:r w:rsidRPr="006541F2">
      <w:rPr>
        <w:rFonts w:ascii="Bookman Old Style" w:hAnsi="Bookman Old Style" w:cs="Arial"/>
        <w:bCs/>
        <w:lang w:eastAsia="es-CO"/>
      </w:rPr>
      <w:t xml:space="preserve">Por la cual se modifica </w:t>
    </w:r>
    <w:r w:rsidRPr="006541F2">
      <w:rPr>
        <w:rFonts w:ascii="Bookman Old Style" w:hAnsi="Bookman Old Style" w:cs="Arial"/>
        <w:lang w:val="es-CO"/>
      </w:rPr>
      <w:t xml:space="preserve">la Resolución 062 de 2013 “Por medio de la cual se </w:t>
    </w:r>
    <w:r w:rsidRPr="006541F2">
      <w:rPr>
        <w:rFonts w:ascii="Bookman Old Style" w:hAnsi="Bookman Old Style" w:cs="Arial"/>
        <w:bCs/>
        <w:lang w:eastAsia="es-CO"/>
      </w:rPr>
      <w:t xml:space="preserve">establece un ingreso regulado por el uso de Gas Natural Importado en generaciones de seguridad” </w:t>
    </w:r>
  </w:p>
  <w:p w14:paraId="1BDFE8DA" w14:textId="77777777" w:rsidR="009B4D93" w:rsidRPr="006541F2" w:rsidRDefault="009B4D93" w:rsidP="006541F2">
    <w:pPr>
      <w:pBdr>
        <w:bottom w:val="single" w:sz="4" w:space="1" w:color="auto"/>
      </w:pBdr>
      <w:ind w:left="142" w:right="148"/>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5562E" w14:textId="77777777" w:rsidR="009B4D93" w:rsidRDefault="009B4D93" w:rsidP="00C823A9">
    <w:pPr>
      <w:pStyle w:val="Encabezado"/>
      <w:jc w:val="both"/>
      <w:rPr>
        <w:rFonts w:ascii="Arial" w:hAnsi="Arial" w:cs="Arial"/>
        <w:spacing w:val="20"/>
        <w:sz w:val="20"/>
      </w:rPr>
    </w:pPr>
    <w:r>
      <w:rPr>
        <w:rFonts w:ascii="Arial" w:hAnsi="Arial" w:cs="Arial"/>
        <w:spacing w:val="20"/>
        <w:sz w:val="20"/>
      </w:rPr>
      <w:t xml:space="preserve">                                   República de Colombia</w:t>
    </w:r>
  </w:p>
  <w:p w14:paraId="2A57DB6F" w14:textId="77777777" w:rsidR="009B4D93" w:rsidRDefault="009B4D93">
    <w:pPr>
      <w:pStyle w:val="Encabezado"/>
      <w:jc w:val="center"/>
      <w:rPr>
        <w:rFonts w:ascii="Arial" w:hAnsi="Arial" w:cs="Arial"/>
        <w:spacing w:val="20"/>
        <w:sz w:val="20"/>
      </w:rPr>
    </w:pPr>
  </w:p>
  <w:p w14:paraId="0789F80F" w14:textId="77777777" w:rsidR="009B4D93" w:rsidRDefault="009B4D93" w:rsidP="00C823A9">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B0D5D9D" wp14:editId="2ACD41DA">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93081"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10A972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1F4F63"/>
    <w:multiLevelType w:val="hybridMultilevel"/>
    <w:tmpl w:val="B5FC0C42"/>
    <w:lvl w:ilvl="0" w:tplc="2DEAECDA">
      <w:start w:val="10"/>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CC5902"/>
    <w:multiLevelType w:val="hybridMultilevel"/>
    <w:tmpl w:val="E048D508"/>
    <w:lvl w:ilvl="0" w:tplc="442A8228">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017B8D"/>
    <w:multiLevelType w:val="hybridMultilevel"/>
    <w:tmpl w:val="EA0EA7A2"/>
    <w:lvl w:ilvl="0" w:tplc="621C483E">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04775E"/>
    <w:multiLevelType w:val="hybridMultilevel"/>
    <w:tmpl w:val="5D7A9A38"/>
    <w:lvl w:ilvl="0" w:tplc="FBD47782">
      <w:start w:val="8"/>
      <w:numFmt w:val="decimal"/>
      <w:lvlText w:val="%1."/>
      <w:lvlJc w:val="left"/>
      <w:pPr>
        <w:ind w:left="720" w:hanging="360"/>
      </w:pPr>
      <w:rPr>
        <w:rFonts w:hint="default"/>
        <w:b/>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C57370"/>
    <w:multiLevelType w:val="hybridMultilevel"/>
    <w:tmpl w:val="879A9D0A"/>
    <w:lvl w:ilvl="0" w:tplc="EFFA0FE0">
      <w:start w:val="1"/>
      <w:numFmt w:val="decimal"/>
      <w:lvlText w:val="%1."/>
      <w:lvlJc w:val="left"/>
      <w:pPr>
        <w:ind w:left="502" w:hanging="360"/>
      </w:pPr>
      <w:rPr>
        <w:rFonts w:cs="Times New Roman"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9C2B0F"/>
    <w:multiLevelType w:val="hybridMultilevel"/>
    <w:tmpl w:val="414C653C"/>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30480368"/>
    <w:multiLevelType w:val="hybridMultilevel"/>
    <w:tmpl w:val="7D6E74D4"/>
    <w:lvl w:ilvl="0" w:tplc="80A4AC6E">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A56709"/>
    <w:multiLevelType w:val="hybridMultilevel"/>
    <w:tmpl w:val="7D6E74D4"/>
    <w:lvl w:ilvl="0" w:tplc="80A4AC6E">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A929B2"/>
    <w:multiLevelType w:val="hybridMultilevel"/>
    <w:tmpl w:val="312CCC26"/>
    <w:lvl w:ilvl="0" w:tplc="EF0E9BCE">
      <w:start w:val="1"/>
      <w:numFmt w:val="lowerRoman"/>
      <w:lvlText w:val="%1."/>
      <w:lvlJc w:val="left"/>
      <w:pPr>
        <w:ind w:left="862" w:hanging="360"/>
      </w:pPr>
      <w:rPr>
        <w:rFonts w:hint="default"/>
      </w:rPr>
    </w:lvl>
    <w:lvl w:ilvl="1" w:tplc="240A0019">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3" w15:restartNumberingAfterBreak="0">
    <w:nsid w:val="576047E1"/>
    <w:multiLevelType w:val="hybridMultilevel"/>
    <w:tmpl w:val="C3CC09AA"/>
    <w:lvl w:ilvl="0" w:tplc="EF0E9BCE">
      <w:start w:val="1"/>
      <w:numFmt w:val="lowerRoman"/>
      <w:lvlText w:val="%1."/>
      <w:lvlJc w:val="left"/>
      <w:pPr>
        <w:ind w:left="1724" w:hanging="360"/>
      </w:pPr>
      <w:rPr>
        <w:rFonts w:hint="default"/>
      </w:rPr>
    </w:lvl>
    <w:lvl w:ilvl="1" w:tplc="240A0019">
      <w:start w:val="1"/>
      <w:numFmt w:val="lowerLetter"/>
      <w:lvlText w:val="%2."/>
      <w:lvlJc w:val="left"/>
      <w:pPr>
        <w:ind w:left="2444" w:hanging="360"/>
      </w:pPr>
    </w:lvl>
    <w:lvl w:ilvl="2" w:tplc="240A001B" w:tentative="1">
      <w:start w:val="1"/>
      <w:numFmt w:val="lowerRoman"/>
      <w:lvlText w:val="%3."/>
      <w:lvlJc w:val="right"/>
      <w:pPr>
        <w:ind w:left="3164" w:hanging="180"/>
      </w:pPr>
    </w:lvl>
    <w:lvl w:ilvl="3" w:tplc="240A000F" w:tentative="1">
      <w:start w:val="1"/>
      <w:numFmt w:val="decimal"/>
      <w:lvlText w:val="%4."/>
      <w:lvlJc w:val="left"/>
      <w:pPr>
        <w:ind w:left="3884" w:hanging="360"/>
      </w:pPr>
    </w:lvl>
    <w:lvl w:ilvl="4" w:tplc="240A0019" w:tentative="1">
      <w:start w:val="1"/>
      <w:numFmt w:val="lowerLetter"/>
      <w:lvlText w:val="%5."/>
      <w:lvlJc w:val="left"/>
      <w:pPr>
        <w:ind w:left="4604" w:hanging="360"/>
      </w:pPr>
    </w:lvl>
    <w:lvl w:ilvl="5" w:tplc="240A001B" w:tentative="1">
      <w:start w:val="1"/>
      <w:numFmt w:val="lowerRoman"/>
      <w:lvlText w:val="%6."/>
      <w:lvlJc w:val="right"/>
      <w:pPr>
        <w:ind w:left="5324" w:hanging="180"/>
      </w:pPr>
    </w:lvl>
    <w:lvl w:ilvl="6" w:tplc="240A000F" w:tentative="1">
      <w:start w:val="1"/>
      <w:numFmt w:val="decimal"/>
      <w:lvlText w:val="%7."/>
      <w:lvlJc w:val="left"/>
      <w:pPr>
        <w:ind w:left="6044" w:hanging="360"/>
      </w:pPr>
    </w:lvl>
    <w:lvl w:ilvl="7" w:tplc="240A0019" w:tentative="1">
      <w:start w:val="1"/>
      <w:numFmt w:val="lowerLetter"/>
      <w:lvlText w:val="%8."/>
      <w:lvlJc w:val="left"/>
      <w:pPr>
        <w:ind w:left="6764" w:hanging="360"/>
      </w:pPr>
    </w:lvl>
    <w:lvl w:ilvl="8" w:tplc="240A001B" w:tentative="1">
      <w:start w:val="1"/>
      <w:numFmt w:val="lowerRoman"/>
      <w:lvlText w:val="%9."/>
      <w:lvlJc w:val="right"/>
      <w:pPr>
        <w:ind w:left="7484" w:hanging="180"/>
      </w:pPr>
    </w:lvl>
  </w:abstractNum>
  <w:abstractNum w:abstractNumId="14" w15:restartNumberingAfterBreak="0">
    <w:nsid w:val="58422B64"/>
    <w:multiLevelType w:val="hybridMultilevel"/>
    <w:tmpl w:val="4796AE1C"/>
    <w:lvl w:ilvl="0" w:tplc="C66E06E8">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ABE69ED"/>
    <w:multiLevelType w:val="hybridMultilevel"/>
    <w:tmpl w:val="E8269174"/>
    <w:lvl w:ilvl="0" w:tplc="C43E1B10">
      <w:start w:val="5"/>
      <w:numFmt w:val="decimal"/>
      <w:lvlText w:val="%1."/>
      <w:lvlJc w:val="left"/>
      <w:pPr>
        <w:ind w:left="86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43E6613"/>
    <w:multiLevelType w:val="hybridMultilevel"/>
    <w:tmpl w:val="CA50F130"/>
    <w:lvl w:ilvl="0" w:tplc="D0B40FA0">
      <w:start w:val="6"/>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6BD404C"/>
    <w:multiLevelType w:val="hybridMultilevel"/>
    <w:tmpl w:val="C62E5B22"/>
    <w:lvl w:ilvl="0" w:tplc="A4CC9C8A">
      <w:start w:val="10"/>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9"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20" w15:restartNumberingAfterBreak="0">
    <w:nsid w:val="73432BD8"/>
    <w:multiLevelType w:val="hybridMultilevel"/>
    <w:tmpl w:val="1F3E190C"/>
    <w:lvl w:ilvl="0" w:tplc="68D4F308">
      <w:start w:val="1"/>
      <w:numFmt w:val="decimal"/>
      <w:pStyle w:val="ARTICULOS"/>
      <w:lvlText w:val="Artículo %1."/>
      <w:lvlJc w:val="left"/>
      <w:pPr>
        <w:ind w:left="1353"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1"/>
  </w:num>
  <w:num w:numId="2">
    <w:abstractNumId w:val="18"/>
  </w:num>
  <w:num w:numId="3">
    <w:abstractNumId w:val="0"/>
  </w:num>
  <w:num w:numId="4">
    <w:abstractNumId w:val="7"/>
  </w:num>
  <w:num w:numId="5">
    <w:abstractNumId w:val="17"/>
  </w:num>
  <w:num w:numId="6">
    <w:abstractNumId w:val="8"/>
  </w:num>
  <w:num w:numId="7">
    <w:abstractNumId w:val="11"/>
  </w:num>
  <w:num w:numId="8">
    <w:abstractNumId w:val="10"/>
  </w:num>
  <w:num w:numId="9">
    <w:abstractNumId w:val="4"/>
  </w:num>
  <w:num w:numId="10">
    <w:abstractNumId w:val="13"/>
  </w:num>
  <w:num w:numId="11">
    <w:abstractNumId w:val="19"/>
  </w:num>
  <w:num w:numId="12">
    <w:abstractNumId w:val="12"/>
  </w:num>
  <w:num w:numId="13">
    <w:abstractNumId w:val="6"/>
  </w:num>
  <w:num w:numId="14">
    <w:abstractNumId w:val="5"/>
  </w:num>
  <w:num w:numId="15">
    <w:abstractNumId w:val="14"/>
  </w:num>
  <w:num w:numId="16">
    <w:abstractNumId w:val="15"/>
  </w:num>
  <w:num w:numId="17">
    <w:abstractNumId w:val="9"/>
  </w:num>
  <w:num w:numId="18">
    <w:abstractNumId w:val="16"/>
  </w:num>
  <w:num w:numId="1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4A25"/>
    <w:rsid w:val="0001704D"/>
    <w:rsid w:val="00022464"/>
    <w:rsid w:val="00022B14"/>
    <w:rsid w:val="00023137"/>
    <w:rsid w:val="00023764"/>
    <w:rsid w:val="00023782"/>
    <w:rsid w:val="000237C8"/>
    <w:rsid w:val="00030969"/>
    <w:rsid w:val="00031497"/>
    <w:rsid w:val="00031C03"/>
    <w:rsid w:val="00035349"/>
    <w:rsid w:val="00035F49"/>
    <w:rsid w:val="0004164A"/>
    <w:rsid w:val="00041A27"/>
    <w:rsid w:val="00047048"/>
    <w:rsid w:val="000522F3"/>
    <w:rsid w:val="00055097"/>
    <w:rsid w:val="000562D0"/>
    <w:rsid w:val="00056B9B"/>
    <w:rsid w:val="000613FB"/>
    <w:rsid w:val="00061F48"/>
    <w:rsid w:val="00062754"/>
    <w:rsid w:val="00072908"/>
    <w:rsid w:val="0007305B"/>
    <w:rsid w:val="00073BF5"/>
    <w:rsid w:val="00077F37"/>
    <w:rsid w:val="00083C18"/>
    <w:rsid w:val="00083DFD"/>
    <w:rsid w:val="0008404A"/>
    <w:rsid w:val="00086F78"/>
    <w:rsid w:val="00091C47"/>
    <w:rsid w:val="00092B47"/>
    <w:rsid w:val="0009642E"/>
    <w:rsid w:val="000A0338"/>
    <w:rsid w:val="000A3138"/>
    <w:rsid w:val="000A53CD"/>
    <w:rsid w:val="000B03B8"/>
    <w:rsid w:val="000B39F3"/>
    <w:rsid w:val="000B3C82"/>
    <w:rsid w:val="000B4D60"/>
    <w:rsid w:val="000B75CA"/>
    <w:rsid w:val="000C13EB"/>
    <w:rsid w:val="000C2F89"/>
    <w:rsid w:val="000C327C"/>
    <w:rsid w:val="000C6ED4"/>
    <w:rsid w:val="000D06C2"/>
    <w:rsid w:val="000D25A1"/>
    <w:rsid w:val="000D4585"/>
    <w:rsid w:val="000D66BD"/>
    <w:rsid w:val="000D6C04"/>
    <w:rsid w:val="000E5BC5"/>
    <w:rsid w:val="000F181B"/>
    <w:rsid w:val="000F25E4"/>
    <w:rsid w:val="000F300F"/>
    <w:rsid w:val="000F4E5C"/>
    <w:rsid w:val="000F7E9A"/>
    <w:rsid w:val="0010046C"/>
    <w:rsid w:val="00105BB8"/>
    <w:rsid w:val="0011099F"/>
    <w:rsid w:val="001118A3"/>
    <w:rsid w:val="00114C00"/>
    <w:rsid w:val="00114C9F"/>
    <w:rsid w:val="0011589A"/>
    <w:rsid w:val="00115F93"/>
    <w:rsid w:val="001240E6"/>
    <w:rsid w:val="001247A0"/>
    <w:rsid w:val="0012551C"/>
    <w:rsid w:val="001272C3"/>
    <w:rsid w:val="00127691"/>
    <w:rsid w:val="001302F1"/>
    <w:rsid w:val="00132B88"/>
    <w:rsid w:val="00137B52"/>
    <w:rsid w:val="00137EBD"/>
    <w:rsid w:val="0014011A"/>
    <w:rsid w:val="00142FCC"/>
    <w:rsid w:val="00144397"/>
    <w:rsid w:val="001554F1"/>
    <w:rsid w:val="00155DE2"/>
    <w:rsid w:val="001601E9"/>
    <w:rsid w:val="001615A4"/>
    <w:rsid w:val="001650A9"/>
    <w:rsid w:val="00165225"/>
    <w:rsid w:val="001660DE"/>
    <w:rsid w:val="0016697C"/>
    <w:rsid w:val="00167DAE"/>
    <w:rsid w:val="00172324"/>
    <w:rsid w:val="001723DE"/>
    <w:rsid w:val="00172A68"/>
    <w:rsid w:val="0017541D"/>
    <w:rsid w:val="00177F04"/>
    <w:rsid w:val="00181615"/>
    <w:rsid w:val="00184CBE"/>
    <w:rsid w:val="00196AC4"/>
    <w:rsid w:val="00196E68"/>
    <w:rsid w:val="001A0A33"/>
    <w:rsid w:val="001A0EAD"/>
    <w:rsid w:val="001A2707"/>
    <w:rsid w:val="001A35CD"/>
    <w:rsid w:val="001A53BF"/>
    <w:rsid w:val="001A7648"/>
    <w:rsid w:val="001B0DBC"/>
    <w:rsid w:val="001C0C97"/>
    <w:rsid w:val="001C3802"/>
    <w:rsid w:val="001C4769"/>
    <w:rsid w:val="001C51DE"/>
    <w:rsid w:val="001C6E7C"/>
    <w:rsid w:val="001C6E82"/>
    <w:rsid w:val="001D0E75"/>
    <w:rsid w:val="001D1AED"/>
    <w:rsid w:val="001D1EB4"/>
    <w:rsid w:val="001D25A3"/>
    <w:rsid w:val="001D3793"/>
    <w:rsid w:val="001D676A"/>
    <w:rsid w:val="001D7AA6"/>
    <w:rsid w:val="001E1089"/>
    <w:rsid w:val="001E4CBE"/>
    <w:rsid w:val="001E7549"/>
    <w:rsid w:val="001F2EFE"/>
    <w:rsid w:val="001F4623"/>
    <w:rsid w:val="001F7BB4"/>
    <w:rsid w:val="0020087B"/>
    <w:rsid w:val="00201C21"/>
    <w:rsid w:val="00202FA6"/>
    <w:rsid w:val="00203B25"/>
    <w:rsid w:val="00203C7A"/>
    <w:rsid w:val="00205796"/>
    <w:rsid w:val="002106EC"/>
    <w:rsid w:val="00216363"/>
    <w:rsid w:val="0021667C"/>
    <w:rsid w:val="002233E7"/>
    <w:rsid w:val="002249C4"/>
    <w:rsid w:val="00225EE6"/>
    <w:rsid w:val="00235C6D"/>
    <w:rsid w:val="00236383"/>
    <w:rsid w:val="00237FDA"/>
    <w:rsid w:val="00240EC9"/>
    <w:rsid w:val="002413E0"/>
    <w:rsid w:val="00241C4B"/>
    <w:rsid w:val="0024471F"/>
    <w:rsid w:val="00245932"/>
    <w:rsid w:val="002510C7"/>
    <w:rsid w:val="0025590E"/>
    <w:rsid w:val="00261726"/>
    <w:rsid w:val="00264602"/>
    <w:rsid w:val="0026502E"/>
    <w:rsid w:val="0027352A"/>
    <w:rsid w:val="00283C90"/>
    <w:rsid w:val="00290007"/>
    <w:rsid w:val="00291E6F"/>
    <w:rsid w:val="0029719D"/>
    <w:rsid w:val="002A05B5"/>
    <w:rsid w:val="002A21DE"/>
    <w:rsid w:val="002A2A70"/>
    <w:rsid w:val="002A3422"/>
    <w:rsid w:val="002B06F2"/>
    <w:rsid w:val="002B31D7"/>
    <w:rsid w:val="002B5DD3"/>
    <w:rsid w:val="002B681D"/>
    <w:rsid w:val="002C36C0"/>
    <w:rsid w:val="002D1E5F"/>
    <w:rsid w:val="002D217A"/>
    <w:rsid w:val="002D72F6"/>
    <w:rsid w:val="002E01CB"/>
    <w:rsid w:val="002E20CE"/>
    <w:rsid w:val="002E2903"/>
    <w:rsid w:val="002E4DB6"/>
    <w:rsid w:val="002E6715"/>
    <w:rsid w:val="002E7DF3"/>
    <w:rsid w:val="002F0C04"/>
    <w:rsid w:val="002F0D47"/>
    <w:rsid w:val="002F159A"/>
    <w:rsid w:val="002F5480"/>
    <w:rsid w:val="002F56AF"/>
    <w:rsid w:val="002F5C9E"/>
    <w:rsid w:val="002F7EF2"/>
    <w:rsid w:val="003047AD"/>
    <w:rsid w:val="00304C58"/>
    <w:rsid w:val="00305CAB"/>
    <w:rsid w:val="00312BB7"/>
    <w:rsid w:val="00312C69"/>
    <w:rsid w:val="00316747"/>
    <w:rsid w:val="003171AF"/>
    <w:rsid w:val="00317E5F"/>
    <w:rsid w:val="00320B8B"/>
    <w:rsid w:val="00322632"/>
    <w:rsid w:val="0033475B"/>
    <w:rsid w:val="00334B59"/>
    <w:rsid w:val="003414B8"/>
    <w:rsid w:val="00342393"/>
    <w:rsid w:val="00344751"/>
    <w:rsid w:val="00345E6C"/>
    <w:rsid w:val="00352A8F"/>
    <w:rsid w:val="003536BE"/>
    <w:rsid w:val="003540E0"/>
    <w:rsid w:val="00354EFA"/>
    <w:rsid w:val="0036480E"/>
    <w:rsid w:val="0036500E"/>
    <w:rsid w:val="00375C7E"/>
    <w:rsid w:val="0037624B"/>
    <w:rsid w:val="00381EEC"/>
    <w:rsid w:val="0038278B"/>
    <w:rsid w:val="00384A86"/>
    <w:rsid w:val="00385CFE"/>
    <w:rsid w:val="003868DD"/>
    <w:rsid w:val="00387BB1"/>
    <w:rsid w:val="00390528"/>
    <w:rsid w:val="00390C10"/>
    <w:rsid w:val="00391AF9"/>
    <w:rsid w:val="003A0B3A"/>
    <w:rsid w:val="003A1907"/>
    <w:rsid w:val="003A52F3"/>
    <w:rsid w:val="003A67CF"/>
    <w:rsid w:val="003B529E"/>
    <w:rsid w:val="003B7C87"/>
    <w:rsid w:val="003C0510"/>
    <w:rsid w:val="003C1019"/>
    <w:rsid w:val="003C101E"/>
    <w:rsid w:val="003C1951"/>
    <w:rsid w:val="003C374A"/>
    <w:rsid w:val="003C402E"/>
    <w:rsid w:val="003C4509"/>
    <w:rsid w:val="003C5B85"/>
    <w:rsid w:val="003E7721"/>
    <w:rsid w:val="003F0FBC"/>
    <w:rsid w:val="003F4349"/>
    <w:rsid w:val="003F5EE2"/>
    <w:rsid w:val="003F6241"/>
    <w:rsid w:val="003F7E3B"/>
    <w:rsid w:val="00404714"/>
    <w:rsid w:val="00405B8F"/>
    <w:rsid w:val="00407231"/>
    <w:rsid w:val="00407BC8"/>
    <w:rsid w:val="00414F27"/>
    <w:rsid w:val="004155BA"/>
    <w:rsid w:val="0041591D"/>
    <w:rsid w:val="0042249E"/>
    <w:rsid w:val="0042279E"/>
    <w:rsid w:val="00426781"/>
    <w:rsid w:val="00435DCB"/>
    <w:rsid w:val="00440C3B"/>
    <w:rsid w:val="00461E9E"/>
    <w:rsid w:val="004728E1"/>
    <w:rsid w:val="00472E38"/>
    <w:rsid w:val="00477029"/>
    <w:rsid w:val="00481463"/>
    <w:rsid w:val="004832E6"/>
    <w:rsid w:val="0048374C"/>
    <w:rsid w:val="00487E55"/>
    <w:rsid w:val="004974EF"/>
    <w:rsid w:val="004A4E83"/>
    <w:rsid w:val="004A75FA"/>
    <w:rsid w:val="004B0867"/>
    <w:rsid w:val="004B756F"/>
    <w:rsid w:val="004C562C"/>
    <w:rsid w:val="004C69E7"/>
    <w:rsid w:val="004D024F"/>
    <w:rsid w:val="004D14F6"/>
    <w:rsid w:val="004D2809"/>
    <w:rsid w:val="004D2B39"/>
    <w:rsid w:val="004D4BAD"/>
    <w:rsid w:val="004D6CA7"/>
    <w:rsid w:val="004E2B65"/>
    <w:rsid w:val="004E60EF"/>
    <w:rsid w:val="004E6F57"/>
    <w:rsid w:val="004E76BA"/>
    <w:rsid w:val="004F2474"/>
    <w:rsid w:val="0050244B"/>
    <w:rsid w:val="00505C6F"/>
    <w:rsid w:val="005060BA"/>
    <w:rsid w:val="00510D20"/>
    <w:rsid w:val="00514EB3"/>
    <w:rsid w:val="0051793D"/>
    <w:rsid w:val="0052301D"/>
    <w:rsid w:val="00526AE6"/>
    <w:rsid w:val="00531A0E"/>
    <w:rsid w:val="0053307F"/>
    <w:rsid w:val="00535D8D"/>
    <w:rsid w:val="00540125"/>
    <w:rsid w:val="005402D5"/>
    <w:rsid w:val="00541795"/>
    <w:rsid w:val="005439A5"/>
    <w:rsid w:val="00545CA3"/>
    <w:rsid w:val="0054720A"/>
    <w:rsid w:val="005545C9"/>
    <w:rsid w:val="00554B17"/>
    <w:rsid w:val="00562AB8"/>
    <w:rsid w:val="00566040"/>
    <w:rsid w:val="0056691C"/>
    <w:rsid w:val="00566C9D"/>
    <w:rsid w:val="00570104"/>
    <w:rsid w:val="00573CEB"/>
    <w:rsid w:val="0057454E"/>
    <w:rsid w:val="00574E69"/>
    <w:rsid w:val="00575F69"/>
    <w:rsid w:val="00580A85"/>
    <w:rsid w:val="00581251"/>
    <w:rsid w:val="00582685"/>
    <w:rsid w:val="0058463D"/>
    <w:rsid w:val="00592D48"/>
    <w:rsid w:val="005933B4"/>
    <w:rsid w:val="00594348"/>
    <w:rsid w:val="00595806"/>
    <w:rsid w:val="00596778"/>
    <w:rsid w:val="00597C67"/>
    <w:rsid w:val="005A0C81"/>
    <w:rsid w:val="005A2EB3"/>
    <w:rsid w:val="005A4C68"/>
    <w:rsid w:val="005B1DA4"/>
    <w:rsid w:val="005B4118"/>
    <w:rsid w:val="005B52D0"/>
    <w:rsid w:val="005B6185"/>
    <w:rsid w:val="005C216F"/>
    <w:rsid w:val="005C2DE7"/>
    <w:rsid w:val="005C5B5C"/>
    <w:rsid w:val="005D087E"/>
    <w:rsid w:val="005D1255"/>
    <w:rsid w:val="005D268A"/>
    <w:rsid w:val="005D3E8D"/>
    <w:rsid w:val="005E50D5"/>
    <w:rsid w:val="005F0EA5"/>
    <w:rsid w:val="005F1B6E"/>
    <w:rsid w:val="005F2494"/>
    <w:rsid w:val="005F370C"/>
    <w:rsid w:val="005F3A0E"/>
    <w:rsid w:val="005F6D3B"/>
    <w:rsid w:val="005F7063"/>
    <w:rsid w:val="005F7C94"/>
    <w:rsid w:val="00601CA2"/>
    <w:rsid w:val="00603098"/>
    <w:rsid w:val="00603277"/>
    <w:rsid w:val="00604737"/>
    <w:rsid w:val="00606524"/>
    <w:rsid w:val="00607973"/>
    <w:rsid w:val="00610797"/>
    <w:rsid w:val="006130EE"/>
    <w:rsid w:val="0061471B"/>
    <w:rsid w:val="00617CA5"/>
    <w:rsid w:val="00621B5E"/>
    <w:rsid w:val="00624951"/>
    <w:rsid w:val="00625629"/>
    <w:rsid w:val="00631A29"/>
    <w:rsid w:val="00635D7F"/>
    <w:rsid w:val="00637083"/>
    <w:rsid w:val="00641101"/>
    <w:rsid w:val="006424DD"/>
    <w:rsid w:val="00645CE7"/>
    <w:rsid w:val="00650F80"/>
    <w:rsid w:val="006525B5"/>
    <w:rsid w:val="00653168"/>
    <w:rsid w:val="00653443"/>
    <w:rsid w:val="006541F2"/>
    <w:rsid w:val="0065611C"/>
    <w:rsid w:val="006625AC"/>
    <w:rsid w:val="00666CD7"/>
    <w:rsid w:val="00667826"/>
    <w:rsid w:val="00670DF3"/>
    <w:rsid w:val="00671CAF"/>
    <w:rsid w:val="00672A0C"/>
    <w:rsid w:val="00672F7B"/>
    <w:rsid w:val="00680917"/>
    <w:rsid w:val="00681153"/>
    <w:rsid w:val="0068490B"/>
    <w:rsid w:val="006863D3"/>
    <w:rsid w:val="0069223E"/>
    <w:rsid w:val="006954D2"/>
    <w:rsid w:val="00696686"/>
    <w:rsid w:val="00696D8B"/>
    <w:rsid w:val="00697C7D"/>
    <w:rsid w:val="00697D28"/>
    <w:rsid w:val="006A097C"/>
    <w:rsid w:val="006A20F0"/>
    <w:rsid w:val="006A5EE8"/>
    <w:rsid w:val="006A6BB6"/>
    <w:rsid w:val="006A6F0C"/>
    <w:rsid w:val="006B03DD"/>
    <w:rsid w:val="006B3AA5"/>
    <w:rsid w:val="006C22C4"/>
    <w:rsid w:val="006C372F"/>
    <w:rsid w:val="006C6CA1"/>
    <w:rsid w:val="006D3C53"/>
    <w:rsid w:val="006E208C"/>
    <w:rsid w:val="006E5078"/>
    <w:rsid w:val="006E5CA6"/>
    <w:rsid w:val="006E7D99"/>
    <w:rsid w:val="006E7E4B"/>
    <w:rsid w:val="006F36AF"/>
    <w:rsid w:val="006F5B1D"/>
    <w:rsid w:val="006F6AD3"/>
    <w:rsid w:val="006F7DE1"/>
    <w:rsid w:val="007001BF"/>
    <w:rsid w:val="007024AE"/>
    <w:rsid w:val="00702DE7"/>
    <w:rsid w:val="0070649C"/>
    <w:rsid w:val="00706AEC"/>
    <w:rsid w:val="00706FFC"/>
    <w:rsid w:val="00714A23"/>
    <w:rsid w:val="00721D25"/>
    <w:rsid w:val="007231AC"/>
    <w:rsid w:val="00726B5C"/>
    <w:rsid w:val="00730F2E"/>
    <w:rsid w:val="00732BF5"/>
    <w:rsid w:val="0073353C"/>
    <w:rsid w:val="00734301"/>
    <w:rsid w:val="00736930"/>
    <w:rsid w:val="0074069D"/>
    <w:rsid w:val="0074146C"/>
    <w:rsid w:val="00741483"/>
    <w:rsid w:val="00747587"/>
    <w:rsid w:val="00747716"/>
    <w:rsid w:val="007616FC"/>
    <w:rsid w:val="00761C18"/>
    <w:rsid w:val="007643E7"/>
    <w:rsid w:val="00780BDC"/>
    <w:rsid w:val="00783A09"/>
    <w:rsid w:val="00783ACD"/>
    <w:rsid w:val="007841A9"/>
    <w:rsid w:val="00791D50"/>
    <w:rsid w:val="00792057"/>
    <w:rsid w:val="0079712A"/>
    <w:rsid w:val="007977EA"/>
    <w:rsid w:val="007A032D"/>
    <w:rsid w:val="007A34D1"/>
    <w:rsid w:val="007A5CBF"/>
    <w:rsid w:val="007A6469"/>
    <w:rsid w:val="007A6E79"/>
    <w:rsid w:val="007B1417"/>
    <w:rsid w:val="007B2520"/>
    <w:rsid w:val="007B2987"/>
    <w:rsid w:val="007B4A65"/>
    <w:rsid w:val="007B54DD"/>
    <w:rsid w:val="007B656D"/>
    <w:rsid w:val="007C3C7A"/>
    <w:rsid w:val="007C6128"/>
    <w:rsid w:val="007D5146"/>
    <w:rsid w:val="007D6C5E"/>
    <w:rsid w:val="007D73A8"/>
    <w:rsid w:val="007E0107"/>
    <w:rsid w:val="007E131B"/>
    <w:rsid w:val="007E1E3C"/>
    <w:rsid w:val="007E222D"/>
    <w:rsid w:val="007F7FF3"/>
    <w:rsid w:val="00801F83"/>
    <w:rsid w:val="00804634"/>
    <w:rsid w:val="008068E3"/>
    <w:rsid w:val="008126E1"/>
    <w:rsid w:val="0081471B"/>
    <w:rsid w:val="00814CC8"/>
    <w:rsid w:val="00816BAF"/>
    <w:rsid w:val="00821BB9"/>
    <w:rsid w:val="008238F2"/>
    <w:rsid w:val="0082400B"/>
    <w:rsid w:val="008253BA"/>
    <w:rsid w:val="0082557E"/>
    <w:rsid w:val="00826616"/>
    <w:rsid w:val="008362FE"/>
    <w:rsid w:val="00840A68"/>
    <w:rsid w:val="00843849"/>
    <w:rsid w:val="00843953"/>
    <w:rsid w:val="00843D97"/>
    <w:rsid w:val="00844A29"/>
    <w:rsid w:val="00844EED"/>
    <w:rsid w:val="008474CA"/>
    <w:rsid w:val="00853E02"/>
    <w:rsid w:val="0086037D"/>
    <w:rsid w:val="0086060D"/>
    <w:rsid w:val="00861618"/>
    <w:rsid w:val="008758AF"/>
    <w:rsid w:val="0087644B"/>
    <w:rsid w:val="00876C5C"/>
    <w:rsid w:val="0087799F"/>
    <w:rsid w:val="008805DC"/>
    <w:rsid w:val="00883E74"/>
    <w:rsid w:val="008905A8"/>
    <w:rsid w:val="0089170F"/>
    <w:rsid w:val="0089396D"/>
    <w:rsid w:val="00893A82"/>
    <w:rsid w:val="00895620"/>
    <w:rsid w:val="008976E4"/>
    <w:rsid w:val="008A1DF0"/>
    <w:rsid w:val="008A4703"/>
    <w:rsid w:val="008B18EB"/>
    <w:rsid w:val="008C2D61"/>
    <w:rsid w:val="008C585C"/>
    <w:rsid w:val="008D551D"/>
    <w:rsid w:val="008E11D2"/>
    <w:rsid w:val="008E2997"/>
    <w:rsid w:val="008E2BD6"/>
    <w:rsid w:val="008E30C2"/>
    <w:rsid w:val="008E3487"/>
    <w:rsid w:val="008E3501"/>
    <w:rsid w:val="008E541F"/>
    <w:rsid w:val="008E6F0F"/>
    <w:rsid w:val="008F448F"/>
    <w:rsid w:val="008F48A0"/>
    <w:rsid w:val="008F523D"/>
    <w:rsid w:val="008F5725"/>
    <w:rsid w:val="00901414"/>
    <w:rsid w:val="0090161A"/>
    <w:rsid w:val="009032BA"/>
    <w:rsid w:val="00903F98"/>
    <w:rsid w:val="009053AA"/>
    <w:rsid w:val="00911058"/>
    <w:rsid w:val="00911730"/>
    <w:rsid w:val="00911E4E"/>
    <w:rsid w:val="00921C65"/>
    <w:rsid w:val="00923679"/>
    <w:rsid w:val="00924734"/>
    <w:rsid w:val="00926773"/>
    <w:rsid w:val="009268BE"/>
    <w:rsid w:val="00931947"/>
    <w:rsid w:val="00931B34"/>
    <w:rsid w:val="009354B0"/>
    <w:rsid w:val="00936358"/>
    <w:rsid w:val="00936AFB"/>
    <w:rsid w:val="009377EA"/>
    <w:rsid w:val="009378F9"/>
    <w:rsid w:val="0094242D"/>
    <w:rsid w:val="0094358D"/>
    <w:rsid w:val="00952D6A"/>
    <w:rsid w:val="00957D43"/>
    <w:rsid w:val="00963EC5"/>
    <w:rsid w:val="009645CA"/>
    <w:rsid w:val="00965FC4"/>
    <w:rsid w:val="009670E5"/>
    <w:rsid w:val="009705FB"/>
    <w:rsid w:val="00972557"/>
    <w:rsid w:val="00974A24"/>
    <w:rsid w:val="00976A18"/>
    <w:rsid w:val="00983E41"/>
    <w:rsid w:val="009842A6"/>
    <w:rsid w:val="0099035E"/>
    <w:rsid w:val="00991D56"/>
    <w:rsid w:val="00993367"/>
    <w:rsid w:val="009954FE"/>
    <w:rsid w:val="009A3327"/>
    <w:rsid w:val="009B1221"/>
    <w:rsid w:val="009B4D93"/>
    <w:rsid w:val="009B645F"/>
    <w:rsid w:val="009B6E1B"/>
    <w:rsid w:val="009C3C53"/>
    <w:rsid w:val="009C51F1"/>
    <w:rsid w:val="009C5791"/>
    <w:rsid w:val="009D0AB4"/>
    <w:rsid w:val="009D721C"/>
    <w:rsid w:val="009E313A"/>
    <w:rsid w:val="009E418C"/>
    <w:rsid w:val="009E4908"/>
    <w:rsid w:val="009E4913"/>
    <w:rsid w:val="009E7138"/>
    <w:rsid w:val="009F0199"/>
    <w:rsid w:val="009F0228"/>
    <w:rsid w:val="009F37CB"/>
    <w:rsid w:val="009F4DA2"/>
    <w:rsid w:val="009F6ABF"/>
    <w:rsid w:val="00A0270F"/>
    <w:rsid w:val="00A05C7C"/>
    <w:rsid w:val="00A072FE"/>
    <w:rsid w:val="00A12923"/>
    <w:rsid w:val="00A13CF2"/>
    <w:rsid w:val="00A15BCF"/>
    <w:rsid w:val="00A164DC"/>
    <w:rsid w:val="00A16A5D"/>
    <w:rsid w:val="00A2403C"/>
    <w:rsid w:val="00A24E1B"/>
    <w:rsid w:val="00A265DB"/>
    <w:rsid w:val="00A26D94"/>
    <w:rsid w:val="00A27D77"/>
    <w:rsid w:val="00A31E58"/>
    <w:rsid w:val="00A32275"/>
    <w:rsid w:val="00A3279E"/>
    <w:rsid w:val="00A371F9"/>
    <w:rsid w:val="00A424E5"/>
    <w:rsid w:val="00A435CA"/>
    <w:rsid w:val="00A45919"/>
    <w:rsid w:val="00A5080E"/>
    <w:rsid w:val="00A535A8"/>
    <w:rsid w:val="00A54835"/>
    <w:rsid w:val="00A643D1"/>
    <w:rsid w:val="00A646F4"/>
    <w:rsid w:val="00A664A5"/>
    <w:rsid w:val="00A70087"/>
    <w:rsid w:val="00A705F6"/>
    <w:rsid w:val="00A72C29"/>
    <w:rsid w:val="00A748A0"/>
    <w:rsid w:val="00A76A42"/>
    <w:rsid w:val="00A85070"/>
    <w:rsid w:val="00A85560"/>
    <w:rsid w:val="00A940B6"/>
    <w:rsid w:val="00A95422"/>
    <w:rsid w:val="00A96A26"/>
    <w:rsid w:val="00AA16C2"/>
    <w:rsid w:val="00AA5182"/>
    <w:rsid w:val="00AA5AF0"/>
    <w:rsid w:val="00AA6AD3"/>
    <w:rsid w:val="00AB2FF3"/>
    <w:rsid w:val="00AB4D4C"/>
    <w:rsid w:val="00AB54B3"/>
    <w:rsid w:val="00AB5F17"/>
    <w:rsid w:val="00AB6566"/>
    <w:rsid w:val="00AB6DDA"/>
    <w:rsid w:val="00AC2E27"/>
    <w:rsid w:val="00AC6338"/>
    <w:rsid w:val="00AD6749"/>
    <w:rsid w:val="00AD680B"/>
    <w:rsid w:val="00AD6D6F"/>
    <w:rsid w:val="00AE0A37"/>
    <w:rsid w:val="00AE10A1"/>
    <w:rsid w:val="00AE2E73"/>
    <w:rsid w:val="00AE3E9A"/>
    <w:rsid w:val="00AE44C3"/>
    <w:rsid w:val="00AE4872"/>
    <w:rsid w:val="00AE4D02"/>
    <w:rsid w:val="00AE539C"/>
    <w:rsid w:val="00AE7340"/>
    <w:rsid w:val="00AF0B6D"/>
    <w:rsid w:val="00AF0CF2"/>
    <w:rsid w:val="00AF2AA1"/>
    <w:rsid w:val="00AF30FD"/>
    <w:rsid w:val="00AF63D3"/>
    <w:rsid w:val="00B01D96"/>
    <w:rsid w:val="00B1293F"/>
    <w:rsid w:val="00B1772C"/>
    <w:rsid w:val="00B17EF5"/>
    <w:rsid w:val="00B227F8"/>
    <w:rsid w:val="00B24E99"/>
    <w:rsid w:val="00B25F77"/>
    <w:rsid w:val="00B26D51"/>
    <w:rsid w:val="00B30348"/>
    <w:rsid w:val="00B316E8"/>
    <w:rsid w:val="00B31C33"/>
    <w:rsid w:val="00B31C7D"/>
    <w:rsid w:val="00B35BB5"/>
    <w:rsid w:val="00B4032F"/>
    <w:rsid w:val="00B42FE9"/>
    <w:rsid w:val="00B4664C"/>
    <w:rsid w:val="00B52FEF"/>
    <w:rsid w:val="00B55872"/>
    <w:rsid w:val="00B55F8F"/>
    <w:rsid w:val="00B566DD"/>
    <w:rsid w:val="00B57104"/>
    <w:rsid w:val="00B60B0E"/>
    <w:rsid w:val="00B611B4"/>
    <w:rsid w:val="00B722D5"/>
    <w:rsid w:val="00B736C2"/>
    <w:rsid w:val="00B7554F"/>
    <w:rsid w:val="00B7704E"/>
    <w:rsid w:val="00B8348A"/>
    <w:rsid w:val="00B84803"/>
    <w:rsid w:val="00B869ED"/>
    <w:rsid w:val="00B903E2"/>
    <w:rsid w:val="00B911FC"/>
    <w:rsid w:val="00BA3D5D"/>
    <w:rsid w:val="00BA619D"/>
    <w:rsid w:val="00BA718B"/>
    <w:rsid w:val="00BB392C"/>
    <w:rsid w:val="00BB5932"/>
    <w:rsid w:val="00BB5D4E"/>
    <w:rsid w:val="00BB7043"/>
    <w:rsid w:val="00BC1F45"/>
    <w:rsid w:val="00BC6559"/>
    <w:rsid w:val="00BD2364"/>
    <w:rsid w:val="00BD33DD"/>
    <w:rsid w:val="00BD4041"/>
    <w:rsid w:val="00BD7B3B"/>
    <w:rsid w:val="00BE1881"/>
    <w:rsid w:val="00BE4337"/>
    <w:rsid w:val="00BE43BA"/>
    <w:rsid w:val="00BE4CB5"/>
    <w:rsid w:val="00BE6C59"/>
    <w:rsid w:val="00BF1E7E"/>
    <w:rsid w:val="00BF4FA6"/>
    <w:rsid w:val="00BF6CAA"/>
    <w:rsid w:val="00C012AE"/>
    <w:rsid w:val="00C01A74"/>
    <w:rsid w:val="00C11906"/>
    <w:rsid w:val="00C1201B"/>
    <w:rsid w:val="00C12F7E"/>
    <w:rsid w:val="00C15F70"/>
    <w:rsid w:val="00C22667"/>
    <w:rsid w:val="00C2276C"/>
    <w:rsid w:val="00C24056"/>
    <w:rsid w:val="00C2674D"/>
    <w:rsid w:val="00C421FC"/>
    <w:rsid w:val="00C43089"/>
    <w:rsid w:val="00C43DB9"/>
    <w:rsid w:val="00C4445F"/>
    <w:rsid w:val="00C4517E"/>
    <w:rsid w:val="00C45BF8"/>
    <w:rsid w:val="00C50CFF"/>
    <w:rsid w:val="00C52E8D"/>
    <w:rsid w:val="00C565D7"/>
    <w:rsid w:val="00C570E9"/>
    <w:rsid w:val="00C64A3E"/>
    <w:rsid w:val="00C658AA"/>
    <w:rsid w:val="00C66A5C"/>
    <w:rsid w:val="00C67E3F"/>
    <w:rsid w:val="00C7031C"/>
    <w:rsid w:val="00C74B50"/>
    <w:rsid w:val="00C750E8"/>
    <w:rsid w:val="00C77455"/>
    <w:rsid w:val="00C815D5"/>
    <w:rsid w:val="00C81E4A"/>
    <w:rsid w:val="00C823A9"/>
    <w:rsid w:val="00C83F14"/>
    <w:rsid w:val="00C83F25"/>
    <w:rsid w:val="00C90FFE"/>
    <w:rsid w:val="00C9136E"/>
    <w:rsid w:val="00CA5E03"/>
    <w:rsid w:val="00CA6094"/>
    <w:rsid w:val="00CB346D"/>
    <w:rsid w:val="00CB5349"/>
    <w:rsid w:val="00CB5457"/>
    <w:rsid w:val="00CB5FDF"/>
    <w:rsid w:val="00CC0043"/>
    <w:rsid w:val="00CD516E"/>
    <w:rsid w:val="00CE1353"/>
    <w:rsid w:val="00CE2236"/>
    <w:rsid w:val="00CE4288"/>
    <w:rsid w:val="00CE4BA8"/>
    <w:rsid w:val="00CF620D"/>
    <w:rsid w:val="00D013B1"/>
    <w:rsid w:val="00D02F3C"/>
    <w:rsid w:val="00D03035"/>
    <w:rsid w:val="00D035AB"/>
    <w:rsid w:val="00D0595D"/>
    <w:rsid w:val="00D1420F"/>
    <w:rsid w:val="00D153BD"/>
    <w:rsid w:val="00D16E49"/>
    <w:rsid w:val="00D2054B"/>
    <w:rsid w:val="00D20E88"/>
    <w:rsid w:val="00D215AD"/>
    <w:rsid w:val="00D23B59"/>
    <w:rsid w:val="00D27EE5"/>
    <w:rsid w:val="00D30AA3"/>
    <w:rsid w:val="00D31445"/>
    <w:rsid w:val="00D320E5"/>
    <w:rsid w:val="00D37177"/>
    <w:rsid w:val="00D4177C"/>
    <w:rsid w:val="00D424D6"/>
    <w:rsid w:val="00D42C35"/>
    <w:rsid w:val="00D44715"/>
    <w:rsid w:val="00D44A19"/>
    <w:rsid w:val="00D476BE"/>
    <w:rsid w:val="00D51E94"/>
    <w:rsid w:val="00D53210"/>
    <w:rsid w:val="00D568FB"/>
    <w:rsid w:val="00D631F4"/>
    <w:rsid w:val="00D65B59"/>
    <w:rsid w:val="00D6702F"/>
    <w:rsid w:val="00D671F8"/>
    <w:rsid w:val="00D80772"/>
    <w:rsid w:val="00D84981"/>
    <w:rsid w:val="00D8517C"/>
    <w:rsid w:val="00D86648"/>
    <w:rsid w:val="00D8742F"/>
    <w:rsid w:val="00D90CB1"/>
    <w:rsid w:val="00D913F6"/>
    <w:rsid w:val="00D916FE"/>
    <w:rsid w:val="00D92615"/>
    <w:rsid w:val="00D92A38"/>
    <w:rsid w:val="00D9347A"/>
    <w:rsid w:val="00DA1B30"/>
    <w:rsid w:val="00DA1E7A"/>
    <w:rsid w:val="00DA1EB0"/>
    <w:rsid w:val="00DA6892"/>
    <w:rsid w:val="00DB189A"/>
    <w:rsid w:val="00DB376D"/>
    <w:rsid w:val="00DB5FDF"/>
    <w:rsid w:val="00DC11F7"/>
    <w:rsid w:val="00DC3516"/>
    <w:rsid w:val="00DC5CAA"/>
    <w:rsid w:val="00DD47B1"/>
    <w:rsid w:val="00DD49CF"/>
    <w:rsid w:val="00DE1896"/>
    <w:rsid w:val="00DE3492"/>
    <w:rsid w:val="00DE36FD"/>
    <w:rsid w:val="00DE5759"/>
    <w:rsid w:val="00DE6763"/>
    <w:rsid w:val="00DE6829"/>
    <w:rsid w:val="00DF193E"/>
    <w:rsid w:val="00DF1CB8"/>
    <w:rsid w:val="00DF2AE5"/>
    <w:rsid w:val="00DF33AA"/>
    <w:rsid w:val="00DF5E50"/>
    <w:rsid w:val="00DF6B26"/>
    <w:rsid w:val="00E00661"/>
    <w:rsid w:val="00E01464"/>
    <w:rsid w:val="00E03B50"/>
    <w:rsid w:val="00E07CE8"/>
    <w:rsid w:val="00E10A92"/>
    <w:rsid w:val="00E11A23"/>
    <w:rsid w:val="00E12473"/>
    <w:rsid w:val="00E12D71"/>
    <w:rsid w:val="00E15C6B"/>
    <w:rsid w:val="00E16857"/>
    <w:rsid w:val="00E16C1B"/>
    <w:rsid w:val="00E21587"/>
    <w:rsid w:val="00E21F8C"/>
    <w:rsid w:val="00E25A30"/>
    <w:rsid w:val="00E26338"/>
    <w:rsid w:val="00E3035C"/>
    <w:rsid w:val="00E311A9"/>
    <w:rsid w:val="00E33A38"/>
    <w:rsid w:val="00E45C04"/>
    <w:rsid w:val="00E47177"/>
    <w:rsid w:val="00E47E91"/>
    <w:rsid w:val="00E51F64"/>
    <w:rsid w:val="00E5446D"/>
    <w:rsid w:val="00E62408"/>
    <w:rsid w:val="00E6670E"/>
    <w:rsid w:val="00E66AC7"/>
    <w:rsid w:val="00E70852"/>
    <w:rsid w:val="00E72792"/>
    <w:rsid w:val="00E818BB"/>
    <w:rsid w:val="00E8459C"/>
    <w:rsid w:val="00E90499"/>
    <w:rsid w:val="00E9100F"/>
    <w:rsid w:val="00E951CB"/>
    <w:rsid w:val="00E96A24"/>
    <w:rsid w:val="00E970AD"/>
    <w:rsid w:val="00EA0927"/>
    <w:rsid w:val="00EA6D1F"/>
    <w:rsid w:val="00EB1602"/>
    <w:rsid w:val="00EB1C90"/>
    <w:rsid w:val="00EB63AF"/>
    <w:rsid w:val="00EC2119"/>
    <w:rsid w:val="00EC3FF4"/>
    <w:rsid w:val="00EC50F7"/>
    <w:rsid w:val="00EC5582"/>
    <w:rsid w:val="00EC5D35"/>
    <w:rsid w:val="00ED0277"/>
    <w:rsid w:val="00ED6F4F"/>
    <w:rsid w:val="00EF4F1B"/>
    <w:rsid w:val="00EF5B63"/>
    <w:rsid w:val="00F11EFA"/>
    <w:rsid w:val="00F20A20"/>
    <w:rsid w:val="00F25293"/>
    <w:rsid w:val="00F37049"/>
    <w:rsid w:val="00F4281E"/>
    <w:rsid w:val="00F429FF"/>
    <w:rsid w:val="00F4384B"/>
    <w:rsid w:val="00F52021"/>
    <w:rsid w:val="00F52C86"/>
    <w:rsid w:val="00F5343B"/>
    <w:rsid w:val="00F53756"/>
    <w:rsid w:val="00F54E2F"/>
    <w:rsid w:val="00F5614B"/>
    <w:rsid w:val="00F6131E"/>
    <w:rsid w:val="00F6349E"/>
    <w:rsid w:val="00F63C9D"/>
    <w:rsid w:val="00F66F6F"/>
    <w:rsid w:val="00F674F2"/>
    <w:rsid w:val="00F71D22"/>
    <w:rsid w:val="00F751B2"/>
    <w:rsid w:val="00F80A0C"/>
    <w:rsid w:val="00F81AE6"/>
    <w:rsid w:val="00F845AE"/>
    <w:rsid w:val="00F85BC0"/>
    <w:rsid w:val="00F90596"/>
    <w:rsid w:val="00F918C4"/>
    <w:rsid w:val="00F92655"/>
    <w:rsid w:val="00F9391F"/>
    <w:rsid w:val="00F953BA"/>
    <w:rsid w:val="00FA102F"/>
    <w:rsid w:val="00FA2B85"/>
    <w:rsid w:val="00FA6C42"/>
    <w:rsid w:val="00FA7D1A"/>
    <w:rsid w:val="00FB2227"/>
    <w:rsid w:val="00FB538C"/>
    <w:rsid w:val="00FC06B8"/>
    <w:rsid w:val="00FC0EC5"/>
    <w:rsid w:val="00FC726B"/>
    <w:rsid w:val="00FD0540"/>
    <w:rsid w:val="00FD2FA9"/>
    <w:rsid w:val="00FD3734"/>
    <w:rsid w:val="00FD628F"/>
    <w:rsid w:val="00FE158A"/>
    <w:rsid w:val="00FE7A4E"/>
    <w:rsid w:val="00FF53BA"/>
    <w:rsid w:val="00FF6331"/>
    <w:rsid w:val="00FF6A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BE5B67"/>
  <w15:docId w15:val="{5048A165-37E0-4471-A1BA-043DA940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PuestoCar">
    <w:name w:val="Puesto Car"/>
    <w:link w:val="Puesto"/>
    <w:rsid w:val="00795BFB"/>
    <w:rPr>
      <w:rFonts w:ascii="Arial" w:hAnsi="Arial" w:cs="Arial"/>
      <w:b/>
      <w:bCs/>
      <w:sz w:val="24"/>
      <w:szCs w:val="24"/>
    </w:rPr>
  </w:style>
  <w:style w:type="paragraph" w:customStyle="1" w:styleId="Listavistosa-nfasis11">
    <w:name w:val="Lista vistosa - Énfasis 11"/>
    <w:basedOn w:val="Normal"/>
    <w:link w:val="Listavistosa-nfasis1Car"/>
    <w:uiPriority w:val="34"/>
    <w:qFormat/>
    <w:rsid w:val="001405C6"/>
    <w:pPr>
      <w:ind w:left="708"/>
    </w:pPr>
    <w:rPr>
      <w:sz w:val="20"/>
      <w:szCs w:val="20"/>
      <w:lang w:val="es-CO" w:eastAsia="x-none"/>
    </w:rPr>
  </w:style>
  <w:style w:type="character" w:customStyle="1" w:styleId="Listavistosa-nfasis1Car">
    <w:name w:val="Lista vistosa - Énfasis 1 Car"/>
    <w:link w:val="Listavistosa-nfasis11"/>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rPr>
      <w:lang w:val="x-none" w:eastAsia="x-none"/>
    </w:r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customStyle="1" w:styleId="Cuadrculamedia21">
    <w:name w:val="Cuadrícula media 21"/>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customStyle="1" w:styleId="Default">
    <w:name w:val="Default"/>
    <w:rsid w:val="008758AF"/>
    <w:pPr>
      <w:autoSpaceDE w:val="0"/>
      <w:autoSpaceDN w:val="0"/>
      <w:adjustRightInd w:val="0"/>
    </w:pPr>
    <w:rPr>
      <w:rFonts w:ascii="Verdana" w:eastAsia="Calibri" w:hAnsi="Verdana" w:cs="Verdana"/>
      <w:color w:val="000000"/>
      <w:sz w:val="24"/>
      <w:szCs w:val="24"/>
      <w:lang w:eastAsia="en-US"/>
    </w:rPr>
  </w:style>
  <w:style w:type="character" w:styleId="Hipervnculo">
    <w:name w:val="Hyperlink"/>
    <w:uiPriority w:val="99"/>
    <w:unhideWhenUsed/>
    <w:rsid w:val="008758AF"/>
    <w:rPr>
      <w:color w:val="0000FF"/>
      <w:u w:val="single"/>
    </w:rPr>
  </w:style>
  <w:style w:type="paragraph" w:styleId="NormalWeb">
    <w:name w:val="Normal (Web)"/>
    <w:basedOn w:val="Normal"/>
    <w:uiPriority w:val="99"/>
    <w:unhideWhenUsed/>
    <w:rsid w:val="008758AF"/>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C01A74"/>
    <w:rPr>
      <w:sz w:val="16"/>
      <w:szCs w:val="16"/>
    </w:rPr>
  </w:style>
  <w:style w:type="paragraph" w:styleId="Textocomentario">
    <w:name w:val="annotation text"/>
    <w:basedOn w:val="Normal"/>
    <w:link w:val="TextocomentarioCar"/>
    <w:uiPriority w:val="99"/>
    <w:unhideWhenUsed/>
    <w:rsid w:val="00C01A74"/>
    <w:rPr>
      <w:sz w:val="20"/>
      <w:szCs w:val="20"/>
    </w:rPr>
  </w:style>
  <w:style w:type="character" w:customStyle="1" w:styleId="TextocomentarioCar">
    <w:name w:val="Texto comentario Car"/>
    <w:link w:val="Textocomentario"/>
    <w:uiPriority w:val="99"/>
    <w:rsid w:val="00C01A74"/>
    <w:rPr>
      <w:lang w:val="es-ES" w:eastAsia="es-ES"/>
    </w:rPr>
  </w:style>
  <w:style w:type="paragraph" w:styleId="Asuntodelcomentario">
    <w:name w:val="annotation subject"/>
    <w:basedOn w:val="Textocomentario"/>
    <w:next w:val="Textocomentario"/>
    <w:link w:val="AsuntodelcomentarioCar"/>
    <w:uiPriority w:val="99"/>
    <w:semiHidden/>
    <w:unhideWhenUsed/>
    <w:rsid w:val="00C01A74"/>
    <w:rPr>
      <w:b/>
      <w:bCs/>
    </w:rPr>
  </w:style>
  <w:style w:type="character" w:customStyle="1" w:styleId="AsuntodelcomentarioCar">
    <w:name w:val="Asunto del comentario Car"/>
    <w:link w:val="Asuntodelcomentario"/>
    <w:uiPriority w:val="99"/>
    <w:semiHidden/>
    <w:rsid w:val="00C01A74"/>
    <w:rPr>
      <w:b/>
      <w:bCs/>
      <w:lang w:val="es-ES" w:eastAsia="es-ES"/>
    </w:rPr>
  </w:style>
  <w:style w:type="paragraph" w:styleId="Prrafodelista">
    <w:name w:val="List Paragraph"/>
    <w:basedOn w:val="Normal"/>
    <w:link w:val="PrrafodelistaCar"/>
    <w:qFormat/>
    <w:rsid w:val="008E3501"/>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link w:val="Prrafodelista"/>
    <w:rsid w:val="00A2403C"/>
    <w:rPr>
      <w:rFonts w:ascii="Calibri" w:eastAsia="Calibri" w:hAnsi="Calibri"/>
      <w:sz w:val="22"/>
      <w:szCs w:val="22"/>
      <w:lang w:eastAsia="en-US"/>
    </w:rPr>
  </w:style>
  <w:style w:type="paragraph" w:customStyle="1" w:styleId="Estilo5">
    <w:name w:val="Estilo5"/>
    <w:basedOn w:val="Estilo1"/>
    <w:qFormat/>
    <w:rsid w:val="00BB392C"/>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character" w:styleId="Textodelmarcadordeposicin">
    <w:name w:val="Placeholder Text"/>
    <w:basedOn w:val="Fuentedeprrafopredeter"/>
    <w:uiPriority w:val="99"/>
    <w:semiHidden/>
    <w:rsid w:val="000F4E5C"/>
    <w:rPr>
      <w:color w:val="808080"/>
    </w:rPr>
  </w:style>
  <w:style w:type="character" w:styleId="Textoennegrita">
    <w:name w:val="Strong"/>
    <w:basedOn w:val="Fuentedeprrafopredeter"/>
    <w:uiPriority w:val="22"/>
    <w:qFormat/>
    <w:rsid w:val="00E25A30"/>
    <w:rPr>
      <w:b/>
      <w:bCs/>
    </w:rPr>
  </w:style>
  <w:style w:type="paragraph" w:styleId="Listaconvietas">
    <w:name w:val="List Bullet"/>
    <w:basedOn w:val="Normal"/>
    <w:uiPriority w:val="99"/>
    <w:unhideWhenUsed/>
    <w:rsid w:val="00B60B0E"/>
    <w:pPr>
      <w:numPr>
        <w:numId w:val="3"/>
      </w:numPr>
      <w:contextualSpacing/>
    </w:pPr>
  </w:style>
  <w:style w:type="paragraph" w:customStyle="1" w:styleId="Citas">
    <w:name w:val="Citas"/>
    <w:basedOn w:val="Normal"/>
    <w:rsid w:val="00554B17"/>
    <w:pPr>
      <w:ind w:left="708" w:right="618"/>
      <w:jc w:val="both"/>
    </w:pPr>
    <w:rPr>
      <w:rFonts w:ascii="Bookman Old Style" w:hAnsi="Bookman Old Style" w:cs="Arial"/>
      <w:i/>
      <w:iCs/>
      <w:szCs w:val="20"/>
    </w:rPr>
  </w:style>
  <w:style w:type="paragraph" w:styleId="Revisin">
    <w:name w:val="Revision"/>
    <w:hidden/>
    <w:uiPriority w:val="99"/>
    <w:semiHidden/>
    <w:rsid w:val="0082400B"/>
    <w:rPr>
      <w:sz w:val="24"/>
      <w:szCs w:val="24"/>
      <w:lang w:val="es-ES" w:eastAsia="es-ES"/>
    </w:rPr>
  </w:style>
  <w:style w:type="character" w:customStyle="1" w:styleId="CharStyle4">
    <w:name w:val="Char Style 4"/>
    <w:basedOn w:val="Fuentedeprrafopredeter"/>
    <w:uiPriority w:val="99"/>
    <w:rsid w:val="00AF0B6D"/>
    <w:rPr>
      <w:rFonts w:ascii="Arial" w:hAnsi="Arial" w:cs="Arial"/>
      <w:i/>
      <w:iCs/>
      <w:sz w:val="12"/>
      <w:szCs w:val="12"/>
      <w:shd w:val="clear" w:color="auto" w:fill="FFFFFF"/>
    </w:rPr>
  </w:style>
  <w:style w:type="character" w:customStyle="1" w:styleId="CharStyle30">
    <w:name w:val="Char Style 30"/>
    <w:basedOn w:val="Fuentedeprrafopredeter"/>
    <w:link w:val="Style5"/>
    <w:uiPriority w:val="99"/>
    <w:rsid w:val="0029719D"/>
    <w:rPr>
      <w:rFonts w:ascii="Arial" w:hAnsi="Arial" w:cs="Arial"/>
      <w:sz w:val="12"/>
      <w:szCs w:val="12"/>
      <w:shd w:val="clear" w:color="auto" w:fill="FFFFFF"/>
    </w:rPr>
  </w:style>
  <w:style w:type="paragraph" w:customStyle="1" w:styleId="Style5">
    <w:name w:val="Style 5"/>
    <w:basedOn w:val="Normal"/>
    <w:link w:val="CharStyle30"/>
    <w:uiPriority w:val="99"/>
    <w:rsid w:val="0029719D"/>
    <w:pPr>
      <w:widowControl w:val="0"/>
      <w:shd w:val="clear" w:color="auto" w:fill="FFFFFF"/>
      <w:spacing w:line="149" w:lineRule="exact"/>
      <w:ind w:left="0" w:hanging="260"/>
      <w:jc w:val="both"/>
    </w:pPr>
    <w:rPr>
      <w:rFonts w:ascii="Arial" w:hAnsi="Arial" w:cs="Arial"/>
      <w:sz w:val="12"/>
      <w:szCs w:val="12"/>
      <w:lang w:val="es-CO" w:eastAsia="es-CO"/>
    </w:rPr>
  </w:style>
  <w:style w:type="character" w:customStyle="1" w:styleId="CharStyle8">
    <w:name w:val="Char Style 8"/>
    <w:basedOn w:val="Fuentedeprrafopredeter"/>
    <w:link w:val="Style7"/>
    <w:uiPriority w:val="99"/>
    <w:rsid w:val="00CE4288"/>
    <w:rPr>
      <w:rFonts w:ascii="Arial" w:hAnsi="Arial" w:cs="Arial"/>
      <w:shd w:val="clear" w:color="auto" w:fill="FFFFFF"/>
    </w:rPr>
  </w:style>
  <w:style w:type="character" w:customStyle="1" w:styleId="CharStyle10">
    <w:name w:val="Char Style 10"/>
    <w:basedOn w:val="Fuentedeprrafopredeter"/>
    <w:link w:val="Style9"/>
    <w:uiPriority w:val="99"/>
    <w:rsid w:val="00CE4288"/>
    <w:rPr>
      <w:rFonts w:ascii="Arial" w:hAnsi="Arial" w:cs="Arial"/>
      <w:i/>
      <w:iCs/>
      <w:sz w:val="17"/>
      <w:szCs w:val="17"/>
      <w:shd w:val="clear" w:color="auto" w:fill="FFFFFF"/>
    </w:rPr>
  </w:style>
  <w:style w:type="character" w:customStyle="1" w:styleId="CharStyle11">
    <w:name w:val="Char Style 11"/>
    <w:basedOn w:val="CharStyle10"/>
    <w:uiPriority w:val="99"/>
    <w:rsid w:val="00CE4288"/>
    <w:rPr>
      <w:rFonts w:ascii="Arial" w:hAnsi="Arial" w:cs="Arial"/>
      <w:i w:val="0"/>
      <w:iCs w:val="0"/>
      <w:spacing w:val="10"/>
      <w:sz w:val="12"/>
      <w:szCs w:val="12"/>
      <w:shd w:val="clear" w:color="auto" w:fill="FFFFFF"/>
    </w:rPr>
  </w:style>
  <w:style w:type="paragraph" w:customStyle="1" w:styleId="Style7">
    <w:name w:val="Style 7"/>
    <w:basedOn w:val="Normal"/>
    <w:link w:val="CharStyle8"/>
    <w:uiPriority w:val="99"/>
    <w:rsid w:val="00CE4288"/>
    <w:pPr>
      <w:widowControl w:val="0"/>
      <w:shd w:val="clear" w:color="auto" w:fill="FFFFFF"/>
      <w:spacing w:line="511" w:lineRule="exact"/>
      <w:ind w:left="0"/>
      <w:jc w:val="both"/>
    </w:pPr>
    <w:rPr>
      <w:rFonts w:ascii="Arial" w:hAnsi="Arial" w:cs="Arial"/>
      <w:sz w:val="20"/>
      <w:szCs w:val="20"/>
      <w:lang w:val="es-CO" w:eastAsia="es-CO"/>
    </w:rPr>
  </w:style>
  <w:style w:type="paragraph" w:customStyle="1" w:styleId="Style9">
    <w:name w:val="Style 9"/>
    <w:basedOn w:val="Normal"/>
    <w:link w:val="CharStyle10"/>
    <w:uiPriority w:val="99"/>
    <w:rsid w:val="00CE4288"/>
    <w:pPr>
      <w:widowControl w:val="0"/>
      <w:shd w:val="clear" w:color="auto" w:fill="FFFFFF"/>
      <w:spacing w:before="180" w:after="180" w:line="230" w:lineRule="exact"/>
      <w:ind w:left="0"/>
      <w:jc w:val="both"/>
    </w:pPr>
    <w:rPr>
      <w:rFonts w:ascii="Arial" w:hAnsi="Arial" w:cs="Arial"/>
      <w:i/>
      <w:iCs/>
      <w:sz w:val="17"/>
      <w:szCs w:val="17"/>
      <w:lang w:val="es-CO" w:eastAsia="es-CO"/>
    </w:rPr>
  </w:style>
  <w:style w:type="paragraph" w:customStyle="1" w:styleId="ARTICULOS">
    <w:name w:val="ARTICULOS"/>
    <w:basedOn w:val="Normal"/>
    <w:link w:val="ARTICULOSCar"/>
    <w:qFormat/>
    <w:rsid w:val="00C83F25"/>
    <w:pPr>
      <w:widowControl w:val="0"/>
      <w:numPr>
        <w:numId w:val="19"/>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C83F25"/>
    <w:rPr>
      <w:rFonts w:ascii="Bookman Old Style" w:hAnsi="Bookman Old Style"/>
      <w:bCs/>
      <w:sz w:val="24"/>
      <w:szCs w:val="24"/>
      <w:lang w:val="x-none" w:eastAsia="x-non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C83F25"/>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C83F25"/>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C83F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0930">
      <w:bodyDiv w:val="1"/>
      <w:marLeft w:val="0"/>
      <w:marRight w:val="0"/>
      <w:marTop w:val="0"/>
      <w:marBottom w:val="0"/>
      <w:divBdr>
        <w:top w:val="none" w:sz="0" w:space="0" w:color="auto"/>
        <w:left w:val="none" w:sz="0" w:space="0" w:color="auto"/>
        <w:bottom w:val="none" w:sz="0" w:space="0" w:color="auto"/>
        <w:right w:val="none" w:sz="0" w:space="0" w:color="auto"/>
      </w:divBdr>
    </w:div>
    <w:div w:id="44585031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16148878">
          <w:marLeft w:val="0"/>
          <w:marRight w:val="0"/>
          <w:marTop w:val="0"/>
          <w:marBottom w:val="0"/>
          <w:divBdr>
            <w:top w:val="none" w:sz="0" w:space="0" w:color="auto"/>
            <w:left w:val="none" w:sz="0" w:space="0" w:color="auto"/>
            <w:bottom w:val="none" w:sz="0" w:space="0" w:color="auto"/>
            <w:right w:val="none" w:sz="0" w:space="0" w:color="auto"/>
          </w:divBdr>
        </w:div>
        <w:div w:id="807822503">
          <w:marLeft w:val="0"/>
          <w:marRight w:val="0"/>
          <w:marTop w:val="0"/>
          <w:marBottom w:val="0"/>
          <w:divBdr>
            <w:top w:val="none" w:sz="0" w:space="0" w:color="auto"/>
            <w:left w:val="none" w:sz="0" w:space="0" w:color="auto"/>
            <w:bottom w:val="none" w:sz="0" w:space="0" w:color="auto"/>
            <w:right w:val="none" w:sz="0" w:space="0" w:color="auto"/>
          </w:divBdr>
        </w:div>
        <w:div w:id="2080443472">
          <w:marLeft w:val="0"/>
          <w:marRight w:val="0"/>
          <w:marTop w:val="0"/>
          <w:marBottom w:val="0"/>
          <w:divBdr>
            <w:top w:val="none" w:sz="0" w:space="0" w:color="auto"/>
            <w:left w:val="none" w:sz="0" w:space="0" w:color="auto"/>
            <w:bottom w:val="none" w:sz="0" w:space="0" w:color="auto"/>
            <w:right w:val="none" w:sz="0" w:space="0" w:color="auto"/>
          </w:divBdr>
        </w:div>
      </w:divsChild>
    </w:div>
    <w:div w:id="496313347">
      <w:bodyDiv w:val="1"/>
      <w:marLeft w:val="0"/>
      <w:marRight w:val="0"/>
      <w:marTop w:val="0"/>
      <w:marBottom w:val="0"/>
      <w:divBdr>
        <w:top w:val="none" w:sz="0" w:space="0" w:color="auto"/>
        <w:left w:val="none" w:sz="0" w:space="0" w:color="auto"/>
        <w:bottom w:val="none" w:sz="0" w:space="0" w:color="auto"/>
        <w:right w:val="none" w:sz="0" w:space="0" w:color="auto"/>
      </w:divBdr>
    </w:div>
    <w:div w:id="724570324">
      <w:bodyDiv w:val="1"/>
      <w:marLeft w:val="0"/>
      <w:marRight w:val="0"/>
      <w:marTop w:val="0"/>
      <w:marBottom w:val="0"/>
      <w:divBdr>
        <w:top w:val="none" w:sz="0" w:space="0" w:color="auto"/>
        <w:left w:val="none" w:sz="0" w:space="0" w:color="auto"/>
        <w:bottom w:val="none" w:sz="0" w:space="0" w:color="auto"/>
        <w:right w:val="none" w:sz="0" w:space="0" w:color="auto"/>
      </w:divBdr>
      <w:divsChild>
        <w:div w:id="610665934">
          <w:marLeft w:val="0"/>
          <w:marRight w:val="0"/>
          <w:marTop w:val="0"/>
          <w:marBottom w:val="0"/>
          <w:divBdr>
            <w:top w:val="none" w:sz="0" w:space="0" w:color="auto"/>
            <w:left w:val="none" w:sz="0" w:space="0" w:color="auto"/>
            <w:bottom w:val="none" w:sz="0" w:space="0" w:color="auto"/>
            <w:right w:val="none" w:sz="0" w:space="0" w:color="auto"/>
          </w:divBdr>
          <w:divsChild>
            <w:div w:id="4225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213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2711294">
          <w:marLeft w:val="0"/>
          <w:marRight w:val="0"/>
          <w:marTop w:val="0"/>
          <w:marBottom w:val="0"/>
          <w:divBdr>
            <w:top w:val="none" w:sz="0" w:space="0" w:color="auto"/>
            <w:left w:val="none" w:sz="0" w:space="0" w:color="auto"/>
            <w:bottom w:val="none" w:sz="0" w:space="0" w:color="auto"/>
            <w:right w:val="none" w:sz="0" w:space="0" w:color="auto"/>
          </w:divBdr>
        </w:div>
        <w:div w:id="347029956">
          <w:marLeft w:val="0"/>
          <w:marRight w:val="0"/>
          <w:marTop w:val="0"/>
          <w:marBottom w:val="0"/>
          <w:divBdr>
            <w:top w:val="none" w:sz="0" w:space="0" w:color="auto"/>
            <w:left w:val="none" w:sz="0" w:space="0" w:color="auto"/>
            <w:bottom w:val="none" w:sz="0" w:space="0" w:color="auto"/>
            <w:right w:val="none" w:sz="0" w:space="0" w:color="auto"/>
          </w:divBdr>
        </w:div>
        <w:div w:id="438381524">
          <w:marLeft w:val="0"/>
          <w:marRight w:val="0"/>
          <w:marTop w:val="0"/>
          <w:marBottom w:val="0"/>
          <w:divBdr>
            <w:top w:val="none" w:sz="0" w:space="0" w:color="auto"/>
            <w:left w:val="none" w:sz="0" w:space="0" w:color="auto"/>
            <w:bottom w:val="none" w:sz="0" w:space="0" w:color="auto"/>
            <w:right w:val="none" w:sz="0" w:space="0" w:color="auto"/>
          </w:divBdr>
        </w:div>
        <w:div w:id="490414627">
          <w:marLeft w:val="0"/>
          <w:marRight w:val="0"/>
          <w:marTop w:val="0"/>
          <w:marBottom w:val="0"/>
          <w:divBdr>
            <w:top w:val="none" w:sz="0" w:space="0" w:color="auto"/>
            <w:left w:val="none" w:sz="0" w:space="0" w:color="auto"/>
            <w:bottom w:val="none" w:sz="0" w:space="0" w:color="auto"/>
            <w:right w:val="none" w:sz="0" w:space="0" w:color="auto"/>
          </w:divBdr>
        </w:div>
        <w:div w:id="562835676">
          <w:marLeft w:val="0"/>
          <w:marRight w:val="0"/>
          <w:marTop w:val="0"/>
          <w:marBottom w:val="0"/>
          <w:divBdr>
            <w:top w:val="none" w:sz="0" w:space="0" w:color="auto"/>
            <w:left w:val="none" w:sz="0" w:space="0" w:color="auto"/>
            <w:bottom w:val="none" w:sz="0" w:space="0" w:color="auto"/>
            <w:right w:val="none" w:sz="0" w:space="0" w:color="auto"/>
          </w:divBdr>
        </w:div>
        <w:div w:id="1845432525">
          <w:marLeft w:val="0"/>
          <w:marRight w:val="0"/>
          <w:marTop w:val="0"/>
          <w:marBottom w:val="0"/>
          <w:divBdr>
            <w:top w:val="none" w:sz="0" w:space="0" w:color="auto"/>
            <w:left w:val="none" w:sz="0" w:space="0" w:color="auto"/>
            <w:bottom w:val="none" w:sz="0" w:space="0" w:color="auto"/>
            <w:right w:val="none" w:sz="0" w:space="0" w:color="auto"/>
          </w:divBdr>
        </w:div>
        <w:div w:id="1926181108">
          <w:marLeft w:val="0"/>
          <w:marRight w:val="0"/>
          <w:marTop w:val="0"/>
          <w:marBottom w:val="0"/>
          <w:divBdr>
            <w:top w:val="none" w:sz="0" w:space="0" w:color="auto"/>
            <w:left w:val="none" w:sz="0" w:space="0" w:color="auto"/>
            <w:bottom w:val="none" w:sz="0" w:space="0" w:color="auto"/>
            <w:right w:val="none" w:sz="0" w:space="0" w:color="auto"/>
          </w:divBdr>
        </w:div>
      </w:divsChild>
    </w:div>
    <w:div w:id="990644514">
      <w:bodyDiv w:val="1"/>
      <w:marLeft w:val="0"/>
      <w:marRight w:val="0"/>
      <w:marTop w:val="0"/>
      <w:marBottom w:val="0"/>
      <w:divBdr>
        <w:top w:val="none" w:sz="0" w:space="0" w:color="auto"/>
        <w:left w:val="none" w:sz="0" w:space="0" w:color="auto"/>
        <w:bottom w:val="none" w:sz="0" w:space="0" w:color="auto"/>
        <w:right w:val="none" w:sz="0" w:space="0" w:color="auto"/>
      </w:divBdr>
    </w:div>
    <w:div w:id="1347632247">
      <w:bodyDiv w:val="1"/>
      <w:marLeft w:val="0"/>
      <w:marRight w:val="0"/>
      <w:marTop w:val="0"/>
      <w:marBottom w:val="0"/>
      <w:divBdr>
        <w:top w:val="none" w:sz="0" w:space="0" w:color="auto"/>
        <w:left w:val="none" w:sz="0" w:space="0" w:color="auto"/>
        <w:bottom w:val="none" w:sz="0" w:space="0" w:color="auto"/>
        <w:right w:val="none" w:sz="0" w:space="0" w:color="auto"/>
      </w:divBdr>
      <w:divsChild>
        <w:div w:id="1018392479">
          <w:marLeft w:val="0"/>
          <w:marRight w:val="0"/>
          <w:marTop w:val="0"/>
          <w:marBottom w:val="0"/>
          <w:divBdr>
            <w:top w:val="none" w:sz="0" w:space="0" w:color="auto"/>
            <w:left w:val="none" w:sz="0" w:space="0" w:color="auto"/>
            <w:bottom w:val="none" w:sz="0" w:space="0" w:color="auto"/>
            <w:right w:val="none" w:sz="0" w:space="0" w:color="auto"/>
          </w:divBdr>
          <w:divsChild>
            <w:div w:id="6773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68551">
      <w:bodyDiv w:val="1"/>
      <w:marLeft w:val="0"/>
      <w:marRight w:val="0"/>
      <w:marTop w:val="0"/>
      <w:marBottom w:val="0"/>
      <w:divBdr>
        <w:top w:val="none" w:sz="0" w:space="0" w:color="auto"/>
        <w:left w:val="none" w:sz="0" w:space="0" w:color="auto"/>
        <w:bottom w:val="none" w:sz="0" w:space="0" w:color="auto"/>
        <w:right w:val="none" w:sz="0" w:space="0" w:color="auto"/>
      </w:divBdr>
      <w:divsChild>
        <w:div w:id="197354892">
          <w:marLeft w:val="0"/>
          <w:marRight w:val="0"/>
          <w:marTop w:val="0"/>
          <w:marBottom w:val="0"/>
          <w:divBdr>
            <w:top w:val="none" w:sz="0" w:space="0" w:color="auto"/>
            <w:left w:val="none" w:sz="0" w:space="0" w:color="auto"/>
            <w:bottom w:val="none" w:sz="0" w:space="0" w:color="auto"/>
            <w:right w:val="none" w:sz="0" w:space="0" w:color="auto"/>
          </w:divBdr>
          <w:divsChild>
            <w:div w:id="973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1792-171D-44C0-9FFC-8C629943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1688</Words>
  <Characters>8247</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2016-11-22T00:58:00Z</cp:lastPrinted>
  <dcterms:created xsi:type="dcterms:W3CDTF">2016-11-23T13:55:00Z</dcterms:created>
  <dcterms:modified xsi:type="dcterms:W3CDTF">2016-11-23T13:55:00Z</dcterms:modified>
</cp:coreProperties>
</file>