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433F6" w:rsidRPr="00D34DBB" w:rsidRDefault="0069781A" w:rsidP="00E433F6">
      <w:pPr>
        <w:pStyle w:val="Encabezado"/>
        <w:tabs>
          <w:tab w:val="clear" w:pos="8504"/>
          <w:tab w:val="left" w:pos="0"/>
          <w:tab w:val="right" w:pos="9356"/>
        </w:tabs>
        <w:ind w:left="0"/>
        <w:jc w:val="both"/>
        <w:rPr>
          <w:rFonts w:ascii="Bookman Old Style" w:hAnsi="Bookman Old Style"/>
          <w:szCs w:val="24"/>
        </w:rPr>
      </w:pPr>
      <w:r>
        <w:rPr>
          <w:rFonts w:ascii="Bookman Old Style" w:hAnsi="Bookman Old Style"/>
          <w:noProof/>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197.15pt;margin-top:-55.8pt;width:52.5pt;height:48.75pt;z-index:251660288" fillcolor="#0c9">
            <v:imagedata r:id="rId9" o:title=""/>
          </v:shape>
          <o:OLEObject Type="Embed" ProgID="PBrush" ShapeID="_x0000_s1026" DrawAspect="Content" ObjectID="_1381927695" r:id="rId10"/>
        </w:pict>
      </w:r>
    </w:p>
    <w:p w:rsidR="00E433F6" w:rsidRPr="00D34DBB" w:rsidRDefault="00E433F6" w:rsidP="00E433F6">
      <w:pPr>
        <w:pStyle w:val="Ttulo4"/>
        <w:tabs>
          <w:tab w:val="left" w:pos="0"/>
          <w:tab w:val="right" w:pos="9356"/>
        </w:tabs>
        <w:ind w:left="0"/>
        <w:rPr>
          <w:rFonts w:ascii="Bookman Old Style" w:hAnsi="Bookman Old Style"/>
          <w:b w:val="0"/>
          <w:bCs/>
          <w:noProof/>
          <w:sz w:val="24"/>
          <w:szCs w:val="24"/>
          <w:lang w:val="es-ES"/>
        </w:rPr>
      </w:pPr>
      <w:r w:rsidRPr="00D34DBB">
        <w:rPr>
          <w:rFonts w:ascii="Bookman Old Style" w:hAnsi="Bookman Old Style"/>
          <w:b w:val="0"/>
          <w:bCs/>
          <w:sz w:val="24"/>
          <w:szCs w:val="24"/>
        </w:rPr>
        <w:t>Ministerio de Minas y Energía</w:t>
      </w:r>
    </w:p>
    <w:p w:rsidR="00E433F6" w:rsidRPr="00E20436" w:rsidRDefault="00E433F6" w:rsidP="00E433F6">
      <w:pPr>
        <w:pStyle w:val="Ttulo4"/>
        <w:tabs>
          <w:tab w:val="left" w:pos="0"/>
          <w:tab w:val="right" w:pos="9356"/>
        </w:tabs>
        <w:ind w:left="0"/>
        <w:rPr>
          <w:rFonts w:ascii="Bookman Old Style" w:hAnsi="Bookman Old Style"/>
          <w:b w:val="0"/>
          <w:bCs/>
          <w:sz w:val="24"/>
          <w:szCs w:val="24"/>
          <w:lang w:val="es-ES"/>
        </w:rPr>
      </w:pPr>
    </w:p>
    <w:p w:rsidR="00E433F6" w:rsidRPr="00D34DBB" w:rsidRDefault="00E433F6" w:rsidP="00E433F6">
      <w:pPr>
        <w:pStyle w:val="Ttulo3"/>
        <w:tabs>
          <w:tab w:val="left" w:pos="0"/>
          <w:tab w:val="right" w:pos="9356"/>
        </w:tabs>
        <w:ind w:left="0"/>
        <w:rPr>
          <w:rFonts w:ascii="Bookman Old Style" w:hAnsi="Bookman Old Style" w:cs="Arial"/>
          <w:spacing w:val="20"/>
          <w:szCs w:val="24"/>
        </w:rPr>
      </w:pPr>
      <w:r w:rsidRPr="00D34DBB">
        <w:rPr>
          <w:rFonts w:ascii="Bookman Old Style" w:hAnsi="Bookman Old Style" w:cs="Arial"/>
          <w:spacing w:val="20"/>
          <w:szCs w:val="24"/>
        </w:rPr>
        <w:t>COMISIÓN DE REGULA</w:t>
      </w:r>
      <w:bookmarkStart w:id="0" w:name="_GoBack"/>
      <w:bookmarkEnd w:id="0"/>
      <w:r w:rsidRPr="00D34DBB">
        <w:rPr>
          <w:rFonts w:ascii="Bookman Old Style" w:hAnsi="Bookman Old Style" w:cs="Arial"/>
          <w:spacing w:val="20"/>
          <w:szCs w:val="24"/>
        </w:rPr>
        <w:t>CIÓN DE ENERGÍA Y GAS</w:t>
      </w:r>
    </w:p>
    <w:p w:rsidR="00E433F6" w:rsidRPr="00D34DBB" w:rsidRDefault="00E433F6" w:rsidP="00E433F6">
      <w:pPr>
        <w:pStyle w:val="Ttulo5"/>
        <w:tabs>
          <w:tab w:val="left" w:pos="0"/>
          <w:tab w:val="right" w:pos="9356"/>
        </w:tabs>
        <w:ind w:left="0"/>
        <w:rPr>
          <w:rFonts w:ascii="Bookman Old Style" w:hAnsi="Bookman Old Style"/>
          <w:sz w:val="24"/>
          <w:szCs w:val="24"/>
        </w:rPr>
      </w:pPr>
    </w:p>
    <w:p w:rsidR="00E433F6" w:rsidRPr="00D34DBB" w:rsidRDefault="00E433F6" w:rsidP="00E433F6">
      <w:pPr>
        <w:pStyle w:val="Ttulo5"/>
        <w:tabs>
          <w:tab w:val="left" w:pos="0"/>
          <w:tab w:val="right" w:pos="9356"/>
        </w:tabs>
        <w:ind w:left="0"/>
        <w:rPr>
          <w:rFonts w:ascii="Bookman Old Style" w:hAnsi="Bookman Old Style"/>
          <w:sz w:val="24"/>
          <w:szCs w:val="24"/>
        </w:rPr>
      </w:pPr>
    </w:p>
    <w:p w:rsidR="00E433F6" w:rsidRPr="00D34DBB" w:rsidRDefault="00E433F6" w:rsidP="00E433F6">
      <w:pPr>
        <w:pStyle w:val="Ttulo5"/>
        <w:tabs>
          <w:tab w:val="left" w:pos="0"/>
          <w:tab w:val="right" w:pos="9356"/>
        </w:tabs>
        <w:ind w:left="0"/>
        <w:rPr>
          <w:rFonts w:ascii="Bookman Old Style" w:hAnsi="Bookman Old Style"/>
          <w:sz w:val="24"/>
          <w:szCs w:val="24"/>
        </w:rPr>
      </w:pPr>
      <w:r w:rsidRPr="00D34DBB">
        <w:rPr>
          <w:rFonts w:ascii="Bookman Old Style" w:hAnsi="Bookman Old Style"/>
          <w:sz w:val="24"/>
          <w:szCs w:val="24"/>
        </w:rPr>
        <w:t xml:space="preserve">RESOLUCIÓN No.                   </w:t>
      </w:r>
      <w:r w:rsidR="00E563C5">
        <w:rPr>
          <w:rFonts w:ascii="Bookman Old Style" w:hAnsi="Bookman Old Style"/>
          <w:sz w:val="24"/>
          <w:szCs w:val="24"/>
        </w:rPr>
        <w:t>DE 2011</w:t>
      </w:r>
    </w:p>
    <w:p w:rsidR="00E433F6" w:rsidRPr="00D34DBB" w:rsidRDefault="00E433F6" w:rsidP="00E433F6">
      <w:pPr>
        <w:tabs>
          <w:tab w:val="left" w:pos="0"/>
          <w:tab w:val="right" w:pos="9356"/>
        </w:tabs>
        <w:ind w:left="0"/>
        <w:jc w:val="center"/>
        <w:rPr>
          <w:rFonts w:ascii="Bookman Old Style" w:hAnsi="Bookman Old Style" w:cs="Arial"/>
          <w:b/>
          <w:snapToGrid w:val="0"/>
          <w:color w:val="000000"/>
          <w:lang w:val="es-ES_tradnl"/>
        </w:rPr>
      </w:pPr>
    </w:p>
    <w:p w:rsidR="00E433F6" w:rsidRPr="00D34DBB" w:rsidRDefault="00E433F6" w:rsidP="00E433F6">
      <w:pPr>
        <w:pStyle w:val="Ttulo3"/>
        <w:tabs>
          <w:tab w:val="left" w:pos="0"/>
          <w:tab w:val="right" w:pos="9356"/>
        </w:tabs>
        <w:ind w:left="0"/>
        <w:rPr>
          <w:rFonts w:ascii="Bookman Old Style" w:hAnsi="Bookman Old Style"/>
          <w:b w:val="0"/>
          <w:szCs w:val="24"/>
        </w:rPr>
      </w:pPr>
      <w:r w:rsidRPr="00D34DBB">
        <w:rPr>
          <w:rFonts w:ascii="Bookman Old Style" w:hAnsi="Bookman Old Style"/>
          <w:b w:val="0"/>
          <w:szCs w:val="24"/>
        </w:rPr>
        <w:t>(                                  )</w:t>
      </w:r>
    </w:p>
    <w:p w:rsidR="00E433F6" w:rsidRPr="00D34DBB" w:rsidRDefault="00E433F6" w:rsidP="00E433F6">
      <w:pPr>
        <w:tabs>
          <w:tab w:val="left" w:pos="0"/>
          <w:tab w:val="right" w:pos="9356"/>
        </w:tabs>
        <w:ind w:left="0"/>
        <w:jc w:val="center"/>
        <w:rPr>
          <w:rFonts w:ascii="Bookman Old Style" w:hAnsi="Bookman Old Style"/>
          <w:lang w:val="es-ES_tradnl"/>
        </w:rPr>
      </w:pPr>
    </w:p>
    <w:p w:rsidR="008A0C8F" w:rsidRDefault="008A0C8F" w:rsidP="009B125B">
      <w:pPr>
        <w:ind w:left="0"/>
        <w:jc w:val="both"/>
        <w:rPr>
          <w:rFonts w:ascii="Bookman Old Style" w:hAnsi="Bookman Old Style"/>
        </w:rPr>
      </w:pPr>
    </w:p>
    <w:p w:rsidR="008A0C8F" w:rsidRDefault="008A0C8F" w:rsidP="009B125B">
      <w:pPr>
        <w:ind w:left="0"/>
        <w:jc w:val="both"/>
        <w:rPr>
          <w:rFonts w:ascii="Bookman Old Style" w:hAnsi="Bookman Old Style"/>
        </w:rPr>
      </w:pPr>
    </w:p>
    <w:p w:rsidR="009B125B" w:rsidRPr="009B125B" w:rsidRDefault="009B125B" w:rsidP="009B125B">
      <w:pPr>
        <w:ind w:left="0"/>
        <w:jc w:val="both"/>
        <w:rPr>
          <w:rFonts w:ascii="Bookman Old Style" w:hAnsi="Bookman Old Style"/>
        </w:rPr>
      </w:pPr>
      <w:r w:rsidRPr="009B125B">
        <w:rPr>
          <w:rFonts w:ascii="Bookman Old Style" w:hAnsi="Bookman Old Style"/>
        </w:rPr>
        <w:t xml:space="preserve">Por la cual se resuelve el Recurso de Reposición interpuesto por </w:t>
      </w:r>
      <w:r w:rsidR="007776CD">
        <w:rPr>
          <w:rFonts w:ascii="Bookman Old Style" w:hAnsi="Bookman Old Style"/>
        </w:rPr>
        <w:t xml:space="preserve">la </w:t>
      </w:r>
      <w:r w:rsidR="00E11AE6">
        <w:rPr>
          <w:rFonts w:ascii="Bookman Old Style" w:hAnsi="Bookman Old Style"/>
        </w:rPr>
        <w:t xml:space="preserve">Empresa de Energía de </w:t>
      </w:r>
      <w:r w:rsidR="00595941">
        <w:rPr>
          <w:rFonts w:ascii="Bookman Old Style" w:hAnsi="Bookman Old Style"/>
        </w:rPr>
        <w:t>Boyacá</w:t>
      </w:r>
      <w:r w:rsidR="00344375">
        <w:rPr>
          <w:rFonts w:ascii="Bookman Old Style" w:hAnsi="Bookman Old Style"/>
        </w:rPr>
        <w:t xml:space="preserve"> S.A E.S.P.</w:t>
      </w:r>
      <w:r w:rsidRPr="009B125B">
        <w:rPr>
          <w:rFonts w:ascii="Bookman Old Style" w:hAnsi="Bookman Old Style"/>
        </w:rPr>
        <w:t xml:space="preserve">, contra la Resolución CREG </w:t>
      </w:r>
      <w:r w:rsidR="00595941">
        <w:rPr>
          <w:rFonts w:ascii="Bookman Old Style" w:hAnsi="Bookman Old Style"/>
        </w:rPr>
        <w:t>082</w:t>
      </w:r>
      <w:r w:rsidRPr="009B125B">
        <w:rPr>
          <w:rFonts w:ascii="Bookman Old Style" w:hAnsi="Bookman Old Style"/>
        </w:rPr>
        <w:t xml:space="preserve"> de 20</w:t>
      </w:r>
      <w:r w:rsidR="005D5727">
        <w:rPr>
          <w:rFonts w:ascii="Bookman Old Style" w:hAnsi="Bookman Old Style"/>
        </w:rPr>
        <w:t>1</w:t>
      </w:r>
      <w:r w:rsidR="00E11AE6">
        <w:rPr>
          <w:rFonts w:ascii="Bookman Old Style" w:hAnsi="Bookman Old Style"/>
        </w:rPr>
        <w:t>1</w:t>
      </w:r>
      <w:r w:rsidRPr="009B125B">
        <w:rPr>
          <w:rFonts w:ascii="Bookman Old Style" w:hAnsi="Bookman Old Style"/>
        </w:rPr>
        <w:t>.</w:t>
      </w:r>
    </w:p>
    <w:p w:rsidR="000339B5" w:rsidRPr="00D2714F" w:rsidRDefault="000339B5" w:rsidP="00DB69FA">
      <w:pPr>
        <w:ind w:left="0"/>
        <w:rPr>
          <w:rFonts w:ascii="Bookman Old Style" w:hAnsi="Bookman Old Style"/>
        </w:rPr>
      </w:pPr>
    </w:p>
    <w:p w:rsidR="000339B5" w:rsidRPr="00D2714F" w:rsidRDefault="000339B5" w:rsidP="00DB69FA">
      <w:pPr>
        <w:ind w:left="0"/>
        <w:rPr>
          <w:rFonts w:ascii="Bookman Old Style" w:hAnsi="Bookman Old Style"/>
        </w:rPr>
      </w:pPr>
    </w:p>
    <w:p w:rsidR="000339B5" w:rsidRPr="00D2714F" w:rsidRDefault="000339B5" w:rsidP="000339B5">
      <w:pPr>
        <w:jc w:val="center"/>
        <w:rPr>
          <w:rFonts w:ascii="Bookman Old Style" w:hAnsi="Bookman Old Style" w:cs="Arial"/>
          <w:b/>
        </w:rPr>
      </w:pPr>
      <w:smartTag w:uri="urn:schemas-microsoft-com:office:smarttags" w:element="PersonName">
        <w:smartTagPr>
          <w:attr w:name="ProductID" w:val="LA COMISIￓN DE"/>
        </w:smartTagPr>
        <w:r w:rsidRPr="00D2714F">
          <w:rPr>
            <w:rFonts w:ascii="Bookman Old Style" w:hAnsi="Bookman Old Style" w:cs="Arial"/>
            <w:b/>
          </w:rPr>
          <w:t>LA COMISIÓN DE</w:t>
        </w:r>
      </w:smartTag>
      <w:r w:rsidRPr="00D2714F">
        <w:rPr>
          <w:rFonts w:ascii="Bookman Old Style" w:hAnsi="Bookman Old Style" w:cs="Arial"/>
          <w:b/>
        </w:rPr>
        <w:t xml:space="preserve"> REGULACIÓN DE ENERGÍA Y GAS</w:t>
      </w:r>
    </w:p>
    <w:p w:rsidR="000339B5" w:rsidRDefault="000339B5" w:rsidP="000339B5">
      <w:pPr>
        <w:jc w:val="center"/>
        <w:rPr>
          <w:rFonts w:ascii="Bookman Old Style" w:hAnsi="Bookman Old Style" w:cs="Arial"/>
        </w:rPr>
      </w:pPr>
    </w:p>
    <w:p w:rsidR="000339B5" w:rsidRPr="00D2714F" w:rsidRDefault="000339B5" w:rsidP="000339B5">
      <w:pPr>
        <w:jc w:val="center"/>
        <w:rPr>
          <w:rFonts w:ascii="Bookman Old Style" w:hAnsi="Bookman Old Style" w:cs="Arial"/>
        </w:rPr>
      </w:pPr>
    </w:p>
    <w:p w:rsidR="000339B5" w:rsidRPr="00D2714F" w:rsidRDefault="009B125B" w:rsidP="009B125B">
      <w:pPr>
        <w:ind w:left="0"/>
        <w:jc w:val="both"/>
        <w:rPr>
          <w:rFonts w:ascii="Bookman Old Style" w:hAnsi="Bookman Old Style"/>
        </w:rPr>
      </w:pPr>
      <w:r w:rsidRPr="009B125B">
        <w:rPr>
          <w:rFonts w:ascii="Bookman Old Style" w:hAnsi="Bookman Old Style"/>
        </w:rPr>
        <w:t>En ejercicio de sus atribuciones constitucionales y legales, en especial las conferidas por las Leyes 142 y 143 de 1994, y en desarrollo de los Decretos 1524 y 2253 de 1994.</w:t>
      </w:r>
    </w:p>
    <w:p w:rsidR="000339B5" w:rsidRDefault="000339B5" w:rsidP="000339B5">
      <w:pPr>
        <w:jc w:val="center"/>
        <w:rPr>
          <w:rFonts w:ascii="Bookman Old Style" w:hAnsi="Bookman Old Style" w:cs="Arial"/>
        </w:rPr>
      </w:pPr>
    </w:p>
    <w:p w:rsidR="004E26FA" w:rsidRPr="00D2714F" w:rsidRDefault="004E26FA" w:rsidP="000339B5">
      <w:pPr>
        <w:jc w:val="center"/>
        <w:rPr>
          <w:rFonts w:ascii="Bookman Old Style" w:hAnsi="Bookman Old Style" w:cs="Arial"/>
        </w:rPr>
      </w:pPr>
    </w:p>
    <w:p w:rsidR="000339B5" w:rsidRPr="00D2714F" w:rsidRDefault="000339B5" w:rsidP="000339B5">
      <w:pPr>
        <w:jc w:val="center"/>
        <w:rPr>
          <w:rFonts w:ascii="Bookman Old Style" w:hAnsi="Bookman Old Style" w:cs="Arial"/>
          <w:b/>
        </w:rPr>
      </w:pPr>
      <w:r w:rsidRPr="00D2714F">
        <w:rPr>
          <w:rFonts w:ascii="Bookman Old Style" w:hAnsi="Bookman Old Style"/>
          <w:b/>
          <w:spacing w:val="100"/>
        </w:rPr>
        <w:t>CONSIDERANDO</w:t>
      </w:r>
      <w:r w:rsidR="00821375">
        <w:rPr>
          <w:rFonts w:ascii="Bookman Old Style" w:hAnsi="Bookman Old Style"/>
          <w:b/>
          <w:spacing w:val="100"/>
        </w:rPr>
        <w:t xml:space="preserve"> QUE</w:t>
      </w:r>
      <w:r w:rsidRPr="00D2714F">
        <w:rPr>
          <w:rFonts w:ascii="Bookman Old Style" w:hAnsi="Bookman Old Style" w:cs="Arial"/>
          <w:b/>
        </w:rPr>
        <w:t>:</w:t>
      </w:r>
    </w:p>
    <w:p w:rsidR="000339B5" w:rsidRPr="00D2714F" w:rsidRDefault="000339B5" w:rsidP="00DB69FA">
      <w:pPr>
        <w:ind w:left="0"/>
        <w:rPr>
          <w:rFonts w:ascii="Bookman Old Style" w:hAnsi="Bookman Old Style"/>
        </w:rPr>
      </w:pPr>
    </w:p>
    <w:p w:rsidR="000339B5" w:rsidRPr="00D2714F" w:rsidRDefault="000339B5" w:rsidP="00DB69FA">
      <w:pPr>
        <w:ind w:left="0"/>
        <w:rPr>
          <w:rFonts w:ascii="Bookman Old Style" w:hAnsi="Bookman Old Style" w:cs="Arial"/>
          <w:b/>
          <w:highlight w:val="yellow"/>
        </w:rPr>
      </w:pPr>
    </w:p>
    <w:p w:rsidR="00B536F6" w:rsidRPr="00190ADA" w:rsidRDefault="00B536F6" w:rsidP="00B536F6">
      <w:pPr>
        <w:numPr>
          <w:ilvl w:val="0"/>
          <w:numId w:val="18"/>
        </w:numPr>
        <w:overflowPunct w:val="0"/>
        <w:autoSpaceDE w:val="0"/>
        <w:autoSpaceDN w:val="0"/>
        <w:adjustRightInd w:val="0"/>
        <w:jc w:val="both"/>
        <w:textAlignment w:val="baseline"/>
        <w:rPr>
          <w:rFonts w:ascii="Bookman Old Style" w:hAnsi="Bookman Old Style"/>
          <w:b/>
        </w:rPr>
      </w:pPr>
      <w:r w:rsidRPr="00190ADA">
        <w:rPr>
          <w:rFonts w:ascii="Bookman Old Style" w:hAnsi="Bookman Old Style"/>
          <w:b/>
        </w:rPr>
        <w:t>ANTECEDENTES.</w:t>
      </w:r>
    </w:p>
    <w:p w:rsidR="00B536F6" w:rsidRPr="00190ADA" w:rsidRDefault="00B536F6" w:rsidP="00B536F6">
      <w:pPr>
        <w:rPr>
          <w:rFonts w:ascii="Bookman Old Style" w:hAnsi="Bookman Old Style"/>
        </w:rPr>
      </w:pPr>
    </w:p>
    <w:p w:rsidR="00595941" w:rsidRPr="00595941" w:rsidRDefault="00595941" w:rsidP="00595941">
      <w:pPr>
        <w:ind w:right="51"/>
        <w:jc w:val="both"/>
        <w:rPr>
          <w:rFonts w:ascii="Bookman Old Style" w:hAnsi="Bookman Old Style"/>
        </w:rPr>
      </w:pPr>
      <w:r>
        <w:rPr>
          <w:rFonts w:ascii="Bookman Old Style" w:hAnsi="Bookman Old Style"/>
        </w:rPr>
        <w:t>D</w:t>
      </w:r>
      <w:r w:rsidRPr="00595941">
        <w:rPr>
          <w:rFonts w:ascii="Bookman Old Style" w:hAnsi="Bookman Old Style"/>
        </w:rPr>
        <w:t xml:space="preserve">e acuerdo con lo previsto en el </w:t>
      </w:r>
      <w:r w:rsidR="004E26FA">
        <w:rPr>
          <w:rFonts w:ascii="Bookman Old Style" w:hAnsi="Bookman Old Style"/>
        </w:rPr>
        <w:t>a</w:t>
      </w:r>
      <w:r w:rsidRPr="00595941">
        <w:rPr>
          <w:rFonts w:ascii="Bookman Old Style" w:hAnsi="Bookman Old Style"/>
        </w:rPr>
        <w:t>rtículo 23, literal d), y 41 de la Ley 143 de 1994, es función de la Comisión de Regulación de Energía y Gas fijar las tarifas por el acces</w:t>
      </w:r>
      <w:r w:rsidR="005752C4">
        <w:rPr>
          <w:rFonts w:ascii="Bookman Old Style" w:hAnsi="Bookman Old Style"/>
        </w:rPr>
        <w:t>o y uso de las redes eléctricas.</w:t>
      </w:r>
    </w:p>
    <w:p w:rsidR="00595941" w:rsidRPr="00595941" w:rsidRDefault="00595941" w:rsidP="00595941">
      <w:pPr>
        <w:ind w:right="51"/>
        <w:jc w:val="both"/>
        <w:rPr>
          <w:rFonts w:ascii="Bookman Old Style" w:hAnsi="Bookman Old Style"/>
        </w:rPr>
      </w:pPr>
    </w:p>
    <w:p w:rsidR="00595941" w:rsidRPr="00595941" w:rsidRDefault="00595941" w:rsidP="00595941">
      <w:pPr>
        <w:ind w:right="51"/>
        <w:jc w:val="both"/>
        <w:rPr>
          <w:rFonts w:ascii="Bookman Old Style" w:hAnsi="Bookman Old Style"/>
        </w:rPr>
      </w:pPr>
      <w:r>
        <w:rPr>
          <w:rFonts w:ascii="Bookman Old Style" w:hAnsi="Bookman Old Style"/>
        </w:rPr>
        <w:t>M</w:t>
      </w:r>
      <w:r w:rsidRPr="00595941">
        <w:rPr>
          <w:rFonts w:ascii="Bookman Old Style" w:hAnsi="Bookman Old Style"/>
        </w:rPr>
        <w:t>ediante la Resolución CREG 097 de 2008 modificada por las Resoluciones CREG 133, 135 y 166 de 2008, la Comisión aprobó los principios generales y la metodología para el establecimiento de los Cargos por Uso de los Sistemas de Transmisión Regional (STR</w:t>
      </w:r>
      <w:r w:rsidR="005752C4">
        <w:rPr>
          <w:rFonts w:ascii="Bookman Old Style" w:hAnsi="Bookman Old Style"/>
        </w:rPr>
        <w:t>) y de Distribución Local (SDL).</w:t>
      </w:r>
    </w:p>
    <w:p w:rsidR="00595941" w:rsidRPr="00595941" w:rsidRDefault="00595941" w:rsidP="00595941">
      <w:pPr>
        <w:ind w:right="51"/>
        <w:jc w:val="both"/>
        <w:rPr>
          <w:rFonts w:ascii="Bookman Old Style" w:hAnsi="Bookman Old Style"/>
        </w:rPr>
      </w:pPr>
    </w:p>
    <w:p w:rsidR="00595941" w:rsidRPr="00595941" w:rsidRDefault="00595941" w:rsidP="00595941">
      <w:pPr>
        <w:ind w:right="51"/>
        <w:jc w:val="both"/>
        <w:rPr>
          <w:rFonts w:ascii="Bookman Old Style" w:hAnsi="Bookman Old Style"/>
        </w:rPr>
      </w:pPr>
      <w:r>
        <w:rPr>
          <w:rFonts w:ascii="Bookman Old Style" w:hAnsi="Bookman Old Style"/>
        </w:rPr>
        <w:t>M</w:t>
      </w:r>
      <w:r w:rsidRPr="00595941">
        <w:rPr>
          <w:rFonts w:ascii="Bookman Old Style" w:hAnsi="Bookman Old Style"/>
        </w:rPr>
        <w:t>ediante la Resolución CREG 120 de 2009, la CREG aprobó el Costo Anual por el uso de los Activos del Nivel de Tensión 4 y los Cargos Máximos de los Niveles de Tensión 3, 2 y 1 de los activos operados por la Empresa de Energía de Boyacá S.A. E.S.P. en el Sistema de Transmisión Regional (STR) y en el Sist</w:t>
      </w:r>
      <w:r w:rsidR="005752C4">
        <w:rPr>
          <w:rFonts w:ascii="Bookman Old Style" w:hAnsi="Bookman Old Style"/>
        </w:rPr>
        <w:t>ema de Distribución Local (SDL).</w:t>
      </w:r>
    </w:p>
    <w:p w:rsidR="00595941" w:rsidRPr="00595941" w:rsidRDefault="00595941" w:rsidP="00595941">
      <w:pPr>
        <w:ind w:right="51"/>
        <w:jc w:val="both"/>
        <w:rPr>
          <w:rFonts w:ascii="Bookman Old Style" w:hAnsi="Bookman Old Style"/>
        </w:rPr>
      </w:pPr>
    </w:p>
    <w:p w:rsidR="00595941" w:rsidRDefault="00595941" w:rsidP="00595941">
      <w:pPr>
        <w:ind w:right="51"/>
        <w:jc w:val="both"/>
        <w:rPr>
          <w:rFonts w:ascii="Bookman Old Style" w:hAnsi="Bookman Old Style"/>
        </w:rPr>
      </w:pPr>
      <w:r>
        <w:rPr>
          <w:rFonts w:ascii="Bookman Old Style" w:hAnsi="Bookman Old Style"/>
        </w:rPr>
        <w:t>M</w:t>
      </w:r>
      <w:r w:rsidRPr="00595941">
        <w:rPr>
          <w:rFonts w:ascii="Bookman Old Style" w:hAnsi="Bookman Old Style"/>
        </w:rPr>
        <w:t>ediante la Resolución CREG 084 de 2010, la CREG corrigió un error en los cálculos que sirvieron de base para la expedición de la Resolución CREG 12</w:t>
      </w:r>
      <w:r w:rsidR="005752C4">
        <w:rPr>
          <w:rFonts w:ascii="Bookman Old Style" w:hAnsi="Bookman Old Style"/>
        </w:rPr>
        <w:t>0 de 2009 y modificó dicho acto.</w:t>
      </w:r>
    </w:p>
    <w:p w:rsidR="00595941" w:rsidRDefault="00595941" w:rsidP="00595941">
      <w:pPr>
        <w:ind w:right="51"/>
        <w:jc w:val="both"/>
        <w:rPr>
          <w:rFonts w:ascii="Bookman Old Style" w:hAnsi="Bookman Old Style"/>
        </w:rPr>
      </w:pPr>
    </w:p>
    <w:p w:rsidR="00595941" w:rsidRPr="00595941" w:rsidRDefault="00595941" w:rsidP="00595941">
      <w:pPr>
        <w:ind w:right="51"/>
        <w:jc w:val="both"/>
        <w:rPr>
          <w:rFonts w:ascii="Bookman Old Style" w:hAnsi="Bookman Old Style"/>
        </w:rPr>
      </w:pPr>
      <w:r>
        <w:rPr>
          <w:rFonts w:ascii="Bookman Old Style" w:hAnsi="Bookman Old Style"/>
        </w:rPr>
        <w:t>D</w:t>
      </w:r>
      <w:r w:rsidRPr="00595941">
        <w:rPr>
          <w:rFonts w:ascii="Bookman Old Style" w:hAnsi="Bookman Old Style"/>
        </w:rPr>
        <w:t xml:space="preserve">e acuerdo con el </w:t>
      </w:r>
      <w:r w:rsidR="004E26FA">
        <w:rPr>
          <w:rFonts w:ascii="Bookman Old Style" w:hAnsi="Bookman Old Style"/>
        </w:rPr>
        <w:t>a</w:t>
      </w:r>
      <w:r w:rsidRPr="00595941">
        <w:rPr>
          <w:rFonts w:ascii="Bookman Old Style" w:hAnsi="Bookman Old Style"/>
        </w:rPr>
        <w:t xml:space="preserve">rtículo 9 de la Resolución CREG 097 de 2008, cuando entren en operación nuevos activos  se actualizarán los cargos </w:t>
      </w:r>
      <w:r w:rsidRPr="00595941">
        <w:rPr>
          <w:rFonts w:ascii="Bookman Old Style" w:hAnsi="Bookman Old Style"/>
        </w:rPr>
        <w:lastRenderedPageBreak/>
        <w:t xml:space="preserve">por uso de los OR, siempre que se cumplan las condiciones establecidas en el capítulo 4 del </w:t>
      </w:r>
      <w:r w:rsidR="005752C4">
        <w:rPr>
          <w:rFonts w:ascii="Bookman Old Style" w:hAnsi="Bookman Old Style"/>
        </w:rPr>
        <w:t>anexo general de esa resolución.</w:t>
      </w:r>
    </w:p>
    <w:p w:rsidR="00595941" w:rsidRPr="00595941" w:rsidRDefault="00595941" w:rsidP="00595941">
      <w:pPr>
        <w:ind w:right="51"/>
        <w:jc w:val="both"/>
        <w:rPr>
          <w:rFonts w:ascii="Bookman Old Style" w:hAnsi="Bookman Old Style"/>
        </w:rPr>
      </w:pPr>
    </w:p>
    <w:p w:rsidR="00595941" w:rsidRDefault="00595941" w:rsidP="00595941">
      <w:pPr>
        <w:ind w:right="51"/>
        <w:jc w:val="both"/>
        <w:rPr>
          <w:rFonts w:ascii="Bookman Old Style" w:hAnsi="Bookman Old Style"/>
        </w:rPr>
      </w:pPr>
      <w:r>
        <w:rPr>
          <w:rFonts w:ascii="Bookman Old Style" w:hAnsi="Bookman Old Style"/>
        </w:rPr>
        <w:t>L</w:t>
      </w:r>
      <w:r w:rsidRPr="00595941">
        <w:rPr>
          <w:rFonts w:ascii="Bookman Old Style" w:hAnsi="Bookman Old Style"/>
        </w:rPr>
        <w:t>a Empresa Energía de Boyacá S.A. E.S.P., mediante comunicaciones con radicados CREG E-2010-001921 y E-2010-009111, solicitó a la CREG la actualización del Costo Anual por el Uso de los Activos de Nivel de Tensión 4 por la entrada en operación comercial de la lí</w:t>
      </w:r>
      <w:r w:rsidR="005752C4">
        <w:rPr>
          <w:rFonts w:ascii="Bookman Old Style" w:hAnsi="Bookman Old Style"/>
        </w:rPr>
        <w:t>nea Tunja – Chiquinquirá 115 kV.</w:t>
      </w:r>
    </w:p>
    <w:p w:rsidR="00595941" w:rsidRDefault="00595941" w:rsidP="005D5727">
      <w:pPr>
        <w:ind w:right="51"/>
        <w:jc w:val="both"/>
        <w:rPr>
          <w:rFonts w:ascii="Bookman Old Style" w:hAnsi="Bookman Old Style"/>
        </w:rPr>
      </w:pPr>
    </w:p>
    <w:p w:rsidR="00595941" w:rsidRPr="00595941" w:rsidRDefault="00595941" w:rsidP="00595941">
      <w:pPr>
        <w:ind w:right="51"/>
        <w:jc w:val="both"/>
        <w:rPr>
          <w:rFonts w:ascii="Bookman Old Style" w:hAnsi="Bookman Old Style"/>
        </w:rPr>
      </w:pPr>
      <w:r>
        <w:rPr>
          <w:rFonts w:ascii="Bookman Old Style" w:hAnsi="Bookman Old Style"/>
        </w:rPr>
        <w:t>C</w:t>
      </w:r>
      <w:r w:rsidRPr="00595941">
        <w:rPr>
          <w:rFonts w:ascii="Bookman Old Style" w:hAnsi="Bookman Old Style"/>
        </w:rPr>
        <w:t>on la solicitud la Empresa Energía de Boyacá S.A. E.S.P. entregó la siguiente información:</w:t>
      </w:r>
    </w:p>
    <w:p w:rsidR="00595941" w:rsidRPr="00595941" w:rsidRDefault="00595941" w:rsidP="00595941">
      <w:pPr>
        <w:ind w:right="51"/>
        <w:jc w:val="both"/>
        <w:rPr>
          <w:rFonts w:ascii="Bookman Old Style" w:hAnsi="Bookman Old Style"/>
        </w:rPr>
      </w:pPr>
    </w:p>
    <w:p w:rsidR="00595941" w:rsidRPr="00595941" w:rsidRDefault="00595941" w:rsidP="00595941">
      <w:pPr>
        <w:pStyle w:val="Prrafodelista"/>
        <w:numPr>
          <w:ilvl w:val="0"/>
          <w:numId w:val="36"/>
        </w:numPr>
        <w:ind w:right="51"/>
        <w:jc w:val="both"/>
        <w:rPr>
          <w:rFonts w:ascii="Bookman Old Style" w:hAnsi="Bookman Old Style"/>
          <w:sz w:val="24"/>
        </w:rPr>
      </w:pPr>
      <w:r w:rsidRPr="00595941">
        <w:rPr>
          <w:rFonts w:ascii="Bookman Old Style" w:hAnsi="Bookman Old Style"/>
          <w:sz w:val="24"/>
        </w:rPr>
        <w:t>Listado de unidades constructivas que componen el proyecto, con base en las definidas en el capítulo 5 del anexo general de la Resolución CREG 097 de 2008.</w:t>
      </w:r>
    </w:p>
    <w:p w:rsidR="00595941" w:rsidRPr="00595941" w:rsidRDefault="00595941" w:rsidP="00595941">
      <w:pPr>
        <w:pStyle w:val="Prrafodelista"/>
        <w:numPr>
          <w:ilvl w:val="0"/>
          <w:numId w:val="36"/>
        </w:numPr>
        <w:ind w:right="51"/>
        <w:jc w:val="both"/>
        <w:rPr>
          <w:rFonts w:ascii="Bookman Old Style" w:hAnsi="Bookman Old Style"/>
          <w:sz w:val="24"/>
        </w:rPr>
      </w:pPr>
      <w:r w:rsidRPr="00595941">
        <w:rPr>
          <w:rFonts w:ascii="Bookman Old Style" w:hAnsi="Bookman Old Style"/>
          <w:sz w:val="24"/>
        </w:rPr>
        <w:t>Copia del concepto que sobre el proyecto emitió la Unidad de Planeación Minero Energética con radicado UPME 1878 de abril 6 de 2005.</w:t>
      </w:r>
    </w:p>
    <w:p w:rsidR="00595941" w:rsidRPr="00595941" w:rsidRDefault="00595941" w:rsidP="00595941">
      <w:pPr>
        <w:pStyle w:val="Prrafodelista"/>
        <w:numPr>
          <w:ilvl w:val="0"/>
          <w:numId w:val="36"/>
        </w:numPr>
        <w:ind w:right="51"/>
        <w:jc w:val="both"/>
        <w:rPr>
          <w:rFonts w:ascii="Bookman Old Style" w:hAnsi="Bookman Old Style"/>
          <w:sz w:val="24"/>
        </w:rPr>
      </w:pPr>
      <w:r w:rsidRPr="00595941">
        <w:rPr>
          <w:rFonts w:ascii="Bookman Old Style" w:hAnsi="Bookman Old Style"/>
          <w:sz w:val="24"/>
        </w:rPr>
        <w:t>Copia del certificado de entrada en operación comercial de la línea Tunja – Chiqui</w:t>
      </w:r>
      <w:r w:rsidR="005752C4">
        <w:rPr>
          <w:rFonts w:ascii="Bookman Old Style" w:hAnsi="Bookman Old Style"/>
          <w:sz w:val="24"/>
        </w:rPr>
        <w:t>nquirá 115 kV, expedido por XM.</w:t>
      </w:r>
    </w:p>
    <w:p w:rsidR="00595941" w:rsidRPr="00595941" w:rsidRDefault="00595941" w:rsidP="00595941">
      <w:pPr>
        <w:ind w:right="51"/>
        <w:jc w:val="both"/>
        <w:rPr>
          <w:rFonts w:ascii="Bookman Old Style" w:hAnsi="Bookman Old Style"/>
        </w:rPr>
      </w:pPr>
    </w:p>
    <w:p w:rsidR="00595941" w:rsidRDefault="00595941" w:rsidP="00595941">
      <w:pPr>
        <w:ind w:right="51"/>
        <w:jc w:val="both"/>
        <w:rPr>
          <w:rFonts w:ascii="Bookman Old Style" w:hAnsi="Bookman Old Style"/>
        </w:rPr>
      </w:pPr>
      <w:r>
        <w:rPr>
          <w:rFonts w:ascii="Bookman Old Style" w:hAnsi="Bookman Old Style"/>
        </w:rPr>
        <w:t>M</w:t>
      </w:r>
      <w:r w:rsidRPr="00595941">
        <w:rPr>
          <w:rFonts w:ascii="Bookman Old Style" w:hAnsi="Bookman Old Style"/>
        </w:rPr>
        <w:t>ediante comunicación con radicado CREG E-2010-007408, la Unidad de Planeación Minero Energética ratificó el concepto emitido en el año 2005 sobre la viabilidad técnica y económica del proyecto de la lí</w:t>
      </w:r>
      <w:r w:rsidR="005752C4">
        <w:rPr>
          <w:rFonts w:ascii="Bookman Old Style" w:hAnsi="Bookman Old Style"/>
        </w:rPr>
        <w:t>nea Tunja – Chiquinquirá 115 kV.</w:t>
      </w:r>
    </w:p>
    <w:p w:rsidR="00595941" w:rsidRDefault="00595941" w:rsidP="005D5727">
      <w:pPr>
        <w:ind w:right="51"/>
        <w:jc w:val="both"/>
        <w:rPr>
          <w:rFonts w:ascii="Bookman Old Style" w:hAnsi="Bookman Old Style"/>
        </w:rPr>
      </w:pPr>
    </w:p>
    <w:p w:rsidR="00595941" w:rsidRPr="00595941" w:rsidRDefault="00595941" w:rsidP="00595941">
      <w:pPr>
        <w:ind w:right="51"/>
        <w:jc w:val="both"/>
        <w:rPr>
          <w:rFonts w:ascii="Bookman Old Style" w:hAnsi="Bookman Old Style"/>
        </w:rPr>
      </w:pPr>
      <w:r>
        <w:rPr>
          <w:rFonts w:ascii="Bookman Old Style" w:hAnsi="Bookman Old Style"/>
        </w:rPr>
        <w:t>M</w:t>
      </w:r>
      <w:r w:rsidRPr="00595941">
        <w:rPr>
          <w:rFonts w:ascii="Bookman Old Style" w:hAnsi="Bookman Old Style"/>
        </w:rPr>
        <w:t>ediante comunicación CREG S-2011-002571 dirigida al Gerente General de la Empresa de Energía de Boyacá</w:t>
      </w:r>
      <w:r w:rsidR="005752C4">
        <w:rPr>
          <w:rFonts w:ascii="Bookman Old Style" w:hAnsi="Bookman Old Style"/>
        </w:rPr>
        <w:t>, el Director Ejecutivo solicitó</w:t>
      </w:r>
      <w:r w:rsidRPr="00595941">
        <w:rPr>
          <w:rFonts w:ascii="Bookman Old Style" w:hAnsi="Bookman Old Style"/>
        </w:rPr>
        <w:t xml:space="preserve"> realizar una presentación general con el fin de conocer las características técnicas del proyecto “</w:t>
      </w:r>
      <w:r w:rsidR="005752C4">
        <w:rPr>
          <w:rFonts w:ascii="Bookman Old Style" w:hAnsi="Bookman Old Style"/>
        </w:rPr>
        <w:t>línea Tunja – Chiquinquirá 115 kV”.</w:t>
      </w:r>
    </w:p>
    <w:p w:rsidR="00595941" w:rsidRPr="00595941" w:rsidRDefault="00595941" w:rsidP="00595941">
      <w:pPr>
        <w:ind w:right="51"/>
        <w:jc w:val="both"/>
        <w:rPr>
          <w:rFonts w:ascii="Bookman Old Style" w:hAnsi="Bookman Old Style"/>
        </w:rPr>
      </w:pPr>
      <w:r w:rsidRPr="00595941">
        <w:rPr>
          <w:rFonts w:ascii="Bookman Old Style" w:hAnsi="Bookman Old Style"/>
        </w:rPr>
        <w:t xml:space="preserve">  </w:t>
      </w:r>
    </w:p>
    <w:p w:rsidR="00595941" w:rsidRPr="00595941" w:rsidRDefault="00595941" w:rsidP="00595941">
      <w:pPr>
        <w:ind w:right="51"/>
        <w:jc w:val="both"/>
        <w:rPr>
          <w:rFonts w:ascii="Bookman Old Style" w:hAnsi="Bookman Old Style"/>
        </w:rPr>
      </w:pPr>
      <w:r>
        <w:rPr>
          <w:rFonts w:ascii="Bookman Old Style" w:hAnsi="Bookman Old Style"/>
        </w:rPr>
        <w:t>E</w:t>
      </w:r>
      <w:r w:rsidRPr="00595941">
        <w:rPr>
          <w:rFonts w:ascii="Bookman Old Style" w:hAnsi="Bookman Old Style"/>
        </w:rPr>
        <w:t>l día 26 de mayo de 2011, la Empresa de Energía de Boyacá se hizo presente en las instalaciones de la CREG y realizó una presentación sobre l</w:t>
      </w:r>
      <w:r w:rsidR="005752C4">
        <w:rPr>
          <w:rFonts w:ascii="Bookman Old Style" w:hAnsi="Bookman Old Style"/>
        </w:rPr>
        <w:t>as características del proyecto.</w:t>
      </w:r>
    </w:p>
    <w:p w:rsidR="00595941" w:rsidRPr="00595941" w:rsidRDefault="00595941" w:rsidP="00595941">
      <w:pPr>
        <w:ind w:right="51"/>
        <w:jc w:val="both"/>
        <w:rPr>
          <w:rFonts w:ascii="Bookman Old Style" w:hAnsi="Bookman Old Style"/>
        </w:rPr>
      </w:pPr>
    </w:p>
    <w:p w:rsidR="00821375" w:rsidRDefault="00D01C37" w:rsidP="00595941">
      <w:pPr>
        <w:ind w:right="51"/>
        <w:jc w:val="both"/>
        <w:rPr>
          <w:rFonts w:ascii="Bookman Old Style" w:hAnsi="Bookman Old Style"/>
        </w:rPr>
      </w:pPr>
      <w:r>
        <w:rPr>
          <w:rFonts w:ascii="Bookman Old Style" w:hAnsi="Bookman Old Style"/>
        </w:rPr>
        <w:t>C</w:t>
      </w:r>
      <w:r w:rsidR="00595941" w:rsidRPr="00595941">
        <w:rPr>
          <w:rFonts w:ascii="Bookman Old Style" w:hAnsi="Bookman Old Style"/>
        </w:rPr>
        <w:t>omo resultado del análisis de la información entregada</w:t>
      </w:r>
      <w:r w:rsidR="005752C4">
        <w:rPr>
          <w:rFonts w:ascii="Bookman Old Style" w:hAnsi="Bookman Old Style"/>
        </w:rPr>
        <w:t>,</w:t>
      </w:r>
      <w:r w:rsidR="00595941" w:rsidRPr="00595941">
        <w:rPr>
          <w:rFonts w:ascii="Bookman Old Style" w:hAnsi="Bookman Old Style"/>
        </w:rPr>
        <w:t xml:space="preserve"> durante la actuación administrativa</w:t>
      </w:r>
      <w:r w:rsidR="005752C4">
        <w:rPr>
          <w:rFonts w:ascii="Bookman Old Style" w:hAnsi="Bookman Old Style"/>
        </w:rPr>
        <w:t>,</w:t>
      </w:r>
      <w:r w:rsidR="00595941" w:rsidRPr="00595941">
        <w:rPr>
          <w:rFonts w:ascii="Bookman Old Style" w:hAnsi="Bookman Old Style"/>
        </w:rPr>
        <w:t xml:space="preserve"> por la Empresa Energía de Boyacá S.A. E.S.P. y a partir de las consideraciones que se detallan en el documento de soporte </w:t>
      </w:r>
      <w:r>
        <w:rPr>
          <w:rFonts w:ascii="Bookman Old Style" w:hAnsi="Bookman Old Style"/>
        </w:rPr>
        <w:t>CREG-</w:t>
      </w:r>
      <w:r w:rsidR="00595941">
        <w:rPr>
          <w:rFonts w:ascii="Bookman Old Style" w:hAnsi="Bookman Old Style"/>
        </w:rPr>
        <w:t>066 de 2011</w:t>
      </w:r>
      <w:r w:rsidR="00595941" w:rsidRPr="00595941">
        <w:rPr>
          <w:rFonts w:ascii="Bookman Old Style" w:hAnsi="Bookman Old Style"/>
        </w:rPr>
        <w:t>, se ajustó el inve</w:t>
      </w:r>
      <w:r>
        <w:rPr>
          <w:rFonts w:ascii="Bookman Old Style" w:hAnsi="Bookman Old Style"/>
        </w:rPr>
        <w:t>ntario de activos de la empresa, a través de</w:t>
      </w:r>
      <w:r w:rsidR="005752C4">
        <w:rPr>
          <w:rFonts w:ascii="Bookman Old Style" w:hAnsi="Bookman Old Style"/>
        </w:rPr>
        <w:t>l a Resolución CREG 082 de 2011.</w:t>
      </w:r>
    </w:p>
    <w:p w:rsidR="00D01C37" w:rsidRPr="00821375" w:rsidRDefault="00D01C37" w:rsidP="00595941">
      <w:pPr>
        <w:ind w:right="51"/>
        <w:jc w:val="both"/>
        <w:rPr>
          <w:rFonts w:ascii="Bookman Old Style" w:hAnsi="Bookman Old Style"/>
        </w:rPr>
      </w:pPr>
    </w:p>
    <w:p w:rsidR="00B536F6" w:rsidRPr="00190ADA" w:rsidRDefault="00822826" w:rsidP="005D5727">
      <w:pPr>
        <w:ind w:right="51"/>
        <w:jc w:val="both"/>
        <w:rPr>
          <w:rFonts w:ascii="Bookman Old Style" w:hAnsi="Bookman Old Style"/>
        </w:rPr>
      </w:pPr>
      <w:r>
        <w:rPr>
          <w:rFonts w:ascii="Bookman Old Style" w:hAnsi="Bookman Old Style"/>
        </w:rPr>
        <w:t>M</w:t>
      </w:r>
      <w:r w:rsidR="00B536F6" w:rsidRPr="00190ADA">
        <w:rPr>
          <w:rFonts w:ascii="Bookman Old Style" w:hAnsi="Bookman Old Style"/>
        </w:rPr>
        <w:t xml:space="preserve">ediante radicado CREG </w:t>
      </w:r>
      <w:r w:rsidR="00E43CBE">
        <w:rPr>
          <w:rFonts w:ascii="Bookman Old Style" w:hAnsi="Bookman Old Style"/>
          <w:lang w:val="es-CO"/>
        </w:rPr>
        <w:t>E-201</w:t>
      </w:r>
      <w:r w:rsidR="007776CD">
        <w:rPr>
          <w:rFonts w:ascii="Bookman Old Style" w:hAnsi="Bookman Old Style"/>
          <w:lang w:val="es-CO"/>
        </w:rPr>
        <w:t>1</w:t>
      </w:r>
      <w:r w:rsidR="00E43CBE">
        <w:rPr>
          <w:rFonts w:ascii="Bookman Old Style" w:hAnsi="Bookman Old Style"/>
          <w:lang w:val="es-CO"/>
        </w:rPr>
        <w:t>-00</w:t>
      </w:r>
      <w:r w:rsidR="00D01C37">
        <w:rPr>
          <w:rFonts w:ascii="Bookman Old Style" w:hAnsi="Bookman Old Style"/>
          <w:lang w:val="es-CO"/>
        </w:rPr>
        <w:t>7163</w:t>
      </w:r>
      <w:r w:rsidR="00B536F6" w:rsidRPr="00190ADA">
        <w:rPr>
          <w:rFonts w:ascii="Bookman Old Style" w:hAnsi="Bookman Old Style"/>
        </w:rPr>
        <w:t xml:space="preserve"> de fecha </w:t>
      </w:r>
      <w:r w:rsidR="00D01C37">
        <w:rPr>
          <w:rFonts w:ascii="Bookman Old Style" w:hAnsi="Bookman Old Style"/>
        </w:rPr>
        <w:t>29</w:t>
      </w:r>
      <w:r w:rsidR="00B536F6" w:rsidRPr="00190ADA">
        <w:rPr>
          <w:rFonts w:ascii="Bookman Old Style" w:hAnsi="Bookman Old Style"/>
        </w:rPr>
        <w:t xml:space="preserve"> de </w:t>
      </w:r>
      <w:r w:rsidR="00D01C37">
        <w:rPr>
          <w:rFonts w:ascii="Bookman Old Style" w:hAnsi="Bookman Old Style"/>
        </w:rPr>
        <w:t>julio</w:t>
      </w:r>
      <w:r w:rsidR="00344375">
        <w:rPr>
          <w:rFonts w:ascii="Bookman Old Style" w:hAnsi="Bookman Old Style"/>
        </w:rPr>
        <w:t xml:space="preserve"> </w:t>
      </w:r>
      <w:r w:rsidR="00B536F6" w:rsidRPr="00190ADA">
        <w:rPr>
          <w:rFonts w:ascii="Bookman Old Style" w:hAnsi="Bookman Old Style"/>
        </w:rPr>
        <w:t>de 20</w:t>
      </w:r>
      <w:r w:rsidR="00485A63">
        <w:rPr>
          <w:rFonts w:ascii="Bookman Old Style" w:hAnsi="Bookman Old Style"/>
        </w:rPr>
        <w:t>1</w:t>
      </w:r>
      <w:r w:rsidR="007776CD">
        <w:rPr>
          <w:rFonts w:ascii="Bookman Old Style" w:hAnsi="Bookman Old Style"/>
        </w:rPr>
        <w:t>1</w:t>
      </w:r>
      <w:r w:rsidR="00B536F6" w:rsidRPr="00190ADA">
        <w:rPr>
          <w:rFonts w:ascii="Bookman Old Style" w:hAnsi="Bookman Old Style"/>
        </w:rPr>
        <w:t>,</w:t>
      </w:r>
      <w:r w:rsidR="00485A63">
        <w:rPr>
          <w:rFonts w:ascii="Bookman Old Style" w:hAnsi="Bookman Old Style"/>
        </w:rPr>
        <w:t xml:space="preserve"> </w:t>
      </w:r>
      <w:r w:rsidR="007776CD">
        <w:rPr>
          <w:rFonts w:ascii="Bookman Old Style" w:hAnsi="Bookman Old Style"/>
        </w:rPr>
        <w:t xml:space="preserve">la </w:t>
      </w:r>
      <w:r w:rsidR="00344375">
        <w:rPr>
          <w:rFonts w:ascii="Bookman Old Style" w:hAnsi="Bookman Old Style"/>
        </w:rPr>
        <w:t xml:space="preserve">Empresa de Energía de </w:t>
      </w:r>
      <w:r w:rsidR="00D01C37">
        <w:rPr>
          <w:rFonts w:ascii="Bookman Old Style" w:hAnsi="Bookman Old Style"/>
        </w:rPr>
        <w:t>Boyacá</w:t>
      </w:r>
      <w:r w:rsidR="007776CD" w:rsidRPr="007776CD">
        <w:rPr>
          <w:rFonts w:ascii="Bookman Old Style" w:hAnsi="Bookman Old Style"/>
        </w:rPr>
        <w:t xml:space="preserve"> S.A. E.S.P.</w:t>
      </w:r>
      <w:r w:rsidR="00B536F6" w:rsidRPr="00190ADA">
        <w:rPr>
          <w:rFonts w:ascii="Bookman Old Style" w:hAnsi="Bookman Old Style"/>
        </w:rPr>
        <w:t xml:space="preserve"> interpuso un recurso de reposic</w:t>
      </w:r>
      <w:r w:rsidR="00574558">
        <w:rPr>
          <w:rFonts w:ascii="Bookman Old Style" w:hAnsi="Bookman Old Style"/>
        </w:rPr>
        <w:t xml:space="preserve">ión contra la Resolución CREG </w:t>
      </w:r>
      <w:r w:rsidR="00344375">
        <w:rPr>
          <w:rFonts w:ascii="Bookman Old Style" w:hAnsi="Bookman Old Style"/>
        </w:rPr>
        <w:t>0</w:t>
      </w:r>
      <w:r w:rsidR="00D01C37">
        <w:rPr>
          <w:rFonts w:ascii="Bookman Old Style" w:hAnsi="Bookman Old Style"/>
        </w:rPr>
        <w:t>82</w:t>
      </w:r>
      <w:r w:rsidR="00B536F6" w:rsidRPr="00190ADA">
        <w:rPr>
          <w:rFonts w:ascii="Bookman Old Style" w:hAnsi="Bookman Old Style"/>
        </w:rPr>
        <w:t xml:space="preserve"> de 20</w:t>
      </w:r>
      <w:r w:rsidR="00574558">
        <w:rPr>
          <w:rFonts w:ascii="Bookman Old Style" w:hAnsi="Bookman Old Style"/>
        </w:rPr>
        <w:t>1</w:t>
      </w:r>
      <w:r w:rsidR="00344375">
        <w:rPr>
          <w:rFonts w:ascii="Bookman Old Style" w:hAnsi="Bookman Old Style"/>
        </w:rPr>
        <w:t>1</w:t>
      </w:r>
      <w:r w:rsidR="00B536F6" w:rsidRPr="00190ADA">
        <w:rPr>
          <w:rFonts w:ascii="Bookman Old Style" w:hAnsi="Bookman Old Style"/>
        </w:rPr>
        <w:t xml:space="preserve">, con los siguientes argumentos: </w:t>
      </w:r>
    </w:p>
    <w:p w:rsidR="00B536F6" w:rsidRDefault="00B536F6" w:rsidP="001D07EF">
      <w:pPr>
        <w:pStyle w:val="Sangradetextonormal"/>
        <w:ind w:left="284" w:right="567" w:firstLine="424"/>
        <w:rPr>
          <w:rFonts w:ascii="Bookman Old Style" w:hAnsi="Bookman Old Style"/>
          <w:i/>
        </w:rPr>
      </w:pPr>
    </w:p>
    <w:p w:rsidR="00D01C37" w:rsidRDefault="00403F64" w:rsidP="00D01C37">
      <w:pPr>
        <w:pStyle w:val="Sangradetextonormal"/>
        <w:ind w:left="709" w:right="567"/>
        <w:jc w:val="both"/>
        <w:rPr>
          <w:rFonts w:ascii="Bookman Old Style" w:hAnsi="Bookman Old Style"/>
          <w:i/>
        </w:rPr>
      </w:pPr>
      <w:r w:rsidRPr="00403F64">
        <w:rPr>
          <w:rFonts w:ascii="Bookman Old Style" w:hAnsi="Bookman Old Style"/>
          <w:i/>
        </w:rPr>
        <w:t>“</w:t>
      </w:r>
      <w:r w:rsidR="00D01C37">
        <w:rPr>
          <w:rFonts w:ascii="Bookman Old Style" w:hAnsi="Bookman Old Style"/>
          <w:i/>
        </w:rPr>
        <w:t xml:space="preserve">1-. Soportados en los análisis realizados al documento CREG-066 del 21 de junio de 2011, en el cual se evalúa el requerimiento de la actualización del costo anual por el uso de los activos de nivel de tensión 4 de la Empresa de Energía de Boyacá S.A. E.S.P. </w:t>
      </w:r>
      <w:r w:rsidR="00D01C37">
        <w:rPr>
          <w:rFonts w:ascii="Bookman Old Style" w:hAnsi="Bookman Old Style"/>
          <w:i/>
        </w:rPr>
        <w:lastRenderedPageBreak/>
        <w:t>encontramos que no está incorporado en la</w:t>
      </w:r>
      <w:r w:rsidR="005970EC">
        <w:rPr>
          <w:rFonts w:ascii="Bookman Old Style" w:hAnsi="Bookman Old Style"/>
          <w:i/>
        </w:rPr>
        <w:t>s</w:t>
      </w:r>
      <w:r w:rsidR="00D01C37">
        <w:rPr>
          <w:rFonts w:ascii="Bookman Old Style" w:hAnsi="Bookman Old Style"/>
          <w:i/>
        </w:rPr>
        <w:t xml:space="preserve"> Unidades Constructivas </w:t>
      </w:r>
      <w:r w:rsidR="005970EC">
        <w:rPr>
          <w:rFonts w:ascii="Bookman Old Style" w:hAnsi="Bookman Old Style"/>
          <w:i/>
        </w:rPr>
        <w:t>a reconocer los tres (3</w:t>
      </w:r>
      <w:r w:rsidR="00D01C37">
        <w:rPr>
          <w:rFonts w:ascii="Bookman Old Style" w:hAnsi="Bookman Old Style"/>
          <w:i/>
        </w:rPr>
        <w:t>) km de línea urbana Tunja – Chiquinquirá</w:t>
      </w:r>
      <w:r w:rsidR="005970EC">
        <w:rPr>
          <w:rFonts w:ascii="Bookman Old Style" w:hAnsi="Bookman Old Style"/>
          <w:i/>
        </w:rPr>
        <w:t>, sin [sic] bien es cierto las Unidades C</w:t>
      </w:r>
      <w:r w:rsidR="00D01C37">
        <w:rPr>
          <w:rFonts w:ascii="Bookman Old Style" w:hAnsi="Bookman Old Style"/>
          <w:i/>
        </w:rPr>
        <w:t>onstructivas aprobadas y cuyo concepto fue emitido por la UPME con Unidades Constructivas de la Resolución CREG 082 de 2002, se relacionan a continuación:</w:t>
      </w:r>
    </w:p>
    <w:p w:rsidR="005970EC" w:rsidRDefault="005970EC" w:rsidP="00D01C37">
      <w:pPr>
        <w:pStyle w:val="Sangradetextonormal"/>
        <w:ind w:left="709" w:right="567"/>
        <w:jc w:val="both"/>
        <w:rPr>
          <w:rFonts w:ascii="Bookman Old Style" w:hAnsi="Bookman Old Style"/>
          <w:i/>
        </w:rPr>
      </w:pPr>
      <w:r w:rsidRPr="005970EC">
        <w:rPr>
          <w:noProof/>
          <w:lang w:val="es-CO" w:eastAsia="es-CO"/>
        </w:rPr>
        <w:drawing>
          <wp:inline distT="0" distB="0" distL="0" distR="0" wp14:anchorId="4AF83463" wp14:editId="2EFE9082">
            <wp:extent cx="5162550" cy="2949112"/>
            <wp:effectExtent l="0" t="0" r="0" b="381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1"/>
                    <a:srcRect l="9002" t="42391" r="51424" b="19837"/>
                    <a:stretch/>
                  </pic:blipFill>
                  <pic:spPr bwMode="auto">
                    <a:xfrm>
                      <a:off x="0" y="0"/>
                      <a:ext cx="5166291" cy="2951249"/>
                    </a:xfrm>
                    <a:prstGeom prst="rect">
                      <a:avLst/>
                    </a:prstGeom>
                    <a:ln>
                      <a:noFill/>
                    </a:ln>
                    <a:extLst>
                      <a:ext uri="{53640926-AAD7-44D8-BBD7-CCE9431645EC}">
                        <a14:shadowObscured xmlns:a14="http://schemas.microsoft.com/office/drawing/2010/main"/>
                      </a:ext>
                    </a:extLst>
                  </pic:spPr>
                </pic:pic>
              </a:graphicData>
            </a:graphic>
          </wp:inline>
        </w:drawing>
      </w:r>
    </w:p>
    <w:p w:rsidR="005970EC" w:rsidRDefault="005970EC" w:rsidP="00D01C37">
      <w:pPr>
        <w:pStyle w:val="Sangradetextonormal"/>
        <w:ind w:left="709" w:right="567"/>
        <w:jc w:val="both"/>
        <w:rPr>
          <w:rFonts w:ascii="Bookman Old Style" w:hAnsi="Bookman Old Style"/>
          <w:i/>
        </w:rPr>
      </w:pPr>
      <w:r>
        <w:rPr>
          <w:rFonts w:ascii="Bookman Old Style" w:hAnsi="Bookman Old Style"/>
          <w:i/>
        </w:rPr>
        <w:t xml:space="preserve">De acuerdo con lo anterior la Unidad Constructiva que hace referencia a la bahía de línea ubicada en la subestación Chiquinquirá y que conecta ésta con la subestación Barbosa 115 </w:t>
      </w:r>
      <w:proofErr w:type="spellStart"/>
      <w:r>
        <w:rPr>
          <w:rFonts w:ascii="Bookman Old Style" w:hAnsi="Bookman Old Style"/>
          <w:i/>
        </w:rPr>
        <w:t>kv</w:t>
      </w:r>
      <w:proofErr w:type="spellEnd"/>
      <w:r>
        <w:rPr>
          <w:rFonts w:ascii="Bookman Old Style" w:hAnsi="Bookman Old Style"/>
          <w:i/>
        </w:rPr>
        <w:t>, ya se encuentra reconocida dentro del inventario de activos establecido en las resoluciones CREG 120 de 2009 y CREG 084 de 2010.</w:t>
      </w:r>
    </w:p>
    <w:p w:rsidR="005970EC" w:rsidRDefault="005970EC" w:rsidP="00D01C37">
      <w:pPr>
        <w:pStyle w:val="Sangradetextonormal"/>
        <w:ind w:left="709" w:right="567"/>
        <w:jc w:val="both"/>
        <w:rPr>
          <w:rFonts w:ascii="Bookman Old Style" w:hAnsi="Bookman Old Style"/>
          <w:i/>
        </w:rPr>
      </w:pPr>
      <w:r>
        <w:rPr>
          <w:rFonts w:ascii="Bookman Old Style" w:hAnsi="Bookman Old Style"/>
          <w:i/>
        </w:rPr>
        <w:t xml:space="preserve">Por lo tanto eliminando la Bahía de línea mencionada e incorporando el tramo de tres (3) km de línea que en su momento se reportó a la UPME dentro de los kilómetros de línea de transmisión rural a 115 </w:t>
      </w:r>
      <w:proofErr w:type="spellStart"/>
      <w:r>
        <w:rPr>
          <w:rFonts w:ascii="Bookman Old Style" w:hAnsi="Bookman Old Style"/>
          <w:i/>
        </w:rPr>
        <w:t>kv</w:t>
      </w:r>
      <w:proofErr w:type="spellEnd"/>
      <w:r>
        <w:rPr>
          <w:rFonts w:ascii="Bookman Old Style" w:hAnsi="Bookman Old Style"/>
          <w:i/>
        </w:rPr>
        <w:t>, ya que no existían los diseños definitivos y no se contemplaba el cruce de este tramo de línea por el sector urbano, las Unidades Constructivas a reconocer y cantidades por parte de la Comisi</w:t>
      </w:r>
      <w:r w:rsidR="007D2121">
        <w:rPr>
          <w:rFonts w:ascii="Bookman Old Style" w:hAnsi="Bookman Old Style"/>
          <w:i/>
        </w:rPr>
        <w:t>ón de R</w:t>
      </w:r>
      <w:r>
        <w:rPr>
          <w:rFonts w:ascii="Bookman Old Style" w:hAnsi="Bookman Old Style"/>
          <w:i/>
        </w:rPr>
        <w:t>egulación de Energía y Gas (CREG), se describen a continuación:</w:t>
      </w:r>
    </w:p>
    <w:p w:rsidR="005970EC" w:rsidRDefault="005970EC" w:rsidP="00D01C37">
      <w:pPr>
        <w:pStyle w:val="Sangradetextonormal"/>
        <w:ind w:left="709" w:right="567"/>
        <w:jc w:val="both"/>
        <w:rPr>
          <w:rFonts w:ascii="Bookman Old Style" w:hAnsi="Bookman Old Style"/>
          <w:i/>
        </w:rPr>
      </w:pPr>
    </w:p>
    <w:p w:rsidR="005970EC" w:rsidRDefault="005970EC" w:rsidP="005970EC">
      <w:pPr>
        <w:pStyle w:val="Sangradetextonormal"/>
        <w:ind w:left="709" w:right="567"/>
        <w:jc w:val="center"/>
        <w:rPr>
          <w:rFonts w:ascii="Bookman Old Style" w:hAnsi="Bookman Old Style"/>
          <w:i/>
        </w:rPr>
      </w:pPr>
      <w:r w:rsidRPr="005970EC">
        <w:rPr>
          <w:noProof/>
          <w:lang w:val="es-CO" w:eastAsia="es-CO"/>
        </w:rPr>
        <w:drawing>
          <wp:inline distT="0" distB="0" distL="0" distR="0" wp14:anchorId="76FA9D32" wp14:editId="076D7C6E">
            <wp:extent cx="4735153" cy="1637829"/>
            <wp:effectExtent l="0" t="0" r="8890" b="635"/>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2"/>
                    <a:srcRect l="10870" t="32880" r="48373" b="44566"/>
                    <a:stretch/>
                  </pic:blipFill>
                  <pic:spPr bwMode="auto">
                    <a:xfrm>
                      <a:off x="0" y="0"/>
                      <a:ext cx="4740013" cy="1639510"/>
                    </a:xfrm>
                    <a:prstGeom prst="rect">
                      <a:avLst/>
                    </a:prstGeom>
                    <a:ln>
                      <a:noFill/>
                    </a:ln>
                    <a:extLst>
                      <a:ext uri="{53640926-AAD7-44D8-BBD7-CCE9431645EC}">
                        <a14:shadowObscured xmlns:a14="http://schemas.microsoft.com/office/drawing/2010/main"/>
                      </a:ext>
                    </a:extLst>
                  </pic:spPr>
                </pic:pic>
              </a:graphicData>
            </a:graphic>
          </wp:inline>
        </w:drawing>
      </w:r>
    </w:p>
    <w:p w:rsidR="003B11C0" w:rsidRDefault="005970EC" w:rsidP="00D44A10">
      <w:pPr>
        <w:pStyle w:val="Sangradetextonormal"/>
        <w:spacing w:after="0"/>
        <w:ind w:left="709" w:right="567"/>
        <w:jc w:val="both"/>
        <w:rPr>
          <w:rFonts w:ascii="Bookman Old Style" w:hAnsi="Bookman Old Style"/>
          <w:i/>
        </w:rPr>
      </w:pPr>
      <w:r>
        <w:rPr>
          <w:rFonts w:ascii="Bookman Old Style" w:hAnsi="Bookman Old Style"/>
          <w:i/>
        </w:rPr>
        <w:t xml:space="preserve">2-. Con lo anterior esperamos </w:t>
      </w:r>
      <w:r w:rsidR="007D2121">
        <w:rPr>
          <w:rFonts w:ascii="Bookman Old Style" w:hAnsi="Bookman Old Style"/>
          <w:i/>
        </w:rPr>
        <w:t>s</w:t>
      </w:r>
      <w:r>
        <w:rPr>
          <w:rFonts w:ascii="Bookman Old Style" w:hAnsi="Bookman Old Style"/>
          <w:i/>
        </w:rPr>
        <w:t>ean evaluadas nuestras consideraciones por parte de la Comisi</w:t>
      </w:r>
      <w:r w:rsidR="007D2121">
        <w:rPr>
          <w:rFonts w:ascii="Bookman Old Style" w:hAnsi="Bookman Old Style"/>
          <w:i/>
        </w:rPr>
        <w:t>ón de R</w:t>
      </w:r>
      <w:r>
        <w:rPr>
          <w:rFonts w:ascii="Bookman Old Style" w:hAnsi="Bookman Old Style"/>
          <w:i/>
        </w:rPr>
        <w:t>egulación de Energía y Gas (CREG)</w:t>
      </w:r>
      <w:r w:rsidR="007D2121">
        <w:rPr>
          <w:rFonts w:ascii="Bookman Old Style" w:hAnsi="Bookman Old Style"/>
          <w:i/>
        </w:rPr>
        <w:t>, con la finalidad de actualizar el costo anual por el Uso de los Activos de Nivel de Tensión 4 de la Empresa de Energía de Boyacá S.A. E.S.P., por tanto se proceda a revisar, revocar y proferir nueva resolución, que contenga y contemple lo pedido, pues hará justicia con la realidad.</w:t>
      </w:r>
      <w:r w:rsidR="003B11C0">
        <w:rPr>
          <w:rFonts w:ascii="Bookman Old Style" w:hAnsi="Bookman Old Style"/>
          <w:i/>
        </w:rPr>
        <w:t>”</w:t>
      </w:r>
    </w:p>
    <w:p w:rsidR="003B11C0" w:rsidRPr="00444EB6" w:rsidRDefault="003B11C0" w:rsidP="003B11C0">
      <w:pPr>
        <w:pStyle w:val="Sangradetextonormal"/>
        <w:ind w:left="851" w:right="567"/>
        <w:jc w:val="both"/>
        <w:rPr>
          <w:rFonts w:ascii="Bookman Old Style" w:hAnsi="Bookman Old Style"/>
          <w:i/>
        </w:rPr>
      </w:pPr>
    </w:p>
    <w:p w:rsidR="00B536F6" w:rsidRPr="00190ADA" w:rsidRDefault="00B536F6" w:rsidP="00B536F6">
      <w:pPr>
        <w:numPr>
          <w:ilvl w:val="0"/>
          <w:numId w:val="18"/>
        </w:numPr>
        <w:overflowPunct w:val="0"/>
        <w:autoSpaceDE w:val="0"/>
        <w:autoSpaceDN w:val="0"/>
        <w:adjustRightInd w:val="0"/>
        <w:jc w:val="both"/>
        <w:textAlignment w:val="baseline"/>
        <w:rPr>
          <w:rFonts w:ascii="Bookman Old Style" w:hAnsi="Bookman Old Style"/>
          <w:b/>
          <w:bCs/>
        </w:rPr>
      </w:pPr>
      <w:r w:rsidRPr="00190ADA">
        <w:rPr>
          <w:rFonts w:ascii="Bookman Old Style" w:hAnsi="Bookman Old Style"/>
          <w:b/>
          <w:bCs/>
        </w:rPr>
        <w:t>CONSIDERACIONES DE LA CREG.</w:t>
      </w:r>
    </w:p>
    <w:p w:rsidR="00B536F6" w:rsidRDefault="00B536F6" w:rsidP="00B536F6">
      <w:pPr>
        <w:pStyle w:val="Textoindependiente2"/>
        <w:spacing w:line="240" w:lineRule="auto"/>
        <w:rPr>
          <w:rFonts w:ascii="Bookman Old Style" w:hAnsi="Bookman Old Style"/>
        </w:rPr>
      </w:pPr>
    </w:p>
    <w:p w:rsidR="00851B92" w:rsidRDefault="00C12D4E" w:rsidP="00D44A10">
      <w:pPr>
        <w:pStyle w:val="Textoindependiente2"/>
        <w:spacing w:after="0" w:line="240" w:lineRule="auto"/>
        <w:jc w:val="both"/>
        <w:rPr>
          <w:rFonts w:ascii="Bookman Old Style" w:hAnsi="Bookman Old Style"/>
          <w:lang w:val="es-CO"/>
        </w:rPr>
      </w:pPr>
      <w:r>
        <w:rPr>
          <w:rFonts w:ascii="Bookman Old Style" w:hAnsi="Bookman Old Style"/>
          <w:lang w:val="es-CO"/>
        </w:rPr>
        <w:t>Durante la actuación administrativa</w:t>
      </w:r>
      <w:r w:rsidR="00303888">
        <w:rPr>
          <w:rFonts w:ascii="Bookman Old Style" w:hAnsi="Bookman Old Style"/>
          <w:lang w:val="es-CO"/>
        </w:rPr>
        <w:t xml:space="preserve"> adelantada para la expedición de la Resolución CREG 082 de 2011,</w:t>
      </w:r>
      <w:r>
        <w:rPr>
          <w:rFonts w:ascii="Bookman Old Style" w:hAnsi="Bookman Old Style"/>
          <w:lang w:val="es-CO"/>
        </w:rPr>
        <w:t xml:space="preserve"> </w:t>
      </w:r>
      <w:r w:rsidR="00303888">
        <w:rPr>
          <w:rFonts w:ascii="Bookman Old Style" w:hAnsi="Bookman Old Style"/>
          <w:lang w:val="es-CO"/>
        </w:rPr>
        <w:t>la Empresa de Energía de Boyacá S.A. E.S.P., EBSA</w:t>
      </w:r>
      <w:r w:rsidR="005752C4">
        <w:rPr>
          <w:rFonts w:ascii="Bookman Old Style" w:hAnsi="Bookman Old Style"/>
          <w:lang w:val="es-CO"/>
        </w:rPr>
        <w:t>,</w:t>
      </w:r>
      <w:r w:rsidR="00303888">
        <w:rPr>
          <w:rFonts w:ascii="Bookman Old Style" w:hAnsi="Bookman Old Style"/>
          <w:lang w:val="es-CO"/>
        </w:rPr>
        <w:t xml:space="preserve"> sustentó mediante comunicación con radicado CREG E-2011-003667, </w:t>
      </w:r>
      <w:r>
        <w:rPr>
          <w:rFonts w:ascii="Bookman Old Style" w:hAnsi="Bookman Old Style"/>
          <w:lang w:val="es-CO"/>
        </w:rPr>
        <w:t>l</w:t>
      </w:r>
      <w:r w:rsidR="002D2264">
        <w:rPr>
          <w:rFonts w:ascii="Bookman Old Style" w:hAnsi="Bookman Old Style"/>
          <w:lang w:val="es-CO"/>
        </w:rPr>
        <w:t xml:space="preserve">as diferencias </w:t>
      </w:r>
      <w:r w:rsidR="000F1457">
        <w:rPr>
          <w:rFonts w:ascii="Bookman Old Style" w:hAnsi="Bookman Old Style"/>
          <w:lang w:val="es-CO"/>
        </w:rPr>
        <w:t>identific</w:t>
      </w:r>
      <w:r w:rsidR="002D2264">
        <w:rPr>
          <w:rFonts w:ascii="Bookman Old Style" w:hAnsi="Bookman Old Style"/>
          <w:lang w:val="es-CO"/>
        </w:rPr>
        <w:t xml:space="preserve">adas </w:t>
      </w:r>
      <w:r w:rsidR="00303888">
        <w:rPr>
          <w:rFonts w:ascii="Bookman Old Style" w:hAnsi="Bookman Old Style"/>
          <w:lang w:val="es-CO"/>
        </w:rPr>
        <w:t>entre</w:t>
      </w:r>
      <w:r w:rsidR="002D2264">
        <w:rPr>
          <w:rFonts w:ascii="Bookman Old Style" w:hAnsi="Bookman Old Style"/>
          <w:lang w:val="es-CO"/>
        </w:rPr>
        <w:t xml:space="preserve"> las Unidades Constructivas </w:t>
      </w:r>
      <w:r w:rsidR="00303888">
        <w:rPr>
          <w:rFonts w:ascii="Bookman Old Style" w:hAnsi="Bookman Old Style"/>
          <w:lang w:val="es-CO"/>
        </w:rPr>
        <w:t xml:space="preserve">solicitadas </w:t>
      </w:r>
      <w:r w:rsidR="000F1457">
        <w:rPr>
          <w:rFonts w:ascii="Bookman Old Style" w:hAnsi="Bookman Old Style"/>
          <w:lang w:val="es-CO"/>
        </w:rPr>
        <w:t>a la CREG y las incluidas en el concepto emitido por la UPME</w:t>
      </w:r>
      <w:r w:rsidR="00303888">
        <w:rPr>
          <w:rFonts w:ascii="Bookman Old Style" w:hAnsi="Bookman Old Style"/>
          <w:lang w:val="es-CO"/>
        </w:rPr>
        <w:t>,</w:t>
      </w:r>
      <w:r w:rsidR="000F1457">
        <w:rPr>
          <w:rFonts w:ascii="Bookman Old Style" w:hAnsi="Bookman Old Style"/>
          <w:lang w:val="es-CO"/>
        </w:rPr>
        <w:t xml:space="preserve"> con los siguientes a</w:t>
      </w:r>
      <w:r w:rsidR="000F5D2B">
        <w:rPr>
          <w:rFonts w:ascii="Bookman Old Style" w:hAnsi="Bookman Old Style"/>
          <w:lang w:val="es-CO"/>
        </w:rPr>
        <w:t>r</w:t>
      </w:r>
      <w:r w:rsidR="000F1457">
        <w:rPr>
          <w:rFonts w:ascii="Bookman Old Style" w:hAnsi="Bookman Old Style"/>
          <w:lang w:val="es-CO"/>
        </w:rPr>
        <w:t>gumentos</w:t>
      </w:r>
      <w:r w:rsidR="000F5D2B">
        <w:rPr>
          <w:rFonts w:ascii="Bookman Old Style" w:hAnsi="Bookman Old Style"/>
          <w:lang w:val="es-CO"/>
        </w:rPr>
        <w:t>:</w:t>
      </w:r>
    </w:p>
    <w:p w:rsidR="00C12D4E" w:rsidRDefault="000F5D2B" w:rsidP="00445206">
      <w:pPr>
        <w:spacing w:before="240"/>
        <w:ind w:left="1134" w:right="618"/>
        <w:jc w:val="both"/>
        <w:rPr>
          <w:rFonts w:ascii="Bookman Old Style" w:hAnsi="Bookman Old Style" w:cs="Arial"/>
          <w:i/>
        </w:rPr>
      </w:pPr>
      <w:r w:rsidRPr="000F5D2B">
        <w:rPr>
          <w:rFonts w:ascii="Bookman Old Style" w:hAnsi="Bookman Old Style" w:cs="Arial"/>
          <w:i/>
        </w:rPr>
        <w:t xml:space="preserve">“Las diferencias entre lo solicitado y lo aprobado por la UPME, radica principalmente en que </w:t>
      </w:r>
      <w:r w:rsidRPr="000F5D2B">
        <w:rPr>
          <w:rFonts w:ascii="Bookman Old Style" w:hAnsi="Bookman Old Style" w:cs="Arial"/>
          <w:i/>
          <w:u w:val="single"/>
        </w:rPr>
        <w:t>la unidades constructivas relacionadas para la aprobación del proyecto por la UPME estaban descritas mediante resolución CREG 082 de 2002, y por la cual se consideró una sola UC para la Línea Tunja – Chiquinquirá (N4L3) considerando los 59.64 km de línea en esta UC</w:t>
      </w:r>
      <w:r w:rsidRPr="000F5D2B">
        <w:rPr>
          <w:rFonts w:ascii="Bookman Old Style" w:hAnsi="Bookman Old Style" w:cs="Arial"/>
          <w:i/>
        </w:rPr>
        <w:t>. Dado que EBSA sustentó las UC conforme a la resolución CREG 097 de 2008, separando la línea Tunja-Chiquinquirá en dos UC; una corresponde a 3 km de línea urbana y 56,64 km corresponde a línea rural.</w:t>
      </w:r>
    </w:p>
    <w:p w:rsidR="000F5D2B" w:rsidRDefault="00C12D4E" w:rsidP="00445206">
      <w:pPr>
        <w:spacing w:before="240"/>
        <w:ind w:left="1134" w:right="618"/>
        <w:jc w:val="both"/>
        <w:rPr>
          <w:rFonts w:ascii="Bookman Old Style" w:hAnsi="Bookman Old Style" w:cs="Arial"/>
          <w:i/>
        </w:rPr>
      </w:pPr>
      <w:r>
        <w:rPr>
          <w:rFonts w:ascii="Bookman Old Style" w:hAnsi="Bookman Old Style" w:cs="Arial"/>
          <w:i/>
        </w:rPr>
        <w:t>(…)</w:t>
      </w:r>
      <w:r w:rsidR="000F5D2B" w:rsidRPr="000F5D2B">
        <w:rPr>
          <w:rFonts w:ascii="Bookman Old Style" w:hAnsi="Bookman Old Style" w:cs="Arial"/>
          <w:i/>
        </w:rPr>
        <w:t>”</w:t>
      </w:r>
    </w:p>
    <w:p w:rsidR="00C12D4E" w:rsidRDefault="00C12D4E" w:rsidP="004E26FA">
      <w:pPr>
        <w:spacing w:before="240"/>
        <w:ind w:left="1134" w:right="618"/>
        <w:rPr>
          <w:rFonts w:ascii="Bookman Old Style" w:hAnsi="Bookman Old Style" w:cs="Arial"/>
          <w:sz w:val="22"/>
        </w:rPr>
      </w:pPr>
      <w:r w:rsidRPr="00C12D4E">
        <w:rPr>
          <w:rFonts w:ascii="Bookman Old Style" w:hAnsi="Bookman Old Style" w:cs="Arial"/>
          <w:sz w:val="22"/>
        </w:rPr>
        <w:t>Subrayado fuera de texto</w:t>
      </w:r>
    </w:p>
    <w:p w:rsidR="000F5D2B" w:rsidRDefault="00BD4C8F" w:rsidP="00445206">
      <w:pPr>
        <w:pStyle w:val="Textoindependiente2"/>
        <w:spacing w:before="240" w:line="240" w:lineRule="auto"/>
        <w:jc w:val="both"/>
        <w:rPr>
          <w:rFonts w:ascii="Bookman Old Style" w:hAnsi="Bookman Old Style"/>
        </w:rPr>
      </w:pPr>
      <w:r>
        <w:rPr>
          <w:rFonts w:ascii="Bookman Old Style" w:hAnsi="Bookman Old Style"/>
        </w:rPr>
        <w:t>De lo anterior se entiende que</w:t>
      </w:r>
      <w:r w:rsidR="00303888">
        <w:rPr>
          <w:rFonts w:ascii="Bookman Old Style" w:hAnsi="Bookman Old Style"/>
        </w:rPr>
        <w:t xml:space="preserve"> </w:t>
      </w:r>
      <w:r w:rsidR="00A33BFB">
        <w:rPr>
          <w:rFonts w:ascii="Bookman Old Style" w:hAnsi="Bookman Old Style"/>
        </w:rPr>
        <w:t>la empresa afirmó</w:t>
      </w:r>
      <w:r w:rsidR="00C12D4E">
        <w:rPr>
          <w:rFonts w:ascii="Bookman Old Style" w:hAnsi="Bookman Old Style"/>
        </w:rPr>
        <w:t xml:space="preserve"> que </w:t>
      </w:r>
      <w:r w:rsidR="00303888">
        <w:rPr>
          <w:rFonts w:ascii="Bookman Old Style" w:hAnsi="Bookman Old Style"/>
        </w:rPr>
        <w:t>con las Unidades C</w:t>
      </w:r>
      <w:r w:rsidR="00C12D4E">
        <w:rPr>
          <w:rFonts w:ascii="Bookman Old Style" w:hAnsi="Bookman Old Style"/>
        </w:rPr>
        <w:t>on</w:t>
      </w:r>
      <w:r w:rsidR="00327874">
        <w:rPr>
          <w:rFonts w:ascii="Bookman Old Style" w:hAnsi="Bookman Old Style"/>
        </w:rPr>
        <w:t>s</w:t>
      </w:r>
      <w:r w:rsidR="00C12D4E">
        <w:rPr>
          <w:rFonts w:ascii="Bookman Old Style" w:hAnsi="Bookman Old Style"/>
        </w:rPr>
        <w:t>tructivas definidas median</w:t>
      </w:r>
      <w:r w:rsidR="00327874">
        <w:rPr>
          <w:rFonts w:ascii="Bookman Old Style" w:hAnsi="Bookman Old Style"/>
        </w:rPr>
        <w:t>t</w:t>
      </w:r>
      <w:r w:rsidR="00C12D4E">
        <w:rPr>
          <w:rFonts w:ascii="Bookman Old Style" w:hAnsi="Bookman Old Style"/>
        </w:rPr>
        <w:t>e la Resolución CREG 082 de 2002 no era posible clasificar línea</w:t>
      </w:r>
      <w:r w:rsidR="00327874">
        <w:rPr>
          <w:rFonts w:ascii="Bookman Old Style" w:hAnsi="Bookman Old Style"/>
        </w:rPr>
        <w:t>s</w:t>
      </w:r>
      <w:r w:rsidR="00C12D4E">
        <w:rPr>
          <w:rFonts w:ascii="Bookman Old Style" w:hAnsi="Bookman Old Style"/>
        </w:rPr>
        <w:t xml:space="preserve"> urbanas</w:t>
      </w:r>
      <w:r w:rsidR="00327874">
        <w:rPr>
          <w:rFonts w:ascii="Bookman Old Style" w:hAnsi="Bookman Old Style"/>
        </w:rPr>
        <w:t xml:space="preserve"> y por tal razón la longitud total de la línea fue clasificada como rural.</w:t>
      </w:r>
    </w:p>
    <w:p w:rsidR="00EE0100" w:rsidRDefault="00327874" w:rsidP="00445206">
      <w:pPr>
        <w:pStyle w:val="Textoindependiente2"/>
        <w:spacing w:before="240" w:line="240" w:lineRule="auto"/>
        <w:jc w:val="both"/>
        <w:rPr>
          <w:rFonts w:ascii="Bookman Old Style" w:hAnsi="Bookman Old Style"/>
        </w:rPr>
      </w:pPr>
      <w:r>
        <w:rPr>
          <w:rFonts w:ascii="Bookman Old Style" w:hAnsi="Bookman Old Style"/>
        </w:rPr>
        <w:t>El argumento</w:t>
      </w:r>
      <w:r w:rsidR="00A33BFB">
        <w:rPr>
          <w:rFonts w:ascii="Bookman Old Style" w:hAnsi="Bookman Old Style"/>
        </w:rPr>
        <w:t xml:space="preserve"> de la empresa </w:t>
      </w:r>
      <w:r>
        <w:rPr>
          <w:rFonts w:ascii="Bookman Old Style" w:hAnsi="Bookman Old Style"/>
        </w:rPr>
        <w:t>fue analizado en el documento CREG 066 de 2011 como se muestra a continuación:</w:t>
      </w:r>
    </w:p>
    <w:p w:rsidR="00327874" w:rsidRPr="000F5D2B" w:rsidRDefault="00327874" w:rsidP="00445206">
      <w:pPr>
        <w:pStyle w:val="Textoindependiente2"/>
        <w:spacing w:before="240" w:line="240" w:lineRule="auto"/>
        <w:ind w:left="1134" w:right="567"/>
        <w:jc w:val="both"/>
        <w:rPr>
          <w:rFonts w:ascii="Bookman Old Style" w:hAnsi="Bookman Old Style"/>
        </w:rPr>
      </w:pPr>
      <w:r>
        <w:rPr>
          <w:rFonts w:ascii="Bookman Old Style" w:hAnsi="Bookman Old Style"/>
        </w:rPr>
        <w:t>“</w:t>
      </w:r>
      <w:r w:rsidRPr="00327874">
        <w:rPr>
          <w:rFonts w:ascii="Bookman Old Style" w:hAnsi="Bookman Old Style"/>
          <w:i/>
        </w:rPr>
        <w:t>Con respecto a la UC N4L34 la CREG no coincide con la afirmación hecha por EBSA, pues el equivalente de esa unidad con las UC de la Resolución CREG 082 de 2002 es la N4L1, por tanto era posible reportar a la UPME los km de red diferenciados entre rural y urbano.”</w:t>
      </w:r>
    </w:p>
    <w:p w:rsidR="002D2264" w:rsidRDefault="00C12D4E" w:rsidP="00445206">
      <w:pPr>
        <w:pStyle w:val="Textoindependiente2"/>
        <w:spacing w:before="240" w:line="240" w:lineRule="auto"/>
        <w:jc w:val="both"/>
        <w:rPr>
          <w:rFonts w:ascii="Bookman Old Style" w:hAnsi="Bookman Old Style"/>
          <w:lang w:val="es-CO"/>
        </w:rPr>
      </w:pPr>
      <w:r>
        <w:rPr>
          <w:rFonts w:ascii="Bookman Old Style" w:hAnsi="Bookman Old Style"/>
          <w:lang w:val="es-CO"/>
        </w:rPr>
        <w:t>Notamos</w:t>
      </w:r>
      <w:r w:rsidR="00792301">
        <w:rPr>
          <w:rFonts w:ascii="Bookman Old Style" w:hAnsi="Bookman Old Style"/>
          <w:lang w:val="es-CO"/>
        </w:rPr>
        <w:t>,</w:t>
      </w:r>
      <w:r>
        <w:rPr>
          <w:rFonts w:ascii="Bookman Old Style" w:hAnsi="Bookman Old Style"/>
          <w:lang w:val="es-CO"/>
        </w:rPr>
        <w:t xml:space="preserve"> sin embargo</w:t>
      </w:r>
      <w:r w:rsidR="00792301">
        <w:rPr>
          <w:rFonts w:ascii="Bookman Old Style" w:hAnsi="Bookman Old Style"/>
          <w:lang w:val="es-CO"/>
        </w:rPr>
        <w:t>,</w:t>
      </w:r>
      <w:r>
        <w:rPr>
          <w:rFonts w:ascii="Bookman Old Style" w:hAnsi="Bookman Old Style"/>
          <w:lang w:val="es-CO"/>
        </w:rPr>
        <w:t xml:space="preserve"> que el argumento que se presenta dentro del recurso de reposición </w:t>
      </w:r>
      <w:r w:rsidR="00A33BFB">
        <w:rPr>
          <w:rFonts w:ascii="Bookman Old Style" w:hAnsi="Bookman Old Style"/>
          <w:lang w:val="es-CO"/>
        </w:rPr>
        <w:t>es distinto al que se sustentó durante la actuación administrativa</w:t>
      </w:r>
      <w:r w:rsidR="00792301">
        <w:rPr>
          <w:rFonts w:ascii="Bookman Old Style" w:hAnsi="Bookman Old Style"/>
          <w:lang w:val="es-CO"/>
        </w:rPr>
        <w:t>,</w:t>
      </w:r>
      <w:r w:rsidR="00A33BFB">
        <w:rPr>
          <w:rFonts w:ascii="Bookman Old Style" w:hAnsi="Bookman Old Style"/>
          <w:lang w:val="es-CO"/>
        </w:rPr>
        <w:t xml:space="preserve"> pues afirma que:</w:t>
      </w:r>
    </w:p>
    <w:p w:rsidR="00A33BFB" w:rsidRPr="00A33BFB" w:rsidRDefault="00A33BFB" w:rsidP="00445206">
      <w:pPr>
        <w:pStyle w:val="Textoindependiente2"/>
        <w:spacing w:before="240" w:line="240" w:lineRule="auto"/>
        <w:ind w:left="1134" w:right="567"/>
        <w:jc w:val="both"/>
        <w:rPr>
          <w:rFonts w:ascii="Bookman Old Style" w:hAnsi="Bookman Old Style"/>
          <w:i/>
        </w:rPr>
      </w:pPr>
      <w:r>
        <w:rPr>
          <w:rFonts w:ascii="Bookman Old Style" w:hAnsi="Bookman Old Style"/>
          <w:i/>
        </w:rPr>
        <w:t xml:space="preserve">“(…) </w:t>
      </w:r>
      <w:r w:rsidRPr="00A33BFB">
        <w:rPr>
          <w:rFonts w:ascii="Bookman Old Style" w:hAnsi="Bookman Old Style"/>
          <w:i/>
        </w:rPr>
        <w:t xml:space="preserve">el tramo de tres (3) km de línea que en su momento se reportó a la UPME dentro de los kilómetros de línea de transmisión rural a 115 </w:t>
      </w:r>
      <w:proofErr w:type="spellStart"/>
      <w:r w:rsidRPr="00A33BFB">
        <w:rPr>
          <w:rFonts w:ascii="Bookman Old Style" w:hAnsi="Bookman Old Style"/>
          <w:i/>
        </w:rPr>
        <w:t>kv</w:t>
      </w:r>
      <w:proofErr w:type="spellEnd"/>
      <w:r w:rsidRPr="00A33BFB">
        <w:rPr>
          <w:rFonts w:ascii="Bookman Old Style" w:hAnsi="Bookman Old Style"/>
          <w:i/>
        </w:rPr>
        <w:t>, ya que no existían los diseños definitivos y no se contemplaba el cruce de este tramo de línea por el sector urbano</w:t>
      </w:r>
      <w:r>
        <w:rPr>
          <w:rFonts w:ascii="Bookman Old Style" w:hAnsi="Bookman Old Style"/>
          <w:i/>
        </w:rPr>
        <w:t xml:space="preserve"> (…)”</w:t>
      </w:r>
    </w:p>
    <w:p w:rsidR="00A33BFB" w:rsidRDefault="00DB7A6A" w:rsidP="00445206">
      <w:pPr>
        <w:pStyle w:val="Textoindependiente2"/>
        <w:spacing w:before="240" w:line="240" w:lineRule="auto"/>
        <w:jc w:val="both"/>
        <w:rPr>
          <w:rFonts w:ascii="Bookman Old Style" w:hAnsi="Bookman Old Style"/>
          <w:lang w:val="es-CO"/>
        </w:rPr>
      </w:pPr>
      <w:r>
        <w:rPr>
          <w:rFonts w:ascii="Bookman Old Style" w:hAnsi="Bookman Old Style"/>
          <w:lang w:val="es-CO"/>
        </w:rPr>
        <w:t>Por</w:t>
      </w:r>
      <w:r w:rsidR="00A33BFB">
        <w:rPr>
          <w:rFonts w:ascii="Bookman Old Style" w:hAnsi="Bookman Old Style"/>
          <w:lang w:val="es-CO"/>
        </w:rPr>
        <w:t xml:space="preserve"> lo anterior</w:t>
      </w:r>
      <w:r w:rsidR="00792301">
        <w:rPr>
          <w:rFonts w:ascii="Bookman Old Style" w:hAnsi="Bookman Old Style"/>
          <w:lang w:val="es-CO"/>
        </w:rPr>
        <w:t>,</w:t>
      </w:r>
      <w:r w:rsidR="00A33BFB">
        <w:rPr>
          <w:rFonts w:ascii="Bookman Old Style" w:hAnsi="Bookman Old Style"/>
          <w:lang w:val="es-CO"/>
        </w:rPr>
        <w:t xml:space="preserve"> </w:t>
      </w:r>
      <w:r>
        <w:rPr>
          <w:rFonts w:ascii="Bookman Old Style" w:hAnsi="Bookman Old Style"/>
          <w:lang w:val="es-CO"/>
        </w:rPr>
        <w:t xml:space="preserve">se considera </w:t>
      </w:r>
      <w:r w:rsidR="00A33BFB">
        <w:rPr>
          <w:rFonts w:ascii="Bookman Old Style" w:hAnsi="Bookman Old Style"/>
          <w:lang w:val="es-CO"/>
        </w:rPr>
        <w:t xml:space="preserve">que la empresa no </w:t>
      </w:r>
      <w:r w:rsidR="00CD1D78">
        <w:rPr>
          <w:rFonts w:ascii="Bookman Old Style" w:hAnsi="Bookman Old Style"/>
          <w:lang w:val="es-CO"/>
        </w:rPr>
        <w:t xml:space="preserve">ha argumentado con claridad </w:t>
      </w:r>
      <w:r w:rsidR="00792301">
        <w:rPr>
          <w:rFonts w:ascii="Bookman Old Style" w:hAnsi="Bookman Old Style"/>
          <w:lang w:val="es-CO"/>
        </w:rPr>
        <w:t>la situación</w:t>
      </w:r>
      <w:r w:rsidR="00445206">
        <w:rPr>
          <w:rFonts w:ascii="Bookman Old Style" w:hAnsi="Bookman Old Style"/>
          <w:lang w:val="es-CO"/>
        </w:rPr>
        <w:t>,</w:t>
      </w:r>
      <w:r w:rsidR="00792301">
        <w:rPr>
          <w:rFonts w:ascii="Bookman Old Style" w:hAnsi="Bookman Old Style"/>
          <w:lang w:val="es-CO"/>
        </w:rPr>
        <w:t xml:space="preserve"> </w:t>
      </w:r>
      <w:r>
        <w:rPr>
          <w:rFonts w:ascii="Bookman Old Style" w:hAnsi="Bookman Old Style"/>
          <w:lang w:val="es-CO"/>
        </w:rPr>
        <w:t xml:space="preserve">pues </w:t>
      </w:r>
      <w:r w:rsidR="00CD1D78">
        <w:rPr>
          <w:rFonts w:ascii="Bookman Old Style" w:hAnsi="Bookman Old Style"/>
          <w:lang w:val="es-CO"/>
        </w:rPr>
        <w:t xml:space="preserve">en dos ocasiones ha </w:t>
      </w:r>
      <w:r>
        <w:rPr>
          <w:rFonts w:ascii="Bookman Old Style" w:hAnsi="Bookman Old Style"/>
          <w:lang w:val="es-CO"/>
        </w:rPr>
        <w:t>presenta</w:t>
      </w:r>
      <w:r w:rsidR="00CD1D78">
        <w:rPr>
          <w:rFonts w:ascii="Bookman Old Style" w:hAnsi="Bookman Old Style"/>
          <w:lang w:val="es-CO"/>
        </w:rPr>
        <w:t>do</w:t>
      </w:r>
      <w:r>
        <w:rPr>
          <w:rFonts w:ascii="Bookman Old Style" w:hAnsi="Bookman Old Style"/>
          <w:lang w:val="es-CO"/>
        </w:rPr>
        <w:t xml:space="preserve"> </w:t>
      </w:r>
      <w:r w:rsidR="00CD1D78">
        <w:rPr>
          <w:rFonts w:ascii="Bookman Old Style" w:hAnsi="Bookman Old Style"/>
          <w:lang w:val="es-CO"/>
        </w:rPr>
        <w:t>explicaciones</w:t>
      </w:r>
      <w:r>
        <w:rPr>
          <w:rFonts w:ascii="Bookman Old Style" w:hAnsi="Bookman Old Style"/>
          <w:lang w:val="es-CO"/>
        </w:rPr>
        <w:t xml:space="preserve"> </w:t>
      </w:r>
      <w:r w:rsidR="00CD1D78">
        <w:rPr>
          <w:rFonts w:ascii="Bookman Old Style" w:hAnsi="Bookman Old Style"/>
          <w:lang w:val="es-CO"/>
        </w:rPr>
        <w:t>distintas</w:t>
      </w:r>
      <w:r>
        <w:rPr>
          <w:rFonts w:ascii="Bookman Old Style" w:hAnsi="Bookman Old Style"/>
          <w:lang w:val="es-CO"/>
        </w:rPr>
        <w:t xml:space="preserve"> </w:t>
      </w:r>
      <w:r w:rsidR="00CD1D78">
        <w:rPr>
          <w:rFonts w:ascii="Bookman Old Style" w:hAnsi="Bookman Old Style"/>
          <w:lang w:val="es-CO"/>
        </w:rPr>
        <w:t>sobre</w:t>
      </w:r>
      <w:r>
        <w:rPr>
          <w:rFonts w:ascii="Bookman Old Style" w:hAnsi="Bookman Old Style"/>
          <w:lang w:val="es-CO"/>
        </w:rPr>
        <w:t xml:space="preserve"> las </w:t>
      </w:r>
      <w:r w:rsidR="00A33BFB">
        <w:rPr>
          <w:rFonts w:ascii="Bookman Old Style" w:hAnsi="Bookman Old Style"/>
          <w:lang w:val="es-CO"/>
        </w:rPr>
        <w:t>razones por las cuales solicitó Unidades Constructivas diferentes a las aprobada</w:t>
      </w:r>
      <w:r>
        <w:rPr>
          <w:rFonts w:ascii="Bookman Old Style" w:hAnsi="Bookman Old Style"/>
          <w:lang w:val="es-CO"/>
        </w:rPr>
        <w:t>s</w:t>
      </w:r>
      <w:r w:rsidR="00A33BFB">
        <w:rPr>
          <w:rFonts w:ascii="Bookman Old Style" w:hAnsi="Bookman Old Style"/>
          <w:lang w:val="es-CO"/>
        </w:rPr>
        <w:t xml:space="preserve"> en el concepto de la UPME</w:t>
      </w:r>
      <w:r>
        <w:rPr>
          <w:rFonts w:ascii="Bookman Old Style" w:hAnsi="Bookman Old Style"/>
          <w:lang w:val="es-CO"/>
        </w:rPr>
        <w:t>.</w:t>
      </w:r>
    </w:p>
    <w:p w:rsidR="00A77579" w:rsidRDefault="00A77579" w:rsidP="00445206">
      <w:pPr>
        <w:pStyle w:val="Textoindependiente2"/>
        <w:spacing w:before="240" w:line="240" w:lineRule="auto"/>
        <w:jc w:val="both"/>
        <w:rPr>
          <w:rFonts w:ascii="Bookman Old Style" w:hAnsi="Bookman Old Style"/>
          <w:lang w:val="es-CO"/>
        </w:rPr>
      </w:pPr>
      <w:r>
        <w:rPr>
          <w:rFonts w:ascii="Bookman Old Style" w:hAnsi="Bookman Old Style"/>
          <w:lang w:val="es-CO"/>
        </w:rPr>
        <w:t>De otra parte, es necesario reiterar lo dispuesto en el punto 4.1</w:t>
      </w:r>
      <w:r w:rsidR="00944799">
        <w:rPr>
          <w:rFonts w:ascii="Bookman Old Style" w:hAnsi="Bookman Old Style"/>
          <w:lang w:val="es-CO"/>
        </w:rPr>
        <w:t xml:space="preserve"> del Anexo General de la Resolución CREG 097 de 2008 que señala que el Operador de Red en lo relativo a la actualización de la puesta en servicio de nuevos activos deberá observar entre otros el siguiente punto:</w:t>
      </w:r>
    </w:p>
    <w:p w:rsidR="00944799" w:rsidRPr="004E26FA" w:rsidRDefault="00944799" w:rsidP="00BD4C8F">
      <w:pPr>
        <w:pStyle w:val="Textoindependiente2"/>
        <w:spacing w:before="240" w:line="240" w:lineRule="auto"/>
        <w:ind w:left="1134" w:right="709"/>
        <w:jc w:val="both"/>
        <w:rPr>
          <w:rFonts w:ascii="Bookman Old Style" w:hAnsi="Bookman Old Style"/>
          <w:i/>
          <w:lang w:val="es-CO"/>
        </w:rPr>
      </w:pPr>
      <w:r>
        <w:rPr>
          <w:rFonts w:ascii="Bookman Old Style" w:hAnsi="Bookman Old Style"/>
          <w:i/>
          <w:lang w:val="es-CO"/>
        </w:rPr>
        <w:t>“2. Aprobación de los proyectos del STR por la Unidad de Planeación Minero Energética –UPME- de acuerdo con los criterios de expansión del Sistema Interconectado Nacional adoptados por el Ministerio de Minas y energía.</w:t>
      </w:r>
      <w:r w:rsidR="00BD4C8F">
        <w:rPr>
          <w:rFonts w:ascii="Bookman Old Style" w:hAnsi="Bookman Old Style"/>
          <w:i/>
          <w:lang w:val="es-CO"/>
        </w:rPr>
        <w:t>”</w:t>
      </w:r>
    </w:p>
    <w:p w:rsidR="00DB7A6A" w:rsidRDefault="00A77579" w:rsidP="00445206">
      <w:pPr>
        <w:pStyle w:val="Textoindependiente2"/>
        <w:spacing w:before="240" w:line="240" w:lineRule="auto"/>
        <w:jc w:val="both"/>
        <w:rPr>
          <w:rFonts w:ascii="Bookman Old Style" w:hAnsi="Bookman Old Style"/>
          <w:lang w:val="es-CO"/>
        </w:rPr>
      </w:pPr>
      <w:r>
        <w:rPr>
          <w:rFonts w:ascii="Bookman Old Style" w:hAnsi="Bookman Old Style"/>
          <w:lang w:val="es-CO"/>
        </w:rPr>
        <w:t>De esta manera, tanto el argumento presentado inicialmente por la empresa como el presentado en el recurso no son</w:t>
      </w:r>
      <w:r w:rsidR="00DB7A6A">
        <w:rPr>
          <w:rFonts w:ascii="Bookman Old Style" w:hAnsi="Bookman Old Style"/>
          <w:lang w:val="es-CO"/>
        </w:rPr>
        <w:t xml:space="preserve"> suficiente</w:t>
      </w:r>
      <w:r>
        <w:rPr>
          <w:rFonts w:ascii="Bookman Old Style" w:hAnsi="Bookman Old Style"/>
          <w:lang w:val="es-CO"/>
        </w:rPr>
        <w:t>s</w:t>
      </w:r>
      <w:r w:rsidR="00DB7A6A">
        <w:rPr>
          <w:rFonts w:ascii="Bookman Old Style" w:hAnsi="Bookman Old Style"/>
          <w:lang w:val="es-CO"/>
        </w:rPr>
        <w:t xml:space="preserve"> para incluir </w:t>
      </w:r>
      <w:r w:rsidR="00792301">
        <w:rPr>
          <w:rFonts w:ascii="Bookman Old Style" w:hAnsi="Bookman Old Style"/>
          <w:lang w:val="es-CO"/>
        </w:rPr>
        <w:t xml:space="preserve">en su inventario </w:t>
      </w:r>
      <w:r w:rsidR="00DB7A6A">
        <w:rPr>
          <w:rFonts w:ascii="Bookman Old Style" w:hAnsi="Bookman Old Style"/>
          <w:lang w:val="es-CO"/>
        </w:rPr>
        <w:t>los tres (3) km de línea con la UC N4L34</w:t>
      </w:r>
      <w:r w:rsidR="00792301">
        <w:rPr>
          <w:rFonts w:ascii="Bookman Old Style" w:hAnsi="Bookman Old Style"/>
          <w:lang w:val="es-CO"/>
        </w:rPr>
        <w:t>,</w:t>
      </w:r>
      <w:r w:rsidR="00DB7A6A">
        <w:rPr>
          <w:rFonts w:ascii="Bookman Old Style" w:hAnsi="Bookman Old Style"/>
          <w:lang w:val="es-CO"/>
        </w:rPr>
        <w:t xml:space="preserve"> que no fueron considerados dentro del análisis hecho por la UPME, </w:t>
      </w:r>
      <w:r w:rsidR="009E6220">
        <w:rPr>
          <w:rFonts w:ascii="Bookman Old Style" w:hAnsi="Bookman Old Style"/>
          <w:lang w:val="es-CO"/>
        </w:rPr>
        <w:t xml:space="preserve">debido a que la evaluación que realiza </w:t>
      </w:r>
      <w:r w:rsidR="00CD1D78">
        <w:rPr>
          <w:rFonts w:ascii="Bookman Old Style" w:hAnsi="Bookman Old Style"/>
          <w:lang w:val="es-CO"/>
        </w:rPr>
        <w:t>esa entidad</w:t>
      </w:r>
      <w:r w:rsidR="009E6220">
        <w:rPr>
          <w:rFonts w:ascii="Bookman Old Style" w:hAnsi="Bookman Old Style"/>
          <w:lang w:val="es-CO"/>
        </w:rPr>
        <w:t xml:space="preserve"> valora los beneficios del proyecto contra el costo del mismo, e</w:t>
      </w:r>
      <w:r w:rsidR="00CD1D78">
        <w:rPr>
          <w:rFonts w:ascii="Bookman Old Style" w:hAnsi="Bookman Old Style"/>
          <w:lang w:val="es-CO"/>
        </w:rPr>
        <w:t>stimándolo</w:t>
      </w:r>
      <w:r w:rsidR="009E6220">
        <w:rPr>
          <w:rFonts w:ascii="Bookman Old Style" w:hAnsi="Bookman Old Style"/>
          <w:lang w:val="es-CO"/>
        </w:rPr>
        <w:t xml:space="preserve"> con base en los valores de las Unidades Con</w:t>
      </w:r>
      <w:r w:rsidR="00CD1D78">
        <w:rPr>
          <w:rFonts w:ascii="Bookman Old Style" w:hAnsi="Bookman Old Style"/>
          <w:lang w:val="es-CO"/>
        </w:rPr>
        <w:t>s</w:t>
      </w:r>
      <w:r w:rsidR="009E6220">
        <w:rPr>
          <w:rFonts w:ascii="Bookman Old Style" w:hAnsi="Bookman Old Style"/>
          <w:lang w:val="es-CO"/>
        </w:rPr>
        <w:t>tructivas empleadas para su ejecución.</w:t>
      </w:r>
    </w:p>
    <w:p w:rsidR="009E6220" w:rsidRDefault="009E6220" w:rsidP="00445206">
      <w:pPr>
        <w:pStyle w:val="Textoindependiente2"/>
        <w:spacing w:before="240" w:line="240" w:lineRule="auto"/>
        <w:jc w:val="both"/>
        <w:rPr>
          <w:rFonts w:ascii="Bookman Old Style" w:hAnsi="Bookman Old Style"/>
          <w:lang w:val="es-CO"/>
        </w:rPr>
      </w:pPr>
      <w:r>
        <w:rPr>
          <w:rFonts w:ascii="Bookman Old Style" w:hAnsi="Bookman Old Style"/>
          <w:lang w:val="es-CO"/>
        </w:rPr>
        <w:t>Así, la variación de las UC puede generar un cambio en la relación beneficio/costo del proyecto, más aún cuando el cambio origina el aumento de los costos.</w:t>
      </w:r>
    </w:p>
    <w:p w:rsidR="009E6220" w:rsidRDefault="009E6220" w:rsidP="004E26FA">
      <w:pPr>
        <w:pStyle w:val="Textoindependiente2"/>
        <w:spacing w:after="0" w:line="240" w:lineRule="auto"/>
        <w:jc w:val="both"/>
        <w:rPr>
          <w:rFonts w:ascii="Bookman Old Style" w:hAnsi="Bookman Old Style"/>
          <w:lang w:val="es-CO"/>
        </w:rPr>
      </w:pPr>
      <w:r>
        <w:rPr>
          <w:rFonts w:ascii="Bookman Old Style" w:hAnsi="Bookman Old Style"/>
          <w:lang w:val="es-CO"/>
        </w:rPr>
        <w:t>Con base en lo expuesto</w:t>
      </w:r>
      <w:r w:rsidR="00B43EBF">
        <w:rPr>
          <w:rFonts w:ascii="Bookman Old Style" w:hAnsi="Bookman Old Style"/>
          <w:lang w:val="es-CO"/>
        </w:rPr>
        <w:t xml:space="preserve"> y</w:t>
      </w:r>
      <w:r w:rsidR="00B43EBF" w:rsidRPr="00B43EBF">
        <w:rPr>
          <w:rFonts w:ascii="Bookman Old Style" w:hAnsi="Bookman Old Style"/>
          <w:lang w:val="es-CO"/>
        </w:rPr>
        <w:t xml:space="preserve"> </w:t>
      </w:r>
      <w:r w:rsidR="00B43EBF">
        <w:rPr>
          <w:rFonts w:ascii="Bookman Old Style" w:hAnsi="Bookman Old Style"/>
          <w:lang w:val="es-CO"/>
        </w:rPr>
        <w:t>al considerar que las condiciones sobre las cuales se aprobó el proyecto fueron modificadas</w:t>
      </w:r>
      <w:r>
        <w:rPr>
          <w:rFonts w:ascii="Bookman Old Style" w:hAnsi="Bookman Old Style"/>
          <w:lang w:val="es-CO"/>
        </w:rPr>
        <w:t xml:space="preserve">, </w:t>
      </w:r>
      <w:r w:rsidR="00B43EBF">
        <w:rPr>
          <w:rFonts w:ascii="Bookman Old Style" w:hAnsi="Bookman Old Style"/>
          <w:lang w:val="es-CO"/>
        </w:rPr>
        <w:t>la CREG no podrá incluir dentro del inventario de la EBSA los tres (3) km de línea urbana N4L34 hasta que sean validados en concepto de la UPME</w:t>
      </w:r>
      <w:r>
        <w:rPr>
          <w:rFonts w:ascii="Bookman Old Style" w:hAnsi="Bookman Old Style"/>
          <w:lang w:val="es-CO"/>
        </w:rPr>
        <w:t>.</w:t>
      </w:r>
    </w:p>
    <w:p w:rsidR="00B536F6" w:rsidRPr="008A0C8F" w:rsidRDefault="00B536F6" w:rsidP="00B536F6">
      <w:pPr>
        <w:pStyle w:val="Textoindependiente2"/>
        <w:spacing w:line="240" w:lineRule="auto"/>
        <w:rPr>
          <w:rFonts w:ascii="Bookman Old Style" w:hAnsi="Bookman Old Style"/>
          <w:b/>
          <w:sz w:val="16"/>
          <w:lang w:val="es-CO"/>
        </w:rPr>
      </w:pPr>
    </w:p>
    <w:p w:rsidR="00C21A5C" w:rsidRDefault="00F909FB" w:rsidP="004E26FA">
      <w:pPr>
        <w:pStyle w:val="Textoindependiente2"/>
        <w:spacing w:after="0" w:line="240" w:lineRule="auto"/>
        <w:jc w:val="both"/>
        <w:rPr>
          <w:rFonts w:ascii="Bookman Old Style" w:hAnsi="Bookman Old Style"/>
          <w:lang w:val="es-CO"/>
        </w:rPr>
      </w:pPr>
      <w:r>
        <w:rPr>
          <w:rFonts w:ascii="Bookman Old Style" w:hAnsi="Bookman Old Style"/>
          <w:lang w:val="es-CO"/>
        </w:rPr>
        <w:t>Por lo anterior</w:t>
      </w:r>
      <w:r w:rsidR="00BD4C8F">
        <w:rPr>
          <w:rFonts w:ascii="Bookman Old Style" w:hAnsi="Bookman Old Style"/>
          <w:lang w:val="es-CO"/>
        </w:rPr>
        <w:t>,</w:t>
      </w:r>
      <w:r>
        <w:rPr>
          <w:rFonts w:ascii="Bookman Old Style" w:hAnsi="Bookman Old Style"/>
          <w:lang w:val="es-CO"/>
        </w:rPr>
        <w:t xml:space="preserve"> se encuentra que l</w:t>
      </w:r>
      <w:r w:rsidR="005D262B">
        <w:rPr>
          <w:rFonts w:ascii="Bookman Old Style" w:hAnsi="Bookman Old Style"/>
          <w:lang w:val="es-CO"/>
        </w:rPr>
        <w:t>as observaciones y justificaciones</w:t>
      </w:r>
      <w:r w:rsidR="00CD1D78">
        <w:rPr>
          <w:rFonts w:ascii="Bookman Old Style" w:hAnsi="Bookman Old Style"/>
          <w:lang w:val="es-CO"/>
        </w:rPr>
        <w:t>,</w:t>
      </w:r>
      <w:r w:rsidR="005D262B">
        <w:rPr>
          <w:rFonts w:ascii="Bookman Old Style" w:hAnsi="Bookman Old Style"/>
          <w:lang w:val="es-CO"/>
        </w:rPr>
        <w:t xml:space="preserve"> presentadas por </w:t>
      </w:r>
      <w:r>
        <w:rPr>
          <w:rFonts w:ascii="Bookman Old Style" w:hAnsi="Bookman Old Style"/>
          <w:lang w:val="es-CO"/>
        </w:rPr>
        <w:t>la Empresa de Energía de Boyacá</w:t>
      </w:r>
      <w:r w:rsidR="005D262B">
        <w:rPr>
          <w:rFonts w:ascii="Bookman Old Style" w:hAnsi="Bookman Old Style"/>
          <w:lang w:val="es-CO"/>
        </w:rPr>
        <w:t xml:space="preserve"> en el recurso de reposició</w:t>
      </w:r>
      <w:r w:rsidR="00A605A8">
        <w:rPr>
          <w:rFonts w:ascii="Bookman Old Style" w:hAnsi="Bookman Old Style"/>
          <w:lang w:val="es-CO"/>
        </w:rPr>
        <w:t>n</w:t>
      </w:r>
      <w:r w:rsidR="00BD4C8F">
        <w:rPr>
          <w:rFonts w:ascii="Bookman Old Style" w:hAnsi="Bookman Old Style"/>
          <w:lang w:val="es-CO"/>
        </w:rPr>
        <w:t>,</w:t>
      </w:r>
      <w:r w:rsidR="00A605A8">
        <w:rPr>
          <w:rFonts w:ascii="Bookman Old Style" w:hAnsi="Bookman Old Style"/>
          <w:lang w:val="es-CO"/>
        </w:rPr>
        <w:t xml:space="preserve"> no </w:t>
      </w:r>
      <w:r>
        <w:rPr>
          <w:rFonts w:ascii="Bookman Old Style" w:hAnsi="Bookman Old Style"/>
          <w:lang w:val="es-CO"/>
        </w:rPr>
        <w:t>desvirtúan los argumentos que dieron origen a la Resolución CREG 082 de 2011</w:t>
      </w:r>
      <w:r w:rsidR="00CD1D78">
        <w:rPr>
          <w:rFonts w:ascii="Bookman Old Style" w:hAnsi="Bookman Old Style"/>
          <w:lang w:val="es-CO"/>
        </w:rPr>
        <w:t xml:space="preserve"> y por tanto no se considera procedente revocar </w:t>
      </w:r>
      <w:r>
        <w:rPr>
          <w:rFonts w:ascii="Bookman Old Style" w:hAnsi="Bookman Old Style"/>
          <w:lang w:val="es-CO"/>
        </w:rPr>
        <w:t xml:space="preserve">los fundamentos de la Resolución CREG 082 </w:t>
      </w:r>
      <w:r w:rsidR="00CD1D78">
        <w:rPr>
          <w:rFonts w:ascii="Bookman Old Style" w:hAnsi="Bookman Old Style"/>
          <w:lang w:val="es-CO"/>
        </w:rPr>
        <w:t>respecto al proyecto de la Línea Tunja – Chiquinquirá 115 kV.</w:t>
      </w:r>
    </w:p>
    <w:p w:rsidR="00B536F6" w:rsidRDefault="00B536F6" w:rsidP="00ED0343">
      <w:pPr>
        <w:spacing w:before="240"/>
        <w:ind w:left="0"/>
        <w:jc w:val="both"/>
        <w:rPr>
          <w:rFonts w:ascii="Bookman Old Style" w:hAnsi="Bookman Old Style"/>
        </w:rPr>
      </w:pPr>
      <w:r w:rsidRPr="00190ADA">
        <w:rPr>
          <w:rFonts w:ascii="Bookman Old Style" w:hAnsi="Bookman Old Style"/>
        </w:rPr>
        <w:t xml:space="preserve">La Comisión de Regulación de Energía y Gas, en su sesión No. </w:t>
      </w:r>
      <w:r w:rsidR="004E26FA">
        <w:rPr>
          <w:rFonts w:ascii="Bookman Old Style" w:hAnsi="Bookman Old Style"/>
        </w:rPr>
        <w:t>499</w:t>
      </w:r>
      <w:r w:rsidRPr="00190ADA">
        <w:rPr>
          <w:rFonts w:ascii="Bookman Old Style" w:hAnsi="Bookman Old Style"/>
        </w:rPr>
        <w:t xml:space="preserve"> del </w:t>
      </w:r>
      <w:r w:rsidR="004E26FA">
        <w:rPr>
          <w:rFonts w:ascii="Bookman Old Style" w:hAnsi="Bookman Old Style"/>
        </w:rPr>
        <w:t>16</w:t>
      </w:r>
      <w:r w:rsidRPr="00190ADA">
        <w:rPr>
          <w:rFonts w:ascii="Bookman Old Style" w:hAnsi="Bookman Old Style"/>
        </w:rPr>
        <w:t xml:space="preserve"> de </w:t>
      </w:r>
      <w:r w:rsidR="004E26FA">
        <w:rPr>
          <w:rFonts w:ascii="Bookman Old Style" w:hAnsi="Bookman Old Style"/>
        </w:rPr>
        <w:t>septiembre</w:t>
      </w:r>
      <w:r w:rsidRPr="00190ADA">
        <w:rPr>
          <w:rFonts w:ascii="Bookman Old Style" w:hAnsi="Bookman Old Style"/>
        </w:rPr>
        <w:t xml:space="preserve"> de </w:t>
      </w:r>
      <w:r w:rsidR="005525A1">
        <w:rPr>
          <w:rFonts w:ascii="Bookman Old Style" w:hAnsi="Bookman Old Style"/>
        </w:rPr>
        <w:t>2011</w:t>
      </w:r>
      <w:r w:rsidRPr="00190ADA">
        <w:rPr>
          <w:rFonts w:ascii="Bookman Old Style" w:hAnsi="Bookman Old Style"/>
        </w:rPr>
        <w:t>, acordó expedir la presente Resolución</w:t>
      </w:r>
      <w:r w:rsidR="00F909FB">
        <w:rPr>
          <w:rFonts w:ascii="Bookman Old Style" w:hAnsi="Bookman Old Style"/>
        </w:rPr>
        <w:t>, y</w:t>
      </w:r>
    </w:p>
    <w:p w:rsidR="004E26FA" w:rsidRPr="00190ADA" w:rsidRDefault="004E26FA" w:rsidP="00ED0343">
      <w:pPr>
        <w:spacing w:before="240"/>
        <w:ind w:left="0"/>
        <w:jc w:val="both"/>
        <w:rPr>
          <w:rFonts w:ascii="Bookman Old Style" w:hAnsi="Bookman Old Style"/>
        </w:rPr>
      </w:pPr>
    </w:p>
    <w:p w:rsidR="00B536F6" w:rsidRPr="00190ADA" w:rsidRDefault="00B536F6" w:rsidP="00B536F6">
      <w:pPr>
        <w:jc w:val="center"/>
        <w:rPr>
          <w:rFonts w:ascii="Bookman Old Style" w:hAnsi="Bookman Old Style"/>
          <w:b/>
        </w:rPr>
      </w:pPr>
    </w:p>
    <w:p w:rsidR="00B536F6" w:rsidRDefault="00B536F6" w:rsidP="00BC58F7">
      <w:pPr>
        <w:jc w:val="center"/>
        <w:rPr>
          <w:rFonts w:ascii="Bookman Old Style" w:hAnsi="Bookman Old Style"/>
          <w:b/>
        </w:rPr>
      </w:pPr>
      <w:r w:rsidRPr="00190ADA">
        <w:rPr>
          <w:rFonts w:ascii="Bookman Old Style" w:hAnsi="Bookman Old Style"/>
          <w:b/>
        </w:rPr>
        <w:t>R E</w:t>
      </w:r>
      <w:r w:rsidRPr="00190ADA">
        <w:rPr>
          <w:rFonts w:ascii="Bookman Old Style" w:hAnsi="Bookman Old Style"/>
        </w:rPr>
        <w:t xml:space="preserve"> </w:t>
      </w:r>
      <w:r w:rsidRPr="00190ADA">
        <w:rPr>
          <w:rFonts w:ascii="Bookman Old Style" w:hAnsi="Bookman Old Style"/>
          <w:b/>
        </w:rPr>
        <w:t>S U E L V E:</w:t>
      </w:r>
    </w:p>
    <w:p w:rsidR="00BC58F7" w:rsidRPr="00BC58F7" w:rsidRDefault="00BC58F7" w:rsidP="00BC58F7">
      <w:pPr>
        <w:jc w:val="center"/>
        <w:rPr>
          <w:rFonts w:ascii="Bookman Old Style" w:hAnsi="Bookman Old Style"/>
          <w:b/>
        </w:rPr>
      </w:pPr>
    </w:p>
    <w:p w:rsidR="00BC58F7" w:rsidRDefault="00BC58F7" w:rsidP="00BC58F7">
      <w:pPr>
        <w:spacing w:before="240"/>
        <w:ind w:left="0"/>
        <w:jc w:val="both"/>
        <w:rPr>
          <w:rFonts w:ascii="Bookman Old Style" w:hAnsi="Bookman Old Style"/>
        </w:rPr>
      </w:pPr>
      <w:r w:rsidRPr="00BC58F7">
        <w:rPr>
          <w:rFonts w:ascii="Bookman Old Style" w:hAnsi="Bookman Old Style"/>
          <w:b/>
        </w:rPr>
        <w:t>A</w:t>
      </w:r>
      <w:r w:rsidR="004E26FA" w:rsidRPr="00BC58F7">
        <w:rPr>
          <w:rFonts w:ascii="Bookman Old Style" w:hAnsi="Bookman Old Style"/>
          <w:b/>
        </w:rPr>
        <w:t>RTÍCULO</w:t>
      </w:r>
      <w:r w:rsidRPr="00BC58F7">
        <w:rPr>
          <w:rFonts w:ascii="Bookman Old Style" w:hAnsi="Bookman Old Style"/>
          <w:b/>
        </w:rPr>
        <w:t xml:space="preserve"> 1.</w:t>
      </w:r>
      <w:r w:rsidRPr="00BC58F7">
        <w:rPr>
          <w:rFonts w:ascii="Bookman Old Style" w:hAnsi="Bookman Old Style"/>
          <w:b/>
        </w:rPr>
        <w:tab/>
      </w:r>
      <w:r w:rsidRPr="00BC58F7">
        <w:rPr>
          <w:rFonts w:ascii="Bookman Old Style" w:hAnsi="Bookman Old Style"/>
        </w:rPr>
        <w:t xml:space="preserve">No reponer la Resolución CREG </w:t>
      </w:r>
      <w:r w:rsidR="00303888">
        <w:rPr>
          <w:rFonts w:ascii="Bookman Old Style" w:hAnsi="Bookman Old Style"/>
        </w:rPr>
        <w:t>082</w:t>
      </w:r>
      <w:r w:rsidRPr="00BC58F7">
        <w:rPr>
          <w:rFonts w:ascii="Bookman Old Style" w:hAnsi="Bookman Old Style"/>
        </w:rPr>
        <w:t xml:space="preserve"> de 20</w:t>
      </w:r>
      <w:r>
        <w:rPr>
          <w:rFonts w:ascii="Bookman Old Style" w:hAnsi="Bookman Old Style"/>
        </w:rPr>
        <w:t>1</w:t>
      </w:r>
      <w:r w:rsidR="004F7F87">
        <w:rPr>
          <w:rFonts w:ascii="Bookman Old Style" w:hAnsi="Bookman Old Style"/>
        </w:rPr>
        <w:t>1</w:t>
      </w:r>
      <w:r w:rsidRPr="00BC58F7">
        <w:rPr>
          <w:rFonts w:ascii="Bookman Old Style" w:hAnsi="Bookman Old Style"/>
        </w:rPr>
        <w:t xml:space="preserve">, </w:t>
      </w:r>
      <w:r>
        <w:rPr>
          <w:rFonts w:ascii="Bookman Old Style" w:hAnsi="Bookman Old Style"/>
        </w:rPr>
        <w:t>p</w:t>
      </w:r>
      <w:r w:rsidRPr="00BC58F7">
        <w:rPr>
          <w:rFonts w:ascii="Bookman Old Style" w:hAnsi="Bookman Old Style"/>
        </w:rPr>
        <w:t xml:space="preserve">or la cual </w:t>
      </w:r>
      <w:r w:rsidR="00303888" w:rsidRPr="00303888">
        <w:rPr>
          <w:rFonts w:ascii="Bookman Old Style" w:hAnsi="Bookman Old Style"/>
        </w:rPr>
        <w:t>se actualiza el Costo Anual por el uso de los activos de nivel de tensión 4 de la Empresa de Energía de Boyacá S.A. E.S.P.</w:t>
      </w:r>
      <w:r w:rsidRPr="00BC58F7">
        <w:rPr>
          <w:rFonts w:ascii="Bookman Old Style" w:hAnsi="Bookman Old Style"/>
        </w:rPr>
        <w:t>, por lo expuesto en la parte motiva de esta resolución.</w:t>
      </w:r>
    </w:p>
    <w:p w:rsidR="00BC58F7" w:rsidRPr="00623441" w:rsidRDefault="00BC58F7" w:rsidP="00BC58F7">
      <w:pPr>
        <w:spacing w:before="240"/>
        <w:ind w:left="0"/>
        <w:jc w:val="both"/>
        <w:rPr>
          <w:rFonts w:ascii="Bookman Old Style" w:hAnsi="Bookman Old Style"/>
        </w:rPr>
      </w:pPr>
      <w:r w:rsidRPr="00BC58F7">
        <w:rPr>
          <w:rFonts w:ascii="Bookman Old Style" w:hAnsi="Bookman Old Style"/>
          <w:b/>
        </w:rPr>
        <w:t>A</w:t>
      </w:r>
      <w:r w:rsidR="004E26FA" w:rsidRPr="00BC58F7">
        <w:rPr>
          <w:rFonts w:ascii="Bookman Old Style" w:hAnsi="Bookman Old Style"/>
          <w:b/>
        </w:rPr>
        <w:t>RTÍCULO</w:t>
      </w:r>
      <w:r w:rsidRPr="00BC58F7">
        <w:rPr>
          <w:rFonts w:ascii="Bookman Old Style" w:hAnsi="Bookman Old Style"/>
          <w:b/>
        </w:rPr>
        <w:t xml:space="preserve"> 2.</w:t>
      </w:r>
      <w:r w:rsidRPr="00BC58F7">
        <w:rPr>
          <w:rFonts w:ascii="Bookman Old Style" w:hAnsi="Bookman Old Style"/>
        </w:rPr>
        <w:tab/>
        <w:t xml:space="preserve"> Notificar personal</w:t>
      </w:r>
      <w:r w:rsidR="005525A1">
        <w:rPr>
          <w:rFonts w:ascii="Bookman Old Style" w:hAnsi="Bookman Old Style"/>
        </w:rPr>
        <w:t xml:space="preserve">mente al representante legal de la </w:t>
      </w:r>
      <w:r w:rsidR="00D84CF7">
        <w:rPr>
          <w:rFonts w:ascii="Bookman Old Style" w:hAnsi="Bookman Old Style"/>
        </w:rPr>
        <w:t xml:space="preserve">Empresa de Energía de </w:t>
      </w:r>
      <w:r w:rsidR="00303888">
        <w:rPr>
          <w:rFonts w:ascii="Bookman Old Style" w:hAnsi="Bookman Old Style"/>
        </w:rPr>
        <w:t>Boyacá</w:t>
      </w:r>
      <w:r w:rsidR="005525A1" w:rsidRPr="005525A1">
        <w:rPr>
          <w:rFonts w:ascii="Bookman Old Style" w:hAnsi="Bookman Old Style"/>
        </w:rPr>
        <w:t xml:space="preserve"> S.A. E.S.P.</w:t>
      </w:r>
      <w:r w:rsidR="005525A1">
        <w:rPr>
          <w:rFonts w:ascii="Bookman Old Style" w:hAnsi="Bookman Old Style"/>
        </w:rPr>
        <w:t xml:space="preserve"> </w:t>
      </w:r>
      <w:r w:rsidRPr="00BC58F7">
        <w:rPr>
          <w:rFonts w:ascii="Bookman Old Style" w:hAnsi="Bookman Old Style"/>
        </w:rPr>
        <w:t xml:space="preserve">el contenido de esta resolución, y hacerle saber que contra lo dispuesto en este acto no procede recurso alguno por la vía gubernativa. </w:t>
      </w:r>
      <w:r w:rsidR="00270DFB">
        <w:rPr>
          <w:rFonts w:ascii="Bookman Old Style" w:hAnsi="Bookman Old Style"/>
        </w:rPr>
        <w:t xml:space="preserve">Publíquese en el </w:t>
      </w:r>
      <w:r w:rsidR="00923A76" w:rsidRPr="00923A76">
        <w:rPr>
          <w:rFonts w:ascii="Bookman Old Style" w:hAnsi="Bookman Old Style"/>
          <w:i/>
        </w:rPr>
        <w:t>D</w:t>
      </w:r>
      <w:r w:rsidR="00270DFB" w:rsidRPr="00923A76">
        <w:rPr>
          <w:rFonts w:ascii="Bookman Old Style" w:hAnsi="Bookman Old Style"/>
          <w:i/>
        </w:rPr>
        <w:t xml:space="preserve">iario </w:t>
      </w:r>
      <w:r w:rsidR="00923A76" w:rsidRPr="00923A76">
        <w:rPr>
          <w:rFonts w:ascii="Bookman Old Style" w:hAnsi="Bookman Old Style"/>
          <w:i/>
        </w:rPr>
        <w:t>O</w:t>
      </w:r>
      <w:r w:rsidR="00270DFB" w:rsidRPr="00923A76">
        <w:rPr>
          <w:rFonts w:ascii="Bookman Old Style" w:hAnsi="Bookman Old Style"/>
          <w:i/>
        </w:rPr>
        <w:t>ficial</w:t>
      </w:r>
      <w:r w:rsidR="00270DFB">
        <w:rPr>
          <w:rFonts w:ascii="Bookman Old Style" w:hAnsi="Bookman Old Style"/>
        </w:rPr>
        <w:t>.</w:t>
      </w:r>
    </w:p>
    <w:p w:rsidR="00B536F6" w:rsidRPr="00190ADA" w:rsidRDefault="00B536F6" w:rsidP="00B536F6">
      <w:pPr>
        <w:rPr>
          <w:rFonts w:ascii="Bookman Old Style" w:hAnsi="Bookman Old Style"/>
        </w:rPr>
      </w:pPr>
    </w:p>
    <w:p w:rsidR="00B536F6" w:rsidRPr="00190ADA" w:rsidRDefault="00B536F6" w:rsidP="00B536F6">
      <w:pPr>
        <w:rPr>
          <w:rFonts w:ascii="Bookman Old Style" w:hAnsi="Bookman Old Style"/>
          <w:b/>
          <w:bCs/>
        </w:rPr>
      </w:pPr>
    </w:p>
    <w:p w:rsidR="00B536F6" w:rsidRPr="00190ADA" w:rsidRDefault="00BC58F7" w:rsidP="00855E18">
      <w:pPr>
        <w:ind w:left="0"/>
        <w:jc w:val="center"/>
        <w:rPr>
          <w:rFonts w:ascii="Bookman Old Style" w:hAnsi="Bookman Old Style" w:cs="Courier New"/>
          <w:b/>
          <w:bCs/>
          <w:spacing w:val="-3"/>
        </w:rPr>
      </w:pPr>
      <w:r>
        <w:rPr>
          <w:rFonts w:ascii="Bookman Old Style" w:hAnsi="Bookman Old Style"/>
          <w:b/>
          <w:bCs/>
        </w:rPr>
        <w:t xml:space="preserve">NOTIFÍQUESE </w:t>
      </w:r>
      <w:r w:rsidR="00270DFB">
        <w:rPr>
          <w:rFonts w:ascii="Bookman Old Style" w:hAnsi="Bookman Old Style"/>
          <w:b/>
          <w:bCs/>
        </w:rPr>
        <w:t xml:space="preserve">PUBLÍQUESE </w:t>
      </w:r>
      <w:r w:rsidR="00B536F6" w:rsidRPr="00190ADA">
        <w:rPr>
          <w:rFonts w:ascii="Bookman Old Style" w:hAnsi="Bookman Old Style"/>
          <w:b/>
          <w:bCs/>
        </w:rPr>
        <w:t>Y CÚMPLASE</w:t>
      </w:r>
    </w:p>
    <w:p w:rsidR="00B536F6" w:rsidRPr="00190ADA" w:rsidRDefault="00B536F6" w:rsidP="00B536F6">
      <w:pPr>
        <w:rPr>
          <w:rFonts w:ascii="Bookman Old Style" w:hAnsi="Bookman Old Style" w:cs="Arial"/>
          <w:spacing w:val="-3"/>
        </w:rPr>
      </w:pPr>
    </w:p>
    <w:p w:rsidR="00B536F6" w:rsidRPr="00190ADA" w:rsidRDefault="00B536F6" w:rsidP="00BC58F7">
      <w:pPr>
        <w:spacing w:before="240"/>
        <w:ind w:left="0"/>
        <w:jc w:val="both"/>
        <w:rPr>
          <w:rFonts w:ascii="Bookman Old Style" w:hAnsi="Bookman Old Style" w:cs="Arial"/>
          <w:spacing w:val="-3"/>
        </w:rPr>
      </w:pPr>
      <w:r w:rsidRPr="00190ADA">
        <w:rPr>
          <w:rFonts w:ascii="Bookman Old Style" w:hAnsi="Bookman Old Style" w:cs="Arial"/>
          <w:spacing w:val="-3"/>
        </w:rPr>
        <w:t xml:space="preserve">Dada en </w:t>
      </w:r>
      <w:r w:rsidRPr="00BC58F7">
        <w:rPr>
          <w:rFonts w:ascii="Bookman Old Style" w:hAnsi="Bookman Old Style"/>
        </w:rPr>
        <w:t>Bogotá</w:t>
      </w:r>
      <w:r w:rsidRPr="00190ADA">
        <w:rPr>
          <w:rFonts w:ascii="Bookman Old Style" w:hAnsi="Bookman Old Style" w:cs="Arial"/>
          <w:spacing w:val="-3"/>
        </w:rPr>
        <w:t>, D.C. a los</w:t>
      </w:r>
    </w:p>
    <w:p w:rsidR="00B536F6" w:rsidRPr="00190ADA" w:rsidRDefault="00B536F6" w:rsidP="00B536F6">
      <w:pPr>
        <w:rPr>
          <w:rFonts w:ascii="Bookman Old Style" w:hAnsi="Bookman Old Style" w:cs="Arial"/>
        </w:rPr>
      </w:pPr>
      <w:r w:rsidRPr="00190ADA">
        <w:rPr>
          <w:rFonts w:ascii="Bookman Old Style" w:hAnsi="Bookman Old Style" w:cs="Arial"/>
        </w:rPr>
        <w:br/>
      </w:r>
    </w:p>
    <w:p w:rsidR="00E433F6" w:rsidRDefault="00E433F6" w:rsidP="00E433F6">
      <w:pPr>
        <w:ind w:left="0"/>
        <w:rPr>
          <w:rFonts w:ascii="Bookman Old Style" w:hAnsi="Bookman Old Style"/>
        </w:rPr>
      </w:pPr>
    </w:p>
    <w:p w:rsidR="00D44A10" w:rsidRDefault="00D44A10" w:rsidP="00E433F6">
      <w:pPr>
        <w:ind w:left="0"/>
        <w:rPr>
          <w:rFonts w:ascii="Bookman Old Style" w:hAnsi="Bookman Old Style"/>
        </w:rPr>
      </w:pPr>
    </w:p>
    <w:p w:rsidR="00D44A10" w:rsidRDefault="00D44A10" w:rsidP="00E433F6">
      <w:pPr>
        <w:ind w:left="0"/>
        <w:rPr>
          <w:rFonts w:ascii="Bookman Old Style" w:hAnsi="Bookman Old Style"/>
        </w:rPr>
      </w:pPr>
    </w:p>
    <w:p w:rsidR="00D44A10" w:rsidRPr="00D34DBB" w:rsidRDefault="00D44A10" w:rsidP="00E433F6">
      <w:pPr>
        <w:ind w:left="0"/>
        <w:rPr>
          <w:rFonts w:ascii="Bookman Old Style" w:hAnsi="Bookman Old Style"/>
        </w:rPr>
      </w:pPr>
    </w:p>
    <w:tbl>
      <w:tblPr>
        <w:tblW w:w="0" w:type="auto"/>
        <w:jc w:val="center"/>
        <w:tblCellSpacing w:w="0" w:type="dxa"/>
        <w:tblCellMar>
          <w:left w:w="0" w:type="dxa"/>
          <w:right w:w="0" w:type="dxa"/>
        </w:tblCellMar>
        <w:tblLook w:val="0000" w:firstRow="0" w:lastRow="0" w:firstColumn="0" w:lastColumn="0" w:noHBand="0" w:noVBand="0"/>
      </w:tblPr>
      <w:tblGrid>
        <w:gridCol w:w="4641"/>
        <w:gridCol w:w="4399"/>
      </w:tblGrid>
      <w:tr w:rsidR="00D44A10" w:rsidRPr="0033125D" w:rsidTr="00C77D47">
        <w:trPr>
          <w:trHeight w:val="258"/>
          <w:tblCellSpacing w:w="0" w:type="dxa"/>
          <w:jc w:val="center"/>
        </w:trPr>
        <w:tc>
          <w:tcPr>
            <w:tcW w:w="4641" w:type="dxa"/>
          </w:tcPr>
          <w:p w:rsidR="00D44A10" w:rsidRPr="00314C5F" w:rsidRDefault="00D44A10" w:rsidP="00D44A10">
            <w:pPr>
              <w:ind w:left="-229"/>
              <w:jc w:val="center"/>
              <w:rPr>
                <w:rFonts w:ascii="Bookman Old Style" w:hAnsi="Bookman Old Style" w:cs="Arial"/>
                <w:color w:val="000000"/>
              </w:rPr>
            </w:pPr>
            <w:r>
              <w:rPr>
                <w:rFonts w:ascii="Bookman Old Style" w:hAnsi="Bookman Old Style" w:cs="Arial"/>
                <w:b/>
                <w:bCs/>
                <w:color w:val="000000"/>
              </w:rPr>
              <w:t xml:space="preserve">JORGE ALBERTO GARCÍA CALUME </w:t>
            </w:r>
          </w:p>
        </w:tc>
        <w:tc>
          <w:tcPr>
            <w:tcW w:w="4399" w:type="dxa"/>
          </w:tcPr>
          <w:p w:rsidR="00D44A10" w:rsidRPr="0033125D" w:rsidRDefault="00D44A10" w:rsidP="00C77D47">
            <w:pPr>
              <w:ind w:left="21"/>
              <w:jc w:val="center"/>
              <w:rPr>
                <w:rFonts w:ascii="Bookman Old Style" w:hAnsi="Bookman Old Style" w:cs="Arial"/>
                <w:color w:val="000000"/>
              </w:rPr>
            </w:pPr>
            <w:r w:rsidRPr="0033125D">
              <w:rPr>
                <w:rFonts w:ascii="Bookman Old Style" w:hAnsi="Bookman Old Style" w:cs="Arial"/>
                <w:b/>
                <w:bCs/>
                <w:color w:val="000000"/>
              </w:rPr>
              <w:t>JAVIER AUGUSTO DÍAZ VELASCO</w:t>
            </w:r>
          </w:p>
        </w:tc>
      </w:tr>
      <w:tr w:rsidR="00D44A10" w:rsidRPr="00314C5F" w:rsidTr="00C77D47">
        <w:trPr>
          <w:trHeight w:val="20"/>
          <w:tblCellSpacing w:w="0" w:type="dxa"/>
          <w:jc w:val="center"/>
        </w:trPr>
        <w:tc>
          <w:tcPr>
            <w:tcW w:w="4641" w:type="dxa"/>
          </w:tcPr>
          <w:p w:rsidR="00D44A10" w:rsidRPr="00E07D14" w:rsidRDefault="00D44A10" w:rsidP="00D44A10">
            <w:pPr>
              <w:ind w:left="-87"/>
              <w:jc w:val="center"/>
              <w:rPr>
                <w:rFonts w:ascii="Bookman Old Style" w:hAnsi="Bookman Old Style" w:cs="Arial"/>
                <w:color w:val="000000"/>
              </w:rPr>
            </w:pPr>
            <w:r w:rsidRPr="00E07D14">
              <w:rPr>
                <w:rFonts w:ascii="Bookman Old Style" w:hAnsi="Bookman Old Style" w:cs="Arial"/>
                <w:color w:val="000000"/>
              </w:rPr>
              <w:t>Viceministro de Minas y Energía</w:t>
            </w:r>
            <w:r>
              <w:rPr>
                <w:rFonts w:ascii="Bookman Old Style" w:hAnsi="Bookman Old Style" w:cs="Arial"/>
                <w:color w:val="000000"/>
              </w:rPr>
              <w:t xml:space="preserve"> ( E )</w:t>
            </w:r>
            <w:r w:rsidRPr="00E07D14">
              <w:rPr>
                <w:rFonts w:ascii="Bookman Old Style" w:hAnsi="Bookman Old Style" w:cs="Arial"/>
                <w:color w:val="000000"/>
              </w:rPr>
              <w:br/>
            </w:r>
            <w:r>
              <w:rPr>
                <w:rFonts w:ascii="Bookman Old Style" w:hAnsi="Bookman Old Style" w:cs="Arial"/>
                <w:color w:val="000000"/>
              </w:rPr>
              <w:t>D</w:t>
            </w:r>
            <w:r w:rsidRPr="00E07D14">
              <w:rPr>
                <w:rFonts w:ascii="Bookman Old Style" w:hAnsi="Bookman Old Style" w:cs="Arial"/>
                <w:color w:val="000000"/>
              </w:rPr>
              <w:t>elegado del Ministro de Minas y Energía</w:t>
            </w:r>
          </w:p>
        </w:tc>
        <w:tc>
          <w:tcPr>
            <w:tcW w:w="4399" w:type="dxa"/>
          </w:tcPr>
          <w:p w:rsidR="00D44A10" w:rsidRPr="00314C5F" w:rsidRDefault="00D44A10" w:rsidP="00C77D47">
            <w:pPr>
              <w:jc w:val="center"/>
              <w:rPr>
                <w:rFonts w:ascii="Bookman Old Style" w:hAnsi="Bookman Old Style" w:cs="Arial"/>
                <w:color w:val="000000"/>
              </w:rPr>
            </w:pPr>
            <w:r w:rsidRPr="00314C5F">
              <w:rPr>
                <w:rFonts w:ascii="Bookman Old Style" w:hAnsi="Bookman Old Style" w:cs="Arial"/>
                <w:color w:val="000000"/>
              </w:rPr>
              <w:t>Director Ejecutivo</w:t>
            </w:r>
          </w:p>
        </w:tc>
      </w:tr>
      <w:tr w:rsidR="00D44A10" w:rsidRPr="00314C5F" w:rsidTr="00C77D47">
        <w:trPr>
          <w:trHeight w:val="20"/>
          <w:tblCellSpacing w:w="0" w:type="dxa"/>
          <w:jc w:val="center"/>
        </w:trPr>
        <w:tc>
          <w:tcPr>
            <w:tcW w:w="4641" w:type="dxa"/>
          </w:tcPr>
          <w:p w:rsidR="00D44A10" w:rsidRPr="00E07D14" w:rsidRDefault="00D44A10" w:rsidP="00C77D47">
            <w:pPr>
              <w:ind w:left="-16"/>
              <w:jc w:val="center"/>
              <w:rPr>
                <w:rFonts w:ascii="Bookman Old Style" w:hAnsi="Bookman Old Style" w:cs="Arial"/>
                <w:color w:val="000000"/>
              </w:rPr>
            </w:pPr>
            <w:r w:rsidRPr="00E07D14">
              <w:rPr>
                <w:rFonts w:ascii="Bookman Old Style" w:hAnsi="Bookman Old Style" w:cs="Arial"/>
                <w:color w:val="000000"/>
              </w:rPr>
              <w:t>Presidente</w:t>
            </w:r>
          </w:p>
        </w:tc>
        <w:tc>
          <w:tcPr>
            <w:tcW w:w="0" w:type="auto"/>
          </w:tcPr>
          <w:p w:rsidR="00D44A10" w:rsidRPr="00314C5F" w:rsidRDefault="00D44A10" w:rsidP="00C77D47">
            <w:pPr>
              <w:rPr>
                <w:rFonts w:ascii="Bookman Old Style" w:hAnsi="Bookman Old Style" w:cs="Arial"/>
                <w:color w:val="000000"/>
              </w:rPr>
            </w:pPr>
          </w:p>
        </w:tc>
      </w:tr>
    </w:tbl>
    <w:p w:rsidR="00E433F6" w:rsidRDefault="00E433F6" w:rsidP="00D44A10">
      <w:pPr>
        <w:ind w:left="0"/>
        <w:rPr>
          <w:rFonts w:ascii="Bookman Old Style" w:hAnsi="Bookman Old Style"/>
        </w:rPr>
      </w:pPr>
    </w:p>
    <w:sectPr w:rsidR="00E433F6" w:rsidSect="00327874">
      <w:headerReference w:type="default" r:id="rId13"/>
      <w:headerReference w:type="first" r:id="rId14"/>
      <w:type w:val="continuous"/>
      <w:pgSz w:w="12242" w:h="18722" w:code="123"/>
      <w:pgMar w:top="2421" w:right="1327" w:bottom="1758"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752C4" w:rsidRDefault="005752C4">
      <w:r>
        <w:separator/>
      </w:r>
    </w:p>
  </w:endnote>
  <w:endnote w:type="continuationSeparator" w:id="0">
    <w:p w:rsidR="005752C4" w:rsidRDefault="005752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CG Times">
    <w:altName w:val="Times New Roman"/>
    <w:charset w:val="00"/>
    <w:family w:val="roman"/>
    <w:pitch w:val="variable"/>
    <w:sig w:usb0="00000007" w:usb1="00000000" w:usb2="00000000" w:usb3="00000000" w:csb0="00000093" w:csb1="00000000"/>
  </w:font>
  <w:font w:name="Calibri">
    <w:panose1 w:val="020F0502020204030204"/>
    <w:charset w:val="00"/>
    <w:family w:val="swiss"/>
    <w:pitch w:val="variable"/>
    <w:sig w:usb0="E10002FF" w:usb1="4000ACFF" w:usb2="00000009" w:usb3="00000000" w:csb0="0000019F" w:csb1="00000000"/>
  </w:font>
  <w:font w:name="Comic Sans MS">
    <w:panose1 w:val="030F0702030302020204"/>
    <w:charset w:val="00"/>
    <w:family w:val="script"/>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752C4" w:rsidRDefault="005752C4">
      <w:r>
        <w:separator/>
      </w:r>
    </w:p>
  </w:footnote>
  <w:footnote w:type="continuationSeparator" w:id="0">
    <w:p w:rsidR="005752C4" w:rsidRDefault="005752C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52C4" w:rsidRDefault="005752C4" w:rsidP="00951F79">
    <w:pPr>
      <w:pStyle w:val="Ttulo1"/>
      <w:ind w:right="6"/>
      <w:jc w:val="left"/>
      <w:rPr>
        <w:rFonts w:ascii="Bookman Old Style" w:hAnsi="Bookman Old Style" w:cs="Arial"/>
        <w:b w:val="0"/>
        <w:sz w:val="22"/>
        <w:szCs w:val="22"/>
      </w:rPr>
    </w:pPr>
  </w:p>
  <w:p w:rsidR="005752C4" w:rsidRPr="00951F79" w:rsidRDefault="005752C4" w:rsidP="009F4BEC">
    <w:pPr>
      <w:pStyle w:val="Ttulo1"/>
      <w:ind w:left="0" w:right="6"/>
      <w:jc w:val="left"/>
      <w:rPr>
        <w:rFonts w:ascii="Bookman Old Style" w:hAnsi="Bookman Old Style" w:cs="Arial"/>
        <w:b w:val="0"/>
        <w:sz w:val="22"/>
        <w:szCs w:val="22"/>
      </w:rPr>
    </w:pPr>
    <w:r w:rsidRPr="00654384">
      <w:rPr>
        <w:rFonts w:ascii="Bookman Old Style" w:hAnsi="Bookman Old Style" w:cs="Arial"/>
        <w:b w:val="0"/>
        <w:sz w:val="22"/>
        <w:szCs w:val="22"/>
      </w:rPr>
      <w:t>RESOLUCIÓN No.</w:t>
    </w:r>
    <w:r>
      <w:rPr>
        <w:rFonts w:ascii="Bookman Old Style" w:hAnsi="Bookman Old Style" w:cs="Arial"/>
        <w:b w:val="0"/>
        <w:sz w:val="22"/>
        <w:szCs w:val="22"/>
      </w:rPr>
      <w:t xml:space="preserve">  ________________</w:t>
    </w:r>
    <w:r w:rsidRPr="00654384">
      <w:rPr>
        <w:rFonts w:ascii="Bookman Old Style" w:hAnsi="Bookman Old Style" w:cs="Arial"/>
        <w:b w:val="0"/>
        <w:sz w:val="22"/>
        <w:szCs w:val="22"/>
      </w:rPr>
      <w:tab/>
    </w:r>
    <w:r>
      <w:rPr>
        <w:rFonts w:ascii="Bookman Old Style" w:hAnsi="Bookman Old Style" w:cs="Arial"/>
        <w:b w:val="0"/>
        <w:sz w:val="22"/>
        <w:szCs w:val="22"/>
      </w:rPr>
      <w:t>DE ________________</w:t>
    </w:r>
    <w:r>
      <w:rPr>
        <w:rFonts w:ascii="Bookman Old Style" w:hAnsi="Bookman Old Style" w:cs="Arial"/>
        <w:b w:val="0"/>
        <w:sz w:val="22"/>
        <w:szCs w:val="22"/>
      </w:rPr>
      <w:tab/>
    </w:r>
    <w:r w:rsidRPr="00654384">
      <w:rPr>
        <w:rFonts w:ascii="Bookman Old Style" w:hAnsi="Bookman Old Style" w:cs="Arial"/>
        <w:b w:val="0"/>
        <w:sz w:val="22"/>
        <w:szCs w:val="22"/>
      </w:rPr>
      <w:t xml:space="preserve">HOJA No. </w:t>
    </w:r>
    <w:r w:rsidRPr="00654384">
      <w:rPr>
        <w:rFonts w:ascii="Bookman Old Style" w:hAnsi="Bookman Old Style" w:cs="Arial"/>
        <w:b w:val="0"/>
        <w:sz w:val="22"/>
        <w:szCs w:val="22"/>
      </w:rPr>
      <w:fldChar w:fldCharType="begin"/>
    </w:r>
    <w:r w:rsidRPr="00654384">
      <w:rPr>
        <w:rFonts w:ascii="Bookman Old Style" w:hAnsi="Bookman Old Style" w:cs="Arial"/>
        <w:b w:val="0"/>
        <w:sz w:val="22"/>
        <w:szCs w:val="22"/>
      </w:rPr>
      <w:instrText xml:space="preserve"> PAGE   \* MERGEFORMAT </w:instrText>
    </w:r>
    <w:r w:rsidRPr="00654384">
      <w:rPr>
        <w:rFonts w:ascii="Bookman Old Style" w:hAnsi="Bookman Old Style" w:cs="Arial"/>
        <w:b w:val="0"/>
        <w:sz w:val="22"/>
        <w:szCs w:val="22"/>
      </w:rPr>
      <w:fldChar w:fldCharType="separate"/>
    </w:r>
    <w:r w:rsidR="0069781A">
      <w:rPr>
        <w:rFonts w:ascii="Bookman Old Style" w:hAnsi="Bookman Old Style" w:cs="Arial"/>
        <w:b w:val="0"/>
        <w:noProof/>
        <w:sz w:val="22"/>
        <w:szCs w:val="22"/>
      </w:rPr>
      <w:t>6</w:t>
    </w:r>
    <w:r w:rsidRPr="00654384">
      <w:rPr>
        <w:rFonts w:ascii="Bookman Old Style" w:hAnsi="Bookman Old Style" w:cs="Arial"/>
        <w:b w:val="0"/>
        <w:sz w:val="22"/>
        <w:szCs w:val="22"/>
      </w:rPr>
      <w:fldChar w:fldCharType="end"/>
    </w:r>
    <w:r w:rsidRPr="00654384">
      <w:rPr>
        <w:rFonts w:ascii="Bookman Old Style" w:hAnsi="Bookman Old Style" w:cs="Arial"/>
        <w:b w:val="0"/>
        <w:sz w:val="22"/>
        <w:szCs w:val="22"/>
      </w:rPr>
      <w:t>/</w:t>
    </w:r>
    <w:fldSimple w:instr=" NUMPAGES  \* MERGEFORMAT ">
      <w:r w:rsidR="0069781A" w:rsidRPr="0069781A">
        <w:rPr>
          <w:rFonts w:ascii="Bookman Old Style" w:hAnsi="Bookman Old Style" w:cs="Arial"/>
          <w:b w:val="0"/>
          <w:noProof/>
          <w:sz w:val="22"/>
          <w:szCs w:val="22"/>
        </w:rPr>
        <w:t>6</w:t>
      </w:r>
    </w:fldSimple>
  </w:p>
  <w:p w:rsidR="005752C4" w:rsidRDefault="005752C4" w:rsidP="00AD01E4">
    <w:pPr>
      <w:ind w:left="142" w:right="148"/>
      <w:rPr>
        <w:rFonts w:ascii="Bookman Old Style" w:hAnsi="Bookman Old Style" w:cs="Arial"/>
      </w:rPr>
    </w:pPr>
    <w:r>
      <w:rPr>
        <w:noProof/>
        <w:lang w:val="es-CO" w:eastAsia="es-CO"/>
      </w:rPr>
      <mc:AlternateContent>
        <mc:Choice Requires="wps">
          <w:drawing>
            <wp:anchor distT="0" distB="0" distL="114300" distR="114300" simplePos="0" relativeHeight="251657216" behindDoc="0" locked="0" layoutInCell="1" allowOverlap="1" wp14:anchorId="1F40ADA5" wp14:editId="0F524E37">
              <wp:simplePos x="0" y="0"/>
              <wp:positionH relativeFrom="column">
                <wp:posOffset>-175260</wp:posOffset>
              </wp:positionH>
              <wp:positionV relativeFrom="paragraph">
                <wp:posOffset>139065</wp:posOffset>
              </wp:positionV>
              <wp:extent cx="6267450" cy="9900920"/>
              <wp:effectExtent l="15240" t="15240" r="13335" b="18415"/>
              <wp:wrapNone/>
              <wp:docPr id="2"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7450" cy="990092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 o:spid="_x0000_s1026" style="position:absolute;margin-left:-13.8pt;margin-top:10.95pt;width:493.5pt;height:779.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" filled="f" strokeweight="1.5pt"/>
          </w:pict>
        </mc:Fallback>
      </mc:AlternateContent>
    </w:r>
  </w:p>
  <w:p w:rsidR="005752C4" w:rsidRPr="00CB5DD0" w:rsidRDefault="005752C4" w:rsidP="002D2264">
    <w:pPr>
      <w:pBdr>
        <w:bottom w:val="single" w:sz="4" w:space="1" w:color="auto"/>
      </w:pBdr>
      <w:ind w:left="142" w:right="148"/>
      <w:jc w:val="both"/>
      <w:rPr>
        <w:b/>
      </w:rPr>
    </w:pPr>
    <w:r w:rsidRPr="002D2264">
      <w:rPr>
        <w:rFonts w:ascii="Bookman Old Style" w:hAnsi="Bookman Old Style"/>
        <w:sz w:val="22"/>
        <w:szCs w:val="22"/>
      </w:rPr>
      <w:t>Por la cual se resuelve el Recurso de Reposición interpuesto por la Empresa de Energía de Boyacá S.A E.S.P., contra la Resolución CREG 082 de 2011</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52C4" w:rsidRDefault="005752C4" w:rsidP="00025383">
    <w:pPr>
      <w:pStyle w:val="Encabezado"/>
      <w:jc w:val="both"/>
      <w:rPr>
        <w:rFonts w:ascii="Arial" w:hAnsi="Arial" w:cs="Arial"/>
        <w:spacing w:val="20"/>
        <w:sz w:val="20"/>
      </w:rPr>
    </w:pPr>
    <w:r>
      <w:rPr>
        <w:rFonts w:ascii="Arial" w:hAnsi="Arial" w:cs="Arial"/>
        <w:spacing w:val="20"/>
        <w:sz w:val="20"/>
      </w:rPr>
      <w:t xml:space="preserve">                                   República de Colombia</w:t>
    </w:r>
  </w:p>
  <w:p w:rsidR="005752C4" w:rsidRDefault="005752C4">
    <w:pPr>
      <w:pStyle w:val="Encabezado"/>
      <w:jc w:val="center"/>
      <w:rPr>
        <w:rFonts w:ascii="Arial" w:hAnsi="Arial" w:cs="Arial"/>
        <w:spacing w:val="20"/>
        <w:sz w:val="20"/>
      </w:rPr>
    </w:pPr>
  </w:p>
  <w:p w:rsidR="005752C4" w:rsidRDefault="005752C4" w:rsidP="00CA77FB">
    <w:pPr>
      <w:pStyle w:val="Encabezado"/>
      <w:jc w:val="center"/>
    </w:pPr>
    <w:r>
      <w:rPr>
        <w:rFonts w:ascii="Arial" w:hAnsi="Arial" w:cs="Arial"/>
        <w:noProof/>
        <w:spacing w:val="20"/>
        <w:sz w:val="20"/>
        <w:lang w:eastAsia="es-CO"/>
      </w:rPr>
      <mc:AlternateContent>
        <mc:Choice Requires="wps">
          <w:drawing>
            <wp:anchor distT="0" distB="0" distL="114300" distR="114300" simplePos="0" relativeHeight="251658240" behindDoc="0" locked="0" layoutInCell="1" allowOverlap="1" wp14:anchorId="3BA52FB8" wp14:editId="4B2467C8">
              <wp:simplePos x="0" y="0"/>
              <wp:positionH relativeFrom="column">
                <wp:posOffset>-213360</wp:posOffset>
              </wp:positionH>
              <wp:positionV relativeFrom="paragraph">
                <wp:posOffset>377190</wp:posOffset>
              </wp:positionV>
              <wp:extent cx="6343650" cy="9839325"/>
              <wp:effectExtent l="15240" t="15240" r="13335" b="13335"/>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43650" cy="983932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 o:spid="_x0000_s1026" style="position:absolute;margin-left:-16.8pt;margin-top:29.7pt;width:499.5pt;height:774.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" filled="f" strokeweight="1.5pt"/>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E67325"/>
    <w:multiLevelType w:val="hybridMultilevel"/>
    <w:tmpl w:val="66568F00"/>
    <w:lvl w:ilvl="0" w:tplc="DB8C2DD0">
      <w:start w:val="1"/>
      <w:numFmt w:val="decimal"/>
      <w:lvlText w:val="Artículo %1. "/>
      <w:lvlJc w:val="left"/>
      <w:pPr>
        <w:ind w:left="578" w:hanging="360"/>
      </w:pPr>
      <w:rPr>
        <w:rFonts w:hint="default"/>
        <w:b/>
        <w:i w:val="0"/>
      </w:rPr>
    </w:lvl>
    <w:lvl w:ilvl="1" w:tplc="0C0A0019" w:tentative="1">
      <w:start w:val="1"/>
      <w:numFmt w:val="lowerLetter"/>
      <w:lvlText w:val="%2."/>
      <w:lvlJc w:val="left"/>
      <w:pPr>
        <w:ind w:left="1298" w:hanging="360"/>
      </w:pPr>
    </w:lvl>
    <w:lvl w:ilvl="2" w:tplc="0C0A001B" w:tentative="1">
      <w:start w:val="1"/>
      <w:numFmt w:val="lowerRoman"/>
      <w:lvlText w:val="%3."/>
      <w:lvlJc w:val="right"/>
      <w:pPr>
        <w:ind w:left="2018" w:hanging="180"/>
      </w:pPr>
    </w:lvl>
    <w:lvl w:ilvl="3" w:tplc="0C0A000F" w:tentative="1">
      <w:start w:val="1"/>
      <w:numFmt w:val="decimal"/>
      <w:lvlText w:val="%4."/>
      <w:lvlJc w:val="left"/>
      <w:pPr>
        <w:ind w:left="2738" w:hanging="360"/>
      </w:pPr>
    </w:lvl>
    <w:lvl w:ilvl="4" w:tplc="0C0A0019" w:tentative="1">
      <w:start w:val="1"/>
      <w:numFmt w:val="lowerLetter"/>
      <w:lvlText w:val="%5."/>
      <w:lvlJc w:val="left"/>
      <w:pPr>
        <w:ind w:left="3458" w:hanging="360"/>
      </w:pPr>
    </w:lvl>
    <w:lvl w:ilvl="5" w:tplc="0C0A001B" w:tentative="1">
      <w:start w:val="1"/>
      <w:numFmt w:val="lowerRoman"/>
      <w:lvlText w:val="%6."/>
      <w:lvlJc w:val="right"/>
      <w:pPr>
        <w:ind w:left="4178" w:hanging="180"/>
      </w:pPr>
    </w:lvl>
    <w:lvl w:ilvl="6" w:tplc="0C0A000F" w:tentative="1">
      <w:start w:val="1"/>
      <w:numFmt w:val="decimal"/>
      <w:lvlText w:val="%7."/>
      <w:lvlJc w:val="left"/>
      <w:pPr>
        <w:ind w:left="4898" w:hanging="360"/>
      </w:pPr>
    </w:lvl>
    <w:lvl w:ilvl="7" w:tplc="0C0A0019" w:tentative="1">
      <w:start w:val="1"/>
      <w:numFmt w:val="lowerLetter"/>
      <w:lvlText w:val="%8."/>
      <w:lvlJc w:val="left"/>
      <w:pPr>
        <w:ind w:left="5618" w:hanging="360"/>
      </w:pPr>
    </w:lvl>
    <w:lvl w:ilvl="8" w:tplc="0C0A001B" w:tentative="1">
      <w:start w:val="1"/>
      <w:numFmt w:val="lowerRoman"/>
      <w:lvlText w:val="%9."/>
      <w:lvlJc w:val="right"/>
      <w:pPr>
        <w:ind w:left="6338" w:hanging="180"/>
      </w:pPr>
    </w:lvl>
  </w:abstractNum>
  <w:abstractNum w:abstractNumId="1">
    <w:nsid w:val="03061BFF"/>
    <w:multiLevelType w:val="hybridMultilevel"/>
    <w:tmpl w:val="78C4842A"/>
    <w:lvl w:ilvl="0" w:tplc="CB589430">
      <w:start w:val="1"/>
      <w:numFmt w:val="decimal"/>
      <w:lvlText w:val="Artículo %1."/>
      <w:lvlJc w:val="left"/>
      <w:pPr>
        <w:tabs>
          <w:tab w:val="num" w:pos="1440"/>
        </w:tabs>
        <w:ind w:left="0" w:firstLine="0"/>
      </w:pPr>
      <w:rPr>
        <w:rFonts w:hint="default"/>
        <w:b/>
        <w:i w:val="0"/>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
    <w:nsid w:val="04CE0429"/>
    <w:multiLevelType w:val="hybridMultilevel"/>
    <w:tmpl w:val="F5D2FE38"/>
    <w:lvl w:ilvl="0" w:tplc="0C0A0017">
      <w:start w:val="1"/>
      <w:numFmt w:val="lowerLetter"/>
      <w:lvlText w:val="%1)"/>
      <w:lvlJc w:val="left"/>
      <w:pPr>
        <w:ind w:left="1068" w:hanging="360"/>
      </w:pPr>
      <w:rPr>
        <w:rFonts w:hint="default"/>
      </w:rPr>
    </w:lvl>
    <w:lvl w:ilvl="1" w:tplc="0C0A0019" w:tentative="1">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abstractNum w:abstractNumId="3">
    <w:nsid w:val="09AB0E73"/>
    <w:multiLevelType w:val="hybridMultilevel"/>
    <w:tmpl w:val="FAD0A876"/>
    <w:lvl w:ilvl="0" w:tplc="3B361870">
      <w:start w:val="1"/>
      <w:numFmt w:val="decimal"/>
      <w:lvlText w:val="%1)"/>
      <w:lvlJc w:val="left"/>
      <w:pPr>
        <w:ind w:left="1069" w:hanging="360"/>
      </w:pPr>
      <w:rPr>
        <w:rFonts w:hint="default"/>
      </w:rPr>
    </w:lvl>
    <w:lvl w:ilvl="1" w:tplc="0C0A0019" w:tentative="1">
      <w:start w:val="1"/>
      <w:numFmt w:val="lowerLetter"/>
      <w:lvlText w:val="%2."/>
      <w:lvlJc w:val="left"/>
      <w:pPr>
        <w:ind w:left="1789" w:hanging="360"/>
      </w:pPr>
    </w:lvl>
    <w:lvl w:ilvl="2" w:tplc="0C0A001B" w:tentative="1">
      <w:start w:val="1"/>
      <w:numFmt w:val="lowerRoman"/>
      <w:lvlText w:val="%3."/>
      <w:lvlJc w:val="right"/>
      <w:pPr>
        <w:ind w:left="2509" w:hanging="180"/>
      </w:pPr>
    </w:lvl>
    <w:lvl w:ilvl="3" w:tplc="0C0A000F" w:tentative="1">
      <w:start w:val="1"/>
      <w:numFmt w:val="decimal"/>
      <w:lvlText w:val="%4."/>
      <w:lvlJc w:val="left"/>
      <w:pPr>
        <w:ind w:left="3229" w:hanging="360"/>
      </w:pPr>
    </w:lvl>
    <w:lvl w:ilvl="4" w:tplc="0C0A0019" w:tentative="1">
      <w:start w:val="1"/>
      <w:numFmt w:val="lowerLetter"/>
      <w:lvlText w:val="%5."/>
      <w:lvlJc w:val="left"/>
      <w:pPr>
        <w:ind w:left="3949" w:hanging="360"/>
      </w:pPr>
    </w:lvl>
    <w:lvl w:ilvl="5" w:tplc="0C0A001B" w:tentative="1">
      <w:start w:val="1"/>
      <w:numFmt w:val="lowerRoman"/>
      <w:lvlText w:val="%6."/>
      <w:lvlJc w:val="right"/>
      <w:pPr>
        <w:ind w:left="4669" w:hanging="180"/>
      </w:pPr>
    </w:lvl>
    <w:lvl w:ilvl="6" w:tplc="0C0A000F" w:tentative="1">
      <w:start w:val="1"/>
      <w:numFmt w:val="decimal"/>
      <w:lvlText w:val="%7."/>
      <w:lvlJc w:val="left"/>
      <w:pPr>
        <w:ind w:left="5389" w:hanging="360"/>
      </w:pPr>
    </w:lvl>
    <w:lvl w:ilvl="7" w:tplc="0C0A0019" w:tentative="1">
      <w:start w:val="1"/>
      <w:numFmt w:val="lowerLetter"/>
      <w:lvlText w:val="%8."/>
      <w:lvlJc w:val="left"/>
      <w:pPr>
        <w:ind w:left="6109" w:hanging="360"/>
      </w:pPr>
    </w:lvl>
    <w:lvl w:ilvl="8" w:tplc="0C0A001B" w:tentative="1">
      <w:start w:val="1"/>
      <w:numFmt w:val="lowerRoman"/>
      <w:lvlText w:val="%9."/>
      <w:lvlJc w:val="right"/>
      <w:pPr>
        <w:ind w:left="6829" w:hanging="180"/>
      </w:pPr>
    </w:lvl>
  </w:abstractNum>
  <w:abstractNum w:abstractNumId="4">
    <w:nsid w:val="0DF36714"/>
    <w:multiLevelType w:val="hybridMultilevel"/>
    <w:tmpl w:val="0F70A1FA"/>
    <w:lvl w:ilvl="0" w:tplc="0C0A000F">
      <w:start w:val="1"/>
      <w:numFmt w:val="decimal"/>
      <w:lvlText w:val="%1."/>
      <w:lvlJc w:val="left"/>
      <w:pPr>
        <w:ind w:left="720" w:hanging="360"/>
      </w:pPr>
      <w:rPr>
        <w:rFonts w:hint="default"/>
      </w:rPr>
    </w:lvl>
    <w:lvl w:ilvl="1" w:tplc="0C0A0001">
      <w:start w:val="1"/>
      <w:numFmt w:val="bullet"/>
      <w:lvlText w:val=""/>
      <w:lvlJc w:val="left"/>
      <w:pPr>
        <w:ind w:left="1440" w:hanging="360"/>
      </w:pPr>
      <w:rPr>
        <w:rFonts w:ascii="Symbol" w:hAnsi="Symbol" w:hint="default"/>
      </w:rPr>
    </w:lvl>
    <w:lvl w:ilvl="2" w:tplc="85F6A33A">
      <w:start w:val="1"/>
      <w:numFmt w:val="lowerLetter"/>
      <w:lvlText w:val="%3)"/>
      <w:lvlJc w:val="left"/>
      <w:pPr>
        <w:ind w:left="2160" w:hanging="360"/>
      </w:pPr>
      <w:rPr>
        <w:rFonts w:ascii="Arial" w:eastAsia="Times New Roman" w:hAnsi="Arial" w:cs="Arial"/>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nsid w:val="11983361"/>
    <w:multiLevelType w:val="hybridMultilevel"/>
    <w:tmpl w:val="735ACF9E"/>
    <w:lvl w:ilvl="0" w:tplc="ABAA2422">
      <w:start w:val="1"/>
      <w:numFmt w:val="decimal"/>
      <w:lvlText w:val="%1)"/>
      <w:lvlJc w:val="left"/>
      <w:pPr>
        <w:ind w:left="1069" w:hanging="360"/>
      </w:pPr>
      <w:rPr>
        <w:rFonts w:hint="default"/>
      </w:rPr>
    </w:lvl>
    <w:lvl w:ilvl="1" w:tplc="0C0A0019" w:tentative="1">
      <w:start w:val="1"/>
      <w:numFmt w:val="lowerLetter"/>
      <w:lvlText w:val="%2."/>
      <w:lvlJc w:val="left"/>
      <w:pPr>
        <w:ind w:left="1789" w:hanging="360"/>
      </w:pPr>
    </w:lvl>
    <w:lvl w:ilvl="2" w:tplc="0C0A001B" w:tentative="1">
      <w:start w:val="1"/>
      <w:numFmt w:val="lowerRoman"/>
      <w:lvlText w:val="%3."/>
      <w:lvlJc w:val="right"/>
      <w:pPr>
        <w:ind w:left="2509" w:hanging="180"/>
      </w:pPr>
    </w:lvl>
    <w:lvl w:ilvl="3" w:tplc="0C0A000F" w:tentative="1">
      <w:start w:val="1"/>
      <w:numFmt w:val="decimal"/>
      <w:lvlText w:val="%4."/>
      <w:lvlJc w:val="left"/>
      <w:pPr>
        <w:ind w:left="3229" w:hanging="360"/>
      </w:pPr>
    </w:lvl>
    <w:lvl w:ilvl="4" w:tplc="0C0A0019" w:tentative="1">
      <w:start w:val="1"/>
      <w:numFmt w:val="lowerLetter"/>
      <w:lvlText w:val="%5."/>
      <w:lvlJc w:val="left"/>
      <w:pPr>
        <w:ind w:left="3949" w:hanging="360"/>
      </w:pPr>
    </w:lvl>
    <w:lvl w:ilvl="5" w:tplc="0C0A001B" w:tentative="1">
      <w:start w:val="1"/>
      <w:numFmt w:val="lowerRoman"/>
      <w:lvlText w:val="%6."/>
      <w:lvlJc w:val="right"/>
      <w:pPr>
        <w:ind w:left="4669" w:hanging="180"/>
      </w:pPr>
    </w:lvl>
    <w:lvl w:ilvl="6" w:tplc="0C0A000F" w:tentative="1">
      <w:start w:val="1"/>
      <w:numFmt w:val="decimal"/>
      <w:lvlText w:val="%7."/>
      <w:lvlJc w:val="left"/>
      <w:pPr>
        <w:ind w:left="5389" w:hanging="360"/>
      </w:pPr>
    </w:lvl>
    <w:lvl w:ilvl="7" w:tplc="0C0A0019" w:tentative="1">
      <w:start w:val="1"/>
      <w:numFmt w:val="lowerLetter"/>
      <w:lvlText w:val="%8."/>
      <w:lvlJc w:val="left"/>
      <w:pPr>
        <w:ind w:left="6109" w:hanging="360"/>
      </w:pPr>
    </w:lvl>
    <w:lvl w:ilvl="8" w:tplc="0C0A001B" w:tentative="1">
      <w:start w:val="1"/>
      <w:numFmt w:val="lowerRoman"/>
      <w:lvlText w:val="%9."/>
      <w:lvlJc w:val="right"/>
      <w:pPr>
        <w:ind w:left="6829" w:hanging="180"/>
      </w:pPr>
    </w:lvl>
  </w:abstractNum>
  <w:abstractNum w:abstractNumId="6">
    <w:nsid w:val="12591B89"/>
    <w:multiLevelType w:val="hybridMultilevel"/>
    <w:tmpl w:val="30BAA2EE"/>
    <w:lvl w:ilvl="0" w:tplc="FFA4ED56">
      <w:start w:val="1"/>
      <w:numFmt w:val="decimal"/>
      <w:pStyle w:val="articulo"/>
      <w:lvlText w:val="Artículo %1."/>
      <w:lvlJc w:val="left"/>
      <w:pPr>
        <w:tabs>
          <w:tab w:val="num" w:pos="1440"/>
        </w:tabs>
        <w:ind w:left="0" w:firstLine="0"/>
      </w:pPr>
      <w:rPr>
        <w:rFonts w:hint="default"/>
        <w:b/>
        <w:i w:val="0"/>
        <w:sz w:val="24"/>
      </w:rPr>
    </w:lvl>
    <w:lvl w:ilvl="1" w:tplc="82AC8D2C">
      <w:numFmt w:val="bullet"/>
      <w:lvlText w:val="-"/>
      <w:lvlJc w:val="left"/>
      <w:pPr>
        <w:tabs>
          <w:tab w:val="num" w:pos="1440"/>
        </w:tabs>
        <w:ind w:left="1440" w:hanging="360"/>
      </w:pPr>
      <w:rPr>
        <w:rFonts w:ascii="Times New Roman" w:eastAsia="Times New Roman" w:hAnsi="Times New Roman" w:cs="Times New Roman" w:hint="default"/>
      </w:rPr>
    </w:lvl>
    <w:lvl w:ilvl="2" w:tplc="0C0A0001">
      <w:start w:val="1"/>
      <w:numFmt w:val="bullet"/>
      <w:lvlText w:val=""/>
      <w:lvlJc w:val="left"/>
      <w:pPr>
        <w:tabs>
          <w:tab w:val="num" w:pos="2340"/>
        </w:tabs>
        <w:ind w:left="2340" w:hanging="360"/>
      </w:pPr>
      <w:rPr>
        <w:rFonts w:ascii="Symbol" w:hAnsi="Symbol" w:hint="default"/>
      </w:r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7">
    <w:nsid w:val="17E314E6"/>
    <w:multiLevelType w:val="hybridMultilevel"/>
    <w:tmpl w:val="EEEEC0F8"/>
    <w:lvl w:ilvl="0" w:tplc="2F52B9AA">
      <w:start w:val="10"/>
      <w:numFmt w:val="lowerLetter"/>
      <w:lvlText w:val="%1)"/>
      <w:lvlJc w:val="left"/>
      <w:pPr>
        <w:ind w:left="36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8">
    <w:nsid w:val="25100DC7"/>
    <w:multiLevelType w:val="hybridMultilevel"/>
    <w:tmpl w:val="51F81D26"/>
    <w:lvl w:ilvl="0" w:tplc="0C0A0017">
      <w:start w:val="1"/>
      <w:numFmt w:val="lowerLetter"/>
      <w:lvlText w:val="%1)"/>
      <w:lvlJc w:val="left"/>
      <w:pPr>
        <w:ind w:left="720" w:hanging="360"/>
      </w:pPr>
      <w:rPr>
        <w:rFonts w:hint="default"/>
        <w:color w:val="auto"/>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nsid w:val="28DB1878"/>
    <w:multiLevelType w:val="hybridMultilevel"/>
    <w:tmpl w:val="43F46766"/>
    <w:lvl w:ilvl="0" w:tplc="192E586A">
      <w:start w:val="1"/>
      <w:numFmt w:val="lowerLetter"/>
      <w:lvlText w:val="%1)"/>
      <w:lvlJc w:val="left"/>
      <w:pPr>
        <w:ind w:left="1440" w:hanging="360"/>
      </w:pPr>
      <w:rPr>
        <w:rFonts w:hint="default"/>
      </w:rPr>
    </w:lvl>
    <w:lvl w:ilvl="1" w:tplc="0C0A0019" w:tentative="1">
      <w:start w:val="1"/>
      <w:numFmt w:val="lowerLetter"/>
      <w:lvlText w:val="%2."/>
      <w:lvlJc w:val="left"/>
      <w:pPr>
        <w:ind w:left="2160" w:hanging="360"/>
      </w:pPr>
    </w:lvl>
    <w:lvl w:ilvl="2" w:tplc="0C0A001B" w:tentative="1">
      <w:start w:val="1"/>
      <w:numFmt w:val="lowerRoman"/>
      <w:lvlText w:val="%3."/>
      <w:lvlJc w:val="right"/>
      <w:pPr>
        <w:ind w:left="2880" w:hanging="180"/>
      </w:pPr>
    </w:lvl>
    <w:lvl w:ilvl="3" w:tplc="0C0A000F" w:tentative="1">
      <w:start w:val="1"/>
      <w:numFmt w:val="decimal"/>
      <w:lvlText w:val="%4."/>
      <w:lvlJc w:val="left"/>
      <w:pPr>
        <w:ind w:left="3600" w:hanging="360"/>
      </w:pPr>
    </w:lvl>
    <w:lvl w:ilvl="4" w:tplc="0C0A0019" w:tentative="1">
      <w:start w:val="1"/>
      <w:numFmt w:val="lowerLetter"/>
      <w:lvlText w:val="%5."/>
      <w:lvlJc w:val="left"/>
      <w:pPr>
        <w:ind w:left="4320" w:hanging="360"/>
      </w:pPr>
    </w:lvl>
    <w:lvl w:ilvl="5" w:tplc="0C0A001B" w:tentative="1">
      <w:start w:val="1"/>
      <w:numFmt w:val="lowerRoman"/>
      <w:lvlText w:val="%6."/>
      <w:lvlJc w:val="right"/>
      <w:pPr>
        <w:ind w:left="5040" w:hanging="180"/>
      </w:pPr>
    </w:lvl>
    <w:lvl w:ilvl="6" w:tplc="0C0A000F" w:tentative="1">
      <w:start w:val="1"/>
      <w:numFmt w:val="decimal"/>
      <w:lvlText w:val="%7."/>
      <w:lvlJc w:val="left"/>
      <w:pPr>
        <w:ind w:left="5760" w:hanging="360"/>
      </w:pPr>
    </w:lvl>
    <w:lvl w:ilvl="7" w:tplc="0C0A0019" w:tentative="1">
      <w:start w:val="1"/>
      <w:numFmt w:val="lowerLetter"/>
      <w:lvlText w:val="%8."/>
      <w:lvlJc w:val="left"/>
      <w:pPr>
        <w:ind w:left="6480" w:hanging="360"/>
      </w:pPr>
    </w:lvl>
    <w:lvl w:ilvl="8" w:tplc="0C0A001B" w:tentative="1">
      <w:start w:val="1"/>
      <w:numFmt w:val="lowerRoman"/>
      <w:lvlText w:val="%9."/>
      <w:lvlJc w:val="right"/>
      <w:pPr>
        <w:ind w:left="7200" w:hanging="180"/>
      </w:pPr>
    </w:lvl>
  </w:abstractNum>
  <w:abstractNum w:abstractNumId="10">
    <w:nsid w:val="3605278E"/>
    <w:multiLevelType w:val="hybridMultilevel"/>
    <w:tmpl w:val="EFD8B72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3D1A3DE5"/>
    <w:multiLevelType w:val="hybridMultilevel"/>
    <w:tmpl w:val="70BC730E"/>
    <w:lvl w:ilvl="0" w:tplc="0C0A0001">
      <w:start w:val="1"/>
      <w:numFmt w:val="bullet"/>
      <w:lvlText w:val=""/>
      <w:lvlJc w:val="left"/>
      <w:pPr>
        <w:ind w:left="1429" w:hanging="360"/>
      </w:pPr>
      <w:rPr>
        <w:rFonts w:ascii="Symbol" w:hAnsi="Symbol" w:hint="default"/>
      </w:rPr>
    </w:lvl>
    <w:lvl w:ilvl="1" w:tplc="0C0A0003" w:tentative="1">
      <w:start w:val="1"/>
      <w:numFmt w:val="bullet"/>
      <w:lvlText w:val="o"/>
      <w:lvlJc w:val="left"/>
      <w:pPr>
        <w:ind w:left="2149" w:hanging="360"/>
      </w:pPr>
      <w:rPr>
        <w:rFonts w:ascii="Courier New" w:hAnsi="Courier New" w:cs="Courier New" w:hint="default"/>
      </w:rPr>
    </w:lvl>
    <w:lvl w:ilvl="2" w:tplc="0C0A0005" w:tentative="1">
      <w:start w:val="1"/>
      <w:numFmt w:val="bullet"/>
      <w:lvlText w:val=""/>
      <w:lvlJc w:val="left"/>
      <w:pPr>
        <w:ind w:left="2869" w:hanging="360"/>
      </w:pPr>
      <w:rPr>
        <w:rFonts w:ascii="Wingdings" w:hAnsi="Wingdings" w:hint="default"/>
      </w:rPr>
    </w:lvl>
    <w:lvl w:ilvl="3" w:tplc="0C0A0001" w:tentative="1">
      <w:start w:val="1"/>
      <w:numFmt w:val="bullet"/>
      <w:lvlText w:val=""/>
      <w:lvlJc w:val="left"/>
      <w:pPr>
        <w:ind w:left="3589" w:hanging="360"/>
      </w:pPr>
      <w:rPr>
        <w:rFonts w:ascii="Symbol" w:hAnsi="Symbol" w:hint="default"/>
      </w:rPr>
    </w:lvl>
    <w:lvl w:ilvl="4" w:tplc="0C0A0003" w:tentative="1">
      <w:start w:val="1"/>
      <w:numFmt w:val="bullet"/>
      <w:lvlText w:val="o"/>
      <w:lvlJc w:val="left"/>
      <w:pPr>
        <w:ind w:left="4309" w:hanging="360"/>
      </w:pPr>
      <w:rPr>
        <w:rFonts w:ascii="Courier New" w:hAnsi="Courier New" w:cs="Courier New" w:hint="default"/>
      </w:rPr>
    </w:lvl>
    <w:lvl w:ilvl="5" w:tplc="0C0A0005" w:tentative="1">
      <w:start w:val="1"/>
      <w:numFmt w:val="bullet"/>
      <w:lvlText w:val=""/>
      <w:lvlJc w:val="left"/>
      <w:pPr>
        <w:ind w:left="5029" w:hanging="360"/>
      </w:pPr>
      <w:rPr>
        <w:rFonts w:ascii="Wingdings" w:hAnsi="Wingdings" w:hint="default"/>
      </w:rPr>
    </w:lvl>
    <w:lvl w:ilvl="6" w:tplc="0C0A0001" w:tentative="1">
      <w:start w:val="1"/>
      <w:numFmt w:val="bullet"/>
      <w:lvlText w:val=""/>
      <w:lvlJc w:val="left"/>
      <w:pPr>
        <w:ind w:left="5749" w:hanging="360"/>
      </w:pPr>
      <w:rPr>
        <w:rFonts w:ascii="Symbol" w:hAnsi="Symbol" w:hint="default"/>
      </w:rPr>
    </w:lvl>
    <w:lvl w:ilvl="7" w:tplc="0C0A0003" w:tentative="1">
      <w:start w:val="1"/>
      <w:numFmt w:val="bullet"/>
      <w:lvlText w:val="o"/>
      <w:lvlJc w:val="left"/>
      <w:pPr>
        <w:ind w:left="6469" w:hanging="360"/>
      </w:pPr>
      <w:rPr>
        <w:rFonts w:ascii="Courier New" w:hAnsi="Courier New" w:cs="Courier New" w:hint="default"/>
      </w:rPr>
    </w:lvl>
    <w:lvl w:ilvl="8" w:tplc="0C0A0005" w:tentative="1">
      <w:start w:val="1"/>
      <w:numFmt w:val="bullet"/>
      <w:lvlText w:val=""/>
      <w:lvlJc w:val="left"/>
      <w:pPr>
        <w:ind w:left="7189" w:hanging="360"/>
      </w:pPr>
      <w:rPr>
        <w:rFonts w:ascii="Wingdings" w:hAnsi="Wingdings" w:hint="default"/>
      </w:rPr>
    </w:lvl>
  </w:abstractNum>
  <w:abstractNum w:abstractNumId="12">
    <w:nsid w:val="3DDC6F09"/>
    <w:multiLevelType w:val="multilevel"/>
    <w:tmpl w:val="80189DDA"/>
    <w:lvl w:ilvl="0">
      <w:start w:val="1"/>
      <w:numFmt w:val="decimal"/>
      <w:lvlText w:val="Artículo %1."/>
      <w:lvlJc w:val="left"/>
      <w:pPr>
        <w:ind w:left="0" w:firstLine="0"/>
      </w:pPr>
      <w:rPr>
        <w:rFonts w:ascii="Bookman Old Style" w:hAnsi="Bookman Old Style" w:hint="default"/>
        <w:b/>
        <w:i w:val="0"/>
        <w:caps/>
        <w:sz w:val="24"/>
      </w:rPr>
    </w:lvl>
    <w:lvl w:ilvl="1">
      <w:start w:val="1"/>
      <w:numFmt w:val="lowerLetter"/>
      <w:lvlText w:val="%2)"/>
      <w:lvlJc w:val="left"/>
      <w:pPr>
        <w:ind w:left="357" w:firstLine="0"/>
      </w:pPr>
      <w:rPr>
        <w:rFonts w:hint="default"/>
      </w:rPr>
    </w:lvl>
    <w:lvl w:ilvl="2">
      <w:start w:val="1"/>
      <w:numFmt w:val="lowerRoman"/>
      <w:lvlText w:val="%3)"/>
      <w:lvlJc w:val="left"/>
      <w:pPr>
        <w:ind w:left="714" w:firstLine="0"/>
      </w:pPr>
      <w:rPr>
        <w:rFonts w:hint="default"/>
      </w:rPr>
    </w:lvl>
    <w:lvl w:ilvl="3">
      <w:start w:val="1"/>
      <w:numFmt w:val="decimal"/>
      <w:lvlText w:val="(%4)"/>
      <w:lvlJc w:val="left"/>
      <w:pPr>
        <w:ind w:left="1071" w:firstLine="0"/>
      </w:pPr>
      <w:rPr>
        <w:rFonts w:hint="default"/>
      </w:rPr>
    </w:lvl>
    <w:lvl w:ilvl="4">
      <w:start w:val="1"/>
      <w:numFmt w:val="lowerLetter"/>
      <w:lvlText w:val="(%5)"/>
      <w:lvlJc w:val="left"/>
      <w:pPr>
        <w:ind w:left="1428" w:firstLine="0"/>
      </w:pPr>
      <w:rPr>
        <w:rFonts w:hint="default"/>
      </w:rPr>
    </w:lvl>
    <w:lvl w:ilvl="5">
      <w:start w:val="1"/>
      <w:numFmt w:val="lowerRoman"/>
      <w:lvlText w:val="(%6)"/>
      <w:lvlJc w:val="left"/>
      <w:pPr>
        <w:ind w:left="1785" w:firstLine="0"/>
      </w:pPr>
      <w:rPr>
        <w:rFonts w:hint="default"/>
      </w:rPr>
    </w:lvl>
    <w:lvl w:ilvl="6">
      <w:start w:val="1"/>
      <w:numFmt w:val="decimal"/>
      <w:lvlText w:val="%7."/>
      <w:lvlJc w:val="left"/>
      <w:pPr>
        <w:ind w:left="2142" w:firstLine="0"/>
      </w:pPr>
      <w:rPr>
        <w:rFonts w:hint="default"/>
      </w:rPr>
    </w:lvl>
    <w:lvl w:ilvl="7">
      <w:start w:val="1"/>
      <w:numFmt w:val="lowerLetter"/>
      <w:lvlText w:val="%8."/>
      <w:lvlJc w:val="left"/>
      <w:pPr>
        <w:ind w:left="2499" w:firstLine="0"/>
      </w:pPr>
      <w:rPr>
        <w:rFonts w:hint="default"/>
      </w:rPr>
    </w:lvl>
    <w:lvl w:ilvl="8">
      <w:start w:val="1"/>
      <w:numFmt w:val="lowerRoman"/>
      <w:lvlText w:val="%9."/>
      <w:lvlJc w:val="left"/>
      <w:pPr>
        <w:ind w:left="2856" w:firstLine="0"/>
      </w:pPr>
      <w:rPr>
        <w:rFonts w:hint="default"/>
      </w:rPr>
    </w:lvl>
  </w:abstractNum>
  <w:abstractNum w:abstractNumId="13">
    <w:nsid w:val="3EFB76E6"/>
    <w:multiLevelType w:val="hybridMultilevel"/>
    <w:tmpl w:val="E3667250"/>
    <w:lvl w:ilvl="0" w:tplc="2C02CACE">
      <w:start w:val="3"/>
      <w:numFmt w:val="decimal"/>
      <w:lvlText w:val="%1)"/>
      <w:lvlJc w:val="left"/>
      <w:pPr>
        <w:ind w:left="1429" w:hanging="360"/>
      </w:pPr>
      <w:rPr>
        <w:rFonts w:hint="default"/>
      </w:rPr>
    </w:lvl>
    <w:lvl w:ilvl="1" w:tplc="0C0A0019" w:tentative="1">
      <w:start w:val="1"/>
      <w:numFmt w:val="lowerLetter"/>
      <w:lvlText w:val="%2."/>
      <w:lvlJc w:val="left"/>
      <w:pPr>
        <w:ind w:left="2149" w:hanging="360"/>
      </w:pPr>
    </w:lvl>
    <w:lvl w:ilvl="2" w:tplc="0C0A001B" w:tentative="1">
      <w:start w:val="1"/>
      <w:numFmt w:val="lowerRoman"/>
      <w:lvlText w:val="%3."/>
      <w:lvlJc w:val="right"/>
      <w:pPr>
        <w:ind w:left="2869" w:hanging="180"/>
      </w:pPr>
    </w:lvl>
    <w:lvl w:ilvl="3" w:tplc="0C0A000F" w:tentative="1">
      <w:start w:val="1"/>
      <w:numFmt w:val="decimal"/>
      <w:lvlText w:val="%4."/>
      <w:lvlJc w:val="left"/>
      <w:pPr>
        <w:ind w:left="3589" w:hanging="360"/>
      </w:pPr>
    </w:lvl>
    <w:lvl w:ilvl="4" w:tplc="0C0A0019" w:tentative="1">
      <w:start w:val="1"/>
      <w:numFmt w:val="lowerLetter"/>
      <w:lvlText w:val="%5."/>
      <w:lvlJc w:val="left"/>
      <w:pPr>
        <w:ind w:left="4309" w:hanging="360"/>
      </w:pPr>
    </w:lvl>
    <w:lvl w:ilvl="5" w:tplc="0C0A001B" w:tentative="1">
      <w:start w:val="1"/>
      <w:numFmt w:val="lowerRoman"/>
      <w:lvlText w:val="%6."/>
      <w:lvlJc w:val="right"/>
      <w:pPr>
        <w:ind w:left="5029" w:hanging="180"/>
      </w:pPr>
    </w:lvl>
    <w:lvl w:ilvl="6" w:tplc="0C0A000F" w:tentative="1">
      <w:start w:val="1"/>
      <w:numFmt w:val="decimal"/>
      <w:lvlText w:val="%7."/>
      <w:lvlJc w:val="left"/>
      <w:pPr>
        <w:ind w:left="5749" w:hanging="360"/>
      </w:pPr>
    </w:lvl>
    <w:lvl w:ilvl="7" w:tplc="0C0A0019" w:tentative="1">
      <w:start w:val="1"/>
      <w:numFmt w:val="lowerLetter"/>
      <w:lvlText w:val="%8."/>
      <w:lvlJc w:val="left"/>
      <w:pPr>
        <w:ind w:left="6469" w:hanging="360"/>
      </w:pPr>
    </w:lvl>
    <w:lvl w:ilvl="8" w:tplc="0C0A001B" w:tentative="1">
      <w:start w:val="1"/>
      <w:numFmt w:val="lowerRoman"/>
      <w:lvlText w:val="%9."/>
      <w:lvlJc w:val="right"/>
      <w:pPr>
        <w:ind w:left="7189" w:hanging="180"/>
      </w:pPr>
    </w:lvl>
  </w:abstractNum>
  <w:abstractNum w:abstractNumId="14">
    <w:nsid w:val="488C7569"/>
    <w:multiLevelType w:val="hybridMultilevel"/>
    <w:tmpl w:val="F7400AF2"/>
    <w:lvl w:ilvl="0" w:tplc="240A0001">
      <w:start w:val="1"/>
      <w:numFmt w:val="bullet"/>
      <w:lvlText w:val=""/>
      <w:lvlJc w:val="left"/>
      <w:pPr>
        <w:ind w:left="795" w:hanging="360"/>
      </w:pPr>
      <w:rPr>
        <w:rFonts w:ascii="Symbol" w:hAnsi="Symbol" w:hint="default"/>
      </w:rPr>
    </w:lvl>
    <w:lvl w:ilvl="1" w:tplc="0C0A0001">
      <w:start w:val="1"/>
      <w:numFmt w:val="bullet"/>
      <w:lvlText w:val=""/>
      <w:lvlJc w:val="left"/>
      <w:pPr>
        <w:ind w:left="1515" w:hanging="360"/>
      </w:pPr>
      <w:rPr>
        <w:rFonts w:ascii="Symbol" w:hAnsi="Symbol" w:hint="default"/>
      </w:rPr>
    </w:lvl>
    <w:lvl w:ilvl="2" w:tplc="240A0005" w:tentative="1">
      <w:start w:val="1"/>
      <w:numFmt w:val="bullet"/>
      <w:lvlText w:val=""/>
      <w:lvlJc w:val="left"/>
      <w:pPr>
        <w:ind w:left="2235" w:hanging="360"/>
      </w:pPr>
      <w:rPr>
        <w:rFonts w:ascii="Wingdings" w:hAnsi="Wingdings" w:hint="default"/>
      </w:rPr>
    </w:lvl>
    <w:lvl w:ilvl="3" w:tplc="240A0001" w:tentative="1">
      <w:start w:val="1"/>
      <w:numFmt w:val="bullet"/>
      <w:lvlText w:val=""/>
      <w:lvlJc w:val="left"/>
      <w:pPr>
        <w:ind w:left="2955" w:hanging="360"/>
      </w:pPr>
      <w:rPr>
        <w:rFonts w:ascii="Symbol" w:hAnsi="Symbol" w:hint="default"/>
      </w:rPr>
    </w:lvl>
    <w:lvl w:ilvl="4" w:tplc="240A0003" w:tentative="1">
      <w:start w:val="1"/>
      <w:numFmt w:val="bullet"/>
      <w:lvlText w:val="o"/>
      <w:lvlJc w:val="left"/>
      <w:pPr>
        <w:ind w:left="3675" w:hanging="360"/>
      </w:pPr>
      <w:rPr>
        <w:rFonts w:ascii="Courier New" w:hAnsi="Courier New" w:cs="Courier New" w:hint="default"/>
      </w:rPr>
    </w:lvl>
    <w:lvl w:ilvl="5" w:tplc="240A0005" w:tentative="1">
      <w:start w:val="1"/>
      <w:numFmt w:val="bullet"/>
      <w:lvlText w:val=""/>
      <w:lvlJc w:val="left"/>
      <w:pPr>
        <w:ind w:left="4395" w:hanging="360"/>
      </w:pPr>
      <w:rPr>
        <w:rFonts w:ascii="Wingdings" w:hAnsi="Wingdings" w:hint="default"/>
      </w:rPr>
    </w:lvl>
    <w:lvl w:ilvl="6" w:tplc="240A0001" w:tentative="1">
      <w:start w:val="1"/>
      <w:numFmt w:val="bullet"/>
      <w:lvlText w:val=""/>
      <w:lvlJc w:val="left"/>
      <w:pPr>
        <w:ind w:left="5115" w:hanging="360"/>
      </w:pPr>
      <w:rPr>
        <w:rFonts w:ascii="Symbol" w:hAnsi="Symbol" w:hint="default"/>
      </w:rPr>
    </w:lvl>
    <w:lvl w:ilvl="7" w:tplc="240A0003" w:tentative="1">
      <w:start w:val="1"/>
      <w:numFmt w:val="bullet"/>
      <w:lvlText w:val="o"/>
      <w:lvlJc w:val="left"/>
      <w:pPr>
        <w:ind w:left="5835" w:hanging="360"/>
      </w:pPr>
      <w:rPr>
        <w:rFonts w:ascii="Courier New" w:hAnsi="Courier New" w:cs="Courier New" w:hint="default"/>
      </w:rPr>
    </w:lvl>
    <w:lvl w:ilvl="8" w:tplc="240A0005" w:tentative="1">
      <w:start w:val="1"/>
      <w:numFmt w:val="bullet"/>
      <w:lvlText w:val=""/>
      <w:lvlJc w:val="left"/>
      <w:pPr>
        <w:ind w:left="6555" w:hanging="360"/>
      </w:pPr>
      <w:rPr>
        <w:rFonts w:ascii="Wingdings" w:hAnsi="Wingdings" w:hint="default"/>
      </w:rPr>
    </w:lvl>
  </w:abstractNum>
  <w:abstractNum w:abstractNumId="15">
    <w:nsid w:val="49BD2712"/>
    <w:multiLevelType w:val="hybridMultilevel"/>
    <w:tmpl w:val="5E24EA32"/>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6">
    <w:nsid w:val="49DB0D2F"/>
    <w:multiLevelType w:val="multilevel"/>
    <w:tmpl w:val="B3AEB4E4"/>
    <w:lvl w:ilvl="0">
      <w:start w:val="1"/>
      <w:numFmt w:val="decimal"/>
      <w:lvlText w:val="Artículo %1."/>
      <w:lvlJc w:val="right"/>
      <w:pPr>
        <w:tabs>
          <w:tab w:val="num" w:pos="1721"/>
        </w:tabs>
        <w:ind w:left="0" w:firstLine="1361"/>
      </w:pPr>
      <w:rPr>
        <w:rFonts w:ascii="Bookman Old Style" w:hAnsi="Bookman Old Style" w:cs="Arial" w:hint="default"/>
        <w:b/>
        <w:i w:val="0"/>
        <w:color w:val="auto"/>
        <w:sz w:val="24"/>
        <w:szCs w:val="22"/>
      </w:rPr>
    </w:lvl>
    <w:lvl w:ilvl="1">
      <w:start w:val="1"/>
      <w:numFmt w:val="decimal"/>
      <w:lvlText w:val="%1.%2"/>
      <w:lvlJc w:val="left"/>
      <w:pPr>
        <w:tabs>
          <w:tab w:val="num" w:pos="720"/>
        </w:tabs>
        <w:ind w:left="0" w:firstLine="0"/>
      </w:pPr>
      <w:rPr>
        <w:rFonts w:hint="default"/>
      </w:rPr>
    </w:lvl>
    <w:lvl w:ilvl="2">
      <w:start w:val="1"/>
      <w:numFmt w:val="decimal"/>
      <w:lvlText w:val="%3."/>
      <w:lvlJc w:val="left"/>
      <w:pPr>
        <w:tabs>
          <w:tab w:val="num" w:pos="720"/>
        </w:tabs>
        <w:ind w:left="0" w:firstLine="0"/>
      </w:pPr>
      <w:rPr>
        <w:rFonts w:hint="default"/>
      </w:rPr>
    </w:lvl>
    <w:lvl w:ilvl="3">
      <w:start w:val="1"/>
      <w:numFmt w:val="decimal"/>
      <w:lvlText w:val="%1.%2.%3.%4"/>
      <w:lvlJc w:val="right"/>
      <w:pPr>
        <w:tabs>
          <w:tab w:val="num" w:pos="360"/>
        </w:tabs>
        <w:ind w:left="0" w:firstLine="0"/>
      </w:pPr>
      <w:rPr>
        <w:rFonts w:hint="default"/>
      </w:rPr>
    </w:lvl>
    <w:lvl w:ilvl="4">
      <w:start w:val="1"/>
      <w:numFmt w:val="lowerLetter"/>
      <w:lvlText w:val="%5)"/>
      <w:lvlJc w:val="left"/>
      <w:pPr>
        <w:tabs>
          <w:tab w:val="num" w:pos="360"/>
        </w:tabs>
        <w:ind w:left="0" w:firstLine="0"/>
      </w:pPr>
      <w:rPr>
        <w:rFonts w:hint="default"/>
        <w:b/>
      </w:rPr>
    </w:lvl>
    <w:lvl w:ilvl="5">
      <w:start w:val="1"/>
      <w:numFmt w:val="lowerRoman"/>
      <w:lvlText w:val="%6)"/>
      <w:lvlJc w:val="left"/>
      <w:pPr>
        <w:tabs>
          <w:tab w:val="num" w:pos="720"/>
        </w:tabs>
        <w:ind w:left="0" w:firstLine="0"/>
      </w:pPr>
      <w:rPr>
        <w:rFonts w:hint="default"/>
      </w:rPr>
    </w:lvl>
    <w:lvl w:ilvl="6">
      <w:start w:val="1"/>
      <w:numFmt w:val="lowerRoman"/>
      <w:lvlText w:val="%7)"/>
      <w:lvlJc w:val="right"/>
      <w:pPr>
        <w:tabs>
          <w:tab w:val="num" w:pos="360"/>
        </w:tabs>
        <w:ind w:left="0" w:firstLine="0"/>
      </w:pPr>
      <w:rPr>
        <w:rFonts w:hint="default"/>
      </w:rPr>
    </w:lvl>
    <w:lvl w:ilvl="7">
      <w:start w:val="1"/>
      <w:numFmt w:val="lowerLetter"/>
      <w:lvlText w:val="%7.%8."/>
      <w:lvlJc w:val="left"/>
      <w:pPr>
        <w:tabs>
          <w:tab w:val="num" w:pos="720"/>
        </w:tabs>
        <w:ind w:left="0" w:firstLine="0"/>
      </w:pPr>
      <w:rPr>
        <w:rFonts w:hint="default"/>
      </w:rPr>
    </w:lvl>
    <w:lvl w:ilvl="8">
      <w:start w:val="1"/>
      <w:numFmt w:val="lowerRoman"/>
      <w:lvlText w:val="%9."/>
      <w:lvlJc w:val="right"/>
      <w:pPr>
        <w:tabs>
          <w:tab w:val="num" w:pos="360"/>
        </w:tabs>
        <w:ind w:left="0" w:firstLine="0"/>
      </w:pPr>
      <w:rPr>
        <w:rFonts w:hint="default"/>
      </w:rPr>
    </w:lvl>
  </w:abstractNum>
  <w:abstractNum w:abstractNumId="17">
    <w:nsid w:val="4CFA5DE0"/>
    <w:multiLevelType w:val="hybridMultilevel"/>
    <w:tmpl w:val="C330A7E2"/>
    <w:lvl w:ilvl="0" w:tplc="39225060">
      <w:start w:val="1"/>
      <w:numFmt w:val="decimal"/>
      <w:lvlText w:val="%1)"/>
      <w:lvlJc w:val="left"/>
      <w:pPr>
        <w:ind w:left="1069" w:hanging="360"/>
      </w:pPr>
      <w:rPr>
        <w:rFonts w:hint="default"/>
      </w:rPr>
    </w:lvl>
    <w:lvl w:ilvl="1" w:tplc="0C0A0019" w:tentative="1">
      <w:start w:val="1"/>
      <w:numFmt w:val="lowerLetter"/>
      <w:lvlText w:val="%2."/>
      <w:lvlJc w:val="left"/>
      <w:pPr>
        <w:ind w:left="1789" w:hanging="360"/>
      </w:pPr>
    </w:lvl>
    <w:lvl w:ilvl="2" w:tplc="0C0A001B" w:tentative="1">
      <w:start w:val="1"/>
      <w:numFmt w:val="lowerRoman"/>
      <w:lvlText w:val="%3."/>
      <w:lvlJc w:val="right"/>
      <w:pPr>
        <w:ind w:left="2509" w:hanging="180"/>
      </w:pPr>
    </w:lvl>
    <w:lvl w:ilvl="3" w:tplc="0C0A000F" w:tentative="1">
      <w:start w:val="1"/>
      <w:numFmt w:val="decimal"/>
      <w:lvlText w:val="%4."/>
      <w:lvlJc w:val="left"/>
      <w:pPr>
        <w:ind w:left="3229" w:hanging="360"/>
      </w:pPr>
    </w:lvl>
    <w:lvl w:ilvl="4" w:tplc="0C0A0019" w:tentative="1">
      <w:start w:val="1"/>
      <w:numFmt w:val="lowerLetter"/>
      <w:lvlText w:val="%5."/>
      <w:lvlJc w:val="left"/>
      <w:pPr>
        <w:ind w:left="3949" w:hanging="360"/>
      </w:pPr>
    </w:lvl>
    <w:lvl w:ilvl="5" w:tplc="0C0A001B" w:tentative="1">
      <w:start w:val="1"/>
      <w:numFmt w:val="lowerRoman"/>
      <w:lvlText w:val="%6."/>
      <w:lvlJc w:val="right"/>
      <w:pPr>
        <w:ind w:left="4669" w:hanging="180"/>
      </w:pPr>
    </w:lvl>
    <w:lvl w:ilvl="6" w:tplc="0C0A000F" w:tentative="1">
      <w:start w:val="1"/>
      <w:numFmt w:val="decimal"/>
      <w:lvlText w:val="%7."/>
      <w:lvlJc w:val="left"/>
      <w:pPr>
        <w:ind w:left="5389" w:hanging="360"/>
      </w:pPr>
    </w:lvl>
    <w:lvl w:ilvl="7" w:tplc="0C0A0019" w:tentative="1">
      <w:start w:val="1"/>
      <w:numFmt w:val="lowerLetter"/>
      <w:lvlText w:val="%8."/>
      <w:lvlJc w:val="left"/>
      <w:pPr>
        <w:ind w:left="6109" w:hanging="360"/>
      </w:pPr>
    </w:lvl>
    <w:lvl w:ilvl="8" w:tplc="0C0A001B" w:tentative="1">
      <w:start w:val="1"/>
      <w:numFmt w:val="lowerRoman"/>
      <w:lvlText w:val="%9."/>
      <w:lvlJc w:val="right"/>
      <w:pPr>
        <w:ind w:left="6829" w:hanging="180"/>
      </w:pPr>
    </w:lvl>
  </w:abstractNum>
  <w:abstractNum w:abstractNumId="18">
    <w:nsid w:val="50157AB0"/>
    <w:multiLevelType w:val="hybridMultilevel"/>
    <w:tmpl w:val="4FB676EA"/>
    <w:lvl w:ilvl="0" w:tplc="0C0A0001">
      <w:start w:val="1"/>
      <w:numFmt w:val="bullet"/>
      <w:lvlText w:val=""/>
      <w:lvlJc w:val="left"/>
      <w:pPr>
        <w:ind w:left="1429" w:hanging="360"/>
      </w:pPr>
      <w:rPr>
        <w:rFonts w:ascii="Symbol" w:hAnsi="Symbol" w:hint="default"/>
      </w:rPr>
    </w:lvl>
    <w:lvl w:ilvl="1" w:tplc="0C0A0003" w:tentative="1">
      <w:start w:val="1"/>
      <w:numFmt w:val="bullet"/>
      <w:lvlText w:val="o"/>
      <w:lvlJc w:val="left"/>
      <w:pPr>
        <w:ind w:left="2149" w:hanging="360"/>
      </w:pPr>
      <w:rPr>
        <w:rFonts w:ascii="Courier New" w:hAnsi="Courier New" w:cs="Courier New" w:hint="default"/>
      </w:rPr>
    </w:lvl>
    <w:lvl w:ilvl="2" w:tplc="0C0A0005" w:tentative="1">
      <w:start w:val="1"/>
      <w:numFmt w:val="bullet"/>
      <w:lvlText w:val=""/>
      <w:lvlJc w:val="left"/>
      <w:pPr>
        <w:ind w:left="2869" w:hanging="360"/>
      </w:pPr>
      <w:rPr>
        <w:rFonts w:ascii="Wingdings" w:hAnsi="Wingdings" w:hint="default"/>
      </w:rPr>
    </w:lvl>
    <w:lvl w:ilvl="3" w:tplc="0C0A0001" w:tentative="1">
      <w:start w:val="1"/>
      <w:numFmt w:val="bullet"/>
      <w:lvlText w:val=""/>
      <w:lvlJc w:val="left"/>
      <w:pPr>
        <w:ind w:left="3589" w:hanging="360"/>
      </w:pPr>
      <w:rPr>
        <w:rFonts w:ascii="Symbol" w:hAnsi="Symbol" w:hint="default"/>
      </w:rPr>
    </w:lvl>
    <w:lvl w:ilvl="4" w:tplc="0C0A0003" w:tentative="1">
      <w:start w:val="1"/>
      <w:numFmt w:val="bullet"/>
      <w:lvlText w:val="o"/>
      <w:lvlJc w:val="left"/>
      <w:pPr>
        <w:ind w:left="4309" w:hanging="360"/>
      </w:pPr>
      <w:rPr>
        <w:rFonts w:ascii="Courier New" w:hAnsi="Courier New" w:cs="Courier New" w:hint="default"/>
      </w:rPr>
    </w:lvl>
    <w:lvl w:ilvl="5" w:tplc="0C0A0005" w:tentative="1">
      <w:start w:val="1"/>
      <w:numFmt w:val="bullet"/>
      <w:lvlText w:val=""/>
      <w:lvlJc w:val="left"/>
      <w:pPr>
        <w:ind w:left="5029" w:hanging="360"/>
      </w:pPr>
      <w:rPr>
        <w:rFonts w:ascii="Wingdings" w:hAnsi="Wingdings" w:hint="default"/>
      </w:rPr>
    </w:lvl>
    <w:lvl w:ilvl="6" w:tplc="0C0A0001" w:tentative="1">
      <w:start w:val="1"/>
      <w:numFmt w:val="bullet"/>
      <w:lvlText w:val=""/>
      <w:lvlJc w:val="left"/>
      <w:pPr>
        <w:ind w:left="5749" w:hanging="360"/>
      </w:pPr>
      <w:rPr>
        <w:rFonts w:ascii="Symbol" w:hAnsi="Symbol" w:hint="default"/>
      </w:rPr>
    </w:lvl>
    <w:lvl w:ilvl="7" w:tplc="0C0A0003" w:tentative="1">
      <w:start w:val="1"/>
      <w:numFmt w:val="bullet"/>
      <w:lvlText w:val="o"/>
      <w:lvlJc w:val="left"/>
      <w:pPr>
        <w:ind w:left="6469" w:hanging="360"/>
      </w:pPr>
      <w:rPr>
        <w:rFonts w:ascii="Courier New" w:hAnsi="Courier New" w:cs="Courier New" w:hint="default"/>
      </w:rPr>
    </w:lvl>
    <w:lvl w:ilvl="8" w:tplc="0C0A0005" w:tentative="1">
      <w:start w:val="1"/>
      <w:numFmt w:val="bullet"/>
      <w:lvlText w:val=""/>
      <w:lvlJc w:val="left"/>
      <w:pPr>
        <w:ind w:left="7189" w:hanging="360"/>
      </w:pPr>
      <w:rPr>
        <w:rFonts w:ascii="Wingdings" w:hAnsi="Wingdings" w:hint="default"/>
      </w:rPr>
    </w:lvl>
  </w:abstractNum>
  <w:abstractNum w:abstractNumId="19">
    <w:nsid w:val="53471E70"/>
    <w:multiLevelType w:val="hybridMultilevel"/>
    <w:tmpl w:val="1B944768"/>
    <w:lvl w:ilvl="0" w:tplc="18FCC458">
      <w:start w:val="1"/>
      <w:numFmt w:val="decimal"/>
      <w:lvlText w:val="%1."/>
      <w:lvlJc w:val="left"/>
      <w:pPr>
        <w:ind w:left="927" w:hanging="360"/>
      </w:pPr>
      <w:rPr>
        <w:rFonts w:hint="default"/>
      </w:rPr>
    </w:lvl>
    <w:lvl w:ilvl="1" w:tplc="240A0019" w:tentative="1">
      <w:start w:val="1"/>
      <w:numFmt w:val="lowerLetter"/>
      <w:lvlText w:val="%2."/>
      <w:lvlJc w:val="left"/>
      <w:pPr>
        <w:ind w:left="1647" w:hanging="360"/>
      </w:pPr>
    </w:lvl>
    <w:lvl w:ilvl="2" w:tplc="240A001B" w:tentative="1">
      <w:start w:val="1"/>
      <w:numFmt w:val="lowerRoman"/>
      <w:lvlText w:val="%3."/>
      <w:lvlJc w:val="right"/>
      <w:pPr>
        <w:ind w:left="2367" w:hanging="180"/>
      </w:pPr>
    </w:lvl>
    <w:lvl w:ilvl="3" w:tplc="240A000F" w:tentative="1">
      <w:start w:val="1"/>
      <w:numFmt w:val="decimal"/>
      <w:lvlText w:val="%4."/>
      <w:lvlJc w:val="left"/>
      <w:pPr>
        <w:ind w:left="3087" w:hanging="360"/>
      </w:pPr>
    </w:lvl>
    <w:lvl w:ilvl="4" w:tplc="240A0019" w:tentative="1">
      <w:start w:val="1"/>
      <w:numFmt w:val="lowerLetter"/>
      <w:lvlText w:val="%5."/>
      <w:lvlJc w:val="left"/>
      <w:pPr>
        <w:ind w:left="3807" w:hanging="360"/>
      </w:pPr>
    </w:lvl>
    <w:lvl w:ilvl="5" w:tplc="240A001B" w:tentative="1">
      <w:start w:val="1"/>
      <w:numFmt w:val="lowerRoman"/>
      <w:lvlText w:val="%6."/>
      <w:lvlJc w:val="right"/>
      <w:pPr>
        <w:ind w:left="4527" w:hanging="180"/>
      </w:pPr>
    </w:lvl>
    <w:lvl w:ilvl="6" w:tplc="240A000F" w:tentative="1">
      <w:start w:val="1"/>
      <w:numFmt w:val="decimal"/>
      <w:lvlText w:val="%7."/>
      <w:lvlJc w:val="left"/>
      <w:pPr>
        <w:ind w:left="5247" w:hanging="360"/>
      </w:pPr>
    </w:lvl>
    <w:lvl w:ilvl="7" w:tplc="240A0019" w:tentative="1">
      <w:start w:val="1"/>
      <w:numFmt w:val="lowerLetter"/>
      <w:lvlText w:val="%8."/>
      <w:lvlJc w:val="left"/>
      <w:pPr>
        <w:ind w:left="5967" w:hanging="360"/>
      </w:pPr>
    </w:lvl>
    <w:lvl w:ilvl="8" w:tplc="240A001B" w:tentative="1">
      <w:start w:val="1"/>
      <w:numFmt w:val="lowerRoman"/>
      <w:lvlText w:val="%9."/>
      <w:lvlJc w:val="right"/>
      <w:pPr>
        <w:ind w:left="6687" w:hanging="180"/>
      </w:pPr>
    </w:lvl>
  </w:abstractNum>
  <w:abstractNum w:abstractNumId="20">
    <w:nsid w:val="567F0E84"/>
    <w:multiLevelType w:val="hybridMultilevel"/>
    <w:tmpl w:val="00A8A7B0"/>
    <w:lvl w:ilvl="0" w:tplc="0C0A0001">
      <w:start w:val="1"/>
      <w:numFmt w:val="bullet"/>
      <w:lvlText w:val=""/>
      <w:lvlJc w:val="left"/>
      <w:pPr>
        <w:ind w:left="1429" w:hanging="360"/>
      </w:pPr>
      <w:rPr>
        <w:rFonts w:ascii="Symbol" w:hAnsi="Symbol" w:hint="default"/>
      </w:rPr>
    </w:lvl>
    <w:lvl w:ilvl="1" w:tplc="0C0A0003" w:tentative="1">
      <w:start w:val="1"/>
      <w:numFmt w:val="bullet"/>
      <w:lvlText w:val="o"/>
      <w:lvlJc w:val="left"/>
      <w:pPr>
        <w:ind w:left="2149" w:hanging="360"/>
      </w:pPr>
      <w:rPr>
        <w:rFonts w:ascii="Courier New" w:hAnsi="Courier New" w:cs="Courier New" w:hint="default"/>
      </w:rPr>
    </w:lvl>
    <w:lvl w:ilvl="2" w:tplc="0C0A0005" w:tentative="1">
      <w:start w:val="1"/>
      <w:numFmt w:val="bullet"/>
      <w:lvlText w:val=""/>
      <w:lvlJc w:val="left"/>
      <w:pPr>
        <w:ind w:left="2869" w:hanging="360"/>
      </w:pPr>
      <w:rPr>
        <w:rFonts w:ascii="Wingdings" w:hAnsi="Wingdings" w:hint="default"/>
      </w:rPr>
    </w:lvl>
    <w:lvl w:ilvl="3" w:tplc="0C0A0001" w:tentative="1">
      <w:start w:val="1"/>
      <w:numFmt w:val="bullet"/>
      <w:lvlText w:val=""/>
      <w:lvlJc w:val="left"/>
      <w:pPr>
        <w:ind w:left="3589" w:hanging="360"/>
      </w:pPr>
      <w:rPr>
        <w:rFonts w:ascii="Symbol" w:hAnsi="Symbol" w:hint="default"/>
      </w:rPr>
    </w:lvl>
    <w:lvl w:ilvl="4" w:tplc="0C0A0003" w:tentative="1">
      <w:start w:val="1"/>
      <w:numFmt w:val="bullet"/>
      <w:lvlText w:val="o"/>
      <w:lvlJc w:val="left"/>
      <w:pPr>
        <w:ind w:left="4309" w:hanging="360"/>
      </w:pPr>
      <w:rPr>
        <w:rFonts w:ascii="Courier New" w:hAnsi="Courier New" w:cs="Courier New" w:hint="default"/>
      </w:rPr>
    </w:lvl>
    <w:lvl w:ilvl="5" w:tplc="0C0A0005" w:tentative="1">
      <w:start w:val="1"/>
      <w:numFmt w:val="bullet"/>
      <w:lvlText w:val=""/>
      <w:lvlJc w:val="left"/>
      <w:pPr>
        <w:ind w:left="5029" w:hanging="360"/>
      </w:pPr>
      <w:rPr>
        <w:rFonts w:ascii="Wingdings" w:hAnsi="Wingdings" w:hint="default"/>
      </w:rPr>
    </w:lvl>
    <w:lvl w:ilvl="6" w:tplc="0C0A0001" w:tentative="1">
      <w:start w:val="1"/>
      <w:numFmt w:val="bullet"/>
      <w:lvlText w:val=""/>
      <w:lvlJc w:val="left"/>
      <w:pPr>
        <w:ind w:left="5749" w:hanging="360"/>
      </w:pPr>
      <w:rPr>
        <w:rFonts w:ascii="Symbol" w:hAnsi="Symbol" w:hint="default"/>
      </w:rPr>
    </w:lvl>
    <w:lvl w:ilvl="7" w:tplc="0C0A0003" w:tentative="1">
      <w:start w:val="1"/>
      <w:numFmt w:val="bullet"/>
      <w:lvlText w:val="o"/>
      <w:lvlJc w:val="left"/>
      <w:pPr>
        <w:ind w:left="6469" w:hanging="360"/>
      </w:pPr>
      <w:rPr>
        <w:rFonts w:ascii="Courier New" w:hAnsi="Courier New" w:cs="Courier New" w:hint="default"/>
      </w:rPr>
    </w:lvl>
    <w:lvl w:ilvl="8" w:tplc="0C0A0005" w:tentative="1">
      <w:start w:val="1"/>
      <w:numFmt w:val="bullet"/>
      <w:lvlText w:val=""/>
      <w:lvlJc w:val="left"/>
      <w:pPr>
        <w:ind w:left="7189" w:hanging="360"/>
      </w:pPr>
      <w:rPr>
        <w:rFonts w:ascii="Wingdings" w:hAnsi="Wingdings" w:hint="default"/>
      </w:rPr>
    </w:lvl>
  </w:abstractNum>
  <w:abstractNum w:abstractNumId="21">
    <w:nsid w:val="5B701BA2"/>
    <w:multiLevelType w:val="hybridMultilevel"/>
    <w:tmpl w:val="7BAE5532"/>
    <w:lvl w:ilvl="0" w:tplc="FDAEACCC">
      <w:start w:val="1"/>
      <w:numFmt w:val="decimal"/>
      <w:lvlText w:val="%1)"/>
      <w:lvlJc w:val="left"/>
      <w:pPr>
        <w:ind w:left="720" w:hanging="360"/>
      </w:pPr>
      <w:rPr>
        <w:rFonts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2">
    <w:nsid w:val="5DD341AC"/>
    <w:multiLevelType w:val="hybridMultilevel"/>
    <w:tmpl w:val="5240E934"/>
    <w:lvl w:ilvl="0" w:tplc="0C0A000F">
      <w:start w:val="1"/>
      <w:numFmt w:val="decimal"/>
      <w:lvlText w:val="%1."/>
      <w:lvlJc w:val="left"/>
      <w:pPr>
        <w:ind w:left="6948" w:hanging="360"/>
      </w:pPr>
      <w:rPr>
        <w:rFonts w:hint="default"/>
      </w:rPr>
    </w:lvl>
    <w:lvl w:ilvl="1" w:tplc="0C0A0019">
      <w:start w:val="1"/>
      <w:numFmt w:val="lowerLetter"/>
      <w:lvlText w:val="%2."/>
      <w:lvlJc w:val="left"/>
      <w:pPr>
        <w:ind w:left="7668" w:hanging="360"/>
      </w:pPr>
    </w:lvl>
    <w:lvl w:ilvl="2" w:tplc="0C0A001B" w:tentative="1">
      <w:start w:val="1"/>
      <w:numFmt w:val="lowerRoman"/>
      <w:lvlText w:val="%3."/>
      <w:lvlJc w:val="right"/>
      <w:pPr>
        <w:ind w:left="8388" w:hanging="180"/>
      </w:pPr>
    </w:lvl>
    <w:lvl w:ilvl="3" w:tplc="0C0A000F" w:tentative="1">
      <w:start w:val="1"/>
      <w:numFmt w:val="decimal"/>
      <w:lvlText w:val="%4."/>
      <w:lvlJc w:val="left"/>
      <w:pPr>
        <w:ind w:left="9108" w:hanging="360"/>
      </w:pPr>
    </w:lvl>
    <w:lvl w:ilvl="4" w:tplc="0C0A0019" w:tentative="1">
      <w:start w:val="1"/>
      <w:numFmt w:val="lowerLetter"/>
      <w:lvlText w:val="%5."/>
      <w:lvlJc w:val="left"/>
      <w:pPr>
        <w:ind w:left="9828" w:hanging="360"/>
      </w:pPr>
    </w:lvl>
    <w:lvl w:ilvl="5" w:tplc="0C0A001B" w:tentative="1">
      <w:start w:val="1"/>
      <w:numFmt w:val="lowerRoman"/>
      <w:lvlText w:val="%6."/>
      <w:lvlJc w:val="right"/>
      <w:pPr>
        <w:ind w:left="10548" w:hanging="180"/>
      </w:pPr>
    </w:lvl>
    <w:lvl w:ilvl="6" w:tplc="0C0A000F" w:tentative="1">
      <w:start w:val="1"/>
      <w:numFmt w:val="decimal"/>
      <w:lvlText w:val="%7."/>
      <w:lvlJc w:val="left"/>
      <w:pPr>
        <w:ind w:left="11268" w:hanging="360"/>
      </w:pPr>
    </w:lvl>
    <w:lvl w:ilvl="7" w:tplc="0C0A0019" w:tentative="1">
      <w:start w:val="1"/>
      <w:numFmt w:val="lowerLetter"/>
      <w:lvlText w:val="%8."/>
      <w:lvlJc w:val="left"/>
      <w:pPr>
        <w:ind w:left="11988" w:hanging="360"/>
      </w:pPr>
    </w:lvl>
    <w:lvl w:ilvl="8" w:tplc="0C0A001B" w:tentative="1">
      <w:start w:val="1"/>
      <w:numFmt w:val="lowerRoman"/>
      <w:lvlText w:val="%9."/>
      <w:lvlJc w:val="right"/>
      <w:pPr>
        <w:ind w:left="12708" w:hanging="180"/>
      </w:pPr>
    </w:lvl>
  </w:abstractNum>
  <w:abstractNum w:abstractNumId="23">
    <w:nsid w:val="5E510510"/>
    <w:multiLevelType w:val="hybridMultilevel"/>
    <w:tmpl w:val="0BE8FE34"/>
    <w:lvl w:ilvl="0" w:tplc="BA30737E">
      <w:start w:val="1"/>
      <w:numFmt w:val="decimal"/>
      <w:lvlText w:val="%1."/>
      <w:lvlJc w:val="left"/>
      <w:pPr>
        <w:ind w:left="1080" w:hanging="360"/>
      </w:pPr>
      <w:rPr>
        <w:rFonts w:hint="default"/>
      </w:r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24">
    <w:nsid w:val="62CD0C41"/>
    <w:multiLevelType w:val="hybridMultilevel"/>
    <w:tmpl w:val="69D48B74"/>
    <w:lvl w:ilvl="0" w:tplc="0C0A0017">
      <w:start w:val="1"/>
      <w:numFmt w:val="lowerLetter"/>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25">
    <w:nsid w:val="66B75226"/>
    <w:multiLevelType w:val="hybridMultilevel"/>
    <w:tmpl w:val="90708064"/>
    <w:lvl w:ilvl="0" w:tplc="240A0001">
      <w:start w:val="1"/>
      <w:numFmt w:val="bullet"/>
      <w:lvlText w:val=""/>
      <w:lvlJc w:val="left"/>
      <w:pPr>
        <w:ind w:left="1287" w:hanging="360"/>
      </w:pPr>
      <w:rPr>
        <w:rFonts w:ascii="Symbol" w:hAnsi="Symbol" w:hint="default"/>
      </w:rPr>
    </w:lvl>
    <w:lvl w:ilvl="1" w:tplc="240A0003" w:tentative="1">
      <w:start w:val="1"/>
      <w:numFmt w:val="bullet"/>
      <w:lvlText w:val="o"/>
      <w:lvlJc w:val="left"/>
      <w:pPr>
        <w:ind w:left="2007" w:hanging="360"/>
      </w:pPr>
      <w:rPr>
        <w:rFonts w:ascii="Courier New" w:hAnsi="Courier New" w:cs="Courier New" w:hint="default"/>
      </w:rPr>
    </w:lvl>
    <w:lvl w:ilvl="2" w:tplc="240A0005" w:tentative="1">
      <w:start w:val="1"/>
      <w:numFmt w:val="bullet"/>
      <w:lvlText w:val=""/>
      <w:lvlJc w:val="left"/>
      <w:pPr>
        <w:ind w:left="2727" w:hanging="360"/>
      </w:pPr>
      <w:rPr>
        <w:rFonts w:ascii="Wingdings" w:hAnsi="Wingdings" w:hint="default"/>
      </w:rPr>
    </w:lvl>
    <w:lvl w:ilvl="3" w:tplc="240A0001" w:tentative="1">
      <w:start w:val="1"/>
      <w:numFmt w:val="bullet"/>
      <w:lvlText w:val=""/>
      <w:lvlJc w:val="left"/>
      <w:pPr>
        <w:ind w:left="3447" w:hanging="360"/>
      </w:pPr>
      <w:rPr>
        <w:rFonts w:ascii="Symbol" w:hAnsi="Symbol" w:hint="default"/>
      </w:rPr>
    </w:lvl>
    <w:lvl w:ilvl="4" w:tplc="240A0003" w:tentative="1">
      <w:start w:val="1"/>
      <w:numFmt w:val="bullet"/>
      <w:lvlText w:val="o"/>
      <w:lvlJc w:val="left"/>
      <w:pPr>
        <w:ind w:left="4167" w:hanging="360"/>
      </w:pPr>
      <w:rPr>
        <w:rFonts w:ascii="Courier New" w:hAnsi="Courier New" w:cs="Courier New" w:hint="default"/>
      </w:rPr>
    </w:lvl>
    <w:lvl w:ilvl="5" w:tplc="240A0005" w:tentative="1">
      <w:start w:val="1"/>
      <w:numFmt w:val="bullet"/>
      <w:lvlText w:val=""/>
      <w:lvlJc w:val="left"/>
      <w:pPr>
        <w:ind w:left="4887" w:hanging="360"/>
      </w:pPr>
      <w:rPr>
        <w:rFonts w:ascii="Wingdings" w:hAnsi="Wingdings" w:hint="default"/>
      </w:rPr>
    </w:lvl>
    <w:lvl w:ilvl="6" w:tplc="240A0001" w:tentative="1">
      <w:start w:val="1"/>
      <w:numFmt w:val="bullet"/>
      <w:lvlText w:val=""/>
      <w:lvlJc w:val="left"/>
      <w:pPr>
        <w:ind w:left="5607" w:hanging="360"/>
      </w:pPr>
      <w:rPr>
        <w:rFonts w:ascii="Symbol" w:hAnsi="Symbol" w:hint="default"/>
      </w:rPr>
    </w:lvl>
    <w:lvl w:ilvl="7" w:tplc="240A0003" w:tentative="1">
      <w:start w:val="1"/>
      <w:numFmt w:val="bullet"/>
      <w:lvlText w:val="o"/>
      <w:lvlJc w:val="left"/>
      <w:pPr>
        <w:ind w:left="6327" w:hanging="360"/>
      </w:pPr>
      <w:rPr>
        <w:rFonts w:ascii="Courier New" w:hAnsi="Courier New" w:cs="Courier New" w:hint="default"/>
      </w:rPr>
    </w:lvl>
    <w:lvl w:ilvl="8" w:tplc="240A0005" w:tentative="1">
      <w:start w:val="1"/>
      <w:numFmt w:val="bullet"/>
      <w:lvlText w:val=""/>
      <w:lvlJc w:val="left"/>
      <w:pPr>
        <w:ind w:left="7047" w:hanging="360"/>
      </w:pPr>
      <w:rPr>
        <w:rFonts w:ascii="Wingdings" w:hAnsi="Wingdings" w:hint="default"/>
      </w:rPr>
    </w:lvl>
  </w:abstractNum>
  <w:abstractNum w:abstractNumId="26">
    <w:nsid w:val="694E1C6E"/>
    <w:multiLevelType w:val="hybridMultilevel"/>
    <w:tmpl w:val="DE82D5EA"/>
    <w:lvl w:ilvl="0" w:tplc="EE3C1AF6">
      <w:start w:val="13"/>
      <w:numFmt w:val="lowerLetter"/>
      <w:lvlText w:val="%1)"/>
      <w:lvlJc w:val="left"/>
      <w:pPr>
        <w:ind w:left="36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7">
    <w:nsid w:val="6E6A2EBE"/>
    <w:multiLevelType w:val="hybridMultilevel"/>
    <w:tmpl w:val="FC0AC5C2"/>
    <w:lvl w:ilvl="0" w:tplc="4828B2A6">
      <w:start w:val="1"/>
      <w:numFmt w:val="upperRoman"/>
      <w:lvlText w:val="%1."/>
      <w:lvlJc w:val="left"/>
      <w:pPr>
        <w:tabs>
          <w:tab w:val="num" w:pos="720"/>
        </w:tabs>
        <w:ind w:left="720" w:hanging="720"/>
      </w:pPr>
      <w:rPr>
        <w:rFonts w:hint="default"/>
      </w:rPr>
    </w:lvl>
    <w:lvl w:ilvl="1" w:tplc="0C0A0019" w:tentative="1">
      <w:start w:val="1"/>
      <w:numFmt w:val="lowerLetter"/>
      <w:lvlText w:val="%2."/>
      <w:lvlJc w:val="left"/>
      <w:pPr>
        <w:tabs>
          <w:tab w:val="num" w:pos="1080"/>
        </w:tabs>
        <w:ind w:left="1080" w:hanging="360"/>
      </w:pPr>
    </w:lvl>
    <w:lvl w:ilvl="2" w:tplc="0C0A001B" w:tentative="1">
      <w:start w:val="1"/>
      <w:numFmt w:val="lowerRoman"/>
      <w:lvlText w:val="%3."/>
      <w:lvlJc w:val="right"/>
      <w:pPr>
        <w:tabs>
          <w:tab w:val="num" w:pos="1800"/>
        </w:tabs>
        <w:ind w:left="1800" w:hanging="180"/>
      </w:pPr>
    </w:lvl>
    <w:lvl w:ilvl="3" w:tplc="0C0A000F" w:tentative="1">
      <w:start w:val="1"/>
      <w:numFmt w:val="decimal"/>
      <w:lvlText w:val="%4."/>
      <w:lvlJc w:val="left"/>
      <w:pPr>
        <w:tabs>
          <w:tab w:val="num" w:pos="2520"/>
        </w:tabs>
        <w:ind w:left="2520" w:hanging="360"/>
      </w:pPr>
    </w:lvl>
    <w:lvl w:ilvl="4" w:tplc="0C0A0019" w:tentative="1">
      <w:start w:val="1"/>
      <w:numFmt w:val="lowerLetter"/>
      <w:lvlText w:val="%5."/>
      <w:lvlJc w:val="left"/>
      <w:pPr>
        <w:tabs>
          <w:tab w:val="num" w:pos="3240"/>
        </w:tabs>
        <w:ind w:left="3240" w:hanging="360"/>
      </w:pPr>
    </w:lvl>
    <w:lvl w:ilvl="5" w:tplc="0C0A001B" w:tentative="1">
      <w:start w:val="1"/>
      <w:numFmt w:val="lowerRoman"/>
      <w:lvlText w:val="%6."/>
      <w:lvlJc w:val="right"/>
      <w:pPr>
        <w:tabs>
          <w:tab w:val="num" w:pos="3960"/>
        </w:tabs>
        <w:ind w:left="3960" w:hanging="180"/>
      </w:pPr>
    </w:lvl>
    <w:lvl w:ilvl="6" w:tplc="0C0A000F" w:tentative="1">
      <w:start w:val="1"/>
      <w:numFmt w:val="decimal"/>
      <w:lvlText w:val="%7."/>
      <w:lvlJc w:val="left"/>
      <w:pPr>
        <w:tabs>
          <w:tab w:val="num" w:pos="4680"/>
        </w:tabs>
        <w:ind w:left="4680" w:hanging="360"/>
      </w:pPr>
    </w:lvl>
    <w:lvl w:ilvl="7" w:tplc="0C0A0019" w:tentative="1">
      <w:start w:val="1"/>
      <w:numFmt w:val="lowerLetter"/>
      <w:lvlText w:val="%8."/>
      <w:lvlJc w:val="left"/>
      <w:pPr>
        <w:tabs>
          <w:tab w:val="num" w:pos="5400"/>
        </w:tabs>
        <w:ind w:left="5400" w:hanging="360"/>
      </w:pPr>
    </w:lvl>
    <w:lvl w:ilvl="8" w:tplc="0C0A001B" w:tentative="1">
      <w:start w:val="1"/>
      <w:numFmt w:val="lowerRoman"/>
      <w:lvlText w:val="%9."/>
      <w:lvlJc w:val="right"/>
      <w:pPr>
        <w:tabs>
          <w:tab w:val="num" w:pos="6120"/>
        </w:tabs>
        <w:ind w:left="6120" w:hanging="180"/>
      </w:pPr>
    </w:lvl>
  </w:abstractNum>
  <w:abstractNum w:abstractNumId="28">
    <w:nsid w:val="6F420DC0"/>
    <w:multiLevelType w:val="hybridMultilevel"/>
    <w:tmpl w:val="6C24184C"/>
    <w:lvl w:ilvl="0" w:tplc="0C0A0017">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9">
    <w:nsid w:val="721843B0"/>
    <w:multiLevelType w:val="hybridMultilevel"/>
    <w:tmpl w:val="436CD572"/>
    <w:lvl w:ilvl="0" w:tplc="0C0A000F">
      <w:start w:val="1"/>
      <w:numFmt w:val="decimal"/>
      <w:lvlText w:val="%1."/>
      <w:lvlJc w:val="left"/>
      <w:pPr>
        <w:ind w:left="720" w:hanging="360"/>
      </w:pPr>
      <w:rPr>
        <w:rFonts w:hint="default"/>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0">
    <w:nsid w:val="72DA5AEB"/>
    <w:multiLevelType w:val="hybridMultilevel"/>
    <w:tmpl w:val="71A415B2"/>
    <w:lvl w:ilvl="0" w:tplc="1208248C">
      <w:start w:val="1"/>
      <w:numFmt w:val="lowerLetter"/>
      <w:lvlText w:val="%1)"/>
      <w:lvlJc w:val="left"/>
      <w:pPr>
        <w:ind w:left="927" w:hanging="360"/>
      </w:pPr>
      <w:rPr>
        <w:rFonts w:hint="default"/>
      </w:rPr>
    </w:lvl>
    <w:lvl w:ilvl="1" w:tplc="0C0A0019" w:tentative="1">
      <w:start w:val="1"/>
      <w:numFmt w:val="lowerLetter"/>
      <w:lvlText w:val="%2."/>
      <w:lvlJc w:val="left"/>
      <w:pPr>
        <w:ind w:left="1647" w:hanging="360"/>
      </w:pPr>
    </w:lvl>
    <w:lvl w:ilvl="2" w:tplc="0C0A001B" w:tentative="1">
      <w:start w:val="1"/>
      <w:numFmt w:val="lowerRoman"/>
      <w:lvlText w:val="%3."/>
      <w:lvlJc w:val="right"/>
      <w:pPr>
        <w:ind w:left="2367" w:hanging="180"/>
      </w:pPr>
    </w:lvl>
    <w:lvl w:ilvl="3" w:tplc="0C0A000F" w:tentative="1">
      <w:start w:val="1"/>
      <w:numFmt w:val="decimal"/>
      <w:lvlText w:val="%4."/>
      <w:lvlJc w:val="left"/>
      <w:pPr>
        <w:ind w:left="3087" w:hanging="360"/>
      </w:pPr>
    </w:lvl>
    <w:lvl w:ilvl="4" w:tplc="0C0A0019" w:tentative="1">
      <w:start w:val="1"/>
      <w:numFmt w:val="lowerLetter"/>
      <w:lvlText w:val="%5."/>
      <w:lvlJc w:val="left"/>
      <w:pPr>
        <w:ind w:left="3807" w:hanging="360"/>
      </w:pPr>
    </w:lvl>
    <w:lvl w:ilvl="5" w:tplc="0C0A001B" w:tentative="1">
      <w:start w:val="1"/>
      <w:numFmt w:val="lowerRoman"/>
      <w:lvlText w:val="%6."/>
      <w:lvlJc w:val="right"/>
      <w:pPr>
        <w:ind w:left="4527" w:hanging="180"/>
      </w:pPr>
    </w:lvl>
    <w:lvl w:ilvl="6" w:tplc="0C0A000F" w:tentative="1">
      <w:start w:val="1"/>
      <w:numFmt w:val="decimal"/>
      <w:lvlText w:val="%7."/>
      <w:lvlJc w:val="left"/>
      <w:pPr>
        <w:ind w:left="5247" w:hanging="360"/>
      </w:pPr>
    </w:lvl>
    <w:lvl w:ilvl="7" w:tplc="0C0A0019" w:tentative="1">
      <w:start w:val="1"/>
      <w:numFmt w:val="lowerLetter"/>
      <w:lvlText w:val="%8."/>
      <w:lvlJc w:val="left"/>
      <w:pPr>
        <w:ind w:left="5967" w:hanging="360"/>
      </w:pPr>
    </w:lvl>
    <w:lvl w:ilvl="8" w:tplc="0C0A001B" w:tentative="1">
      <w:start w:val="1"/>
      <w:numFmt w:val="lowerRoman"/>
      <w:lvlText w:val="%9."/>
      <w:lvlJc w:val="right"/>
      <w:pPr>
        <w:ind w:left="6687" w:hanging="180"/>
      </w:pPr>
    </w:lvl>
  </w:abstractNum>
  <w:abstractNum w:abstractNumId="31">
    <w:nsid w:val="743D0631"/>
    <w:multiLevelType w:val="hybridMultilevel"/>
    <w:tmpl w:val="21D69876"/>
    <w:lvl w:ilvl="0" w:tplc="0D502D32">
      <w:numFmt w:val="bullet"/>
      <w:lvlText w:val="•"/>
      <w:lvlJc w:val="left"/>
      <w:pPr>
        <w:ind w:left="927" w:hanging="360"/>
      </w:pPr>
      <w:rPr>
        <w:rFonts w:ascii="Bookman Old Style" w:eastAsia="Times New Roman" w:hAnsi="Bookman Old Style" w:cs="Times New Roman" w:hint="default"/>
      </w:rPr>
    </w:lvl>
    <w:lvl w:ilvl="1" w:tplc="240A0003" w:tentative="1">
      <w:start w:val="1"/>
      <w:numFmt w:val="bullet"/>
      <w:lvlText w:val="o"/>
      <w:lvlJc w:val="left"/>
      <w:pPr>
        <w:ind w:left="1647" w:hanging="360"/>
      </w:pPr>
      <w:rPr>
        <w:rFonts w:ascii="Courier New" w:hAnsi="Courier New" w:cs="Courier New" w:hint="default"/>
      </w:rPr>
    </w:lvl>
    <w:lvl w:ilvl="2" w:tplc="240A0005" w:tentative="1">
      <w:start w:val="1"/>
      <w:numFmt w:val="bullet"/>
      <w:lvlText w:val=""/>
      <w:lvlJc w:val="left"/>
      <w:pPr>
        <w:ind w:left="2367" w:hanging="360"/>
      </w:pPr>
      <w:rPr>
        <w:rFonts w:ascii="Wingdings" w:hAnsi="Wingdings" w:hint="default"/>
      </w:rPr>
    </w:lvl>
    <w:lvl w:ilvl="3" w:tplc="240A0001" w:tentative="1">
      <w:start w:val="1"/>
      <w:numFmt w:val="bullet"/>
      <w:lvlText w:val=""/>
      <w:lvlJc w:val="left"/>
      <w:pPr>
        <w:ind w:left="3087" w:hanging="360"/>
      </w:pPr>
      <w:rPr>
        <w:rFonts w:ascii="Symbol" w:hAnsi="Symbol" w:hint="default"/>
      </w:rPr>
    </w:lvl>
    <w:lvl w:ilvl="4" w:tplc="240A0003" w:tentative="1">
      <w:start w:val="1"/>
      <w:numFmt w:val="bullet"/>
      <w:lvlText w:val="o"/>
      <w:lvlJc w:val="left"/>
      <w:pPr>
        <w:ind w:left="3807" w:hanging="360"/>
      </w:pPr>
      <w:rPr>
        <w:rFonts w:ascii="Courier New" w:hAnsi="Courier New" w:cs="Courier New" w:hint="default"/>
      </w:rPr>
    </w:lvl>
    <w:lvl w:ilvl="5" w:tplc="240A0005" w:tentative="1">
      <w:start w:val="1"/>
      <w:numFmt w:val="bullet"/>
      <w:lvlText w:val=""/>
      <w:lvlJc w:val="left"/>
      <w:pPr>
        <w:ind w:left="4527" w:hanging="360"/>
      </w:pPr>
      <w:rPr>
        <w:rFonts w:ascii="Wingdings" w:hAnsi="Wingdings" w:hint="default"/>
      </w:rPr>
    </w:lvl>
    <w:lvl w:ilvl="6" w:tplc="240A0001" w:tentative="1">
      <w:start w:val="1"/>
      <w:numFmt w:val="bullet"/>
      <w:lvlText w:val=""/>
      <w:lvlJc w:val="left"/>
      <w:pPr>
        <w:ind w:left="5247" w:hanging="360"/>
      </w:pPr>
      <w:rPr>
        <w:rFonts w:ascii="Symbol" w:hAnsi="Symbol" w:hint="default"/>
      </w:rPr>
    </w:lvl>
    <w:lvl w:ilvl="7" w:tplc="240A0003" w:tentative="1">
      <w:start w:val="1"/>
      <w:numFmt w:val="bullet"/>
      <w:lvlText w:val="o"/>
      <w:lvlJc w:val="left"/>
      <w:pPr>
        <w:ind w:left="5967" w:hanging="360"/>
      </w:pPr>
      <w:rPr>
        <w:rFonts w:ascii="Courier New" w:hAnsi="Courier New" w:cs="Courier New" w:hint="default"/>
      </w:rPr>
    </w:lvl>
    <w:lvl w:ilvl="8" w:tplc="240A0005" w:tentative="1">
      <w:start w:val="1"/>
      <w:numFmt w:val="bullet"/>
      <w:lvlText w:val=""/>
      <w:lvlJc w:val="left"/>
      <w:pPr>
        <w:ind w:left="6687" w:hanging="360"/>
      </w:pPr>
      <w:rPr>
        <w:rFonts w:ascii="Wingdings" w:hAnsi="Wingdings" w:hint="default"/>
      </w:rPr>
    </w:lvl>
  </w:abstractNum>
  <w:abstractNum w:abstractNumId="32">
    <w:nsid w:val="7AF601F8"/>
    <w:multiLevelType w:val="hybridMultilevel"/>
    <w:tmpl w:val="51F81D26"/>
    <w:lvl w:ilvl="0" w:tplc="0C0A0017">
      <w:start w:val="1"/>
      <w:numFmt w:val="lowerLetter"/>
      <w:lvlText w:val="%1)"/>
      <w:lvlJc w:val="left"/>
      <w:pPr>
        <w:ind w:left="1068" w:hanging="360"/>
      </w:pPr>
      <w:rPr>
        <w:rFonts w:hint="default"/>
        <w:color w:val="auto"/>
      </w:rPr>
    </w:lvl>
    <w:lvl w:ilvl="1" w:tplc="0C0A0019" w:tentative="1">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abstractNum w:abstractNumId="33">
    <w:nsid w:val="7B5D0067"/>
    <w:multiLevelType w:val="hybridMultilevel"/>
    <w:tmpl w:val="60AAD72A"/>
    <w:lvl w:ilvl="0" w:tplc="0C0A0017">
      <w:start w:val="1"/>
      <w:numFmt w:val="lowerLetter"/>
      <w:lvlText w:val="%1)"/>
      <w:lvlJc w:val="left"/>
      <w:pPr>
        <w:ind w:left="720" w:hanging="360"/>
      </w:pPr>
      <w:rPr>
        <w:rFont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4">
    <w:nsid w:val="7BD62479"/>
    <w:multiLevelType w:val="hybridMultilevel"/>
    <w:tmpl w:val="58787B14"/>
    <w:lvl w:ilvl="0" w:tplc="DC567C48">
      <w:start w:val="1"/>
      <w:numFmt w:val="decimal"/>
      <w:lvlText w:val="%1."/>
      <w:lvlJc w:val="left"/>
      <w:pPr>
        <w:ind w:left="1080" w:hanging="360"/>
      </w:pPr>
      <w:rPr>
        <w:rFonts w:hint="default"/>
      </w:r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35">
    <w:nsid w:val="7C730D6B"/>
    <w:multiLevelType w:val="hybridMultilevel"/>
    <w:tmpl w:val="E70E8894"/>
    <w:lvl w:ilvl="0" w:tplc="2D625B10">
      <w:start w:val="1"/>
      <w:numFmt w:val="decimal"/>
      <w:lvlText w:val="%1."/>
      <w:lvlJc w:val="left"/>
      <w:pPr>
        <w:ind w:left="1069" w:hanging="360"/>
      </w:pPr>
      <w:rPr>
        <w:rFonts w:hint="default"/>
      </w:rPr>
    </w:lvl>
    <w:lvl w:ilvl="1" w:tplc="240A0019" w:tentative="1">
      <w:start w:val="1"/>
      <w:numFmt w:val="lowerLetter"/>
      <w:lvlText w:val="%2."/>
      <w:lvlJc w:val="left"/>
      <w:pPr>
        <w:ind w:left="1789" w:hanging="360"/>
      </w:pPr>
    </w:lvl>
    <w:lvl w:ilvl="2" w:tplc="240A001B" w:tentative="1">
      <w:start w:val="1"/>
      <w:numFmt w:val="lowerRoman"/>
      <w:lvlText w:val="%3."/>
      <w:lvlJc w:val="right"/>
      <w:pPr>
        <w:ind w:left="2509" w:hanging="180"/>
      </w:pPr>
    </w:lvl>
    <w:lvl w:ilvl="3" w:tplc="240A000F" w:tentative="1">
      <w:start w:val="1"/>
      <w:numFmt w:val="decimal"/>
      <w:lvlText w:val="%4."/>
      <w:lvlJc w:val="left"/>
      <w:pPr>
        <w:ind w:left="3229" w:hanging="360"/>
      </w:pPr>
    </w:lvl>
    <w:lvl w:ilvl="4" w:tplc="240A0019" w:tentative="1">
      <w:start w:val="1"/>
      <w:numFmt w:val="lowerLetter"/>
      <w:lvlText w:val="%5."/>
      <w:lvlJc w:val="left"/>
      <w:pPr>
        <w:ind w:left="3949" w:hanging="360"/>
      </w:pPr>
    </w:lvl>
    <w:lvl w:ilvl="5" w:tplc="240A001B" w:tentative="1">
      <w:start w:val="1"/>
      <w:numFmt w:val="lowerRoman"/>
      <w:lvlText w:val="%6."/>
      <w:lvlJc w:val="right"/>
      <w:pPr>
        <w:ind w:left="4669" w:hanging="180"/>
      </w:pPr>
    </w:lvl>
    <w:lvl w:ilvl="6" w:tplc="240A000F" w:tentative="1">
      <w:start w:val="1"/>
      <w:numFmt w:val="decimal"/>
      <w:lvlText w:val="%7."/>
      <w:lvlJc w:val="left"/>
      <w:pPr>
        <w:ind w:left="5389" w:hanging="360"/>
      </w:pPr>
    </w:lvl>
    <w:lvl w:ilvl="7" w:tplc="240A0019" w:tentative="1">
      <w:start w:val="1"/>
      <w:numFmt w:val="lowerLetter"/>
      <w:lvlText w:val="%8."/>
      <w:lvlJc w:val="left"/>
      <w:pPr>
        <w:ind w:left="6109" w:hanging="360"/>
      </w:pPr>
    </w:lvl>
    <w:lvl w:ilvl="8" w:tplc="240A001B" w:tentative="1">
      <w:start w:val="1"/>
      <w:numFmt w:val="lowerRoman"/>
      <w:lvlText w:val="%9."/>
      <w:lvlJc w:val="right"/>
      <w:pPr>
        <w:ind w:left="6829" w:hanging="180"/>
      </w:pPr>
    </w:lvl>
  </w:abstractNum>
  <w:num w:numId="1">
    <w:abstractNumId w:val="14"/>
  </w:num>
  <w:num w:numId="2">
    <w:abstractNumId w:val="4"/>
  </w:num>
  <w:num w:numId="3">
    <w:abstractNumId w:val="32"/>
  </w:num>
  <w:num w:numId="4">
    <w:abstractNumId w:val="8"/>
  </w:num>
  <w:num w:numId="5">
    <w:abstractNumId w:val="21"/>
  </w:num>
  <w:num w:numId="6">
    <w:abstractNumId w:val="2"/>
  </w:num>
  <w:num w:numId="7">
    <w:abstractNumId w:val="1"/>
  </w:num>
  <w:num w:numId="8">
    <w:abstractNumId w:val="24"/>
  </w:num>
  <w:num w:numId="9">
    <w:abstractNumId w:val="23"/>
  </w:num>
  <w:num w:numId="10">
    <w:abstractNumId w:val="15"/>
  </w:num>
  <w:num w:numId="11">
    <w:abstractNumId w:val="33"/>
  </w:num>
  <w:num w:numId="12">
    <w:abstractNumId w:val="28"/>
  </w:num>
  <w:num w:numId="13">
    <w:abstractNumId w:val="10"/>
  </w:num>
  <w:num w:numId="14">
    <w:abstractNumId w:val="0"/>
  </w:num>
  <w:num w:numId="15">
    <w:abstractNumId w:val="12"/>
  </w:num>
  <w:num w:numId="16">
    <w:abstractNumId w:val="16"/>
  </w:num>
  <w:num w:numId="17">
    <w:abstractNumId w:val="6"/>
  </w:num>
  <w:num w:numId="18">
    <w:abstractNumId w:val="27"/>
  </w:num>
  <w:num w:numId="19">
    <w:abstractNumId w:val="29"/>
  </w:num>
  <w:num w:numId="20">
    <w:abstractNumId w:val="7"/>
  </w:num>
  <w:num w:numId="21">
    <w:abstractNumId w:val="26"/>
  </w:num>
  <w:num w:numId="22">
    <w:abstractNumId w:val="22"/>
  </w:num>
  <w:num w:numId="23">
    <w:abstractNumId w:val="34"/>
  </w:num>
  <w:num w:numId="24">
    <w:abstractNumId w:val="9"/>
  </w:num>
  <w:num w:numId="25">
    <w:abstractNumId w:val="30"/>
  </w:num>
  <w:num w:numId="26">
    <w:abstractNumId w:val="3"/>
  </w:num>
  <w:num w:numId="27">
    <w:abstractNumId w:val="11"/>
  </w:num>
  <w:num w:numId="28">
    <w:abstractNumId w:val="18"/>
  </w:num>
  <w:num w:numId="29">
    <w:abstractNumId w:val="20"/>
  </w:num>
  <w:num w:numId="30">
    <w:abstractNumId w:val="13"/>
  </w:num>
  <w:num w:numId="31">
    <w:abstractNumId w:val="17"/>
  </w:num>
  <w:num w:numId="32">
    <w:abstractNumId w:val="5"/>
  </w:num>
  <w:num w:numId="33">
    <w:abstractNumId w:val="35"/>
  </w:num>
  <w:num w:numId="34">
    <w:abstractNumId w:val="19"/>
  </w:num>
  <w:num w:numId="35">
    <w:abstractNumId w:val="25"/>
  </w:num>
  <w:num w:numId="36">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defaultTabStop w:val="708"/>
  <w:hyphenationZone w:val="425"/>
  <w:drawingGridHorizontalSpacing w:val="120"/>
  <w:displayHorizontalDrawingGridEvery w:val="2"/>
  <w:noPunctuationKerning/>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E7340"/>
    <w:rsid w:val="00006AE2"/>
    <w:rsid w:val="000076A1"/>
    <w:rsid w:val="00007F91"/>
    <w:rsid w:val="00012259"/>
    <w:rsid w:val="00014EBB"/>
    <w:rsid w:val="00022BA2"/>
    <w:rsid w:val="00025383"/>
    <w:rsid w:val="000260C8"/>
    <w:rsid w:val="000275A8"/>
    <w:rsid w:val="000339B5"/>
    <w:rsid w:val="00034E89"/>
    <w:rsid w:val="00040C91"/>
    <w:rsid w:val="00061C2D"/>
    <w:rsid w:val="00063657"/>
    <w:rsid w:val="00076680"/>
    <w:rsid w:val="0008073E"/>
    <w:rsid w:val="00091994"/>
    <w:rsid w:val="00091CDB"/>
    <w:rsid w:val="000A19AC"/>
    <w:rsid w:val="000A24BE"/>
    <w:rsid w:val="000A3C9A"/>
    <w:rsid w:val="000C2E7E"/>
    <w:rsid w:val="000D26F8"/>
    <w:rsid w:val="000D3B0C"/>
    <w:rsid w:val="000D7E36"/>
    <w:rsid w:val="000E346A"/>
    <w:rsid w:val="000E6937"/>
    <w:rsid w:val="000E7B52"/>
    <w:rsid w:val="000E7EFC"/>
    <w:rsid w:val="000F0218"/>
    <w:rsid w:val="000F1457"/>
    <w:rsid w:val="000F1EE3"/>
    <w:rsid w:val="000F5D2B"/>
    <w:rsid w:val="0010128A"/>
    <w:rsid w:val="00102BA4"/>
    <w:rsid w:val="00107352"/>
    <w:rsid w:val="00130893"/>
    <w:rsid w:val="00131AFF"/>
    <w:rsid w:val="001349A9"/>
    <w:rsid w:val="00136D7B"/>
    <w:rsid w:val="00140112"/>
    <w:rsid w:val="001405C6"/>
    <w:rsid w:val="00141013"/>
    <w:rsid w:val="001469A8"/>
    <w:rsid w:val="00153137"/>
    <w:rsid w:val="001710FF"/>
    <w:rsid w:val="001715E0"/>
    <w:rsid w:val="0018589A"/>
    <w:rsid w:val="00192CBF"/>
    <w:rsid w:val="00192FF1"/>
    <w:rsid w:val="001A5F1B"/>
    <w:rsid w:val="001B1C22"/>
    <w:rsid w:val="001B28F9"/>
    <w:rsid w:val="001B34C6"/>
    <w:rsid w:val="001D07EF"/>
    <w:rsid w:val="001D5F50"/>
    <w:rsid w:val="001D714A"/>
    <w:rsid w:val="001D7832"/>
    <w:rsid w:val="001E406C"/>
    <w:rsid w:val="001E7FF2"/>
    <w:rsid w:val="00211D34"/>
    <w:rsid w:val="00214F04"/>
    <w:rsid w:val="00215B9E"/>
    <w:rsid w:val="00220E5E"/>
    <w:rsid w:val="0022522C"/>
    <w:rsid w:val="0023347E"/>
    <w:rsid w:val="00237EA6"/>
    <w:rsid w:val="00241C61"/>
    <w:rsid w:val="002520A5"/>
    <w:rsid w:val="00262490"/>
    <w:rsid w:val="00266CD6"/>
    <w:rsid w:val="00266DD0"/>
    <w:rsid w:val="00270DFB"/>
    <w:rsid w:val="0027728F"/>
    <w:rsid w:val="002815F9"/>
    <w:rsid w:val="00283270"/>
    <w:rsid w:val="00284CEC"/>
    <w:rsid w:val="002A6A2F"/>
    <w:rsid w:val="002B11E2"/>
    <w:rsid w:val="002B24B8"/>
    <w:rsid w:val="002B3702"/>
    <w:rsid w:val="002C16AD"/>
    <w:rsid w:val="002C78A3"/>
    <w:rsid w:val="002D2264"/>
    <w:rsid w:val="002D3AE9"/>
    <w:rsid w:val="002F0734"/>
    <w:rsid w:val="002F38FF"/>
    <w:rsid w:val="002F46E7"/>
    <w:rsid w:val="002F7AFD"/>
    <w:rsid w:val="00303888"/>
    <w:rsid w:val="003043AA"/>
    <w:rsid w:val="00304B6E"/>
    <w:rsid w:val="003101DA"/>
    <w:rsid w:val="003132AA"/>
    <w:rsid w:val="00314757"/>
    <w:rsid w:val="003207F8"/>
    <w:rsid w:val="003211CE"/>
    <w:rsid w:val="00326007"/>
    <w:rsid w:val="00327874"/>
    <w:rsid w:val="00331D2B"/>
    <w:rsid w:val="003400CD"/>
    <w:rsid w:val="003424CC"/>
    <w:rsid w:val="003428D1"/>
    <w:rsid w:val="00344375"/>
    <w:rsid w:val="0035403A"/>
    <w:rsid w:val="0035515B"/>
    <w:rsid w:val="0035549C"/>
    <w:rsid w:val="0036394B"/>
    <w:rsid w:val="003709B5"/>
    <w:rsid w:val="00370BD1"/>
    <w:rsid w:val="003732AD"/>
    <w:rsid w:val="0037465B"/>
    <w:rsid w:val="003759C2"/>
    <w:rsid w:val="0038090A"/>
    <w:rsid w:val="00383480"/>
    <w:rsid w:val="003951EE"/>
    <w:rsid w:val="00397365"/>
    <w:rsid w:val="003A31F6"/>
    <w:rsid w:val="003A7E47"/>
    <w:rsid w:val="003B11C0"/>
    <w:rsid w:val="003B1201"/>
    <w:rsid w:val="003B6B6E"/>
    <w:rsid w:val="003B79BF"/>
    <w:rsid w:val="003C14BF"/>
    <w:rsid w:val="003C3447"/>
    <w:rsid w:val="003C3538"/>
    <w:rsid w:val="003D076C"/>
    <w:rsid w:val="003D3B6B"/>
    <w:rsid w:val="003D4786"/>
    <w:rsid w:val="003E0A6E"/>
    <w:rsid w:val="003E5019"/>
    <w:rsid w:val="003E63C6"/>
    <w:rsid w:val="003E6FCC"/>
    <w:rsid w:val="003F79BC"/>
    <w:rsid w:val="00403F64"/>
    <w:rsid w:val="00415BAB"/>
    <w:rsid w:val="00415ED2"/>
    <w:rsid w:val="0042068C"/>
    <w:rsid w:val="00426276"/>
    <w:rsid w:val="004311FB"/>
    <w:rsid w:val="0043189C"/>
    <w:rsid w:val="0043196D"/>
    <w:rsid w:val="00431DA3"/>
    <w:rsid w:val="004408E5"/>
    <w:rsid w:val="00444EB6"/>
    <w:rsid w:val="00445206"/>
    <w:rsid w:val="00445B18"/>
    <w:rsid w:val="0045506B"/>
    <w:rsid w:val="00455BEE"/>
    <w:rsid w:val="00464E88"/>
    <w:rsid w:val="0047122B"/>
    <w:rsid w:val="00473B7A"/>
    <w:rsid w:val="00480DC2"/>
    <w:rsid w:val="0048139F"/>
    <w:rsid w:val="00483942"/>
    <w:rsid w:val="00485A63"/>
    <w:rsid w:val="00485F87"/>
    <w:rsid w:val="00492E34"/>
    <w:rsid w:val="004960E9"/>
    <w:rsid w:val="004A2E88"/>
    <w:rsid w:val="004A5305"/>
    <w:rsid w:val="004B0BFC"/>
    <w:rsid w:val="004C4437"/>
    <w:rsid w:val="004C474E"/>
    <w:rsid w:val="004D7634"/>
    <w:rsid w:val="004E2565"/>
    <w:rsid w:val="004E26FA"/>
    <w:rsid w:val="004E7881"/>
    <w:rsid w:val="004F7F87"/>
    <w:rsid w:val="00501DD2"/>
    <w:rsid w:val="00510A20"/>
    <w:rsid w:val="00513FA2"/>
    <w:rsid w:val="005142B8"/>
    <w:rsid w:val="005300D3"/>
    <w:rsid w:val="005363F2"/>
    <w:rsid w:val="005426F1"/>
    <w:rsid w:val="0054288D"/>
    <w:rsid w:val="00544F82"/>
    <w:rsid w:val="005525A1"/>
    <w:rsid w:val="0055301C"/>
    <w:rsid w:val="005547DE"/>
    <w:rsid w:val="00554AC3"/>
    <w:rsid w:val="00554CCB"/>
    <w:rsid w:val="00571605"/>
    <w:rsid w:val="00574558"/>
    <w:rsid w:val="005752C4"/>
    <w:rsid w:val="005830B5"/>
    <w:rsid w:val="00585D3A"/>
    <w:rsid w:val="00586187"/>
    <w:rsid w:val="00587B93"/>
    <w:rsid w:val="00593C4F"/>
    <w:rsid w:val="005946A8"/>
    <w:rsid w:val="00595941"/>
    <w:rsid w:val="005970EC"/>
    <w:rsid w:val="005A0C67"/>
    <w:rsid w:val="005A4407"/>
    <w:rsid w:val="005A59EF"/>
    <w:rsid w:val="005B1C8B"/>
    <w:rsid w:val="005C10AC"/>
    <w:rsid w:val="005C34DB"/>
    <w:rsid w:val="005D0640"/>
    <w:rsid w:val="005D0ABA"/>
    <w:rsid w:val="005D19C2"/>
    <w:rsid w:val="005D262B"/>
    <w:rsid w:val="005D5727"/>
    <w:rsid w:val="005D5ED6"/>
    <w:rsid w:val="005D7EAB"/>
    <w:rsid w:val="005E04BC"/>
    <w:rsid w:val="005E2289"/>
    <w:rsid w:val="005E4343"/>
    <w:rsid w:val="005F1859"/>
    <w:rsid w:val="005F2A82"/>
    <w:rsid w:val="005F65F0"/>
    <w:rsid w:val="00601E4A"/>
    <w:rsid w:val="0061647C"/>
    <w:rsid w:val="0062050A"/>
    <w:rsid w:val="006257E8"/>
    <w:rsid w:val="00625DC6"/>
    <w:rsid w:val="006261ED"/>
    <w:rsid w:val="00632810"/>
    <w:rsid w:val="00634693"/>
    <w:rsid w:val="0064398F"/>
    <w:rsid w:val="00643EF5"/>
    <w:rsid w:val="00646F87"/>
    <w:rsid w:val="00651821"/>
    <w:rsid w:val="00652550"/>
    <w:rsid w:val="006540AF"/>
    <w:rsid w:val="00654384"/>
    <w:rsid w:val="00654DC2"/>
    <w:rsid w:val="00666CE7"/>
    <w:rsid w:val="00667527"/>
    <w:rsid w:val="006675CD"/>
    <w:rsid w:val="00670BC4"/>
    <w:rsid w:val="0067218E"/>
    <w:rsid w:val="0068028C"/>
    <w:rsid w:val="006831DD"/>
    <w:rsid w:val="00684D9B"/>
    <w:rsid w:val="00690182"/>
    <w:rsid w:val="0069382C"/>
    <w:rsid w:val="00697556"/>
    <w:rsid w:val="0069781A"/>
    <w:rsid w:val="006A3D41"/>
    <w:rsid w:val="006A540F"/>
    <w:rsid w:val="006A7269"/>
    <w:rsid w:val="006B4C2B"/>
    <w:rsid w:val="006B610C"/>
    <w:rsid w:val="006B6D47"/>
    <w:rsid w:val="006C098F"/>
    <w:rsid w:val="006D0146"/>
    <w:rsid w:val="006F551A"/>
    <w:rsid w:val="006F5C1E"/>
    <w:rsid w:val="006F6D95"/>
    <w:rsid w:val="00703880"/>
    <w:rsid w:val="00706F13"/>
    <w:rsid w:val="007072E8"/>
    <w:rsid w:val="007104E9"/>
    <w:rsid w:val="00712592"/>
    <w:rsid w:val="007135A2"/>
    <w:rsid w:val="00713E83"/>
    <w:rsid w:val="0071618D"/>
    <w:rsid w:val="00725FA4"/>
    <w:rsid w:val="00726D7A"/>
    <w:rsid w:val="00731480"/>
    <w:rsid w:val="007327D9"/>
    <w:rsid w:val="00740446"/>
    <w:rsid w:val="007438A9"/>
    <w:rsid w:val="0074491E"/>
    <w:rsid w:val="00755584"/>
    <w:rsid w:val="007559B1"/>
    <w:rsid w:val="00760693"/>
    <w:rsid w:val="00772C3F"/>
    <w:rsid w:val="00775964"/>
    <w:rsid w:val="007776CD"/>
    <w:rsid w:val="00782D1A"/>
    <w:rsid w:val="00784D83"/>
    <w:rsid w:val="00785A33"/>
    <w:rsid w:val="00792301"/>
    <w:rsid w:val="00795BFB"/>
    <w:rsid w:val="0079645D"/>
    <w:rsid w:val="00797BE0"/>
    <w:rsid w:val="007B2760"/>
    <w:rsid w:val="007C4108"/>
    <w:rsid w:val="007C5B9C"/>
    <w:rsid w:val="007D2121"/>
    <w:rsid w:val="007D2240"/>
    <w:rsid w:val="007D6F8D"/>
    <w:rsid w:val="007E1F82"/>
    <w:rsid w:val="007E65B5"/>
    <w:rsid w:val="007F3036"/>
    <w:rsid w:val="008012A9"/>
    <w:rsid w:val="00806599"/>
    <w:rsid w:val="00806C01"/>
    <w:rsid w:val="008115CC"/>
    <w:rsid w:val="00811BEF"/>
    <w:rsid w:val="008148CC"/>
    <w:rsid w:val="00815E78"/>
    <w:rsid w:val="008211A4"/>
    <w:rsid w:val="00821375"/>
    <w:rsid w:val="00822826"/>
    <w:rsid w:val="00830543"/>
    <w:rsid w:val="00830794"/>
    <w:rsid w:val="00845514"/>
    <w:rsid w:val="00851B92"/>
    <w:rsid w:val="00855E18"/>
    <w:rsid w:val="0085733C"/>
    <w:rsid w:val="00867F72"/>
    <w:rsid w:val="00872EA7"/>
    <w:rsid w:val="00873150"/>
    <w:rsid w:val="0087657D"/>
    <w:rsid w:val="008775D5"/>
    <w:rsid w:val="008807D5"/>
    <w:rsid w:val="00880832"/>
    <w:rsid w:val="00883C08"/>
    <w:rsid w:val="00886EE1"/>
    <w:rsid w:val="0088727D"/>
    <w:rsid w:val="00893C08"/>
    <w:rsid w:val="0089419C"/>
    <w:rsid w:val="00894DDF"/>
    <w:rsid w:val="00894FBC"/>
    <w:rsid w:val="00897C75"/>
    <w:rsid w:val="008A0C8F"/>
    <w:rsid w:val="008A15A0"/>
    <w:rsid w:val="008C1130"/>
    <w:rsid w:val="008C4993"/>
    <w:rsid w:val="008D18E6"/>
    <w:rsid w:val="008D2DEA"/>
    <w:rsid w:val="008D7A9B"/>
    <w:rsid w:val="008E32EA"/>
    <w:rsid w:val="008E76AC"/>
    <w:rsid w:val="008F11A3"/>
    <w:rsid w:val="008F206B"/>
    <w:rsid w:val="008F21F6"/>
    <w:rsid w:val="00912F58"/>
    <w:rsid w:val="00921D88"/>
    <w:rsid w:val="00923A76"/>
    <w:rsid w:val="009240AC"/>
    <w:rsid w:val="00924EFC"/>
    <w:rsid w:val="00925030"/>
    <w:rsid w:val="00944799"/>
    <w:rsid w:val="009511D7"/>
    <w:rsid w:val="00951F79"/>
    <w:rsid w:val="009623A1"/>
    <w:rsid w:val="00966E79"/>
    <w:rsid w:val="00973CBA"/>
    <w:rsid w:val="00974AB5"/>
    <w:rsid w:val="00980302"/>
    <w:rsid w:val="009826A4"/>
    <w:rsid w:val="009856F3"/>
    <w:rsid w:val="0098706D"/>
    <w:rsid w:val="009935FB"/>
    <w:rsid w:val="009B125B"/>
    <w:rsid w:val="009C14F9"/>
    <w:rsid w:val="009C4EFE"/>
    <w:rsid w:val="009E3754"/>
    <w:rsid w:val="009E4924"/>
    <w:rsid w:val="009E6220"/>
    <w:rsid w:val="009F3399"/>
    <w:rsid w:val="009F43AB"/>
    <w:rsid w:val="009F4A54"/>
    <w:rsid w:val="009F4BEC"/>
    <w:rsid w:val="009F5F5A"/>
    <w:rsid w:val="009F71E4"/>
    <w:rsid w:val="00A10359"/>
    <w:rsid w:val="00A106FD"/>
    <w:rsid w:val="00A17C23"/>
    <w:rsid w:val="00A17E0C"/>
    <w:rsid w:val="00A23FA4"/>
    <w:rsid w:val="00A25FD7"/>
    <w:rsid w:val="00A2790C"/>
    <w:rsid w:val="00A33BFB"/>
    <w:rsid w:val="00A33C22"/>
    <w:rsid w:val="00A35E86"/>
    <w:rsid w:val="00A43AFF"/>
    <w:rsid w:val="00A5169B"/>
    <w:rsid w:val="00A605A8"/>
    <w:rsid w:val="00A61870"/>
    <w:rsid w:val="00A64866"/>
    <w:rsid w:val="00A70001"/>
    <w:rsid w:val="00A703A8"/>
    <w:rsid w:val="00A77579"/>
    <w:rsid w:val="00A7793A"/>
    <w:rsid w:val="00A77D85"/>
    <w:rsid w:val="00A94B02"/>
    <w:rsid w:val="00A95565"/>
    <w:rsid w:val="00AA0080"/>
    <w:rsid w:val="00AA0962"/>
    <w:rsid w:val="00AA1163"/>
    <w:rsid w:val="00AA2C51"/>
    <w:rsid w:val="00AA5577"/>
    <w:rsid w:val="00AA566A"/>
    <w:rsid w:val="00AA74E9"/>
    <w:rsid w:val="00AB666A"/>
    <w:rsid w:val="00AB6CA7"/>
    <w:rsid w:val="00AD01E4"/>
    <w:rsid w:val="00AD0858"/>
    <w:rsid w:val="00AD1FA6"/>
    <w:rsid w:val="00AD2A29"/>
    <w:rsid w:val="00AD3E8D"/>
    <w:rsid w:val="00AD7D42"/>
    <w:rsid w:val="00AE0B57"/>
    <w:rsid w:val="00AE1363"/>
    <w:rsid w:val="00AE7340"/>
    <w:rsid w:val="00AF1BBD"/>
    <w:rsid w:val="00AF35C7"/>
    <w:rsid w:val="00AF55A6"/>
    <w:rsid w:val="00B10207"/>
    <w:rsid w:val="00B11959"/>
    <w:rsid w:val="00B141E7"/>
    <w:rsid w:val="00B223FA"/>
    <w:rsid w:val="00B23CFB"/>
    <w:rsid w:val="00B260FD"/>
    <w:rsid w:val="00B351B4"/>
    <w:rsid w:val="00B355BF"/>
    <w:rsid w:val="00B35835"/>
    <w:rsid w:val="00B40B8F"/>
    <w:rsid w:val="00B43EBF"/>
    <w:rsid w:val="00B46BCA"/>
    <w:rsid w:val="00B510C7"/>
    <w:rsid w:val="00B536F6"/>
    <w:rsid w:val="00B612B3"/>
    <w:rsid w:val="00B66DCE"/>
    <w:rsid w:val="00B675D6"/>
    <w:rsid w:val="00B72766"/>
    <w:rsid w:val="00B874BF"/>
    <w:rsid w:val="00B87806"/>
    <w:rsid w:val="00B87EC9"/>
    <w:rsid w:val="00B87FE6"/>
    <w:rsid w:val="00B94019"/>
    <w:rsid w:val="00B969D5"/>
    <w:rsid w:val="00BB4089"/>
    <w:rsid w:val="00BB6409"/>
    <w:rsid w:val="00BC2F99"/>
    <w:rsid w:val="00BC38FD"/>
    <w:rsid w:val="00BC58F7"/>
    <w:rsid w:val="00BD4C8F"/>
    <w:rsid w:val="00BD560E"/>
    <w:rsid w:val="00BD7B34"/>
    <w:rsid w:val="00C034CB"/>
    <w:rsid w:val="00C04F7A"/>
    <w:rsid w:val="00C051A8"/>
    <w:rsid w:val="00C054BC"/>
    <w:rsid w:val="00C1014F"/>
    <w:rsid w:val="00C12D4E"/>
    <w:rsid w:val="00C1417B"/>
    <w:rsid w:val="00C1686E"/>
    <w:rsid w:val="00C17897"/>
    <w:rsid w:val="00C21A5C"/>
    <w:rsid w:val="00C32521"/>
    <w:rsid w:val="00C328DB"/>
    <w:rsid w:val="00C34EAF"/>
    <w:rsid w:val="00C409D5"/>
    <w:rsid w:val="00C44264"/>
    <w:rsid w:val="00C466B5"/>
    <w:rsid w:val="00C5333A"/>
    <w:rsid w:val="00C6234B"/>
    <w:rsid w:val="00C63EAE"/>
    <w:rsid w:val="00C70260"/>
    <w:rsid w:val="00C70E71"/>
    <w:rsid w:val="00C746E7"/>
    <w:rsid w:val="00C7629F"/>
    <w:rsid w:val="00C8661B"/>
    <w:rsid w:val="00C92465"/>
    <w:rsid w:val="00C9322C"/>
    <w:rsid w:val="00C978C2"/>
    <w:rsid w:val="00CA139A"/>
    <w:rsid w:val="00CA2899"/>
    <w:rsid w:val="00CA74F7"/>
    <w:rsid w:val="00CA77FB"/>
    <w:rsid w:val="00CB281C"/>
    <w:rsid w:val="00CB379B"/>
    <w:rsid w:val="00CB5786"/>
    <w:rsid w:val="00CB5DD0"/>
    <w:rsid w:val="00CC51D4"/>
    <w:rsid w:val="00CC64CD"/>
    <w:rsid w:val="00CC65DA"/>
    <w:rsid w:val="00CD157B"/>
    <w:rsid w:val="00CD1D78"/>
    <w:rsid w:val="00CD6553"/>
    <w:rsid w:val="00CF039A"/>
    <w:rsid w:val="00CF21B9"/>
    <w:rsid w:val="00CF6BF9"/>
    <w:rsid w:val="00D01C37"/>
    <w:rsid w:val="00D03800"/>
    <w:rsid w:val="00D065D3"/>
    <w:rsid w:val="00D07078"/>
    <w:rsid w:val="00D07737"/>
    <w:rsid w:val="00D14418"/>
    <w:rsid w:val="00D14C94"/>
    <w:rsid w:val="00D16349"/>
    <w:rsid w:val="00D254E6"/>
    <w:rsid w:val="00D342A6"/>
    <w:rsid w:val="00D34DBB"/>
    <w:rsid w:val="00D42622"/>
    <w:rsid w:val="00D42FEA"/>
    <w:rsid w:val="00D44A10"/>
    <w:rsid w:val="00D464BF"/>
    <w:rsid w:val="00D53E26"/>
    <w:rsid w:val="00D552E6"/>
    <w:rsid w:val="00D5698E"/>
    <w:rsid w:val="00D65A27"/>
    <w:rsid w:val="00D670AA"/>
    <w:rsid w:val="00D7616D"/>
    <w:rsid w:val="00D84CF7"/>
    <w:rsid w:val="00D84DFF"/>
    <w:rsid w:val="00D87B20"/>
    <w:rsid w:val="00D9167C"/>
    <w:rsid w:val="00D922E9"/>
    <w:rsid w:val="00DB0F97"/>
    <w:rsid w:val="00DB51C7"/>
    <w:rsid w:val="00DB69FA"/>
    <w:rsid w:val="00DB7612"/>
    <w:rsid w:val="00DB7A6A"/>
    <w:rsid w:val="00DC4FA2"/>
    <w:rsid w:val="00DD1BF4"/>
    <w:rsid w:val="00DD3C00"/>
    <w:rsid w:val="00DD4A92"/>
    <w:rsid w:val="00DD4F0E"/>
    <w:rsid w:val="00DD5F03"/>
    <w:rsid w:val="00DD6D35"/>
    <w:rsid w:val="00DF0ACF"/>
    <w:rsid w:val="00DF375A"/>
    <w:rsid w:val="00DF52BD"/>
    <w:rsid w:val="00DF5593"/>
    <w:rsid w:val="00E0054B"/>
    <w:rsid w:val="00E00AAF"/>
    <w:rsid w:val="00E05E0A"/>
    <w:rsid w:val="00E0764F"/>
    <w:rsid w:val="00E10E03"/>
    <w:rsid w:val="00E11AE6"/>
    <w:rsid w:val="00E16122"/>
    <w:rsid w:val="00E16A5A"/>
    <w:rsid w:val="00E20436"/>
    <w:rsid w:val="00E23375"/>
    <w:rsid w:val="00E27B4D"/>
    <w:rsid w:val="00E36F86"/>
    <w:rsid w:val="00E379C1"/>
    <w:rsid w:val="00E433F6"/>
    <w:rsid w:val="00E43CBE"/>
    <w:rsid w:val="00E534CF"/>
    <w:rsid w:val="00E563C5"/>
    <w:rsid w:val="00E80657"/>
    <w:rsid w:val="00E819A4"/>
    <w:rsid w:val="00E81CB4"/>
    <w:rsid w:val="00E8585B"/>
    <w:rsid w:val="00E8645D"/>
    <w:rsid w:val="00E923EC"/>
    <w:rsid w:val="00E93051"/>
    <w:rsid w:val="00E9449B"/>
    <w:rsid w:val="00E94997"/>
    <w:rsid w:val="00EA3F15"/>
    <w:rsid w:val="00EA40C9"/>
    <w:rsid w:val="00EA7847"/>
    <w:rsid w:val="00EB20C2"/>
    <w:rsid w:val="00EB5E86"/>
    <w:rsid w:val="00EC02BF"/>
    <w:rsid w:val="00EC1C8E"/>
    <w:rsid w:val="00ED0343"/>
    <w:rsid w:val="00EE0100"/>
    <w:rsid w:val="00EE2E6E"/>
    <w:rsid w:val="00EE3C86"/>
    <w:rsid w:val="00EF0538"/>
    <w:rsid w:val="00EF5C39"/>
    <w:rsid w:val="00F02F98"/>
    <w:rsid w:val="00F03D2D"/>
    <w:rsid w:val="00F05C63"/>
    <w:rsid w:val="00F0759E"/>
    <w:rsid w:val="00F115FA"/>
    <w:rsid w:val="00F12BA5"/>
    <w:rsid w:val="00F134DF"/>
    <w:rsid w:val="00F20171"/>
    <w:rsid w:val="00F26879"/>
    <w:rsid w:val="00F419C9"/>
    <w:rsid w:val="00F43023"/>
    <w:rsid w:val="00F74C6A"/>
    <w:rsid w:val="00F821A3"/>
    <w:rsid w:val="00F86C67"/>
    <w:rsid w:val="00F87EEB"/>
    <w:rsid w:val="00F9093F"/>
    <w:rsid w:val="00F909FB"/>
    <w:rsid w:val="00F9314A"/>
    <w:rsid w:val="00F970A3"/>
    <w:rsid w:val="00F975D5"/>
    <w:rsid w:val="00FA0872"/>
    <w:rsid w:val="00FB0D10"/>
    <w:rsid w:val="00FB29AB"/>
    <w:rsid w:val="00FC58EF"/>
    <w:rsid w:val="00FC7951"/>
    <w:rsid w:val="00FD33DF"/>
    <w:rsid w:val="00FD573A"/>
    <w:rsid w:val="00FD711C"/>
    <w:rsid w:val="00FE39D7"/>
    <w:rsid w:val="00FE466F"/>
    <w:rsid w:val="00FF2592"/>
    <w:rsid w:val="00FF280D"/>
    <w:rsid w:val="00FF63D0"/>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hapeDefaults>
    <o:shapedefaults v:ext="edit" spidmax="1433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iPriority="0"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3" w:uiPriority="0"/>
    <w:lsdException w:name="Block Text"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01DA"/>
    <w:pPr>
      <w:ind w:left="567"/>
    </w:pPr>
    <w:rPr>
      <w:sz w:val="24"/>
      <w:szCs w:val="24"/>
    </w:rPr>
  </w:style>
  <w:style w:type="paragraph" w:styleId="Ttulo1">
    <w:name w:val="heading 1"/>
    <w:basedOn w:val="Normal"/>
    <w:next w:val="Normal"/>
    <w:qFormat/>
    <w:rsid w:val="003101DA"/>
    <w:pPr>
      <w:keepNext/>
      <w:jc w:val="center"/>
      <w:outlineLvl w:val="0"/>
    </w:pPr>
    <w:rPr>
      <w:rFonts w:ascii="CG Times" w:hAnsi="CG Times"/>
      <w:b/>
      <w:szCs w:val="20"/>
      <w:lang w:val="es-CO"/>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lang w:val="es-ES_tradnl"/>
    </w:rPr>
  </w:style>
  <w:style w:type="paragraph" w:styleId="Ttulo4">
    <w:name w:val="heading 4"/>
    <w:basedOn w:val="Normal"/>
    <w:next w:val="Normal"/>
    <w:link w:val="Ttulo4Car"/>
    <w:qFormat/>
    <w:rsid w:val="003101DA"/>
    <w:pPr>
      <w:keepNext/>
      <w:jc w:val="center"/>
      <w:outlineLvl w:val="3"/>
    </w:pPr>
    <w:rPr>
      <w:rFonts w:ascii="Arial" w:hAnsi="Arial" w:cs="Arial"/>
      <w:b/>
      <w:snapToGrid w:val="0"/>
      <w:color w:val="000000"/>
      <w:spacing w:val="20"/>
      <w:sz w:val="20"/>
      <w:szCs w:val="20"/>
      <w:lang w:val="es-ES_tradnl"/>
    </w:rPr>
  </w:style>
  <w:style w:type="paragraph" w:styleId="Ttulo5">
    <w:name w:val="heading 5"/>
    <w:basedOn w:val="Normal"/>
    <w:next w:val="Normal"/>
    <w:link w:val="Ttulo5Car"/>
    <w:qFormat/>
    <w:rsid w:val="003101DA"/>
    <w:pPr>
      <w:keepNext/>
      <w:jc w:val="center"/>
      <w:outlineLvl w:val="4"/>
    </w:pPr>
    <w:rPr>
      <w:rFonts w:ascii="Arial" w:hAnsi="Arial" w:cs="Arial"/>
      <w:b/>
      <w:snapToGrid w:val="0"/>
      <w:color w:val="000000"/>
      <w:spacing w:val="20"/>
      <w:sz w:val="28"/>
      <w:szCs w:val="20"/>
      <w:lang w:val="es-ES_tradnl"/>
    </w:rPr>
  </w:style>
  <w:style w:type="paragraph" w:styleId="Ttulo6">
    <w:name w:val="heading 6"/>
    <w:basedOn w:val="Normal"/>
    <w:next w:val="Normal"/>
    <w:link w:val="Ttulo6Car"/>
    <w:unhideWhenUsed/>
    <w:qFormat/>
    <w:rsid w:val="00795BFB"/>
    <w:pPr>
      <w:spacing w:before="240" w:after="60"/>
      <w:outlineLvl w:val="5"/>
    </w:pPr>
    <w:rPr>
      <w:rFonts w:ascii="Calibri" w:hAnsi="Calibri"/>
      <w:b/>
      <w:bCs/>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rPr>
  </w:style>
  <w:style w:type="paragraph" w:styleId="Piedepgina">
    <w:name w:val="footer"/>
    <w:basedOn w:val="Normal"/>
    <w:semiHidden/>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character" w:styleId="Nmerodepgina">
    <w:name w:val="page number"/>
    <w:basedOn w:val="Fuentedeprrafopredeter"/>
    <w:semiHidden/>
    <w:rsid w:val="003101DA"/>
  </w:style>
  <w:style w:type="paragraph" w:styleId="Textoindependiente">
    <w:name w:val="Body Text"/>
    <w:basedOn w:val="Normal"/>
    <w:link w:val="TextoindependienteCar"/>
    <w:semiHidden/>
    <w:rsid w:val="003101DA"/>
    <w:pPr>
      <w:jc w:val="center"/>
    </w:pPr>
    <w:rPr>
      <w:rFonts w:ascii="Arial" w:hAnsi="Arial" w:cs="Arial"/>
      <w:b/>
      <w:bCs/>
    </w:rPr>
  </w:style>
  <w:style w:type="paragraph" w:styleId="Textoindependiente3">
    <w:name w:val="Body Text 3"/>
    <w:basedOn w:val="Normal"/>
    <w:link w:val="Textoindependiente3Car"/>
    <w:semiHidden/>
    <w:rsid w:val="003101DA"/>
    <w:pPr>
      <w:jc w:val="center"/>
      <w:outlineLvl w:val="0"/>
    </w:pPr>
    <w:rPr>
      <w:rFonts w:ascii="Arial" w:hAnsi="Arial" w:cs="Arial"/>
      <w:b/>
      <w:bCs/>
      <w:spacing w:val="-3"/>
    </w:rPr>
  </w:style>
  <w:style w:type="paragraph" w:styleId="Textodeglobo">
    <w:name w:val="Balloon Text"/>
    <w:basedOn w:val="Normal"/>
    <w:link w:val="TextodegloboCar"/>
    <w:uiPriority w:val="99"/>
    <w:semiHidden/>
    <w:unhideWhenUsed/>
    <w:rsid w:val="00725FA4"/>
    <w:rPr>
      <w:rFonts w:ascii="Tahoma" w:hAnsi="Tahoma" w:cs="Tahoma"/>
      <w:sz w:val="16"/>
      <w:szCs w:val="16"/>
    </w:rPr>
  </w:style>
  <w:style w:type="character" w:customStyle="1" w:styleId="TextodegloboCar">
    <w:name w:val="Texto de globo Car"/>
    <w:basedOn w:val="Fuentedeprrafopredeter"/>
    <w:link w:val="Textodeglobo"/>
    <w:uiPriority w:val="99"/>
    <w:semiHidden/>
    <w:rsid w:val="00725FA4"/>
    <w:rPr>
      <w:rFonts w:ascii="Tahoma" w:hAnsi="Tahoma" w:cs="Tahoma"/>
      <w:sz w:val="16"/>
      <w:szCs w:val="16"/>
    </w:rPr>
  </w:style>
  <w:style w:type="character" w:customStyle="1" w:styleId="EncabezadoCar">
    <w:name w:val="Encabezado Car"/>
    <w:basedOn w:val="Fuentedeprrafopredeter"/>
    <w:link w:val="Encabezado"/>
    <w:uiPriority w:val="99"/>
    <w:rsid w:val="00593C4F"/>
    <w:rPr>
      <w:rFonts w:ascii="CG Times" w:hAnsi="CG Times"/>
      <w:sz w:val="24"/>
      <w:lang w:val="es-CO"/>
    </w:rPr>
  </w:style>
  <w:style w:type="character" w:customStyle="1" w:styleId="Ttulo3Car">
    <w:name w:val="Título 3 Car"/>
    <w:basedOn w:val="Fuentedeprrafopredeter"/>
    <w:link w:val="Ttulo3"/>
    <w:rsid w:val="00141013"/>
    <w:rPr>
      <w:rFonts w:ascii="CG Times" w:hAnsi="CG Times"/>
      <w:b/>
      <w:snapToGrid w:val="0"/>
      <w:color w:val="000000"/>
      <w:sz w:val="24"/>
      <w:lang w:val="es-ES_tradnl"/>
    </w:rPr>
  </w:style>
  <w:style w:type="character" w:customStyle="1" w:styleId="Ttulo4Car">
    <w:name w:val="Título 4 Car"/>
    <w:basedOn w:val="Fuentedeprrafopredeter"/>
    <w:link w:val="Ttulo4"/>
    <w:rsid w:val="00141013"/>
    <w:rPr>
      <w:rFonts w:ascii="Arial" w:hAnsi="Arial" w:cs="Arial"/>
      <w:b/>
      <w:snapToGrid w:val="0"/>
      <w:color w:val="000000"/>
      <w:spacing w:val="20"/>
      <w:lang w:val="es-ES_tradnl"/>
    </w:rPr>
  </w:style>
  <w:style w:type="character" w:customStyle="1" w:styleId="Ttulo5Car">
    <w:name w:val="Título 5 Car"/>
    <w:basedOn w:val="Fuentedeprrafopredete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basedOn w:val="Fuentedeprrafopredeter"/>
    <w:link w:val="Textoindependiente"/>
    <w:semiHidden/>
    <w:rsid w:val="00141013"/>
    <w:rPr>
      <w:rFonts w:ascii="Arial" w:hAnsi="Arial" w:cs="Arial"/>
      <w:b/>
      <w:bCs/>
      <w:sz w:val="24"/>
      <w:szCs w:val="24"/>
    </w:rPr>
  </w:style>
  <w:style w:type="character" w:customStyle="1" w:styleId="Textoindependiente3Car">
    <w:name w:val="Texto independiente 3 Car"/>
    <w:basedOn w:val="Fuentedeprrafopredete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Ttulo6Car">
    <w:name w:val="Título 6 Car"/>
    <w:basedOn w:val="Fuentedeprrafopredeter"/>
    <w:link w:val="Ttulo6"/>
    <w:rsid w:val="00795BFB"/>
    <w:rPr>
      <w:rFonts w:ascii="Calibri" w:eastAsia="Times New Roman" w:hAnsi="Calibri" w:cs="Times New Roman"/>
      <w:b/>
      <w:bCs/>
      <w:sz w:val="22"/>
      <w:szCs w:val="22"/>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cs="Arial"/>
      <w:b/>
      <w:bCs/>
    </w:rPr>
  </w:style>
  <w:style w:type="character" w:customStyle="1" w:styleId="TtuloCar">
    <w:name w:val="Título Car"/>
    <w:basedOn w:val="Fuentedeprrafopredeter"/>
    <w:link w:val="Ttulo"/>
    <w:rsid w:val="00795BFB"/>
    <w:rPr>
      <w:rFonts w:ascii="Arial" w:hAnsi="Arial" w:cs="Arial"/>
      <w:b/>
      <w:bCs/>
      <w:sz w:val="24"/>
      <w:szCs w:val="24"/>
    </w:rPr>
  </w:style>
  <w:style w:type="paragraph" w:styleId="Prrafodelista">
    <w:name w:val="List Paragraph"/>
    <w:basedOn w:val="Normal"/>
    <w:link w:val="PrrafodelistaCar"/>
    <w:uiPriority w:val="34"/>
    <w:qFormat/>
    <w:rsid w:val="001405C6"/>
    <w:pPr>
      <w:ind w:left="708"/>
    </w:pPr>
    <w:rPr>
      <w:sz w:val="20"/>
      <w:szCs w:val="20"/>
      <w:lang w:val="es-CO"/>
    </w:rPr>
  </w:style>
  <w:style w:type="character" w:customStyle="1" w:styleId="PrrafodelistaCar">
    <w:name w:val="Párrafo de lista Car"/>
    <w:basedOn w:val="Fuentedeprrafopredeter"/>
    <w:link w:val="Prrafodelista"/>
    <w:uiPriority w:val="34"/>
    <w:rsid w:val="001405C6"/>
    <w:rPr>
      <w:lang w:val="es-CO"/>
    </w:rPr>
  </w:style>
  <w:style w:type="paragraph" w:styleId="TDC1">
    <w:name w:val="toc 1"/>
    <w:basedOn w:val="Normal"/>
    <w:next w:val="Normal"/>
    <w:autoRedefine/>
    <w:semiHidden/>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uiPriority w:val="99"/>
    <w:unhideWhenUsed/>
    <w:rsid w:val="00006AE2"/>
    <w:pPr>
      <w:spacing w:after="120" w:line="480" w:lineRule="auto"/>
    </w:pPr>
  </w:style>
  <w:style w:type="character" w:customStyle="1" w:styleId="Textoindependiente2Car">
    <w:name w:val="Texto independiente 2 Car"/>
    <w:basedOn w:val="Fuentedeprrafopredeter"/>
    <w:link w:val="Textoindependiente2"/>
    <w:uiPriority w:val="99"/>
    <w:rsid w:val="00006AE2"/>
    <w:rPr>
      <w:sz w:val="24"/>
      <w:szCs w:val="24"/>
    </w:rPr>
  </w:style>
  <w:style w:type="paragraph" w:styleId="Epgrafe">
    <w:name w:val="caption"/>
    <w:basedOn w:val="Normal"/>
    <w:next w:val="Normal"/>
    <w:uiPriority w:val="35"/>
    <w:qFormat/>
    <w:rsid w:val="007E65B5"/>
    <w:pPr>
      <w:widowControl w:val="0"/>
      <w:adjustRightInd w:val="0"/>
      <w:spacing w:before="120" w:after="120" w:line="360" w:lineRule="atLeast"/>
      <w:ind w:left="0"/>
      <w:jc w:val="center"/>
      <w:textAlignment w:val="baseline"/>
    </w:pPr>
    <w:rPr>
      <w:rFonts w:ascii="Bookman Old Style" w:hAnsi="Bookman Old Style"/>
      <w:b/>
      <w:sz w:val="22"/>
      <w:szCs w:val="20"/>
    </w:rPr>
  </w:style>
  <w:style w:type="paragraph" w:styleId="Sinespaciado">
    <w:name w:val="No Spacing"/>
    <w:uiPriority w:val="1"/>
    <w:qFormat/>
    <w:rsid w:val="003A31F6"/>
    <w:rPr>
      <w:rFonts w:ascii="Calibri" w:hAnsi="Calibri" w:cs="Calibri"/>
      <w:sz w:val="22"/>
      <w:szCs w:val="22"/>
      <w:lang w:eastAsia="en-US"/>
    </w:rPr>
  </w:style>
  <w:style w:type="character" w:customStyle="1" w:styleId="apple-style-span">
    <w:name w:val="apple-style-span"/>
    <w:basedOn w:val="Fuentedeprrafopredeter"/>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rPr>
  </w:style>
  <w:style w:type="character" w:customStyle="1" w:styleId="SubttuloCar">
    <w:name w:val="Subtítulo Car"/>
    <w:basedOn w:val="Fuentedeprrafopredete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character" w:styleId="Refdecomentario">
    <w:name w:val="annotation reference"/>
    <w:basedOn w:val="Fuentedeprrafopredeter"/>
    <w:uiPriority w:val="99"/>
    <w:semiHidden/>
    <w:unhideWhenUsed/>
    <w:rsid w:val="00EF5C39"/>
    <w:rPr>
      <w:sz w:val="16"/>
      <w:szCs w:val="16"/>
    </w:rPr>
  </w:style>
  <w:style w:type="paragraph" w:styleId="Textocomentario">
    <w:name w:val="annotation text"/>
    <w:basedOn w:val="Normal"/>
    <w:link w:val="TextocomentarioCar"/>
    <w:uiPriority w:val="99"/>
    <w:semiHidden/>
    <w:unhideWhenUsed/>
    <w:rsid w:val="00EF5C39"/>
    <w:rPr>
      <w:sz w:val="20"/>
      <w:szCs w:val="20"/>
    </w:rPr>
  </w:style>
  <w:style w:type="character" w:customStyle="1" w:styleId="TextocomentarioCar">
    <w:name w:val="Texto comentario Car"/>
    <w:basedOn w:val="Fuentedeprrafopredeter"/>
    <w:link w:val="Textocomentario"/>
    <w:uiPriority w:val="99"/>
    <w:semiHidden/>
    <w:rsid w:val="00EF5C39"/>
  </w:style>
  <w:style w:type="paragraph" w:styleId="Asuntodelcomentario">
    <w:name w:val="annotation subject"/>
    <w:basedOn w:val="Textocomentario"/>
    <w:next w:val="Textocomentario"/>
    <w:link w:val="AsuntodelcomentarioCar"/>
    <w:uiPriority w:val="99"/>
    <w:semiHidden/>
    <w:unhideWhenUsed/>
    <w:rsid w:val="00EF5C39"/>
    <w:rPr>
      <w:b/>
      <w:bCs/>
    </w:rPr>
  </w:style>
  <w:style w:type="character" w:customStyle="1" w:styleId="AsuntodelcomentarioCar">
    <w:name w:val="Asunto del comentario Car"/>
    <w:basedOn w:val="TextocomentarioCar"/>
    <w:link w:val="Asuntodelcomentario"/>
    <w:uiPriority w:val="99"/>
    <w:semiHidden/>
    <w:rsid w:val="00EF5C39"/>
    <w:rPr>
      <w:b/>
      <w:bCs/>
    </w:rPr>
  </w:style>
  <w:style w:type="paragraph" w:customStyle="1" w:styleId="articulo">
    <w:name w:val="articulo"/>
    <w:basedOn w:val="Normal"/>
    <w:next w:val="Normal"/>
    <w:autoRedefine/>
    <w:rsid w:val="000339B5"/>
    <w:pPr>
      <w:numPr>
        <w:numId w:val="17"/>
      </w:numPr>
      <w:tabs>
        <w:tab w:val="left" w:pos="-720"/>
        <w:tab w:val="left" w:pos="1620"/>
      </w:tabs>
      <w:suppressAutoHyphens/>
      <w:spacing w:before="240"/>
      <w:jc w:val="both"/>
    </w:pPr>
    <w:rPr>
      <w:rFonts w:ascii="Bookman Old Style" w:hAnsi="Bookman Old Style" w:cs="Arial"/>
      <w:bCs/>
      <w:spacing w:val="-4"/>
    </w:rPr>
  </w:style>
  <w:style w:type="paragraph" w:styleId="Sangra2detindependiente">
    <w:name w:val="Body Text Indent 2"/>
    <w:basedOn w:val="Normal"/>
    <w:link w:val="Sangra2detindependienteCar"/>
    <w:uiPriority w:val="99"/>
    <w:semiHidden/>
    <w:unhideWhenUsed/>
    <w:rsid w:val="00B536F6"/>
    <w:pPr>
      <w:spacing w:after="120" w:line="480" w:lineRule="auto"/>
      <w:ind w:left="283"/>
    </w:pPr>
  </w:style>
  <w:style w:type="character" w:customStyle="1" w:styleId="Sangra2detindependienteCar">
    <w:name w:val="Sangría 2 de t. independiente Car"/>
    <w:basedOn w:val="Fuentedeprrafopredeter"/>
    <w:link w:val="Sangra2detindependiente"/>
    <w:uiPriority w:val="99"/>
    <w:semiHidden/>
    <w:rsid w:val="00B536F6"/>
    <w:rPr>
      <w:sz w:val="24"/>
      <w:szCs w:val="24"/>
    </w:rPr>
  </w:style>
  <w:style w:type="paragraph" w:styleId="Sangradetextonormal">
    <w:name w:val="Body Text Indent"/>
    <w:basedOn w:val="Normal"/>
    <w:link w:val="SangradetextonormalCar"/>
    <w:uiPriority w:val="99"/>
    <w:unhideWhenUsed/>
    <w:rsid w:val="00B536F6"/>
    <w:pPr>
      <w:spacing w:after="120"/>
      <w:ind w:left="283"/>
    </w:pPr>
  </w:style>
  <w:style w:type="character" w:customStyle="1" w:styleId="SangradetextonormalCar">
    <w:name w:val="Sangría de texto normal Car"/>
    <w:basedOn w:val="Fuentedeprrafopredeter"/>
    <w:link w:val="Sangradetextonormal"/>
    <w:uiPriority w:val="99"/>
    <w:rsid w:val="00B536F6"/>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iPriority="0"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3" w:uiPriority="0"/>
    <w:lsdException w:name="Block Text"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01DA"/>
    <w:pPr>
      <w:ind w:left="567"/>
    </w:pPr>
    <w:rPr>
      <w:sz w:val="24"/>
      <w:szCs w:val="24"/>
    </w:rPr>
  </w:style>
  <w:style w:type="paragraph" w:styleId="Ttulo1">
    <w:name w:val="heading 1"/>
    <w:basedOn w:val="Normal"/>
    <w:next w:val="Normal"/>
    <w:qFormat/>
    <w:rsid w:val="003101DA"/>
    <w:pPr>
      <w:keepNext/>
      <w:jc w:val="center"/>
      <w:outlineLvl w:val="0"/>
    </w:pPr>
    <w:rPr>
      <w:rFonts w:ascii="CG Times" w:hAnsi="CG Times"/>
      <w:b/>
      <w:szCs w:val="20"/>
      <w:lang w:val="es-CO"/>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lang w:val="es-ES_tradnl"/>
    </w:rPr>
  </w:style>
  <w:style w:type="paragraph" w:styleId="Ttulo4">
    <w:name w:val="heading 4"/>
    <w:basedOn w:val="Normal"/>
    <w:next w:val="Normal"/>
    <w:link w:val="Ttulo4Car"/>
    <w:qFormat/>
    <w:rsid w:val="003101DA"/>
    <w:pPr>
      <w:keepNext/>
      <w:jc w:val="center"/>
      <w:outlineLvl w:val="3"/>
    </w:pPr>
    <w:rPr>
      <w:rFonts w:ascii="Arial" w:hAnsi="Arial" w:cs="Arial"/>
      <w:b/>
      <w:snapToGrid w:val="0"/>
      <w:color w:val="000000"/>
      <w:spacing w:val="20"/>
      <w:sz w:val="20"/>
      <w:szCs w:val="20"/>
      <w:lang w:val="es-ES_tradnl"/>
    </w:rPr>
  </w:style>
  <w:style w:type="paragraph" w:styleId="Ttulo5">
    <w:name w:val="heading 5"/>
    <w:basedOn w:val="Normal"/>
    <w:next w:val="Normal"/>
    <w:link w:val="Ttulo5Car"/>
    <w:qFormat/>
    <w:rsid w:val="003101DA"/>
    <w:pPr>
      <w:keepNext/>
      <w:jc w:val="center"/>
      <w:outlineLvl w:val="4"/>
    </w:pPr>
    <w:rPr>
      <w:rFonts w:ascii="Arial" w:hAnsi="Arial" w:cs="Arial"/>
      <w:b/>
      <w:snapToGrid w:val="0"/>
      <w:color w:val="000000"/>
      <w:spacing w:val="20"/>
      <w:sz w:val="28"/>
      <w:szCs w:val="20"/>
      <w:lang w:val="es-ES_tradnl"/>
    </w:rPr>
  </w:style>
  <w:style w:type="paragraph" w:styleId="Ttulo6">
    <w:name w:val="heading 6"/>
    <w:basedOn w:val="Normal"/>
    <w:next w:val="Normal"/>
    <w:link w:val="Ttulo6Car"/>
    <w:unhideWhenUsed/>
    <w:qFormat/>
    <w:rsid w:val="00795BFB"/>
    <w:pPr>
      <w:spacing w:before="240" w:after="60"/>
      <w:outlineLvl w:val="5"/>
    </w:pPr>
    <w:rPr>
      <w:rFonts w:ascii="Calibri" w:hAnsi="Calibri"/>
      <w:b/>
      <w:bCs/>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rPr>
  </w:style>
  <w:style w:type="paragraph" w:styleId="Piedepgina">
    <w:name w:val="footer"/>
    <w:basedOn w:val="Normal"/>
    <w:semiHidden/>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character" w:styleId="Nmerodepgina">
    <w:name w:val="page number"/>
    <w:basedOn w:val="Fuentedeprrafopredeter"/>
    <w:semiHidden/>
    <w:rsid w:val="003101DA"/>
  </w:style>
  <w:style w:type="paragraph" w:styleId="Textoindependiente">
    <w:name w:val="Body Text"/>
    <w:basedOn w:val="Normal"/>
    <w:link w:val="TextoindependienteCar"/>
    <w:semiHidden/>
    <w:rsid w:val="003101DA"/>
    <w:pPr>
      <w:jc w:val="center"/>
    </w:pPr>
    <w:rPr>
      <w:rFonts w:ascii="Arial" w:hAnsi="Arial" w:cs="Arial"/>
      <w:b/>
      <w:bCs/>
    </w:rPr>
  </w:style>
  <w:style w:type="paragraph" w:styleId="Textoindependiente3">
    <w:name w:val="Body Text 3"/>
    <w:basedOn w:val="Normal"/>
    <w:link w:val="Textoindependiente3Car"/>
    <w:semiHidden/>
    <w:rsid w:val="003101DA"/>
    <w:pPr>
      <w:jc w:val="center"/>
      <w:outlineLvl w:val="0"/>
    </w:pPr>
    <w:rPr>
      <w:rFonts w:ascii="Arial" w:hAnsi="Arial" w:cs="Arial"/>
      <w:b/>
      <w:bCs/>
      <w:spacing w:val="-3"/>
    </w:rPr>
  </w:style>
  <w:style w:type="paragraph" w:styleId="Textodeglobo">
    <w:name w:val="Balloon Text"/>
    <w:basedOn w:val="Normal"/>
    <w:link w:val="TextodegloboCar"/>
    <w:uiPriority w:val="99"/>
    <w:semiHidden/>
    <w:unhideWhenUsed/>
    <w:rsid w:val="00725FA4"/>
    <w:rPr>
      <w:rFonts w:ascii="Tahoma" w:hAnsi="Tahoma" w:cs="Tahoma"/>
      <w:sz w:val="16"/>
      <w:szCs w:val="16"/>
    </w:rPr>
  </w:style>
  <w:style w:type="character" w:customStyle="1" w:styleId="TextodegloboCar">
    <w:name w:val="Texto de globo Car"/>
    <w:basedOn w:val="Fuentedeprrafopredeter"/>
    <w:link w:val="Textodeglobo"/>
    <w:uiPriority w:val="99"/>
    <w:semiHidden/>
    <w:rsid w:val="00725FA4"/>
    <w:rPr>
      <w:rFonts w:ascii="Tahoma" w:hAnsi="Tahoma" w:cs="Tahoma"/>
      <w:sz w:val="16"/>
      <w:szCs w:val="16"/>
    </w:rPr>
  </w:style>
  <w:style w:type="character" w:customStyle="1" w:styleId="EncabezadoCar">
    <w:name w:val="Encabezado Car"/>
    <w:basedOn w:val="Fuentedeprrafopredeter"/>
    <w:link w:val="Encabezado"/>
    <w:uiPriority w:val="99"/>
    <w:rsid w:val="00593C4F"/>
    <w:rPr>
      <w:rFonts w:ascii="CG Times" w:hAnsi="CG Times"/>
      <w:sz w:val="24"/>
      <w:lang w:val="es-CO"/>
    </w:rPr>
  </w:style>
  <w:style w:type="character" w:customStyle="1" w:styleId="Ttulo3Car">
    <w:name w:val="Título 3 Car"/>
    <w:basedOn w:val="Fuentedeprrafopredeter"/>
    <w:link w:val="Ttulo3"/>
    <w:rsid w:val="00141013"/>
    <w:rPr>
      <w:rFonts w:ascii="CG Times" w:hAnsi="CG Times"/>
      <w:b/>
      <w:snapToGrid w:val="0"/>
      <w:color w:val="000000"/>
      <w:sz w:val="24"/>
      <w:lang w:val="es-ES_tradnl"/>
    </w:rPr>
  </w:style>
  <w:style w:type="character" w:customStyle="1" w:styleId="Ttulo4Car">
    <w:name w:val="Título 4 Car"/>
    <w:basedOn w:val="Fuentedeprrafopredeter"/>
    <w:link w:val="Ttulo4"/>
    <w:rsid w:val="00141013"/>
    <w:rPr>
      <w:rFonts w:ascii="Arial" w:hAnsi="Arial" w:cs="Arial"/>
      <w:b/>
      <w:snapToGrid w:val="0"/>
      <w:color w:val="000000"/>
      <w:spacing w:val="20"/>
      <w:lang w:val="es-ES_tradnl"/>
    </w:rPr>
  </w:style>
  <w:style w:type="character" w:customStyle="1" w:styleId="Ttulo5Car">
    <w:name w:val="Título 5 Car"/>
    <w:basedOn w:val="Fuentedeprrafopredete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basedOn w:val="Fuentedeprrafopredeter"/>
    <w:link w:val="Textoindependiente"/>
    <w:semiHidden/>
    <w:rsid w:val="00141013"/>
    <w:rPr>
      <w:rFonts w:ascii="Arial" w:hAnsi="Arial" w:cs="Arial"/>
      <w:b/>
      <w:bCs/>
      <w:sz w:val="24"/>
      <w:szCs w:val="24"/>
    </w:rPr>
  </w:style>
  <w:style w:type="character" w:customStyle="1" w:styleId="Textoindependiente3Car">
    <w:name w:val="Texto independiente 3 Car"/>
    <w:basedOn w:val="Fuentedeprrafopredete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Ttulo6Car">
    <w:name w:val="Título 6 Car"/>
    <w:basedOn w:val="Fuentedeprrafopredeter"/>
    <w:link w:val="Ttulo6"/>
    <w:rsid w:val="00795BFB"/>
    <w:rPr>
      <w:rFonts w:ascii="Calibri" w:eastAsia="Times New Roman" w:hAnsi="Calibri" w:cs="Times New Roman"/>
      <w:b/>
      <w:bCs/>
      <w:sz w:val="22"/>
      <w:szCs w:val="22"/>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cs="Arial"/>
      <w:b/>
      <w:bCs/>
    </w:rPr>
  </w:style>
  <w:style w:type="character" w:customStyle="1" w:styleId="TtuloCar">
    <w:name w:val="Título Car"/>
    <w:basedOn w:val="Fuentedeprrafopredeter"/>
    <w:link w:val="Ttulo"/>
    <w:rsid w:val="00795BFB"/>
    <w:rPr>
      <w:rFonts w:ascii="Arial" w:hAnsi="Arial" w:cs="Arial"/>
      <w:b/>
      <w:bCs/>
      <w:sz w:val="24"/>
      <w:szCs w:val="24"/>
    </w:rPr>
  </w:style>
  <w:style w:type="paragraph" w:styleId="Prrafodelista">
    <w:name w:val="List Paragraph"/>
    <w:basedOn w:val="Normal"/>
    <w:link w:val="PrrafodelistaCar"/>
    <w:uiPriority w:val="34"/>
    <w:qFormat/>
    <w:rsid w:val="001405C6"/>
    <w:pPr>
      <w:ind w:left="708"/>
    </w:pPr>
    <w:rPr>
      <w:sz w:val="20"/>
      <w:szCs w:val="20"/>
      <w:lang w:val="es-CO"/>
    </w:rPr>
  </w:style>
  <w:style w:type="character" w:customStyle="1" w:styleId="PrrafodelistaCar">
    <w:name w:val="Párrafo de lista Car"/>
    <w:basedOn w:val="Fuentedeprrafopredeter"/>
    <w:link w:val="Prrafodelista"/>
    <w:uiPriority w:val="34"/>
    <w:rsid w:val="001405C6"/>
    <w:rPr>
      <w:lang w:val="es-CO"/>
    </w:rPr>
  </w:style>
  <w:style w:type="paragraph" w:styleId="TDC1">
    <w:name w:val="toc 1"/>
    <w:basedOn w:val="Normal"/>
    <w:next w:val="Normal"/>
    <w:autoRedefine/>
    <w:semiHidden/>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uiPriority w:val="99"/>
    <w:unhideWhenUsed/>
    <w:rsid w:val="00006AE2"/>
    <w:pPr>
      <w:spacing w:after="120" w:line="480" w:lineRule="auto"/>
    </w:pPr>
  </w:style>
  <w:style w:type="character" w:customStyle="1" w:styleId="Textoindependiente2Car">
    <w:name w:val="Texto independiente 2 Car"/>
    <w:basedOn w:val="Fuentedeprrafopredeter"/>
    <w:link w:val="Textoindependiente2"/>
    <w:uiPriority w:val="99"/>
    <w:rsid w:val="00006AE2"/>
    <w:rPr>
      <w:sz w:val="24"/>
      <w:szCs w:val="24"/>
    </w:rPr>
  </w:style>
  <w:style w:type="paragraph" w:styleId="Epgrafe">
    <w:name w:val="caption"/>
    <w:basedOn w:val="Normal"/>
    <w:next w:val="Normal"/>
    <w:uiPriority w:val="35"/>
    <w:qFormat/>
    <w:rsid w:val="007E65B5"/>
    <w:pPr>
      <w:widowControl w:val="0"/>
      <w:adjustRightInd w:val="0"/>
      <w:spacing w:before="120" w:after="120" w:line="360" w:lineRule="atLeast"/>
      <w:ind w:left="0"/>
      <w:jc w:val="center"/>
      <w:textAlignment w:val="baseline"/>
    </w:pPr>
    <w:rPr>
      <w:rFonts w:ascii="Bookman Old Style" w:hAnsi="Bookman Old Style"/>
      <w:b/>
      <w:sz w:val="22"/>
      <w:szCs w:val="20"/>
    </w:rPr>
  </w:style>
  <w:style w:type="paragraph" w:styleId="Sinespaciado">
    <w:name w:val="No Spacing"/>
    <w:uiPriority w:val="1"/>
    <w:qFormat/>
    <w:rsid w:val="003A31F6"/>
    <w:rPr>
      <w:rFonts w:ascii="Calibri" w:hAnsi="Calibri" w:cs="Calibri"/>
      <w:sz w:val="22"/>
      <w:szCs w:val="22"/>
      <w:lang w:eastAsia="en-US"/>
    </w:rPr>
  </w:style>
  <w:style w:type="character" w:customStyle="1" w:styleId="apple-style-span">
    <w:name w:val="apple-style-span"/>
    <w:basedOn w:val="Fuentedeprrafopredeter"/>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rPr>
  </w:style>
  <w:style w:type="character" w:customStyle="1" w:styleId="SubttuloCar">
    <w:name w:val="Subtítulo Car"/>
    <w:basedOn w:val="Fuentedeprrafopredete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character" w:styleId="Refdecomentario">
    <w:name w:val="annotation reference"/>
    <w:basedOn w:val="Fuentedeprrafopredeter"/>
    <w:uiPriority w:val="99"/>
    <w:semiHidden/>
    <w:unhideWhenUsed/>
    <w:rsid w:val="00EF5C39"/>
    <w:rPr>
      <w:sz w:val="16"/>
      <w:szCs w:val="16"/>
    </w:rPr>
  </w:style>
  <w:style w:type="paragraph" w:styleId="Textocomentario">
    <w:name w:val="annotation text"/>
    <w:basedOn w:val="Normal"/>
    <w:link w:val="TextocomentarioCar"/>
    <w:uiPriority w:val="99"/>
    <w:semiHidden/>
    <w:unhideWhenUsed/>
    <w:rsid w:val="00EF5C39"/>
    <w:rPr>
      <w:sz w:val="20"/>
      <w:szCs w:val="20"/>
    </w:rPr>
  </w:style>
  <w:style w:type="character" w:customStyle="1" w:styleId="TextocomentarioCar">
    <w:name w:val="Texto comentario Car"/>
    <w:basedOn w:val="Fuentedeprrafopredeter"/>
    <w:link w:val="Textocomentario"/>
    <w:uiPriority w:val="99"/>
    <w:semiHidden/>
    <w:rsid w:val="00EF5C39"/>
  </w:style>
  <w:style w:type="paragraph" w:styleId="Asuntodelcomentario">
    <w:name w:val="annotation subject"/>
    <w:basedOn w:val="Textocomentario"/>
    <w:next w:val="Textocomentario"/>
    <w:link w:val="AsuntodelcomentarioCar"/>
    <w:uiPriority w:val="99"/>
    <w:semiHidden/>
    <w:unhideWhenUsed/>
    <w:rsid w:val="00EF5C39"/>
    <w:rPr>
      <w:b/>
      <w:bCs/>
    </w:rPr>
  </w:style>
  <w:style w:type="character" w:customStyle="1" w:styleId="AsuntodelcomentarioCar">
    <w:name w:val="Asunto del comentario Car"/>
    <w:basedOn w:val="TextocomentarioCar"/>
    <w:link w:val="Asuntodelcomentario"/>
    <w:uiPriority w:val="99"/>
    <w:semiHidden/>
    <w:rsid w:val="00EF5C39"/>
    <w:rPr>
      <w:b/>
      <w:bCs/>
    </w:rPr>
  </w:style>
  <w:style w:type="paragraph" w:customStyle="1" w:styleId="articulo">
    <w:name w:val="articulo"/>
    <w:basedOn w:val="Normal"/>
    <w:next w:val="Normal"/>
    <w:autoRedefine/>
    <w:rsid w:val="000339B5"/>
    <w:pPr>
      <w:numPr>
        <w:numId w:val="17"/>
      </w:numPr>
      <w:tabs>
        <w:tab w:val="left" w:pos="-720"/>
        <w:tab w:val="left" w:pos="1620"/>
      </w:tabs>
      <w:suppressAutoHyphens/>
      <w:spacing w:before="240"/>
      <w:jc w:val="both"/>
    </w:pPr>
    <w:rPr>
      <w:rFonts w:ascii="Bookman Old Style" w:hAnsi="Bookman Old Style" w:cs="Arial"/>
      <w:bCs/>
      <w:spacing w:val="-4"/>
    </w:rPr>
  </w:style>
  <w:style w:type="paragraph" w:styleId="Sangra2detindependiente">
    <w:name w:val="Body Text Indent 2"/>
    <w:basedOn w:val="Normal"/>
    <w:link w:val="Sangra2detindependienteCar"/>
    <w:uiPriority w:val="99"/>
    <w:semiHidden/>
    <w:unhideWhenUsed/>
    <w:rsid w:val="00B536F6"/>
    <w:pPr>
      <w:spacing w:after="120" w:line="480" w:lineRule="auto"/>
      <w:ind w:left="283"/>
    </w:pPr>
  </w:style>
  <w:style w:type="character" w:customStyle="1" w:styleId="Sangra2detindependienteCar">
    <w:name w:val="Sangría 2 de t. independiente Car"/>
    <w:basedOn w:val="Fuentedeprrafopredeter"/>
    <w:link w:val="Sangra2detindependiente"/>
    <w:uiPriority w:val="99"/>
    <w:semiHidden/>
    <w:rsid w:val="00B536F6"/>
    <w:rPr>
      <w:sz w:val="24"/>
      <w:szCs w:val="24"/>
    </w:rPr>
  </w:style>
  <w:style w:type="paragraph" w:styleId="Sangradetextonormal">
    <w:name w:val="Body Text Indent"/>
    <w:basedOn w:val="Normal"/>
    <w:link w:val="SangradetextonormalCar"/>
    <w:uiPriority w:val="99"/>
    <w:unhideWhenUsed/>
    <w:rsid w:val="00B536F6"/>
    <w:pPr>
      <w:spacing w:after="120"/>
      <w:ind w:left="283"/>
    </w:pPr>
  </w:style>
  <w:style w:type="character" w:customStyle="1" w:styleId="SangradetextonormalCar">
    <w:name w:val="Sangría de texto normal Car"/>
    <w:basedOn w:val="Fuentedeprrafopredeter"/>
    <w:link w:val="Sangradetextonormal"/>
    <w:uiPriority w:val="99"/>
    <w:rsid w:val="00B536F6"/>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3.pn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png"/><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oleObject" Target="embeddings/oleObject1.bin"/><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D:\Stella%20Rojas\Nueva%20carpeta\PLANTILLA1.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A668A06-F9A4-4E8D-BDE9-A6B13BE42A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PLANTILLA1</Template>
  <TotalTime>1</TotalTime>
  <Pages>6</Pages>
  <Words>1809</Words>
  <Characters>8856</Characters>
  <Application>Microsoft Office Word</Application>
  <DocSecurity>0</DocSecurity>
  <Lines>73</Lines>
  <Paragraphs>21</Paragraphs>
  <ScaleCrop>false</ScaleCrop>
  <HeadingPairs>
    <vt:vector size="2" baseType="variant">
      <vt:variant>
        <vt:lpstr>Título</vt:lpstr>
      </vt:variant>
      <vt:variant>
        <vt:i4>1</vt:i4>
      </vt:variant>
    </vt:vector>
  </HeadingPairs>
  <TitlesOfParts>
    <vt:vector size="1" baseType="lpstr">
      <vt:lpstr/>
    </vt:vector>
  </TitlesOfParts>
  <Company>CREG</Company>
  <LinksUpToDate>false</LinksUpToDate>
  <CharactersWithSpaces>10644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LSROJAS</dc:creator>
  <cp:lastModifiedBy>Maria Eugenia Murillo Ramirez</cp:lastModifiedBy>
  <cp:revision>2</cp:revision>
  <cp:lastPrinted>2011-09-19T20:14:00Z</cp:lastPrinted>
  <dcterms:created xsi:type="dcterms:W3CDTF">2011-11-04T21:02:00Z</dcterms:created>
  <dcterms:modified xsi:type="dcterms:W3CDTF">2011-11-04T21:02:00Z</dcterms:modified>
</cp:coreProperties>
</file>