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D5D4" w14:textId="18679771" w:rsidR="00F742D3" w:rsidRDefault="00F742D3" w:rsidP="00981C5B">
      <w:pPr>
        <w:pStyle w:val="Ttulo4"/>
        <w:tabs>
          <w:tab w:val="left" w:pos="0"/>
          <w:tab w:val="right" w:pos="9356"/>
        </w:tabs>
        <w:ind w:left="0"/>
        <w:jc w:val="left"/>
        <w:rPr>
          <w:rFonts w:ascii="Bookman Old Style" w:hAnsi="Bookman Old Style"/>
          <w:b w:val="0"/>
          <w:bCs/>
          <w:sz w:val="24"/>
          <w:szCs w:val="24"/>
        </w:rPr>
      </w:pPr>
      <w:bookmarkStart w:id="0" w:name="_Hlk59438138"/>
      <w:bookmarkStart w:id="1" w:name="_Hlk83799167"/>
    </w:p>
    <w:p w14:paraId="4F48D45B" w14:textId="1AABB086" w:rsidR="00ED748C" w:rsidRPr="00612C64" w:rsidRDefault="00ED748C" w:rsidP="00ED748C">
      <w:pPr>
        <w:pStyle w:val="Ttulo4"/>
        <w:tabs>
          <w:tab w:val="left" w:pos="0"/>
          <w:tab w:val="right" w:pos="9356"/>
        </w:tabs>
        <w:ind w:left="0"/>
        <w:rPr>
          <w:rFonts w:ascii="Bookman Old Style" w:hAnsi="Bookman Old Style"/>
          <w:b w:val="0"/>
          <w:bCs/>
          <w:noProof/>
          <w:sz w:val="24"/>
          <w:szCs w:val="24"/>
          <w:lang w:val="es-ES"/>
        </w:rPr>
      </w:pPr>
      <w:r w:rsidRPr="00612C64">
        <w:rPr>
          <w:rFonts w:ascii="Bookman Old Style" w:hAnsi="Bookman Old Style"/>
          <w:b w:val="0"/>
          <w:bCs/>
          <w:sz w:val="24"/>
          <w:szCs w:val="24"/>
        </w:rPr>
        <w:t>Ministerio de Minas y Energía</w:t>
      </w:r>
    </w:p>
    <w:p w14:paraId="38077D9A" w14:textId="77777777" w:rsidR="00ED748C" w:rsidRPr="00612C64" w:rsidRDefault="00ED748C" w:rsidP="00ED748C">
      <w:pPr>
        <w:pStyle w:val="Ttulo4"/>
        <w:tabs>
          <w:tab w:val="left" w:pos="0"/>
          <w:tab w:val="right" w:pos="9356"/>
        </w:tabs>
        <w:ind w:left="0"/>
        <w:rPr>
          <w:rFonts w:ascii="Bookman Old Style" w:hAnsi="Bookman Old Style"/>
          <w:b w:val="0"/>
          <w:bCs/>
          <w:sz w:val="24"/>
          <w:szCs w:val="24"/>
        </w:rPr>
      </w:pPr>
    </w:p>
    <w:p w14:paraId="126A4EEC" w14:textId="77777777" w:rsidR="00ED748C" w:rsidRPr="00612C64" w:rsidRDefault="00ED748C" w:rsidP="00ED748C">
      <w:pPr>
        <w:pStyle w:val="Ttulo3"/>
        <w:tabs>
          <w:tab w:val="left" w:pos="0"/>
          <w:tab w:val="right" w:pos="9356"/>
        </w:tabs>
        <w:ind w:left="0"/>
        <w:rPr>
          <w:rFonts w:ascii="Bookman Old Style" w:hAnsi="Bookman Old Style" w:cs="Arial"/>
          <w:spacing w:val="20"/>
          <w:szCs w:val="24"/>
        </w:rPr>
      </w:pPr>
      <w:r w:rsidRPr="00612C64">
        <w:rPr>
          <w:rFonts w:ascii="Bookman Old Style" w:hAnsi="Bookman Old Style" w:cs="Arial"/>
          <w:spacing w:val="20"/>
          <w:szCs w:val="24"/>
        </w:rPr>
        <w:t>COMISIÓN DE REGULACIÓN DE ENERGÍA Y GAS</w:t>
      </w:r>
    </w:p>
    <w:p w14:paraId="13625C46" w14:textId="77777777" w:rsidR="00ED748C" w:rsidRPr="00612C64" w:rsidRDefault="00ED748C" w:rsidP="00ED748C">
      <w:pPr>
        <w:pStyle w:val="Ttulo5"/>
        <w:tabs>
          <w:tab w:val="left" w:pos="0"/>
          <w:tab w:val="right" w:pos="9356"/>
        </w:tabs>
        <w:ind w:left="0"/>
        <w:rPr>
          <w:rFonts w:ascii="Bookman Old Style" w:hAnsi="Bookman Old Style"/>
          <w:sz w:val="24"/>
          <w:szCs w:val="24"/>
        </w:rPr>
      </w:pPr>
    </w:p>
    <w:p w14:paraId="3F7AA72C" w14:textId="77777777" w:rsidR="00ED748C" w:rsidRPr="00612C64" w:rsidRDefault="00ED748C" w:rsidP="00ED748C">
      <w:pPr>
        <w:pStyle w:val="Ttulo5"/>
        <w:tabs>
          <w:tab w:val="left" w:pos="0"/>
          <w:tab w:val="right" w:pos="9356"/>
        </w:tabs>
        <w:ind w:left="0"/>
        <w:rPr>
          <w:rFonts w:ascii="Bookman Old Style" w:hAnsi="Bookman Old Style"/>
          <w:sz w:val="24"/>
          <w:szCs w:val="24"/>
        </w:rPr>
      </w:pPr>
    </w:p>
    <w:p w14:paraId="5F6C103C" w14:textId="09B7BD9B" w:rsidR="00ED748C" w:rsidRPr="00612C64" w:rsidRDefault="00ED748C" w:rsidP="00ED748C">
      <w:pPr>
        <w:pStyle w:val="Ttulo5"/>
        <w:tabs>
          <w:tab w:val="left" w:pos="0"/>
          <w:tab w:val="right" w:pos="9356"/>
        </w:tabs>
        <w:ind w:left="0"/>
        <w:rPr>
          <w:rFonts w:ascii="Bookman Old Style" w:hAnsi="Bookman Old Style"/>
          <w:sz w:val="24"/>
          <w:szCs w:val="24"/>
        </w:rPr>
      </w:pPr>
      <w:r w:rsidRPr="00612C64">
        <w:rPr>
          <w:rFonts w:ascii="Bookman Old Style" w:hAnsi="Bookman Old Style"/>
          <w:sz w:val="24"/>
          <w:szCs w:val="24"/>
        </w:rPr>
        <w:t xml:space="preserve">RESOLUCIÓN No.  </w:t>
      </w:r>
      <w:r w:rsidR="0086328C">
        <w:rPr>
          <w:rFonts w:ascii="Bookman Old Style" w:hAnsi="Bookman Old Style"/>
          <w:sz w:val="32"/>
          <w:szCs w:val="32"/>
        </w:rPr>
        <w:t>205</w:t>
      </w:r>
      <w:r w:rsidRPr="00612C64">
        <w:rPr>
          <w:rFonts w:ascii="Bookman Old Style" w:hAnsi="Bookman Old Style"/>
          <w:sz w:val="24"/>
          <w:szCs w:val="24"/>
        </w:rPr>
        <w:t xml:space="preserve">     DE </w:t>
      </w:r>
      <w:r w:rsidRPr="0086328C">
        <w:rPr>
          <w:rFonts w:ascii="Bookman Old Style" w:hAnsi="Bookman Old Style"/>
          <w:sz w:val="24"/>
          <w:szCs w:val="24"/>
        </w:rPr>
        <w:t>2021</w:t>
      </w:r>
    </w:p>
    <w:p w14:paraId="4FB7B20D" w14:textId="77777777" w:rsidR="00ED748C" w:rsidRPr="00612C64" w:rsidRDefault="00ED748C" w:rsidP="00ED748C">
      <w:pPr>
        <w:tabs>
          <w:tab w:val="left" w:pos="0"/>
          <w:tab w:val="right" w:pos="9356"/>
        </w:tabs>
        <w:ind w:left="0"/>
        <w:jc w:val="center"/>
        <w:rPr>
          <w:rFonts w:ascii="Bookman Old Style" w:hAnsi="Bookman Old Style" w:cs="Arial"/>
          <w:b/>
          <w:snapToGrid w:val="0"/>
          <w:color w:val="000000"/>
          <w:lang w:val="es-ES_tradnl"/>
        </w:rPr>
      </w:pPr>
    </w:p>
    <w:p w14:paraId="553677E9" w14:textId="21F11AC8" w:rsidR="00ED748C" w:rsidRPr="00612C64" w:rsidRDefault="00ED748C" w:rsidP="00ED748C">
      <w:pPr>
        <w:pStyle w:val="Ttulo3"/>
        <w:tabs>
          <w:tab w:val="left" w:pos="0"/>
          <w:tab w:val="right" w:pos="9356"/>
        </w:tabs>
        <w:ind w:left="0"/>
        <w:rPr>
          <w:rFonts w:ascii="Bookman Old Style" w:hAnsi="Bookman Old Style"/>
          <w:b w:val="0"/>
          <w:szCs w:val="24"/>
        </w:rPr>
      </w:pPr>
      <w:r w:rsidRPr="00612C64">
        <w:rPr>
          <w:rFonts w:ascii="Bookman Old Style" w:hAnsi="Bookman Old Style"/>
          <w:b w:val="0"/>
          <w:szCs w:val="24"/>
        </w:rPr>
        <w:t xml:space="preserve">(      </w:t>
      </w:r>
      <w:r w:rsidR="0086328C">
        <w:rPr>
          <w:rFonts w:ascii="Bookman Old Style" w:hAnsi="Bookman Old Style"/>
          <w:bCs/>
          <w:sz w:val="32"/>
          <w:szCs w:val="32"/>
        </w:rPr>
        <w:t>10 NOV. 2021</w:t>
      </w:r>
      <w:r w:rsidRPr="00612C64">
        <w:rPr>
          <w:rFonts w:ascii="Bookman Old Style" w:hAnsi="Bookman Old Style"/>
          <w:b w:val="0"/>
          <w:szCs w:val="24"/>
        </w:rPr>
        <w:t xml:space="preserve">      )</w:t>
      </w:r>
    </w:p>
    <w:p w14:paraId="25A301A9" w14:textId="77777777" w:rsidR="00ED748C" w:rsidRDefault="00ED748C" w:rsidP="00ED748C">
      <w:pPr>
        <w:ind w:left="0" w:right="340"/>
        <w:jc w:val="center"/>
        <w:rPr>
          <w:rFonts w:ascii="Bookman Old Style" w:hAnsi="Bookman Old Style"/>
          <w:lang w:val="es-ES_tradnl" w:eastAsia="es-CO"/>
        </w:rPr>
      </w:pPr>
    </w:p>
    <w:p w14:paraId="798365F7" w14:textId="77777777" w:rsidR="00ED748C" w:rsidRPr="007544C2" w:rsidRDefault="00ED748C" w:rsidP="00ED748C">
      <w:pPr>
        <w:ind w:left="0" w:right="340"/>
        <w:jc w:val="center"/>
        <w:rPr>
          <w:rFonts w:ascii="Bookman Old Style" w:hAnsi="Bookman Old Style"/>
          <w:lang w:val="es-ES_tradnl" w:eastAsia="es-CO"/>
        </w:rPr>
      </w:pPr>
    </w:p>
    <w:p w14:paraId="2CCE2F0E" w14:textId="07012097" w:rsidR="00ED748C" w:rsidRPr="00612C64" w:rsidRDefault="00ED748C" w:rsidP="00CA5EA6">
      <w:pPr>
        <w:ind w:left="0"/>
        <w:jc w:val="center"/>
        <w:rPr>
          <w:rFonts w:ascii="Bookman Old Style" w:hAnsi="Bookman Old Style"/>
        </w:rPr>
      </w:pPr>
      <w:bookmarkStart w:id="2" w:name="_Hlk83755664"/>
      <w:bookmarkStart w:id="3" w:name="_Hlk87014689"/>
      <w:r w:rsidRPr="009A1F22">
        <w:rPr>
          <w:rFonts w:ascii="Bookman Old Style" w:hAnsi="Bookman Old Style" w:cs="Arial"/>
        </w:rPr>
        <w:t xml:space="preserve">Por la cual se </w:t>
      </w:r>
      <w:bookmarkEnd w:id="2"/>
      <w:r w:rsidR="00CA5EA6">
        <w:rPr>
          <w:rFonts w:ascii="Bookman Old Style" w:hAnsi="Bookman Old Style" w:cs="Arial"/>
        </w:rPr>
        <w:t xml:space="preserve">designa </w:t>
      </w:r>
      <w:r w:rsidR="00150CD2">
        <w:rPr>
          <w:rFonts w:ascii="Bookman Old Style" w:hAnsi="Bookman Old Style" w:cs="Arial"/>
        </w:rPr>
        <w:t xml:space="preserve">un </w:t>
      </w:r>
      <w:r w:rsidR="00CA5EA6">
        <w:rPr>
          <w:rFonts w:ascii="Bookman Old Style" w:hAnsi="Bookman Old Style" w:cs="Arial"/>
        </w:rPr>
        <w:t>perito</w:t>
      </w:r>
      <w:r w:rsidR="00672EF5" w:rsidRPr="00672EF5">
        <w:rPr>
          <w:rFonts w:ascii="Bookman Old Style" w:hAnsi="Bookman Old Style" w:cs="Arial"/>
        </w:rPr>
        <w:t xml:space="preserve"> </w:t>
      </w:r>
      <w:r w:rsidR="00672EF5" w:rsidRPr="00DD0B66">
        <w:rPr>
          <w:rFonts w:ascii="Bookman Old Style" w:hAnsi="Bookman Old Style" w:cs="Arial"/>
        </w:rPr>
        <w:t>para establecer el valor de reposición a nuevo de las Estaciones de Regulación de Puerta de Ciudad “La Arenosa” y “Tasajera</w:t>
      </w:r>
      <w:r w:rsidR="007B2B75">
        <w:rPr>
          <w:rFonts w:ascii="Bookman Old Style" w:hAnsi="Bookman Old Style" w:cs="Arial"/>
        </w:rPr>
        <w:t>”.</w:t>
      </w:r>
    </w:p>
    <w:bookmarkEnd w:id="3"/>
    <w:p w14:paraId="7CEFEC5F" w14:textId="15DD490B" w:rsidR="00ED748C" w:rsidRDefault="00ED748C" w:rsidP="00ED748C">
      <w:pPr>
        <w:ind w:left="0"/>
        <w:jc w:val="center"/>
        <w:rPr>
          <w:rFonts w:ascii="Bookman Old Style" w:hAnsi="Bookman Old Style"/>
          <w:b/>
        </w:rPr>
      </w:pPr>
    </w:p>
    <w:p w14:paraId="6547F938" w14:textId="77777777" w:rsidR="00CA5EA6" w:rsidRPr="00612C64" w:rsidRDefault="00CA5EA6" w:rsidP="00ED748C">
      <w:pPr>
        <w:ind w:left="0"/>
        <w:jc w:val="center"/>
        <w:rPr>
          <w:rFonts w:ascii="Bookman Old Style" w:hAnsi="Bookman Old Style"/>
          <w:b/>
        </w:rPr>
      </w:pPr>
    </w:p>
    <w:p w14:paraId="1B4BF2DF" w14:textId="77777777" w:rsidR="00ED748C" w:rsidRPr="00612C64" w:rsidRDefault="00ED748C" w:rsidP="00ED748C">
      <w:pPr>
        <w:ind w:left="0"/>
        <w:jc w:val="center"/>
        <w:rPr>
          <w:rFonts w:ascii="Bookman Old Style" w:hAnsi="Bookman Old Style"/>
          <w:b/>
        </w:rPr>
      </w:pPr>
      <w:r w:rsidRPr="00612C64">
        <w:rPr>
          <w:rFonts w:ascii="Bookman Old Style" w:hAnsi="Bookman Old Style"/>
          <w:b/>
        </w:rPr>
        <w:t>LA COMISIÓN DE REGULACIÓN DE ENERGÍA Y GAS</w:t>
      </w:r>
    </w:p>
    <w:p w14:paraId="4BB12050" w14:textId="77777777" w:rsidR="00ED748C" w:rsidRDefault="00ED748C" w:rsidP="00ED748C">
      <w:pPr>
        <w:ind w:left="0"/>
        <w:jc w:val="both"/>
        <w:rPr>
          <w:rFonts w:ascii="Bookman Old Style" w:hAnsi="Bookman Old Style"/>
        </w:rPr>
      </w:pPr>
    </w:p>
    <w:p w14:paraId="65318BF4" w14:textId="77777777" w:rsidR="00ED748C" w:rsidRPr="00612C64" w:rsidRDefault="00ED748C" w:rsidP="00ED748C">
      <w:pPr>
        <w:ind w:left="0"/>
        <w:jc w:val="both"/>
        <w:rPr>
          <w:rFonts w:ascii="Bookman Old Style" w:hAnsi="Bookman Old Style"/>
        </w:rPr>
      </w:pPr>
    </w:p>
    <w:p w14:paraId="38D30940" w14:textId="58D9D27B" w:rsidR="00ED748C" w:rsidRPr="00612C64" w:rsidRDefault="00ED748C" w:rsidP="00ED748C">
      <w:pPr>
        <w:ind w:left="0" w:right="340"/>
        <w:jc w:val="center"/>
        <w:rPr>
          <w:rFonts w:ascii="Bookman Old Style" w:hAnsi="Bookman Old Style"/>
        </w:rPr>
      </w:pPr>
      <w:r w:rsidRPr="00612C64">
        <w:rPr>
          <w:rFonts w:ascii="Bookman Old Style" w:hAnsi="Bookman Old Style"/>
        </w:rPr>
        <w:t xml:space="preserve">En ejercicio de </w:t>
      </w:r>
      <w:r>
        <w:rPr>
          <w:rFonts w:ascii="Bookman Old Style" w:hAnsi="Bookman Old Style"/>
        </w:rPr>
        <w:t>sus</w:t>
      </w:r>
      <w:r w:rsidRPr="00612C64">
        <w:rPr>
          <w:rFonts w:ascii="Bookman Old Style" w:hAnsi="Bookman Old Style"/>
        </w:rPr>
        <w:t xml:space="preserve"> atribuciones</w:t>
      </w:r>
      <w:r>
        <w:rPr>
          <w:rFonts w:ascii="Bookman Old Style" w:hAnsi="Bookman Old Style"/>
        </w:rPr>
        <w:t xml:space="preserve"> constitucionales y</w:t>
      </w:r>
      <w:r w:rsidRPr="00612C64">
        <w:rPr>
          <w:rFonts w:ascii="Bookman Old Style" w:hAnsi="Bookman Old Style"/>
        </w:rPr>
        <w:t xml:space="preserve"> legales, en especial la</w:t>
      </w:r>
      <w:r w:rsidR="00D9760A">
        <w:rPr>
          <w:rFonts w:ascii="Bookman Old Style" w:hAnsi="Bookman Old Style"/>
        </w:rPr>
        <w:t xml:space="preserve"> prevista en el </w:t>
      </w:r>
      <w:r w:rsidR="001B6DB0" w:rsidRPr="001B6DB0">
        <w:rPr>
          <w:rFonts w:ascii="Bookman Old Style" w:hAnsi="Bookman Old Style"/>
        </w:rPr>
        <w:t xml:space="preserve">Numeral 124.1 del Artículo 124 </w:t>
      </w:r>
      <w:r w:rsidR="001B6DB0">
        <w:rPr>
          <w:rFonts w:ascii="Bookman Old Style" w:hAnsi="Bookman Old Style"/>
        </w:rPr>
        <w:t xml:space="preserve">de </w:t>
      </w:r>
      <w:r w:rsidRPr="00612C64">
        <w:rPr>
          <w:rFonts w:ascii="Bookman Old Style" w:hAnsi="Bookman Old Style"/>
        </w:rPr>
        <w:t>la Ley 142 de 1994</w:t>
      </w:r>
      <w:r w:rsidR="00D9760A">
        <w:rPr>
          <w:rFonts w:ascii="Bookman Old Style" w:hAnsi="Bookman Old Style"/>
        </w:rPr>
        <w:t>;</w:t>
      </w:r>
      <w:r w:rsidRPr="00612C64">
        <w:rPr>
          <w:rFonts w:ascii="Bookman Old Style" w:hAnsi="Bookman Old Style"/>
        </w:rPr>
        <w:t xml:space="preserve"> y,</w:t>
      </w:r>
    </w:p>
    <w:p w14:paraId="1316AE86" w14:textId="77777777" w:rsidR="00ED748C" w:rsidRPr="00612C64" w:rsidRDefault="00ED748C" w:rsidP="00ED748C">
      <w:pPr>
        <w:ind w:left="0"/>
        <w:jc w:val="both"/>
        <w:rPr>
          <w:rFonts w:ascii="Bookman Old Style" w:hAnsi="Bookman Old Style"/>
        </w:rPr>
      </w:pPr>
    </w:p>
    <w:p w14:paraId="68320F16" w14:textId="77777777" w:rsidR="00ED748C" w:rsidRPr="00612C64" w:rsidRDefault="00ED748C" w:rsidP="00ED748C">
      <w:pPr>
        <w:ind w:left="0"/>
        <w:jc w:val="both"/>
        <w:rPr>
          <w:rFonts w:ascii="Bookman Old Style" w:hAnsi="Bookman Old Style"/>
        </w:rPr>
      </w:pPr>
    </w:p>
    <w:p w14:paraId="6379B8F9" w14:textId="78350B17" w:rsidR="00ED748C" w:rsidRPr="00612C64" w:rsidRDefault="00ED748C" w:rsidP="00ED748C">
      <w:pPr>
        <w:ind w:left="0" w:right="51"/>
        <w:jc w:val="center"/>
        <w:rPr>
          <w:rFonts w:ascii="Bookman Old Style" w:hAnsi="Bookman Old Style"/>
          <w:b/>
        </w:rPr>
      </w:pPr>
      <w:r w:rsidRPr="00612C64">
        <w:rPr>
          <w:rFonts w:ascii="Bookman Old Style" w:hAnsi="Bookman Old Style"/>
          <w:b/>
        </w:rPr>
        <w:t>CONSIDERANDO QUE:</w:t>
      </w:r>
    </w:p>
    <w:p w14:paraId="4FBA1D92" w14:textId="77777777" w:rsidR="00ED748C" w:rsidRPr="00612C64" w:rsidRDefault="00ED748C" w:rsidP="00ED748C">
      <w:pPr>
        <w:ind w:left="0" w:right="51"/>
        <w:jc w:val="center"/>
        <w:rPr>
          <w:rFonts w:ascii="Bookman Old Style" w:hAnsi="Bookman Old Style"/>
          <w:b/>
        </w:rPr>
      </w:pPr>
    </w:p>
    <w:p w14:paraId="23EDF149" w14:textId="3EC2D0E0"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Mediante las Resoluciones CREG 202 de 2013, 138 de 2014, 090 y 132 de 2018, y 011 de 2020</w:t>
      </w:r>
      <w:r w:rsidR="002F2AC9">
        <w:rPr>
          <w:rFonts w:ascii="Bookman Old Style" w:hAnsi="Bookman Old Style" w:cs="Arial"/>
        </w:rPr>
        <w:t>,</w:t>
      </w:r>
      <w:r w:rsidRPr="00AE7189">
        <w:rPr>
          <w:rFonts w:ascii="Bookman Old Style" w:hAnsi="Bookman Old Style" w:cs="Arial"/>
        </w:rPr>
        <w:t xml:space="preserve"> se establecieron los criterios generales para remunerar la actividad de distribución de gas combustible por redes de tubería, en adelante la Metodología.</w:t>
      </w:r>
    </w:p>
    <w:p w14:paraId="7A4E4A78"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288BCC57"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En el inciso cuarto del Numeral 13.2 del Artículo 13 de dicha Metodología se dispone que las empresas distribuidoras podrán incluir, dentro del Programa de Reposición de Activos para el Siguiente Período Tarifario que presenten en su solicitud tarifaria, las estaciones de regulación de puerta de ciudad que hayan estado en la base tarifaria de transporte de un transportador de gas natural, cuando se den las siguientes condiciones:</w:t>
      </w:r>
    </w:p>
    <w:p w14:paraId="162AEB11"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0788AD44" w14:textId="77777777" w:rsidR="00AE7189" w:rsidRPr="00AE7189" w:rsidRDefault="00AE7189" w:rsidP="002F2AC9">
      <w:pPr>
        <w:overflowPunct w:val="0"/>
        <w:autoSpaceDE w:val="0"/>
        <w:autoSpaceDN w:val="0"/>
        <w:adjustRightInd w:val="0"/>
        <w:ind w:left="709" w:hanging="425"/>
        <w:jc w:val="both"/>
        <w:rPr>
          <w:rFonts w:ascii="Bookman Old Style" w:hAnsi="Bookman Old Style" w:cs="Arial"/>
          <w:i/>
          <w:iCs/>
        </w:rPr>
      </w:pPr>
      <w:r w:rsidRPr="00AE7189">
        <w:rPr>
          <w:rFonts w:ascii="Bookman Old Style" w:hAnsi="Bookman Old Style" w:cs="Arial"/>
        </w:rPr>
        <w:t>i)</w:t>
      </w:r>
      <w:r w:rsidRPr="00AE7189">
        <w:rPr>
          <w:rFonts w:ascii="Bookman Old Style" w:hAnsi="Bookman Old Style" w:cs="Arial"/>
        </w:rPr>
        <w:tab/>
      </w:r>
      <w:r w:rsidRPr="00AE7189">
        <w:rPr>
          <w:rFonts w:ascii="Bookman Old Style" w:hAnsi="Bookman Old Style" w:cs="Arial"/>
          <w:i/>
          <w:iCs/>
        </w:rPr>
        <w:t xml:space="preserve">“que la Estación de Regulación de Puerta de Ciudad se esté remunerando a través de los cargos establecidos para un gasoducto de transporte de gas natural; </w:t>
      </w:r>
    </w:p>
    <w:p w14:paraId="216BC520" w14:textId="77777777" w:rsidR="00AE7189" w:rsidRPr="00AE7189" w:rsidRDefault="00AE7189" w:rsidP="002F2AC9">
      <w:pPr>
        <w:overflowPunct w:val="0"/>
        <w:autoSpaceDE w:val="0"/>
        <w:autoSpaceDN w:val="0"/>
        <w:adjustRightInd w:val="0"/>
        <w:ind w:left="709" w:hanging="425"/>
        <w:jc w:val="both"/>
        <w:rPr>
          <w:rFonts w:ascii="Bookman Old Style" w:hAnsi="Bookman Old Style" w:cs="Arial"/>
          <w:i/>
          <w:iCs/>
        </w:rPr>
      </w:pPr>
      <w:r w:rsidRPr="00AE7189">
        <w:rPr>
          <w:rFonts w:ascii="Bookman Old Style" w:hAnsi="Bookman Old Style" w:cs="Arial"/>
          <w:i/>
          <w:iCs/>
        </w:rPr>
        <w:t>ii)</w:t>
      </w:r>
      <w:r w:rsidRPr="00AE7189">
        <w:rPr>
          <w:rFonts w:ascii="Bookman Old Style" w:hAnsi="Bookman Old Style" w:cs="Arial"/>
          <w:i/>
          <w:iCs/>
        </w:rPr>
        <w:tab/>
        <w:t xml:space="preserve">que el gasoducto de transporte cumpla el período de vida útil normativa, VUN, antes del vencimiento del período tarifario de los cargos de distribución aprobados con la presente metodología; </w:t>
      </w:r>
    </w:p>
    <w:p w14:paraId="3E7611AD" w14:textId="77777777" w:rsidR="00AE7189" w:rsidRPr="00AE7189" w:rsidRDefault="00AE7189" w:rsidP="002F2AC9">
      <w:pPr>
        <w:overflowPunct w:val="0"/>
        <w:autoSpaceDE w:val="0"/>
        <w:autoSpaceDN w:val="0"/>
        <w:adjustRightInd w:val="0"/>
        <w:ind w:left="709" w:hanging="425"/>
        <w:jc w:val="both"/>
        <w:rPr>
          <w:rFonts w:ascii="Bookman Old Style" w:hAnsi="Bookman Old Style" w:cs="Arial"/>
          <w:i/>
          <w:iCs/>
        </w:rPr>
      </w:pPr>
      <w:r w:rsidRPr="00AE7189">
        <w:rPr>
          <w:rFonts w:ascii="Bookman Old Style" w:hAnsi="Bookman Old Style" w:cs="Arial"/>
          <w:i/>
          <w:iCs/>
        </w:rPr>
        <w:t>iii)</w:t>
      </w:r>
      <w:r w:rsidRPr="00AE7189">
        <w:rPr>
          <w:rFonts w:ascii="Bookman Old Style" w:hAnsi="Bookman Old Style" w:cs="Arial"/>
          <w:i/>
          <w:iCs/>
        </w:rPr>
        <w:tab/>
        <w:t xml:space="preserve">que la empresa transportadora haya hecho la solicitud a la CREG de que trata el literal a) del artículo 14 de la Resolución CREG 126 de 2010 para el reconocimiento de la inversión a la terminación de VUN y, </w:t>
      </w:r>
    </w:p>
    <w:p w14:paraId="5290E467" w14:textId="2370C052" w:rsidR="00AE7189" w:rsidRDefault="00AE7189" w:rsidP="002F2AC9">
      <w:pPr>
        <w:overflowPunct w:val="0"/>
        <w:autoSpaceDE w:val="0"/>
        <w:autoSpaceDN w:val="0"/>
        <w:adjustRightInd w:val="0"/>
        <w:ind w:left="709" w:hanging="425"/>
        <w:jc w:val="both"/>
        <w:rPr>
          <w:rFonts w:ascii="Bookman Old Style" w:hAnsi="Bookman Old Style" w:cs="Arial"/>
          <w:i/>
          <w:iCs/>
        </w:rPr>
      </w:pPr>
      <w:r w:rsidRPr="00AE7189">
        <w:rPr>
          <w:rFonts w:ascii="Bookman Old Style" w:hAnsi="Bookman Old Style" w:cs="Arial"/>
          <w:i/>
          <w:iCs/>
        </w:rPr>
        <w:t>iv)</w:t>
      </w:r>
      <w:r w:rsidRPr="00AE7189">
        <w:rPr>
          <w:rFonts w:ascii="Bookman Old Style" w:hAnsi="Bookman Old Style" w:cs="Arial"/>
          <w:i/>
          <w:iCs/>
        </w:rPr>
        <w:tab/>
        <w:t>en la resolución particular de ajuste de los cargos de transporte no se haya incluido la Estación de Regulación de Puerta de Ciudad que estaba en el respectivo gasoducto.”</w:t>
      </w:r>
    </w:p>
    <w:p w14:paraId="378ECD9A" w14:textId="77777777" w:rsidR="00AE7189" w:rsidRPr="00AE7189" w:rsidRDefault="00AE7189" w:rsidP="00AE7189">
      <w:pPr>
        <w:overflowPunct w:val="0"/>
        <w:autoSpaceDE w:val="0"/>
        <w:autoSpaceDN w:val="0"/>
        <w:adjustRightInd w:val="0"/>
        <w:ind w:left="851" w:right="425" w:hanging="425"/>
        <w:jc w:val="both"/>
        <w:rPr>
          <w:rFonts w:ascii="Bookman Old Style" w:hAnsi="Bookman Old Style" w:cs="Arial"/>
          <w:i/>
          <w:iCs/>
        </w:rPr>
      </w:pPr>
    </w:p>
    <w:p w14:paraId="1B9712FF"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 xml:space="preserve">Adicionalmente, el Parágrafo 1 de la misma disposición establece cómo se determina el valor a reconocer por el activo y, en el inciso final del mismo se </w:t>
      </w:r>
      <w:r w:rsidRPr="00AE7189">
        <w:rPr>
          <w:rFonts w:ascii="Bookman Old Style" w:hAnsi="Bookman Old Style" w:cs="Arial"/>
        </w:rPr>
        <w:lastRenderedPageBreak/>
        <w:t>precisa que, en el caso de que dichas estaciones no puedan homologarse a las definidas en el Anexo 8 de la Metodología, la Comisión designará un perito para estimar el costo de reposición.</w:t>
      </w:r>
    </w:p>
    <w:p w14:paraId="0DC0705F"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5121DFAE" w14:textId="0F0C7221"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 xml:space="preserve">Es pertinente señalar que el Numeral 124.1 del Artículo 124 de la Ley 142 de 1994 dispone que </w:t>
      </w:r>
      <w:r w:rsidRPr="00AE7189">
        <w:rPr>
          <w:rFonts w:ascii="Bookman Old Style" w:hAnsi="Bookman Old Style" w:cs="Arial"/>
          <w:i/>
          <w:iCs/>
        </w:rPr>
        <w:t>“cuando corresponda a la comisión como autoridad nombrar peritos, el nombramiento corresponderá a la comisión misma”</w:t>
      </w:r>
      <w:r w:rsidR="002F2AC9">
        <w:rPr>
          <w:rFonts w:ascii="Bookman Old Style" w:hAnsi="Bookman Old Style" w:cs="Arial"/>
          <w:i/>
          <w:iCs/>
        </w:rPr>
        <w:t xml:space="preserve">. </w:t>
      </w:r>
      <w:r w:rsidR="002F2AC9" w:rsidRPr="002F2AC9">
        <w:rPr>
          <w:rFonts w:ascii="Bookman Old Style" w:hAnsi="Bookman Old Style" w:cs="Arial"/>
        </w:rPr>
        <w:t>E</w:t>
      </w:r>
      <w:r w:rsidRPr="00AE7189">
        <w:rPr>
          <w:rFonts w:ascii="Bookman Old Style" w:hAnsi="Bookman Old Style" w:cs="Arial"/>
        </w:rPr>
        <w:t>n atención a ello, en el Numeral 1 del Literal b) del Artículo 14 de la Resolución CREG 126 de 20101, modificado por el Artículo 1 de la Resolución CREG 148 de 2017 se prevé, en relación con las actuaciones administrativas que se adelanten a fin de reconocer el valor de las inversiones en gasoductos que hayan cumplido su vida útil normativa, VUN, la designación de un perito por parte de</w:t>
      </w:r>
      <w:r w:rsidRPr="00AE7189">
        <w:t xml:space="preserve"> </w:t>
      </w:r>
      <w:r w:rsidRPr="00AE7189">
        <w:rPr>
          <w:rFonts w:ascii="Bookman Old Style" w:hAnsi="Bookman Old Style" w:cs="Arial"/>
        </w:rPr>
        <w:t>la Comisión para la estimación del costo de reposición a nuevo del activo</w:t>
      </w:r>
      <w:r w:rsidR="002F2AC9">
        <w:rPr>
          <w:rFonts w:ascii="Bookman Old Style" w:hAnsi="Bookman Old Style" w:cs="Arial"/>
        </w:rPr>
        <w:t>,</w:t>
      </w:r>
      <w:r w:rsidRPr="00AE7189">
        <w:rPr>
          <w:rFonts w:ascii="Bookman Old Style" w:hAnsi="Bookman Old Style" w:cs="Arial"/>
        </w:rPr>
        <w:t xml:space="preserve"> y la selección del perito de una lista conformada previamente por la misma entidad, con base en las calidades allí establecidas para el efecto.</w:t>
      </w:r>
    </w:p>
    <w:p w14:paraId="1B8EF6CC"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569EA8C1" w14:textId="6B831263"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Previo un riguroso proceso de selección objetiva, mediante la Resolución CREG 080 de 2013, modificada por la Resolución CREG 059 de 2019, se conformó la lista en mención, la cual está integrada como sigue:</w:t>
      </w:r>
    </w:p>
    <w:p w14:paraId="1FBCDA3E"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tbl>
      <w:tblPr>
        <w:tblStyle w:val="Tablaconcuadrcula"/>
        <w:tblW w:w="0" w:type="auto"/>
        <w:jc w:val="center"/>
        <w:tblLook w:val="04A0" w:firstRow="1" w:lastRow="0" w:firstColumn="1" w:lastColumn="0" w:noHBand="0" w:noVBand="1"/>
      </w:tblPr>
      <w:tblGrid>
        <w:gridCol w:w="5344"/>
      </w:tblGrid>
      <w:tr w:rsidR="00AE7189" w14:paraId="57691BB5" w14:textId="77777777" w:rsidTr="00385D1F">
        <w:trPr>
          <w:trHeight w:val="288"/>
          <w:jc w:val="center"/>
        </w:trPr>
        <w:tc>
          <w:tcPr>
            <w:tcW w:w="5344" w:type="dxa"/>
            <w:shd w:val="clear" w:color="auto" w:fill="BFBFBF" w:themeFill="background1" w:themeFillShade="BF"/>
          </w:tcPr>
          <w:p w14:paraId="4FADBE44"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b/>
                <w:bCs/>
                <w:sz w:val="20"/>
                <w:szCs w:val="20"/>
              </w:rPr>
              <w:t>PERSONAS JURÍDICAS</w:t>
            </w:r>
          </w:p>
        </w:tc>
      </w:tr>
      <w:tr w:rsidR="00AE7189" w14:paraId="4639CAB8" w14:textId="77777777" w:rsidTr="00385D1F">
        <w:trPr>
          <w:trHeight w:val="288"/>
          <w:jc w:val="center"/>
        </w:trPr>
        <w:tc>
          <w:tcPr>
            <w:tcW w:w="5344" w:type="dxa"/>
          </w:tcPr>
          <w:p w14:paraId="7658C2E5"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sz w:val="20"/>
                <w:szCs w:val="20"/>
              </w:rPr>
              <w:t>Sener Ingeniería y Sistemas Colombia S.A.S.</w:t>
            </w:r>
          </w:p>
        </w:tc>
      </w:tr>
      <w:tr w:rsidR="00AE7189" w14:paraId="7D45D6E6" w14:textId="77777777" w:rsidTr="00385D1F">
        <w:trPr>
          <w:trHeight w:val="288"/>
          <w:jc w:val="center"/>
        </w:trPr>
        <w:tc>
          <w:tcPr>
            <w:tcW w:w="5344" w:type="dxa"/>
          </w:tcPr>
          <w:p w14:paraId="3222D4AE"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sz w:val="20"/>
                <w:szCs w:val="20"/>
              </w:rPr>
              <w:t>Arthur D Little Inc.</w:t>
            </w:r>
          </w:p>
        </w:tc>
      </w:tr>
      <w:tr w:rsidR="00AE7189" w14:paraId="186A0D51" w14:textId="77777777" w:rsidTr="00385D1F">
        <w:trPr>
          <w:trHeight w:val="288"/>
          <w:jc w:val="center"/>
        </w:trPr>
        <w:tc>
          <w:tcPr>
            <w:tcW w:w="5344" w:type="dxa"/>
          </w:tcPr>
          <w:p w14:paraId="7B521E87"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sz w:val="20"/>
                <w:szCs w:val="20"/>
              </w:rPr>
              <w:t>Ersnt &amp; Young S.A.S.</w:t>
            </w:r>
          </w:p>
        </w:tc>
      </w:tr>
      <w:tr w:rsidR="00AE7189" w14:paraId="4F8E034B" w14:textId="77777777" w:rsidTr="00385D1F">
        <w:trPr>
          <w:trHeight w:val="288"/>
          <w:jc w:val="center"/>
        </w:trPr>
        <w:tc>
          <w:tcPr>
            <w:tcW w:w="5344" w:type="dxa"/>
          </w:tcPr>
          <w:p w14:paraId="378DA209"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sz w:val="20"/>
                <w:szCs w:val="20"/>
              </w:rPr>
              <w:t>DNV-GL Ltda.</w:t>
            </w:r>
          </w:p>
        </w:tc>
      </w:tr>
      <w:tr w:rsidR="00AE7189" w14:paraId="11E6542F" w14:textId="77777777" w:rsidTr="00385D1F">
        <w:trPr>
          <w:trHeight w:val="288"/>
          <w:jc w:val="center"/>
        </w:trPr>
        <w:tc>
          <w:tcPr>
            <w:tcW w:w="5344" w:type="dxa"/>
          </w:tcPr>
          <w:p w14:paraId="16212DCA"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sz w:val="20"/>
                <w:szCs w:val="20"/>
              </w:rPr>
              <w:t>Fichtner GMBH &amp; Co. Kg.</w:t>
            </w:r>
          </w:p>
        </w:tc>
      </w:tr>
      <w:tr w:rsidR="00AE7189" w14:paraId="27C51138" w14:textId="77777777" w:rsidTr="00385D1F">
        <w:trPr>
          <w:trHeight w:val="288"/>
          <w:jc w:val="center"/>
        </w:trPr>
        <w:tc>
          <w:tcPr>
            <w:tcW w:w="5344" w:type="dxa"/>
          </w:tcPr>
          <w:p w14:paraId="4C385296"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sz w:val="20"/>
                <w:szCs w:val="20"/>
              </w:rPr>
              <w:t>Divisa Ingenieros Asociados Ltda.</w:t>
            </w:r>
          </w:p>
        </w:tc>
      </w:tr>
      <w:tr w:rsidR="00AE7189" w14:paraId="7F46BBBE" w14:textId="77777777" w:rsidTr="00385D1F">
        <w:trPr>
          <w:trHeight w:val="288"/>
          <w:jc w:val="center"/>
        </w:trPr>
        <w:tc>
          <w:tcPr>
            <w:tcW w:w="5344" w:type="dxa"/>
          </w:tcPr>
          <w:p w14:paraId="4E326B2F" w14:textId="77777777" w:rsidR="00AE7189" w:rsidRPr="001C3466" w:rsidRDefault="00AE7189" w:rsidP="001C3466">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ind w:left="30"/>
              <w:jc w:val="center"/>
              <w:rPr>
                <w:rFonts w:ascii="Bookman Old Style" w:eastAsia="Calibri" w:hAnsi="Bookman Old Style" w:cs="Arial"/>
                <w:color w:val="000000"/>
                <w:sz w:val="20"/>
                <w:szCs w:val="20"/>
                <w:lang w:val="es-ES_tradnl"/>
              </w:rPr>
            </w:pPr>
            <w:r w:rsidRPr="001C3466">
              <w:rPr>
                <w:rFonts w:ascii="Bookman Old Style" w:hAnsi="Bookman Old Style" w:cs="Arial"/>
                <w:sz w:val="20"/>
                <w:szCs w:val="20"/>
              </w:rPr>
              <w:t>Tipiel S.A.</w:t>
            </w:r>
          </w:p>
        </w:tc>
      </w:tr>
    </w:tbl>
    <w:p w14:paraId="64E2C2C8"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6A576512" w14:textId="118DC8E6" w:rsid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Ahora bien, por una parte, las empresas GASES DEL CARIBE S.A. E.S.P. y PROMIGAS S.A. E.S.P. presentaron una solicitud tarifaria conjunta, la cual fue resuelta mediante la Resolución CREG 198 de 2017. En el Programa de Reposición de Activos para el Siguiente P</w:t>
      </w:r>
      <w:r w:rsidR="002F2AC9">
        <w:rPr>
          <w:rFonts w:ascii="Bookman Old Style" w:hAnsi="Bookman Old Style" w:cs="Arial"/>
        </w:rPr>
        <w:t>eríodo</w:t>
      </w:r>
      <w:r w:rsidRPr="00AE7189">
        <w:rPr>
          <w:rFonts w:ascii="Bookman Old Style" w:hAnsi="Bookman Old Style" w:cs="Arial"/>
        </w:rPr>
        <w:t xml:space="preserve"> Tarifario presentado en dicha solicitud, las empresas reportaron la Estación de Regulación de Puerta de Ciudad “La Arenosa” que, por sus características, no es homologable a las establecidas en el Anexo 8 de la Metodología, razón por la cual, en la parte considerativa del mencionado acto administrativo se dispuso lo siguiente:</w:t>
      </w:r>
    </w:p>
    <w:p w14:paraId="01153F1A" w14:textId="77777777" w:rsidR="001C3466" w:rsidRPr="00AE7189" w:rsidRDefault="001C3466" w:rsidP="00AE7189">
      <w:pPr>
        <w:overflowPunct w:val="0"/>
        <w:autoSpaceDE w:val="0"/>
        <w:autoSpaceDN w:val="0"/>
        <w:adjustRightInd w:val="0"/>
        <w:ind w:left="0"/>
        <w:jc w:val="both"/>
        <w:rPr>
          <w:rFonts w:ascii="Bookman Old Style" w:hAnsi="Bookman Old Style" w:cs="Arial"/>
        </w:rPr>
      </w:pPr>
    </w:p>
    <w:p w14:paraId="35CD4B64" w14:textId="77777777" w:rsidR="00AE7189" w:rsidRPr="001C3466" w:rsidRDefault="00AE7189" w:rsidP="002F2AC9">
      <w:pPr>
        <w:overflowPunct w:val="0"/>
        <w:autoSpaceDE w:val="0"/>
        <w:autoSpaceDN w:val="0"/>
        <w:adjustRightInd w:val="0"/>
        <w:ind w:left="426"/>
        <w:jc w:val="both"/>
        <w:rPr>
          <w:rFonts w:ascii="Bookman Old Style" w:hAnsi="Bookman Old Style" w:cs="Arial"/>
          <w:i/>
          <w:iCs/>
        </w:rPr>
      </w:pPr>
      <w:r w:rsidRPr="001C3466">
        <w:rPr>
          <w:rFonts w:ascii="Bookman Old Style" w:hAnsi="Bookman Old Style" w:cs="Arial"/>
          <w:i/>
          <w:iCs/>
        </w:rPr>
        <w:t xml:space="preserve">“En el programa de reposición de activos reportado por las empresas se incluye la Estación de Regulación y Medición La Arenosa, la cual será objeto de una evaluación posterior conforme a lo definido en el Parágrafo 1 del numeral 13.2 de la Resolución CREG 202 de 2013, modificado por la Resolución CREG 138 de 2014 (…). Una vez valorado el costo de reposición de dicho activo, la Comisión lo establecerá mediante acto administrativo con el fin de que la empresa lo incluya en el cálculo del delta de reposición respectivo”. </w:t>
      </w:r>
    </w:p>
    <w:p w14:paraId="72ADCABF" w14:textId="77777777" w:rsidR="001C3466" w:rsidRDefault="001C3466" w:rsidP="00AE7189">
      <w:pPr>
        <w:overflowPunct w:val="0"/>
        <w:autoSpaceDE w:val="0"/>
        <w:autoSpaceDN w:val="0"/>
        <w:adjustRightInd w:val="0"/>
        <w:ind w:left="0"/>
        <w:jc w:val="both"/>
        <w:rPr>
          <w:rFonts w:ascii="Bookman Old Style" w:hAnsi="Bookman Old Style" w:cs="Arial"/>
        </w:rPr>
      </w:pPr>
    </w:p>
    <w:p w14:paraId="1FD20BBA" w14:textId="0D1D32EC"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La Comisión, de oficio, mediante Auto I-2021-002181</w:t>
      </w:r>
      <w:r w:rsidR="002F2AC9">
        <w:rPr>
          <w:rFonts w:ascii="Bookman Old Style" w:hAnsi="Bookman Old Style" w:cs="Arial"/>
        </w:rPr>
        <w:t>,</w:t>
      </w:r>
      <w:r w:rsidRPr="00AE7189">
        <w:rPr>
          <w:rFonts w:ascii="Bookman Old Style" w:hAnsi="Bookman Old Style" w:cs="Arial"/>
        </w:rPr>
        <w:t xml:space="preserve"> inició actuación administrativa con el objeto de estimar el costo de reposición de la Estación de Regulación Puerta de Ciudad “La Arenosa”, a efectos de que ésta sea reconocida dentro de la Inversión Base de Reposición de Activos (IRAIE) aprobada en la Resolución CREG 198 de 2017. Esta actuación se encuentra contenida en el </w:t>
      </w:r>
      <w:r w:rsidRPr="00AE7189">
        <w:rPr>
          <w:rFonts w:ascii="Bookman Old Style" w:hAnsi="Bookman Old Style" w:cs="Arial"/>
        </w:rPr>
        <w:lastRenderedPageBreak/>
        <w:t>Expediente CREG 2021-0128, dentro de la cual</w:t>
      </w:r>
      <w:r w:rsidR="002F2AC9">
        <w:rPr>
          <w:rFonts w:ascii="Bookman Old Style" w:hAnsi="Bookman Old Style" w:cs="Arial"/>
        </w:rPr>
        <w:t>,</w:t>
      </w:r>
      <w:r w:rsidRPr="00AE7189">
        <w:rPr>
          <w:rFonts w:ascii="Bookman Old Style" w:hAnsi="Bookman Old Style" w:cs="Arial"/>
        </w:rPr>
        <w:t xml:space="preserve"> mediante Auto I-2021-002731</w:t>
      </w:r>
      <w:r w:rsidR="002F2AC9">
        <w:rPr>
          <w:rFonts w:ascii="Bookman Old Style" w:hAnsi="Bookman Old Style" w:cs="Arial"/>
        </w:rPr>
        <w:t>,</w:t>
      </w:r>
      <w:r w:rsidRPr="00AE7189">
        <w:rPr>
          <w:rFonts w:ascii="Bookman Old Style" w:hAnsi="Bookman Old Style" w:cs="Arial"/>
        </w:rPr>
        <w:t xml:space="preserve"> se abrió período probatorio y se decretaron, entre otras pruebas, las siguientes:</w:t>
      </w:r>
    </w:p>
    <w:p w14:paraId="5818B496"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46D4CC69" w14:textId="77777777" w:rsidR="00AE7189" w:rsidRPr="001C3466" w:rsidRDefault="00AE7189" w:rsidP="002F2AC9">
      <w:pPr>
        <w:overflowPunct w:val="0"/>
        <w:autoSpaceDE w:val="0"/>
        <w:autoSpaceDN w:val="0"/>
        <w:adjustRightInd w:val="0"/>
        <w:ind w:left="993" w:hanging="426"/>
        <w:jc w:val="both"/>
        <w:rPr>
          <w:rFonts w:ascii="Bookman Old Style" w:hAnsi="Bookman Old Style" w:cs="Arial"/>
          <w:i/>
          <w:iCs/>
        </w:rPr>
      </w:pPr>
      <w:r w:rsidRPr="00AE7189">
        <w:rPr>
          <w:rFonts w:ascii="Bookman Old Style" w:hAnsi="Bookman Old Style" w:cs="Arial"/>
        </w:rPr>
        <w:t>1.</w:t>
      </w:r>
      <w:r w:rsidRPr="00AE7189">
        <w:rPr>
          <w:rFonts w:ascii="Bookman Old Style" w:hAnsi="Bookman Old Style" w:cs="Arial"/>
        </w:rPr>
        <w:tab/>
      </w:r>
      <w:r w:rsidRPr="001C3466">
        <w:rPr>
          <w:rFonts w:ascii="Bookman Old Style" w:hAnsi="Bookman Old Style" w:cs="Arial"/>
          <w:i/>
          <w:iCs/>
        </w:rPr>
        <w:t xml:space="preserve">“Ordenar la práctica del Peritaje previsto en el inciso final de Parágrafo 1 del Numeral 13.2 del Artículo 13 de la Metodología contenida en las Resoluciones Contenida en las Resoluciones CREG 202 de 2013, 138 de 2014, 090 y 132 de 2018, y 011 de 2020, con el objeto de estimar el costo de reposición de la Estación de Regulación de Puerta de Ciudad “La Arenosa” ubicada en la ciudad de Barranquilla, Departamento de Atlántico.  </w:t>
      </w:r>
    </w:p>
    <w:p w14:paraId="6CB2C3E4" w14:textId="77777777" w:rsidR="00AE7189" w:rsidRPr="001C3466" w:rsidRDefault="00AE7189" w:rsidP="002F2AC9">
      <w:pPr>
        <w:overflowPunct w:val="0"/>
        <w:autoSpaceDE w:val="0"/>
        <w:autoSpaceDN w:val="0"/>
        <w:adjustRightInd w:val="0"/>
        <w:ind w:left="993" w:hanging="426"/>
        <w:jc w:val="both"/>
        <w:rPr>
          <w:rFonts w:ascii="Bookman Old Style" w:hAnsi="Bookman Old Style" w:cs="Arial"/>
          <w:i/>
          <w:iCs/>
        </w:rPr>
      </w:pPr>
      <w:r w:rsidRPr="001C3466">
        <w:rPr>
          <w:rFonts w:ascii="Bookman Old Style" w:hAnsi="Bookman Old Style" w:cs="Arial"/>
          <w:i/>
          <w:iCs/>
        </w:rPr>
        <w:t>2.</w:t>
      </w:r>
      <w:r w:rsidRPr="001C3466">
        <w:rPr>
          <w:rFonts w:ascii="Bookman Old Style" w:hAnsi="Bookman Old Style" w:cs="Arial"/>
          <w:i/>
          <w:iCs/>
        </w:rPr>
        <w:tab/>
        <w:t>(…)</w:t>
      </w:r>
    </w:p>
    <w:p w14:paraId="2111E350" w14:textId="77777777" w:rsidR="00AE7189" w:rsidRPr="001C3466" w:rsidRDefault="00AE7189" w:rsidP="002F2AC9">
      <w:pPr>
        <w:overflowPunct w:val="0"/>
        <w:autoSpaceDE w:val="0"/>
        <w:autoSpaceDN w:val="0"/>
        <w:adjustRightInd w:val="0"/>
        <w:ind w:left="993" w:hanging="426"/>
        <w:jc w:val="both"/>
        <w:rPr>
          <w:rFonts w:ascii="Bookman Old Style" w:hAnsi="Bookman Old Style" w:cs="Arial"/>
          <w:i/>
          <w:iCs/>
        </w:rPr>
      </w:pPr>
    </w:p>
    <w:p w14:paraId="464A33AD" w14:textId="7E3DCE21" w:rsidR="00AE7189" w:rsidRDefault="00AE7189" w:rsidP="002F2AC9">
      <w:pPr>
        <w:overflowPunct w:val="0"/>
        <w:autoSpaceDE w:val="0"/>
        <w:autoSpaceDN w:val="0"/>
        <w:adjustRightInd w:val="0"/>
        <w:ind w:left="993" w:hanging="426"/>
        <w:jc w:val="both"/>
        <w:rPr>
          <w:rFonts w:ascii="Bookman Old Style" w:hAnsi="Bookman Old Style" w:cs="Arial"/>
          <w:i/>
          <w:iCs/>
        </w:rPr>
      </w:pPr>
      <w:r w:rsidRPr="001C3466">
        <w:rPr>
          <w:rFonts w:ascii="Bookman Old Style" w:hAnsi="Bookman Old Style" w:cs="Arial"/>
          <w:i/>
          <w:iCs/>
        </w:rPr>
        <w:t>3.</w:t>
      </w:r>
      <w:r w:rsidRPr="001C3466">
        <w:rPr>
          <w:rFonts w:ascii="Bookman Old Style" w:hAnsi="Bookman Old Style" w:cs="Arial"/>
          <w:i/>
          <w:iCs/>
        </w:rPr>
        <w:tab/>
        <w:t>Ordenar que se surta el trámite a que haya lugar para la designación del perito que deberá rendir el dictamen pericial de que trata el Numeral 1, el cual se seleccionará de la Lista de Peritos integrada en el Artículo 1 de la Resolución CREG 080 de 2013, modificada por la Resolución CREG 059 de 2019.”</w:t>
      </w:r>
    </w:p>
    <w:p w14:paraId="2419D3E2" w14:textId="77777777" w:rsidR="001C3466" w:rsidRPr="001C3466" w:rsidRDefault="001C3466" w:rsidP="001C3466">
      <w:pPr>
        <w:overflowPunct w:val="0"/>
        <w:autoSpaceDE w:val="0"/>
        <w:autoSpaceDN w:val="0"/>
        <w:adjustRightInd w:val="0"/>
        <w:ind w:left="993" w:right="425" w:hanging="426"/>
        <w:jc w:val="both"/>
        <w:rPr>
          <w:rFonts w:ascii="Bookman Old Style" w:hAnsi="Bookman Old Style" w:cs="Arial"/>
          <w:i/>
          <w:iCs/>
        </w:rPr>
      </w:pPr>
    </w:p>
    <w:p w14:paraId="27AD55DB" w14:textId="488E8BD6"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Por su parte, Empresas Públicas de Medellín E.S.P. presentó solicitud tarifaria, respecto de la cual se encuentra en curso la correspondiente actuación administrativa de aprobación de cargos de distribución de gas combustible iniciada en virtud de</w:t>
      </w:r>
      <w:r w:rsidR="002F2AC9">
        <w:rPr>
          <w:rFonts w:ascii="Bookman Old Style" w:hAnsi="Bookman Old Style" w:cs="Arial"/>
        </w:rPr>
        <w:t>l</w:t>
      </w:r>
      <w:r w:rsidRPr="00AE7189">
        <w:rPr>
          <w:rFonts w:ascii="Bookman Old Style" w:hAnsi="Bookman Old Style" w:cs="Arial"/>
        </w:rPr>
        <w:t xml:space="preserve"> Auto I-2021-004323. En el Programa de Reposición de Activos para el Siguiente P</w:t>
      </w:r>
      <w:r w:rsidR="002F2AC9">
        <w:rPr>
          <w:rFonts w:ascii="Bookman Old Style" w:hAnsi="Bookman Old Style" w:cs="Arial"/>
        </w:rPr>
        <w:t>eríodo</w:t>
      </w:r>
      <w:r w:rsidRPr="00AE7189">
        <w:rPr>
          <w:rFonts w:ascii="Bookman Old Style" w:hAnsi="Bookman Old Style" w:cs="Arial"/>
        </w:rPr>
        <w:t xml:space="preserve"> Tarifario de dicha solicitud</w:t>
      </w:r>
      <w:r w:rsidR="002F2AC9">
        <w:rPr>
          <w:rFonts w:ascii="Bookman Old Style" w:hAnsi="Bookman Old Style" w:cs="Arial"/>
        </w:rPr>
        <w:t>,</w:t>
      </w:r>
      <w:r w:rsidRPr="00AE7189">
        <w:rPr>
          <w:rFonts w:ascii="Bookman Old Style" w:hAnsi="Bookman Old Style" w:cs="Arial"/>
        </w:rPr>
        <w:t xml:space="preserve"> la Empresa incluyó la Estación de Regulación de Puerta de Ciudad “Tasajera”, respecto de la cual se señala que, debido a sus características técnicas, no puede ser homologada a las unidades constructivas definidas en el Anexo 8 de la Metodología.</w:t>
      </w:r>
    </w:p>
    <w:p w14:paraId="3FC37C83"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498C9225"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Dentro de la mencionada actuación administrativa, mediante Auto I-2021-002224 se decretaron, entre otras, las siguientes pruebas:</w:t>
      </w:r>
    </w:p>
    <w:p w14:paraId="30CF6624"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1F8E3E9C" w14:textId="77777777" w:rsidR="00AE7189" w:rsidRPr="004E0476" w:rsidRDefault="00AE7189" w:rsidP="002F2AC9">
      <w:pPr>
        <w:overflowPunct w:val="0"/>
        <w:autoSpaceDE w:val="0"/>
        <w:autoSpaceDN w:val="0"/>
        <w:adjustRightInd w:val="0"/>
        <w:ind w:left="993" w:hanging="426"/>
        <w:jc w:val="both"/>
        <w:rPr>
          <w:rFonts w:ascii="Bookman Old Style" w:hAnsi="Bookman Old Style" w:cs="Arial"/>
          <w:i/>
          <w:iCs/>
        </w:rPr>
      </w:pPr>
      <w:r w:rsidRPr="00AE7189">
        <w:rPr>
          <w:rFonts w:ascii="Bookman Old Style" w:hAnsi="Bookman Old Style" w:cs="Arial"/>
        </w:rPr>
        <w:t>1.</w:t>
      </w:r>
      <w:r w:rsidRPr="00AE7189">
        <w:rPr>
          <w:rFonts w:ascii="Bookman Old Style" w:hAnsi="Bookman Old Style" w:cs="Arial"/>
        </w:rPr>
        <w:tab/>
      </w:r>
      <w:r w:rsidRPr="004E0476">
        <w:rPr>
          <w:rFonts w:ascii="Bookman Old Style" w:hAnsi="Bookman Old Style" w:cs="Arial"/>
          <w:i/>
          <w:iCs/>
        </w:rPr>
        <w:t xml:space="preserve">“Ordenar la práctica del Peritaje previsto en el inciso final de Parágrafo 1 del Numeral 13.2 del Artículo 13 de la Metodología contenida en las Resoluciones Contenida en las Resoluciones CREG 202 de 2013, 138 de 2014, 090 y 132 de 2018, y 011 de 2020, con el objeto de estimar el costo de reposición de la Estación de Regulación de Puerta de Ciudad ubicada en Barbosa, Antioquia.  </w:t>
      </w:r>
    </w:p>
    <w:p w14:paraId="2F049DBF" w14:textId="77777777" w:rsidR="00AE7189" w:rsidRPr="004E0476" w:rsidRDefault="00AE7189" w:rsidP="002F2AC9">
      <w:pPr>
        <w:overflowPunct w:val="0"/>
        <w:autoSpaceDE w:val="0"/>
        <w:autoSpaceDN w:val="0"/>
        <w:adjustRightInd w:val="0"/>
        <w:ind w:left="993" w:hanging="426"/>
        <w:jc w:val="both"/>
        <w:rPr>
          <w:rFonts w:ascii="Bookman Old Style" w:hAnsi="Bookman Old Style" w:cs="Arial"/>
          <w:i/>
          <w:iCs/>
        </w:rPr>
      </w:pPr>
    </w:p>
    <w:p w14:paraId="5F246F44" w14:textId="77777777" w:rsidR="00AE7189" w:rsidRPr="004E0476" w:rsidRDefault="00AE7189" w:rsidP="002F2AC9">
      <w:pPr>
        <w:overflowPunct w:val="0"/>
        <w:autoSpaceDE w:val="0"/>
        <w:autoSpaceDN w:val="0"/>
        <w:adjustRightInd w:val="0"/>
        <w:ind w:left="993" w:hanging="426"/>
        <w:jc w:val="both"/>
        <w:rPr>
          <w:rFonts w:ascii="Bookman Old Style" w:hAnsi="Bookman Old Style" w:cs="Arial"/>
          <w:i/>
          <w:iCs/>
        </w:rPr>
      </w:pPr>
      <w:r w:rsidRPr="004E0476">
        <w:rPr>
          <w:rFonts w:ascii="Bookman Old Style" w:hAnsi="Bookman Old Style" w:cs="Arial"/>
          <w:i/>
          <w:iCs/>
        </w:rPr>
        <w:t>2.</w:t>
      </w:r>
      <w:r w:rsidRPr="004E0476">
        <w:rPr>
          <w:rFonts w:ascii="Bookman Old Style" w:hAnsi="Bookman Old Style" w:cs="Arial"/>
          <w:i/>
          <w:iCs/>
        </w:rPr>
        <w:tab/>
        <w:t>(…)</w:t>
      </w:r>
    </w:p>
    <w:p w14:paraId="13CD7D77" w14:textId="77777777" w:rsidR="00AE7189" w:rsidRPr="004E0476" w:rsidRDefault="00AE7189" w:rsidP="002F2AC9">
      <w:pPr>
        <w:overflowPunct w:val="0"/>
        <w:autoSpaceDE w:val="0"/>
        <w:autoSpaceDN w:val="0"/>
        <w:adjustRightInd w:val="0"/>
        <w:ind w:left="993" w:hanging="426"/>
        <w:jc w:val="both"/>
        <w:rPr>
          <w:rFonts w:ascii="Bookman Old Style" w:hAnsi="Bookman Old Style" w:cs="Arial"/>
          <w:i/>
          <w:iCs/>
        </w:rPr>
      </w:pPr>
    </w:p>
    <w:p w14:paraId="4D52F813" w14:textId="77777777" w:rsidR="00AE7189" w:rsidRPr="004E0476" w:rsidRDefault="00AE7189" w:rsidP="002F2AC9">
      <w:pPr>
        <w:overflowPunct w:val="0"/>
        <w:autoSpaceDE w:val="0"/>
        <w:autoSpaceDN w:val="0"/>
        <w:adjustRightInd w:val="0"/>
        <w:ind w:left="993" w:hanging="426"/>
        <w:jc w:val="both"/>
        <w:rPr>
          <w:rFonts w:ascii="Bookman Old Style" w:hAnsi="Bookman Old Style" w:cs="Arial"/>
          <w:i/>
          <w:iCs/>
        </w:rPr>
      </w:pPr>
      <w:r w:rsidRPr="004E0476">
        <w:rPr>
          <w:rFonts w:ascii="Bookman Old Style" w:hAnsi="Bookman Old Style" w:cs="Arial"/>
          <w:i/>
          <w:iCs/>
        </w:rPr>
        <w:t>3.</w:t>
      </w:r>
      <w:r w:rsidRPr="004E0476">
        <w:rPr>
          <w:rFonts w:ascii="Bookman Old Style" w:hAnsi="Bookman Old Style" w:cs="Arial"/>
          <w:i/>
          <w:iCs/>
        </w:rPr>
        <w:tab/>
        <w:t>Ordenar que se surta el trámite a que haya lugar para la designación del perito que deberá rendir el dictamen pericial de que trata el Numeral 1, el cual se seleccionará de la Lista de Peritos integrada en el Artículo 1 de la Resolución CREG 080 de 2013, modificada por la Resolución CREG 059 de 2019.”</w:t>
      </w:r>
    </w:p>
    <w:p w14:paraId="09133EFD" w14:textId="77777777" w:rsidR="004E0476" w:rsidRDefault="004E0476" w:rsidP="00AE7189">
      <w:pPr>
        <w:overflowPunct w:val="0"/>
        <w:autoSpaceDE w:val="0"/>
        <w:autoSpaceDN w:val="0"/>
        <w:adjustRightInd w:val="0"/>
        <w:ind w:left="0"/>
        <w:jc w:val="both"/>
        <w:rPr>
          <w:rFonts w:ascii="Bookman Old Style" w:hAnsi="Bookman Old Style" w:cs="Arial"/>
        </w:rPr>
      </w:pPr>
    </w:p>
    <w:p w14:paraId="0303D370" w14:textId="36E50151" w:rsidR="00AE7189" w:rsidRPr="00AE7189" w:rsidRDefault="00B373C1" w:rsidP="00AE7189">
      <w:pPr>
        <w:overflowPunct w:val="0"/>
        <w:autoSpaceDE w:val="0"/>
        <w:autoSpaceDN w:val="0"/>
        <w:adjustRightInd w:val="0"/>
        <w:ind w:left="0"/>
        <w:jc w:val="both"/>
        <w:rPr>
          <w:rFonts w:ascii="Bookman Old Style" w:hAnsi="Bookman Old Style" w:cs="Arial"/>
        </w:rPr>
      </w:pPr>
      <w:r>
        <w:rPr>
          <w:rFonts w:ascii="Bookman Old Style" w:hAnsi="Bookman Old Style" w:cs="Arial"/>
        </w:rPr>
        <w:t>C</w:t>
      </w:r>
      <w:r w:rsidR="00AE7189" w:rsidRPr="00AE7189">
        <w:rPr>
          <w:rFonts w:ascii="Bookman Old Style" w:hAnsi="Bookman Old Style" w:cs="Arial"/>
        </w:rPr>
        <w:t>onforme a lo establecido en la Metodología</w:t>
      </w:r>
      <w:r w:rsidR="002F2AC9">
        <w:rPr>
          <w:rFonts w:ascii="Bookman Old Style" w:hAnsi="Bookman Old Style" w:cs="Arial"/>
        </w:rPr>
        <w:t>,</w:t>
      </w:r>
      <w:r w:rsidR="00AE7189" w:rsidRPr="00AE7189">
        <w:rPr>
          <w:rFonts w:ascii="Bookman Old Style" w:hAnsi="Bookman Old Style" w:cs="Arial"/>
        </w:rPr>
        <w:t xml:space="preserve"> y </w:t>
      </w:r>
      <w:r w:rsidR="002F2AC9">
        <w:rPr>
          <w:rFonts w:ascii="Bookman Old Style" w:hAnsi="Bookman Old Style" w:cs="Arial"/>
        </w:rPr>
        <w:t xml:space="preserve">en </w:t>
      </w:r>
      <w:r w:rsidR="00AE7189" w:rsidRPr="00AE7189">
        <w:rPr>
          <w:rFonts w:ascii="Bookman Old Style" w:hAnsi="Bookman Old Style" w:cs="Arial"/>
        </w:rPr>
        <w:t>atención a las pruebas decretadas dentro las respectivas Actuaciones Administrativas, se hace necesaria la designación por parte de la CREG del perito que deberá rendir los correspondientes peritajes.</w:t>
      </w:r>
    </w:p>
    <w:p w14:paraId="44D31DB2" w14:textId="77777777" w:rsidR="00AE7189" w:rsidRPr="00AE7189" w:rsidRDefault="00AE7189" w:rsidP="00AE7189">
      <w:pPr>
        <w:overflowPunct w:val="0"/>
        <w:autoSpaceDE w:val="0"/>
        <w:autoSpaceDN w:val="0"/>
        <w:adjustRightInd w:val="0"/>
        <w:ind w:left="0"/>
        <w:jc w:val="both"/>
        <w:rPr>
          <w:rFonts w:ascii="Bookman Old Style" w:hAnsi="Bookman Old Style" w:cs="Arial"/>
        </w:rPr>
      </w:pPr>
    </w:p>
    <w:p w14:paraId="059806B3" w14:textId="77777777" w:rsidR="00F55598" w:rsidRDefault="00AE7189" w:rsidP="00F55598">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lastRenderedPageBreak/>
        <w:t>Con el propósito de establecer el costo de los peritajes en cuestión, se invitó a cotizar a las siete (7) firmas que conforman la Lista de Peritos integrada por la Comisión</w:t>
      </w:r>
      <w:r w:rsidR="00F55598">
        <w:rPr>
          <w:rFonts w:ascii="Bookman Old Style" w:hAnsi="Bookman Old Style" w:cs="Arial"/>
        </w:rPr>
        <w:t xml:space="preserve">, entre las cuales la cotización más favorable fue la presentada por la firma </w:t>
      </w:r>
      <w:r w:rsidR="00F55598" w:rsidRPr="002A28A7">
        <w:rPr>
          <w:rFonts w:ascii="Bookman Old Style" w:hAnsi="Bookman Old Style" w:cs="Arial"/>
        </w:rPr>
        <w:t>Divisa Ingenieros Asociados Ltda</w:t>
      </w:r>
      <w:r w:rsidR="00F55598" w:rsidRPr="00AE7189">
        <w:rPr>
          <w:rFonts w:ascii="Bookman Old Style" w:hAnsi="Bookman Old Style" w:cs="Arial"/>
        </w:rPr>
        <w:t xml:space="preserve">. </w:t>
      </w:r>
    </w:p>
    <w:p w14:paraId="4346C946" w14:textId="77777777" w:rsidR="00F55598" w:rsidRDefault="00F55598" w:rsidP="00AE7189">
      <w:pPr>
        <w:overflowPunct w:val="0"/>
        <w:autoSpaceDE w:val="0"/>
        <w:autoSpaceDN w:val="0"/>
        <w:adjustRightInd w:val="0"/>
        <w:ind w:left="0"/>
        <w:jc w:val="both"/>
        <w:rPr>
          <w:rFonts w:ascii="Bookman Old Style" w:hAnsi="Bookman Old Style" w:cs="Arial"/>
        </w:rPr>
      </w:pPr>
    </w:p>
    <w:p w14:paraId="287914A2" w14:textId="4FBBE2ED" w:rsidR="00ED748C" w:rsidRDefault="00AE7189" w:rsidP="00AE7189">
      <w:pPr>
        <w:overflowPunct w:val="0"/>
        <w:autoSpaceDE w:val="0"/>
        <w:autoSpaceDN w:val="0"/>
        <w:adjustRightInd w:val="0"/>
        <w:ind w:left="0"/>
        <w:jc w:val="both"/>
        <w:rPr>
          <w:rFonts w:ascii="Bookman Old Style" w:hAnsi="Bookman Old Style" w:cs="Arial"/>
        </w:rPr>
      </w:pPr>
      <w:r w:rsidRPr="00AE7189">
        <w:rPr>
          <w:rFonts w:ascii="Bookman Old Style" w:hAnsi="Bookman Old Style" w:cs="Arial"/>
        </w:rPr>
        <w:t>Con base en las cotizaciones recibidas, el Comité de Expertos</w:t>
      </w:r>
      <w:r w:rsidR="002F2AC9">
        <w:rPr>
          <w:rFonts w:ascii="Bookman Old Style" w:hAnsi="Bookman Old Style" w:cs="Arial"/>
        </w:rPr>
        <w:t>,</w:t>
      </w:r>
      <w:r w:rsidRPr="00AE7189">
        <w:rPr>
          <w:rFonts w:ascii="Bookman Old Style" w:hAnsi="Bookman Old Style" w:cs="Arial"/>
        </w:rPr>
        <w:t xml:space="preserve"> en sesión llevada a cabo el 2 de noviembre de 2021</w:t>
      </w:r>
      <w:r w:rsidR="002F2AC9">
        <w:rPr>
          <w:rFonts w:ascii="Bookman Old Style" w:hAnsi="Bookman Old Style" w:cs="Arial"/>
        </w:rPr>
        <w:t>,</w:t>
      </w:r>
      <w:r w:rsidR="00B373C1">
        <w:rPr>
          <w:rFonts w:ascii="Bookman Old Style" w:hAnsi="Bookman Old Style" w:cs="Arial"/>
        </w:rPr>
        <w:t xml:space="preserve"> a</w:t>
      </w:r>
      <w:r w:rsidRPr="00AE7189">
        <w:rPr>
          <w:rFonts w:ascii="Bookman Old Style" w:hAnsi="Bookman Old Style" w:cs="Arial"/>
        </w:rPr>
        <w:t xml:space="preserve">utorizó </w:t>
      </w:r>
      <w:r w:rsidR="00B373C1">
        <w:rPr>
          <w:rFonts w:ascii="Bookman Old Style" w:hAnsi="Bookman Old Style" w:cs="Arial"/>
        </w:rPr>
        <w:t>el</w:t>
      </w:r>
      <w:r w:rsidRPr="00AE7189">
        <w:rPr>
          <w:rFonts w:ascii="Bookman Old Style" w:hAnsi="Bookman Old Style" w:cs="Arial"/>
        </w:rPr>
        <w:t xml:space="preserve"> presupuesto para cubrir los honorarios que se causen por dichos peritajes; los cuales</w:t>
      </w:r>
      <w:r w:rsidR="002F2AC9">
        <w:rPr>
          <w:rFonts w:ascii="Bookman Old Style" w:hAnsi="Bookman Old Style" w:cs="Arial"/>
        </w:rPr>
        <w:t>,</w:t>
      </w:r>
      <w:r w:rsidRPr="00AE7189">
        <w:rPr>
          <w:rFonts w:ascii="Bookman Old Style" w:hAnsi="Bookman Old Style" w:cs="Arial"/>
        </w:rPr>
        <w:t xml:space="preserve"> conforme a lo previsto en </w:t>
      </w:r>
      <w:r w:rsidR="002F2AC9">
        <w:rPr>
          <w:rFonts w:ascii="Bookman Old Style" w:hAnsi="Bookman Old Style" w:cs="Arial"/>
        </w:rPr>
        <w:t xml:space="preserve">el </w:t>
      </w:r>
      <w:r w:rsidRPr="00AE7189">
        <w:rPr>
          <w:rFonts w:ascii="Bookman Old Style" w:hAnsi="Bookman Old Style" w:cs="Arial"/>
        </w:rPr>
        <w:t>Art</w:t>
      </w:r>
      <w:r w:rsidR="00F55598">
        <w:rPr>
          <w:rFonts w:ascii="Bookman Old Style" w:hAnsi="Bookman Old Style" w:cs="Arial"/>
        </w:rPr>
        <w:t>í</w:t>
      </w:r>
      <w:r w:rsidRPr="00AE7189">
        <w:rPr>
          <w:rFonts w:ascii="Bookman Old Style" w:hAnsi="Bookman Old Style" w:cs="Arial"/>
        </w:rPr>
        <w:t>culo 109 de Ley 142 de 1994</w:t>
      </w:r>
      <w:r w:rsidR="002F2AC9">
        <w:rPr>
          <w:rFonts w:ascii="Bookman Old Style" w:hAnsi="Bookman Old Style" w:cs="Arial"/>
        </w:rPr>
        <w:t>,</w:t>
      </w:r>
      <w:r w:rsidRPr="00AE7189">
        <w:rPr>
          <w:rFonts w:ascii="Bookman Old Style" w:hAnsi="Bookman Old Style" w:cs="Arial"/>
        </w:rPr>
        <w:t xml:space="preserve"> corren a cargo de la CREG, toda vez que las pruebas periciales que nos ocupan fueron decretadas de oficio.</w:t>
      </w:r>
    </w:p>
    <w:p w14:paraId="3ED00793" w14:textId="1AD74224" w:rsidR="00797D9B" w:rsidRDefault="00797D9B" w:rsidP="00AE7189">
      <w:pPr>
        <w:overflowPunct w:val="0"/>
        <w:autoSpaceDE w:val="0"/>
        <w:autoSpaceDN w:val="0"/>
        <w:adjustRightInd w:val="0"/>
        <w:ind w:left="0"/>
        <w:jc w:val="both"/>
        <w:rPr>
          <w:rFonts w:ascii="Bookman Old Style" w:hAnsi="Bookman Old Style" w:cs="Arial"/>
        </w:rPr>
      </w:pPr>
    </w:p>
    <w:p w14:paraId="3A48A993" w14:textId="24309946" w:rsidR="00F55598" w:rsidRDefault="00F55598" w:rsidP="003D349D">
      <w:pPr>
        <w:ind w:left="0"/>
        <w:jc w:val="both"/>
        <w:rPr>
          <w:rFonts w:ascii="Bookman Old Style" w:hAnsi="Bookman Old Style" w:cs="Arial"/>
        </w:rPr>
      </w:pPr>
      <w:r>
        <w:rPr>
          <w:rFonts w:ascii="Bookman Old Style" w:hAnsi="Bookman Old Style" w:cs="Arial"/>
        </w:rPr>
        <w:t>Para cubrir los honorarios del perito</w:t>
      </w:r>
      <w:r w:rsidR="002F2AC9">
        <w:rPr>
          <w:rFonts w:ascii="Bookman Old Style" w:hAnsi="Bookman Old Style" w:cs="Arial"/>
        </w:rPr>
        <w:t>,</w:t>
      </w:r>
      <w:r>
        <w:rPr>
          <w:rFonts w:ascii="Bookman Old Style" w:hAnsi="Bookman Old Style" w:cs="Arial"/>
        </w:rPr>
        <w:t xml:space="preserve"> la Subdirección Administrativa y Financiera expidió el </w:t>
      </w:r>
      <w:r w:rsidR="00575DD8">
        <w:rPr>
          <w:rFonts w:ascii="Bookman Old Style" w:hAnsi="Bookman Old Style" w:cs="Arial"/>
        </w:rPr>
        <w:t>C</w:t>
      </w:r>
      <w:r>
        <w:rPr>
          <w:rFonts w:ascii="Bookman Old Style" w:hAnsi="Bookman Old Style" w:cs="Arial"/>
        </w:rPr>
        <w:t xml:space="preserve">ertificado de </w:t>
      </w:r>
      <w:r w:rsidR="00575DD8">
        <w:rPr>
          <w:rFonts w:ascii="Bookman Old Style" w:hAnsi="Bookman Old Style" w:cs="Arial"/>
        </w:rPr>
        <w:t>D</w:t>
      </w:r>
      <w:r>
        <w:rPr>
          <w:rFonts w:ascii="Bookman Old Style" w:hAnsi="Bookman Old Style" w:cs="Arial"/>
        </w:rPr>
        <w:t xml:space="preserve">isponibilidad </w:t>
      </w:r>
      <w:r w:rsidR="00575DD8">
        <w:rPr>
          <w:rFonts w:ascii="Bookman Old Style" w:hAnsi="Bookman Old Style" w:cs="Arial"/>
        </w:rPr>
        <w:t>P</w:t>
      </w:r>
      <w:r>
        <w:rPr>
          <w:rFonts w:ascii="Bookman Old Style" w:hAnsi="Bookman Old Style" w:cs="Arial"/>
        </w:rPr>
        <w:t>resupuestal No</w:t>
      </w:r>
      <w:r w:rsidR="00575DD8" w:rsidRPr="0086328C">
        <w:rPr>
          <w:rFonts w:ascii="Bookman Old Style" w:hAnsi="Bookman Old Style" w:cs="Arial"/>
        </w:rPr>
        <w:t>.</w:t>
      </w:r>
      <w:r w:rsidR="003D349D" w:rsidRPr="0086328C">
        <w:rPr>
          <w:rFonts w:ascii="Bookman Old Style" w:hAnsi="Bookman Old Style" w:cs="Arial"/>
          <w:bCs/>
        </w:rPr>
        <w:t>13121 del</w:t>
      </w:r>
      <w:r w:rsidR="003D349D">
        <w:rPr>
          <w:rFonts w:ascii="Bookman Old Style" w:hAnsi="Bookman Old Style" w:cs="Arial"/>
          <w:bCs/>
        </w:rPr>
        <w:t xml:space="preserve"> 10 de noviembre de 2021</w:t>
      </w:r>
      <w:r w:rsidR="00575DD8">
        <w:rPr>
          <w:rFonts w:ascii="Bookman Old Style" w:hAnsi="Bookman Old Style" w:cs="Arial"/>
        </w:rPr>
        <w:t>.</w:t>
      </w:r>
    </w:p>
    <w:p w14:paraId="30CCC259" w14:textId="77777777" w:rsidR="00F55598" w:rsidRDefault="00F55598" w:rsidP="00AE7189">
      <w:pPr>
        <w:overflowPunct w:val="0"/>
        <w:autoSpaceDE w:val="0"/>
        <w:autoSpaceDN w:val="0"/>
        <w:adjustRightInd w:val="0"/>
        <w:ind w:left="0"/>
        <w:jc w:val="both"/>
        <w:rPr>
          <w:rFonts w:ascii="Bookman Old Style" w:hAnsi="Bookman Old Style" w:cs="Arial"/>
        </w:rPr>
      </w:pPr>
    </w:p>
    <w:p w14:paraId="0F3BCEB0" w14:textId="0A07657E" w:rsidR="00B373C1" w:rsidRDefault="00797D9B" w:rsidP="00AE7189">
      <w:pPr>
        <w:overflowPunct w:val="0"/>
        <w:autoSpaceDE w:val="0"/>
        <w:autoSpaceDN w:val="0"/>
        <w:adjustRightInd w:val="0"/>
        <w:ind w:left="0"/>
        <w:jc w:val="both"/>
        <w:rPr>
          <w:rFonts w:ascii="Bookman Old Style" w:hAnsi="Bookman Old Style" w:cs="Arial"/>
        </w:rPr>
      </w:pPr>
      <w:r>
        <w:rPr>
          <w:rFonts w:ascii="Bookman Old Style" w:hAnsi="Bookman Old Style" w:cs="Arial"/>
        </w:rPr>
        <w:t>Por lo anterior,</w:t>
      </w:r>
      <w:r w:rsidRPr="00FB4562">
        <w:rPr>
          <w:rFonts w:ascii="Bookman Old Style" w:hAnsi="Bookman Old Style"/>
          <w:lang w:eastAsia="es-CO"/>
        </w:rPr>
        <w:t xml:space="preserve"> </w:t>
      </w:r>
      <w:r>
        <w:rPr>
          <w:rFonts w:ascii="Bookman Old Style" w:hAnsi="Bookman Old Style" w:cs="Arial"/>
        </w:rPr>
        <w:t>l</w:t>
      </w:r>
      <w:r w:rsidRPr="00612C64">
        <w:rPr>
          <w:rFonts w:ascii="Bookman Old Style" w:hAnsi="Bookman Old Style" w:cs="Arial"/>
        </w:rPr>
        <w:t xml:space="preserve">a Comisión de Regulación de Energía y Gas, en su </w:t>
      </w:r>
      <w:r>
        <w:rPr>
          <w:rFonts w:ascii="Bookman Old Style" w:hAnsi="Bookman Old Style" w:cs="Arial"/>
        </w:rPr>
        <w:t>S</w:t>
      </w:r>
      <w:r w:rsidRPr="009A1F22">
        <w:rPr>
          <w:rFonts w:ascii="Bookman Old Style" w:hAnsi="Bookman Old Style" w:cs="Arial"/>
        </w:rPr>
        <w:t>esión</w:t>
      </w:r>
      <w:r w:rsidR="0086328C">
        <w:rPr>
          <w:rFonts w:ascii="Bookman Old Style" w:hAnsi="Bookman Old Style" w:cs="Arial"/>
        </w:rPr>
        <w:t xml:space="preserve"> No.</w:t>
      </w:r>
      <w:r w:rsidR="00851A60">
        <w:rPr>
          <w:rFonts w:ascii="Bookman Old Style" w:hAnsi="Bookman Old Style" w:cs="Arial"/>
        </w:rPr>
        <w:t xml:space="preserve">1136 </w:t>
      </w:r>
      <w:r>
        <w:rPr>
          <w:rFonts w:ascii="Bookman Old Style" w:hAnsi="Bookman Old Style" w:cs="Arial"/>
        </w:rPr>
        <w:t xml:space="preserve">del </w:t>
      </w:r>
      <w:r w:rsidR="00851A60">
        <w:rPr>
          <w:rFonts w:ascii="Bookman Old Style" w:hAnsi="Bookman Old Style" w:cs="Arial"/>
        </w:rPr>
        <w:t>10</w:t>
      </w:r>
      <w:r>
        <w:rPr>
          <w:rFonts w:ascii="Bookman Old Style" w:hAnsi="Bookman Old Style" w:cs="Arial"/>
        </w:rPr>
        <w:t xml:space="preserve"> </w:t>
      </w:r>
      <w:r w:rsidRPr="009A1F22">
        <w:rPr>
          <w:rFonts w:ascii="Bookman Old Style" w:hAnsi="Bookman Old Style" w:cs="Arial"/>
          <w:spacing w:val="-3"/>
          <w:sz w:val="25"/>
          <w:szCs w:val="25"/>
        </w:rPr>
        <w:t xml:space="preserve">de </w:t>
      </w:r>
      <w:r>
        <w:rPr>
          <w:rFonts w:ascii="Bookman Old Style" w:hAnsi="Bookman Old Style" w:cs="Arial"/>
          <w:spacing w:val="-3"/>
          <w:sz w:val="25"/>
          <w:szCs w:val="25"/>
        </w:rPr>
        <w:t xml:space="preserve">noviembre de </w:t>
      </w:r>
      <w:r w:rsidRPr="009A1F22">
        <w:rPr>
          <w:rFonts w:ascii="Bookman Old Style" w:hAnsi="Bookman Old Style" w:cs="Arial"/>
          <w:spacing w:val="-3"/>
          <w:sz w:val="25"/>
          <w:szCs w:val="25"/>
        </w:rPr>
        <w:t>2021</w:t>
      </w:r>
      <w:r w:rsidRPr="00DA50B1">
        <w:rPr>
          <w:rFonts w:ascii="Bookman Old Style" w:hAnsi="Bookman Old Style" w:cs="Arial"/>
        </w:rPr>
        <w:t>,</w:t>
      </w:r>
      <w:r w:rsidR="00DC6D9A">
        <w:rPr>
          <w:rFonts w:ascii="Bookman Old Style" w:hAnsi="Bookman Old Style" w:cs="Arial"/>
        </w:rPr>
        <w:t xml:space="preserve"> </w:t>
      </w:r>
      <w:r w:rsidR="00DC6D9A" w:rsidRPr="00DC6D9A">
        <w:rPr>
          <w:rFonts w:ascii="Bookman Old Style" w:hAnsi="Bookman Old Style" w:cs="Arial"/>
        </w:rPr>
        <w:t>acordó expedir la presente Resolución</w:t>
      </w:r>
      <w:r w:rsidR="00DC6D9A">
        <w:rPr>
          <w:rFonts w:ascii="Bookman Old Style" w:hAnsi="Bookman Old Style" w:cs="Arial"/>
        </w:rPr>
        <w:t>.</w:t>
      </w:r>
    </w:p>
    <w:p w14:paraId="15E60544" w14:textId="23AC4B07" w:rsidR="00B373C1" w:rsidRDefault="00B373C1" w:rsidP="00AE7189">
      <w:pPr>
        <w:overflowPunct w:val="0"/>
        <w:autoSpaceDE w:val="0"/>
        <w:autoSpaceDN w:val="0"/>
        <w:adjustRightInd w:val="0"/>
        <w:ind w:left="0"/>
        <w:jc w:val="both"/>
        <w:rPr>
          <w:rFonts w:ascii="Bookman Old Style" w:hAnsi="Bookman Old Style" w:cs="Arial"/>
        </w:rPr>
      </w:pPr>
    </w:p>
    <w:p w14:paraId="14D9EC92" w14:textId="77777777" w:rsidR="00575DD8" w:rsidRDefault="00575DD8" w:rsidP="00ED748C">
      <w:pPr>
        <w:keepNext/>
        <w:ind w:left="0"/>
        <w:jc w:val="center"/>
        <w:rPr>
          <w:rFonts w:ascii="Bookman Old Style" w:hAnsi="Bookman Old Style" w:cs="Arial"/>
          <w:b/>
        </w:rPr>
      </w:pPr>
    </w:p>
    <w:p w14:paraId="0E3EEE3F" w14:textId="4B479989" w:rsidR="00ED748C" w:rsidRPr="00612C64" w:rsidRDefault="00ED748C" w:rsidP="00ED748C">
      <w:pPr>
        <w:keepNext/>
        <w:ind w:left="0"/>
        <w:jc w:val="center"/>
        <w:rPr>
          <w:rFonts w:ascii="Bookman Old Style" w:hAnsi="Bookman Old Style" w:cs="Arial"/>
          <w:b/>
          <w:spacing w:val="40"/>
        </w:rPr>
      </w:pPr>
      <w:r w:rsidRPr="00612C64">
        <w:rPr>
          <w:rFonts w:ascii="Bookman Old Style" w:hAnsi="Bookman Old Style" w:cs="Arial"/>
          <w:b/>
        </w:rPr>
        <w:t xml:space="preserve">R E S U E L V </w:t>
      </w:r>
      <w:r w:rsidRPr="00612C64">
        <w:rPr>
          <w:rFonts w:ascii="Bookman Old Style" w:hAnsi="Bookman Old Style" w:cs="Arial"/>
          <w:b/>
          <w:spacing w:val="40"/>
        </w:rPr>
        <w:t>E:</w:t>
      </w:r>
    </w:p>
    <w:p w14:paraId="1F46ABD3" w14:textId="77777777" w:rsidR="00ED748C" w:rsidRDefault="00ED748C" w:rsidP="00ED748C">
      <w:pPr>
        <w:ind w:left="0"/>
        <w:rPr>
          <w:rFonts w:ascii="Bookman Old Style" w:hAnsi="Bookman Old Style"/>
        </w:rPr>
      </w:pPr>
    </w:p>
    <w:p w14:paraId="753A7552" w14:textId="77777777" w:rsidR="00ED748C" w:rsidRPr="00612C64" w:rsidRDefault="00ED748C" w:rsidP="00ED748C">
      <w:pPr>
        <w:ind w:left="0"/>
        <w:rPr>
          <w:rFonts w:ascii="Bookman Old Style" w:hAnsi="Bookman Old Style"/>
        </w:rPr>
      </w:pPr>
    </w:p>
    <w:p w14:paraId="61E07869" w14:textId="27CFE6F6" w:rsidR="00792E95" w:rsidRPr="00CF06FD" w:rsidRDefault="00ED748C" w:rsidP="00792E95">
      <w:pPr>
        <w:pStyle w:val="Destinario"/>
        <w:spacing w:before="0" w:after="0" w:line="240" w:lineRule="auto"/>
        <w:jc w:val="both"/>
        <w:rPr>
          <w:rFonts w:ascii="Bookman Old Style" w:hAnsi="Bookman Old Style" w:cs="Arial"/>
        </w:rPr>
      </w:pPr>
      <w:r w:rsidRPr="00CF06FD">
        <w:rPr>
          <w:rFonts w:ascii="Bookman Old Style" w:hAnsi="Bookman Old Style" w:cs="Arial"/>
          <w:b/>
        </w:rPr>
        <w:t>Artículo 1.</w:t>
      </w:r>
      <w:r w:rsidR="00CA5EA6" w:rsidRPr="00CF06FD">
        <w:rPr>
          <w:rFonts w:ascii="Bookman Old Style" w:hAnsi="Bookman Old Style" w:cs="Arial"/>
          <w:b/>
        </w:rPr>
        <w:t xml:space="preserve"> Designación de Perito. </w:t>
      </w:r>
      <w:r w:rsidR="00CA5EA6" w:rsidRPr="00CF06FD">
        <w:rPr>
          <w:rFonts w:ascii="Bookman Old Style" w:hAnsi="Bookman Old Style" w:cs="Arial"/>
          <w:bCs/>
        </w:rPr>
        <w:t>Designar</w:t>
      </w:r>
      <w:r w:rsidR="00CA5EA6" w:rsidRPr="00CF06FD">
        <w:rPr>
          <w:rFonts w:ascii="Bookman Old Style" w:hAnsi="Bookman Old Style" w:cs="Arial"/>
          <w:b/>
        </w:rPr>
        <w:t xml:space="preserve"> </w:t>
      </w:r>
      <w:r w:rsidR="00CF06FD" w:rsidRPr="00CF06FD">
        <w:rPr>
          <w:rFonts w:ascii="Bookman Old Style" w:hAnsi="Bookman Old Style" w:cs="Arial"/>
          <w:bCs/>
        </w:rPr>
        <w:t>como Perito</w:t>
      </w:r>
      <w:r w:rsidR="00CF06FD">
        <w:rPr>
          <w:rFonts w:ascii="Bookman Old Style" w:hAnsi="Bookman Old Style" w:cs="Arial"/>
          <w:b/>
        </w:rPr>
        <w:t xml:space="preserve"> </w:t>
      </w:r>
      <w:r w:rsidR="00CA5EA6" w:rsidRPr="00CF06FD">
        <w:rPr>
          <w:rFonts w:ascii="Bookman Old Style" w:hAnsi="Bookman Old Style" w:cs="Arial"/>
          <w:bCs/>
        </w:rPr>
        <w:t xml:space="preserve">a la firma </w:t>
      </w:r>
      <w:r w:rsidR="00792E95" w:rsidRPr="00CF06FD">
        <w:rPr>
          <w:rFonts w:ascii="Bookman Old Style" w:hAnsi="Bookman Old Style" w:cs="Arial"/>
        </w:rPr>
        <w:t>DIVISA INGENIEROS ASOCIADOS LTDA</w:t>
      </w:r>
      <w:r w:rsidR="00F429A4" w:rsidRPr="00CF06FD">
        <w:rPr>
          <w:rFonts w:ascii="Bookman Old Style" w:hAnsi="Bookman Old Style" w:cs="Arial"/>
        </w:rPr>
        <w:t xml:space="preserve">., identificada con NIT </w:t>
      </w:r>
      <w:r w:rsidR="00CF06FD" w:rsidRPr="00CF06FD">
        <w:rPr>
          <w:rFonts w:ascii="Bookman Old Style" w:hAnsi="Bookman Old Style" w:cs="Arial"/>
        </w:rPr>
        <w:t>800127319-2</w:t>
      </w:r>
      <w:r w:rsidR="00CF06FD">
        <w:rPr>
          <w:rFonts w:ascii="Bookman Old Style" w:hAnsi="Bookman Old Style" w:cs="Arial"/>
        </w:rPr>
        <w:t xml:space="preserve">, para </w:t>
      </w:r>
      <w:r w:rsidR="002F2AC9">
        <w:rPr>
          <w:rFonts w:ascii="Bookman Old Style" w:hAnsi="Bookman Old Style" w:cs="Arial"/>
        </w:rPr>
        <w:t xml:space="preserve">que </w:t>
      </w:r>
      <w:r w:rsidR="00575DD8">
        <w:rPr>
          <w:rFonts w:ascii="Bookman Old Style" w:hAnsi="Bookman Old Style" w:cs="Arial"/>
        </w:rPr>
        <w:t>rinda los dictámenes periciales</w:t>
      </w:r>
      <w:r w:rsidR="00575DD8" w:rsidRPr="00CF06FD">
        <w:rPr>
          <w:rFonts w:ascii="Bookman Old Style" w:hAnsi="Bookman Old Style" w:cs="Arial"/>
        </w:rPr>
        <w:t xml:space="preserve"> </w:t>
      </w:r>
      <w:r w:rsidR="00CF06FD" w:rsidRPr="00CF06FD">
        <w:rPr>
          <w:rFonts w:ascii="Bookman Old Style" w:hAnsi="Bookman Old Style" w:cs="Arial"/>
        </w:rPr>
        <w:t>decretados dentro de las Actuaciones Administrativas contenidas en los Expedientes CREG 2021-0128 y CREG 2020-0123</w:t>
      </w:r>
      <w:r w:rsidR="002F2AC9">
        <w:rPr>
          <w:rFonts w:ascii="Bookman Old Style" w:hAnsi="Bookman Old Style" w:cs="Arial"/>
        </w:rPr>
        <w:t>,</w:t>
      </w:r>
      <w:r w:rsidR="00CF06FD" w:rsidRPr="00CF06FD">
        <w:rPr>
          <w:rFonts w:ascii="Bookman Old Style" w:hAnsi="Bookman Old Style" w:cs="Arial"/>
        </w:rPr>
        <w:t xml:space="preserve"> para establecer el valor de reposición a nuevo de las Estaciones de Regulación de Puerta de Ciudad “La Arenosa” y “Tasajera”, respectivamente, de acuerdo con lo dispuesto en el Parágrafo 1 del Numeral 13.2 del Artículo 13 de la Metodología para la remuneración de la actividad de distribución de gas combustible por redes de tubería contenida en las Resoluciones CREG 202 de 2013, 138 de 2014, 090 y 132 de 2018, y 011 de 2020.</w:t>
      </w:r>
    </w:p>
    <w:p w14:paraId="3242E6D0" w14:textId="77777777" w:rsidR="00ED748C" w:rsidRPr="00612C64" w:rsidRDefault="00ED748C" w:rsidP="00ED748C">
      <w:pPr>
        <w:ind w:left="0"/>
        <w:jc w:val="both"/>
        <w:rPr>
          <w:rFonts w:ascii="Bookman Old Style" w:hAnsi="Bookman Old Style" w:cs="Arial"/>
        </w:rPr>
      </w:pPr>
    </w:p>
    <w:p w14:paraId="56860C44" w14:textId="6E25A58F" w:rsidR="007B2B75" w:rsidRDefault="00ED748C" w:rsidP="007B2B75">
      <w:pPr>
        <w:ind w:left="0"/>
        <w:jc w:val="both"/>
        <w:rPr>
          <w:rFonts w:ascii="Bookman Old Style" w:hAnsi="Bookman Old Style" w:cs="Arial"/>
        </w:rPr>
      </w:pPr>
      <w:r w:rsidRPr="00612C64">
        <w:rPr>
          <w:rFonts w:ascii="Bookman Old Style" w:hAnsi="Bookman Old Style" w:cs="Arial"/>
          <w:b/>
        </w:rPr>
        <w:t xml:space="preserve">Artículo 2. </w:t>
      </w:r>
      <w:r w:rsidR="00EA3495">
        <w:rPr>
          <w:rFonts w:ascii="Bookman Old Style" w:hAnsi="Bookman Old Style" w:cs="Arial"/>
          <w:b/>
        </w:rPr>
        <w:t xml:space="preserve">Honorarios. </w:t>
      </w:r>
      <w:r w:rsidR="00EA3495">
        <w:rPr>
          <w:rFonts w:ascii="Bookman Old Style" w:hAnsi="Bookman Old Style" w:cs="Arial"/>
          <w:bCs/>
        </w:rPr>
        <w:t xml:space="preserve">Fijar </w:t>
      </w:r>
      <w:r w:rsidR="006421F3">
        <w:rPr>
          <w:rFonts w:ascii="Bookman Old Style" w:hAnsi="Bookman Old Style" w:cs="Arial"/>
          <w:bCs/>
        </w:rPr>
        <w:t xml:space="preserve">en la suma de SESENTA Y SEIS MILLONES SEISCIENTOS CUARENTA MIL PESOS ($66.640.000,oo) los </w:t>
      </w:r>
      <w:r w:rsidR="00EA3495">
        <w:rPr>
          <w:rFonts w:ascii="Bookman Old Style" w:hAnsi="Bookman Old Style" w:cs="Arial"/>
          <w:bCs/>
        </w:rPr>
        <w:t xml:space="preserve">honorarios </w:t>
      </w:r>
      <w:r w:rsidR="006421F3">
        <w:rPr>
          <w:rFonts w:ascii="Bookman Old Style" w:hAnsi="Bookman Old Style" w:cs="Arial"/>
          <w:bCs/>
        </w:rPr>
        <w:t xml:space="preserve">a pagar </w:t>
      </w:r>
      <w:r w:rsidR="00575DD8">
        <w:rPr>
          <w:rFonts w:ascii="Bookman Old Style" w:hAnsi="Bookman Old Style" w:cs="Arial"/>
          <w:bCs/>
        </w:rPr>
        <w:t xml:space="preserve">por </w:t>
      </w:r>
      <w:r w:rsidR="006421F3">
        <w:rPr>
          <w:rFonts w:ascii="Bookman Old Style" w:hAnsi="Bookman Old Style" w:cs="Arial"/>
          <w:bCs/>
        </w:rPr>
        <w:t xml:space="preserve">el peritaje de cada una de las Estaciones Reguladoras de Puerta de Ciudad </w:t>
      </w:r>
      <w:r w:rsidR="007B2B75">
        <w:rPr>
          <w:rFonts w:ascii="Bookman Old Style" w:hAnsi="Bookman Old Style" w:cs="Arial"/>
          <w:bCs/>
        </w:rPr>
        <w:t xml:space="preserve">de </w:t>
      </w:r>
      <w:r w:rsidR="00575DD8">
        <w:rPr>
          <w:rFonts w:ascii="Bookman Old Style" w:hAnsi="Bookman Old Style" w:cs="Arial"/>
          <w:bCs/>
        </w:rPr>
        <w:t>q</w:t>
      </w:r>
      <w:r w:rsidR="00BC0666">
        <w:rPr>
          <w:rFonts w:ascii="Bookman Old Style" w:hAnsi="Bookman Old Style" w:cs="Arial"/>
          <w:bCs/>
        </w:rPr>
        <w:t>ue</w:t>
      </w:r>
      <w:r w:rsidR="00575DD8">
        <w:rPr>
          <w:rFonts w:ascii="Bookman Old Style" w:hAnsi="Bookman Old Style" w:cs="Arial"/>
          <w:bCs/>
        </w:rPr>
        <w:t xml:space="preserve"> </w:t>
      </w:r>
      <w:r w:rsidR="00BC0666">
        <w:rPr>
          <w:rFonts w:ascii="Bookman Old Style" w:hAnsi="Bookman Old Style" w:cs="Arial"/>
          <w:bCs/>
        </w:rPr>
        <w:t>trata el Artículo 1 de esta Resolución</w:t>
      </w:r>
      <w:r w:rsidR="00642A29">
        <w:rPr>
          <w:rFonts w:ascii="Bookman Old Style" w:hAnsi="Bookman Old Style" w:cs="Arial"/>
          <w:bCs/>
        </w:rPr>
        <w:t xml:space="preserve">, con cargo al Certificado de Disponibilidad  </w:t>
      </w:r>
      <w:r w:rsidR="00642A29" w:rsidRPr="003D349D">
        <w:rPr>
          <w:rFonts w:ascii="Bookman Old Style" w:hAnsi="Bookman Old Style" w:cs="Arial"/>
          <w:bCs/>
        </w:rPr>
        <w:t xml:space="preserve">Presupuestal </w:t>
      </w:r>
      <w:r w:rsidR="007B2B75">
        <w:rPr>
          <w:rFonts w:ascii="Bookman Old Style" w:hAnsi="Bookman Old Style" w:cs="Arial"/>
        </w:rPr>
        <w:t>No</w:t>
      </w:r>
      <w:r w:rsidR="007B2B75" w:rsidRPr="002A0EDE">
        <w:rPr>
          <w:rFonts w:ascii="Bookman Old Style" w:hAnsi="Bookman Old Style" w:cs="Arial"/>
        </w:rPr>
        <w:t>.</w:t>
      </w:r>
      <w:r w:rsidR="007B2B75" w:rsidRPr="002A0EDE">
        <w:rPr>
          <w:rFonts w:ascii="Bookman Old Style" w:hAnsi="Bookman Old Style" w:cs="Arial"/>
          <w:bCs/>
        </w:rPr>
        <w:t>13121 del</w:t>
      </w:r>
      <w:r w:rsidR="007B2B75">
        <w:rPr>
          <w:rFonts w:ascii="Bookman Old Style" w:hAnsi="Bookman Old Style" w:cs="Arial"/>
          <w:bCs/>
        </w:rPr>
        <w:t xml:space="preserve"> 10 de noviembre de 2021</w:t>
      </w:r>
      <w:r w:rsidR="007B2B75">
        <w:rPr>
          <w:rFonts w:ascii="Bookman Old Style" w:hAnsi="Bookman Old Style" w:cs="Arial"/>
        </w:rPr>
        <w:t>.</w:t>
      </w:r>
    </w:p>
    <w:p w14:paraId="1B052CE6" w14:textId="6F917DFE" w:rsidR="003D349D" w:rsidRPr="00EA3495" w:rsidRDefault="003D349D" w:rsidP="003D349D">
      <w:pPr>
        <w:ind w:left="0"/>
        <w:jc w:val="both"/>
        <w:rPr>
          <w:rFonts w:ascii="Bookman Old Style" w:hAnsi="Bookman Old Style" w:cs="Arial"/>
          <w:bCs/>
        </w:rPr>
      </w:pPr>
    </w:p>
    <w:p w14:paraId="5E984E1A" w14:textId="143CCEB7" w:rsidR="00D13F54" w:rsidRDefault="00ED748C" w:rsidP="00ED748C">
      <w:pPr>
        <w:ind w:left="0"/>
        <w:jc w:val="both"/>
        <w:rPr>
          <w:rFonts w:ascii="Bookman Old Style" w:hAnsi="Bookman Old Style" w:cs="Arial"/>
          <w:bCs/>
        </w:rPr>
      </w:pPr>
      <w:r w:rsidRPr="00612C64">
        <w:rPr>
          <w:rFonts w:ascii="Bookman Old Style" w:hAnsi="Bookman Old Style" w:cs="Arial"/>
          <w:b/>
        </w:rPr>
        <w:t xml:space="preserve">Artículo </w:t>
      </w:r>
      <w:r w:rsidR="00D13F54">
        <w:rPr>
          <w:rFonts w:ascii="Bookman Old Style" w:hAnsi="Bookman Old Style" w:cs="Arial"/>
          <w:b/>
        </w:rPr>
        <w:t>3.  Posesión</w:t>
      </w:r>
      <w:r w:rsidR="00FE2F59">
        <w:rPr>
          <w:rFonts w:ascii="Bookman Old Style" w:hAnsi="Bookman Old Style" w:cs="Arial"/>
          <w:b/>
        </w:rPr>
        <w:t xml:space="preserve"> del perito.</w:t>
      </w:r>
      <w:r w:rsidR="00FE2F59">
        <w:rPr>
          <w:rFonts w:ascii="Bookman Old Style" w:hAnsi="Bookman Old Style" w:cs="Arial"/>
          <w:bCs/>
        </w:rPr>
        <w:t xml:space="preserve"> El perito será posesionado dentro de la actuación administrativa en que se surtirá </w:t>
      </w:r>
      <w:r w:rsidR="006043DE">
        <w:rPr>
          <w:rFonts w:ascii="Bookman Old Style" w:hAnsi="Bookman Old Style" w:cs="Arial"/>
          <w:bCs/>
        </w:rPr>
        <w:t>cada peritaje previsto en el Artículo 1 de esta Resolución.</w:t>
      </w:r>
    </w:p>
    <w:p w14:paraId="7BD30158" w14:textId="68E77604" w:rsidR="006043DE" w:rsidRDefault="006043DE" w:rsidP="00ED748C">
      <w:pPr>
        <w:ind w:left="0"/>
        <w:jc w:val="both"/>
        <w:rPr>
          <w:rFonts w:ascii="Bookman Old Style" w:hAnsi="Bookman Old Style" w:cs="Arial"/>
          <w:bCs/>
        </w:rPr>
      </w:pPr>
    </w:p>
    <w:p w14:paraId="71F02FB8" w14:textId="3742D32C" w:rsidR="00ED748C" w:rsidRDefault="006043DE" w:rsidP="00ED748C">
      <w:pPr>
        <w:ind w:left="0"/>
        <w:jc w:val="both"/>
        <w:rPr>
          <w:rFonts w:ascii="Bookman Old Style" w:hAnsi="Bookman Old Style" w:cs="Arial"/>
          <w:bCs/>
        </w:rPr>
      </w:pPr>
      <w:r>
        <w:rPr>
          <w:rFonts w:ascii="Bookman Old Style" w:hAnsi="Bookman Old Style" w:cs="Arial"/>
          <w:b/>
        </w:rPr>
        <w:t>A</w:t>
      </w:r>
      <w:r w:rsidR="00D13F54" w:rsidRPr="00612C64">
        <w:rPr>
          <w:rFonts w:ascii="Bookman Old Style" w:hAnsi="Bookman Old Style" w:cs="Arial"/>
          <w:b/>
        </w:rPr>
        <w:t xml:space="preserve">rtículo </w:t>
      </w:r>
      <w:r w:rsidR="00D13F54">
        <w:rPr>
          <w:rFonts w:ascii="Bookman Old Style" w:hAnsi="Bookman Old Style" w:cs="Arial"/>
          <w:b/>
        </w:rPr>
        <w:t xml:space="preserve">4.  </w:t>
      </w:r>
      <w:r w:rsidR="002963D2">
        <w:rPr>
          <w:rFonts w:ascii="Bookman Old Style" w:hAnsi="Bookman Old Style" w:cs="Arial"/>
          <w:b/>
        </w:rPr>
        <w:t xml:space="preserve">Alcance del Peritaje: </w:t>
      </w:r>
      <w:r w:rsidR="002963D2" w:rsidRPr="002963D2">
        <w:rPr>
          <w:rFonts w:ascii="Bookman Old Style" w:hAnsi="Bookman Old Style" w:cs="Arial"/>
          <w:bCs/>
        </w:rPr>
        <w:t>El perito</w:t>
      </w:r>
      <w:r w:rsidR="00BB4D94">
        <w:rPr>
          <w:rFonts w:ascii="Bookman Old Style" w:hAnsi="Bookman Old Style" w:cs="Arial"/>
          <w:bCs/>
        </w:rPr>
        <w:t xml:space="preserve">, </w:t>
      </w:r>
      <w:r w:rsidR="002963D2" w:rsidRPr="002963D2">
        <w:rPr>
          <w:rFonts w:ascii="Bookman Old Style" w:hAnsi="Bookman Old Style" w:cs="Arial"/>
          <w:bCs/>
        </w:rPr>
        <w:t xml:space="preserve">bajo su criterio y experticia, </w:t>
      </w:r>
      <w:r w:rsidR="00BB4D94">
        <w:rPr>
          <w:rFonts w:ascii="Bookman Old Style" w:hAnsi="Bookman Old Style" w:cs="Arial"/>
          <w:bCs/>
        </w:rPr>
        <w:t xml:space="preserve">deberá </w:t>
      </w:r>
      <w:r w:rsidR="002963D2" w:rsidRPr="002963D2">
        <w:rPr>
          <w:rFonts w:ascii="Bookman Old Style" w:hAnsi="Bookman Old Style" w:cs="Arial"/>
          <w:bCs/>
        </w:rPr>
        <w:t xml:space="preserve">estimar el costo de reposición de la Estación de Regulación de Puerta de Ciudad </w:t>
      </w:r>
      <w:r w:rsidR="00BB4D94">
        <w:rPr>
          <w:rFonts w:ascii="Bookman Old Style" w:hAnsi="Bookman Old Style" w:cs="Arial"/>
          <w:bCs/>
        </w:rPr>
        <w:t>objeto de peritaje</w:t>
      </w:r>
      <w:r w:rsidR="00BD75E3">
        <w:rPr>
          <w:rFonts w:ascii="Bookman Old Style" w:hAnsi="Bookman Old Style" w:cs="Arial"/>
          <w:bCs/>
        </w:rPr>
        <w:t xml:space="preserve"> dentro de cada Actuación Administrativa prevista en el Artículo 1 de esta Resolución</w:t>
      </w:r>
      <w:r w:rsidR="00BB4D94">
        <w:rPr>
          <w:rFonts w:ascii="Bookman Old Style" w:hAnsi="Bookman Old Style" w:cs="Arial"/>
          <w:bCs/>
        </w:rPr>
        <w:t xml:space="preserve"> </w:t>
      </w:r>
      <w:r w:rsidR="00D13F54">
        <w:rPr>
          <w:rFonts w:ascii="Bookman Old Style" w:hAnsi="Bookman Old Style" w:cs="Arial"/>
          <w:bCs/>
        </w:rPr>
        <w:t>y, para el efecto, en cada caso deberá:</w:t>
      </w:r>
    </w:p>
    <w:p w14:paraId="4EBCDB37" w14:textId="3E32AA91" w:rsidR="00D13F54" w:rsidRDefault="00D13F54" w:rsidP="00ED748C">
      <w:pPr>
        <w:ind w:left="0"/>
        <w:jc w:val="both"/>
        <w:rPr>
          <w:rFonts w:ascii="Bookman Old Style" w:hAnsi="Bookman Old Style" w:cs="Arial"/>
          <w:bCs/>
        </w:rPr>
      </w:pPr>
    </w:p>
    <w:p w14:paraId="471F9078" w14:textId="79C58DE2" w:rsidR="00D13F54" w:rsidRPr="00D13F54" w:rsidRDefault="00BD75E3" w:rsidP="00FC72C8">
      <w:pPr>
        <w:ind w:hanging="567"/>
        <w:jc w:val="both"/>
        <w:rPr>
          <w:rFonts w:ascii="Bookman Old Style" w:hAnsi="Bookman Old Style" w:cs="Arial"/>
          <w:bCs/>
        </w:rPr>
      </w:pPr>
      <w:r>
        <w:rPr>
          <w:rFonts w:ascii="Bookman Old Style" w:hAnsi="Bookman Old Style" w:cs="Arial"/>
          <w:bCs/>
        </w:rPr>
        <w:t>4</w:t>
      </w:r>
      <w:r w:rsidR="00D13F54" w:rsidRPr="00D13F54">
        <w:rPr>
          <w:rFonts w:ascii="Bookman Old Style" w:hAnsi="Bookman Old Style" w:cs="Arial"/>
          <w:bCs/>
        </w:rPr>
        <w:t>.1</w:t>
      </w:r>
      <w:r w:rsidR="00D13F54" w:rsidRPr="00D13F54">
        <w:rPr>
          <w:rFonts w:ascii="Bookman Old Style" w:hAnsi="Bookman Old Style" w:cs="Arial"/>
          <w:bCs/>
        </w:rPr>
        <w:tab/>
        <w:t xml:space="preserve">Realizar visita de campo a cada Estación de Puerta de Ciudad objeto del peritaje, con el fin de identificar los elementos que la constituyen. Dichas </w:t>
      </w:r>
      <w:r w:rsidR="00D13F54" w:rsidRPr="00D13F54">
        <w:rPr>
          <w:rFonts w:ascii="Bookman Old Style" w:hAnsi="Bookman Old Style" w:cs="Arial"/>
          <w:bCs/>
        </w:rPr>
        <w:lastRenderedPageBreak/>
        <w:t>visitas serán coordinadas con las respectivas empresas por intermedio de la CREG.</w:t>
      </w:r>
    </w:p>
    <w:p w14:paraId="20F6353F" w14:textId="77777777" w:rsidR="00D13F54" w:rsidRPr="00D13F54" w:rsidRDefault="00D13F54" w:rsidP="00D13F54">
      <w:pPr>
        <w:ind w:left="0"/>
        <w:jc w:val="both"/>
        <w:rPr>
          <w:rFonts w:ascii="Bookman Old Style" w:hAnsi="Bookman Old Style" w:cs="Arial"/>
          <w:bCs/>
        </w:rPr>
      </w:pPr>
    </w:p>
    <w:p w14:paraId="696F9809" w14:textId="77777777" w:rsidR="00E334D3" w:rsidRDefault="00BD75E3" w:rsidP="00FC72C8">
      <w:pPr>
        <w:ind w:hanging="567"/>
        <w:jc w:val="both"/>
        <w:rPr>
          <w:rFonts w:ascii="Bookman Old Style" w:hAnsi="Bookman Old Style" w:cs="Arial"/>
          <w:bCs/>
        </w:rPr>
      </w:pPr>
      <w:r>
        <w:rPr>
          <w:rFonts w:ascii="Bookman Old Style" w:hAnsi="Bookman Old Style" w:cs="Arial"/>
          <w:bCs/>
        </w:rPr>
        <w:t>4</w:t>
      </w:r>
      <w:r w:rsidR="00D13F54" w:rsidRPr="00D13F54">
        <w:rPr>
          <w:rFonts w:ascii="Bookman Old Style" w:hAnsi="Bookman Old Style" w:cs="Arial"/>
          <w:bCs/>
        </w:rPr>
        <w:t>.2</w:t>
      </w:r>
      <w:r w:rsidR="00D13F54" w:rsidRPr="00D13F54">
        <w:rPr>
          <w:rFonts w:ascii="Bookman Old Style" w:hAnsi="Bookman Old Style" w:cs="Arial"/>
          <w:bCs/>
        </w:rPr>
        <w:tab/>
        <w:t xml:space="preserve">Considerar, para la estimación de los valores de los costos de reposición del activo objeto de peritaje, valores eficientes en la construcción del valor de reposición a nuevo de cada estación de regulación de puerta de ciudad objeto de cada peritaje. </w:t>
      </w:r>
    </w:p>
    <w:p w14:paraId="1F233D07" w14:textId="77777777" w:rsidR="00E334D3" w:rsidRDefault="00E334D3" w:rsidP="00FC72C8">
      <w:pPr>
        <w:ind w:hanging="567"/>
        <w:jc w:val="both"/>
        <w:rPr>
          <w:rFonts w:ascii="Bookman Old Style" w:hAnsi="Bookman Old Style" w:cs="Arial"/>
          <w:bCs/>
        </w:rPr>
      </w:pPr>
    </w:p>
    <w:p w14:paraId="2065752D" w14:textId="5CBDC0FE" w:rsidR="00D13F54" w:rsidRPr="00D13F54" w:rsidRDefault="00E334D3" w:rsidP="00E334D3">
      <w:pPr>
        <w:jc w:val="both"/>
        <w:rPr>
          <w:rFonts w:ascii="Bookman Old Style" w:hAnsi="Bookman Old Style" w:cs="Arial"/>
          <w:bCs/>
        </w:rPr>
      </w:pPr>
      <w:r>
        <w:rPr>
          <w:rFonts w:ascii="Bookman Old Style" w:hAnsi="Bookman Old Style" w:cs="Arial"/>
          <w:bCs/>
        </w:rPr>
        <w:t xml:space="preserve">Los </w:t>
      </w:r>
      <w:r w:rsidR="00D13F54" w:rsidRPr="00D13F54">
        <w:rPr>
          <w:rFonts w:ascii="Bookman Old Style" w:hAnsi="Bookman Old Style" w:cs="Arial"/>
          <w:bCs/>
        </w:rPr>
        <w:t>valores de reposición de la estación de regulación de puerta de ciudad objeto de peritaje deberán entregarse en pesos colombianos (COP) de diciembre de 2019. Para realizar indexaciones se utilizará el Índice de Precios al Productor, IPP. En caso de que se hayan tomado como referencia valores en otra moneda diferente, se deberán indicar las tasas utilizadas para convertirlos a pesos colombianos de diciembre de 2019.</w:t>
      </w:r>
    </w:p>
    <w:p w14:paraId="6F4CF72B" w14:textId="77777777" w:rsidR="00D13F54" w:rsidRPr="00D13F54" w:rsidRDefault="00D13F54" w:rsidP="00D13F54">
      <w:pPr>
        <w:ind w:left="0"/>
        <w:jc w:val="both"/>
        <w:rPr>
          <w:rFonts w:ascii="Bookman Old Style" w:hAnsi="Bookman Old Style" w:cs="Arial"/>
          <w:bCs/>
        </w:rPr>
      </w:pPr>
    </w:p>
    <w:p w14:paraId="76B312D2" w14:textId="29B37B27" w:rsidR="00D13F54" w:rsidRPr="00D13F54" w:rsidRDefault="00BD75E3" w:rsidP="00FC72C8">
      <w:pPr>
        <w:ind w:hanging="567"/>
        <w:jc w:val="both"/>
        <w:rPr>
          <w:rFonts w:ascii="Bookman Old Style" w:hAnsi="Bookman Old Style" w:cs="Arial"/>
          <w:bCs/>
        </w:rPr>
      </w:pPr>
      <w:r>
        <w:rPr>
          <w:rFonts w:ascii="Bookman Old Style" w:hAnsi="Bookman Old Style" w:cs="Arial"/>
          <w:bCs/>
        </w:rPr>
        <w:t>4</w:t>
      </w:r>
      <w:r w:rsidR="00D13F54" w:rsidRPr="00D13F54">
        <w:rPr>
          <w:rFonts w:ascii="Bookman Old Style" w:hAnsi="Bookman Old Style" w:cs="Arial"/>
          <w:bCs/>
        </w:rPr>
        <w:t>.3</w:t>
      </w:r>
      <w:r w:rsidR="00D13F54" w:rsidRPr="00D13F54">
        <w:rPr>
          <w:rFonts w:ascii="Bookman Old Style" w:hAnsi="Bookman Old Style" w:cs="Arial"/>
          <w:bCs/>
        </w:rPr>
        <w:tab/>
        <w:t>Desagregar el costo de reposición en las categorías relevantes que justifican el costo total de reposición. Esta desagregación deberá considerar como mínimo las siguientes categorías:</w:t>
      </w:r>
    </w:p>
    <w:p w14:paraId="4EE5F933" w14:textId="77777777" w:rsidR="00D13F54" w:rsidRPr="00D13F54" w:rsidRDefault="00D13F54" w:rsidP="00D13F54">
      <w:pPr>
        <w:ind w:left="0"/>
        <w:jc w:val="both"/>
        <w:rPr>
          <w:rFonts w:ascii="Bookman Old Style" w:hAnsi="Bookman Old Style" w:cs="Arial"/>
          <w:bCs/>
        </w:rPr>
      </w:pPr>
    </w:p>
    <w:tbl>
      <w:tblPr>
        <w:tblW w:w="8789" w:type="dxa"/>
        <w:tblInd w:w="562" w:type="dxa"/>
        <w:tblCellMar>
          <w:left w:w="70" w:type="dxa"/>
          <w:right w:w="70" w:type="dxa"/>
        </w:tblCellMar>
        <w:tblLook w:val="04A0" w:firstRow="1" w:lastRow="0" w:firstColumn="1" w:lastColumn="0" w:noHBand="0" w:noVBand="1"/>
      </w:tblPr>
      <w:tblGrid>
        <w:gridCol w:w="5812"/>
        <w:gridCol w:w="2977"/>
      </w:tblGrid>
      <w:tr w:rsidR="005061A7" w:rsidRPr="005061A7" w14:paraId="13B0F293" w14:textId="77777777" w:rsidTr="00FC72C8">
        <w:trPr>
          <w:trHeight w:val="236"/>
          <w:tblHeader/>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64003" w14:textId="77777777" w:rsidR="005061A7" w:rsidRPr="0054066B" w:rsidRDefault="005061A7" w:rsidP="005061A7">
            <w:pPr>
              <w:ind w:left="0" w:right="-91"/>
              <w:jc w:val="center"/>
              <w:rPr>
                <w:rFonts w:ascii="Bookman Old Style" w:hAnsi="Bookman Old Style" w:cs="Arial"/>
                <w:b/>
                <w:spacing w:val="-5"/>
                <w:sz w:val="20"/>
                <w:szCs w:val="20"/>
                <w:lang w:val="es-CO" w:eastAsia="en-US"/>
              </w:rPr>
            </w:pPr>
            <w:r w:rsidRPr="0054066B">
              <w:rPr>
                <w:rFonts w:ascii="Bookman Old Style" w:hAnsi="Bookman Old Style" w:cs="Arial"/>
                <w:b/>
                <w:spacing w:val="-5"/>
                <w:sz w:val="20"/>
                <w:szCs w:val="20"/>
                <w:lang w:val="es-CO" w:eastAsia="en-US"/>
              </w:rPr>
              <w:t>Nombre del concepto constructivo de la estación</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929026" w14:textId="77777777" w:rsidR="005061A7" w:rsidRPr="0054066B" w:rsidRDefault="005061A7" w:rsidP="005061A7">
            <w:pPr>
              <w:ind w:left="0" w:right="-91"/>
              <w:jc w:val="center"/>
              <w:rPr>
                <w:rFonts w:ascii="Bookman Old Style" w:hAnsi="Bookman Old Style" w:cs="Arial"/>
                <w:b/>
                <w:spacing w:val="-5"/>
                <w:sz w:val="20"/>
                <w:szCs w:val="20"/>
                <w:lang w:val="es-CO" w:eastAsia="en-US"/>
              </w:rPr>
            </w:pPr>
            <w:r w:rsidRPr="0054066B">
              <w:rPr>
                <w:rFonts w:ascii="Bookman Old Style" w:hAnsi="Bookman Old Style" w:cs="Arial"/>
                <w:b/>
                <w:spacing w:val="-5"/>
                <w:sz w:val="20"/>
                <w:szCs w:val="20"/>
                <w:lang w:val="es-CO" w:eastAsia="en-US"/>
              </w:rPr>
              <w:t>Valor en pesos colombianos (COP) del 31 de diciembre de 2019</w:t>
            </w:r>
          </w:p>
        </w:tc>
      </w:tr>
      <w:tr w:rsidR="005061A7" w:rsidRPr="005061A7" w14:paraId="1A714BDF" w14:textId="77777777" w:rsidTr="00FC72C8">
        <w:trPr>
          <w:trHeight w:val="260"/>
          <w:tblHeader/>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656B30B"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Elementos que conforman la etapa de filtración</w:t>
            </w:r>
          </w:p>
        </w:tc>
        <w:tc>
          <w:tcPr>
            <w:tcW w:w="2977" w:type="dxa"/>
            <w:tcBorders>
              <w:top w:val="nil"/>
              <w:left w:val="nil"/>
              <w:bottom w:val="single" w:sz="4" w:space="0" w:color="auto"/>
              <w:right w:val="single" w:sz="4" w:space="0" w:color="auto"/>
            </w:tcBorders>
            <w:shd w:val="clear" w:color="auto" w:fill="auto"/>
            <w:noWrap/>
            <w:vAlign w:val="bottom"/>
            <w:hideMark/>
          </w:tcPr>
          <w:p w14:paraId="471F64F8"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 </w:t>
            </w:r>
          </w:p>
        </w:tc>
      </w:tr>
      <w:tr w:rsidR="005061A7" w:rsidRPr="005061A7" w14:paraId="02153AA0" w14:textId="77777777" w:rsidTr="00FC72C8">
        <w:trPr>
          <w:trHeight w:val="260"/>
          <w:tblHeader/>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7787252"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Elementos que conforman la etapa de regulación</w:t>
            </w:r>
          </w:p>
        </w:tc>
        <w:tc>
          <w:tcPr>
            <w:tcW w:w="2977" w:type="dxa"/>
            <w:tcBorders>
              <w:top w:val="nil"/>
              <w:left w:val="nil"/>
              <w:bottom w:val="single" w:sz="4" w:space="0" w:color="auto"/>
              <w:right w:val="single" w:sz="4" w:space="0" w:color="auto"/>
            </w:tcBorders>
            <w:shd w:val="clear" w:color="auto" w:fill="auto"/>
            <w:noWrap/>
            <w:vAlign w:val="bottom"/>
            <w:hideMark/>
          </w:tcPr>
          <w:p w14:paraId="32C67221"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 </w:t>
            </w:r>
          </w:p>
        </w:tc>
      </w:tr>
      <w:tr w:rsidR="005061A7" w:rsidRPr="005061A7" w14:paraId="13750CB7" w14:textId="77777777" w:rsidTr="00FC72C8">
        <w:trPr>
          <w:trHeight w:val="260"/>
          <w:tblHeader/>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376CF6A"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Elementos que conforman la etapa de medición</w:t>
            </w:r>
          </w:p>
        </w:tc>
        <w:tc>
          <w:tcPr>
            <w:tcW w:w="2977" w:type="dxa"/>
            <w:tcBorders>
              <w:top w:val="nil"/>
              <w:left w:val="nil"/>
              <w:bottom w:val="single" w:sz="4" w:space="0" w:color="auto"/>
              <w:right w:val="single" w:sz="4" w:space="0" w:color="auto"/>
            </w:tcBorders>
            <w:shd w:val="clear" w:color="auto" w:fill="auto"/>
            <w:noWrap/>
            <w:vAlign w:val="bottom"/>
            <w:hideMark/>
          </w:tcPr>
          <w:p w14:paraId="7FFFCD54"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 </w:t>
            </w:r>
          </w:p>
        </w:tc>
      </w:tr>
      <w:tr w:rsidR="005061A7" w:rsidRPr="005061A7" w14:paraId="30FC3A3E" w14:textId="77777777" w:rsidTr="00FC72C8">
        <w:trPr>
          <w:trHeight w:val="260"/>
          <w:tblHeader/>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C7580C1"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Elementos que conforman la etapa de odorización</w:t>
            </w:r>
          </w:p>
        </w:tc>
        <w:tc>
          <w:tcPr>
            <w:tcW w:w="2977" w:type="dxa"/>
            <w:tcBorders>
              <w:top w:val="nil"/>
              <w:left w:val="nil"/>
              <w:bottom w:val="single" w:sz="4" w:space="0" w:color="auto"/>
              <w:right w:val="single" w:sz="4" w:space="0" w:color="auto"/>
            </w:tcBorders>
            <w:shd w:val="clear" w:color="auto" w:fill="auto"/>
            <w:noWrap/>
            <w:vAlign w:val="bottom"/>
            <w:hideMark/>
          </w:tcPr>
          <w:p w14:paraId="12D92F67"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 </w:t>
            </w:r>
          </w:p>
        </w:tc>
      </w:tr>
      <w:tr w:rsidR="005061A7" w:rsidRPr="005061A7" w14:paraId="3C3E5CD5" w14:textId="77777777" w:rsidTr="00FC72C8">
        <w:trPr>
          <w:trHeight w:val="260"/>
          <w:tblHeader/>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7531C5C"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Elementos asociados a medición de calidad del gas</w:t>
            </w:r>
          </w:p>
        </w:tc>
        <w:tc>
          <w:tcPr>
            <w:tcW w:w="2977" w:type="dxa"/>
            <w:tcBorders>
              <w:top w:val="nil"/>
              <w:left w:val="nil"/>
              <w:bottom w:val="single" w:sz="4" w:space="0" w:color="auto"/>
              <w:right w:val="single" w:sz="4" w:space="0" w:color="auto"/>
            </w:tcBorders>
            <w:shd w:val="clear" w:color="auto" w:fill="auto"/>
            <w:noWrap/>
            <w:vAlign w:val="bottom"/>
            <w:hideMark/>
          </w:tcPr>
          <w:p w14:paraId="2A73EC56"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 </w:t>
            </w:r>
          </w:p>
        </w:tc>
      </w:tr>
      <w:tr w:rsidR="005061A7" w:rsidRPr="005061A7" w14:paraId="3EEAE491" w14:textId="77777777" w:rsidTr="00FC72C8">
        <w:trPr>
          <w:trHeight w:val="260"/>
          <w:tblHeader/>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3F7C3D0F"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Elementos adicionales</w:t>
            </w:r>
          </w:p>
        </w:tc>
        <w:tc>
          <w:tcPr>
            <w:tcW w:w="2977" w:type="dxa"/>
            <w:tcBorders>
              <w:top w:val="nil"/>
              <w:left w:val="nil"/>
              <w:bottom w:val="single" w:sz="4" w:space="0" w:color="auto"/>
              <w:right w:val="single" w:sz="4" w:space="0" w:color="auto"/>
            </w:tcBorders>
            <w:shd w:val="clear" w:color="auto" w:fill="auto"/>
            <w:noWrap/>
            <w:vAlign w:val="bottom"/>
            <w:hideMark/>
          </w:tcPr>
          <w:p w14:paraId="1C3F2E96" w14:textId="77777777" w:rsidR="005061A7" w:rsidRPr="0054066B" w:rsidRDefault="005061A7" w:rsidP="005061A7">
            <w:pPr>
              <w:ind w:left="0" w:right="-91"/>
              <w:jc w:val="both"/>
              <w:rPr>
                <w:rFonts w:ascii="Bookman Old Style" w:hAnsi="Bookman Old Style" w:cs="Arial"/>
                <w:bCs/>
                <w:spacing w:val="-5"/>
                <w:sz w:val="20"/>
                <w:szCs w:val="20"/>
                <w:lang w:val="es-CO" w:eastAsia="en-US"/>
              </w:rPr>
            </w:pPr>
            <w:r w:rsidRPr="0054066B">
              <w:rPr>
                <w:rFonts w:ascii="Bookman Old Style" w:hAnsi="Bookman Old Style" w:cs="Arial"/>
                <w:bCs/>
                <w:spacing w:val="-5"/>
                <w:sz w:val="20"/>
                <w:szCs w:val="20"/>
                <w:lang w:val="es-CO" w:eastAsia="en-US"/>
              </w:rPr>
              <w:t> </w:t>
            </w:r>
          </w:p>
        </w:tc>
      </w:tr>
    </w:tbl>
    <w:p w14:paraId="35ECEA55" w14:textId="77777777" w:rsidR="00D13F54" w:rsidRPr="00D13F54" w:rsidRDefault="00D13F54" w:rsidP="00D13F54">
      <w:pPr>
        <w:ind w:left="0"/>
        <w:jc w:val="both"/>
        <w:rPr>
          <w:rFonts w:ascii="Bookman Old Style" w:hAnsi="Bookman Old Style" w:cs="Arial"/>
          <w:bCs/>
        </w:rPr>
      </w:pPr>
    </w:p>
    <w:p w14:paraId="5CE691AC" w14:textId="6306BB3F" w:rsidR="00D13F54" w:rsidRPr="00D13F54" w:rsidRDefault="00D13F54" w:rsidP="00FC72C8">
      <w:pPr>
        <w:jc w:val="both"/>
        <w:rPr>
          <w:rFonts w:ascii="Bookman Old Style" w:hAnsi="Bookman Old Style" w:cs="Arial"/>
          <w:bCs/>
        </w:rPr>
      </w:pPr>
      <w:r w:rsidRPr="00D13F54">
        <w:rPr>
          <w:rFonts w:ascii="Bookman Old Style" w:hAnsi="Bookman Old Style" w:cs="Arial"/>
          <w:bCs/>
        </w:rPr>
        <w:t xml:space="preserve">El informe </w:t>
      </w:r>
      <w:r w:rsidR="00E334D3">
        <w:rPr>
          <w:rFonts w:ascii="Bookman Old Style" w:hAnsi="Bookman Old Style" w:cs="Arial"/>
          <w:bCs/>
        </w:rPr>
        <w:t>que debe rendir el perito, en</w:t>
      </w:r>
      <w:r w:rsidRPr="00D13F54">
        <w:rPr>
          <w:rFonts w:ascii="Bookman Old Style" w:hAnsi="Bookman Old Style" w:cs="Arial"/>
          <w:bCs/>
        </w:rPr>
        <w:t xml:space="preserve"> cada caso</w:t>
      </w:r>
      <w:r w:rsidR="00E334D3">
        <w:rPr>
          <w:rFonts w:ascii="Bookman Old Style" w:hAnsi="Bookman Old Style" w:cs="Arial"/>
          <w:bCs/>
        </w:rPr>
        <w:t>,</w:t>
      </w:r>
      <w:r w:rsidRPr="00D13F54">
        <w:rPr>
          <w:rFonts w:ascii="Bookman Old Style" w:hAnsi="Bookman Old Style" w:cs="Arial"/>
          <w:bCs/>
        </w:rPr>
        <w:t xml:space="preserve"> deberá contener un registro fotográfico de las visitas de campo y los elementos identificados. En la tabla anterior se deberá señalar el costo de cada elemento identificado por separado.</w:t>
      </w:r>
    </w:p>
    <w:p w14:paraId="146F68AD" w14:textId="77777777" w:rsidR="00D13F54" w:rsidRPr="00D13F54" w:rsidRDefault="00D13F54" w:rsidP="00D13F54">
      <w:pPr>
        <w:ind w:left="0"/>
        <w:jc w:val="both"/>
        <w:rPr>
          <w:rFonts w:ascii="Bookman Old Style" w:hAnsi="Bookman Old Style" w:cs="Arial"/>
          <w:bCs/>
        </w:rPr>
      </w:pPr>
    </w:p>
    <w:p w14:paraId="110F6BA0" w14:textId="64CD9587" w:rsidR="00D13F54" w:rsidRPr="00D13F54" w:rsidRDefault="00BD75E3" w:rsidP="00FC72C8">
      <w:pPr>
        <w:ind w:hanging="567"/>
        <w:jc w:val="both"/>
        <w:rPr>
          <w:rFonts w:ascii="Bookman Old Style" w:hAnsi="Bookman Old Style" w:cs="Arial"/>
          <w:bCs/>
        </w:rPr>
      </w:pPr>
      <w:r>
        <w:rPr>
          <w:rFonts w:ascii="Bookman Old Style" w:hAnsi="Bookman Old Style" w:cs="Arial"/>
          <w:bCs/>
        </w:rPr>
        <w:t>4</w:t>
      </w:r>
      <w:r w:rsidR="00D13F54" w:rsidRPr="00D13F54">
        <w:rPr>
          <w:rFonts w:ascii="Bookman Old Style" w:hAnsi="Bookman Old Style" w:cs="Arial"/>
          <w:bCs/>
        </w:rPr>
        <w:t>.4 Desagregar porcentualmente el costo total de reposición en las siguientes categorías, así como el criterio utilizado para llevar a cabo dicha distribución:</w:t>
      </w:r>
    </w:p>
    <w:p w14:paraId="17A08423" w14:textId="77777777" w:rsidR="00D13F54" w:rsidRPr="00D13F54" w:rsidRDefault="00D13F54" w:rsidP="00D13F54">
      <w:pPr>
        <w:ind w:left="0"/>
        <w:jc w:val="both"/>
        <w:rPr>
          <w:rFonts w:ascii="Bookman Old Style" w:hAnsi="Bookman Old Style" w:cs="Arial"/>
          <w:bCs/>
        </w:rPr>
      </w:pPr>
      <w:r w:rsidRPr="00D13F54">
        <w:rPr>
          <w:rFonts w:ascii="Bookman Old Style" w:hAnsi="Bookman Old Style" w:cs="Arial"/>
          <w:bCs/>
        </w:rPr>
        <w:tab/>
      </w:r>
    </w:p>
    <w:tbl>
      <w:tblPr>
        <w:tblW w:w="8789" w:type="dxa"/>
        <w:tblInd w:w="562" w:type="dxa"/>
        <w:tblCellMar>
          <w:left w:w="70" w:type="dxa"/>
          <w:right w:w="70" w:type="dxa"/>
        </w:tblCellMar>
        <w:tblLook w:val="04A0" w:firstRow="1" w:lastRow="0" w:firstColumn="1" w:lastColumn="0" w:noHBand="0" w:noVBand="1"/>
      </w:tblPr>
      <w:tblGrid>
        <w:gridCol w:w="5812"/>
        <w:gridCol w:w="2977"/>
      </w:tblGrid>
      <w:tr w:rsidR="0054066B" w:rsidRPr="00805F25" w14:paraId="29700B5C" w14:textId="77777777" w:rsidTr="00FC72C8">
        <w:trPr>
          <w:trHeight w:val="135"/>
          <w:tblHeader/>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57A37" w14:textId="77777777" w:rsidR="0054066B" w:rsidRPr="00FC72C8" w:rsidRDefault="0054066B" w:rsidP="0054066B">
            <w:pPr>
              <w:ind w:left="67" w:right="-91"/>
              <w:jc w:val="center"/>
              <w:rPr>
                <w:rFonts w:ascii="Bookman Old Style" w:hAnsi="Bookman Old Style" w:cs="Arial"/>
                <w:b/>
                <w:sz w:val="20"/>
                <w:szCs w:val="20"/>
              </w:rPr>
            </w:pPr>
            <w:r w:rsidRPr="00FC72C8">
              <w:rPr>
                <w:rFonts w:ascii="Bookman Old Style" w:hAnsi="Bookman Old Style" w:cs="Arial"/>
                <w:b/>
                <w:sz w:val="20"/>
                <w:szCs w:val="20"/>
              </w:rPr>
              <w:t>Nombre del concepto constructivo de la estación</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7E46D5" w14:textId="77777777" w:rsidR="0054066B" w:rsidRPr="00FC72C8" w:rsidRDefault="0054066B" w:rsidP="0054066B">
            <w:pPr>
              <w:ind w:left="67" w:right="-91"/>
              <w:jc w:val="center"/>
              <w:rPr>
                <w:rFonts w:ascii="Bookman Old Style" w:hAnsi="Bookman Old Style" w:cs="Arial"/>
                <w:b/>
                <w:sz w:val="20"/>
                <w:szCs w:val="20"/>
              </w:rPr>
            </w:pPr>
            <w:r w:rsidRPr="00FC72C8">
              <w:rPr>
                <w:rFonts w:ascii="Bookman Old Style" w:hAnsi="Bookman Old Style" w:cs="Arial"/>
                <w:b/>
                <w:sz w:val="20"/>
                <w:szCs w:val="20"/>
              </w:rPr>
              <w:t>Valor en pesos colombianos (COP) del 31 de diciembre de 2019</w:t>
            </w:r>
          </w:p>
        </w:tc>
      </w:tr>
      <w:tr w:rsidR="0054066B" w:rsidRPr="00DF469B" w14:paraId="49F34FD2" w14:textId="77777777" w:rsidTr="00FC72C8">
        <w:trPr>
          <w:trHeight w:val="25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A7081D1" w14:textId="77777777" w:rsidR="0054066B" w:rsidRPr="00FC72C8" w:rsidRDefault="0054066B" w:rsidP="0054066B">
            <w:pPr>
              <w:ind w:left="67" w:right="-91"/>
              <w:rPr>
                <w:rFonts w:ascii="Bookman Old Style" w:hAnsi="Bookman Old Style" w:cs="Arial"/>
                <w:bCs/>
                <w:sz w:val="20"/>
                <w:szCs w:val="20"/>
              </w:rPr>
            </w:pPr>
            <w:r w:rsidRPr="00FC72C8">
              <w:rPr>
                <w:rFonts w:ascii="Bookman Old Style" w:hAnsi="Bookman Old Style" w:cs="Arial"/>
                <w:bCs/>
                <w:sz w:val="20"/>
                <w:szCs w:val="20"/>
              </w:rPr>
              <w:t>Materiales</w:t>
            </w:r>
          </w:p>
        </w:tc>
        <w:tc>
          <w:tcPr>
            <w:tcW w:w="2977" w:type="dxa"/>
            <w:tcBorders>
              <w:top w:val="nil"/>
              <w:left w:val="nil"/>
              <w:bottom w:val="single" w:sz="4" w:space="0" w:color="auto"/>
              <w:right w:val="single" w:sz="4" w:space="0" w:color="auto"/>
            </w:tcBorders>
            <w:shd w:val="clear" w:color="auto" w:fill="auto"/>
            <w:noWrap/>
            <w:vAlign w:val="bottom"/>
            <w:hideMark/>
          </w:tcPr>
          <w:p w14:paraId="59310E02" w14:textId="77777777" w:rsidR="0054066B" w:rsidRPr="00FC72C8" w:rsidRDefault="0054066B" w:rsidP="0054066B">
            <w:pPr>
              <w:ind w:left="67" w:right="-91"/>
              <w:rPr>
                <w:rFonts w:ascii="Bookman Old Style" w:hAnsi="Bookman Old Style" w:cs="Arial"/>
                <w:bCs/>
                <w:sz w:val="20"/>
                <w:szCs w:val="20"/>
              </w:rPr>
            </w:pPr>
            <w:r w:rsidRPr="00FC72C8">
              <w:rPr>
                <w:rFonts w:ascii="Bookman Old Style" w:hAnsi="Bookman Old Style" w:cs="Arial"/>
                <w:bCs/>
                <w:sz w:val="20"/>
                <w:szCs w:val="20"/>
              </w:rPr>
              <w:t> </w:t>
            </w:r>
          </w:p>
        </w:tc>
      </w:tr>
      <w:tr w:rsidR="0054066B" w:rsidRPr="00DF469B" w14:paraId="565E368B" w14:textId="77777777" w:rsidTr="00FC72C8">
        <w:trPr>
          <w:trHeight w:val="25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64A171D" w14:textId="77777777" w:rsidR="0054066B" w:rsidRPr="00FC72C8" w:rsidRDefault="0054066B" w:rsidP="0054066B">
            <w:pPr>
              <w:ind w:left="67" w:right="-91"/>
              <w:rPr>
                <w:rFonts w:ascii="Bookman Old Style" w:hAnsi="Bookman Old Style" w:cs="Arial"/>
                <w:bCs/>
                <w:sz w:val="20"/>
                <w:szCs w:val="20"/>
              </w:rPr>
            </w:pPr>
            <w:r w:rsidRPr="00FC72C8">
              <w:rPr>
                <w:rFonts w:ascii="Bookman Old Style" w:hAnsi="Bookman Old Style" w:cs="Arial"/>
                <w:bCs/>
                <w:sz w:val="20"/>
                <w:szCs w:val="20"/>
              </w:rPr>
              <w:t>Mano de obra</w:t>
            </w:r>
          </w:p>
        </w:tc>
        <w:tc>
          <w:tcPr>
            <w:tcW w:w="2977" w:type="dxa"/>
            <w:tcBorders>
              <w:top w:val="nil"/>
              <w:left w:val="nil"/>
              <w:bottom w:val="single" w:sz="4" w:space="0" w:color="auto"/>
              <w:right w:val="single" w:sz="4" w:space="0" w:color="auto"/>
            </w:tcBorders>
            <w:shd w:val="clear" w:color="auto" w:fill="auto"/>
            <w:noWrap/>
            <w:vAlign w:val="bottom"/>
            <w:hideMark/>
          </w:tcPr>
          <w:p w14:paraId="3365759F" w14:textId="77777777" w:rsidR="0054066B" w:rsidRPr="00FC72C8" w:rsidRDefault="0054066B" w:rsidP="0054066B">
            <w:pPr>
              <w:ind w:left="67" w:right="-91"/>
              <w:rPr>
                <w:rFonts w:ascii="Bookman Old Style" w:hAnsi="Bookman Old Style" w:cs="Arial"/>
                <w:bCs/>
                <w:sz w:val="20"/>
                <w:szCs w:val="20"/>
              </w:rPr>
            </w:pPr>
            <w:r w:rsidRPr="00FC72C8">
              <w:rPr>
                <w:rFonts w:ascii="Bookman Old Style" w:hAnsi="Bookman Old Style" w:cs="Arial"/>
                <w:bCs/>
                <w:sz w:val="20"/>
                <w:szCs w:val="20"/>
              </w:rPr>
              <w:t> </w:t>
            </w:r>
          </w:p>
        </w:tc>
      </w:tr>
      <w:tr w:rsidR="0054066B" w:rsidRPr="00DF469B" w14:paraId="18F3AA2E" w14:textId="77777777" w:rsidTr="00FC72C8">
        <w:trPr>
          <w:trHeight w:val="25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75F4DE8" w14:textId="77777777" w:rsidR="0054066B" w:rsidRPr="00FC72C8" w:rsidRDefault="0054066B" w:rsidP="0054066B">
            <w:pPr>
              <w:ind w:left="67" w:right="-91"/>
              <w:rPr>
                <w:rFonts w:ascii="Bookman Old Style" w:hAnsi="Bookman Old Style" w:cs="Arial"/>
                <w:bCs/>
                <w:sz w:val="20"/>
                <w:szCs w:val="20"/>
              </w:rPr>
            </w:pPr>
            <w:r w:rsidRPr="00FC72C8">
              <w:rPr>
                <w:rFonts w:ascii="Bookman Old Style" w:hAnsi="Bookman Old Style" w:cs="Arial"/>
                <w:bCs/>
                <w:sz w:val="20"/>
                <w:szCs w:val="20"/>
              </w:rPr>
              <w:t>Misceláneos</w:t>
            </w:r>
          </w:p>
        </w:tc>
        <w:tc>
          <w:tcPr>
            <w:tcW w:w="2977" w:type="dxa"/>
            <w:tcBorders>
              <w:top w:val="nil"/>
              <w:left w:val="nil"/>
              <w:bottom w:val="single" w:sz="4" w:space="0" w:color="auto"/>
              <w:right w:val="single" w:sz="4" w:space="0" w:color="auto"/>
            </w:tcBorders>
            <w:shd w:val="clear" w:color="auto" w:fill="auto"/>
            <w:noWrap/>
            <w:vAlign w:val="bottom"/>
            <w:hideMark/>
          </w:tcPr>
          <w:p w14:paraId="1E3CAE33" w14:textId="77777777" w:rsidR="0054066B" w:rsidRPr="00FC72C8" w:rsidRDefault="0054066B" w:rsidP="0054066B">
            <w:pPr>
              <w:ind w:left="67" w:right="-91"/>
              <w:rPr>
                <w:rFonts w:ascii="Bookman Old Style" w:hAnsi="Bookman Old Style" w:cs="Arial"/>
                <w:bCs/>
                <w:sz w:val="20"/>
                <w:szCs w:val="20"/>
              </w:rPr>
            </w:pPr>
            <w:r w:rsidRPr="00FC72C8">
              <w:rPr>
                <w:rFonts w:ascii="Bookman Old Style" w:hAnsi="Bookman Old Style" w:cs="Arial"/>
                <w:bCs/>
                <w:sz w:val="20"/>
                <w:szCs w:val="20"/>
              </w:rPr>
              <w:t> </w:t>
            </w:r>
          </w:p>
        </w:tc>
      </w:tr>
      <w:tr w:rsidR="0054066B" w:rsidRPr="00DF469B" w14:paraId="08C895DD" w14:textId="77777777" w:rsidTr="00FC72C8">
        <w:trPr>
          <w:trHeight w:val="265"/>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56D45D68" w14:textId="77777777" w:rsidR="0054066B" w:rsidRPr="00FC72C8" w:rsidRDefault="0054066B" w:rsidP="0054066B">
            <w:pPr>
              <w:ind w:left="67" w:right="-91"/>
              <w:rPr>
                <w:rFonts w:ascii="Bookman Old Style" w:hAnsi="Bookman Old Style" w:cs="Arial"/>
                <w:bCs/>
                <w:sz w:val="20"/>
                <w:szCs w:val="20"/>
              </w:rPr>
            </w:pPr>
            <w:r w:rsidRPr="00FC72C8">
              <w:rPr>
                <w:rFonts w:ascii="Bookman Old Style" w:hAnsi="Bookman Old Style" w:cs="Arial"/>
                <w:bCs/>
                <w:sz w:val="20"/>
                <w:szCs w:val="20"/>
              </w:rPr>
              <w:t>Costo total de la estación</w:t>
            </w:r>
          </w:p>
        </w:tc>
        <w:tc>
          <w:tcPr>
            <w:tcW w:w="2977" w:type="dxa"/>
            <w:tcBorders>
              <w:top w:val="nil"/>
              <w:left w:val="nil"/>
              <w:bottom w:val="single" w:sz="4" w:space="0" w:color="auto"/>
              <w:right w:val="single" w:sz="4" w:space="0" w:color="auto"/>
            </w:tcBorders>
            <w:shd w:val="clear" w:color="auto" w:fill="auto"/>
            <w:noWrap/>
            <w:vAlign w:val="bottom"/>
            <w:hideMark/>
          </w:tcPr>
          <w:p w14:paraId="2C104F8D" w14:textId="77777777" w:rsidR="0054066B" w:rsidRPr="00FC72C8" w:rsidRDefault="0054066B" w:rsidP="0054066B">
            <w:pPr>
              <w:ind w:left="67" w:right="-91"/>
              <w:jc w:val="center"/>
              <w:rPr>
                <w:rFonts w:ascii="Bookman Old Style" w:hAnsi="Bookman Old Style" w:cs="Arial"/>
                <w:bCs/>
                <w:sz w:val="20"/>
                <w:szCs w:val="20"/>
              </w:rPr>
            </w:pPr>
            <w:r w:rsidRPr="00FC72C8">
              <w:rPr>
                <w:rFonts w:ascii="Bookman Old Style" w:hAnsi="Bookman Old Style" w:cs="Arial"/>
                <w:bCs/>
                <w:sz w:val="20"/>
                <w:szCs w:val="20"/>
              </w:rPr>
              <w:t>100%</w:t>
            </w:r>
          </w:p>
        </w:tc>
      </w:tr>
    </w:tbl>
    <w:p w14:paraId="0EA05578" w14:textId="77777777" w:rsidR="00E40812" w:rsidRDefault="00E40812" w:rsidP="0040247B">
      <w:pPr>
        <w:jc w:val="both"/>
        <w:rPr>
          <w:rFonts w:ascii="Bookman Old Style" w:hAnsi="Bookman Old Style" w:cs="Arial"/>
          <w:bCs/>
        </w:rPr>
      </w:pPr>
    </w:p>
    <w:p w14:paraId="2A93E7BB" w14:textId="59618E63" w:rsidR="00D13F54" w:rsidRPr="00D13F54" w:rsidRDefault="00D13F54" w:rsidP="0040247B">
      <w:pPr>
        <w:jc w:val="both"/>
        <w:rPr>
          <w:rFonts w:ascii="Bookman Old Style" w:hAnsi="Bookman Old Style" w:cs="Arial"/>
          <w:bCs/>
        </w:rPr>
      </w:pPr>
      <w:r w:rsidRPr="00D13F54">
        <w:rPr>
          <w:rFonts w:ascii="Bookman Old Style" w:hAnsi="Bookman Old Style" w:cs="Arial"/>
          <w:bCs/>
        </w:rPr>
        <w:t>El concepto de materiales contiene el costo de todos los materiales necesarios en la construcción de la estación, tales como medidores, filtros, válvulas, tubería, etc.</w:t>
      </w:r>
    </w:p>
    <w:p w14:paraId="072DB220" w14:textId="77777777" w:rsidR="00D13F54" w:rsidRPr="00D13F54" w:rsidRDefault="00D13F54" w:rsidP="0040247B">
      <w:pPr>
        <w:jc w:val="both"/>
        <w:rPr>
          <w:rFonts w:ascii="Bookman Old Style" w:hAnsi="Bookman Old Style" w:cs="Arial"/>
          <w:bCs/>
        </w:rPr>
      </w:pPr>
    </w:p>
    <w:p w14:paraId="7F172A25" w14:textId="77777777" w:rsidR="00D13F54" w:rsidRPr="00D13F54" w:rsidRDefault="00D13F54" w:rsidP="0040247B">
      <w:pPr>
        <w:jc w:val="both"/>
        <w:rPr>
          <w:rFonts w:ascii="Bookman Old Style" w:hAnsi="Bookman Old Style" w:cs="Arial"/>
          <w:bCs/>
        </w:rPr>
      </w:pPr>
      <w:r w:rsidRPr="00D13F54">
        <w:rPr>
          <w:rFonts w:ascii="Bookman Old Style" w:hAnsi="Bookman Old Style" w:cs="Arial"/>
          <w:bCs/>
        </w:rPr>
        <w:t>El concepto de mano de obra contiene el costo de la mano de obra que se utiliza en la construcción de la estación.</w:t>
      </w:r>
    </w:p>
    <w:p w14:paraId="6C9BCEC1" w14:textId="77777777" w:rsidR="00D13F54" w:rsidRPr="00D13F54" w:rsidRDefault="00D13F54" w:rsidP="0040247B">
      <w:pPr>
        <w:jc w:val="both"/>
        <w:rPr>
          <w:rFonts w:ascii="Bookman Old Style" w:hAnsi="Bookman Old Style" w:cs="Arial"/>
          <w:bCs/>
        </w:rPr>
      </w:pPr>
      <w:r w:rsidRPr="00D13F54">
        <w:rPr>
          <w:rFonts w:ascii="Bookman Old Style" w:hAnsi="Bookman Old Style" w:cs="Arial"/>
          <w:bCs/>
        </w:rPr>
        <w:lastRenderedPageBreak/>
        <w:t>El concepto de misceláneos incluye el costo de la ingeniería, la supervisión, la administración y las contingencias.</w:t>
      </w:r>
    </w:p>
    <w:p w14:paraId="3057BBF3" w14:textId="77777777" w:rsidR="00D13F54" w:rsidRPr="00D13F54" w:rsidRDefault="00D13F54" w:rsidP="00D13F54">
      <w:pPr>
        <w:ind w:left="0"/>
        <w:jc w:val="both"/>
        <w:rPr>
          <w:rFonts w:ascii="Bookman Old Style" w:hAnsi="Bookman Old Style" w:cs="Arial"/>
          <w:bCs/>
        </w:rPr>
      </w:pPr>
    </w:p>
    <w:p w14:paraId="6DEA13C9" w14:textId="30DFF2E9" w:rsidR="0040247B" w:rsidRDefault="00BD75E3" w:rsidP="0040247B">
      <w:pPr>
        <w:ind w:hanging="567"/>
        <w:jc w:val="both"/>
        <w:rPr>
          <w:rFonts w:ascii="Bookman Old Style" w:hAnsi="Bookman Old Style" w:cs="Arial"/>
          <w:bCs/>
        </w:rPr>
      </w:pPr>
      <w:r>
        <w:rPr>
          <w:rFonts w:ascii="Bookman Old Style" w:hAnsi="Bookman Old Style" w:cs="Arial"/>
          <w:bCs/>
        </w:rPr>
        <w:t>4</w:t>
      </w:r>
      <w:r w:rsidR="0040247B">
        <w:rPr>
          <w:rFonts w:ascii="Bookman Old Style" w:hAnsi="Bookman Old Style" w:cs="Arial"/>
          <w:bCs/>
        </w:rPr>
        <w:t>.5</w:t>
      </w:r>
      <w:r w:rsidR="0040247B">
        <w:rPr>
          <w:rFonts w:ascii="Bookman Old Style" w:hAnsi="Bookman Old Style" w:cs="Arial"/>
          <w:bCs/>
        </w:rPr>
        <w:tab/>
      </w:r>
      <w:r w:rsidR="00D13F54" w:rsidRPr="00D13F54">
        <w:rPr>
          <w:rFonts w:ascii="Bookman Old Style" w:hAnsi="Bookman Old Style" w:cs="Arial"/>
          <w:bCs/>
        </w:rPr>
        <w:t xml:space="preserve">Rendir el dictamen pericial correspondiente </w:t>
      </w:r>
      <w:r w:rsidR="002F2AC9">
        <w:rPr>
          <w:rFonts w:ascii="Bookman Old Style" w:hAnsi="Bookman Old Style" w:cs="Arial"/>
          <w:bCs/>
        </w:rPr>
        <w:t xml:space="preserve">a </w:t>
      </w:r>
      <w:r w:rsidR="00D13F54" w:rsidRPr="00D13F54">
        <w:rPr>
          <w:rFonts w:ascii="Bookman Old Style" w:hAnsi="Bookman Old Style" w:cs="Arial"/>
          <w:bCs/>
        </w:rPr>
        <w:t xml:space="preserve">la estación de regulación de puerta de ciudad de que se trate dentro de los treinta (30) días calendario siguientes a la fecha de posesión, en formato pdf y docx. Adicionalmente, se deberá entregar un Excel con la valoración de la estación objeto de peritaje. </w:t>
      </w:r>
    </w:p>
    <w:p w14:paraId="275AEAC9" w14:textId="77777777" w:rsidR="0040247B" w:rsidRDefault="0040247B" w:rsidP="0040247B">
      <w:pPr>
        <w:ind w:hanging="567"/>
        <w:jc w:val="both"/>
        <w:rPr>
          <w:rFonts w:ascii="Bookman Old Style" w:hAnsi="Bookman Old Style" w:cs="Arial"/>
          <w:bCs/>
        </w:rPr>
      </w:pPr>
    </w:p>
    <w:p w14:paraId="10AC81BB" w14:textId="00E654A0" w:rsidR="00D13F54" w:rsidRDefault="00BD75E3" w:rsidP="0040247B">
      <w:pPr>
        <w:ind w:hanging="567"/>
        <w:jc w:val="both"/>
        <w:rPr>
          <w:rFonts w:ascii="Bookman Old Style" w:hAnsi="Bookman Old Style" w:cs="Arial"/>
          <w:bCs/>
        </w:rPr>
      </w:pPr>
      <w:r>
        <w:rPr>
          <w:rFonts w:ascii="Bookman Old Style" w:hAnsi="Bookman Old Style" w:cs="Arial"/>
          <w:bCs/>
        </w:rPr>
        <w:t>4</w:t>
      </w:r>
      <w:r w:rsidR="0040247B">
        <w:rPr>
          <w:rFonts w:ascii="Bookman Old Style" w:hAnsi="Bookman Old Style" w:cs="Arial"/>
          <w:bCs/>
        </w:rPr>
        <w:t>.6</w:t>
      </w:r>
      <w:r w:rsidR="0040247B">
        <w:rPr>
          <w:rFonts w:ascii="Bookman Old Style" w:hAnsi="Bookman Old Style" w:cs="Arial"/>
          <w:bCs/>
        </w:rPr>
        <w:tab/>
      </w:r>
      <w:r w:rsidR="00D13F54" w:rsidRPr="00D13F54">
        <w:rPr>
          <w:rFonts w:ascii="Bookman Old Style" w:hAnsi="Bookman Old Style" w:cs="Arial"/>
          <w:bCs/>
        </w:rPr>
        <w:t xml:space="preserve">Asistir a la Audiencia que será convocada por la CREG </w:t>
      </w:r>
      <w:r w:rsidR="00E334D3">
        <w:rPr>
          <w:rFonts w:ascii="Bookman Old Style" w:hAnsi="Bookman Old Style" w:cs="Arial"/>
          <w:bCs/>
        </w:rPr>
        <w:t>en cada una de las actuaciones administrativas dentro de las que se rinde el dictamen,</w:t>
      </w:r>
      <w:r w:rsidR="00E334D3" w:rsidRPr="00D13F54">
        <w:rPr>
          <w:rFonts w:ascii="Bookman Old Style" w:hAnsi="Bookman Old Style" w:cs="Arial"/>
          <w:bCs/>
        </w:rPr>
        <w:t xml:space="preserve"> </w:t>
      </w:r>
      <w:r w:rsidR="00D13F54" w:rsidRPr="00D13F54">
        <w:rPr>
          <w:rFonts w:ascii="Bookman Old Style" w:hAnsi="Bookman Old Style" w:cs="Arial"/>
          <w:bCs/>
        </w:rPr>
        <w:t>para efectos de garantizar la contradicción</w:t>
      </w:r>
      <w:r w:rsidR="00AA6280">
        <w:rPr>
          <w:rFonts w:ascii="Bookman Old Style" w:hAnsi="Bookman Old Style" w:cs="Arial"/>
          <w:bCs/>
        </w:rPr>
        <w:t xml:space="preserve"> del mismo</w:t>
      </w:r>
      <w:r w:rsidR="00D13F54" w:rsidRPr="00D13F54">
        <w:rPr>
          <w:rFonts w:ascii="Bookman Old Style" w:hAnsi="Bookman Old Style" w:cs="Arial"/>
          <w:bCs/>
        </w:rPr>
        <w:t xml:space="preserve">, </w:t>
      </w:r>
      <w:r w:rsidR="00AA6280">
        <w:rPr>
          <w:rFonts w:ascii="Bookman Old Style" w:hAnsi="Bookman Old Style" w:cs="Arial"/>
          <w:bCs/>
        </w:rPr>
        <w:t xml:space="preserve">en la cual </w:t>
      </w:r>
      <w:r w:rsidR="00D13F54" w:rsidRPr="00D13F54">
        <w:rPr>
          <w:rFonts w:ascii="Bookman Old Style" w:hAnsi="Bookman Old Style" w:cs="Arial"/>
          <w:bCs/>
        </w:rPr>
        <w:t>la CREG, la empresa solicitante y los terceros interesados reconocidos dentro de la actuación</w:t>
      </w:r>
      <w:r w:rsidR="00AA6280">
        <w:rPr>
          <w:rFonts w:ascii="Bookman Old Style" w:hAnsi="Bookman Old Style" w:cs="Arial"/>
          <w:bCs/>
        </w:rPr>
        <w:t>, interrogarán al perito sobre el contenido del dictamen, así como sobre su idoneidad e imparcialidad</w:t>
      </w:r>
      <w:r w:rsidR="00D13F54" w:rsidRPr="00D13F54">
        <w:rPr>
          <w:rFonts w:ascii="Bookman Old Style" w:hAnsi="Bookman Old Style" w:cs="Arial"/>
          <w:bCs/>
        </w:rPr>
        <w:t>.</w:t>
      </w:r>
    </w:p>
    <w:p w14:paraId="1F494130" w14:textId="585697B8" w:rsidR="00AA6280" w:rsidRDefault="00AA6280" w:rsidP="0040247B">
      <w:pPr>
        <w:ind w:hanging="567"/>
        <w:jc w:val="both"/>
        <w:rPr>
          <w:rFonts w:ascii="Bookman Old Style" w:hAnsi="Bookman Old Style" w:cs="Arial"/>
          <w:bCs/>
        </w:rPr>
      </w:pPr>
    </w:p>
    <w:p w14:paraId="1033AE55" w14:textId="0EB30C95" w:rsidR="00AA6280" w:rsidRPr="00D13F54" w:rsidRDefault="00AA6280" w:rsidP="00AA6280">
      <w:pPr>
        <w:jc w:val="both"/>
        <w:rPr>
          <w:rFonts w:ascii="Bookman Old Style" w:hAnsi="Bookman Old Style" w:cs="Arial"/>
          <w:bCs/>
        </w:rPr>
      </w:pPr>
      <w:r>
        <w:rPr>
          <w:rFonts w:ascii="Bookman Old Style" w:hAnsi="Bookman Old Style" w:cs="Arial"/>
          <w:bCs/>
        </w:rPr>
        <w:t xml:space="preserve">La audiencia se realizará </w:t>
      </w:r>
      <w:r w:rsidRPr="000A07D7">
        <w:rPr>
          <w:rFonts w:ascii="Bookman Old Style" w:hAnsi="Bookman Old Style" w:cs="Arial"/>
          <w:bCs/>
        </w:rPr>
        <w:t>cuando hayan pasado</w:t>
      </w:r>
      <w:r>
        <w:rPr>
          <w:rFonts w:ascii="Bookman Old Style" w:hAnsi="Bookman Old Style" w:cs="Arial"/>
          <w:bCs/>
        </w:rPr>
        <w:t>,</w:t>
      </w:r>
      <w:r w:rsidRPr="000A07D7">
        <w:rPr>
          <w:rFonts w:ascii="Bookman Old Style" w:hAnsi="Bookman Old Style" w:cs="Arial"/>
          <w:bCs/>
        </w:rPr>
        <w:t xml:space="preserve"> por lo menos</w:t>
      </w:r>
      <w:r>
        <w:rPr>
          <w:rFonts w:ascii="Bookman Old Style" w:hAnsi="Bookman Old Style" w:cs="Arial"/>
          <w:bCs/>
        </w:rPr>
        <w:t>,</w:t>
      </w:r>
      <w:r w:rsidRPr="000A07D7">
        <w:rPr>
          <w:rFonts w:ascii="Bookman Old Style" w:hAnsi="Bookman Old Style" w:cs="Arial"/>
          <w:bCs/>
        </w:rPr>
        <w:t xml:space="preserve"> diez (10) días desde la presentación del dictamen.</w:t>
      </w:r>
    </w:p>
    <w:p w14:paraId="44F9A7DE" w14:textId="77777777" w:rsidR="00D13F54" w:rsidRPr="00D13F54" w:rsidRDefault="00D13F54" w:rsidP="00D13F54">
      <w:pPr>
        <w:ind w:left="0"/>
        <w:jc w:val="both"/>
        <w:rPr>
          <w:rFonts w:ascii="Bookman Old Style" w:hAnsi="Bookman Old Style" w:cs="Arial"/>
          <w:bCs/>
        </w:rPr>
      </w:pPr>
    </w:p>
    <w:p w14:paraId="38C6517F" w14:textId="1BD72449" w:rsidR="00D13F54" w:rsidRPr="002963D2" w:rsidRDefault="00BD75E3" w:rsidP="0040247B">
      <w:pPr>
        <w:ind w:hanging="567"/>
        <w:jc w:val="both"/>
        <w:rPr>
          <w:rFonts w:ascii="Bookman Old Style" w:hAnsi="Bookman Old Style" w:cs="Arial"/>
          <w:bCs/>
        </w:rPr>
      </w:pPr>
      <w:r>
        <w:rPr>
          <w:rFonts w:ascii="Bookman Old Style" w:hAnsi="Bookman Old Style" w:cs="Arial"/>
          <w:bCs/>
        </w:rPr>
        <w:t>4</w:t>
      </w:r>
      <w:r w:rsidR="0040247B">
        <w:rPr>
          <w:rFonts w:ascii="Bookman Old Style" w:hAnsi="Bookman Old Style" w:cs="Arial"/>
          <w:bCs/>
        </w:rPr>
        <w:t xml:space="preserve">.7 </w:t>
      </w:r>
      <w:r w:rsidR="0040247B">
        <w:rPr>
          <w:rFonts w:ascii="Bookman Old Style" w:hAnsi="Bookman Old Style" w:cs="Arial"/>
          <w:bCs/>
        </w:rPr>
        <w:tab/>
        <w:t>E</w:t>
      </w:r>
      <w:r w:rsidR="00D13F54" w:rsidRPr="00D13F54">
        <w:rPr>
          <w:rFonts w:ascii="Bookman Old Style" w:hAnsi="Bookman Old Style" w:cs="Arial"/>
          <w:bCs/>
        </w:rPr>
        <w:t>fectuar las aclaraciones y complementaciones que se le soliciten respecto del dictamen rendido.</w:t>
      </w:r>
    </w:p>
    <w:p w14:paraId="26639BDC" w14:textId="77777777" w:rsidR="00ED748C" w:rsidRPr="002963D2" w:rsidRDefault="00ED748C" w:rsidP="00ED748C">
      <w:pPr>
        <w:ind w:left="0"/>
        <w:jc w:val="both"/>
        <w:rPr>
          <w:rFonts w:ascii="Bookman Old Style" w:hAnsi="Bookman Old Style" w:cs="Arial"/>
          <w:bCs/>
        </w:rPr>
      </w:pPr>
    </w:p>
    <w:p w14:paraId="20305223" w14:textId="77777777" w:rsidR="00150CD2" w:rsidRDefault="00ED748C" w:rsidP="00ED748C">
      <w:pPr>
        <w:ind w:left="0"/>
        <w:jc w:val="both"/>
        <w:rPr>
          <w:rFonts w:ascii="Bookman Old Style" w:hAnsi="Bookman Old Style" w:cs="Arial"/>
        </w:rPr>
      </w:pPr>
      <w:r w:rsidRPr="00612C64">
        <w:rPr>
          <w:rFonts w:ascii="Bookman Old Style" w:hAnsi="Bookman Old Style" w:cs="Arial"/>
          <w:b/>
        </w:rPr>
        <w:t xml:space="preserve">Artículo </w:t>
      </w:r>
      <w:r w:rsidR="000A185F">
        <w:rPr>
          <w:rFonts w:ascii="Bookman Old Style" w:hAnsi="Bookman Old Style" w:cs="Arial"/>
          <w:b/>
        </w:rPr>
        <w:t>5</w:t>
      </w:r>
      <w:r w:rsidRPr="00612C64">
        <w:rPr>
          <w:rFonts w:ascii="Bookman Old Style" w:hAnsi="Bookman Old Style" w:cs="Arial"/>
          <w:b/>
        </w:rPr>
        <w:t>.</w:t>
      </w:r>
      <w:r w:rsidR="000A185F">
        <w:rPr>
          <w:rFonts w:ascii="Bookman Old Style" w:hAnsi="Bookman Old Style" w:cs="Arial"/>
          <w:b/>
        </w:rPr>
        <w:t xml:space="preserve"> Notificación</w:t>
      </w:r>
      <w:r w:rsidRPr="00612C64">
        <w:rPr>
          <w:rFonts w:ascii="Bookman Old Style" w:hAnsi="Bookman Old Style" w:cs="Arial"/>
          <w:b/>
        </w:rPr>
        <w:t>.</w:t>
      </w:r>
      <w:r w:rsidRPr="00612C64">
        <w:rPr>
          <w:rFonts w:ascii="Bookman Old Style" w:hAnsi="Bookman Old Style" w:cs="Arial"/>
        </w:rPr>
        <w:t xml:space="preserve">  </w:t>
      </w:r>
      <w:r w:rsidR="000A185F">
        <w:rPr>
          <w:rFonts w:ascii="Bookman Old Style" w:hAnsi="Bookman Old Style" w:cs="Arial"/>
        </w:rPr>
        <w:t xml:space="preserve">Notificar </w:t>
      </w:r>
      <w:r w:rsidR="000A185F" w:rsidRPr="00CF06FD">
        <w:rPr>
          <w:rFonts w:ascii="Bookman Old Style" w:hAnsi="Bookman Old Style" w:cs="Arial"/>
          <w:bCs/>
        </w:rPr>
        <w:t xml:space="preserve">a la firma </w:t>
      </w:r>
      <w:r w:rsidR="000A185F" w:rsidRPr="00CF06FD">
        <w:rPr>
          <w:rFonts w:ascii="Bookman Old Style" w:hAnsi="Bookman Old Style" w:cs="Arial"/>
        </w:rPr>
        <w:t>DIVISA INGENIEROS ASOCIADOS LTDA.</w:t>
      </w:r>
      <w:r w:rsidR="00150CD2">
        <w:rPr>
          <w:rFonts w:ascii="Bookman Old Style" w:hAnsi="Bookman Old Style" w:cs="Arial"/>
        </w:rPr>
        <w:t xml:space="preserve">, a </w:t>
      </w:r>
      <w:r w:rsidR="000A185F">
        <w:rPr>
          <w:rFonts w:ascii="Bookman Old Style" w:hAnsi="Bookman Old Style" w:cs="Arial"/>
        </w:rPr>
        <w:t xml:space="preserve">través </w:t>
      </w:r>
      <w:r w:rsidR="00150CD2">
        <w:rPr>
          <w:rFonts w:ascii="Bookman Old Style" w:hAnsi="Bookman Old Style" w:cs="Arial"/>
        </w:rPr>
        <w:t>de su representante legal.</w:t>
      </w:r>
    </w:p>
    <w:p w14:paraId="565EFDB2" w14:textId="6E327145" w:rsidR="00ED748C" w:rsidRPr="000A185F" w:rsidRDefault="000A185F" w:rsidP="00ED748C">
      <w:pPr>
        <w:ind w:left="0"/>
        <w:jc w:val="both"/>
        <w:rPr>
          <w:rFonts w:ascii="Bookman Old Style" w:hAnsi="Bookman Old Style" w:cs="Arial"/>
        </w:rPr>
      </w:pPr>
      <w:r>
        <w:rPr>
          <w:rFonts w:ascii="Bookman Old Style" w:hAnsi="Bookman Old Style" w:cs="Arial"/>
        </w:rPr>
        <w:t xml:space="preserve"> </w:t>
      </w:r>
    </w:p>
    <w:p w14:paraId="1537670A" w14:textId="77777777" w:rsidR="00ED748C" w:rsidRDefault="00ED748C" w:rsidP="00ED748C">
      <w:pPr>
        <w:jc w:val="center"/>
        <w:rPr>
          <w:rFonts w:ascii="Bookman Old Style" w:hAnsi="Bookman Old Style" w:cs="Arial"/>
          <w:b/>
        </w:rPr>
      </w:pPr>
    </w:p>
    <w:p w14:paraId="0978A827" w14:textId="446794E2" w:rsidR="00ED748C" w:rsidRPr="00612C64" w:rsidRDefault="00AA6280" w:rsidP="00ED748C">
      <w:pPr>
        <w:jc w:val="center"/>
        <w:rPr>
          <w:rFonts w:ascii="Bookman Old Style" w:hAnsi="Bookman Old Style" w:cs="Arial"/>
          <w:b/>
        </w:rPr>
      </w:pPr>
      <w:r>
        <w:rPr>
          <w:rFonts w:ascii="Bookman Old Style" w:hAnsi="Bookman Old Style" w:cs="Arial"/>
          <w:b/>
        </w:rPr>
        <w:t xml:space="preserve">NOTIFÍQUESE, </w:t>
      </w:r>
      <w:r w:rsidR="00150CD2">
        <w:rPr>
          <w:rFonts w:ascii="Bookman Old Style" w:hAnsi="Bookman Old Style" w:cs="Arial"/>
          <w:b/>
        </w:rPr>
        <w:t xml:space="preserve">COMUNÍQUESE </w:t>
      </w:r>
      <w:r w:rsidR="00ED748C" w:rsidRPr="00612C64">
        <w:rPr>
          <w:rFonts w:ascii="Bookman Old Style" w:hAnsi="Bookman Old Style" w:cs="Arial"/>
          <w:b/>
        </w:rPr>
        <w:t>Y CÚMPLASE</w:t>
      </w:r>
    </w:p>
    <w:p w14:paraId="74D79883" w14:textId="65143373" w:rsidR="00ED748C" w:rsidRDefault="00ED748C" w:rsidP="00ED748C">
      <w:pPr>
        <w:rPr>
          <w:rFonts w:ascii="Bookman Old Style" w:hAnsi="Bookman Old Style" w:cs="Arial"/>
        </w:rPr>
      </w:pPr>
    </w:p>
    <w:p w14:paraId="5306BC03" w14:textId="77777777" w:rsidR="007141DD" w:rsidRDefault="007141DD" w:rsidP="00ED748C">
      <w:pPr>
        <w:rPr>
          <w:rFonts w:ascii="Bookman Old Style" w:hAnsi="Bookman Old Style" w:cs="Arial"/>
        </w:rPr>
      </w:pPr>
    </w:p>
    <w:p w14:paraId="0E02CA36" w14:textId="4DB1B604" w:rsidR="00ED748C" w:rsidRPr="0086328C" w:rsidRDefault="00ED748C" w:rsidP="00ED748C">
      <w:pPr>
        <w:ind w:left="0"/>
        <w:rPr>
          <w:rFonts w:ascii="Bookman Old Style" w:hAnsi="Bookman Old Style" w:cs="Arial"/>
          <w:b/>
          <w:bCs/>
        </w:rPr>
      </w:pPr>
      <w:r w:rsidRPr="00612C64">
        <w:rPr>
          <w:rFonts w:ascii="Bookman Old Style" w:hAnsi="Bookman Old Style" w:cs="Arial"/>
        </w:rPr>
        <w:t>Dad</w:t>
      </w:r>
      <w:r>
        <w:rPr>
          <w:rFonts w:ascii="Bookman Old Style" w:hAnsi="Bookman Old Style" w:cs="Arial"/>
        </w:rPr>
        <w:t>a</w:t>
      </w:r>
      <w:r w:rsidRPr="00612C64">
        <w:rPr>
          <w:rFonts w:ascii="Bookman Old Style" w:hAnsi="Bookman Old Style" w:cs="Arial"/>
        </w:rPr>
        <w:t xml:space="preserve"> en Bogotá, D.C.</w:t>
      </w:r>
      <w:r>
        <w:rPr>
          <w:rFonts w:ascii="Bookman Old Style" w:hAnsi="Bookman Old Style" w:cs="Arial"/>
        </w:rPr>
        <w:t xml:space="preserve">, el </w:t>
      </w:r>
      <w:r w:rsidR="0086328C" w:rsidRPr="0086328C">
        <w:rPr>
          <w:rFonts w:ascii="Bookman Old Style" w:hAnsi="Bookman Old Style" w:cs="Arial"/>
          <w:b/>
          <w:bCs/>
        </w:rPr>
        <w:t>10 NOV. 2021</w:t>
      </w:r>
    </w:p>
    <w:p w14:paraId="1C142D65" w14:textId="77777777" w:rsidR="00ED748C" w:rsidRPr="00612C64" w:rsidRDefault="00ED748C" w:rsidP="00ED748C">
      <w:pPr>
        <w:rPr>
          <w:rFonts w:ascii="Bookman Old Style" w:hAnsi="Bookman Old Style" w:cs="Arial"/>
        </w:rPr>
      </w:pPr>
    </w:p>
    <w:p w14:paraId="4D1E42DF" w14:textId="77777777" w:rsidR="00ED748C" w:rsidRDefault="00ED748C" w:rsidP="00ED748C">
      <w:pPr>
        <w:rPr>
          <w:rFonts w:ascii="Bookman Old Style" w:hAnsi="Bookman Old Style" w:cs="Arial"/>
        </w:rPr>
      </w:pPr>
    </w:p>
    <w:p w14:paraId="1CF85448" w14:textId="3DEE4B16" w:rsidR="00ED748C" w:rsidRDefault="00ED748C" w:rsidP="00ED748C">
      <w:pPr>
        <w:rPr>
          <w:rFonts w:ascii="Bookman Old Style" w:hAnsi="Bookman Old Style" w:cs="Arial"/>
        </w:rPr>
      </w:pPr>
    </w:p>
    <w:p w14:paraId="79C36C2C" w14:textId="77777777" w:rsidR="003A6A3A" w:rsidRDefault="003A6A3A" w:rsidP="00ED748C">
      <w:pPr>
        <w:rPr>
          <w:rFonts w:ascii="Bookman Old Style" w:hAnsi="Bookman Old Style" w:cs="Arial"/>
        </w:rPr>
      </w:pPr>
    </w:p>
    <w:p w14:paraId="7DC61DE0" w14:textId="77777777" w:rsidR="00ED748C" w:rsidRPr="00612C64" w:rsidRDefault="00ED748C" w:rsidP="00ED748C">
      <w:pPr>
        <w:rPr>
          <w:rFonts w:ascii="Bookman Old Style" w:hAnsi="Bookman Old Style" w:cs="Arial"/>
        </w:rPr>
      </w:pPr>
    </w:p>
    <w:p w14:paraId="347524C5" w14:textId="77777777" w:rsidR="00ED748C" w:rsidRPr="00612C64" w:rsidRDefault="00ED748C" w:rsidP="00ED748C">
      <w:pPr>
        <w:rPr>
          <w:rFonts w:ascii="Bookman Old Style" w:hAnsi="Bookman Old Style" w:cs="Arial"/>
        </w:rPr>
      </w:pPr>
    </w:p>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ED748C" w:rsidRPr="00612C64" w14:paraId="600765F5" w14:textId="77777777" w:rsidTr="00507BE4">
        <w:trPr>
          <w:tblCellSpacing w:w="0" w:type="dxa"/>
          <w:jc w:val="center"/>
        </w:trPr>
        <w:tc>
          <w:tcPr>
            <w:tcW w:w="5033" w:type="dxa"/>
          </w:tcPr>
          <w:p w14:paraId="0D105FED" w14:textId="77777777" w:rsidR="00ED748C" w:rsidRPr="009A1F22" w:rsidRDefault="00ED748C" w:rsidP="00507BE4">
            <w:pPr>
              <w:ind w:left="0"/>
              <w:rPr>
                <w:rFonts w:ascii="Bookman Old Style" w:hAnsi="Bookman Old Style" w:cs="Arial"/>
                <w:b/>
                <w:spacing w:val="-3"/>
              </w:rPr>
            </w:pPr>
            <w:r w:rsidRPr="009A1F22">
              <w:rPr>
                <w:rFonts w:ascii="Bookman Old Style" w:hAnsi="Bookman Old Style" w:cs="Arial"/>
                <w:b/>
              </w:rPr>
              <w:t xml:space="preserve">          MIGUEL LOTERO ROBLEDO</w:t>
            </w:r>
          </w:p>
        </w:tc>
        <w:tc>
          <w:tcPr>
            <w:tcW w:w="4606" w:type="dxa"/>
          </w:tcPr>
          <w:p w14:paraId="483CD014" w14:textId="5673DC3D" w:rsidR="00ED748C" w:rsidRPr="009A1F22" w:rsidRDefault="00150CD2" w:rsidP="00507BE4">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ED748C" w:rsidRPr="00612C64" w14:paraId="2427A53F" w14:textId="77777777" w:rsidTr="00507BE4">
        <w:trPr>
          <w:tblCellSpacing w:w="0" w:type="dxa"/>
          <w:jc w:val="center"/>
        </w:trPr>
        <w:tc>
          <w:tcPr>
            <w:tcW w:w="5033" w:type="dxa"/>
            <w:hideMark/>
          </w:tcPr>
          <w:p w14:paraId="16DF47EA" w14:textId="77777777" w:rsidR="00ED748C" w:rsidRDefault="00ED748C" w:rsidP="00507BE4">
            <w:pPr>
              <w:ind w:left="66"/>
              <w:jc w:val="center"/>
              <w:rPr>
                <w:rFonts w:ascii="Bookman Old Style" w:hAnsi="Bookman Old Style" w:cs="Arial"/>
                <w:spacing w:val="-3"/>
              </w:rPr>
            </w:pPr>
            <w:r>
              <w:rPr>
                <w:rFonts w:ascii="Bookman Old Style" w:hAnsi="Bookman Old Style" w:cs="Arial"/>
                <w:spacing w:val="-3"/>
              </w:rPr>
              <w:t>Viceministro de Energía, delegado del</w:t>
            </w:r>
          </w:p>
          <w:p w14:paraId="0ED6A2AB" w14:textId="77777777" w:rsidR="00ED748C" w:rsidRPr="00612C64" w:rsidRDefault="00ED748C" w:rsidP="00507BE4">
            <w:pPr>
              <w:ind w:left="66"/>
              <w:jc w:val="center"/>
              <w:rPr>
                <w:rFonts w:ascii="Bookman Old Style" w:eastAsia="Arial Unicode MS" w:hAnsi="Bookman Old Style" w:cs="Arial"/>
                <w:color w:val="000000"/>
              </w:rPr>
            </w:pPr>
            <w:r w:rsidRPr="00612C64">
              <w:rPr>
                <w:rFonts w:ascii="Bookman Old Style" w:hAnsi="Bookman Old Style" w:cs="Arial"/>
                <w:spacing w:val="-3"/>
              </w:rPr>
              <w:t>Ministro de Minas y Energía</w:t>
            </w:r>
          </w:p>
        </w:tc>
        <w:tc>
          <w:tcPr>
            <w:tcW w:w="4606" w:type="dxa"/>
            <w:hideMark/>
          </w:tcPr>
          <w:p w14:paraId="5B2B389C" w14:textId="43C1F165" w:rsidR="00ED748C" w:rsidRPr="00612C64" w:rsidRDefault="00ED748C" w:rsidP="00507BE4">
            <w:pPr>
              <w:ind w:left="63"/>
              <w:jc w:val="center"/>
              <w:rPr>
                <w:rFonts w:ascii="Bookman Old Style" w:eastAsia="Arial Unicode MS" w:hAnsi="Bookman Old Style" w:cs="Arial"/>
                <w:color w:val="000000"/>
              </w:rPr>
            </w:pPr>
            <w:r w:rsidRPr="00612C64">
              <w:rPr>
                <w:rFonts w:ascii="Bookman Old Style" w:hAnsi="Bookman Old Style" w:cs="Arial"/>
                <w:spacing w:val="-3"/>
              </w:rPr>
              <w:t>Director Ejecutiv</w:t>
            </w:r>
            <w:r w:rsidR="00150CD2">
              <w:rPr>
                <w:rFonts w:ascii="Bookman Old Style" w:hAnsi="Bookman Old Style" w:cs="Arial"/>
                <w:spacing w:val="-3"/>
              </w:rPr>
              <w:t>o</w:t>
            </w:r>
            <w:r>
              <w:rPr>
                <w:rFonts w:ascii="Bookman Old Style" w:hAnsi="Bookman Old Style" w:cs="Arial"/>
                <w:spacing w:val="-3"/>
              </w:rPr>
              <w:t xml:space="preserve"> </w:t>
            </w:r>
          </w:p>
        </w:tc>
      </w:tr>
      <w:tr w:rsidR="00ED748C" w:rsidRPr="00612C64" w14:paraId="13E8C2DA" w14:textId="77777777" w:rsidTr="00507BE4">
        <w:trPr>
          <w:tblCellSpacing w:w="0" w:type="dxa"/>
          <w:jc w:val="center"/>
        </w:trPr>
        <w:tc>
          <w:tcPr>
            <w:tcW w:w="5033" w:type="dxa"/>
            <w:hideMark/>
          </w:tcPr>
          <w:p w14:paraId="1FFB1CEF" w14:textId="77777777" w:rsidR="00ED748C" w:rsidRPr="00612C64" w:rsidRDefault="00ED748C" w:rsidP="00507BE4">
            <w:pPr>
              <w:ind w:left="66"/>
              <w:jc w:val="center"/>
              <w:rPr>
                <w:rFonts w:ascii="Bookman Old Style" w:eastAsia="Arial Unicode MS" w:hAnsi="Bookman Old Style" w:cs="Arial"/>
                <w:color w:val="000000"/>
              </w:rPr>
            </w:pPr>
            <w:r w:rsidRPr="00612C64">
              <w:rPr>
                <w:rFonts w:ascii="Bookman Old Style" w:hAnsi="Bookman Old Style" w:cs="Arial"/>
                <w:spacing w:val="-3"/>
              </w:rPr>
              <w:t>Presidente</w:t>
            </w:r>
          </w:p>
        </w:tc>
        <w:tc>
          <w:tcPr>
            <w:tcW w:w="4606" w:type="dxa"/>
          </w:tcPr>
          <w:p w14:paraId="7F91B564" w14:textId="77777777" w:rsidR="00ED748C" w:rsidRPr="00612C64" w:rsidRDefault="00ED748C" w:rsidP="00507BE4">
            <w:pPr>
              <w:jc w:val="center"/>
              <w:rPr>
                <w:rFonts w:ascii="Bookman Old Style" w:eastAsia="Arial Unicode MS" w:hAnsi="Bookman Old Style" w:cs="Arial"/>
                <w:color w:val="000000"/>
              </w:rPr>
            </w:pPr>
          </w:p>
        </w:tc>
      </w:tr>
      <w:bookmarkEnd w:id="0"/>
      <w:bookmarkEnd w:id="1"/>
    </w:tbl>
    <w:p w14:paraId="67AF8E5A" w14:textId="6104D435" w:rsidR="00AC0B29" w:rsidRDefault="00AC0B29"/>
    <w:sectPr w:rsidR="00AC0B29" w:rsidSect="00ED748C">
      <w:headerReference w:type="default" r:id="rId7"/>
      <w:headerReference w:type="first" r:id="rId8"/>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8A69" w14:textId="77777777" w:rsidR="00DA4FDD" w:rsidRDefault="00DA4FDD">
      <w:r>
        <w:separator/>
      </w:r>
    </w:p>
  </w:endnote>
  <w:endnote w:type="continuationSeparator" w:id="0">
    <w:p w14:paraId="46F64605" w14:textId="77777777" w:rsidR="00DA4FDD" w:rsidRDefault="00DA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04B5" w14:textId="77777777" w:rsidR="00DA4FDD" w:rsidRDefault="00DA4FDD">
      <w:r>
        <w:separator/>
      </w:r>
    </w:p>
  </w:footnote>
  <w:footnote w:type="continuationSeparator" w:id="0">
    <w:p w14:paraId="69C0E835" w14:textId="77777777" w:rsidR="00DA4FDD" w:rsidRDefault="00DA4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8B99" w14:textId="5EEF2DD8" w:rsidR="00DA50B1" w:rsidRPr="00951F79" w:rsidRDefault="00295CD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Pr>
        <w:rFonts w:ascii="Bookman Old Style" w:hAnsi="Bookman Old Style" w:cs="Arial"/>
        <w:b w:val="0"/>
        <w:sz w:val="22"/>
        <w:szCs w:val="22"/>
        <w:u w:val="single"/>
      </w:rPr>
      <w:t xml:space="preserve">   </w:t>
    </w:r>
    <w:r w:rsidRPr="0086328C">
      <w:rPr>
        <w:rFonts w:ascii="Bookman Old Style" w:hAnsi="Bookman Old Style" w:cs="Arial"/>
        <w:bCs/>
        <w:szCs w:val="24"/>
        <w:u w:val="single"/>
      </w:rPr>
      <w:t xml:space="preserve">  </w:t>
    </w:r>
    <w:r w:rsidR="0086328C" w:rsidRPr="0086328C">
      <w:rPr>
        <w:rFonts w:ascii="Bookman Old Style" w:hAnsi="Bookman Old Style" w:cs="Arial"/>
        <w:bCs/>
        <w:szCs w:val="24"/>
        <w:u w:val="single"/>
      </w:rPr>
      <w:t>205</w:t>
    </w:r>
    <w:r w:rsidRPr="0086328C">
      <w:rPr>
        <w:rFonts w:ascii="Bookman Old Style" w:hAnsi="Bookman Old Style" w:cs="Arial"/>
        <w:bCs/>
        <w:szCs w:val="24"/>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86328C" w:rsidRPr="0086328C">
      <w:rPr>
        <w:rFonts w:ascii="Bookman Old Style" w:hAnsi="Bookman Old Style" w:cs="Arial"/>
        <w:bCs/>
        <w:szCs w:val="24"/>
        <w:u w:val="single"/>
      </w:rPr>
      <w:t>10 NOV. 2021</w:t>
    </w:r>
    <w:r>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36AC2">
      <w:fldChar w:fldCharType="begin"/>
    </w:r>
    <w:r w:rsidR="00036AC2">
      <w:instrText>NUMPAGES  \* MERGEFORMAT</w:instrText>
    </w:r>
    <w:r w:rsidR="00036AC2">
      <w:fldChar w:fldCharType="separate"/>
    </w:r>
    <w:r w:rsidRPr="00634D7F">
      <w:rPr>
        <w:rFonts w:ascii="Bookman Old Style" w:hAnsi="Bookman Old Style" w:cs="Arial"/>
        <w:b w:val="0"/>
        <w:noProof/>
        <w:sz w:val="22"/>
        <w:szCs w:val="22"/>
      </w:rPr>
      <w:t>61</w:t>
    </w:r>
    <w:r w:rsidR="00036AC2">
      <w:rPr>
        <w:rFonts w:ascii="Bookman Old Style" w:hAnsi="Bookman Old Style" w:cs="Arial"/>
        <w:b w:val="0"/>
        <w:noProof/>
        <w:sz w:val="22"/>
        <w:szCs w:val="22"/>
      </w:rPr>
      <w:fldChar w:fldCharType="end"/>
    </w:r>
  </w:p>
  <w:p w14:paraId="33C82B86" w14:textId="77777777" w:rsidR="00DA50B1" w:rsidRDefault="00295CD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60288" behindDoc="0" locked="0" layoutInCell="1" allowOverlap="1" wp14:anchorId="7B23F89B" wp14:editId="2E0549D2">
              <wp:simplePos x="0" y="0"/>
              <wp:positionH relativeFrom="column">
                <wp:posOffset>-133837</wp:posOffset>
              </wp:positionH>
              <wp:positionV relativeFrom="paragraph">
                <wp:posOffset>162132</wp:posOffset>
              </wp:positionV>
              <wp:extent cx="6267450" cy="10026502"/>
              <wp:effectExtent l="0" t="0" r="19050" b="133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2650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A8540" id="Rectangle 1" o:spid="_x0000_s1026" style="position:absolute;margin-left:-10.55pt;margin-top:12.75pt;width:493.5pt;height:7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" filled="f" strokeweight="1.5pt"/>
          </w:pict>
        </mc:Fallback>
      </mc:AlternateContent>
    </w:r>
  </w:p>
  <w:p w14:paraId="213A7D56" w14:textId="4FF6A119" w:rsidR="005D377B" w:rsidRPr="0086328C" w:rsidRDefault="007B2B75" w:rsidP="0086328C">
    <w:pPr>
      <w:ind w:left="0"/>
      <w:jc w:val="both"/>
      <w:rPr>
        <w:rFonts w:ascii="Bookman Old Style" w:hAnsi="Bookman Old Style"/>
      </w:rPr>
    </w:pPr>
    <w:r w:rsidRPr="0086328C">
      <w:rPr>
        <w:rFonts w:ascii="Bookman Old Style" w:hAnsi="Bookman Old Style"/>
      </w:rPr>
      <w:t>Por la cual se designa un perito para establecer el valor de reposición a nuevo de las Estaciones de Regulación de Puerta de Ciudad “La Arenosa” y “Tasajera”.</w:t>
    </w:r>
  </w:p>
  <w:p w14:paraId="5BE714EC" w14:textId="77777777" w:rsidR="00DA50B1" w:rsidRPr="00194AAB" w:rsidRDefault="00036AC2" w:rsidP="002613D0">
    <w:pPr>
      <w:pBdr>
        <w:bottom w:val="single" w:sz="4" w:space="1" w:color="auto"/>
      </w:pBdr>
      <w:ind w:left="142" w:right="148"/>
      <w:jc w:val="both"/>
      <w:rPr>
        <w:b/>
        <w:lang w:val="es-ES_tradnl"/>
      </w:rPr>
    </w:pPr>
  </w:p>
  <w:p w14:paraId="4B1A82EB" w14:textId="77777777" w:rsidR="007E20AF" w:rsidRDefault="00036A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A394" w14:textId="77777777" w:rsidR="00DA50B1" w:rsidRDefault="00295CD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7F9C3157" w14:textId="77777777" w:rsidR="00DA50B1" w:rsidRDefault="00036AC2">
    <w:pPr>
      <w:pStyle w:val="Encabezado"/>
      <w:jc w:val="center"/>
      <w:rPr>
        <w:rFonts w:ascii="Arial" w:hAnsi="Arial" w:cs="Arial"/>
        <w:spacing w:val="20"/>
        <w:sz w:val="20"/>
      </w:rPr>
    </w:pPr>
  </w:p>
  <w:p w14:paraId="261DC8DF" w14:textId="69594EF2" w:rsidR="00DA50B1" w:rsidRDefault="00036AC2" w:rsidP="00CA77FB">
    <w:pPr>
      <w:pStyle w:val="Encabezado"/>
      <w:jc w:val="center"/>
    </w:pPr>
    <w:r>
      <w:rPr>
        <w:rFonts w:ascii="Arial" w:hAnsi="Arial" w:cs="Arial"/>
        <w:noProof/>
        <w:spacing w:val="20"/>
        <w:sz w:val="20"/>
        <w:lang w:eastAsia="es-CO"/>
      </w:rPr>
      <w:object w:dxaOrig="1440" w:dyaOrig="1440" w14:anchorId="7B234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2.4pt;margin-top:5.25pt;width:52.5pt;height:48.75pt;z-index:251661312" fillcolor="#0c9">
          <v:imagedata r:id="rId1" o:title=""/>
        </v:shape>
        <o:OLEObject Type="Embed" ProgID="PBrush" ShapeID="_x0000_s1025" DrawAspect="Content" ObjectID="_1699361150" r:id="rId2"/>
      </w:object>
    </w:r>
    <w:r w:rsidR="00295CD0">
      <w:rPr>
        <w:rFonts w:ascii="Arial" w:hAnsi="Arial" w:cs="Arial"/>
        <w:noProof/>
        <w:spacing w:val="20"/>
        <w:sz w:val="20"/>
        <w:lang w:eastAsia="es-CO"/>
      </w:rPr>
      <mc:AlternateContent>
        <mc:Choice Requires="wps">
          <w:drawing>
            <wp:anchor distT="0" distB="0" distL="114300" distR="114300" simplePos="0" relativeHeight="251659264" behindDoc="0" locked="0" layoutInCell="1" allowOverlap="1" wp14:anchorId="1BEDCC57" wp14:editId="5B766DA6">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20996" w14:textId="77777777" w:rsidR="00141BFD" w:rsidRDefault="00141BFD" w:rsidP="00141BFD">
                          <w:pPr>
                            <w:ind w:left="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DCC57" id="Rectangle 2" o:spid="_x0000_s1026" style="position:absolute;left:0;text-align:left;margin-left:-16.8pt;margin-top:29.7pt;width:499.5pt;height:7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" filled="f" strokeweight="1.5pt">
              <v:textbox>
                <w:txbxContent>
                  <w:p w14:paraId="17420996" w14:textId="77777777" w:rsidR="00141BFD" w:rsidRDefault="00141BFD" w:rsidP="00141BFD">
                    <w:pPr>
                      <w:ind w:left="0"/>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1866286"/>
    <w:lvl w:ilvl="0">
      <w:start w:val="1"/>
      <w:numFmt w:val="bullet"/>
      <w:pStyle w:val="Listaconvietas3"/>
      <w:lvlText w:val=""/>
      <w:lvlJc w:val="left"/>
      <w:pPr>
        <w:tabs>
          <w:tab w:val="num" w:pos="13968"/>
        </w:tabs>
        <w:ind w:left="13968" w:hanging="360"/>
      </w:pPr>
      <w:rPr>
        <w:rFonts w:ascii="Symbol" w:hAnsi="Symbol" w:hint="default"/>
      </w:rPr>
    </w:lvl>
  </w:abstractNum>
  <w:abstractNum w:abstractNumId="1" w15:restartNumberingAfterBreak="0">
    <w:nsid w:val="FFFFFF83"/>
    <w:multiLevelType w:val="multilevel"/>
    <w:tmpl w:val="EEF6121E"/>
    <w:lvl w:ilvl="0">
      <w:start w:val="1"/>
      <w:numFmt w:val="bullet"/>
      <w:pStyle w:val="Listaconvietas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1F"/>
    <w:multiLevelType w:val="hybridMultilevel"/>
    <w:tmpl w:val="0000001F"/>
    <w:name w:val="WW8StyleNum"/>
    <w:lvl w:ilvl="0" w:tplc="535EB8DE">
      <w:start w:val="1"/>
      <w:numFmt w:val="lowerLetter"/>
      <w:pStyle w:val="Vietaletra"/>
      <w:lvlText w:val="%1)"/>
      <w:lvlJc w:val="left"/>
      <w:pPr>
        <w:tabs>
          <w:tab w:val="num" w:pos="360"/>
        </w:tabs>
      </w:pPr>
    </w:lvl>
    <w:lvl w:ilvl="1" w:tplc="91701D96">
      <w:start w:val="1"/>
      <w:numFmt w:val="decimal"/>
      <w:lvlText w:val="%2."/>
      <w:lvlJc w:val="left"/>
      <w:pPr>
        <w:tabs>
          <w:tab w:val="num" w:pos="1080"/>
        </w:tabs>
      </w:pPr>
    </w:lvl>
    <w:lvl w:ilvl="2" w:tplc="598CA646">
      <w:start w:val="1"/>
      <w:numFmt w:val="decimal"/>
      <w:lvlText w:val="%3."/>
      <w:lvlJc w:val="left"/>
      <w:pPr>
        <w:tabs>
          <w:tab w:val="num" w:pos="1440"/>
        </w:tabs>
      </w:pPr>
    </w:lvl>
    <w:lvl w:ilvl="3" w:tplc="533CB5AA">
      <w:start w:val="1"/>
      <w:numFmt w:val="decimal"/>
      <w:lvlText w:val="%4."/>
      <w:lvlJc w:val="left"/>
      <w:pPr>
        <w:tabs>
          <w:tab w:val="num" w:pos="1800"/>
        </w:tabs>
      </w:pPr>
    </w:lvl>
    <w:lvl w:ilvl="4" w:tplc="D9566340">
      <w:start w:val="1"/>
      <w:numFmt w:val="decimal"/>
      <w:lvlText w:val="%5."/>
      <w:lvlJc w:val="left"/>
      <w:pPr>
        <w:tabs>
          <w:tab w:val="num" w:pos="2160"/>
        </w:tabs>
      </w:pPr>
    </w:lvl>
    <w:lvl w:ilvl="5" w:tplc="2410C644">
      <w:start w:val="1"/>
      <w:numFmt w:val="decimal"/>
      <w:lvlText w:val="%6."/>
      <w:lvlJc w:val="left"/>
      <w:pPr>
        <w:tabs>
          <w:tab w:val="num" w:pos="2520"/>
        </w:tabs>
      </w:pPr>
    </w:lvl>
    <w:lvl w:ilvl="6" w:tplc="C360CA56">
      <w:start w:val="1"/>
      <w:numFmt w:val="decimal"/>
      <w:lvlText w:val="%7."/>
      <w:lvlJc w:val="left"/>
      <w:pPr>
        <w:tabs>
          <w:tab w:val="num" w:pos="2880"/>
        </w:tabs>
      </w:pPr>
    </w:lvl>
    <w:lvl w:ilvl="7" w:tplc="BA20F0D4">
      <w:start w:val="1"/>
      <w:numFmt w:val="decimal"/>
      <w:lvlText w:val="%8."/>
      <w:lvlJc w:val="left"/>
      <w:pPr>
        <w:tabs>
          <w:tab w:val="num" w:pos="3240"/>
        </w:tabs>
      </w:pPr>
    </w:lvl>
    <w:lvl w:ilvl="8" w:tplc="980EDBA6">
      <w:start w:val="1"/>
      <w:numFmt w:val="decimal"/>
      <w:lvlText w:val="%9."/>
      <w:lvlJc w:val="left"/>
      <w:pPr>
        <w:tabs>
          <w:tab w:val="num" w:pos="3600"/>
        </w:tabs>
      </w:pPr>
    </w:lvl>
  </w:abstractNum>
  <w:abstractNum w:abstractNumId="3" w15:restartNumberingAfterBreak="0">
    <w:nsid w:val="00394657"/>
    <w:multiLevelType w:val="hybridMultilevel"/>
    <w:tmpl w:val="DA06BABA"/>
    <w:lvl w:ilvl="0" w:tplc="A58A28F8">
      <w:start w:val="1"/>
      <w:numFmt w:val="decimal"/>
      <w:lvlText w:val="Respuesta %1"/>
      <w:lvlJc w:val="left"/>
      <w:pPr>
        <w:ind w:left="1440" w:hanging="360"/>
      </w:pPr>
      <w:rPr>
        <w:rFonts w:hint="default"/>
        <w:b/>
        <w:i w:val="0"/>
        <w:sz w:val="22"/>
      </w:rPr>
    </w:lvl>
    <w:lvl w:ilvl="1" w:tplc="2A0425E8">
      <w:start w:val="1"/>
      <w:numFmt w:val="lowerLetter"/>
      <w:pStyle w:val="COMENTARIO1"/>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061BFF"/>
    <w:multiLevelType w:val="multilevel"/>
    <w:tmpl w:val="D16E102A"/>
    <w:lvl w:ilvl="0">
      <w:start w:val="1"/>
      <w:numFmt w:val="decimal"/>
      <w:lvlText w:val="Artículo %1."/>
      <w:lvlJc w:val="left"/>
      <w:pPr>
        <w:tabs>
          <w:tab w:val="num" w:pos="1440"/>
        </w:tabs>
        <w:ind w:left="0" w:firstLine="0"/>
      </w:pPr>
      <w:rPr>
        <w:b/>
        <w:i w:val="0"/>
      </w:rPr>
    </w:lvl>
    <w:lvl w:ilvl="1">
      <w:start w:val="1"/>
      <w:numFmt w:val="lowerLetter"/>
      <w:lvlText w:val="%2)"/>
      <w:lvlJc w:val="left"/>
      <w:pPr>
        <w:ind w:left="-2231" w:hanging="375"/>
      </w:p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start w:val="1"/>
      <w:numFmt w:val="decimal"/>
      <w:lvlText w:val="%7."/>
      <w:lvlJc w:val="left"/>
      <w:pPr>
        <w:tabs>
          <w:tab w:val="num" w:pos="1354"/>
        </w:tabs>
        <w:ind w:left="1354" w:hanging="360"/>
      </w:pPr>
    </w:lvl>
    <w:lvl w:ilvl="7">
      <w:start w:val="1"/>
      <w:numFmt w:val="lowerLetter"/>
      <w:lvlText w:val="%8."/>
      <w:lvlJc w:val="left"/>
      <w:pPr>
        <w:tabs>
          <w:tab w:val="num" w:pos="2074"/>
        </w:tabs>
        <w:ind w:left="2074" w:hanging="360"/>
      </w:pPr>
    </w:lvl>
    <w:lvl w:ilvl="8">
      <w:start w:val="1"/>
      <w:numFmt w:val="lowerRoman"/>
      <w:lvlText w:val="%9."/>
      <w:lvlJc w:val="right"/>
      <w:pPr>
        <w:tabs>
          <w:tab w:val="num" w:pos="2794"/>
        </w:tabs>
        <w:ind w:left="2794" w:hanging="180"/>
      </w:pPr>
    </w:lvl>
  </w:abstractNum>
  <w:abstractNum w:abstractNumId="5" w15:restartNumberingAfterBreak="0">
    <w:nsid w:val="0F84644F"/>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13ED1F47"/>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7" w15:restartNumberingAfterBreak="0">
    <w:nsid w:val="29375622"/>
    <w:multiLevelType w:val="hybridMultilevel"/>
    <w:tmpl w:val="EBE67EF8"/>
    <w:lvl w:ilvl="0" w:tplc="71DA4FE8">
      <w:start w:val="1"/>
      <w:numFmt w:val="decimal"/>
      <w:lvlText w:val="%1."/>
      <w:lvlJc w:val="left"/>
      <w:pPr>
        <w:ind w:left="19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0E3F46"/>
    <w:multiLevelType w:val="hybridMultilevel"/>
    <w:tmpl w:val="0EC4BB8E"/>
    <w:lvl w:ilvl="0" w:tplc="8C90E2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294A74"/>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15:restartNumberingAfterBreak="0">
    <w:nsid w:val="4F471EEB"/>
    <w:multiLevelType w:val="multilevel"/>
    <w:tmpl w:val="7F48610C"/>
    <w:name w:val="Nueva lista 3"/>
    <w:lvl w:ilvl="0">
      <w:start w:val="1"/>
      <w:numFmt w:val="decimal"/>
      <w:pStyle w:val="Artculo"/>
      <w:suff w:val="space"/>
      <w:lvlText w:val="Artículo %1."/>
      <w:lvlJc w:val="left"/>
      <w:pPr>
        <w:ind w:left="0" w:firstLine="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6"/>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
  </w:num>
  <w:num w:numId="9">
    <w:abstractNumId w:val="0"/>
  </w:num>
  <w:num w:numId="10">
    <w:abstractNumId w:val="9"/>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C"/>
    <w:rsid w:val="000159D3"/>
    <w:rsid w:val="000168DC"/>
    <w:rsid w:val="00036142"/>
    <w:rsid w:val="00036AC2"/>
    <w:rsid w:val="00061228"/>
    <w:rsid w:val="000A185F"/>
    <w:rsid w:val="000D7733"/>
    <w:rsid w:val="00141BFD"/>
    <w:rsid w:val="0014491D"/>
    <w:rsid w:val="00150CD2"/>
    <w:rsid w:val="001716D8"/>
    <w:rsid w:val="00177A57"/>
    <w:rsid w:val="001B6DB0"/>
    <w:rsid w:val="001B6FE3"/>
    <w:rsid w:val="001C3466"/>
    <w:rsid w:val="001D5B95"/>
    <w:rsid w:val="001F143C"/>
    <w:rsid w:val="00203F50"/>
    <w:rsid w:val="0022108D"/>
    <w:rsid w:val="00295CD0"/>
    <w:rsid w:val="002963D2"/>
    <w:rsid w:val="002A0EDE"/>
    <w:rsid w:val="002F2AC9"/>
    <w:rsid w:val="003258A9"/>
    <w:rsid w:val="003329BE"/>
    <w:rsid w:val="00361CF6"/>
    <w:rsid w:val="00365570"/>
    <w:rsid w:val="00381F4C"/>
    <w:rsid w:val="00382A8C"/>
    <w:rsid w:val="003A6A3A"/>
    <w:rsid w:val="003C2C8E"/>
    <w:rsid w:val="003C61D6"/>
    <w:rsid w:val="003D03E0"/>
    <w:rsid w:val="003D349D"/>
    <w:rsid w:val="0040247B"/>
    <w:rsid w:val="00406B70"/>
    <w:rsid w:val="00414372"/>
    <w:rsid w:val="004159FD"/>
    <w:rsid w:val="0045729B"/>
    <w:rsid w:val="0047773D"/>
    <w:rsid w:val="004A1536"/>
    <w:rsid w:val="004C0323"/>
    <w:rsid w:val="004D52A1"/>
    <w:rsid w:val="004E0476"/>
    <w:rsid w:val="005061A7"/>
    <w:rsid w:val="00510022"/>
    <w:rsid w:val="00521136"/>
    <w:rsid w:val="0054066B"/>
    <w:rsid w:val="00575DD8"/>
    <w:rsid w:val="005A718F"/>
    <w:rsid w:val="005F4859"/>
    <w:rsid w:val="005F7AD5"/>
    <w:rsid w:val="006043DE"/>
    <w:rsid w:val="00627CA3"/>
    <w:rsid w:val="006421F3"/>
    <w:rsid w:val="00642A29"/>
    <w:rsid w:val="00644B34"/>
    <w:rsid w:val="0066215F"/>
    <w:rsid w:val="00663B38"/>
    <w:rsid w:val="00665B88"/>
    <w:rsid w:val="00672EF5"/>
    <w:rsid w:val="00681BFE"/>
    <w:rsid w:val="006F6BEA"/>
    <w:rsid w:val="007141DD"/>
    <w:rsid w:val="00714D39"/>
    <w:rsid w:val="0074495A"/>
    <w:rsid w:val="00777A4F"/>
    <w:rsid w:val="00792E95"/>
    <w:rsid w:val="00797D9B"/>
    <w:rsid w:val="007B2B75"/>
    <w:rsid w:val="007C3FFE"/>
    <w:rsid w:val="007C6F9E"/>
    <w:rsid w:val="007F5B72"/>
    <w:rsid w:val="00830485"/>
    <w:rsid w:val="008373B2"/>
    <w:rsid w:val="00851A60"/>
    <w:rsid w:val="0086328C"/>
    <w:rsid w:val="00866C92"/>
    <w:rsid w:val="00871A32"/>
    <w:rsid w:val="008819AF"/>
    <w:rsid w:val="008970FF"/>
    <w:rsid w:val="008971CA"/>
    <w:rsid w:val="008C7E4C"/>
    <w:rsid w:val="008D2631"/>
    <w:rsid w:val="008F2A85"/>
    <w:rsid w:val="00950F9A"/>
    <w:rsid w:val="00957544"/>
    <w:rsid w:val="00981C5B"/>
    <w:rsid w:val="009A1F22"/>
    <w:rsid w:val="009B2B34"/>
    <w:rsid w:val="009C381C"/>
    <w:rsid w:val="00AA6280"/>
    <w:rsid w:val="00AC0B29"/>
    <w:rsid w:val="00AE7189"/>
    <w:rsid w:val="00AF27C1"/>
    <w:rsid w:val="00B373C1"/>
    <w:rsid w:val="00B964E9"/>
    <w:rsid w:val="00BA7DA2"/>
    <w:rsid w:val="00BB3481"/>
    <w:rsid w:val="00BB4D94"/>
    <w:rsid w:val="00BB778C"/>
    <w:rsid w:val="00BC0666"/>
    <w:rsid w:val="00BD75E3"/>
    <w:rsid w:val="00BE6461"/>
    <w:rsid w:val="00BF5AAE"/>
    <w:rsid w:val="00C05FD8"/>
    <w:rsid w:val="00C13F40"/>
    <w:rsid w:val="00C42B77"/>
    <w:rsid w:val="00C458E9"/>
    <w:rsid w:val="00C621B8"/>
    <w:rsid w:val="00CA0D2A"/>
    <w:rsid w:val="00CA1204"/>
    <w:rsid w:val="00CA4680"/>
    <w:rsid w:val="00CA5EA6"/>
    <w:rsid w:val="00CB564B"/>
    <w:rsid w:val="00CB6904"/>
    <w:rsid w:val="00CD3EF4"/>
    <w:rsid w:val="00CF06FD"/>
    <w:rsid w:val="00D13F54"/>
    <w:rsid w:val="00D32F26"/>
    <w:rsid w:val="00D40F5D"/>
    <w:rsid w:val="00D560EC"/>
    <w:rsid w:val="00D81DC2"/>
    <w:rsid w:val="00D91F61"/>
    <w:rsid w:val="00D9760A"/>
    <w:rsid w:val="00DA4FDD"/>
    <w:rsid w:val="00DC6D9A"/>
    <w:rsid w:val="00DD2996"/>
    <w:rsid w:val="00E334D3"/>
    <w:rsid w:val="00E40812"/>
    <w:rsid w:val="00EA3495"/>
    <w:rsid w:val="00EB35DD"/>
    <w:rsid w:val="00EB417D"/>
    <w:rsid w:val="00ED748C"/>
    <w:rsid w:val="00EE4C77"/>
    <w:rsid w:val="00F22E1C"/>
    <w:rsid w:val="00F37154"/>
    <w:rsid w:val="00F429A4"/>
    <w:rsid w:val="00F55598"/>
    <w:rsid w:val="00F63883"/>
    <w:rsid w:val="00F73A67"/>
    <w:rsid w:val="00F742D3"/>
    <w:rsid w:val="00F826AE"/>
    <w:rsid w:val="00F842A1"/>
    <w:rsid w:val="00FC72C8"/>
    <w:rsid w:val="00FE2F59"/>
    <w:rsid w:val="00FE402A"/>
    <w:rsid w:val="00FF45B8"/>
    <w:rsid w:val="00FF6CCD"/>
    <w:rsid w:val="00FF73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40E33"/>
  <w15:chartTrackingRefBased/>
  <w15:docId w15:val="{EE89E644-AFAE-4552-A01E-997A28E1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8C"/>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D748C"/>
    <w:pPr>
      <w:keepNext/>
      <w:jc w:val="center"/>
      <w:outlineLvl w:val="0"/>
    </w:pPr>
    <w:rPr>
      <w:rFonts w:ascii="CG Times" w:hAnsi="CG Times"/>
      <w:b/>
      <w:szCs w:val="20"/>
      <w:lang w:val="es-CO"/>
    </w:rPr>
  </w:style>
  <w:style w:type="paragraph" w:styleId="Ttulo2">
    <w:name w:val="heading 2"/>
    <w:aliases w:val="Neg"/>
    <w:basedOn w:val="Normal"/>
    <w:next w:val="Normal"/>
    <w:link w:val="Ttulo2Car"/>
    <w:unhideWhenUsed/>
    <w:qFormat/>
    <w:rsid w:val="00ED748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ED748C"/>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ED748C"/>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ED748C"/>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ED748C"/>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ED748C"/>
    <w:pPr>
      <w:spacing w:before="240" w:after="60"/>
      <w:outlineLvl w:val="6"/>
    </w:pPr>
    <w:rPr>
      <w:rFonts w:ascii="Calibri" w:hAnsi="Calibri"/>
    </w:rPr>
  </w:style>
  <w:style w:type="paragraph" w:styleId="Ttulo8">
    <w:name w:val="heading 8"/>
    <w:basedOn w:val="Normal"/>
    <w:next w:val="Normal"/>
    <w:link w:val="Ttulo8Car"/>
    <w:qFormat/>
    <w:rsid w:val="00ED748C"/>
    <w:pPr>
      <w:tabs>
        <w:tab w:val="num" w:pos="1440"/>
      </w:tabs>
      <w:spacing w:before="240" w:after="60"/>
      <w:ind w:left="1440" w:hanging="432"/>
      <w:jc w:val="both"/>
      <w:outlineLvl w:val="7"/>
    </w:pPr>
    <w:rPr>
      <w:rFonts w:ascii="Bookman Old Style" w:hAnsi="Bookman Old Style"/>
      <w:i/>
      <w:iCs/>
      <w:lang w:val="es-ES_tradnl"/>
    </w:rPr>
  </w:style>
  <w:style w:type="paragraph" w:styleId="Ttulo9">
    <w:name w:val="heading 9"/>
    <w:basedOn w:val="Normal"/>
    <w:next w:val="Normal"/>
    <w:link w:val="Ttulo9Car"/>
    <w:qFormat/>
    <w:rsid w:val="00ED748C"/>
    <w:pPr>
      <w:tabs>
        <w:tab w:val="num" w:pos="1584"/>
      </w:tabs>
      <w:spacing w:before="240" w:after="60"/>
      <w:ind w:left="1584" w:hanging="144"/>
      <w:jc w:val="both"/>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748C"/>
    <w:rPr>
      <w:rFonts w:ascii="CG Times" w:eastAsia="Times New Roman" w:hAnsi="CG Times" w:cs="Times New Roman"/>
      <w:b/>
      <w:sz w:val="24"/>
      <w:szCs w:val="20"/>
      <w:lang w:eastAsia="es-ES"/>
    </w:rPr>
  </w:style>
  <w:style w:type="character" w:customStyle="1" w:styleId="Ttulo2Car">
    <w:name w:val="Título 2 Car"/>
    <w:aliases w:val="Neg Car"/>
    <w:basedOn w:val="Fuentedeprrafopredeter"/>
    <w:link w:val="Ttulo2"/>
    <w:rsid w:val="00ED748C"/>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ED748C"/>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ED748C"/>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ED748C"/>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ED748C"/>
    <w:rPr>
      <w:rFonts w:ascii="Calibri" w:eastAsia="Times New Roman" w:hAnsi="Calibri" w:cs="Times New Roman"/>
      <w:b/>
      <w:bCs/>
      <w:lang w:val="es-ES" w:eastAsia="es-ES"/>
    </w:rPr>
  </w:style>
  <w:style w:type="character" w:customStyle="1" w:styleId="Ttulo7Car">
    <w:name w:val="Título 7 Car"/>
    <w:basedOn w:val="Fuentedeprrafopredeter"/>
    <w:link w:val="Ttulo7"/>
    <w:rsid w:val="00ED748C"/>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ED748C"/>
    <w:rPr>
      <w:rFonts w:ascii="Bookman Old Style" w:eastAsia="Times New Roman" w:hAnsi="Bookman Old Style" w:cs="Times New Roman"/>
      <w:i/>
      <w:iCs/>
      <w:sz w:val="24"/>
      <w:szCs w:val="24"/>
      <w:lang w:val="es-ES_tradnl" w:eastAsia="es-ES"/>
    </w:rPr>
  </w:style>
  <w:style w:type="character" w:customStyle="1" w:styleId="Ttulo9Car">
    <w:name w:val="Título 9 Car"/>
    <w:basedOn w:val="Fuentedeprrafopredeter"/>
    <w:link w:val="Ttulo9"/>
    <w:rsid w:val="00ED748C"/>
    <w:rPr>
      <w:rFonts w:ascii="Arial" w:eastAsia="Times New Roman" w:hAnsi="Arial" w:cs="Arial"/>
      <w:lang w:val="es-ES_tradnl" w:eastAsia="es-ES"/>
    </w:rPr>
  </w:style>
  <w:style w:type="paragraph" w:styleId="Encabezado">
    <w:name w:val="header"/>
    <w:basedOn w:val="Normal"/>
    <w:link w:val="EncabezadoCar"/>
    <w:rsid w:val="00ED748C"/>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ED748C"/>
    <w:rPr>
      <w:rFonts w:ascii="CG Times" w:eastAsia="Times New Roman" w:hAnsi="CG Times" w:cs="Times New Roman"/>
      <w:sz w:val="24"/>
      <w:szCs w:val="20"/>
      <w:lang w:eastAsia="es-ES"/>
    </w:rPr>
  </w:style>
  <w:style w:type="paragraph" w:styleId="Piedepgina">
    <w:name w:val="footer"/>
    <w:basedOn w:val="Normal"/>
    <w:link w:val="PiedepginaCar"/>
    <w:rsid w:val="00ED748C"/>
    <w:pPr>
      <w:tabs>
        <w:tab w:val="center" w:pos="4252"/>
        <w:tab w:val="right" w:pos="8504"/>
      </w:tabs>
    </w:pPr>
  </w:style>
  <w:style w:type="character" w:customStyle="1" w:styleId="PiedepginaCar">
    <w:name w:val="Pie de página Car"/>
    <w:basedOn w:val="Fuentedeprrafopredeter"/>
    <w:link w:val="Piedepgina"/>
    <w:rsid w:val="00ED748C"/>
    <w:rPr>
      <w:rFonts w:ascii="Times New Roman" w:eastAsia="Times New Roman" w:hAnsi="Times New Roman" w:cs="Times New Roman"/>
      <w:sz w:val="24"/>
      <w:szCs w:val="24"/>
      <w:lang w:val="es-ES" w:eastAsia="es-ES"/>
    </w:rPr>
  </w:style>
  <w:style w:type="paragraph" w:customStyle="1" w:styleId="Estilo1">
    <w:name w:val="Estilo1"/>
    <w:basedOn w:val="Normal"/>
    <w:rsid w:val="00ED748C"/>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ED748C"/>
  </w:style>
  <w:style w:type="paragraph" w:styleId="Textoindependiente">
    <w:name w:val="Body Text"/>
    <w:basedOn w:val="Normal"/>
    <w:link w:val="TextoindependienteCar"/>
    <w:semiHidden/>
    <w:rsid w:val="00ED748C"/>
    <w:pPr>
      <w:jc w:val="center"/>
    </w:pPr>
    <w:rPr>
      <w:rFonts w:ascii="Arial" w:hAnsi="Arial" w:cs="Arial"/>
      <w:b/>
      <w:bCs/>
    </w:rPr>
  </w:style>
  <w:style w:type="character" w:customStyle="1" w:styleId="TextoindependienteCar">
    <w:name w:val="Texto independiente Car"/>
    <w:basedOn w:val="Fuentedeprrafopredeter"/>
    <w:link w:val="Textoindependiente"/>
    <w:semiHidden/>
    <w:rsid w:val="00ED748C"/>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ED748C"/>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semiHidden/>
    <w:rsid w:val="00ED748C"/>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ED748C"/>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48C"/>
    <w:rPr>
      <w:rFonts w:ascii="Tahoma" w:eastAsia="Times New Roman" w:hAnsi="Tahoma" w:cs="Tahoma"/>
      <w:sz w:val="16"/>
      <w:szCs w:val="16"/>
      <w:lang w:val="es-ES" w:eastAsia="es-ES"/>
    </w:rPr>
  </w:style>
  <w:style w:type="table" w:styleId="Tablaconcuadrcula">
    <w:name w:val="Table Grid"/>
    <w:basedOn w:val="Tablanormal"/>
    <w:uiPriority w:val="59"/>
    <w:rsid w:val="00ED748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ED748C"/>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ED748C"/>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ED748C"/>
    <w:pPr>
      <w:ind w:left="708"/>
    </w:pPr>
    <w:rPr>
      <w:sz w:val="20"/>
      <w:szCs w:val="20"/>
      <w:lang w:val="es-CO"/>
    </w:rPr>
  </w:style>
  <w:style w:type="character" w:customStyle="1" w:styleId="PrrafodelistaCar">
    <w:name w:val="Párrafo de lista Car"/>
    <w:link w:val="Prrafodelista"/>
    <w:uiPriority w:val="34"/>
    <w:rsid w:val="00ED748C"/>
    <w:rPr>
      <w:rFonts w:ascii="Times New Roman" w:eastAsia="Times New Roman" w:hAnsi="Times New Roman" w:cs="Times New Roman"/>
      <w:sz w:val="20"/>
      <w:szCs w:val="20"/>
      <w:lang w:eastAsia="es-ES"/>
    </w:rPr>
  </w:style>
  <w:style w:type="paragraph" w:styleId="TDC1">
    <w:name w:val="toc 1"/>
    <w:basedOn w:val="Normal"/>
    <w:next w:val="Normal"/>
    <w:autoRedefine/>
    <w:uiPriority w:val="39"/>
    <w:rsid w:val="00ED748C"/>
    <w:pPr>
      <w:tabs>
        <w:tab w:val="left" w:pos="480"/>
        <w:tab w:val="right" w:leader="dot" w:pos="8828"/>
      </w:tabs>
      <w:spacing w:before="120"/>
      <w:jc w:val="both"/>
    </w:pPr>
    <w:rPr>
      <w:rFonts w:ascii="Arial" w:hAnsi="Arial"/>
      <w:noProof/>
    </w:rPr>
  </w:style>
  <w:style w:type="paragraph" w:styleId="Textodebloque">
    <w:name w:val="Block Text"/>
    <w:basedOn w:val="Normal"/>
    <w:rsid w:val="00ED748C"/>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ED748C"/>
    <w:pPr>
      <w:spacing w:after="120" w:line="480" w:lineRule="auto"/>
    </w:pPr>
  </w:style>
  <w:style w:type="character" w:customStyle="1" w:styleId="Textoindependiente2Car">
    <w:name w:val="Texto independiente 2 Car"/>
    <w:basedOn w:val="Fuentedeprrafopredeter"/>
    <w:link w:val="Textoindependiente2"/>
    <w:uiPriority w:val="99"/>
    <w:semiHidden/>
    <w:rsid w:val="00ED748C"/>
    <w:rPr>
      <w:rFonts w:ascii="Times New Roman" w:eastAsia="Times New Roman" w:hAnsi="Times New Roman" w:cs="Times New Roman"/>
      <w:sz w:val="24"/>
      <w:szCs w:val="24"/>
      <w:lang w:val="es-ES" w:eastAsia="es-ES"/>
    </w:rPr>
  </w:style>
  <w:style w:type="paragraph" w:styleId="Descripcin">
    <w:name w:val="caption"/>
    <w:aliases w:val="Epígrafe"/>
    <w:basedOn w:val="Normal"/>
    <w:next w:val="Normal"/>
    <w:qFormat/>
    <w:rsid w:val="00ED748C"/>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ED748C"/>
    <w:pPr>
      <w:spacing w:after="0" w:line="240" w:lineRule="auto"/>
    </w:pPr>
    <w:rPr>
      <w:rFonts w:ascii="Calibri" w:eastAsia="Times New Roman" w:hAnsi="Calibri" w:cs="Calibri"/>
      <w:lang w:val="es-ES"/>
    </w:rPr>
  </w:style>
  <w:style w:type="character" w:customStyle="1" w:styleId="apple-style-span">
    <w:name w:val="apple-style-span"/>
    <w:rsid w:val="00ED748C"/>
    <w:rPr>
      <w:rFonts w:ascii="Times New Roman" w:hAnsi="Times New Roman" w:cs="Times New Roman"/>
    </w:rPr>
  </w:style>
  <w:style w:type="paragraph" w:styleId="Subttulo">
    <w:name w:val="Subtitle"/>
    <w:basedOn w:val="Normal"/>
    <w:link w:val="SubttuloCar"/>
    <w:qFormat/>
    <w:rsid w:val="00ED748C"/>
    <w:pPr>
      <w:ind w:left="0"/>
    </w:pPr>
    <w:rPr>
      <w:rFonts w:ascii="Century Gothic" w:hAnsi="Century Gothic"/>
      <w:b/>
      <w:bCs/>
    </w:rPr>
  </w:style>
  <w:style w:type="character" w:customStyle="1" w:styleId="SubttuloCar">
    <w:name w:val="Subtítulo Car"/>
    <w:basedOn w:val="Fuentedeprrafopredeter"/>
    <w:link w:val="Subttulo"/>
    <w:rsid w:val="00ED748C"/>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ED748C"/>
  </w:style>
  <w:style w:type="paragraph" w:customStyle="1" w:styleId="BodyText21">
    <w:name w:val="Body Text 21"/>
    <w:basedOn w:val="Normal"/>
    <w:uiPriority w:val="99"/>
    <w:rsid w:val="00ED748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ED748C"/>
    <w:pPr>
      <w:spacing w:after="120"/>
      <w:ind w:left="283"/>
    </w:pPr>
  </w:style>
  <w:style w:type="character" w:customStyle="1" w:styleId="SangradetextonormalCar">
    <w:name w:val="Sangría de texto normal Car"/>
    <w:basedOn w:val="Fuentedeprrafopredeter"/>
    <w:link w:val="Sangradetextonormal"/>
    <w:uiPriority w:val="99"/>
    <w:semiHidden/>
    <w:rsid w:val="00ED748C"/>
    <w:rPr>
      <w:rFonts w:ascii="Times New Roman" w:eastAsia="Times New Roman" w:hAnsi="Times New Roman" w:cs="Times New Roman"/>
      <w:sz w:val="24"/>
      <w:szCs w:val="24"/>
      <w:lang w:val="es-ES" w:eastAsia="es-ES"/>
    </w:rPr>
  </w:style>
  <w:style w:type="paragraph" w:customStyle="1" w:styleId="Vietaletra">
    <w:name w:val="Viñeta letra"/>
    <w:aliases w:val="ALT-V-L"/>
    <w:basedOn w:val="Normal"/>
    <w:next w:val="Normal"/>
    <w:rsid w:val="00ED748C"/>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D748C"/>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D74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D748C"/>
    <w:rPr>
      <w:rFonts w:ascii="Times New Roman" w:eastAsia="Times New Roman" w:hAnsi="Times New Roman" w:cs="Times New Roman"/>
      <w:sz w:val="24"/>
      <w:szCs w:val="24"/>
      <w:lang w:val="es-ES" w:eastAsia="es-ES"/>
    </w:rPr>
  </w:style>
  <w:style w:type="paragraph" w:styleId="Lista">
    <w:name w:val="List"/>
    <w:basedOn w:val="Textoindependiente"/>
    <w:uiPriority w:val="99"/>
    <w:rsid w:val="00ED748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semiHidden/>
    <w:unhideWhenUsed/>
    <w:rsid w:val="00ED748C"/>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ED748C"/>
    <w:rPr>
      <w:rFonts w:ascii="Times New Roman" w:eastAsia="Times New Roman" w:hAnsi="Times New Roman" w:cs="Times New Roman"/>
      <w:sz w:val="16"/>
      <w:szCs w:val="16"/>
      <w:lang w:val="es-ES" w:eastAsia="es-ES"/>
    </w:rPr>
  </w:style>
  <w:style w:type="paragraph" w:styleId="NormalWeb">
    <w:name w:val="Normal (Web)"/>
    <w:basedOn w:val="Normal"/>
    <w:uiPriority w:val="99"/>
    <w:rsid w:val="00ED748C"/>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ED748C"/>
    <w:pPr>
      <w:ind w:left="0"/>
      <w:jc w:val="both"/>
    </w:pPr>
    <w:rPr>
      <w:rFonts w:ascii="Arial" w:hAnsi="Arial"/>
      <w:sz w:val="22"/>
      <w:szCs w:val="20"/>
      <w:lang w:val="es-CO"/>
    </w:rPr>
  </w:style>
  <w:style w:type="character" w:styleId="Refdecomentario">
    <w:name w:val="annotation reference"/>
    <w:uiPriority w:val="99"/>
    <w:semiHidden/>
    <w:unhideWhenUsed/>
    <w:rsid w:val="00ED748C"/>
    <w:rPr>
      <w:sz w:val="16"/>
      <w:szCs w:val="16"/>
    </w:rPr>
  </w:style>
  <w:style w:type="paragraph" w:styleId="Textocomentario">
    <w:name w:val="annotation text"/>
    <w:basedOn w:val="Normal"/>
    <w:link w:val="TextocomentarioCar"/>
    <w:uiPriority w:val="99"/>
    <w:unhideWhenUsed/>
    <w:rsid w:val="00ED748C"/>
    <w:rPr>
      <w:sz w:val="20"/>
      <w:szCs w:val="20"/>
    </w:rPr>
  </w:style>
  <w:style w:type="character" w:customStyle="1" w:styleId="TextocomentarioCar">
    <w:name w:val="Texto comentario Car"/>
    <w:basedOn w:val="Fuentedeprrafopredeter"/>
    <w:link w:val="Textocomentario"/>
    <w:uiPriority w:val="99"/>
    <w:rsid w:val="00ED748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D748C"/>
    <w:rPr>
      <w:b/>
      <w:bCs/>
    </w:rPr>
  </w:style>
  <w:style w:type="character" w:customStyle="1" w:styleId="AsuntodelcomentarioCar">
    <w:name w:val="Asunto del comentario Car"/>
    <w:basedOn w:val="TextocomentarioCar"/>
    <w:link w:val="Asuntodelcomentario"/>
    <w:uiPriority w:val="99"/>
    <w:semiHidden/>
    <w:rsid w:val="00ED748C"/>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unhideWhenUsed/>
    <w:rsid w:val="00ED748C"/>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ED748C"/>
    <w:rPr>
      <w:vertAlign w:val="superscript"/>
    </w:rPr>
  </w:style>
  <w:style w:type="paragraph" w:styleId="Textonotapie">
    <w:name w:val="footnote text"/>
    <w:basedOn w:val="Normal"/>
    <w:link w:val="TextonotapieCar"/>
    <w:uiPriority w:val="99"/>
    <w:semiHidden/>
    <w:rsid w:val="00ED748C"/>
    <w:pPr>
      <w:ind w:left="0"/>
      <w:jc w:val="both"/>
    </w:pPr>
    <w:rPr>
      <w:rFonts w:ascii="CG Times (W1)" w:hAnsi="CG Times (W1)"/>
      <w:sz w:val="20"/>
      <w:szCs w:val="20"/>
      <w:lang w:val="es-ES_tradnl"/>
    </w:rPr>
  </w:style>
  <w:style w:type="character" w:customStyle="1" w:styleId="TextonotapieCar">
    <w:name w:val="Texto nota pie Car"/>
    <w:basedOn w:val="Fuentedeprrafopredeter"/>
    <w:link w:val="Textonotapie"/>
    <w:uiPriority w:val="99"/>
    <w:semiHidden/>
    <w:rsid w:val="00ED748C"/>
    <w:rPr>
      <w:rFonts w:ascii="CG Times (W1)" w:eastAsia="Times New Roman" w:hAnsi="CG Times (W1)" w:cs="Times New Roman"/>
      <w:sz w:val="20"/>
      <w:szCs w:val="20"/>
      <w:lang w:val="es-ES_tradnl" w:eastAsia="es-ES"/>
    </w:rPr>
  </w:style>
  <w:style w:type="paragraph" w:customStyle="1" w:styleId="VietaLetra0">
    <w:name w:val="ViñetaLetra"/>
    <w:basedOn w:val="Vietaletra"/>
    <w:rsid w:val="00ED748C"/>
    <w:pPr>
      <w:numPr>
        <w:numId w:val="0"/>
      </w:numPr>
      <w:suppressAutoHyphens w:val="0"/>
      <w:autoSpaceDN w:val="0"/>
      <w:adjustRightInd w:val="0"/>
      <w:ind w:left="360" w:hanging="360"/>
    </w:pPr>
    <w:rPr>
      <w:lang w:eastAsia="es-ES"/>
    </w:rPr>
  </w:style>
  <w:style w:type="paragraph" w:customStyle="1" w:styleId="xl24">
    <w:name w:val="xl2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25">
    <w:name w:val="xl25"/>
    <w:basedOn w:val="Normal"/>
    <w:rsid w:val="00ED748C"/>
    <w:pPr>
      <w:spacing w:before="100" w:beforeAutospacing="1" w:after="100" w:afterAutospacing="1"/>
      <w:ind w:left="0"/>
      <w:jc w:val="both"/>
    </w:pPr>
    <w:rPr>
      <w:rFonts w:ascii="Arial" w:hAnsi="Arial" w:cs="Arial"/>
      <w:sz w:val="16"/>
      <w:szCs w:val="16"/>
    </w:rPr>
  </w:style>
  <w:style w:type="paragraph" w:customStyle="1" w:styleId="xl26">
    <w:name w:val="xl26"/>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ascii="Arial" w:hAnsi="Arial" w:cs="Arial"/>
      <w:b/>
      <w:bCs/>
      <w:sz w:val="16"/>
      <w:szCs w:val="16"/>
    </w:rPr>
  </w:style>
  <w:style w:type="paragraph" w:customStyle="1" w:styleId="xl27">
    <w:name w:val="xl27"/>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8">
    <w:name w:val="xl2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9">
    <w:name w:val="xl29"/>
    <w:basedOn w:val="Normal"/>
    <w:rsid w:val="00ED748C"/>
    <w:pPr>
      <w:pBdr>
        <w:top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30">
    <w:name w:val="xl30"/>
    <w:basedOn w:val="Normal"/>
    <w:rsid w:val="00ED748C"/>
    <w:pPr>
      <w:pBdr>
        <w:top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1">
    <w:name w:val="xl31"/>
    <w:basedOn w:val="Normal"/>
    <w:rsid w:val="00ED748C"/>
    <w:pPr>
      <w:spacing w:before="100" w:beforeAutospacing="1" w:after="100" w:afterAutospacing="1"/>
      <w:ind w:left="0"/>
      <w:jc w:val="both"/>
      <w:textAlignment w:val="center"/>
    </w:pPr>
    <w:rPr>
      <w:rFonts w:ascii="Arial" w:hAnsi="Arial" w:cs="Arial"/>
      <w:b/>
      <w:bCs/>
      <w:sz w:val="16"/>
      <w:szCs w:val="16"/>
    </w:rPr>
  </w:style>
  <w:style w:type="paragraph" w:customStyle="1" w:styleId="xl32">
    <w:name w:val="xl3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b/>
      <w:bCs/>
      <w:sz w:val="16"/>
      <w:szCs w:val="16"/>
    </w:rPr>
  </w:style>
  <w:style w:type="paragraph" w:customStyle="1" w:styleId="xl33">
    <w:name w:val="xl3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4">
    <w:name w:val="xl3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5">
    <w:name w:val="xl35"/>
    <w:basedOn w:val="Normal"/>
    <w:rsid w:val="00ED748C"/>
    <w:pPr>
      <w:pBdr>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6">
    <w:name w:val="xl36"/>
    <w:basedOn w:val="Normal"/>
    <w:rsid w:val="00ED748C"/>
    <w:pPr>
      <w:pBdr>
        <w:top w:val="single" w:sz="4" w:space="0" w:color="auto"/>
        <w:left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40">
    <w:name w:val="xl40"/>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7">
    <w:name w:val="xl37"/>
    <w:basedOn w:val="Normal"/>
    <w:rsid w:val="00ED748C"/>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8">
    <w:name w:val="xl38"/>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9">
    <w:name w:val="xl39"/>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1">
    <w:name w:val="xl41"/>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6"/>
      <w:szCs w:val="16"/>
    </w:rPr>
  </w:style>
  <w:style w:type="paragraph" w:customStyle="1" w:styleId="xl42">
    <w:name w:val="xl4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3">
    <w:name w:val="xl43"/>
    <w:basedOn w:val="Normal"/>
    <w:rsid w:val="00ED748C"/>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4">
    <w:name w:val="xl44"/>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5">
    <w:name w:val="xl45"/>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7">
    <w:name w:val="xl47"/>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Bookman Old Style" w:eastAsia="Arial Unicode MS" w:hAnsi="Bookman Old Style" w:cs="Arial Unicode MS"/>
      <w:b/>
      <w:bCs/>
      <w:sz w:val="12"/>
      <w:szCs w:val="12"/>
    </w:rPr>
  </w:style>
  <w:style w:type="paragraph" w:styleId="TDC5">
    <w:name w:val="toc 5"/>
    <w:basedOn w:val="Normal"/>
    <w:next w:val="Normal"/>
    <w:autoRedefine/>
    <w:uiPriority w:val="39"/>
    <w:rsid w:val="00ED748C"/>
    <w:pPr>
      <w:ind w:left="960"/>
      <w:jc w:val="both"/>
    </w:pPr>
    <w:rPr>
      <w:rFonts w:ascii="Arial" w:hAnsi="Arial"/>
      <w:szCs w:val="20"/>
      <w:lang w:val="es-ES_tradnl"/>
    </w:rPr>
  </w:style>
  <w:style w:type="character" w:styleId="Hipervnculo">
    <w:name w:val="Hyperlink"/>
    <w:uiPriority w:val="99"/>
    <w:unhideWhenUsed/>
    <w:rsid w:val="00ED748C"/>
    <w:rPr>
      <w:color w:val="0000FF"/>
      <w:u w:val="single"/>
    </w:rPr>
  </w:style>
  <w:style w:type="paragraph" w:styleId="Mapadeldocumento">
    <w:name w:val="Document Map"/>
    <w:basedOn w:val="Normal"/>
    <w:link w:val="MapadeldocumentoCar"/>
    <w:semiHidden/>
    <w:unhideWhenUsed/>
    <w:rsid w:val="00ED748C"/>
    <w:pPr>
      <w:ind w:left="0"/>
      <w:jc w:val="both"/>
    </w:pPr>
    <w:rPr>
      <w:rFonts w:ascii="Tahoma" w:hAnsi="Tahoma" w:cs="Tahoma"/>
      <w:sz w:val="16"/>
      <w:szCs w:val="16"/>
      <w:lang w:val="es-ES_tradnl"/>
    </w:rPr>
  </w:style>
  <w:style w:type="character" w:customStyle="1" w:styleId="MapadeldocumentoCar">
    <w:name w:val="Mapa del documento Car"/>
    <w:basedOn w:val="Fuentedeprrafopredeter"/>
    <w:link w:val="Mapadeldocumento"/>
    <w:semiHidden/>
    <w:rsid w:val="00ED748C"/>
    <w:rPr>
      <w:rFonts w:ascii="Tahoma" w:eastAsia="Times New Roman" w:hAnsi="Tahoma" w:cs="Tahoma"/>
      <w:sz w:val="16"/>
      <w:szCs w:val="16"/>
      <w:lang w:val="es-ES_tradnl" w:eastAsia="es-ES"/>
    </w:rPr>
  </w:style>
  <w:style w:type="table" w:customStyle="1" w:styleId="Tablaconcuadrcula1">
    <w:name w:val="Tabla con cuadrícula1"/>
    <w:basedOn w:val="Tablanormal"/>
    <w:next w:val="Tablaconcuadrcula"/>
    <w:uiPriority w:val="59"/>
    <w:rsid w:val="00ED748C"/>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s">
    <w:name w:val="Citas"/>
    <w:basedOn w:val="Normal"/>
    <w:rsid w:val="00ED748C"/>
    <w:pPr>
      <w:ind w:left="708" w:right="618"/>
      <w:jc w:val="both"/>
    </w:pPr>
    <w:rPr>
      <w:rFonts w:ascii="Bookman Old Style" w:hAnsi="Bookman Old Style" w:cs="Arial"/>
      <w:i/>
      <w:iCs/>
      <w:szCs w:val="20"/>
    </w:rPr>
  </w:style>
  <w:style w:type="paragraph" w:customStyle="1" w:styleId="xl65">
    <w:name w:val="xl65"/>
    <w:basedOn w:val="Normal"/>
    <w:rsid w:val="00ED748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6">
    <w:name w:val="xl66"/>
    <w:basedOn w:val="Normal"/>
    <w:rsid w:val="00ED748C"/>
    <w:pPr>
      <w:shd w:val="clear" w:color="000000" w:fill="FFFFFF"/>
      <w:spacing w:before="100" w:beforeAutospacing="1" w:after="100" w:afterAutospacing="1"/>
      <w:ind w:left="0"/>
    </w:pPr>
    <w:rPr>
      <w:rFonts w:ascii="Bookman Old Style" w:hAnsi="Bookman Old Style"/>
      <w:lang w:val="es-CO" w:eastAsia="es-CO"/>
    </w:rPr>
  </w:style>
  <w:style w:type="paragraph" w:customStyle="1" w:styleId="xl67">
    <w:name w:val="xl67"/>
    <w:basedOn w:val="Normal"/>
    <w:rsid w:val="00ED748C"/>
    <w:pPr>
      <w:shd w:val="clear" w:color="000000" w:fill="FFFFFF"/>
      <w:spacing w:before="100" w:beforeAutospacing="1" w:after="100" w:afterAutospacing="1"/>
      <w:ind w:left="0"/>
    </w:pPr>
    <w:rPr>
      <w:rFonts w:ascii="Bookman Old Style" w:hAnsi="Bookman Old Style"/>
      <w:b/>
      <w:bCs/>
      <w:lang w:val="es-CO" w:eastAsia="es-CO"/>
    </w:rPr>
  </w:style>
  <w:style w:type="paragraph" w:customStyle="1" w:styleId="xl68">
    <w:name w:val="xl68"/>
    <w:basedOn w:val="Normal"/>
    <w:rsid w:val="00ED748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9">
    <w:name w:val="xl69"/>
    <w:basedOn w:val="Normal"/>
    <w:rsid w:val="00ED748C"/>
    <w:pPr>
      <w:pBdr>
        <w:top w:val="single" w:sz="8" w:space="0" w:color="auto"/>
        <w:left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0">
    <w:name w:val="xl70"/>
    <w:basedOn w:val="Normal"/>
    <w:rsid w:val="00ED748C"/>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1">
    <w:name w:val="xl71"/>
    <w:basedOn w:val="Normal"/>
    <w:rsid w:val="00ED748C"/>
    <w:pPr>
      <w:pBdr>
        <w:top w:val="single" w:sz="8" w:space="0" w:color="auto"/>
        <w:left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2">
    <w:name w:val="xl72"/>
    <w:basedOn w:val="Normal"/>
    <w:rsid w:val="00ED748C"/>
    <w:pPr>
      <w:pBdr>
        <w:top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3">
    <w:name w:val="xl73"/>
    <w:basedOn w:val="Normal"/>
    <w:rsid w:val="00ED748C"/>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4">
    <w:name w:val="xl74"/>
    <w:basedOn w:val="Normal"/>
    <w:rsid w:val="00ED748C"/>
    <w:pPr>
      <w:pBdr>
        <w:left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5">
    <w:name w:val="xl75"/>
    <w:basedOn w:val="Normal"/>
    <w:rsid w:val="00ED748C"/>
    <w:pPr>
      <w:pBdr>
        <w:left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6">
    <w:name w:val="xl76"/>
    <w:basedOn w:val="Normal"/>
    <w:rsid w:val="00ED748C"/>
    <w:pPr>
      <w:pBdr>
        <w:left w:val="single" w:sz="8" w:space="0" w:color="auto"/>
        <w:bottom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7">
    <w:name w:val="xl77"/>
    <w:basedOn w:val="Normal"/>
    <w:rsid w:val="00ED748C"/>
    <w:pPr>
      <w:pBdr>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8">
    <w:name w:val="xl78"/>
    <w:basedOn w:val="Normal"/>
    <w:rsid w:val="00ED748C"/>
    <w:pPr>
      <w:pBdr>
        <w:top w:val="single" w:sz="8" w:space="0" w:color="auto"/>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9">
    <w:name w:val="xl79"/>
    <w:basedOn w:val="Normal"/>
    <w:rsid w:val="00ED748C"/>
    <w:pPr>
      <w:pBdr>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80">
    <w:name w:val="xl80"/>
    <w:basedOn w:val="Normal"/>
    <w:rsid w:val="00ED748C"/>
    <w:pPr>
      <w:pBdr>
        <w:top w:val="single" w:sz="8" w:space="0" w:color="auto"/>
        <w:left w:val="single" w:sz="8" w:space="0" w:color="auto"/>
        <w:right w:val="single" w:sz="8" w:space="0" w:color="auto"/>
      </w:pBdr>
      <w:shd w:val="clear" w:color="000000" w:fill="FFFFFF"/>
      <w:spacing w:before="100" w:beforeAutospacing="1" w:after="100" w:afterAutospacing="1"/>
      <w:ind w:left="0"/>
      <w:textAlignment w:val="center"/>
    </w:pPr>
    <w:rPr>
      <w:rFonts w:ascii="Bookman Old Style" w:hAnsi="Bookman Old Style"/>
      <w:b/>
      <w:bCs/>
      <w:lang w:val="es-CO" w:eastAsia="es-CO"/>
    </w:rPr>
  </w:style>
  <w:style w:type="paragraph" w:customStyle="1" w:styleId="xl81">
    <w:name w:val="xl81"/>
    <w:basedOn w:val="Normal"/>
    <w:rsid w:val="00ED748C"/>
    <w:pPr>
      <w:pBdr>
        <w:top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character" w:styleId="Referenciasutil">
    <w:name w:val="Subtle Reference"/>
    <w:uiPriority w:val="31"/>
    <w:qFormat/>
    <w:rsid w:val="00ED748C"/>
    <w:rPr>
      <w:smallCaps/>
      <w:color w:val="C0504D"/>
      <w:u w:val="single"/>
    </w:rPr>
  </w:style>
  <w:style w:type="character" w:styleId="Textoennegrita">
    <w:name w:val="Strong"/>
    <w:uiPriority w:val="22"/>
    <w:qFormat/>
    <w:rsid w:val="00ED748C"/>
    <w:rPr>
      <w:b/>
      <w:bCs/>
    </w:rPr>
  </w:style>
  <w:style w:type="paragraph" w:styleId="Revisin">
    <w:name w:val="Revision"/>
    <w:hidden/>
    <w:uiPriority w:val="99"/>
    <w:semiHidden/>
    <w:rsid w:val="00ED748C"/>
    <w:pPr>
      <w:spacing w:after="0" w:line="240" w:lineRule="auto"/>
    </w:pPr>
    <w:rPr>
      <w:rFonts w:ascii="Times New Roman" w:eastAsia="Times New Roman" w:hAnsi="Times New Roman" w:cs="Times New Roman"/>
      <w:sz w:val="24"/>
      <w:szCs w:val="24"/>
      <w:lang w:val="es-ES" w:eastAsia="es-ES"/>
    </w:rPr>
  </w:style>
  <w:style w:type="paragraph" w:customStyle="1" w:styleId="CM63">
    <w:name w:val="CM63"/>
    <w:basedOn w:val="Normal"/>
    <w:next w:val="Normal"/>
    <w:uiPriority w:val="99"/>
    <w:rsid w:val="00ED748C"/>
    <w:pPr>
      <w:autoSpaceDE w:val="0"/>
      <w:autoSpaceDN w:val="0"/>
      <w:adjustRightInd w:val="0"/>
      <w:ind w:left="0"/>
    </w:pPr>
    <w:rPr>
      <w:rFonts w:ascii="Arial" w:hAnsi="Arial" w:cs="Arial"/>
      <w:lang w:val="es-CO" w:eastAsia="es-CO"/>
    </w:rPr>
  </w:style>
  <w:style w:type="character" w:styleId="Textodelmarcadordeposicin">
    <w:name w:val="Placeholder Text"/>
    <w:basedOn w:val="Fuentedeprrafopredeter"/>
    <w:uiPriority w:val="99"/>
    <w:semiHidden/>
    <w:rsid w:val="00ED748C"/>
    <w:rPr>
      <w:color w:val="808080"/>
    </w:rPr>
  </w:style>
  <w:style w:type="character" w:styleId="Hipervnculovisitado">
    <w:name w:val="FollowedHyperlink"/>
    <w:basedOn w:val="Fuentedeprrafopredeter"/>
    <w:uiPriority w:val="99"/>
    <w:semiHidden/>
    <w:unhideWhenUsed/>
    <w:rsid w:val="00ED748C"/>
    <w:rPr>
      <w:color w:val="800080"/>
      <w:u w:val="single"/>
    </w:rPr>
  </w:style>
  <w:style w:type="character" w:customStyle="1" w:styleId="Ttulo2Car1">
    <w:name w:val="Título 2 Car1"/>
    <w:aliases w:val="Neg Car1"/>
    <w:basedOn w:val="Fuentedeprrafopredeter"/>
    <w:semiHidden/>
    <w:rsid w:val="00ED748C"/>
    <w:rPr>
      <w:rFonts w:asciiTheme="majorHAnsi" w:eastAsiaTheme="majorEastAsia" w:hAnsiTheme="majorHAnsi" w:cstheme="majorBidi"/>
      <w:b/>
      <w:bCs/>
      <w:color w:val="4472C4" w:themeColor="accent1"/>
      <w:sz w:val="26"/>
      <w:szCs w:val="26"/>
      <w:lang w:val="es-ES" w:eastAsia="es-ES"/>
    </w:rPr>
  </w:style>
  <w:style w:type="paragraph" w:customStyle="1" w:styleId="xl412">
    <w:name w:val="xl412"/>
    <w:basedOn w:val="Normal"/>
    <w:rsid w:val="00ED748C"/>
    <w:pPr>
      <w:spacing w:before="100" w:beforeAutospacing="1" w:after="100" w:afterAutospacing="1"/>
      <w:ind w:left="0"/>
    </w:pPr>
    <w:rPr>
      <w:rFonts w:ascii="Bookman Old Style" w:hAnsi="Bookman Old Style"/>
      <w:sz w:val="14"/>
      <w:szCs w:val="14"/>
      <w:lang w:val="es-CO" w:eastAsia="es-CO"/>
    </w:rPr>
  </w:style>
  <w:style w:type="paragraph" w:customStyle="1" w:styleId="xl413">
    <w:name w:val="xl41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4"/>
      <w:szCs w:val="14"/>
      <w:lang w:val="es-CO" w:eastAsia="es-CO"/>
    </w:rPr>
  </w:style>
  <w:style w:type="paragraph" w:customStyle="1" w:styleId="xl414">
    <w:name w:val="xl41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15">
    <w:name w:val="xl415"/>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color w:val="000000"/>
      <w:sz w:val="14"/>
      <w:szCs w:val="14"/>
      <w:lang w:val="es-CO" w:eastAsia="es-CO"/>
    </w:rPr>
  </w:style>
  <w:style w:type="paragraph" w:customStyle="1" w:styleId="xl416">
    <w:name w:val="xl416"/>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Bookman Old Style" w:hAnsi="Bookman Old Style"/>
      <w:color w:val="000000"/>
      <w:sz w:val="14"/>
      <w:szCs w:val="14"/>
      <w:lang w:val="es-CO" w:eastAsia="es-CO"/>
    </w:rPr>
  </w:style>
  <w:style w:type="paragraph" w:customStyle="1" w:styleId="xl417">
    <w:name w:val="xl417"/>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18">
    <w:name w:val="xl41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4"/>
      <w:szCs w:val="14"/>
      <w:lang w:val="es-CO" w:eastAsia="es-CO"/>
    </w:rPr>
  </w:style>
  <w:style w:type="paragraph" w:customStyle="1" w:styleId="xl419">
    <w:name w:val="xl419"/>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0">
    <w:name w:val="xl420"/>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1">
    <w:name w:val="xl421"/>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2">
    <w:name w:val="xl422"/>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pPr>
    <w:rPr>
      <w:rFonts w:ascii="Bookman Old Style" w:hAnsi="Bookman Old Style"/>
      <w:sz w:val="14"/>
      <w:szCs w:val="14"/>
      <w:lang w:val="es-CO" w:eastAsia="es-CO"/>
    </w:rPr>
  </w:style>
  <w:style w:type="paragraph" w:customStyle="1" w:styleId="xl423">
    <w:name w:val="xl42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4">
    <w:name w:val="xl42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5">
    <w:name w:val="xl425"/>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26">
    <w:name w:val="xl426"/>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7">
    <w:name w:val="xl427"/>
    <w:basedOn w:val="Normal"/>
    <w:rsid w:val="00ED748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8">
    <w:name w:val="xl42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9">
    <w:name w:val="xl429"/>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0">
    <w:name w:val="xl430"/>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31">
    <w:name w:val="xl431"/>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color w:val="000000"/>
      <w:sz w:val="14"/>
      <w:szCs w:val="14"/>
      <w:lang w:val="es-CO" w:eastAsia="es-CO"/>
    </w:rPr>
  </w:style>
  <w:style w:type="paragraph" w:customStyle="1" w:styleId="xl432">
    <w:name w:val="xl43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3">
    <w:name w:val="xl43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34">
    <w:name w:val="xl43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5">
    <w:name w:val="xl435"/>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table" w:customStyle="1" w:styleId="Tablaconcuadrcula3">
    <w:name w:val="Tabla con cuadrícula3"/>
    <w:basedOn w:val="Tablanormal"/>
    <w:uiPriority w:val="59"/>
    <w:rsid w:val="00ED74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748C"/>
    <w:pPr>
      <w:autoSpaceDE w:val="0"/>
      <w:autoSpaceDN w:val="0"/>
      <w:adjustRightInd w:val="0"/>
      <w:spacing w:after="0" w:line="240" w:lineRule="auto"/>
    </w:pPr>
    <w:rPr>
      <w:rFonts w:ascii="Verdana" w:eastAsia="Calibri" w:hAnsi="Verdana" w:cs="Verdana"/>
      <w:color w:val="000000"/>
      <w:sz w:val="24"/>
      <w:szCs w:val="24"/>
    </w:rPr>
  </w:style>
  <w:style w:type="table" w:customStyle="1" w:styleId="Tablaconcuadrcula11">
    <w:name w:val="Tabla con cuadrícula11"/>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D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D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ED748C"/>
    <w:pPr>
      <w:spacing w:line="276" w:lineRule="auto"/>
      <w:ind w:left="0"/>
      <w:jc w:val="both"/>
    </w:pPr>
    <w:rPr>
      <w:rFonts w:ascii="Arial" w:eastAsia="Calibri" w:hAnsi="Arial" w:cs="Arial"/>
      <w:sz w:val="22"/>
      <w:szCs w:val="22"/>
      <w:lang w:val="es-CO" w:eastAsia="en-US"/>
    </w:rPr>
  </w:style>
  <w:style w:type="character" w:customStyle="1" w:styleId="Estilo2Car">
    <w:name w:val="Estilo2 Car"/>
    <w:link w:val="Estilo2"/>
    <w:locked/>
    <w:rsid w:val="00ED748C"/>
    <w:rPr>
      <w:rFonts w:ascii="Bookman Old Style" w:hAnsi="Bookman Old Style"/>
      <w:b/>
      <w:bCs/>
      <w:sz w:val="24"/>
      <w:szCs w:val="24"/>
      <w:lang w:val="es-ES" w:eastAsia="ar-SA"/>
    </w:rPr>
  </w:style>
  <w:style w:type="paragraph" w:customStyle="1" w:styleId="Estilo2">
    <w:name w:val="Estilo2"/>
    <w:basedOn w:val="Normal"/>
    <w:link w:val="Estilo2Car"/>
    <w:rsid w:val="00ED748C"/>
    <w:pPr>
      <w:keepNext/>
      <w:widowControl w:val="0"/>
      <w:adjustRightInd w:val="0"/>
      <w:spacing w:before="240" w:after="240"/>
      <w:ind w:left="0"/>
      <w:jc w:val="both"/>
      <w:outlineLvl w:val="0"/>
    </w:pPr>
    <w:rPr>
      <w:rFonts w:ascii="Bookman Old Style" w:eastAsiaTheme="minorHAnsi" w:hAnsi="Bookman Old Style" w:cstheme="minorBidi"/>
      <w:b/>
      <w:bCs/>
      <w:lang w:eastAsia="ar-SA"/>
    </w:rPr>
  </w:style>
  <w:style w:type="paragraph" w:customStyle="1" w:styleId="Artculo">
    <w:name w:val="Artículo"/>
    <w:basedOn w:val="Normal"/>
    <w:qFormat/>
    <w:rsid w:val="00ED748C"/>
    <w:pPr>
      <w:numPr>
        <w:numId w:val="5"/>
      </w:numPr>
      <w:jc w:val="both"/>
    </w:pPr>
    <w:rPr>
      <w:rFonts w:ascii="Bookman Old Style" w:hAnsi="Bookman Old Style" w:cs="Arial"/>
      <w:b/>
      <w:caps/>
    </w:rPr>
  </w:style>
  <w:style w:type="table" w:styleId="Tablaconcuadrculaclara">
    <w:name w:val="Grid Table Light"/>
    <w:basedOn w:val="Tablanormal"/>
    <w:uiPriority w:val="40"/>
    <w:rsid w:val="00ED748C"/>
    <w:pPr>
      <w:spacing w:after="0" w:line="240" w:lineRule="auto"/>
    </w:pPr>
    <w:rPr>
      <w:rFonts w:ascii="Times New Roman" w:eastAsia="Times New Roman" w:hAnsi="Times New Roman"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1">
    <w:name w:val="Tabla con cuadrícula111"/>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Fuentedeprrafopredeter"/>
    <w:rsid w:val="00ED748C"/>
  </w:style>
  <w:style w:type="table" w:customStyle="1" w:styleId="Tablaconcuadrcula112">
    <w:name w:val="Tabla con cuadrícula112"/>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iego-Normal">
    <w:name w:val="Pliego-Normal"/>
    <w:basedOn w:val="Normal"/>
    <w:rsid w:val="00ED748C"/>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Estilo5">
    <w:name w:val="Estilo5"/>
    <w:basedOn w:val="Estilo1"/>
    <w:qFormat/>
    <w:rsid w:val="00ED748C"/>
    <w:pPr>
      <w:keepNext/>
      <w:numPr>
        <w:numId w:val="6"/>
      </w:numPr>
      <w:shd w:val="clear" w:color="auto" w:fill="auto"/>
      <w:spacing w:before="240" w:after="60"/>
      <w:jc w:val="both"/>
      <w:outlineLvl w:val="0"/>
    </w:pPr>
    <w:rPr>
      <w:rFonts w:ascii="Arial" w:hAnsi="Arial"/>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DC2">
    <w:name w:val="toc 2"/>
    <w:basedOn w:val="Normal"/>
    <w:next w:val="Normal"/>
    <w:autoRedefine/>
    <w:uiPriority w:val="39"/>
    <w:rsid w:val="00ED748C"/>
    <w:pPr>
      <w:tabs>
        <w:tab w:val="left" w:pos="960"/>
        <w:tab w:val="right" w:leader="dot" w:pos="8820"/>
      </w:tabs>
      <w:ind w:left="960" w:right="378" w:hanging="720"/>
    </w:pPr>
    <w:rPr>
      <w:rFonts w:ascii="Arial" w:hAnsi="Arial"/>
      <w:noProof/>
    </w:rPr>
  </w:style>
  <w:style w:type="paragraph" w:styleId="TDC3">
    <w:name w:val="toc 3"/>
    <w:basedOn w:val="Normal"/>
    <w:next w:val="Normal"/>
    <w:autoRedefine/>
    <w:uiPriority w:val="39"/>
    <w:rsid w:val="00ED748C"/>
    <w:pPr>
      <w:tabs>
        <w:tab w:val="left" w:pos="1440"/>
        <w:tab w:val="right" w:leader="dot" w:pos="8830"/>
      </w:tabs>
      <w:ind w:left="1276" w:hanging="796"/>
      <w:jc w:val="both"/>
    </w:pPr>
    <w:rPr>
      <w:rFonts w:ascii="Arial" w:hAnsi="Arial"/>
      <w:noProof/>
      <w:sz w:val="22"/>
    </w:rPr>
  </w:style>
  <w:style w:type="paragraph" w:styleId="TDC4">
    <w:name w:val="toc 4"/>
    <w:basedOn w:val="Normal"/>
    <w:next w:val="Normal"/>
    <w:autoRedefine/>
    <w:uiPriority w:val="39"/>
    <w:rsid w:val="00ED748C"/>
    <w:pPr>
      <w:ind w:left="720"/>
      <w:jc w:val="both"/>
    </w:pPr>
    <w:rPr>
      <w:rFonts w:ascii="Arial" w:hAnsi="Arial"/>
      <w:szCs w:val="20"/>
      <w:lang w:val="es-ES_tradnl"/>
    </w:rPr>
  </w:style>
  <w:style w:type="paragraph" w:styleId="TDC6">
    <w:name w:val="toc 6"/>
    <w:basedOn w:val="Normal"/>
    <w:next w:val="Normal"/>
    <w:autoRedefine/>
    <w:uiPriority w:val="39"/>
    <w:rsid w:val="00ED748C"/>
    <w:pPr>
      <w:ind w:left="1200"/>
      <w:jc w:val="both"/>
    </w:pPr>
    <w:rPr>
      <w:rFonts w:ascii="Arial" w:hAnsi="Arial"/>
      <w:szCs w:val="20"/>
      <w:lang w:val="es-ES_tradnl"/>
    </w:rPr>
  </w:style>
  <w:style w:type="paragraph" w:styleId="TDC7">
    <w:name w:val="toc 7"/>
    <w:basedOn w:val="Normal"/>
    <w:next w:val="Normal"/>
    <w:autoRedefine/>
    <w:uiPriority w:val="39"/>
    <w:rsid w:val="00ED748C"/>
    <w:pPr>
      <w:ind w:left="1440"/>
      <w:jc w:val="both"/>
    </w:pPr>
    <w:rPr>
      <w:rFonts w:ascii="Arial" w:hAnsi="Arial"/>
      <w:szCs w:val="20"/>
      <w:lang w:val="es-ES_tradnl"/>
    </w:rPr>
  </w:style>
  <w:style w:type="paragraph" w:styleId="TDC8">
    <w:name w:val="toc 8"/>
    <w:basedOn w:val="Normal"/>
    <w:next w:val="Normal"/>
    <w:autoRedefine/>
    <w:uiPriority w:val="39"/>
    <w:rsid w:val="00ED748C"/>
    <w:pPr>
      <w:ind w:left="1680"/>
      <w:jc w:val="both"/>
    </w:pPr>
    <w:rPr>
      <w:rFonts w:ascii="Arial" w:hAnsi="Arial"/>
      <w:szCs w:val="20"/>
      <w:lang w:val="es-ES_tradnl"/>
    </w:rPr>
  </w:style>
  <w:style w:type="paragraph" w:styleId="TDC9">
    <w:name w:val="toc 9"/>
    <w:basedOn w:val="Normal"/>
    <w:next w:val="Normal"/>
    <w:autoRedefine/>
    <w:uiPriority w:val="39"/>
    <w:rsid w:val="00ED748C"/>
    <w:pPr>
      <w:ind w:left="1920"/>
      <w:jc w:val="both"/>
    </w:pPr>
    <w:rPr>
      <w:rFonts w:ascii="Arial" w:hAnsi="Arial"/>
      <w:szCs w:val="20"/>
      <w:lang w:val="es-ES_tradnl"/>
    </w:rPr>
  </w:style>
  <w:style w:type="paragraph" w:styleId="Tabladeilustraciones">
    <w:name w:val="table of figures"/>
    <w:basedOn w:val="Normal"/>
    <w:next w:val="Normal"/>
    <w:semiHidden/>
    <w:rsid w:val="00ED748C"/>
    <w:pPr>
      <w:tabs>
        <w:tab w:val="right" w:leader="dot" w:pos="8828"/>
      </w:tabs>
      <w:ind w:left="480" w:hanging="480"/>
      <w:jc w:val="both"/>
    </w:pPr>
    <w:rPr>
      <w:rFonts w:ascii="Arial" w:hAnsi="Arial"/>
      <w:noProof/>
      <w:szCs w:val="20"/>
      <w:lang w:val="es-ES_tradnl"/>
    </w:rPr>
  </w:style>
  <w:style w:type="character" w:customStyle="1" w:styleId="eacep1">
    <w:name w:val="eacep1"/>
    <w:rsid w:val="00ED748C"/>
    <w:rPr>
      <w:color w:val="000000"/>
    </w:rPr>
  </w:style>
  <w:style w:type="paragraph" w:styleId="TtuloTDC">
    <w:name w:val="TOC Heading"/>
    <w:basedOn w:val="Ttulo1"/>
    <w:next w:val="Normal"/>
    <w:uiPriority w:val="39"/>
    <w:unhideWhenUsed/>
    <w:qFormat/>
    <w:rsid w:val="00ED748C"/>
    <w:pPr>
      <w:keepLines/>
      <w:spacing w:before="240" w:line="259" w:lineRule="auto"/>
      <w:ind w:left="0"/>
      <w:jc w:val="left"/>
      <w:outlineLvl w:val="9"/>
    </w:pPr>
    <w:rPr>
      <w:rFonts w:ascii="Calibri Light" w:hAnsi="Calibri Light"/>
      <w:b w:val="0"/>
      <w:color w:val="2E74B5"/>
      <w:sz w:val="32"/>
      <w:szCs w:val="32"/>
      <w:lang w:eastAsia="es-CO"/>
    </w:rPr>
  </w:style>
  <w:style w:type="paragraph" w:customStyle="1" w:styleId="Comentario10">
    <w:name w:val="Comentario 1"/>
    <w:basedOn w:val="Normal"/>
    <w:link w:val="Comentario1Car"/>
    <w:rsid w:val="00ED748C"/>
    <w:pPr>
      <w:ind w:left="0"/>
      <w:jc w:val="both"/>
    </w:pPr>
    <w:rPr>
      <w:rFonts w:ascii="Arial" w:hAnsi="Arial"/>
      <w:szCs w:val="20"/>
      <w:lang w:val="es-ES_tradnl"/>
    </w:rPr>
  </w:style>
  <w:style w:type="character" w:customStyle="1" w:styleId="Comentario1Car">
    <w:name w:val="Comentario 1 Car"/>
    <w:link w:val="Comentario10"/>
    <w:rsid w:val="00ED748C"/>
    <w:rPr>
      <w:rFonts w:ascii="Arial" w:eastAsia="Times New Roman" w:hAnsi="Arial" w:cs="Times New Roman"/>
      <w:sz w:val="24"/>
      <w:szCs w:val="20"/>
      <w:lang w:val="es-ES_tradnl" w:eastAsia="es-ES"/>
    </w:rPr>
  </w:style>
  <w:style w:type="character" w:customStyle="1" w:styleId="HTMLconformatoprevioCar">
    <w:name w:val="HTML con formato previo Car"/>
    <w:link w:val="HTMLconformatoprevio"/>
    <w:uiPriority w:val="99"/>
    <w:semiHidden/>
    <w:rsid w:val="00ED748C"/>
    <w:rPr>
      <w:rFonts w:ascii="Courier New" w:hAnsi="Courier New" w:cs="Courier New"/>
    </w:rPr>
  </w:style>
  <w:style w:type="paragraph" w:styleId="HTMLconformatoprevio">
    <w:name w:val="HTML Preformatted"/>
    <w:basedOn w:val="Normal"/>
    <w:link w:val="HTMLconformatoprevioCar"/>
    <w:uiPriority w:val="99"/>
    <w:semiHidden/>
    <w:unhideWhenUsed/>
    <w:rsid w:val="00E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heme="minorHAnsi" w:hAnsi="Courier New" w:cs="Courier New"/>
      <w:sz w:val="22"/>
      <w:szCs w:val="22"/>
      <w:lang w:val="es-CO" w:eastAsia="en-US"/>
    </w:rPr>
  </w:style>
  <w:style w:type="character" w:customStyle="1" w:styleId="HTMLconformatoprevioCar1">
    <w:name w:val="HTML con formato previo Car1"/>
    <w:basedOn w:val="Fuentedeprrafopredeter"/>
    <w:uiPriority w:val="99"/>
    <w:semiHidden/>
    <w:rsid w:val="00ED748C"/>
    <w:rPr>
      <w:rFonts w:ascii="Consolas" w:eastAsia="Times New Roman" w:hAnsi="Consolas" w:cs="Times New Roman"/>
      <w:sz w:val="20"/>
      <w:szCs w:val="20"/>
      <w:lang w:val="es-ES" w:eastAsia="es-ES"/>
    </w:rPr>
  </w:style>
  <w:style w:type="table" w:styleId="Tablanormal2">
    <w:name w:val="Plain Table 2"/>
    <w:basedOn w:val="Tablanormal"/>
    <w:uiPriority w:val="42"/>
    <w:rsid w:val="00ED748C"/>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merodelnea">
    <w:name w:val="line number"/>
    <w:uiPriority w:val="99"/>
    <w:semiHidden/>
    <w:unhideWhenUsed/>
    <w:rsid w:val="00ED748C"/>
  </w:style>
  <w:style w:type="paragraph" w:customStyle="1" w:styleId="Comentario">
    <w:name w:val="Comentario"/>
    <w:basedOn w:val="Normal"/>
    <w:link w:val="ComentarioCar"/>
    <w:qFormat/>
    <w:rsid w:val="00ED748C"/>
    <w:pPr>
      <w:ind w:left="720" w:hanging="360"/>
      <w:jc w:val="both"/>
    </w:pPr>
    <w:rPr>
      <w:rFonts w:ascii="Arial" w:hAnsi="Arial"/>
      <w:b/>
      <w:sz w:val="22"/>
      <w:szCs w:val="22"/>
    </w:rPr>
  </w:style>
  <w:style w:type="character" w:customStyle="1" w:styleId="ComentarioCar">
    <w:name w:val="Comentario Car"/>
    <w:link w:val="Comentario"/>
    <w:rsid w:val="00ED748C"/>
    <w:rPr>
      <w:rFonts w:ascii="Arial" w:eastAsia="Times New Roman" w:hAnsi="Arial" w:cs="Times New Roman"/>
      <w:b/>
      <w:lang w:val="es-ES" w:eastAsia="es-ES"/>
    </w:rPr>
  </w:style>
  <w:style w:type="paragraph" w:customStyle="1" w:styleId="COMENTARIO1">
    <w:name w:val="COMENTARIO 1"/>
    <w:basedOn w:val="Comentario10"/>
    <w:link w:val="COMENTARIO1Car0"/>
    <w:autoRedefine/>
    <w:qFormat/>
    <w:rsid w:val="00ED748C"/>
    <w:pPr>
      <w:numPr>
        <w:ilvl w:val="1"/>
        <w:numId w:val="7"/>
      </w:numPr>
    </w:pPr>
  </w:style>
  <w:style w:type="character" w:customStyle="1" w:styleId="COMENTARIO1Car0">
    <w:name w:val="COMENTARIO 1 Car"/>
    <w:basedOn w:val="Comentario1Car"/>
    <w:link w:val="COMENTARIO1"/>
    <w:rsid w:val="00ED748C"/>
    <w:rPr>
      <w:rFonts w:ascii="Arial" w:eastAsia="Times New Roman" w:hAnsi="Arial" w:cs="Times New Roman"/>
      <w:sz w:val="24"/>
      <w:szCs w:val="20"/>
      <w:lang w:val="es-ES_tradnl" w:eastAsia="es-ES"/>
    </w:rPr>
  </w:style>
  <w:style w:type="paragraph" w:styleId="Lista2">
    <w:name w:val="List 2"/>
    <w:basedOn w:val="Normal"/>
    <w:uiPriority w:val="99"/>
    <w:unhideWhenUsed/>
    <w:rsid w:val="00ED748C"/>
    <w:pPr>
      <w:ind w:left="566" w:hanging="283"/>
      <w:contextualSpacing/>
      <w:jc w:val="both"/>
    </w:pPr>
    <w:rPr>
      <w:rFonts w:ascii="Arial" w:hAnsi="Arial"/>
      <w:szCs w:val="20"/>
      <w:lang w:val="es-ES_tradnl"/>
    </w:rPr>
  </w:style>
  <w:style w:type="paragraph" w:styleId="Lista3">
    <w:name w:val="List 3"/>
    <w:basedOn w:val="Normal"/>
    <w:uiPriority w:val="99"/>
    <w:unhideWhenUsed/>
    <w:rsid w:val="00ED748C"/>
    <w:pPr>
      <w:ind w:left="849" w:hanging="283"/>
      <w:contextualSpacing/>
      <w:jc w:val="both"/>
    </w:pPr>
    <w:rPr>
      <w:rFonts w:ascii="Arial" w:hAnsi="Arial"/>
      <w:szCs w:val="20"/>
      <w:lang w:val="es-ES_tradnl"/>
    </w:rPr>
  </w:style>
  <w:style w:type="paragraph" w:styleId="Saludo">
    <w:name w:val="Salutation"/>
    <w:basedOn w:val="Normal"/>
    <w:next w:val="Normal"/>
    <w:link w:val="SaludoCar"/>
    <w:uiPriority w:val="99"/>
    <w:unhideWhenUsed/>
    <w:rsid w:val="00ED748C"/>
    <w:pPr>
      <w:ind w:left="0"/>
      <w:jc w:val="both"/>
    </w:pPr>
    <w:rPr>
      <w:rFonts w:ascii="Arial" w:hAnsi="Arial"/>
      <w:szCs w:val="20"/>
      <w:lang w:val="es-ES_tradnl"/>
    </w:rPr>
  </w:style>
  <w:style w:type="character" w:customStyle="1" w:styleId="SaludoCar">
    <w:name w:val="Saludo Car"/>
    <w:basedOn w:val="Fuentedeprrafopredeter"/>
    <w:link w:val="Saludo"/>
    <w:uiPriority w:val="99"/>
    <w:rsid w:val="00ED748C"/>
    <w:rPr>
      <w:rFonts w:ascii="Arial" w:eastAsia="Times New Roman" w:hAnsi="Arial" w:cs="Times New Roman"/>
      <w:sz w:val="24"/>
      <w:szCs w:val="20"/>
      <w:lang w:val="es-ES_tradnl" w:eastAsia="es-ES"/>
    </w:rPr>
  </w:style>
  <w:style w:type="paragraph" w:styleId="Cierre">
    <w:name w:val="Closing"/>
    <w:basedOn w:val="Normal"/>
    <w:link w:val="CierreCar"/>
    <w:uiPriority w:val="99"/>
    <w:unhideWhenUsed/>
    <w:rsid w:val="00ED748C"/>
    <w:pPr>
      <w:ind w:left="4252"/>
      <w:jc w:val="both"/>
    </w:pPr>
    <w:rPr>
      <w:rFonts w:ascii="Arial" w:hAnsi="Arial"/>
      <w:szCs w:val="20"/>
      <w:lang w:val="es-ES_tradnl"/>
    </w:rPr>
  </w:style>
  <w:style w:type="character" w:customStyle="1" w:styleId="CierreCar">
    <w:name w:val="Cierre Car"/>
    <w:basedOn w:val="Fuentedeprrafopredeter"/>
    <w:link w:val="Cierre"/>
    <w:uiPriority w:val="99"/>
    <w:rsid w:val="00ED748C"/>
    <w:rPr>
      <w:rFonts w:ascii="Arial" w:eastAsia="Times New Roman" w:hAnsi="Arial" w:cs="Times New Roman"/>
      <w:sz w:val="24"/>
      <w:szCs w:val="20"/>
      <w:lang w:val="es-ES_tradnl" w:eastAsia="es-ES"/>
    </w:rPr>
  </w:style>
  <w:style w:type="paragraph" w:styleId="Listaconvietas2">
    <w:name w:val="List Bullet 2"/>
    <w:basedOn w:val="Normal"/>
    <w:uiPriority w:val="99"/>
    <w:unhideWhenUsed/>
    <w:rsid w:val="00ED748C"/>
    <w:pPr>
      <w:numPr>
        <w:numId w:val="8"/>
      </w:numPr>
      <w:contextualSpacing/>
      <w:jc w:val="both"/>
    </w:pPr>
    <w:rPr>
      <w:rFonts w:ascii="Arial" w:hAnsi="Arial"/>
      <w:szCs w:val="20"/>
      <w:lang w:val="es-ES_tradnl"/>
    </w:rPr>
  </w:style>
  <w:style w:type="paragraph" w:styleId="Listaconvietas3">
    <w:name w:val="List Bullet 3"/>
    <w:basedOn w:val="Normal"/>
    <w:uiPriority w:val="99"/>
    <w:unhideWhenUsed/>
    <w:rsid w:val="00ED748C"/>
    <w:pPr>
      <w:numPr>
        <w:numId w:val="9"/>
      </w:numPr>
      <w:contextualSpacing/>
      <w:jc w:val="both"/>
    </w:pPr>
    <w:rPr>
      <w:rFonts w:ascii="Arial" w:hAnsi="Arial"/>
      <w:szCs w:val="20"/>
      <w:lang w:val="es-ES_tradnl"/>
    </w:rPr>
  </w:style>
  <w:style w:type="paragraph" w:styleId="Continuarlista">
    <w:name w:val="List Continue"/>
    <w:basedOn w:val="Normal"/>
    <w:uiPriority w:val="99"/>
    <w:unhideWhenUsed/>
    <w:rsid w:val="00ED748C"/>
    <w:pPr>
      <w:spacing w:after="120"/>
      <w:ind w:left="283"/>
      <w:contextualSpacing/>
      <w:jc w:val="both"/>
    </w:pPr>
    <w:rPr>
      <w:rFonts w:ascii="Arial" w:hAnsi="Arial"/>
      <w:szCs w:val="20"/>
      <w:lang w:val="es-ES_tradnl"/>
    </w:rPr>
  </w:style>
  <w:style w:type="paragraph" w:styleId="Continuarlista2">
    <w:name w:val="List Continue 2"/>
    <w:basedOn w:val="Normal"/>
    <w:uiPriority w:val="99"/>
    <w:unhideWhenUsed/>
    <w:rsid w:val="00ED748C"/>
    <w:pPr>
      <w:spacing w:after="120"/>
      <w:ind w:left="566"/>
      <w:contextualSpacing/>
      <w:jc w:val="both"/>
    </w:pPr>
    <w:rPr>
      <w:rFonts w:ascii="Arial" w:hAnsi="Arial"/>
      <w:szCs w:val="20"/>
      <w:lang w:val="es-ES_tradnl"/>
    </w:rPr>
  </w:style>
  <w:style w:type="paragraph" w:styleId="Continuarlista3">
    <w:name w:val="List Continue 3"/>
    <w:basedOn w:val="Normal"/>
    <w:uiPriority w:val="99"/>
    <w:unhideWhenUsed/>
    <w:rsid w:val="00ED748C"/>
    <w:pPr>
      <w:spacing w:after="120"/>
      <w:ind w:left="849"/>
      <w:contextualSpacing/>
      <w:jc w:val="both"/>
    </w:pPr>
    <w:rPr>
      <w:rFonts w:ascii="Arial" w:hAnsi="Arial"/>
      <w:szCs w:val="20"/>
      <w:lang w:val="es-ES_tradnl"/>
    </w:rPr>
  </w:style>
  <w:style w:type="paragraph" w:styleId="Continuarlista4">
    <w:name w:val="List Continue 4"/>
    <w:basedOn w:val="Normal"/>
    <w:uiPriority w:val="99"/>
    <w:unhideWhenUsed/>
    <w:rsid w:val="00ED748C"/>
    <w:pPr>
      <w:spacing w:after="120"/>
      <w:ind w:left="1132"/>
      <w:contextualSpacing/>
      <w:jc w:val="both"/>
    </w:pPr>
    <w:rPr>
      <w:rFonts w:ascii="Arial" w:hAnsi="Arial"/>
      <w:szCs w:val="20"/>
      <w:lang w:val="es-ES_tradnl"/>
    </w:rPr>
  </w:style>
  <w:style w:type="paragraph" w:customStyle="1" w:styleId="Caracteresenmarcados">
    <w:name w:val="Caracteres enmarcados"/>
    <w:basedOn w:val="Normal"/>
    <w:rsid w:val="00ED748C"/>
    <w:pPr>
      <w:ind w:left="0"/>
      <w:jc w:val="both"/>
    </w:pPr>
    <w:rPr>
      <w:rFonts w:ascii="Arial" w:hAnsi="Arial"/>
      <w:szCs w:val="20"/>
      <w:lang w:val="es-ES_tradnl"/>
    </w:rPr>
  </w:style>
  <w:style w:type="paragraph" w:styleId="Textoindependienteprimerasangra">
    <w:name w:val="Body Text First Indent"/>
    <w:basedOn w:val="Textoindependiente"/>
    <w:link w:val="TextoindependienteprimerasangraCar"/>
    <w:uiPriority w:val="99"/>
    <w:unhideWhenUsed/>
    <w:rsid w:val="00ED748C"/>
    <w:pPr>
      <w:ind w:left="0" w:firstLine="360"/>
      <w:jc w:val="both"/>
    </w:pPr>
    <w:rPr>
      <w:rFonts w:cs="Times New Roman"/>
      <w:b w:val="0"/>
      <w:bCs w:val="0"/>
      <w:szCs w:val="20"/>
      <w:lang w:val="es-ES_tradnl"/>
    </w:rPr>
  </w:style>
  <w:style w:type="character" w:customStyle="1" w:styleId="TextoindependienteprimerasangraCar">
    <w:name w:val="Texto independiente primera sangría Car"/>
    <w:basedOn w:val="TextoindependienteCar"/>
    <w:link w:val="Textoindependienteprimerasangra"/>
    <w:uiPriority w:val="99"/>
    <w:rsid w:val="00ED748C"/>
    <w:rPr>
      <w:rFonts w:ascii="Arial" w:eastAsia="Times New Roman" w:hAnsi="Arial" w:cs="Times New Roman"/>
      <w:b w:val="0"/>
      <w:bCs w:val="0"/>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ED748C"/>
    <w:pPr>
      <w:spacing w:after="0"/>
      <w:ind w:left="360" w:firstLine="360"/>
      <w:jc w:val="both"/>
    </w:pPr>
    <w:rPr>
      <w:rFonts w:ascii="Arial" w:hAnsi="Arial"/>
      <w:szCs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ED748C"/>
    <w:rPr>
      <w:rFonts w:ascii="Arial" w:eastAsia="Times New Roman" w:hAnsi="Arial" w:cs="Times New Roman"/>
      <w:sz w:val="24"/>
      <w:szCs w:val="20"/>
      <w:lang w:val="es-ES_tradnl" w:eastAsia="es-ES"/>
    </w:rPr>
  </w:style>
  <w:style w:type="paragraph" w:customStyle="1" w:styleId="msonormal0">
    <w:name w:val="msonormal"/>
    <w:basedOn w:val="Normal"/>
    <w:rsid w:val="00ED748C"/>
    <w:pPr>
      <w:spacing w:before="100" w:beforeAutospacing="1" w:after="100" w:afterAutospacing="1"/>
      <w:ind w:left="0"/>
    </w:pPr>
    <w:rPr>
      <w:lang w:val="es-CO" w:eastAsia="es-CO"/>
    </w:rPr>
  </w:style>
  <w:style w:type="character" w:customStyle="1" w:styleId="letra8pt">
    <w:name w:val="letra8pt"/>
    <w:basedOn w:val="Fuentedeprrafopredeter"/>
    <w:rsid w:val="00ED748C"/>
  </w:style>
  <w:style w:type="character" w:customStyle="1" w:styleId="ts-image">
    <w:name w:val="ts-image"/>
    <w:basedOn w:val="Fuentedeprrafopredeter"/>
    <w:rsid w:val="00ED748C"/>
  </w:style>
  <w:style w:type="paragraph" w:customStyle="1" w:styleId="xl63">
    <w:name w:val="xl63"/>
    <w:basedOn w:val="Normal"/>
    <w:rsid w:val="00ED748C"/>
    <w:pPr>
      <w:spacing w:before="100" w:beforeAutospacing="1" w:after="100" w:afterAutospacing="1"/>
      <w:ind w:left="0"/>
    </w:pPr>
    <w:rPr>
      <w:rFonts w:ascii="Bookman Old Style" w:hAnsi="Bookman Old Style"/>
      <w:lang w:val="es-CO" w:eastAsia="es-CO"/>
    </w:rPr>
  </w:style>
  <w:style w:type="paragraph" w:customStyle="1" w:styleId="xl64">
    <w:name w:val="xl6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lang w:val="es-CO" w:eastAsia="es-CO"/>
    </w:rPr>
  </w:style>
  <w:style w:type="character" w:customStyle="1" w:styleId="Mencinsinresolver1">
    <w:name w:val="Mención sin resolver1"/>
    <w:basedOn w:val="Fuentedeprrafopredeter"/>
    <w:uiPriority w:val="99"/>
    <w:semiHidden/>
    <w:unhideWhenUsed/>
    <w:rsid w:val="00ED748C"/>
    <w:rPr>
      <w:color w:val="605E5C"/>
      <w:shd w:val="clear" w:color="auto" w:fill="E1DFDD"/>
    </w:rPr>
  </w:style>
  <w:style w:type="paragraph" w:customStyle="1" w:styleId="Destinario">
    <w:name w:val="Destinario"/>
    <w:basedOn w:val="Normal"/>
    <w:link w:val="DestinarioCar"/>
    <w:qFormat/>
    <w:rsid w:val="00792E95"/>
    <w:pPr>
      <w:spacing w:before="120" w:after="120" w:line="360" w:lineRule="auto"/>
      <w:ind w:left="0"/>
      <w:contextualSpacing/>
    </w:pPr>
    <w:rPr>
      <w:rFonts w:asciiTheme="minorHAnsi" w:eastAsiaTheme="minorHAnsi" w:hAnsiTheme="minorHAnsi" w:cstheme="minorBidi"/>
      <w:lang w:val="es-CO" w:eastAsia="en-US"/>
    </w:rPr>
  </w:style>
  <w:style w:type="character" w:customStyle="1" w:styleId="DestinarioCar">
    <w:name w:val="Destinario Car"/>
    <w:basedOn w:val="Fuentedeprrafopredeter"/>
    <w:link w:val="Destinario"/>
    <w:rsid w:val="00792E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11837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Janette Sanchez Gomez</dc:creator>
  <cp:keywords/>
  <dc:description/>
  <cp:lastModifiedBy>Luz Stella Rojas Macias</cp:lastModifiedBy>
  <cp:revision>2</cp:revision>
  <cp:lastPrinted>2021-11-16T16:38:00Z</cp:lastPrinted>
  <dcterms:created xsi:type="dcterms:W3CDTF">2021-11-25T20:59:00Z</dcterms:created>
  <dcterms:modified xsi:type="dcterms:W3CDTF">2021-11-25T20:59:00Z</dcterms:modified>
</cp:coreProperties>
</file>