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3CBA" w:rsidRPr="00610E3A" w:rsidRDefault="003B1F6F" w:rsidP="00EE70F3">
      <w:pPr>
        <w:pStyle w:val="Encabezado"/>
        <w:tabs>
          <w:tab w:val="clear" w:pos="8504"/>
          <w:tab w:val="left" w:pos="0"/>
          <w:tab w:val="left" w:pos="2977"/>
          <w:tab w:val="right" w:pos="9356"/>
        </w:tabs>
        <w:ind w:left="0"/>
        <w:jc w:val="both"/>
        <w:rPr>
          <w:rFonts w:ascii="Bookman Old Style" w:hAnsi="Bookman Old Style"/>
          <w:color w:val="000000" w:themeColor="text1"/>
          <w:szCs w:val="24"/>
          <w:lang w:val="es-ES"/>
        </w:rPr>
      </w:pPr>
      <w:bookmarkStart w:id="0" w:name="_GoBack"/>
      <w:bookmarkEnd w:id="0"/>
      <w:r w:rsidRPr="00610E3A">
        <w:rPr>
          <w:rFonts w:ascii="Bookman Old Style" w:hAnsi="Bookman Old Style"/>
          <w:noProof/>
          <w:color w:val="000000" w:themeColor="text1"/>
          <w:szCs w:val="24"/>
          <w:lang w:eastAsia="es-CO"/>
        </w:rPr>
        <w:drawing>
          <wp:anchor distT="0" distB="0" distL="114300" distR="114300" simplePos="0" relativeHeight="251657728" behindDoc="0" locked="0" layoutInCell="1" allowOverlap="1" wp14:anchorId="1AFFCD0A" wp14:editId="6269AECE">
            <wp:simplePos x="0" y="0"/>
            <wp:positionH relativeFrom="column">
              <wp:posOffset>2570480</wp:posOffset>
            </wp:positionH>
            <wp:positionV relativeFrom="paragraph">
              <wp:posOffset>-631825</wp:posOffset>
            </wp:positionV>
            <wp:extent cx="666750" cy="619125"/>
            <wp:effectExtent l="0" t="0" r="0" b="9525"/>
            <wp:wrapNone/>
            <wp:docPr id="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6750" cy="619125"/>
                    </a:xfrm>
                    <a:prstGeom prst="rect">
                      <a:avLst/>
                    </a:prstGeom>
                    <a:noFill/>
                  </pic:spPr>
                </pic:pic>
              </a:graphicData>
            </a:graphic>
            <wp14:sizeRelH relativeFrom="page">
              <wp14:pctWidth>0</wp14:pctWidth>
            </wp14:sizeRelH>
            <wp14:sizeRelV relativeFrom="page">
              <wp14:pctHeight>0</wp14:pctHeight>
            </wp14:sizeRelV>
          </wp:anchor>
        </w:drawing>
      </w:r>
    </w:p>
    <w:p w:rsidR="00625DC6" w:rsidRPr="00610E3A" w:rsidRDefault="00625DC6" w:rsidP="00EE70F3">
      <w:pPr>
        <w:pStyle w:val="Encabezado"/>
        <w:tabs>
          <w:tab w:val="clear" w:pos="8504"/>
          <w:tab w:val="left" w:pos="0"/>
          <w:tab w:val="right" w:pos="9356"/>
        </w:tabs>
        <w:ind w:left="0"/>
        <w:jc w:val="both"/>
        <w:rPr>
          <w:rFonts w:ascii="Bookman Old Style" w:hAnsi="Bookman Old Style"/>
          <w:color w:val="000000" w:themeColor="text1"/>
          <w:szCs w:val="24"/>
          <w:lang w:val="es-ES"/>
        </w:rPr>
      </w:pPr>
    </w:p>
    <w:p w:rsidR="00AD0D6E" w:rsidRPr="00610E3A" w:rsidRDefault="00AD0D6E" w:rsidP="00EE70F3">
      <w:pPr>
        <w:pStyle w:val="Ttulo4"/>
        <w:tabs>
          <w:tab w:val="left" w:pos="0"/>
          <w:tab w:val="right" w:pos="9356"/>
        </w:tabs>
        <w:ind w:left="0"/>
        <w:rPr>
          <w:rFonts w:ascii="Bookman Old Style" w:hAnsi="Bookman Old Style"/>
          <w:b w:val="0"/>
          <w:bCs/>
          <w:sz w:val="24"/>
          <w:szCs w:val="24"/>
        </w:rPr>
      </w:pPr>
    </w:p>
    <w:p w:rsidR="00CC5CE1" w:rsidRPr="00610E3A" w:rsidRDefault="00CC5CE1" w:rsidP="00EE70F3">
      <w:pPr>
        <w:pStyle w:val="Ttulo4"/>
        <w:tabs>
          <w:tab w:val="left" w:pos="0"/>
          <w:tab w:val="right" w:pos="9356"/>
        </w:tabs>
        <w:ind w:left="0"/>
        <w:rPr>
          <w:rFonts w:ascii="Bookman Old Style" w:hAnsi="Bookman Old Style"/>
          <w:b w:val="0"/>
          <w:bCs/>
          <w:noProof/>
          <w:sz w:val="24"/>
          <w:szCs w:val="24"/>
          <w:lang w:val="es-ES"/>
        </w:rPr>
      </w:pPr>
      <w:r w:rsidRPr="00610E3A">
        <w:rPr>
          <w:rFonts w:ascii="Bookman Old Style" w:hAnsi="Bookman Old Style"/>
          <w:b w:val="0"/>
          <w:bCs/>
          <w:sz w:val="24"/>
          <w:szCs w:val="24"/>
        </w:rPr>
        <w:t>Ministerio de Minas y Energía</w:t>
      </w:r>
    </w:p>
    <w:p w:rsidR="00CC5CE1" w:rsidRPr="00610E3A" w:rsidRDefault="00CC5CE1" w:rsidP="00EE70F3">
      <w:pPr>
        <w:pStyle w:val="Ttulo4"/>
        <w:tabs>
          <w:tab w:val="left" w:pos="0"/>
          <w:tab w:val="right" w:pos="9356"/>
        </w:tabs>
        <w:ind w:left="0"/>
        <w:rPr>
          <w:rFonts w:ascii="Bookman Old Style" w:hAnsi="Bookman Old Style"/>
          <w:b w:val="0"/>
          <w:bCs/>
          <w:sz w:val="24"/>
          <w:szCs w:val="24"/>
        </w:rPr>
      </w:pPr>
    </w:p>
    <w:p w:rsidR="00CC5CE1" w:rsidRPr="00610E3A" w:rsidRDefault="00CC5CE1" w:rsidP="00EE70F3">
      <w:pPr>
        <w:pStyle w:val="Ttulo3"/>
        <w:tabs>
          <w:tab w:val="left" w:pos="0"/>
          <w:tab w:val="right" w:pos="9356"/>
        </w:tabs>
        <w:ind w:left="0"/>
        <w:rPr>
          <w:rFonts w:ascii="Bookman Old Style" w:hAnsi="Bookman Old Style" w:cs="Arial"/>
          <w:spacing w:val="20"/>
          <w:szCs w:val="24"/>
        </w:rPr>
      </w:pPr>
      <w:r w:rsidRPr="00610E3A">
        <w:rPr>
          <w:rFonts w:ascii="Bookman Old Style" w:hAnsi="Bookman Old Style" w:cs="Arial"/>
          <w:spacing w:val="20"/>
          <w:szCs w:val="24"/>
        </w:rPr>
        <w:t>COMISIÓN DE REGULACIÓN DE ENERGÍA Y GAS</w:t>
      </w:r>
    </w:p>
    <w:p w:rsidR="00CC5CE1" w:rsidRPr="00610E3A" w:rsidRDefault="00CC5CE1" w:rsidP="00EE70F3">
      <w:pPr>
        <w:pStyle w:val="Ttulo5"/>
        <w:tabs>
          <w:tab w:val="left" w:pos="0"/>
          <w:tab w:val="right" w:pos="9356"/>
        </w:tabs>
        <w:ind w:left="0"/>
        <w:rPr>
          <w:rFonts w:ascii="Bookman Old Style" w:hAnsi="Bookman Old Style"/>
          <w:sz w:val="24"/>
          <w:szCs w:val="24"/>
        </w:rPr>
      </w:pPr>
    </w:p>
    <w:p w:rsidR="00CC5CE1" w:rsidRPr="00610E3A" w:rsidRDefault="00CC5CE1" w:rsidP="00EE70F3">
      <w:pPr>
        <w:pStyle w:val="Ttulo5"/>
        <w:tabs>
          <w:tab w:val="left" w:pos="0"/>
          <w:tab w:val="right" w:pos="9356"/>
        </w:tabs>
        <w:ind w:left="0"/>
        <w:rPr>
          <w:rFonts w:ascii="Bookman Old Style" w:hAnsi="Bookman Old Style"/>
          <w:sz w:val="24"/>
          <w:szCs w:val="24"/>
        </w:rPr>
      </w:pPr>
    </w:p>
    <w:p w:rsidR="00CC5CE1" w:rsidRPr="00610E3A" w:rsidRDefault="00CC5CE1" w:rsidP="00EE70F3">
      <w:pPr>
        <w:pStyle w:val="Ttulo5"/>
        <w:tabs>
          <w:tab w:val="left" w:pos="0"/>
          <w:tab w:val="right" w:pos="9356"/>
        </w:tabs>
        <w:ind w:left="0"/>
        <w:rPr>
          <w:rFonts w:ascii="Bookman Old Style" w:hAnsi="Bookman Old Style"/>
          <w:sz w:val="24"/>
          <w:szCs w:val="24"/>
        </w:rPr>
      </w:pPr>
      <w:r w:rsidRPr="00610E3A">
        <w:rPr>
          <w:rFonts w:ascii="Bookman Old Style" w:hAnsi="Bookman Old Style"/>
          <w:sz w:val="24"/>
          <w:szCs w:val="24"/>
        </w:rPr>
        <w:t>RESOLUCIÓN No.</w:t>
      </w:r>
      <w:r w:rsidR="00AD0D6E" w:rsidRPr="00610E3A">
        <w:rPr>
          <w:rFonts w:ascii="Bookman Old Style" w:hAnsi="Bookman Old Style"/>
          <w:color w:val="000000" w:themeColor="text1"/>
          <w:sz w:val="24"/>
          <w:szCs w:val="24"/>
          <w:lang w:val="es-ES"/>
        </w:rPr>
        <w:t xml:space="preserve">     </w:t>
      </w:r>
      <w:r w:rsidR="00F36895">
        <w:rPr>
          <w:rFonts w:ascii="Bookman Old Style" w:hAnsi="Bookman Old Style"/>
          <w:color w:val="000000" w:themeColor="text1"/>
          <w:sz w:val="24"/>
          <w:szCs w:val="24"/>
          <w:lang w:val="es-ES"/>
        </w:rPr>
        <w:t xml:space="preserve">  </w:t>
      </w:r>
      <w:r w:rsidR="00AD0D6E" w:rsidRPr="00610E3A">
        <w:rPr>
          <w:rFonts w:ascii="Bookman Old Style" w:hAnsi="Bookman Old Style"/>
          <w:color w:val="000000" w:themeColor="text1"/>
          <w:sz w:val="24"/>
          <w:szCs w:val="24"/>
          <w:lang w:val="es-ES"/>
        </w:rPr>
        <w:t xml:space="preserve">     </w:t>
      </w:r>
      <w:r w:rsidRPr="00610E3A">
        <w:rPr>
          <w:rFonts w:ascii="Bookman Old Style" w:hAnsi="Bookman Old Style"/>
          <w:sz w:val="24"/>
          <w:szCs w:val="24"/>
        </w:rPr>
        <w:t>DE 201</w:t>
      </w:r>
      <w:r w:rsidR="00AD0D6E" w:rsidRPr="00610E3A">
        <w:rPr>
          <w:rFonts w:ascii="Bookman Old Style" w:hAnsi="Bookman Old Style"/>
          <w:sz w:val="24"/>
          <w:szCs w:val="24"/>
        </w:rPr>
        <w:t>3</w:t>
      </w:r>
    </w:p>
    <w:p w:rsidR="00CC5CE1" w:rsidRPr="00610E3A" w:rsidRDefault="00CC5CE1" w:rsidP="00EE70F3">
      <w:pPr>
        <w:tabs>
          <w:tab w:val="left" w:pos="0"/>
          <w:tab w:val="right" w:pos="9356"/>
        </w:tabs>
        <w:ind w:left="0"/>
        <w:jc w:val="center"/>
        <w:rPr>
          <w:rFonts w:ascii="Bookman Old Style" w:hAnsi="Bookman Old Style" w:cs="Arial"/>
          <w:b/>
          <w:snapToGrid w:val="0"/>
          <w:color w:val="000000"/>
          <w:lang w:val="es-ES_tradnl"/>
        </w:rPr>
      </w:pPr>
    </w:p>
    <w:p w:rsidR="00CC5CE1" w:rsidRPr="00610E3A" w:rsidRDefault="00CC5CE1" w:rsidP="00EE70F3">
      <w:pPr>
        <w:pStyle w:val="Ttulo3"/>
        <w:tabs>
          <w:tab w:val="left" w:pos="0"/>
          <w:tab w:val="right" w:pos="9356"/>
        </w:tabs>
        <w:ind w:left="0"/>
        <w:rPr>
          <w:rFonts w:ascii="Bookman Old Style" w:hAnsi="Bookman Old Style"/>
          <w:b w:val="0"/>
          <w:szCs w:val="24"/>
        </w:rPr>
      </w:pPr>
      <w:r w:rsidRPr="00610E3A">
        <w:rPr>
          <w:rFonts w:ascii="Bookman Old Style" w:hAnsi="Bookman Old Style"/>
          <w:b w:val="0"/>
          <w:szCs w:val="24"/>
        </w:rPr>
        <w:t>(                                  )</w:t>
      </w:r>
    </w:p>
    <w:p w:rsidR="00CC5CE1" w:rsidRPr="00610E3A" w:rsidRDefault="00CC5CE1" w:rsidP="00EE70F3">
      <w:pPr>
        <w:ind w:left="0"/>
        <w:rPr>
          <w:rFonts w:ascii="Bookman Old Style" w:hAnsi="Bookman Old Style"/>
          <w:bCs/>
          <w:lang w:val="es-CO"/>
        </w:rPr>
      </w:pPr>
    </w:p>
    <w:p w:rsidR="00CC5CE1" w:rsidRDefault="00CC5CE1" w:rsidP="00EE70F3">
      <w:pPr>
        <w:ind w:left="0"/>
        <w:rPr>
          <w:rFonts w:ascii="Bookman Old Style" w:hAnsi="Bookman Old Style"/>
          <w:bCs/>
          <w:lang w:val="es-CO"/>
        </w:rPr>
      </w:pPr>
    </w:p>
    <w:p w:rsidR="00F36895" w:rsidRPr="00610E3A" w:rsidRDefault="00F36895" w:rsidP="00EE70F3">
      <w:pPr>
        <w:ind w:left="0"/>
        <w:rPr>
          <w:rFonts w:ascii="Bookman Old Style" w:hAnsi="Bookman Old Style"/>
          <w:bCs/>
          <w:lang w:val="es-CO"/>
        </w:rPr>
      </w:pPr>
    </w:p>
    <w:p w:rsidR="00CC5CE1" w:rsidRPr="00610E3A" w:rsidRDefault="00E0402C" w:rsidP="00EE70F3">
      <w:pPr>
        <w:ind w:left="0"/>
        <w:jc w:val="center"/>
        <w:rPr>
          <w:rFonts w:ascii="Bookman Old Style" w:hAnsi="Bookman Old Style" w:cs="Arial"/>
        </w:rPr>
      </w:pPr>
      <w:r w:rsidRPr="00610E3A">
        <w:rPr>
          <w:rFonts w:ascii="Bookman Old Style" w:hAnsi="Bookman Old Style"/>
        </w:rPr>
        <w:t>Por la cual se modifica y se corrige la Resolución CREG 126 de 2010</w:t>
      </w:r>
    </w:p>
    <w:p w:rsidR="00CC5CE1" w:rsidRPr="00610E3A" w:rsidRDefault="00CC5CE1" w:rsidP="00EE70F3">
      <w:pPr>
        <w:ind w:left="0"/>
        <w:jc w:val="both"/>
        <w:rPr>
          <w:rFonts w:ascii="Bookman Old Style" w:hAnsi="Bookman Old Style" w:cs="Arial"/>
        </w:rPr>
      </w:pPr>
    </w:p>
    <w:p w:rsidR="00F66EFB" w:rsidRPr="00610E3A" w:rsidRDefault="00F66EFB" w:rsidP="00EE70F3">
      <w:pPr>
        <w:ind w:left="0"/>
        <w:jc w:val="both"/>
        <w:rPr>
          <w:rFonts w:ascii="Bookman Old Style" w:hAnsi="Bookman Old Style" w:cs="Arial"/>
        </w:rPr>
      </w:pPr>
    </w:p>
    <w:p w:rsidR="00CC5CE1" w:rsidRPr="00610E3A" w:rsidRDefault="00CC5CE1" w:rsidP="00EE70F3">
      <w:pPr>
        <w:pStyle w:val="Ttulo7"/>
        <w:spacing w:before="0" w:after="0"/>
        <w:ind w:left="0"/>
        <w:jc w:val="center"/>
        <w:rPr>
          <w:rFonts w:ascii="Bookman Old Style" w:hAnsi="Bookman Old Style"/>
          <w:b/>
        </w:rPr>
      </w:pPr>
      <w:r w:rsidRPr="00610E3A">
        <w:rPr>
          <w:rFonts w:ascii="Bookman Old Style" w:hAnsi="Bookman Old Style"/>
          <w:b/>
        </w:rPr>
        <w:t>LA COMISIÓN DE REGULACIÓN DE ENERGÍA Y GAS</w:t>
      </w:r>
    </w:p>
    <w:p w:rsidR="00CC5CE1" w:rsidRPr="00610E3A" w:rsidRDefault="00CC5CE1" w:rsidP="00EE70F3">
      <w:pPr>
        <w:ind w:left="0"/>
        <w:jc w:val="both"/>
        <w:rPr>
          <w:rFonts w:ascii="Bookman Old Style" w:hAnsi="Bookman Old Style" w:cs="Arial"/>
          <w:b/>
        </w:rPr>
      </w:pPr>
    </w:p>
    <w:p w:rsidR="00CC5CE1" w:rsidRPr="00610E3A" w:rsidRDefault="00CC5CE1" w:rsidP="00EE70F3">
      <w:pPr>
        <w:ind w:left="0"/>
        <w:jc w:val="both"/>
        <w:rPr>
          <w:rFonts w:ascii="Bookman Old Style" w:hAnsi="Bookman Old Style" w:cs="Arial"/>
        </w:rPr>
      </w:pPr>
    </w:p>
    <w:p w:rsidR="00CC5CE1" w:rsidRPr="00610E3A" w:rsidRDefault="00CC5CE1" w:rsidP="00EE70F3">
      <w:pPr>
        <w:ind w:left="0"/>
        <w:jc w:val="center"/>
        <w:rPr>
          <w:rFonts w:ascii="Bookman Old Style" w:hAnsi="Bookman Old Style" w:cs="Arial"/>
        </w:rPr>
      </w:pPr>
      <w:r w:rsidRPr="00610E3A">
        <w:rPr>
          <w:rFonts w:ascii="Bookman Old Style" w:hAnsi="Bookman Old Style" w:cs="Arial"/>
        </w:rPr>
        <w:t xml:space="preserve">En ejercicio de sus atribuciones legales, en especial </w:t>
      </w:r>
      <w:r w:rsidR="00E7538E" w:rsidRPr="00610E3A">
        <w:rPr>
          <w:rFonts w:ascii="Bookman Old Style" w:hAnsi="Bookman Old Style" w:cs="Arial"/>
        </w:rPr>
        <w:t xml:space="preserve">de </w:t>
      </w:r>
      <w:r w:rsidRPr="00610E3A">
        <w:rPr>
          <w:rFonts w:ascii="Bookman Old Style" w:hAnsi="Bookman Old Style" w:cs="Arial"/>
        </w:rPr>
        <w:t>las conferidas por la Ley 142 de 1994, y en desarrollo del Decreto 2253 de 1994, y</w:t>
      </w:r>
    </w:p>
    <w:p w:rsidR="00CC5CE1" w:rsidRPr="00610E3A" w:rsidRDefault="00CC5CE1" w:rsidP="00EE70F3">
      <w:pPr>
        <w:ind w:left="0"/>
        <w:jc w:val="both"/>
        <w:rPr>
          <w:rFonts w:ascii="Bookman Old Style" w:hAnsi="Bookman Old Style" w:cs="Arial"/>
        </w:rPr>
      </w:pPr>
    </w:p>
    <w:p w:rsidR="00CC5CE1" w:rsidRPr="00610E3A" w:rsidRDefault="00CC5CE1" w:rsidP="00EE70F3">
      <w:pPr>
        <w:ind w:left="0"/>
        <w:jc w:val="both"/>
        <w:rPr>
          <w:rFonts w:ascii="Bookman Old Style" w:hAnsi="Bookman Old Style" w:cs="Arial"/>
        </w:rPr>
      </w:pPr>
    </w:p>
    <w:p w:rsidR="00CC5CE1" w:rsidRPr="00610E3A" w:rsidRDefault="00CC5CE1" w:rsidP="00EE70F3">
      <w:pPr>
        <w:ind w:left="0"/>
        <w:jc w:val="center"/>
        <w:rPr>
          <w:rFonts w:ascii="Bookman Old Style" w:hAnsi="Bookman Old Style" w:cs="Arial"/>
          <w:b/>
        </w:rPr>
      </w:pPr>
      <w:r w:rsidRPr="00610E3A">
        <w:rPr>
          <w:rFonts w:ascii="Bookman Old Style" w:hAnsi="Bookman Old Style" w:cs="Arial"/>
          <w:b/>
          <w:spacing w:val="80"/>
        </w:rPr>
        <w:t>CONSIDERANDO QUE</w:t>
      </w:r>
      <w:r w:rsidRPr="00610E3A">
        <w:rPr>
          <w:rFonts w:ascii="Bookman Old Style" w:hAnsi="Bookman Old Style" w:cs="Arial"/>
          <w:b/>
        </w:rPr>
        <w:t>:</w:t>
      </w:r>
    </w:p>
    <w:p w:rsidR="00CC5CE1" w:rsidRPr="00610E3A" w:rsidRDefault="00CC5CE1" w:rsidP="00EE70F3">
      <w:pPr>
        <w:ind w:left="0"/>
        <w:jc w:val="both"/>
        <w:rPr>
          <w:rFonts w:ascii="Bookman Old Style" w:hAnsi="Bookman Old Style" w:cs="Arial"/>
          <w:b/>
        </w:rPr>
      </w:pPr>
    </w:p>
    <w:p w:rsidR="00F66EFB" w:rsidRPr="00610E3A" w:rsidRDefault="00F66EFB" w:rsidP="00EE70F3">
      <w:pPr>
        <w:ind w:left="0"/>
        <w:jc w:val="both"/>
        <w:rPr>
          <w:rFonts w:ascii="Bookman Old Style" w:hAnsi="Bookman Old Style" w:cs="Arial"/>
          <w:b/>
        </w:rPr>
      </w:pPr>
    </w:p>
    <w:p w:rsidR="00E0402C" w:rsidRPr="00610E3A" w:rsidRDefault="00E0402C" w:rsidP="00EE70F3">
      <w:pPr>
        <w:ind w:left="0"/>
        <w:jc w:val="both"/>
        <w:rPr>
          <w:rFonts w:ascii="Bookman Old Style" w:hAnsi="Bookman Old Style" w:cs="Arial"/>
        </w:rPr>
      </w:pPr>
      <w:r w:rsidRPr="00610E3A">
        <w:rPr>
          <w:rFonts w:ascii="Bookman Old Style" w:hAnsi="Bookman Old Style" w:cs="Arial"/>
        </w:rPr>
        <w:t>De acuerdo con lo establecido en el artículo 14 de la Ley 142 de 1994, la actividad de transporte de gas natural es una actividad complementaria del servicio público domiciliario de gas combustible.</w:t>
      </w:r>
    </w:p>
    <w:p w:rsidR="00E0402C" w:rsidRPr="00610E3A" w:rsidRDefault="00E0402C" w:rsidP="00EE70F3">
      <w:pPr>
        <w:ind w:left="0"/>
        <w:jc w:val="both"/>
        <w:rPr>
          <w:rFonts w:ascii="Bookman Old Style" w:hAnsi="Bookman Old Style" w:cs="Arial"/>
        </w:rPr>
      </w:pPr>
    </w:p>
    <w:p w:rsidR="00E0402C" w:rsidRPr="00610E3A" w:rsidRDefault="00E0402C" w:rsidP="00EE70F3">
      <w:pPr>
        <w:ind w:left="0"/>
        <w:jc w:val="both"/>
        <w:rPr>
          <w:rFonts w:ascii="Bookman Old Style" w:hAnsi="Bookman Old Style" w:cs="Arial"/>
        </w:rPr>
      </w:pPr>
      <w:r w:rsidRPr="00610E3A">
        <w:rPr>
          <w:rFonts w:ascii="Bookman Old Style" w:hAnsi="Bookman Old Style" w:cs="Arial"/>
        </w:rPr>
        <w:t>Le corresponde a la Comisión ejercer la función de regular los monopolios en la prestación de los servicios públicos, cuando la competencia no sea, de hecho, posible; y, en los demás casos, la de promover la competencia entre quienes presten servicios públicos, para que las operaciones de los monopolistas o de los competidores sean económicamente eficientes, no impliquen abuso de la posición dominante, y produzcan servicios de calidad, para lo cual puede, entre otras, proponer la adopción de las medidas necesarias para impedir abusos de posición dominante y adoptar reglas de comportamiento diferencial, según la posición de las empresas en el mercado, conforme a los artículos 73 y 74 de la Ley 142 de 1994.</w:t>
      </w:r>
    </w:p>
    <w:p w:rsidR="00E0402C" w:rsidRPr="00610E3A" w:rsidRDefault="00E0402C" w:rsidP="00EE70F3">
      <w:pPr>
        <w:ind w:left="0"/>
        <w:jc w:val="both"/>
        <w:rPr>
          <w:rFonts w:ascii="Bookman Old Style" w:hAnsi="Bookman Old Style" w:cs="Arial"/>
        </w:rPr>
      </w:pPr>
    </w:p>
    <w:p w:rsidR="00E0402C" w:rsidRPr="00610E3A" w:rsidRDefault="00E0402C" w:rsidP="00EE70F3">
      <w:pPr>
        <w:ind w:left="0"/>
        <w:jc w:val="both"/>
        <w:rPr>
          <w:rFonts w:ascii="Bookman Old Style" w:hAnsi="Bookman Old Style" w:cs="Arial"/>
        </w:rPr>
      </w:pPr>
      <w:r w:rsidRPr="00610E3A">
        <w:rPr>
          <w:rFonts w:ascii="Bookman Old Style" w:hAnsi="Bookman Old Style" w:cs="Arial"/>
        </w:rPr>
        <w:t>La Comisión, a través de la Resolución CREG 126 de 2010, estableció los criterios generales para la remuneración del servicio de transporte de gas natural y el esquema general de cargos del Sistema Nacional de Transporte, y dictó otras disposiciones en materia de transporte de gas natural.</w:t>
      </w:r>
    </w:p>
    <w:p w:rsidR="00E0402C" w:rsidRPr="00610E3A" w:rsidRDefault="00E0402C" w:rsidP="00EE70F3">
      <w:pPr>
        <w:ind w:left="0"/>
        <w:jc w:val="both"/>
        <w:rPr>
          <w:rFonts w:ascii="Bookman Old Style" w:hAnsi="Bookman Old Style" w:cs="Arial"/>
        </w:rPr>
      </w:pPr>
    </w:p>
    <w:p w:rsidR="00E0402C" w:rsidRPr="00610E3A" w:rsidRDefault="00E0402C" w:rsidP="00EE70F3">
      <w:pPr>
        <w:ind w:left="0"/>
        <w:jc w:val="both"/>
        <w:rPr>
          <w:rFonts w:ascii="Bookman Old Style" w:hAnsi="Bookman Old Style" w:cs="Arial"/>
        </w:rPr>
      </w:pPr>
      <w:r w:rsidRPr="00610E3A">
        <w:rPr>
          <w:rFonts w:ascii="Bookman Old Style" w:hAnsi="Bookman Old Style" w:cs="Arial"/>
        </w:rPr>
        <w:t>En el artículo 14 de la Resolución CREG 126 de 2010 se estableció el procedimiento a través del cual se determina el valor de la inversión a reconocer por activos en servicio que hayan cumplido la vida útil normativa en el presente período tarifario, exceptuando terrenos y edificaciones.</w:t>
      </w:r>
    </w:p>
    <w:p w:rsidR="00E0402C" w:rsidRPr="00EE70F3" w:rsidRDefault="00E0402C" w:rsidP="00EE70F3">
      <w:pPr>
        <w:ind w:left="0"/>
        <w:jc w:val="both"/>
        <w:rPr>
          <w:rFonts w:ascii="Bookman Old Style" w:hAnsi="Bookman Old Style" w:cs="Arial"/>
        </w:rPr>
      </w:pPr>
      <w:r w:rsidRPr="00610E3A">
        <w:rPr>
          <w:rFonts w:ascii="Bookman Old Style" w:hAnsi="Bookman Old Style" w:cs="Arial"/>
        </w:rPr>
        <w:lastRenderedPageBreak/>
        <w:t xml:space="preserve">La Comisión, en ejercicio de la facultad prevista en el artículo 14 de la Resolución CREG 126 de 2010, en concordancia con </w:t>
      </w:r>
      <w:r w:rsidRPr="00EE70F3">
        <w:rPr>
          <w:rFonts w:ascii="Bookman Old Style" w:hAnsi="Bookman Old Style" w:cs="Arial"/>
        </w:rPr>
        <w:t>l</w:t>
      </w:r>
      <w:r w:rsidR="000B2A76" w:rsidRPr="00EE70F3">
        <w:rPr>
          <w:rFonts w:ascii="Bookman Old Style" w:hAnsi="Bookman Old Style" w:cs="Arial"/>
        </w:rPr>
        <w:t>os</w:t>
      </w:r>
      <w:r w:rsidRPr="00EE70F3">
        <w:rPr>
          <w:rFonts w:ascii="Bookman Old Style" w:hAnsi="Bookman Old Style" w:cs="Arial"/>
        </w:rPr>
        <w:t xml:space="preserve"> artículo</w:t>
      </w:r>
      <w:r w:rsidR="000B2A76" w:rsidRPr="00EE70F3">
        <w:rPr>
          <w:rFonts w:ascii="Bookman Old Style" w:hAnsi="Bookman Old Style" w:cs="Arial"/>
        </w:rPr>
        <w:t>s 109 y</w:t>
      </w:r>
      <w:r w:rsidRPr="00EE70F3">
        <w:rPr>
          <w:rFonts w:ascii="Bookman Old Style" w:hAnsi="Bookman Old Style" w:cs="Arial"/>
        </w:rPr>
        <w:t xml:space="preserve"> 124.1 de la Ley 142 de 1994, debe elaborar una lista de peritos a fin de seleccionar uno de ellos dentro del trámite de las actuaciones administrativas que se adelanten con el fin de establecer el valor de la inversión a reconocer en activos que hayan cumplido la vida útil normativa. En la lista se deben incluir personas idóneas y calificadas para que cualquiera de ellas, seleccionada de forma aleatoria por parte de la Comisión, pueda resolver las preguntas y requerimientos que haga la Comisión.</w:t>
      </w:r>
    </w:p>
    <w:p w:rsidR="00E0402C" w:rsidRPr="00EE70F3" w:rsidRDefault="00E0402C" w:rsidP="00EE70F3">
      <w:pPr>
        <w:ind w:left="0"/>
        <w:jc w:val="both"/>
        <w:rPr>
          <w:rFonts w:ascii="Bookman Old Style" w:hAnsi="Bookman Old Style" w:cs="Arial"/>
        </w:rPr>
      </w:pPr>
    </w:p>
    <w:p w:rsidR="00E0402C" w:rsidRPr="00EE70F3" w:rsidRDefault="00E0402C" w:rsidP="00EE70F3">
      <w:pPr>
        <w:ind w:left="0"/>
        <w:jc w:val="both"/>
        <w:rPr>
          <w:rFonts w:ascii="Bookman Old Style" w:hAnsi="Bookman Old Style" w:cs="Arial"/>
        </w:rPr>
      </w:pPr>
      <w:r w:rsidRPr="00EE70F3">
        <w:rPr>
          <w:rFonts w:ascii="Bookman Old Style" w:hAnsi="Bookman Old Style" w:cs="Arial"/>
        </w:rPr>
        <w:t xml:space="preserve">La Comisión encontró conveniente modificar el numeral 1 del literal b) del artículo 14 de la Resolución CREG 126 de 2010, debido a que dentro de las actuaciones administrativas que culminaron con la expedición de las resoluciones CREG 121, 122 y 123 de 2012, en virtud de lo previsto en el inciso tercero del literal b) del artículo 5 de la Resolución CREG 126 de 2010, se pudo establecer que entre las personas calificadas y con la experiencia para aportar sus juicios en la valoración de inversiones en materia de transporte de gas natural, no sólo se encuentran personas jurídicas sino personas naturales que cuentan con experiencia en el diseño y estructuración de proyectos de transporte de gas natural </w:t>
      </w:r>
      <w:r w:rsidR="00E26490" w:rsidRPr="00EE70F3">
        <w:rPr>
          <w:rFonts w:ascii="Bookman Old Style" w:hAnsi="Bookman Old Style" w:cs="Arial"/>
        </w:rPr>
        <w:t xml:space="preserve">y/o en la ejecución de proyectos de transporte de gas natural </w:t>
      </w:r>
      <w:r w:rsidRPr="00EE70F3">
        <w:rPr>
          <w:rFonts w:ascii="Bookman Old Style" w:hAnsi="Bookman Old Style" w:cs="Arial"/>
        </w:rPr>
        <w:t xml:space="preserve">y/o en la auditoría técnica de </w:t>
      </w:r>
      <w:r w:rsidR="00E26490" w:rsidRPr="00EE70F3">
        <w:rPr>
          <w:rFonts w:ascii="Bookman Old Style" w:hAnsi="Bookman Old Style" w:cs="Arial"/>
        </w:rPr>
        <w:t>proyectos de transporte de gas natural</w:t>
      </w:r>
      <w:r w:rsidRPr="00EE70F3">
        <w:rPr>
          <w:rFonts w:ascii="Bookman Old Style" w:hAnsi="Bookman Old Style" w:cs="Arial"/>
        </w:rPr>
        <w:t>.</w:t>
      </w:r>
    </w:p>
    <w:p w:rsidR="00E0402C" w:rsidRPr="00EE70F3" w:rsidRDefault="00E0402C" w:rsidP="00EE70F3">
      <w:pPr>
        <w:ind w:left="0"/>
        <w:jc w:val="both"/>
        <w:rPr>
          <w:rFonts w:ascii="Bookman Old Style" w:hAnsi="Bookman Old Style" w:cs="Arial"/>
        </w:rPr>
      </w:pPr>
    </w:p>
    <w:p w:rsidR="00E0402C" w:rsidRPr="00EE70F3" w:rsidRDefault="00E0402C" w:rsidP="00EE70F3">
      <w:pPr>
        <w:ind w:left="0"/>
        <w:jc w:val="both"/>
        <w:rPr>
          <w:rFonts w:ascii="Bookman Old Style" w:hAnsi="Bookman Old Style" w:cs="Arial"/>
        </w:rPr>
      </w:pPr>
      <w:r w:rsidRPr="00EE70F3">
        <w:rPr>
          <w:rFonts w:ascii="Bookman Old Style" w:hAnsi="Bookman Old Style" w:cs="Arial"/>
        </w:rPr>
        <w:t>La selección aleatoria del perito se considera inconveniente ya que no habría límite para el valor de la oferta económica que presente el perito seleccionado, lo cual podría dificultar el desarrollo de la actuación administrativa. Dado que el listado que se conforme debe estar integrado por personas con las calificaciones requeridas para absolver el encargo que realice la Comisión, se considera conveniente adoptar un criterio objetivo de selección. Por lo tanto, es necesario modificar el artículo 14 de la Resolución CREG 126 de 2010 de tal forma que la selección se haga con base en el valor de las propuestas económicas que presenten los peritos de la lista.</w:t>
      </w:r>
    </w:p>
    <w:p w:rsidR="00E0402C" w:rsidRPr="00EE70F3" w:rsidRDefault="00E0402C" w:rsidP="00EE70F3">
      <w:pPr>
        <w:ind w:left="0"/>
        <w:jc w:val="both"/>
        <w:rPr>
          <w:rFonts w:ascii="Bookman Old Style" w:hAnsi="Bookman Old Style" w:cs="Arial"/>
        </w:rPr>
      </w:pPr>
    </w:p>
    <w:p w:rsidR="00E0402C" w:rsidRPr="00EE70F3" w:rsidRDefault="007971FC" w:rsidP="00EE70F3">
      <w:pPr>
        <w:ind w:left="0"/>
        <w:jc w:val="both"/>
        <w:rPr>
          <w:rFonts w:ascii="Bookman Old Style" w:hAnsi="Bookman Old Style" w:cs="Arial"/>
        </w:rPr>
      </w:pPr>
      <w:r w:rsidRPr="00EE70F3">
        <w:rPr>
          <w:rFonts w:ascii="Bookman Old Style" w:hAnsi="Bookman Old Style" w:cs="Arial"/>
        </w:rPr>
        <w:t>Igualmente, se considera necesario incluir un parágrafo en el artículo 20 de la Resolución CREG 126 de 2010 de tal forma que se precise la aplicación de cargos estampilla en aquellos sistemas de transporte donde haya este tipo de cargo y exista una situación en la que haya más de un contrato de transporte para transportar cierta cantidad de gas desde el punto de entrada o inyección de gas hasta el punto de salida. Lo anterior sin generar un tratamiento desfavorable o perjudicial para el transportador.</w:t>
      </w:r>
    </w:p>
    <w:p w:rsidR="007971FC" w:rsidRPr="00EE70F3" w:rsidRDefault="007971FC" w:rsidP="00EE70F3">
      <w:pPr>
        <w:ind w:left="0"/>
        <w:jc w:val="both"/>
        <w:rPr>
          <w:rFonts w:ascii="Bookman Old Style" w:hAnsi="Bookman Old Style" w:cs="Arial"/>
        </w:rPr>
      </w:pPr>
    </w:p>
    <w:p w:rsidR="008C6C8F" w:rsidRPr="00EE70F3" w:rsidRDefault="00E0402C" w:rsidP="00EE70F3">
      <w:pPr>
        <w:ind w:left="0"/>
        <w:jc w:val="both"/>
        <w:rPr>
          <w:rFonts w:ascii="Bookman Old Style" w:hAnsi="Bookman Old Style" w:cs="Arial"/>
        </w:rPr>
      </w:pPr>
      <w:r w:rsidRPr="00EE70F3">
        <w:rPr>
          <w:rFonts w:ascii="Bookman Old Style" w:hAnsi="Bookman Old Style" w:cs="Arial"/>
        </w:rPr>
        <w:t xml:space="preserve">El artículo 45 de la Ley 1437 de 2011, Código de Procedimiento Administrativo y de lo Contencioso Administrativo, en relación con la existencia de errores formales ha dispuesto lo siguiente: </w:t>
      </w:r>
    </w:p>
    <w:p w:rsidR="008C6C8F" w:rsidRPr="00EE70F3" w:rsidRDefault="008C6C8F" w:rsidP="00EE70F3">
      <w:pPr>
        <w:ind w:left="0"/>
        <w:jc w:val="both"/>
        <w:rPr>
          <w:rFonts w:ascii="Bookman Old Style" w:hAnsi="Bookman Old Style" w:cs="Arial"/>
        </w:rPr>
      </w:pPr>
    </w:p>
    <w:p w:rsidR="00E0402C" w:rsidRPr="00EE70F3" w:rsidRDefault="00E0402C" w:rsidP="00EE70F3">
      <w:pPr>
        <w:ind w:left="284" w:right="284"/>
        <w:jc w:val="both"/>
        <w:rPr>
          <w:rFonts w:ascii="Bookman Old Style" w:hAnsi="Bookman Old Style" w:cs="Arial"/>
          <w:i/>
          <w:sz w:val="20"/>
          <w:szCs w:val="20"/>
        </w:rPr>
      </w:pPr>
      <w:r w:rsidRPr="00EE70F3">
        <w:rPr>
          <w:rFonts w:ascii="Bookman Old Style" w:hAnsi="Bookman Old Style" w:cs="Arial"/>
          <w:i/>
          <w:sz w:val="20"/>
          <w:szCs w:val="20"/>
        </w:rPr>
        <w:t>“</w:t>
      </w:r>
      <w:r w:rsidRPr="00EE70F3">
        <w:rPr>
          <w:rFonts w:ascii="Bookman Old Style" w:hAnsi="Bookman Old Style" w:cs="Arial"/>
          <w:b/>
          <w:i/>
          <w:sz w:val="20"/>
          <w:szCs w:val="20"/>
        </w:rPr>
        <w:t>Artículo 45. Corrección de errores formales.</w:t>
      </w:r>
      <w:r w:rsidRPr="00EE70F3">
        <w:rPr>
          <w:rFonts w:ascii="Bookman Old Style" w:hAnsi="Bookman Old Style" w:cs="Arial"/>
          <w:i/>
          <w:sz w:val="20"/>
          <w:szCs w:val="20"/>
        </w:rPr>
        <w:t xml:space="preserve"> En cualquier tiempo, de oficio o a petición de parte, se podrán corregir los errores simplemente formales contenidos en los actos administrativos, ya sean aritméticos, de digitación, de transcripción o de omisión de palabras. En ningún caso la corrección dará lugar a cambios en el sentido material de la decisión, ni revivirá los términos legales para demandar el acto. Realizada la corrección, esta deberá ser notificada o comunicada a todos los interesados, según corresponda”</w:t>
      </w:r>
      <w:r w:rsidR="00435907" w:rsidRPr="00EE70F3">
        <w:rPr>
          <w:rFonts w:ascii="Bookman Old Style" w:hAnsi="Bookman Old Style" w:cs="Arial"/>
          <w:i/>
          <w:sz w:val="20"/>
          <w:szCs w:val="20"/>
        </w:rPr>
        <w:t>.</w:t>
      </w:r>
    </w:p>
    <w:p w:rsidR="00E0402C" w:rsidRPr="00EE70F3" w:rsidRDefault="00E0402C" w:rsidP="00EE70F3">
      <w:pPr>
        <w:ind w:left="0"/>
        <w:jc w:val="both"/>
        <w:rPr>
          <w:rFonts w:ascii="Bookman Old Style" w:hAnsi="Bookman Old Style" w:cs="Arial"/>
          <w:i/>
        </w:rPr>
      </w:pPr>
    </w:p>
    <w:p w:rsidR="00E0402C" w:rsidRPr="00EE70F3" w:rsidRDefault="00E0402C" w:rsidP="00EE70F3">
      <w:pPr>
        <w:ind w:left="0"/>
        <w:jc w:val="both"/>
        <w:rPr>
          <w:rFonts w:ascii="Bookman Old Style" w:hAnsi="Bookman Old Style" w:cs="Arial"/>
        </w:rPr>
      </w:pPr>
      <w:r w:rsidRPr="00EE70F3">
        <w:rPr>
          <w:rFonts w:ascii="Bookman Old Style" w:hAnsi="Bookman Old Style" w:cs="Arial"/>
        </w:rPr>
        <w:lastRenderedPageBreak/>
        <w:t>En concordancia con lo anterior, la jurisprudencia constitucional y administrativa en relación con la facultad con la que cuenta la administración de corregir errores aritméticos y materiales dentro de los actos administrativos, ha considerado que ésta es viable siempre que no se altere el alcance y el sentido del acto; es decir, no implican su extensión ni modificación esencial.</w:t>
      </w:r>
    </w:p>
    <w:p w:rsidR="00E0402C" w:rsidRPr="00EE70F3" w:rsidRDefault="00E0402C" w:rsidP="00EE70F3">
      <w:pPr>
        <w:ind w:left="0"/>
        <w:jc w:val="both"/>
        <w:rPr>
          <w:rFonts w:ascii="Bookman Old Style" w:hAnsi="Bookman Old Style" w:cs="Arial"/>
        </w:rPr>
      </w:pPr>
    </w:p>
    <w:p w:rsidR="00E0402C" w:rsidRPr="00EE70F3" w:rsidRDefault="007971FC" w:rsidP="00EE70F3">
      <w:pPr>
        <w:ind w:left="0"/>
        <w:jc w:val="both"/>
        <w:rPr>
          <w:rFonts w:ascii="Bookman Old Style" w:hAnsi="Bookman Old Style" w:cs="Arial"/>
        </w:rPr>
      </w:pPr>
      <w:r w:rsidRPr="00EE70F3">
        <w:rPr>
          <w:rFonts w:ascii="Bookman Old Style" w:hAnsi="Bookman Old Style" w:cs="Arial"/>
        </w:rPr>
        <w:t>El artículo 36 de la Resolución CREG 126 de 2010</w:t>
      </w:r>
      <w:r w:rsidR="00435907" w:rsidRPr="00EE70F3">
        <w:rPr>
          <w:rFonts w:ascii="Bookman Old Style" w:hAnsi="Bookman Old Style" w:cs="Arial"/>
        </w:rPr>
        <w:t>,</w:t>
      </w:r>
      <w:r w:rsidRPr="00EE70F3">
        <w:rPr>
          <w:rFonts w:ascii="Bookman Old Style" w:hAnsi="Bookman Old Style" w:cs="Arial"/>
        </w:rPr>
        <w:t xml:space="preserve"> relativo a la propiedad de los activos de transporte, exceptúa su aplicación en varias situaciones, para lo cual en una de ellas remite al artículo 25 de </w:t>
      </w:r>
      <w:r w:rsidR="00435907" w:rsidRPr="00EE70F3">
        <w:rPr>
          <w:rFonts w:ascii="Bookman Old Style" w:hAnsi="Bookman Old Style" w:cs="Arial"/>
        </w:rPr>
        <w:t>e</w:t>
      </w:r>
      <w:r w:rsidRPr="00EE70F3">
        <w:rPr>
          <w:rFonts w:ascii="Bookman Old Style" w:hAnsi="Bookman Old Style" w:cs="Arial"/>
        </w:rPr>
        <w:t>ste acto administrativo que se refiere al procedimiento y requisitos para aquellos gasoductos ramales tipo II que entren en operación; sin embargo, la referencia correcta de la excepción del artículo 36 corresponde al artículo 26 de la Resolución CREG 126 de 2010, relativo a los gasoductos para atender a usuarios no regulados.</w:t>
      </w:r>
    </w:p>
    <w:p w:rsidR="007971FC" w:rsidRPr="00EE70F3" w:rsidRDefault="007971FC" w:rsidP="00EE70F3">
      <w:pPr>
        <w:ind w:left="0"/>
        <w:jc w:val="both"/>
        <w:rPr>
          <w:rFonts w:ascii="Bookman Old Style" w:hAnsi="Bookman Old Style" w:cs="Arial"/>
        </w:rPr>
      </w:pPr>
    </w:p>
    <w:p w:rsidR="00E0402C" w:rsidRPr="00EE70F3" w:rsidRDefault="00E0402C" w:rsidP="00EE70F3">
      <w:pPr>
        <w:ind w:left="0"/>
        <w:jc w:val="both"/>
        <w:rPr>
          <w:rFonts w:ascii="Bookman Old Style" w:hAnsi="Bookman Old Style" w:cs="Arial"/>
        </w:rPr>
      </w:pPr>
      <w:r w:rsidRPr="00EE70F3">
        <w:rPr>
          <w:rFonts w:ascii="Bookman Old Style" w:hAnsi="Bookman Old Style" w:cs="Arial"/>
        </w:rPr>
        <w:t>Mediante la Resolución CREG 007 de 2013 se hizo público un proyecto de resolución de carácter general a fin de que agentes y demás interesados presentaran sus comentarios a la propuesta m</w:t>
      </w:r>
      <w:r w:rsidR="008C6C8F" w:rsidRPr="00EE70F3">
        <w:rPr>
          <w:rFonts w:ascii="Bookman Old Style" w:hAnsi="Bookman Old Style" w:cs="Arial"/>
        </w:rPr>
        <w:t>odificatoria y correctiva de la Resolución CREG 126 de 2010, en relación con los aspectos anteriormente mencionados.</w:t>
      </w:r>
    </w:p>
    <w:p w:rsidR="00E0402C" w:rsidRPr="00EE70F3" w:rsidRDefault="00E0402C" w:rsidP="00EE70F3">
      <w:pPr>
        <w:ind w:left="0"/>
        <w:jc w:val="both"/>
        <w:rPr>
          <w:rFonts w:ascii="Bookman Old Style" w:hAnsi="Bookman Old Style" w:cs="Arial"/>
        </w:rPr>
      </w:pPr>
    </w:p>
    <w:p w:rsidR="008C6C8F" w:rsidRPr="00EE70F3" w:rsidRDefault="009C7C0A" w:rsidP="00EE70F3">
      <w:pPr>
        <w:ind w:left="0"/>
        <w:jc w:val="both"/>
        <w:rPr>
          <w:rFonts w:ascii="Bookman Old Style" w:hAnsi="Bookman Old Style" w:cs="Arial"/>
        </w:rPr>
      </w:pPr>
      <w:r w:rsidRPr="00EE70F3">
        <w:rPr>
          <w:rFonts w:ascii="Bookman Old Style" w:hAnsi="Bookman Old Style" w:cs="Arial"/>
        </w:rPr>
        <w:t>A través de las</w:t>
      </w:r>
      <w:r w:rsidR="008C6C8F" w:rsidRPr="00EE70F3">
        <w:rPr>
          <w:rFonts w:ascii="Bookman Old Style" w:hAnsi="Bookman Old Style" w:cs="Arial"/>
        </w:rPr>
        <w:t xml:space="preserve"> comunicaciones con radicados CREG</w:t>
      </w:r>
      <w:r w:rsidR="00F66EFB" w:rsidRPr="00EE70F3">
        <w:rPr>
          <w:rFonts w:ascii="Bookman Old Style" w:hAnsi="Bookman Old Style" w:cs="Arial"/>
        </w:rPr>
        <w:t xml:space="preserve"> E-2013</w:t>
      </w:r>
      <w:r w:rsidR="008C6C8F" w:rsidRPr="00EE70F3">
        <w:rPr>
          <w:rFonts w:ascii="Bookman Old Style" w:hAnsi="Bookman Old Style" w:cs="Arial"/>
        </w:rPr>
        <w:t>-</w:t>
      </w:r>
      <w:r w:rsidR="006F509C" w:rsidRPr="00EE70F3">
        <w:rPr>
          <w:rFonts w:ascii="Bookman Old Style" w:hAnsi="Bookman Old Style" w:cs="Arial"/>
        </w:rPr>
        <w:t>002303, E-2013</w:t>
      </w:r>
      <w:r w:rsidR="008C6C8F" w:rsidRPr="00EE70F3">
        <w:rPr>
          <w:rFonts w:ascii="Bookman Old Style" w:hAnsi="Bookman Old Style" w:cs="Arial"/>
        </w:rPr>
        <w:t>-</w:t>
      </w:r>
      <w:r w:rsidR="006F509C" w:rsidRPr="00EE70F3">
        <w:rPr>
          <w:rFonts w:ascii="Bookman Old Style" w:hAnsi="Bookman Old Style" w:cs="Arial"/>
        </w:rPr>
        <w:t>002306 y E-2013</w:t>
      </w:r>
      <w:r w:rsidR="008C6C8F" w:rsidRPr="00EE70F3">
        <w:rPr>
          <w:rFonts w:ascii="Bookman Old Style" w:hAnsi="Bookman Old Style" w:cs="Arial"/>
        </w:rPr>
        <w:t>-</w:t>
      </w:r>
      <w:r w:rsidR="006F509C" w:rsidRPr="00EE70F3">
        <w:rPr>
          <w:rFonts w:ascii="Bookman Old Style" w:hAnsi="Bookman Old Style" w:cs="Arial"/>
        </w:rPr>
        <w:t>002305</w:t>
      </w:r>
      <w:r w:rsidR="008C6C8F" w:rsidRPr="00EE70F3">
        <w:rPr>
          <w:rFonts w:ascii="Bookman Old Style" w:hAnsi="Bookman Old Style" w:cs="Arial"/>
        </w:rPr>
        <w:t xml:space="preserve"> se recibieron comentarios de las empresas Transportadora de Gas Internacional S.A. E.S.P., </w:t>
      </w:r>
      <w:r w:rsidR="00F66EFB" w:rsidRPr="00EE70F3">
        <w:rPr>
          <w:rFonts w:ascii="Bookman Old Style" w:hAnsi="Bookman Old Style" w:cs="Arial"/>
        </w:rPr>
        <w:t xml:space="preserve">Promigas S.A. E.S.P. y Gas Natural S.A. E.S.P. </w:t>
      </w:r>
      <w:r w:rsidR="008C6C8F" w:rsidRPr="00EE70F3">
        <w:rPr>
          <w:rFonts w:ascii="Bookman Old Style" w:hAnsi="Bookman Old Style" w:cs="Arial"/>
        </w:rPr>
        <w:t>respectivamente. Estos comentarios fueron analizados y considerados para la elabor</w:t>
      </w:r>
      <w:r w:rsidR="00F66EFB" w:rsidRPr="00EE70F3">
        <w:rPr>
          <w:rFonts w:ascii="Bookman Old Style" w:hAnsi="Bookman Old Style" w:cs="Arial"/>
        </w:rPr>
        <w:t xml:space="preserve">ación de la presente resolución y se encuentran contenidos en el Documento CREG </w:t>
      </w:r>
      <w:r w:rsidR="00F36895">
        <w:rPr>
          <w:rFonts w:ascii="Bookman Old Style" w:hAnsi="Bookman Old Style" w:cs="Arial"/>
        </w:rPr>
        <w:t>045</w:t>
      </w:r>
      <w:r w:rsidR="00F66EFB" w:rsidRPr="00610E3A">
        <w:rPr>
          <w:rFonts w:ascii="Bookman Old Style" w:hAnsi="Bookman Old Style" w:cs="Arial"/>
        </w:rPr>
        <w:t xml:space="preserve"> de 2013.</w:t>
      </w:r>
    </w:p>
    <w:p w:rsidR="00E0402C" w:rsidRPr="00EE70F3" w:rsidRDefault="00E0402C" w:rsidP="00EE70F3">
      <w:pPr>
        <w:ind w:left="0"/>
        <w:jc w:val="both"/>
        <w:rPr>
          <w:rFonts w:ascii="Bookman Old Style" w:hAnsi="Bookman Old Style" w:cs="Arial"/>
        </w:rPr>
      </w:pPr>
    </w:p>
    <w:p w:rsidR="00E0402C" w:rsidRPr="00EE70F3" w:rsidRDefault="00E0402C" w:rsidP="00EE70F3">
      <w:pPr>
        <w:ind w:left="0"/>
        <w:jc w:val="both"/>
        <w:rPr>
          <w:rFonts w:ascii="Bookman Old Style" w:hAnsi="Bookman Old Style" w:cs="Arial"/>
        </w:rPr>
      </w:pPr>
      <w:r w:rsidRPr="00EE70F3">
        <w:rPr>
          <w:rFonts w:ascii="Bookman Old Style" w:hAnsi="Bookman Old Style" w:cs="Arial"/>
        </w:rPr>
        <w:t>En cumplimiento de lo previsto en el Decreto 2897 de 2010</w:t>
      </w:r>
      <w:r w:rsidR="00435907" w:rsidRPr="00EE70F3">
        <w:rPr>
          <w:rFonts w:ascii="Bookman Old Style" w:hAnsi="Bookman Old Style" w:cs="Arial"/>
        </w:rPr>
        <w:t>,</w:t>
      </w:r>
      <w:r w:rsidRPr="00EE70F3">
        <w:rPr>
          <w:rFonts w:ascii="Bookman Old Style" w:hAnsi="Bookman Old Style" w:cs="Arial"/>
        </w:rPr>
        <w:t xml:space="preserve"> reglamentario de la Ley 1340 de 2009, aplicando las reglas allí previstas, se respondió </w:t>
      </w:r>
      <w:r w:rsidR="00435907" w:rsidRPr="00EE70F3">
        <w:rPr>
          <w:rFonts w:ascii="Bookman Old Style" w:hAnsi="Bookman Old Style" w:cs="Arial"/>
        </w:rPr>
        <w:t xml:space="preserve">el </w:t>
      </w:r>
      <w:r w:rsidRPr="00EE70F3">
        <w:rPr>
          <w:rFonts w:ascii="Bookman Old Style" w:hAnsi="Bookman Old Style" w:cs="Arial"/>
        </w:rPr>
        <w:t xml:space="preserve">cuestionario establecido por la Superintendencia de Industria y Comercio para efectos de evaluar la incidencia sobre la libre competencia de los mercados, donde la respuesta al conjunto de preguntas fue negativa, en la medida </w:t>
      </w:r>
      <w:r w:rsidR="00435907" w:rsidRPr="00EE70F3">
        <w:rPr>
          <w:rFonts w:ascii="Bookman Old Style" w:hAnsi="Bookman Old Style" w:cs="Arial"/>
        </w:rPr>
        <w:t xml:space="preserve">en </w:t>
      </w:r>
      <w:r w:rsidRPr="00EE70F3">
        <w:rPr>
          <w:rFonts w:ascii="Bookman Old Style" w:hAnsi="Bookman Old Style" w:cs="Arial"/>
        </w:rPr>
        <w:t>que no plantea ninguna restricción indebida a la libre competencia.</w:t>
      </w:r>
    </w:p>
    <w:p w:rsidR="00E0402C" w:rsidRPr="00EE70F3" w:rsidRDefault="00E0402C" w:rsidP="00EE70F3">
      <w:pPr>
        <w:ind w:left="0"/>
        <w:jc w:val="both"/>
        <w:rPr>
          <w:rFonts w:ascii="Bookman Old Style" w:hAnsi="Bookman Old Style" w:cs="Arial"/>
        </w:rPr>
      </w:pPr>
    </w:p>
    <w:p w:rsidR="00E0402C" w:rsidRPr="00EE70F3" w:rsidRDefault="00E0402C" w:rsidP="00EE70F3">
      <w:pPr>
        <w:ind w:left="0"/>
        <w:jc w:val="both"/>
        <w:rPr>
          <w:rFonts w:ascii="Bookman Old Style" w:hAnsi="Bookman Old Style" w:cs="Arial"/>
        </w:rPr>
      </w:pPr>
      <w:r w:rsidRPr="00EE70F3">
        <w:rPr>
          <w:rFonts w:ascii="Bookman Old Style" w:hAnsi="Bookman Old Style" w:cs="Arial"/>
        </w:rPr>
        <w:t xml:space="preserve">La Comisión de Regulación de Energía y Gas, en la Sesión No. </w:t>
      </w:r>
      <w:r w:rsidR="00F36895">
        <w:rPr>
          <w:rFonts w:ascii="Bookman Old Style" w:hAnsi="Bookman Old Style" w:cs="Arial"/>
        </w:rPr>
        <w:t>564</w:t>
      </w:r>
      <w:r w:rsidRPr="00EE70F3">
        <w:rPr>
          <w:rFonts w:ascii="Bookman Old Style" w:hAnsi="Bookman Old Style" w:cs="Arial"/>
        </w:rPr>
        <w:t xml:space="preserve"> del </w:t>
      </w:r>
      <w:r w:rsidR="00F36895">
        <w:rPr>
          <w:rFonts w:ascii="Bookman Old Style" w:hAnsi="Bookman Old Style" w:cs="Arial"/>
        </w:rPr>
        <w:t>5</w:t>
      </w:r>
      <w:r w:rsidRPr="00EE70F3">
        <w:rPr>
          <w:rFonts w:ascii="Bookman Old Style" w:hAnsi="Bookman Old Style" w:cs="Arial"/>
        </w:rPr>
        <w:t xml:space="preserve"> de </w:t>
      </w:r>
      <w:r w:rsidR="00435907" w:rsidRPr="00EE70F3">
        <w:rPr>
          <w:rFonts w:ascii="Bookman Old Style" w:hAnsi="Bookman Old Style" w:cs="Arial"/>
        </w:rPr>
        <w:t xml:space="preserve">julio </w:t>
      </w:r>
      <w:r w:rsidRPr="00EE70F3">
        <w:rPr>
          <w:rFonts w:ascii="Bookman Old Style" w:hAnsi="Bookman Old Style" w:cs="Arial"/>
        </w:rPr>
        <w:t>de 2013, acordó adoptar las siguientes disposiciones.</w:t>
      </w:r>
    </w:p>
    <w:p w:rsidR="00F66EFB" w:rsidRPr="00EE70F3" w:rsidRDefault="00F66EFB" w:rsidP="00EE70F3">
      <w:pPr>
        <w:ind w:left="0"/>
        <w:jc w:val="both"/>
        <w:rPr>
          <w:rFonts w:ascii="Bookman Old Style" w:hAnsi="Bookman Old Style" w:cs="Arial"/>
        </w:rPr>
      </w:pPr>
    </w:p>
    <w:p w:rsidR="00435907" w:rsidRPr="00EE70F3" w:rsidRDefault="00435907" w:rsidP="00EE70F3">
      <w:pPr>
        <w:ind w:left="0"/>
        <w:jc w:val="both"/>
        <w:rPr>
          <w:rFonts w:ascii="Bookman Old Style" w:hAnsi="Bookman Old Style" w:cs="Arial"/>
        </w:rPr>
      </w:pPr>
    </w:p>
    <w:p w:rsidR="00435907" w:rsidRPr="00EE70F3" w:rsidRDefault="00435907" w:rsidP="00EE70F3">
      <w:pPr>
        <w:ind w:left="0"/>
        <w:jc w:val="center"/>
        <w:rPr>
          <w:rFonts w:ascii="Bookman Old Style" w:hAnsi="Bookman Old Style" w:cs="Arial"/>
          <w:b/>
          <w:bCs/>
          <w:color w:val="000000" w:themeColor="text1"/>
          <w:lang w:val="pt-BR"/>
        </w:rPr>
      </w:pPr>
      <w:r w:rsidRPr="00EE70F3">
        <w:rPr>
          <w:rFonts w:ascii="Bookman Old Style" w:hAnsi="Bookman Old Style" w:cs="Arial"/>
          <w:b/>
          <w:bCs/>
          <w:color w:val="000000" w:themeColor="text1"/>
          <w:lang w:val="pt-BR"/>
        </w:rPr>
        <w:t>R E S U E L V E:</w:t>
      </w:r>
    </w:p>
    <w:p w:rsidR="00E0402C" w:rsidRPr="00EE70F3" w:rsidRDefault="00E0402C" w:rsidP="00EE70F3">
      <w:pPr>
        <w:ind w:left="0"/>
        <w:jc w:val="both"/>
        <w:rPr>
          <w:rFonts w:ascii="Bookman Old Style" w:hAnsi="Bookman Old Style" w:cs="Arial"/>
        </w:rPr>
      </w:pPr>
    </w:p>
    <w:p w:rsidR="00E0402C" w:rsidRPr="00EE70F3" w:rsidRDefault="00E0402C" w:rsidP="00EE70F3">
      <w:pPr>
        <w:ind w:left="0"/>
        <w:jc w:val="both"/>
        <w:rPr>
          <w:rFonts w:ascii="Bookman Old Style" w:hAnsi="Bookman Old Style" w:cs="Arial"/>
        </w:rPr>
      </w:pPr>
    </w:p>
    <w:p w:rsidR="00E0402C" w:rsidRPr="00EE70F3" w:rsidRDefault="00E0402C" w:rsidP="00EE70F3">
      <w:pPr>
        <w:ind w:left="0"/>
        <w:jc w:val="both"/>
        <w:rPr>
          <w:rFonts w:ascii="Bookman Old Style" w:hAnsi="Bookman Old Style" w:cs="Arial"/>
        </w:rPr>
      </w:pPr>
      <w:r w:rsidRPr="00EE70F3">
        <w:rPr>
          <w:rFonts w:ascii="Bookman Old Style" w:hAnsi="Bookman Old Style" w:cs="Arial"/>
          <w:b/>
        </w:rPr>
        <w:t>Artículo 1. Objeto.</w:t>
      </w:r>
      <w:r w:rsidRPr="00EE70F3">
        <w:rPr>
          <w:rFonts w:ascii="Bookman Old Style" w:hAnsi="Bookman Old Style" w:cs="Arial"/>
        </w:rPr>
        <w:t xml:space="preserve"> La presente resolución tiene por objeto modificar y corregir la Resolución CREG 126 de 2010.</w:t>
      </w:r>
    </w:p>
    <w:p w:rsidR="00E0402C" w:rsidRPr="00EE70F3" w:rsidRDefault="00E0402C" w:rsidP="00EE70F3">
      <w:pPr>
        <w:ind w:left="0"/>
        <w:jc w:val="both"/>
        <w:rPr>
          <w:rFonts w:ascii="Bookman Old Style" w:hAnsi="Bookman Old Style" w:cs="Arial"/>
        </w:rPr>
      </w:pPr>
    </w:p>
    <w:p w:rsidR="00E0402C" w:rsidRPr="00EE70F3" w:rsidRDefault="00E0402C" w:rsidP="00EE70F3">
      <w:pPr>
        <w:ind w:left="0"/>
        <w:jc w:val="both"/>
        <w:rPr>
          <w:rFonts w:ascii="Bookman Old Style" w:hAnsi="Bookman Old Style" w:cs="Arial"/>
        </w:rPr>
      </w:pPr>
      <w:r w:rsidRPr="00EE70F3">
        <w:rPr>
          <w:rFonts w:ascii="Bookman Old Style" w:hAnsi="Bookman Old Style" w:cs="Arial"/>
          <w:b/>
        </w:rPr>
        <w:t>Artículo 2. Modificación del numeral 1 del literal b) del artículo 14 de la Resolución CREG 126 de 2010.</w:t>
      </w:r>
      <w:r w:rsidRPr="00EE70F3">
        <w:rPr>
          <w:rFonts w:ascii="Bookman Old Style" w:hAnsi="Bookman Old Style" w:cs="Arial"/>
        </w:rPr>
        <w:t xml:space="preserve"> El numeral 1 del literal b) del artículo 14 de la Resolución CREG 126 de 2010 quedará así:</w:t>
      </w:r>
    </w:p>
    <w:p w:rsidR="006F509C" w:rsidRPr="00EE70F3" w:rsidRDefault="006F509C" w:rsidP="00EE70F3">
      <w:pPr>
        <w:ind w:left="0"/>
        <w:jc w:val="both"/>
        <w:rPr>
          <w:rFonts w:ascii="Bookman Old Style" w:hAnsi="Bookman Old Style" w:cs="Arial"/>
          <w:sz w:val="20"/>
          <w:szCs w:val="20"/>
        </w:rPr>
      </w:pPr>
    </w:p>
    <w:p w:rsidR="00E0402C" w:rsidRPr="00EE70F3" w:rsidRDefault="00E0402C" w:rsidP="00EE70F3">
      <w:pPr>
        <w:ind w:left="284" w:right="284"/>
        <w:jc w:val="both"/>
        <w:rPr>
          <w:rFonts w:ascii="Bookman Old Style" w:hAnsi="Bookman Old Style" w:cs="Arial"/>
          <w:i/>
          <w:sz w:val="20"/>
          <w:szCs w:val="20"/>
        </w:rPr>
      </w:pPr>
      <w:r w:rsidRPr="00EE70F3">
        <w:rPr>
          <w:rFonts w:ascii="Bookman Old Style" w:hAnsi="Bookman Old Style" w:cs="Arial"/>
          <w:i/>
          <w:sz w:val="20"/>
          <w:szCs w:val="20"/>
        </w:rPr>
        <w:t>“1. La Comisión designará un perito para la estimación del costo de reposición a nuevo del activo.</w:t>
      </w:r>
    </w:p>
    <w:p w:rsidR="00E0402C" w:rsidRPr="00EE70F3" w:rsidRDefault="00E0402C" w:rsidP="00EE70F3">
      <w:pPr>
        <w:ind w:left="284" w:right="284"/>
        <w:jc w:val="both"/>
        <w:rPr>
          <w:rFonts w:ascii="Bookman Old Style" w:hAnsi="Bookman Old Style" w:cs="Arial"/>
          <w:i/>
          <w:sz w:val="20"/>
          <w:szCs w:val="20"/>
        </w:rPr>
      </w:pPr>
    </w:p>
    <w:p w:rsidR="00E0402C" w:rsidRPr="00EE70F3" w:rsidRDefault="00E0402C" w:rsidP="00EE70F3">
      <w:pPr>
        <w:ind w:left="284" w:right="284"/>
        <w:jc w:val="both"/>
        <w:rPr>
          <w:rFonts w:ascii="Bookman Old Style" w:hAnsi="Bookman Old Style" w:cs="Arial"/>
          <w:i/>
          <w:sz w:val="20"/>
          <w:szCs w:val="20"/>
        </w:rPr>
      </w:pPr>
      <w:r w:rsidRPr="00EE70F3">
        <w:rPr>
          <w:rFonts w:ascii="Bookman Old Style" w:hAnsi="Bookman Old Style" w:cs="Arial"/>
          <w:i/>
          <w:sz w:val="20"/>
          <w:szCs w:val="20"/>
        </w:rPr>
        <w:lastRenderedPageBreak/>
        <w:t xml:space="preserve">Para la contratación del perito, la Comisión seleccionará a uno de una lista conformada previamente por la misma entidad, la cual será de público conocimiento, atendiendo a un criterio de menor costo, de acuerdo con las propuestas económicas que se presenten. Los peritos que conformarán la lista deberán ser personas naturales y/o jurídicas con </w:t>
      </w:r>
      <w:r w:rsidR="003B0FF0" w:rsidRPr="00EE70F3">
        <w:rPr>
          <w:rFonts w:ascii="Bookman Old Style" w:hAnsi="Bookman Old Style" w:cs="Arial"/>
          <w:i/>
          <w:sz w:val="20"/>
          <w:szCs w:val="20"/>
        </w:rPr>
        <w:t xml:space="preserve">más de diez (10) años de </w:t>
      </w:r>
      <w:r w:rsidR="00844F6E" w:rsidRPr="00EE70F3">
        <w:rPr>
          <w:rFonts w:ascii="Bookman Old Style" w:hAnsi="Bookman Old Style" w:cs="Arial"/>
          <w:i/>
          <w:sz w:val="20"/>
          <w:szCs w:val="20"/>
        </w:rPr>
        <w:t xml:space="preserve">experiencia </w:t>
      </w:r>
      <w:r w:rsidR="00E26490" w:rsidRPr="00EE70F3">
        <w:rPr>
          <w:rFonts w:ascii="Bookman Old Style" w:hAnsi="Bookman Old Style" w:cs="Arial"/>
          <w:i/>
          <w:sz w:val="20"/>
          <w:szCs w:val="20"/>
        </w:rPr>
        <w:t xml:space="preserve">total </w:t>
      </w:r>
      <w:r w:rsidR="00844F6E" w:rsidRPr="00EE70F3">
        <w:rPr>
          <w:rFonts w:ascii="Bookman Old Style" w:hAnsi="Bookman Old Style" w:cs="Arial"/>
          <w:i/>
          <w:sz w:val="20"/>
          <w:szCs w:val="20"/>
        </w:rPr>
        <w:t>en el diseño</w:t>
      </w:r>
      <w:r w:rsidR="003B0FF0" w:rsidRPr="00EE70F3">
        <w:rPr>
          <w:rFonts w:ascii="Bookman Old Style" w:hAnsi="Bookman Old Style" w:cs="Arial"/>
          <w:i/>
          <w:sz w:val="20"/>
          <w:szCs w:val="20"/>
        </w:rPr>
        <w:t xml:space="preserve"> y</w:t>
      </w:r>
      <w:r w:rsidRPr="00EE70F3">
        <w:rPr>
          <w:rFonts w:ascii="Bookman Old Style" w:hAnsi="Bookman Old Style" w:cs="Arial"/>
          <w:i/>
          <w:sz w:val="20"/>
          <w:szCs w:val="20"/>
        </w:rPr>
        <w:t xml:space="preserve"> estructuración </w:t>
      </w:r>
      <w:r w:rsidR="00251AEE" w:rsidRPr="00EE70F3">
        <w:rPr>
          <w:rFonts w:ascii="Bookman Old Style" w:hAnsi="Bookman Old Style" w:cs="Arial"/>
          <w:i/>
          <w:sz w:val="20"/>
          <w:szCs w:val="20"/>
        </w:rPr>
        <w:t xml:space="preserve">y/o en la ejecución y/o en la auditoría técnica </w:t>
      </w:r>
      <w:r w:rsidRPr="00EE70F3">
        <w:rPr>
          <w:rFonts w:ascii="Bookman Old Style" w:hAnsi="Bookman Old Style" w:cs="Arial"/>
          <w:i/>
          <w:sz w:val="20"/>
          <w:szCs w:val="20"/>
        </w:rPr>
        <w:t>de proyectos de transporte de gas natural.</w:t>
      </w:r>
      <w:r w:rsidR="00251AEE" w:rsidRPr="00EE70F3">
        <w:rPr>
          <w:rFonts w:ascii="Bookman Old Style" w:hAnsi="Bookman Old Style" w:cs="Arial"/>
          <w:i/>
          <w:sz w:val="20"/>
          <w:szCs w:val="20"/>
        </w:rPr>
        <w:t xml:space="preserve"> Esta experiencia deberá corresponder a proyectos de transporte de gas natural desarrollados en al menos tres (3) países.</w:t>
      </w:r>
    </w:p>
    <w:p w:rsidR="00E0402C" w:rsidRPr="00EE70F3" w:rsidRDefault="007971FC" w:rsidP="00EE70F3">
      <w:pPr>
        <w:tabs>
          <w:tab w:val="left" w:pos="2930"/>
        </w:tabs>
        <w:ind w:left="284" w:right="284"/>
        <w:jc w:val="both"/>
        <w:rPr>
          <w:rFonts w:ascii="Bookman Old Style" w:hAnsi="Bookman Old Style" w:cs="Arial"/>
          <w:i/>
        </w:rPr>
      </w:pPr>
      <w:r w:rsidRPr="00EE70F3">
        <w:rPr>
          <w:rFonts w:ascii="Bookman Old Style" w:hAnsi="Bookman Old Style" w:cs="Arial"/>
          <w:i/>
          <w:sz w:val="20"/>
          <w:szCs w:val="20"/>
        </w:rPr>
        <w:tab/>
      </w:r>
    </w:p>
    <w:p w:rsidR="00E0402C" w:rsidRPr="00EE70F3" w:rsidRDefault="00E0402C" w:rsidP="00EE70F3">
      <w:pPr>
        <w:ind w:left="284" w:right="284"/>
        <w:jc w:val="both"/>
        <w:rPr>
          <w:rFonts w:ascii="Bookman Old Style" w:hAnsi="Bookman Old Style" w:cs="Arial"/>
          <w:i/>
          <w:sz w:val="20"/>
          <w:szCs w:val="20"/>
        </w:rPr>
      </w:pPr>
      <w:r w:rsidRPr="00EE70F3">
        <w:rPr>
          <w:rFonts w:ascii="Bookman Old Style" w:hAnsi="Bookman Old Style" w:cs="Arial"/>
          <w:i/>
          <w:sz w:val="20"/>
          <w:szCs w:val="20"/>
        </w:rPr>
        <w:t>El perito realizará todas las actividades determinadas en el acto administrativo que expida la CREG”.</w:t>
      </w:r>
    </w:p>
    <w:p w:rsidR="00E0402C" w:rsidRPr="00EE70F3" w:rsidRDefault="00E0402C" w:rsidP="00EE70F3">
      <w:pPr>
        <w:ind w:left="0"/>
        <w:jc w:val="both"/>
        <w:rPr>
          <w:rFonts w:ascii="Bookman Old Style" w:hAnsi="Bookman Old Style" w:cs="Arial"/>
        </w:rPr>
      </w:pPr>
    </w:p>
    <w:p w:rsidR="00E0402C" w:rsidRPr="00EE70F3" w:rsidRDefault="00E0402C" w:rsidP="00EE70F3">
      <w:pPr>
        <w:ind w:left="0"/>
        <w:jc w:val="both"/>
        <w:rPr>
          <w:rFonts w:ascii="Bookman Old Style" w:hAnsi="Bookman Old Style" w:cs="Arial"/>
        </w:rPr>
      </w:pPr>
      <w:r w:rsidRPr="00EE70F3">
        <w:rPr>
          <w:rFonts w:ascii="Bookman Old Style" w:hAnsi="Bookman Old Style" w:cs="Arial"/>
          <w:b/>
        </w:rPr>
        <w:t>Artículo 3. Aplicación de cargos por grupos de gasoductos.</w:t>
      </w:r>
      <w:r w:rsidRPr="00EE70F3">
        <w:rPr>
          <w:rFonts w:ascii="Bookman Old Style" w:hAnsi="Bookman Old Style" w:cs="Arial"/>
        </w:rPr>
        <w:t xml:space="preserve"> Adiciónese al artículo 20 de la Resolución CREG 126 de 2010 el siguiente parágrafo:</w:t>
      </w:r>
    </w:p>
    <w:p w:rsidR="00E0402C" w:rsidRPr="00EE70F3" w:rsidRDefault="00E0402C" w:rsidP="00EE70F3">
      <w:pPr>
        <w:ind w:left="0"/>
        <w:jc w:val="both"/>
        <w:rPr>
          <w:rFonts w:ascii="Bookman Old Style" w:hAnsi="Bookman Old Style" w:cs="Arial"/>
        </w:rPr>
      </w:pPr>
    </w:p>
    <w:p w:rsidR="007971FC" w:rsidRPr="00EE70F3" w:rsidRDefault="00E0402C" w:rsidP="00EE70F3">
      <w:pPr>
        <w:ind w:left="284" w:right="284"/>
        <w:jc w:val="both"/>
        <w:rPr>
          <w:rFonts w:ascii="Bookman Old Style" w:hAnsi="Bookman Old Style" w:cs="Arial"/>
          <w:i/>
          <w:sz w:val="20"/>
          <w:szCs w:val="20"/>
        </w:rPr>
      </w:pPr>
      <w:r w:rsidRPr="00EE70F3">
        <w:rPr>
          <w:rFonts w:ascii="Bookman Old Style" w:hAnsi="Bookman Old Style" w:cs="Arial"/>
          <w:i/>
          <w:sz w:val="20"/>
          <w:szCs w:val="20"/>
        </w:rPr>
        <w:t>“</w:t>
      </w:r>
      <w:r w:rsidRPr="00EE70F3">
        <w:rPr>
          <w:rFonts w:ascii="Bookman Old Style" w:hAnsi="Bookman Old Style" w:cs="Arial"/>
          <w:b/>
          <w:i/>
          <w:sz w:val="20"/>
          <w:szCs w:val="20"/>
        </w:rPr>
        <w:t>Parágrafo 3.</w:t>
      </w:r>
      <w:r w:rsidRPr="00EE70F3">
        <w:rPr>
          <w:rFonts w:ascii="Bookman Old Style" w:hAnsi="Bookman Old Style" w:cs="Arial"/>
          <w:i/>
          <w:sz w:val="20"/>
          <w:szCs w:val="20"/>
        </w:rPr>
        <w:t xml:space="preserve"> Cuando la CREG apruebe o haya aprobado cargos que debe asumir toda la demanda del respectivo sistema de transporte, según lo establecido en el parágrafo 2 del artículo 15 de esta Resolución, y una determinada cantidad de gas natural sea transportada bajo diferentes contratos mediante los cuales se haya contratado capacidad de diferentes tramos o grupos de gasoductos, la remuneración que recibirá el transportador por concepto de estos cargos se calculará con base en los cargos pactados en cada contrato ponderados por la longitud de gasoducto involucrado en el respectivo contrato. El factor de ponderación será calculado como el cociente entre la longitud de los tramos o grupos de gasoductos utilizados bajo el respectivo contrato para transportar la cantidad de gas, y la longitud total de los tramos o grupos de gasoductos utilizados para transportar dicha cantidad desde el punto de entrada hasta el punto de salida. Los tramos o grupos de gasoductos corresponderán a aquellos definidos en las resoluciones particulares de cargos”.</w:t>
      </w:r>
    </w:p>
    <w:p w:rsidR="00E0402C" w:rsidRPr="00EE70F3" w:rsidRDefault="00E0402C" w:rsidP="00EE70F3">
      <w:pPr>
        <w:ind w:left="0"/>
        <w:jc w:val="both"/>
        <w:rPr>
          <w:rFonts w:ascii="Bookman Old Style" w:hAnsi="Bookman Old Style" w:cs="Arial"/>
        </w:rPr>
      </w:pPr>
    </w:p>
    <w:p w:rsidR="00E0402C" w:rsidRPr="00EE70F3" w:rsidRDefault="00E0402C" w:rsidP="00EE70F3">
      <w:pPr>
        <w:ind w:left="0"/>
        <w:jc w:val="both"/>
        <w:rPr>
          <w:rFonts w:ascii="Bookman Old Style" w:hAnsi="Bookman Old Style" w:cs="Arial"/>
        </w:rPr>
      </w:pPr>
      <w:r w:rsidRPr="00EE70F3">
        <w:rPr>
          <w:rFonts w:ascii="Bookman Old Style" w:hAnsi="Bookman Old Style" w:cs="Arial"/>
          <w:b/>
        </w:rPr>
        <w:t>Artículo 4. Corrección del artículo 36 de la Resolución CREG 126 de 2010.</w:t>
      </w:r>
      <w:r w:rsidRPr="00610E3A">
        <w:rPr>
          <w:rFonts w:ascii="Bookman Old Style" w:hAnsi="Bookman Old Style" w:cs="Arial"/>
        </w:rPr>
        <w:t xml:space="preserve"> Corregir el </w:t>
      </w:r>
      <w:r w:rsidR="00610E3A" w:rsidRPr="00610E3A">
        <w:rPr>
          <w:rFonts w:ascii="Bookman Old Style" w:hAnsi="Bookman Old Style" w:cs="Arial"/>
        </w:rPr>
        <w:t>error formal</w:t>
      </w:r>
      <w:r w:rsidRPr="00610E3A">
        <w:rPr>
          <w:rFonts w:ascii="Bookman Old Style" w:hAnsi="Bookman Old Style" w:cs="Arial"/>
        </w:rPr>
        <w:t xml:space="preserve"> en que se incurrió en el artículo 36 de la Resolución CREG 126 de 2010, al hacer referencia al artículo 25 de la Resolución CREG 126 de 2010, cuando la referencia correcta corresponde a</w:t>
      </w:r>
      <w:r w:rsidRPr="00EE70F3">
        <w:rPr>
          <w:rFonts w:ascii="Bookman Old Style" w:hAnsi="Bookman Old Style" w:cs="Arial"/>
        </w:rPr>
        <w:t>l artículo 26 de este mismo acto administrativo.</w:t>
      </w:r>
    </w:p>
    <w:p w:rsidR="00E0402C" w:rsidRPr="00EE70F3" w:rsidRDefault="00E0402C" w:rsidP="00EE70F3">
      <w:pPr>
        <w:ind w:left="0"/>
        <w:jc w:val="both"/>
        <w:rPr>
          <w:rFonts w:ascii="Bookman Old Style" w:hAnsi="Bookman Old Style" w:cs="Arial"/>
        </w:rPr>
      </w:pPr>
    </w:p>
    <w:p w:rsidR="00CC5CE1" w:rsidRPr="00EE70F3" w:rsidRDefault="00E0402C" w:rsidP="00EE70F3">
      <w:pPr>
        <w:ind w:left="0"/>
        <w:jc w:val="both"/>
        <w:rPr>
          <w:rFonts w:ascii="Bookman Old Style" w:hAnsi="Bookman Old Style" w:cs="Arial"/>
        </w:rPr>
      </w:pPr>
      <w:r w:rsidRPr="00EE70F3">
        <w:rPr>
          <w:rFonts w:ascii="Bookman Old Style" w:hAnsi="Bookman Old Style" w:cs="Arial"/>
          <w:b/>
        </w:rPr>
        <w:t>Artículo 5. Vigencia.</w:t>
      </w:r>
      <w:r w:rsidRPr="00EE70F3">
        <w:rPr>
          <w:rFonts w:ascii="Bookman Old Style" w:hAnsi="Bookman Old Style" w:cs="Arial"/>
        </w:rPr>
        <w:t xml:space="preserve"> El presente acto administrativo rige a partir de la fecha de publicación en el </w:t>
      </w:r>
      <w:r w:rsidRPr="00EE70F3">
        <w:rPr>
          <w:rFonts w:ascii="Bookman Old Style" w:hAnsi="Bookman Old Style" w:cs="Arial"/>
          <w:i/>
        </w:rPr>
        <w:t>Diario Oficial</w:t>
      </w:r>
    </w:p>
    <w:p w:rsidR="00CC5CE1" w:rsidRPr="00EE70F3" w:rsidRDefault="00CC5CE1" w:rsidP="00EE70F3">
      <w:pPr>
        <w:ind w:left="0"/>
        <w:jc w:val="both"/>
        <w:rPr>
          <w:rFonts w:ascii="Bookman Old Style" w:hAnsi="Bookman Old Style" w:cs="Arial"/>
        </w:rPr>
      </w:pPr>
    </w:p>
    <w:p w:rsidR="00CC5CE1" w:rsidRPr="00EE70F3" w:rsidRDefault="00CC5CE1" w:rsidP="00EE70F3">
      <w:pPr>
        <w:ind w:left="0"/>
        <w:jc w:val="both"/>
        <w:rPr>
          <w:rFonts w:ascii="Bookman Old Style" w:hAnsi="Bookman Old Style" w:cs="Arial"/>
        </w:rPr>
      </w:pPr>
    </w:p>
    <w:p w:rsidR="00CC5CE1" w:rsidRPr="00610E3A" w:rsidRDefault="00DF2763" w:rsidP="00EE70F3">
      <w:pPr>
        <w:jc w:val="center"/>
        <w:rPr>
          <w:rFonts w:ascii="Bookman Old Style" w:hAnsi="Bookman Old Style" w:cs="Arial"/>
          <w:b/>
        </w:rPr>
      </w:pPr>
      <w:r>
        <w:rPr>
          <w:rFonts w:ascii="Bookman Old Style" w:hAnsi="Bookman Old Style" w:cs="Arial"/>
          <w:b/>
        </w:rPr>
        <w:t>PUBLÍQUESE Y CÚMPLASE</w:t>
      </w:r>
    </w:p>
    <w:p w:rsidR="00CC5CE1" w:rsidRPr="00EE70F3" w:rsidRDefault="00CC5CE1" w:rsidP="00EE70F3">
      <w:pPr>
        <w:ind w:left="0"/>
        <w:jc w:val="both"/>
        <w:rPr>
          <w:rFonts w:ascii="Bookman Old Style" w:hAnsi="Bookman Old Style" w:cs="Arial"/>
        </w:rPr>
      </w:pPr>
    </w:p>
    <w:p w:rsidR="00CC5CE1" w:rsidRPr="00610E3A" w:rsidRDefault="00CC5CE1" w:rsidP="00EE70F3">
      <w:pPr>
        <w:ind w:left="0"/>
        <w:rPr>
          <w:rFonts w:ascii="Bookman Old Style" w:hAnsi="Bookman Old Style" w:cs="Arial"/>
        </w:rPr>
      </w:pPr>
      <w:r w:rsidRPr="00610E3A">
        <w:rPr>
          <w:rFonts w:ascii="Bookman Old Style" w:hAnsi="Bookman Old Style" w:cs="Arial"/>
        </w:rPr>
        <w:t>Dada en Bogotá, a los</w:t>
      </w:r>
    </w:p>
    <w:p w:rsidR="00CC5CE1" w:rsidRPr="00610E3A" w:rsidRDefault="00CC5CE1" w:rsidP="00EE70F3">
      <w:pPr>
        <w:ind w:left="0"/>
        <w:rPr>
          <w:rFonts w:ascii="Bookman Old Style" w:hAnsi="Bookman Old Style"/>
        </w:rPr>
      </w:pPr>
    </w:p>
    <w:p w:rsidR="007971FC" w:rsidRPr="00EE70F3" w:rsidRDefault="007971FC" w:rsidP="00EE70F3">
      <w:pPr>
        <w:ind w:left="0"/>
        <w:rPr>
          <w:rFonts w:ascii="Bookman Old Style" w:hAnsi="Bookman Old Style"/>
        </w:rPr>
      </w:pPr>
    </w:p>
    <w:p w:rsidR="00CC5CE1" w:rsidRDefault="00CC5CE1" w:rsidP="00EE70F3">
      <w:pPr>
        <w:ind w:left="0"/>
        <w:rPr>
          <w:rFonts w:ascii="Bookman Old Style" w:hAnsi="Bookman Old Style"/>
          <w:sz w:val="22"/>
        </w:rPr>
      </w:pPr>
    </w:p>
    <w:p w:rsidR="00EE70F3" w:rsidRPr="00EE70F3" w:rsidRDefault="00EE70F3" w:rsidP="00EE70F3">
      <w:pPr>
        <w:ind w:left="0"/>
        <w:rPr>
          <w:rFonts w:ascii="Bookman Old Style" w:hAnsi="Bookman Old Style"/>
          <w:sz w:val="22"/>
        </w:rPr>
      </w:pPr>
    </w:p>
    <w:p w:rsidR="00CC5CE1" w:rsidRPr="00EE70F3" w:rsidRDefault="00CC5CE1" w:rsidP="00EE70F3">
      <w:pPr>
        <w:ind w:left="0"/>
        <w:rPr>
          <w:rFonts w:ascii="Bookman Old Style" w:hAnsi="Bookman Old Style"/>
        </w:rPr>
      </w:pPr>
    </w:p>
    <w:tbl>
      <w:tblPr>
        <w:tblW w:w="0" w:type="auto"/>
        <w:jc w:val="center"/>
        <w:tblInd w:w="-679" w:type="dxa"/>
        <w:tblLayout w:type="fixed"/>
        <w:tblCellMar>
          <w:left w:w="70" w:type="dxa"/>
          <w:right w:w="70" w:type="dxa"/>
        </w:tblCellMar>
        <w:tblLook w:val="04A0" w:firstRow="1" w:lastRow="0" w:firstColumn="1" w:lastColumn="0" w:noHBand="0" w:noVBand="1"/>
      </w:tblPr>
      <w:tblGrid>
        <w:gridCol w:w="4624"/>
        <w:gridCol w:w="4624"/>
      </w:tblGrid>
      <w:tr w:rsidR="00CC5CE1" w:rsidRPr="00EE70F3" w:rsidTr="00220D15">
        <w:trPr>
          <w:trHeight w:val="391"/>
          <w:jc w:val="center"/>
        </w:trPr>
        <w:tc>
          <w:tcPr>
            <w:tcW w:w="4624" w:type="dxa"/>
            <w:vAlign w:val="center"/>
            <w:hideMark/>
          </w:tcPr>
          <w:p w:rsidR="00CC5CE1" w:rsidRPr="00610E3A" w:rsidRDefault="00610E3A" w:rsidP="00EE70F3">
            <w:pPr>
              <w:ind w:left="0"/>
              <w:jc w:val="center"/>
              <w:rPr>
                <w:rFonts w:ascii="Bookman Old Style" w:hAnsi="Bookman Old Style"/>
                <w:b/>
              </w:rPr>
            </w:pPr>
            <w:r>
              <w:rPr>
                <w:rFonts w:ascii="Bookman Old Style" w:hAnsi="Bookman Old Style"/>
                <w:b/>
              </w:rPr>
              <w:t>FEDERICO RENGIFO VÉLEZ</w:t>
            </w:r>
          </w:p>
        </w:tc>
        <w:tc>
          <w:tcPr>
            <w:tcW w:w="4624" w:type="dxa"/>
            <w:vAlign w:val="center"/>
            <w:hideMark/>
          </w:tcPr>
          <w:p w:rsidR="00CC5CE1" w:rsidRPr="00EE70F3" w:rsidRDefault="00CC5CE1" w:rsidP="00714FBC">
            <w:pPr>
              <w:ind w:left="-72"/>
              <w:jc w:val="center"/>
              <w:rPr>
                <w:rFonts w:ascii="Bookman Old Style" w:hAnsi="Bookman Old Style"/>
                <w:b/>
              </w:rPr>
            </w:pPr>
            <w:r w:rsidRPr="00EE70F3">
              <w:rPr>
                <w:rFonts w:ascii="Bookman Old Style" w:hAnsi="Bookman Old Style"/>
                <w:b/>
              </w:rPr>
              <w:t>GERMÁN CASTRO FERREIRA</w:t>
            </w:r>
          </w:p>
        </w:tc>
      </w:tr>
      <w:tr w:rsidR="00F4107D" w:rsidRPr="00EE70F3" w:rsidTr="00220D15">
        <w:trPr>
          <w:jc w:val="center"/>
        </w:trPr>
        <w:tc>
          <w:tcPr>
            <w:tcW w:w="4624" w:type="dxa"/>
            <w:hideMark/>
          </w:tcPr>
          <w:p w:rsidR="00AD1DBB" w:rsidRPr="00610E3A" w:rsidRDefault="00610E3A" w:rsidP="00EE70F3">
            <w:pPr>
              <w:ind w:left="0"/>
              <w:jc w:val="center"/>
              <w:rPr>
                <w:rFonts w:ascii="Bookman Old Style" w:hAnsi="Bookman Old Style"/>
              </w:rPr>
            </w:pPr>
            <w:r>
              <w:rPr>
                <w:rFonts w:ascii="Bookman Old Style" w:hAnsi="Bookman Old Style"/>
              </w:rPr>
              <w:t>Ministro</w:t>
            </w:r>
            <w:r w:rsidRPr="00610E3A">
              <w:rPr>
                <w:rFonts w:ascii="Bookman Old Style" w:hAnsi="Bookman Old Style"/>
              </w:rPr>
              <w:t xml:space="preserve"> </w:t>
            </w:r>
            <w:r w:rsidR="00AD1DBB" w:rsidRPr="00610E3A">
              <w:rPr>
                <w:rFonts w:ascii="Bookman Old Style" w:hAnsi="Bookman Old Style"/>
              </w:rPr>
              <w:t xml:space="preserve">de </w:t>
            </w:r>
            <w:r>
              <w:rPr>
                <w:rFonts w:ascii="Bookman Old Style" w:hAnsi="Bookman Old Style"/>
              </w:rPr>
              <w:t xml:space="preserve">Minas y </w:t>
            </w:r>
            <w:r w:rsidR="00AD1DBB" w:rsidRPr="00610E3A">
              <w:rPr>
                <w:rFonts w:ascii="Bookman Old Style" w:hAnsi="Bookman Old Style"/>
              </w:rPr>
              <w:t>Energía</w:t>
            </w:r>
          </w:p>
          <w:p w:rsidR="00F4107D" w:rsidRPr="00EE70F3" w:rsidRDefault="00F4107D" w:rsidP="00EE70F3">
            <w:pPr>
              <w:ind w:left="0"/>
              <w:jc w:val="center"/>
              <w:rPr>
                <w:rFonts w:ascii="Bookman Old Style" w:hAnsi="Bookman Old Style"/>
              </w:rPr>
            </w:pPr>
            <w:r w:rsidRPr="00EE70F3">
              <w:rPr>
                <w:rFonts w:ascii="Bookman Old Style" w:hAnsi="Bookman Old Style"/>
              </w:rPr>
              <w:t>Presidente</w:t>
            </w:r>
          </w:p>
        </w:tc>
        <w:tc>
          <w:tcPr>
            <w:tcW w:w="4624" w:type="dxa"/>
            <w:hideMark/>
          </w:tcPr>
          <w:p w:rsidR="00F4107D" w:rsidRPr="00EE70F3" w:rsidRDefault="00F4107D" w:rsidP="00714FBC">
            <w:pPr>
              <w:ind w:left="-72"/>
              <w:jc w:val="center"/>
              <w:rPr>
                <w:rFonts w:ascii="Bookman Old Style" w:hAnsi="Bookman Old Style"/>
              </w:rPr>
            </w:pPr>
            <w:r w:rsidRPr="00EE70F3">
              <w:rPr>
                <w:rFonts w:ascii="Bookman Old Style" w:hAnsi="Bookman Old Style"/>
              </w:rPr>
              <w:t>Director Ejecutivo</w:t>
            </w:r>
          </w:p>
        </w:tc>
      </w:tr>
    </w:tbl>
    <w:p w:rsidR="006B579F" w:rsidRPr="00EE70F3" w:rsidRDefault="006B579F" w:rsidP="00EE70F3">
      <w:pPr>
        <w:tabs>
          <w:tab w:val="left" w:pos="1758"/>
        </w:tabs>
        <w:ind w:left="0"/>
        <w:rPr>
          <w:rFonts w:ascii="Bookman Old Style" w:hAnsi="Bookman Old Style"/>
          <w:b/>
        </w:rPr>
      </w:pPr>
    </w:p>
    <w:sectPr w:rsidR="006B579F" w:rsidRPr="00EE70F3" w:rsidSect="00ED1181">
      <w:headerReference w:type="default" r:id="rId10"/>
      <w:headerReference w:type="first" r:id="rId11"/>
      <w:type w:val="continuous"/>
      <w:pgSz w:w="12247" w:h="18705" w:code="121"/>
      <w:pgMar w:top="2342"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0E3A" w:rsidRDefault="00610E3A">
      <w:r>
        <w:separator/>
      </w:r>
    </w:p>
  </w:endnote>
  <w:endnote w:type="continuationSeparator" w:id="0">
    <w:p w:rsidR="00610E3A" w:rsidRDefault="00610E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0E3A" w:rsidRDefault="00610E3A">
      <w:r>
        <w:separator/>
      </w:r>
    </w:p>
  </w:footnote>
  <w:footnote w:type="continuationSeparator" w:id="0">
    <w:p w:rsidR="00610E3A" w:rsidRDefault="00610E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E3A" w:rsidRDefault="00610E3A" w:rsidP="00951F79">
    <w:pPr>
      <w:pStyle w:val="Ttulo1"/>
      <w:ind w:right="6"/>
      <w:jc w:val="left"/>
      <w:rPr>
        <w:rFonts w:ascii="Bookman Old Style" w:hAnsi="Bookman Old Style" w:cs="Arial"/>
        <w:b w:val="0"/>
        <w:sz w:val="22"/>
        <w:szCs w:val="22"/>
      </w:rPr>
    </w:pPr>
  </w:p>
  <w:p w:rsidR="00610E3A" w:rsidRPr="00951F79" w:rsidRDefault="00610E3A"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6A1E88">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6A1E88" w:rsidRPr="006A1E88">
        <w:rPr>
          <w:rFonts w:ascii="Bookman Old Style" w:hAnsi="Bookman Old Style" w:cs="Arial"/>
          <w:b w:val="0"/>
          <w:noProof/>
          <w:sz w:val="22"/>
          <w:szCs w:val="22"/>
        </w:rPr>
        <w:t>4</w:t>
      </w:r>
    </w:fldSimple>
  </w:p>
  <w:p w:rsidR="00610E3A" w:rsidRDefault="00610E3A"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22CA5D05" wp14:editId="485F52D8">
              <wp:simplePos x="0" y="0"/>
              <wp:positionH relativeFrom="column">
                <wp:posOffset>-174625</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75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" filled="f" strokeweight="1.5pt"/>
          </w:pict>
        </mc:Fallback>
      </mc:AlternateContent>
    </w:r>
  </w:p>
  <w:p w:rsidR="00610E3A" w:rsidRPr="00EE70F3" w:rsidRDefault="00610E3A" w:rsidP="00F66EFB">
    <w:pPr>
      <w:pBdr>
        <w:bottom w:val="single" w:sz="4" w:space="11" w:color="auto"/>
      </w:pBdr>
      <w:spacing w:before="120" w:after="360"/>
      <w:ind w:left="142" w:right="147"/>
      <w:jc w:val="both"/>
      <w:rPr>
        <w:rFonts w:ascii="Bookman Old Style" w:hAnsi="Bookman Old Style" w:cs="Arial"/>
        <w:color w:val="000000" w:themeColor="text1"/>
        <w:sz w:val="22"/>
        <w:szCs w:val="22"/>
        <w:lang w:eastAsia="es-CO"/>
      </w:rPr>
    </w:pPr>
    <w:r w:rsidRPr="00EE70F3">
      <w:rPr>
        <w:rFonts w:ascii="Bookman Old Style" w:hAnsi="Bookman Old Style" w:cs="Arial"/>
        <w:color w:val="000000" w:themeColor="text1"/>
        <w:sz w:val="22"/>
        <w:szCs w:val="22"/>
        <w:lang w:eastAsia="es-CO"/>
      </w:rPr>
      <w:t>Por la cual se modifica y se corrige la Resolución CREG 126 de 2010</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E3A" w:rsidRDefault="00610E3A" w:rsidP="002A677D">
    <w:pPr>
      <w:pStyle w:val="Encabezado"/>
      <w:jc w:val="both"/>
      <w:rPr>
        <w:rFonts w:ascii="Arial" w:hAnsi="Arial" w:cs="Arial"/>
        <w:spacing w:val="20"/>
        <w:sz w:val="20"/>
      </w:rPr>
    </w:pPr>
    <w:r>
      <w:rPr>
        <w:rFonts w:ascii="Arial" w:hAnsi="Arial" w:cs="Arial"/>
        <w:spacing w:val="20"/>
        <w:sz w:val="20"/>
      </w:rPr>
      <w:t xml:space="preserve">                                   República de Colombia</w:t>
    </w:r>
  </w:p>
  <w:p w:rsidR="00610E3A" w:rsidRDefault="00610E3A">
    <w:pPr>
      <w:pStyle w:val="Encabezado"/>
      <w:jc w:val="center"/>
      <w:rPr>
        <w:rFonts w:ascii="Arial" w:hAnsi="Arial" w:cs="Arial"/>
        <w:spacing w:val="20"/>
        <w:sz w:val="20"/>
      </w:rPr>
    </w:pPr>
  </w:p>
  <w:p w:rsidR="00610E3A" w:rsidRDefault="00610E3A"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nsid w:val="086E1FF9"/>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
    <w:nsid w:val="0B1C5795"/>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3">
    <w:nsid w:val="0CB11DAB"/>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4">
    <w:nsid w:val="0E017D7A"/>
    <w:multiLevelType w:val="hybridMultilevel"/>
    <w:tmpl w:val="2EB40D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0EE2331E"/>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6">
    <w:nsid w:val="11CE4180"/>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7">
    <w:nsid w:val="15F6250D"/>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8">
    <w:nsid w:val="1C2740DC"/>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9">
    <w:nsid w:val="1DB30709"/>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0">
    <w:nsid w:val="21D05B0C"/>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1">
    <w:nsid w:val="21EC0501"/>
    <w:multiLevelType w:val="hybridMultilevel"/>
    <w:tmpl w:val="3F68C982"/>
    <w:lvl w:ilvl="0" w:tplc="62B63546">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2447747A"/>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3">
    <w:nsid w:val="28CA1AC6"/>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4">
    <w:nsid w:val="2A083A58"/>
    <w:multiLevelType w:val="hybridMultilevel"/>
    <w:tmpl w:val="8ADED7EE"/>
    <w:lvl w:ilvl="0" w:tplc="5DDAE2DA">
      <w:start w:val="1"/>
      <w:numFmt w:val="lowerRoman"/>
      <w:lvlText w:val="%1)"/>
      <w:lvlJc w:val="left"/>
      <w:pPr>
        <w:ind w:left="1080" w:hanging="720"/>
      </w:pPr>
      <w:rPr>
        <w:rFonts w:hint="default"/>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2F2F6827"/>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6">
    <w:nsid w:val="301E2343"/>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7">
    <w:nsid w:val="3213303F"/>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8">
    <w:nsid w:val="40BF1C67"/>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9">
    <w:nsid w:val="422D6B82"/>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0">
    <w:nsid w:val="42DA5DEE"/>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1">
    <w:nsid w:val="463F3243"/>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nsid w:val="46C95E1B"/>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3">
    <w:nsid w:val="475D0741"/>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4">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5">
    <w:nsid w:val="63D820DC"/>
    <w:multiLevelType w:val="hybridMultilevel"/>
    <w:tmpl w:val="127A1A24"/>
    <w:lvl w:ilvl="0" w:tplc="0ED8C4B0">
      <w:start w:val="1"/>
      <w:numFmt w:val="decimal"/>
      <w:lvlText w:val="%1."/>
      <w:lvlJc w:val="left"/>
      <w:pPr>
        <w:ind w:left="218" w:hanging="360"/>
      </w:pPr>
      <w:rPr>
        <w:rFonts w:hint="default"/>
      </w:rPr>
    </w:lvl>
    <w:lvl w:ilvl="1" w:tplc="240A0019" w:tentative="1">
      <w:start w:val="1"/>
      <w:numFmt w:val="lowerLetter"/>
      <w:lvlText w:val="%2."/>
      <w:lvlJc w:val="left"/>
      <w:pPr>
        <w:ind w:left="938" w:hanging="360"/>
      </w:pPr>
    </w:lvl>
    <w:lvl w:ilvl="2" w:tplc="240A001B" w:tentative="1">
      <w:start w:val="1"/>
      <w:numFmt w:val="lowerRoman"/>
      <w:lvlText w:val="%3."/>
      <w:lvlJc w:val="right"/>
      <w:pPr>
        <w:ind w:left="1658" w:hanging="180"/>
      </w:pPr>
    </w:lvl>
    <w:lvl w:ilvl="3" w:tplc="240A000F" w:tentative="1">
      <w:start w:val="1"/>
      <w:numFmt w:val="decimal"/>
      <w:lvlText w:val="%4."/>
      <w:lvlJc w:val="left"/>
      <w:pPr>
        <w:ind w:left="2378" w:hanging="360"/>
      </w:pPr>
    </w:lvl>
    <w:lvl w:ilvl="4" w:tplc="240A0019" w:tentative="1">
      <w:start w:val="1"/>
      <w:numFmt w:val="lowerLetter"/>
      <w:lvlText w:val="%5."/>
      <w:lvlJc w:val="left"/>
      <w:pPr>
        <w:ind w:left="3098" w:hanging="360"/>
      </w:pPr>
    </w:lvl>
    <w:lvl w:ilvl="5" w:tplc="240A001B" w:tentative="1">
      <w:start w:val="1"/>
      <w:numFmt w:val="lowerRoman"/>
      <w:lvlText w:val="%6."/>
      <w:lvlJc w:val="right"/>
      <w:pPr>
        <w:ind w:left="3818" w:hanging="180"/>
      </w:pPr>
    </w:lvl>
    <w:lvl w:ilvl="6" w:tplc="240A000F" w:tentative="1">
      <w:start w:val="1"/>
      <w:numFmt w:val="decimal"/>
      <w:lvlText w:val="%7."/>
      <w:lvlJc w:val="left"/>
      <w:pPr>
        <w:ind w:left="4538" w:hanging="360"/>
      </w:pPr>
    </w:lvl>
    <w:lvl w:ilvl="7" w:tplc="240A0019" w:tentative="1">
      <w:start w:val="1"/>
      <w:numFmt w:val="lowerLetter"/>
      <w:lvlText w:val="%8."/>
      <w:lvlJc w:val="left"/>
      <w:pPr>
        <w:ind w:left="5258" w:hanging="360"/>
      </w:pPr>
    </w:lvl>
    <w:lvl w:ilvl="8" w:tplc="240A001B" w:tentative="1">
      <w:start w:val="1"/>
      <w:numFmt w:val="lowerRoman"/>
      <w:lvlText w:val="%9."/>
      <w:lvlJc w:val="right"/>
      <w:pPr>
        <w:ind w:left="5978" w:hanging="180"/>
      </w:pPr>
    </w:lvl>
  </w:abstractNum>
  <w:abstractNum w:abstractNumId="26">
    <w:nsid w:val="684142E0"/>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7">
    <w:nsid w:val="6A7A0E04"/>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8">
    <w:nsid w:val="6CE27A40"/>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9">
    <w:nsid w:val="6FB65618"/>
    <w:multiLevelType w:val="hybridMultilevel"/>
    <w:tmpl w:val="6D749118"/>
    <w:lvl w:ilvl="0" w:tplc="76AC2FD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nsid w:val="73432BD8"/>
    <w:multiLevelType w:val="hybridMultilevel"/>
    <w:tmpl w:val="FFFCEB46"/>
    <w:lvl w:ilvl="0" w:tplc="6E4CF9B8">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CO"/>
        <w:specVanish w:val="0"/>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31">
    <w:nsid w:val="75D94929"/>
    <w:multiLevelType w:val="hybridMultilevel"/>
    <w:tmpl w:val="1AFEDEA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nsid w:val="779436B9"/>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33">
    <w:nsid w:val="7D3E74E3"/>
    <w:multiLevelType w:val="hybridMultilevel"/>
    <w:tmpl w:val="50006CC2"/>
    <w:lvl w:ilvl="0" w:tplc="D6341946">
      <w:start w:val="1"/>
      <w:numFmt w:val="lowerLetter"/>
      <w:lvlText w:val="%1)"/>
      <w:lvlJc w:val="left"/>
      <w:pPr>
        <w:ind w:left="1440" w:hanging="720"/>
      </w:pPr>
      <w:rPr>
        <w:rFonts w:ascii="Bookman Old Style" w:hAnsi="Bookman Old Style" w:hint="default"/>
        <w:b w:val="0"/>
        <w:i w:val="0"/>
        <w:sz w:val="24"/>
        <w:szCs w:val="24"/>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num w:numId="1">
    <w:abstractNumId w:val="30"/>
  </w:num>
  <w:num w:numId="2">
    <w:abstractNumId w:val="24"/>
  </w:num>
  <w:num w:numId="3">
    <w:abstractNumId w:val="0"/>
  </w:num>
  <w:num w:numId="4">
    <w:abstractNumId w:val="16"/>
  </w:num>
  <w:num w:numId="5">
    <w:abstractNumId w:val="9"/>
  </w:num>
  <w:num w:numId="6">
    <w:abstractNumId w:val="19"/>
  </w:num>
  <w:num w:numId="7">
    <w:abstractNumId w:val="8"/>
  </w:num>
  <w:num w:numId="8">
    <w:abstractNumId w:val="20"/>
  </w:num>
  <w:num w:numId="9">
    <w:abstractNumId w:val="32"/>
  </w:num>
  <w:num w:numId="10">
    <w:abstractNumId w:val="23"/>
  </w:num>
  <w:num w:numId="11">
    <w:abstractNumId w:val="15"/>
  </w:num>
  <w:num w:numId="12">
    <w:abstractNumId w:val="3"/>
  </w:num>
  <w:num w:numId="13">
    <w:abstractNumId w:val="10"/>
  </w:num>
  <w:num w:numId="14">
    <w:abstractNumId w:val="6"/>
  </w:num>
  <w:num w:numId="15">
    <w:abstractNumId w:val="2"/>
  </w:num>
  <w:num w:numId="16">
    <w:abstractNumId w:val="33"/>
  </w:num>
  <w:num w:numId="17">
    <w:abstractNumId w:val="26"/>
  </w:num>
  <w:num w:numId="18">
    <w:abstractNumId w:val="17"/>
  </w:num>
  <w:num w:numId="19">
    <w:abstractNumId w:val="13"/>
  </w:num>
  <w:num w:numId="20">
    <w:abstractNumId w:val="5"/>
  </w:num>
  <w:num w:numId="21">
    <w:abstractNumId w:val="7"/>
  </w:num>
  <w:num w:numId="22">
    <w:abstractNumId w:val="12"/>
  </w:num>
  <w:num w:numId="23">
    <w:abstractNumId w:val="21"/>
  </w:num>
  <w:num w:numId="24">
    <w:abstractNumId w:val="28"/>
  </w:num>
  <w:num w:numId="25">
    <w:abstractNumId w:val="1"/>
  </w:num>
  <w:num w:numId="26">
    <w:abstractNumId w:val="27"/>
  </w:num>
  <w:num w:numId="27">
    <w:abstractNumId w:val="22"/>
  </w:num>
  <w:num w:numId="28">
    <w:abstractNumId w:val="18"/>
  </w:num>
  <w:num w:numId="29">
    <w:abstractNumId w:val="11"/>
  </w:num>
  <w:num w:numId="30">
    <w:abstractNumId w:val="31"/>
  </w:num>
  <w:num w:numId="31">
    <w:abstractNumId w:val="29"/>
  </w:num>
  <w:num w:numId="32">
    <w:abstractNumId w:val="4"/>
  </w:num>
  <w:num w:numId="33">
    <w:abstractNumId w:val="25"/>
  </w:num>
  <w:num w:numId="34">
    <w:abstractNumId w:val="1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850"/>
    <w:rsid w:val="00000CF9"/>
    <w:rsid w:val="00000FCB"/>
    <w:rsid w:val="0000183C"/>
    <w:rsid w:val="00001A61"/>
    <w:rsid w:val="000034E8"/>
    <w:rsid w:val="000037CF"/>
    <w:rsid w:val="00004D83"/>
    <w:rsid w:val="00006AE2"/>
    <w:rsid w:val="00006E06"/>
    <w:rsid w:val="00006F95"/>
    <w:rsid w:val="000076A1"/>
    <w:rsid w:val="00007F69"/>
    <w:rsid w:val="00010B1D"/>
    <w:rsid w:val="00012259"/>
    <w:rsid w:val="00013DEA"/>
    <w:rsid w:val="0001551B"/>
    <w:rsid w:val="00015752"/>
    <w:rsid w:val="00015C89"/>
    <w:rsid w:val="0001631E"/>
    <w:rsid w:val="00016A46"/>
    <w:rsid w:val="00017983"/>
    <w:rsid w:val="00023A14"/>
    <w:rsid w:val="000252D3"/>
    <w:rsid w:val="00025383"/>
    <w:rsid w:val="00025E09"/>
    <w:rsid w:val="00025F94"/>
    <w:rsid w:val="0003016E"/>
    <w:rsid w:val="00030595"/>
    <w:rsid w:val="00030C8A"/>
    <w:rsid w:val="00033795"/>
    <w:rsid w:val="00035268"/>
    <w:rsid w:val="00035CE1"/>
    <w:rsid w:val="00036072"/>
    <w:rsid w:val="00037BB4"/>
    <w:rsid w:val="00037F75"/>
    <w:rsid w:val="00043BFB"/>
    <w:rsid w:val="00044247"/>
    <w:rsid w:val="00044C64"/>
    <w:rsid w:val="0004566B"/>
    <w:rsid w:val="00046E7F"/>
    <w:rsid w:val="0004777C"/>
    <w:rsid w:val="00047D40"/>
    <w:rsid w:val="000500E1"/>
    <w:rsid w:val="00052267"/>
    <w:rsid w:val="00053EBD"/>
    <w:rsid w:val="0005424A"/>
    <w:rsid w:val="00054833"/>
    <w:rsid w:val="00054F7D"/>
    <w:rsid w:val="00055386"/>
    <w:rsid w:val="000572D1"/>
    <w:rsid w:val="000579E3"/>
    <w:rsid w:val="00057DD5"/>
    <w:rsid w:val="0006018C"/>
    <w:rsid w:val="00063657"/>
    <w:rsid w:val="00063E0C"/>
    <w:rsid w:val="00064B58"/>
    <w:rsid w:val="00065424"/>
    <w:rsid w:val="00065CA6"/>
    <w:rsid w:val="00067207"/>
    <w:rsid w:val="00067583"/>
    <w:rsid w:val="00067F10"/>
    <w:rsid w:val="0007035C"/>
    <w:rsid w:val="00071928"/>
    <w:rsid w:val="00074F03"/>
    <w:rsid w:val="0007624F"/>
    <w:rsid w:val="00076407"/>
    <w:rsid w:val="00076680"/>
    <w:rsid w:val="00076A1D"/>
    <w:rsid w:val="00077437"/>
    <w:rsid w:val="000804FD"/>
    <w:rsid w:val="0008073E"/>
    <w:rsid w:val="0008081B"/>
    <w:rsid w:val="00081ECC"/>
    <w:rsid w:val="000820DE"/>
    <w:rsid w:val="00082535"/>
    <w:rsid w:val="00082B44"/>
    <w:rsid w:val="00082BCD"/>
    <w:rsid w:val="0008407A"/>
    <w:rsid w:val="0008576E"/>
    <w:rsid w:val="00087095"/>
    <w:rsid w:val="00087591"/>
    <w:rsid w:val="00090F11"/>
    <w:rsid w:val="00091592"/>
    <w:rsid w:val="00091CDB"/>
    <w:rsid w:val="00091FFE"/>
    <w:rsid w:val="000924E9"/>
    <w:rsid w:val="00092660"/>
    <w:rsid w:val="0009270C"/>
    <w:rsid w:val="000928B4"/>
    <w:rsid w:val="000937B4"/>
    <w:rsid w:val="00096E65"/>
    <w:rsid w:val="0009746D"/>
    <w:rsid w:val="000A19AC"/>
    <w:rsid w:val="000A21C6"/>
    <w:rsid w:val="000A2253"/>
    <w:rsid w:val="000A2261"/>
    <w:rsid w:val="000A3461"/>
    <w:rsid w:val="000A3583"/>
    <w:rsid w:val="000A3BBE"/>
    <w:rsid w:val="000A4DC1"/>
    <w:rsid w:val="000A6122"/>
    <w:rsid w:val="000A61D3"/>
    <w:rsid w:val="000A734C"/>
    <w:rsid w:val="000A77BF"/>
    <w:rsid w:val="000A7BEE"/>
    <w:rsid w:val="000B0415"/>
    <w:rsid w:val="000B0674"/>
    <w:rsid w:val="000B082C"/>
    <w:rsid w:val="000B1E7A"/>
    <w:rsid w:val="000B2053"/>
    <w:rsid w:val="000B2A76"/>
    <w:rsid w:val="000B3169"/>
    <w:rsid w:val="000B6E6F"/>
    <w:rsid w:val="000C06F6"/>
    <w:rsid w:val="000C0F6A"/>
    <w:rsid w:val="000C2F8E"/>
    <w:rsid w:val="000C317C"/>
    <w:rsid w:val="000C34C1"/>
    <w:rsid w:val="000C3A94"/>
    <w:rsid w:val="000C4489"/>
    <w:rsid w:val="000C488E"/>
    <w:rsid w:val="000C5A83"/>
    <w:rsid w:val="000C6851"/>
    <w:rsid w:val="000C6FA5"/>
    <w:rsid w:val="000C7280"/>
    <w:rsid w:val="000C7621"/>
    <w:rsid w:val="000C76A4"/>
    <w:rsid w:val="000D1456"/>
    <w:rsid w:val="000D166D"/>
    <w:rsid w:val="000D26F8"/>
    <w:rsid w:val="000D2EF2"/>
    <w:rsid w:val="000D2FC3"/>
    <w:rsid w:val="000D3209"/>
    <w:rsid w:val="000D3633"/>
    <w:rsid w:val="000D44B7"/>
    <w:rsid w:val="000D45B1"/>
    <w:rsid w:val="000D52BA"/>
    <w:rsid w:val="000D5B92"/>
    <w:rsid w:val="000D63C3"/>
    <w:rsid w:val="000D70C6"/>
    <w:rsid w:val="000D77FA"/>
    <w:rsid w:val="000E008F"/>
    <w:rsid w:val="000E0A0E"/>
    <w:rsid w:val="000E0DA4"/>
    <w:rsid w:val="000E1B71"/>
    <w:rsid w:val="000E1DD8"/>
    <w:rsid w:val="000E28C9"/>
    <w:rsid w:val="000E47D5"/>
    <w:rsid w:val="000E4990"/>
    <w:rsid w:val="000E5806"/>
    <w:rsid w:val="000E78C7"/>
    <w:rsid w:val="000F1A7E"/>
    <w:rsid w:val="000F1E21"/>
    <w:rsid w:val="000F2EB3"/>
    <w:rsid w:val="000F40D6"/>
    <w:rsid w:val="000F706A"/>
    <w:rsid w:val="000F7938"/>
    <w:rsid w:val="00103232"/>
    <w:rsid w:val="0010373E"/>
    <w:rsid w:val="00104E62"/>
    <w:rsid w:val="00105093"/>
    <w:rsid w:val="0010546E"/>
    <w:rsid w:val="00106B1A"/>
    <w:rsid w:val="00107A62"/>
    <w:rsid w:val="0011064E"/>
    <w:rsid w:val="0011089E"/>
    <w:rsid w:val="00112B37"/>
    <w:rsid w:val="00114704"/>
    <w:rsid w:val="001148DF"/>
    <w:rsid w:val="001151F3"/>
    <w:rsid w:val="001159F1"/>
    <w:rsid w:val="00116126"/>
    <w:rsid w:val="00116BF8"/>
    <w:rsid w:val="00116C33"/>
    <w:rsid w:val="001170D2"/>
    <w:rsid w:val="00121211"/>
    <w:rsid w:val="0012269D"/>
    <w:rsid w:val="00123B5C"/>
    <w:rsid w:val="00124F81"/>
    <w:rsid w:val="00125218"/>
    <w:rsid w:val="00125731"/>
    <w:rsid w:val="00126C83"/>
    <w:rsid w:val="001324AB"/>
    <w:rsid w:val="001324B1"/>
    <w:rsid w:val="001354D9"/>
    <w:rsid w:val="00135CA0"/>
    <w:rsid w:val="00136108"/>
    <w:rsid w:val="00136D5A"/>
    <w:rsid w:val="00137A4C"/>
    <w:rsid w:val="001405C6"/>
    <w:rsid w:val="00140832"/>
    <w:rsid w:val="00141013"/>
    <w:rsid w:val="00141A71"/>
    <w:rsid w:val="00145B0F"/>
    <w:rsid w:val="00146CC4"/>
    <w:rsid w:val="001473CE"/>
    <w:rsid w:val="00147C22"/>
    <w:rsid w:val="00150D46"/>
    <w:rsid w:val="001549CA"/>
    <w:rsid w:val="00154D0F"/>
    <w:rsid w:val="00160FB1"/>
    <w:rsid w:val="0016196C"/>
    <w:rsid w:val="00161F54"/>
    <w:rsid w:val="0016207A"/>
    <w:rsid w:val="00162362"/>
    <w:rsid w:val="00162D48"/>
    <w:rsid w:val="00163363"/>
    <w:rsid w:val="00163747"/>
    <w:rsid w:val="00163CB1"/>
    <w:rsid w:val="0016484E"/>
    <w:rsid w:val="0016562D"/>
    <w:rsid w:val="00167871"/>
    <w:rsid w:val="0017065F"/>
    <w:rsid w:val="0017302C"/>
    <w:rsid w:val="001731FA"/>
    <w:rsid w:val="001732D9"/>
    <w:rsid w:val="001733E9"/>
    <w:rsid w:val="0017392D"/>
    <w:rsid w:val="00173ADC"/>
    <w:rsid w:val="001743A6"/>
    <w:rsid w:val="00174DC5"/>
    <w:rsid w:val="00175E65"/>
    <w:rsid w:val="001776E2"/>
    <w:rsid w:val="00180432"/>
    <w:rsid w:val="00180DD5"/>
    <w:rsid w:val="00182B14"/>
    <w:rsid w:val="00183DA2"/>
    <w:rsid w:val="00184E7C"/>
    <w:rsid w:val="00185B11"/>
    <w:rsid w:val="00185C24"/>
    <w:rsid w:val="0018733B"/>
    <w:rsid w:val="00187C0F"/>
    <w:rsid w:val="0019085C"/>
    <w:rsid w:val="0019169B"/>
    <w:rsid w:val="0019256B"/>
    <w:rsid w:val="001927F6"/>
    <w:rsid w:val="00192CBF"/>
    <w:rsid w:val="00192FF1"/>
    <w:rsid w:val="00194044"/>
    <w:rsid w:val="001947F7"/>
    <w:rsid w:val="00194FD4"/>
    <w:rsid w:val="00195A39"/>
    <w:rsid w:val="0019740A"/>
    <w:rsid w:val="00197D44"/>
    <w:rsid w:val="001A1359"/>
    <w:rsid w:val="001A1AF4"/>
    <w:rsid w:val="001A1EAC"/>
    <w:rsid w:val="001A3997"/>
    <w:rsid w:val="001A5B11"/>
    <w:rsid w:val="001A5F1B"/>
    <w:rsid w:val="001A71EE"/>
    <w:rsid w:val="001A754C"/>
    <w:rsid w:val="001A7EE0"/>
    <w:rsid w:val="001B124E"/>
    <w:rsid w:val="001B1C22"/>
    <w:rsid w:val="001B31DC"/>
    <w:rsid w:val="001B32F6"/>
    <w:rsid w:val="001B34C6"/>
    <w:rsid w:val="001B45E5"/>
    <w:rsid w:val="001B7C29"/>
    <w:rsid w:val="001B7C41"/>
    <w:rsid w:val="001C0466"/>
    <w:rsid w:val="001C321E"/>
    <w:rsid w:val="001C333A"/>
    <w:rsid w:val="001C42E6"/>
    <w:rsid w:val="001C4452"/>
    <w:rsid w:val="001C534F"/>
    <w:rsid w:val="001C6764"/>
    <w:rsid w:val="001C6B76"/>
    <w:rsid w:val="001C6C45"/>
    <w:rsid w:val="001C7346"/>
    <w:rsid w:val="001C76D5"/>
    <w:rsid w:val="001D026A"/>
    <w:rsid w:val="001D0277"/>
    <w:rsid w:val="001D142C"/>
    <w:rsid w:val="001D1DBE"/>
    <w:rsid w:val="001D3786"/>
    <w:rsid w:val="001D3CE4"/>
    <w:rsid w:val="001D40AF"/>
    <w:rsid w:val="001D5629"/>
    <w:rsid w:val="001D5678"/>
    <w:rsid w:val="001D7832"/>
    <w:rsid w:val="001D7AA6"/>
    <w:rsid w:val="001E0967"/>
    <w:rsid w:val="001E2064"/>
    <w:rsid w:val="001E229D"/>
    <w:rsid w:val="001E4863"/>
    <w:rsid w:val="001E4CD1"/>
    <w:rsid w:val="001E4CE7"/>
    <w:rsid w:val="001E5BAA"/>
    <w:rsid w:val="001E644F"/>
    <w:rsid w:val="001E6826"/>
    <w:rsid w:val="001F0A15"/>
    <w:rsid w:val="001F0EB9"/>
    <w:rsid w:val="001F262B"/>
    <w:rsid w:val="001F3511"/>
    <w:rsid w:val="001F4930"/>
    <w:rsid w:val="001F5450"/>
    <w:rsid w:val="001F5941"/>
    <w:rsid w:val="001F733A"/>
    <w:rsid w:val="0020089E"/>
    <w:rsid w:val="00200A20"/>
    <w:rsid w:val="00200E30"/>
    <w:rsid w:val="00200EDD"/>
    <w:rsid w:val="00204634"/>
    <w:rsid w:val="00205253"/>
    <w:rsid w:val="0021000F"/>
    <w:rsid w:val="002109F1"/>
    <w:rsid w:val="00211D34"/>
    <w:rsid w:val="0021209C"/>
    <w:rsid w:val="002124A3"/>
    <w:rsid w:val="00212CEF"/>
    <w:rsid w:val="002138E4"/>
    <w:rsid w:val="00214116"/>
    <w:rsid w:val="0021438D"/>
    <w:rsid w:val="002145F3"/>
    <w:rsid w:val="002149EB"/>
    <w:rsid w:val="00214DAF"/>
    <w:rsid w:val="00214F04"/>
    <w:rsid w:val="00216F2F"/>
    <w:rsid w:val="002203BC"/>
    <w:rsid w:val="00220892"/>
    <w:rsid w:val="00220957"/>
    <w:rsid w:val="00220D15"/>
    <w:rsid w:val="002210A7"/>
    <w:rsid w:val="00221447"/>
    <w:rsid w:val="00221515"/>
    <w:rsid w:val="00221EEE"/>
    <w:rsid w:val="00222D03"/>
    <w:rsid w:val="00223247"/>
    <w:rsid w:val="0022583F"/>
    <w:rsid w:val="002318B6"/>
    <w:rsid w:val="002358B9"/>
    <w:rsid w:val="00235B05"/>
    <w:rsid w:val="00236264"/>
    <w:rsid w:val="00236C85"/>
    <w:rsid w:val="002375C3"/>
    <w:rsid w:val="00237650"/>
    <w:rsid w:val="00237D8B"/>
    <w:rsid w:val="00241CA1"/>
    <w:rsid w:val="00241D77"/>
    <w:rsid w:val="002425C3"/>
    <w:rsid w:val="00243C1C"/>
    <w:rsid w:val="002446FD"/>
    <w:rsid w:val="00244761"/>
    <w:rsid w:val="00244B7E"/>
    <w:rsid w:val="00244EA3"/>
    <w:rsid w:val="00245E18"/>
    <w:rsid w:val="002465C1"/>
    <w:rsid w:val="002510FC"/>
    <w:rsid w:val="00251AEE"/>
    <w:rsid w:val="00251C06"/>
    <w:rsid w:val="002536BB"/>
    <w:rsid w:val="00253985"/>
    <w:rsid w:val="00254057"/>
    <w:rsid w:val="002541A2"/>
    <w:rsid w:val="002542EF"/>
    <w:rsid w:val="002550A4"/>
    <w:rsid w:val="002557A1"/>
    <w:rsid w:val="002606E5"/>
    <w:rsid w:val="00260C6C"/>
    <w:rsid w:val="00260FA2"/>
    <w:rsid w:val="002615BC"/>
    <w:rsid w:val="00261A49"/>
    <w:rsid w:val="0026238B"/>
    <w:rsid w:val="00262E20"/>
    <w:rsid w:val="0026301C"/>
    <w:rsid w:val="00263A62"/>
    <w:rsid w:val="0026544D"/>
    <w:rsid w:val="00266696"/>
    <w:rsid w:val="00266CD6"/>
    <w:rsid w:val="00267F1F"/>
    <w:rsid w:val="002705BE"/>
    <w:rsid w:val="0027094B"/>
    <w:rsid w:val="00272E35"/>
    <w:rsid w:val="00274195"/>
    <w:rsid w:val="00274ABB"/>
    <w:rsid w:val="00275234"/>
    <w:rsid w:val="00275844"/>
    <w:rsid w:val="00275DAB"/>
    <w:rsid w:val="00277007"/>
    <w:rsid w:val="00280439"/>
    <w:rsid w:val="00280809"/>
    <w:rsid w:val="00280C5A"/>
    <w:rsid w:val="00280C96"/>
    <w:rsid w:val="00285AB7"/>
    <w:rsid w:val="00286C43"/>
    <w:rsid w:val="002870CA"/>
    <w:rsid w:val="0028750E"/>
    <w:rsid w:val="00287F5C"/>
    <w:rsid w:val="00290209"/>
    <w:rsid w:val="00290DF9"/>
    <w:rsid w:val="00291DC7"/>
    <w:rsid w:val="002927A1"/>
    <w:rsid w:val="0029542F"/>
    <w:rsid w:val="002A355B"/>
    <w:rsid w:val="002A677D"/>
    <w:rsid w:val="002A782A"/>
    <w:rsid w:val="002A7A47"/>
    <w:rsid w:val="002B1063"/>
    <w:rsid w:val="002B10AF"/>
    <w:rsid w:val="002B11E2"/>
    <w:rsid w:val="002B231D"/>
    <w:rsid w:val="002B24B8"/>
    <w:rsid w:val="002B272E"/>
    <w:rsid w:val="002B31C3"/>
    <w:rsid w:val="002B356B"/>
    <w:rsid w:val="002B4647"/>
    <w:rsid w:val="002B6178"/>
    <w:rsid w:val="002C12E1"/>
    <w:rsid w:val="002C1C94"/>
    <w:rsid w:val="002C1F64"/>
    <w:rsid w:val="002C2043"/>
    <w:rsid w:val="002C3ADF"/>
    <w:rsid w:val="002C41EA"/>
    <w:rsid w:val="002C4918"/>
    <w:rsid w:val="002C4C14"/>
    <w:rsid w:val="002C61FB"/>
    <w:rsid w:val="002C6D5B"/>
    <w:rsid w:val="002D14D6"/>
    <w:rsid w:val="002D2900"/>
    <w:rsid w:val="002D3936"/>
    <w:rsid w:val="002D3AE9"/>
    <w:rsid w:val="002D4510"/>
    <w:rsid w:val="002D5983"/>
    <w:rsid w:val="002D5F5F"/>
    <w:rsid w:val="002D694E"/>
    <w:rsid w:val="002D7417"/>
    <w:rsid w:val="002E0B6A"/>
    <w:rsid w:val="002E0D69"/>
    <w:rsid w:val="002E13D6"/>
    <w:rsid w:val="002E2200"/>
    <w:rsid w:val="002E3BE2"/>
    <w:rsid w:val="002E3F34"/>
    <w:rsid w:val="002E45FB"/>
    <w:rsid w:val="002E4A7B"/>
    <w:rsid w:val="002E52A2"/>
    <w:rsid w:val="002E7161"/>
    <w:rsid w:val="002E7392"/>
    <w:rsid w:val="002E7C97"/>
    <w:rsid w:val="002F0734"/>
    <w:rsid w:val="002F1C15"/>
    <w:rsid w:val="002F1F22"/>
    <w:rsid w:val="002F2230"/>
    <w:rsid w:val="002F2CAE"/>
    <w:rsid w:val="002F38C7"/>
    <w:rsid w:val="002F46E7"/>
    <w:rsid w:val="002F4B5A"/>
    <w:rsid w:val="002F598F"/>
    <w:rsid w:val="002F5DE0"/>
    <w:rsid w:val="002F69E2"/>
    <w:rsid w:val="002F6B2D"/>
    <w:rsid w:val="002F6FA4"/>
    <w:rsid w:val="003002CF"/>
    <w:rsid w:val="00300658"/>
    <w:rsid w:val="00303680"/>
    <w:rsid w:val="00303B0C"/>
    <w:rsid w:val="003050F2"/>
    <w:rsid w:val="00306892"/>
    <w:rsid w:val="0030740A"/>
    <w:rsid w:val="00307E78"/>
    <w:rsid w:val="003101DA"/>
    <w:rsid w:val="003104E6"/>
    <w:rsid w:val="003112F3"/>
    <w:rsid w:val="00311727"/>
    <w:rsid w:val="003140F6"/>
    <w:rsid w:val="00314757"/>
    <w:rsid w:val="00315CB2"/>
    <w:rsid w:val="00315D1E"/>
    <w:rsid w:val="00315D7A"/>
    <w:rsid w:val="00316494"/>
    <w:rsid w:val="003167A7"/>
    <w:rsid w:val="0031689F"/>
    <w:rsid w:val="0031692B"/>
    <w:rsid w:val="003172F2"/>
    <w:rsid w:val="00317AAB"/>
    <w:rsid w:val="00321005"/>
    <w:rsid w:val="003211CE"/>
    <w:rsid w:val="00321514"/>
    <w:rsid w:val="00321A5C"/>
    <w:rsid w:val="003225CF"/>
    <w:rsid w:val="00322725"/>
    <w:rsid w:val="00325DC9"/>
    <w:rsid w:val="00326EC9"/>
    <w:rsid w:val="003277CA"/>
    <w:rsid w:val="00330664"/>
    <w:rsid w:val="00330F48"/>
    <w:rsid w:val="00330FC7"/>
    <w:rsid w:val="00331519"/>
    <w:rsid w:val="00331776"/>
    <w:rsid w:val="00332889"/>
    <w:rsid w:val="003339A3"/>
    <w:rsid w:val="0033586A"/>
    <w:rsid w:val="00336511"/>
    <w:rsid w:val="003368B9"/>
    <w:rsid w:val="00340036"/>
    <w:rsid w:val="003405EE"/>
    <w:rsid w:val="0034339A"/>
    <w:rsid w:val="00343AAF"/>
    <w:rsid w:val="00344376"/>
    <w:rsid w:val="00344A2D"/>
    <w:rsid w:val="003457B0"/>
    <w:rsid w:val="003458C2"/>
    <w:rsid w:val="003458D5"/>
    <w:rsid w:val="00345F9C"/>
    <w:rsid w:val="0034634C"/>
    <w:rsid w:val="00346ACD"/>
    <w:rsid w:val="003510EA"/>
    <w:rsid w:val="0035131F"/>
    <w:rsid w:val="003514BA"/>
    <w:rsid w:val="003522D8"/>
    <w:rsid w:val="003532CD"/>
    <w:rsid w:val="0035403A"/>
    <w:rsid w:val="00354CB2"/>
    <w:rsid w:val="00355BB8"/>
    <w:rsid w:val="00355CFA"/>
    <w:rsid w:val="00355F9C"/>
    <w:rsid w:val="003567D1"/>
    <w:rsid w:val="00356A4F"/>
    <w:rsid w:val="00360266"/>
    <w:rsid w:val="003615C0"/>
    <w:rsid w:val="0036296C"/>
    <w:rsid w:val="0036394B"/>
    <w:rsid w:val="00363FEF"/>
    <w:rsid w:val="00365054"/>
    <w:rsid w:val="00366163"/>
    <w:rsid w:val="003662EC"/>
    <w:rsid w:val="003666DE"/>
    <w:rsid w:val="00367EDD"/>
    <w:rsid w:val="0037046B"/>
    <w:rsid w:val="003709B5"/>
    <w:rsid w:val="00371444"/>
    <w:rsid w:val="00371FF1"/>
    <w:rsid w:val="00372B00"/>
    <w:rsid w:val="00373972"/>
    <w:rsid w:val="00374459"/>
    <w:rsid w:val="003759C2"/>
    <w:rsid w:val="00377FBE"/>
    <w:rsid w:val="00380469"/>
    <w:rsid w:val="0038159C"/>
    <w:rsid w:val="00382819"/>
    <w:rsid w:val="00383743"/>
    <w:rsid w:val="00384598"/>
    <w:rsid w:val="00385074"/>
    <w:rsid w:val="00385747"/>
    <w:rsid w:val="00385B46"/>
    <w:rsid w:val="00386762"/>
    <w:rsid w:val="00386DCA"/>
    <w:rsid w:val="00390AA6"/>
    <w:rsid w:val="00391305"/>
    <w:rsid w:val="00391695"/>
    <w:rsid w:val="00391F2E"/>
    <w:rsid w:val="00392134"/>
    <w:rsid w:val="003921C5"/>
    <w:rsid w:val="00392839"/>
    <w:rsid w:val="003932A0"/>
    <w:rsid w:val="00394758"/>
    <w:rsid w:val="00395F15"/>
    <w:rsid w:val="0039633E"/>
    <w:rsid w:val="00397365"/>
    <w:rsid w:val="003A026A"/>
    <w:rsid w:val="003A0442"/>
    <w:rsid w:val="003A0A73"/>
    <w:rsid w:val="003A122D"/>
    <w:rsid w:val="003A2012"/>
    <w:rsid w:val="003A2364"/>
    <w:rsid w:val="003A2585"/>
    <w:rsid w:val="003A2ECD"/>
    <w:rsid w:val="003A31F6"/>
    <w:rsid w:val="003A433A"/>
    <w:rsid w:val="003A4A5A"/>
    <w:rsid w:val="003A6E0A"/>
    <w:rsid w:val="003B0249"/>
    <w:rsid w:val="003B0F4A"/>
    <w:rsid w:val="003B0FF0"/>
    <w:rsid w:val="003B1F6F"/>
    <w:rsid w:val="003B42E3"/>
    <w:rsid w:val="003B59D6"/>
    <w:rsid w:val="003B5BC2"/>
    <w:rsid w:val="003B610A"/>
    <w:rsid w:val="003C0A0E"/>
    <w:rsid w:val="003C1345"/>
    <w:rsid w:val="003C2BEF"/>
    <w:rsid w:val="003C3447"/>
    <w:rsid w:val="003C4444"/>
    <w:rsid w:val="003C484E"/>
    <w:rsid w:val="003C7827"/>
    <w:rsid w:val="003C7F70"/>
    <w:rsid w:val="003D076C"/>
    <w:rsid w:val="003D0B4F"/>
    <w:rsid w:val="003D11F9"/>
    <w:rsid w:val="003D220A"/>
    <w:rsid w:val="003D23A3"/>
    <w:rsid w:val="003D3478"/>
    <w:rsid w:val="003D3B96"/>
    <w:rsid w:val="003D5179"/>
    <w:rsid w:val="003D73DE"/>
    <w:rsid w:val="003D7C1A"/>
    <w:rsid w:val="003E03A5"/>
    <w:rsid w:val="003E368A"/>
    <w:rsid w:val="003E3723"/>
    <w:rsid w:val="003E609F"/>
    <w:rsid w:val="003E6C86"/>
    <w:rsid w:val="003E70E0"/>
    <w:rsid w:val="003E78B5"/>
    <w:rsid w:val="003E7B4F"/>
    <w:rsid w:val="003F2C68"/>
    <w:rsid w:val="003F42F5"/>
    <w:rsid w:val="003F47D3"/>
    <w:rsid w:val="003F537E"/>
    <w:rsid w:val="003F5F69"/>
    <w:rsid w:val="003F67F8"/>
    <w:rsid w:val="003F6C56"/>
    <w:rsid w:val="003F6CB9"/>
    <w:rsid w:val="003F6D82"/>
    <w:rsid w:val="003F759E"/>
    <w:rsid w:val="00401931"/>
    <w:rsid w:val="004021C1"/>
    <w:rsid w:val="004030B3"/>
    <w:rsid w:val="0040453C"/>
    <w:rsid w:val="00404AD5"/>
    <w:rsid w:val="00406786"/>
    <w:rsid w:val="0040689E"/>
    <w:rsid w:val="004104BA"/>
    <w:rsid w:val="0041140D"/>
    <w:rsid w:val="00411EB4"/>
    <w:rsid w:val="00412818"/>
    <w:rsid w:val="00412A46"/>
    <w:rsid w:val="00412C33"/>
    <w:rsid w:val="00413231"/>
    <w:rsid w:val="004137A7"/>
    <w:rsid w:val="00415BAB"/>
    <w:rsid w:val="00415ED2"/>
    <w:rsid w:val="004161D2"/>
    <w:rsid w:val="0041726A"/>
    <w:rsid w:val="0041751A"/>
    <w:rsid w:val="004177BD"/>
    <w:rsid w:val="0042068C"/>
    <w:rsid w:val="0042108D"/>
    <w:rsid w:val="004219C2"/>
    <w:rsid w:val="00423178"/>
    <w:rsid w:val="004232B6"/>
    <w:rsid w:val="00424B00"/>
    <w:rsid w:val="00425439"/>
    <w:rsid w:val="00425B71"/>
    <w:rsid w:val="004265AD"/>
    <w:rsid w:val="00430421"/>
    <w:rsid w:val="00430F5F"/>
    <w:rsid w:val="00432929"/>
    <w:rsid w:val="004340D7"/>
    <w:rsid w:val="004346F8"/>
    <w:rsid w:val="00434814"/>
    <w:rsid w:val="00434F58"/>
    <w:rsid w:val="00435907"/>
    <w:rsid w:val="0043597F"/>
    <w:rsid w:val="0043700A"/>
    <w:rsid w:val="00437B6A"/>
    <w:rsid w:val="00437E09"/>
    <w:rsid w:val="00442775"/>
    <w:rsid w:val="00442B7B"/>
    <w:rsid w:val="00442F78"/>
    <w:rsid w:val="00443358"/>
    <w:rsid w:val="00443830"/>
    <w:rsid w:val="00443CCC"/>
    <w:rsid w:val="0044462D"/>
    <w:rsid w:val="0044478B"/>
    <w:rsid w:val="0044547A"/>
    <w:rsid w:val="00445BC0"/>
    <w:rsid w:val="00446E47"/>
    <w:rsid w:val="00447904"/>
    <w:rsid w:val="004516A4"/>
    <w:rsid w:val="00452703"/>
    <w:rsid w:val="004542CA"/>
    <w:rsid w:val="00454F05"/>
    <w:rsid w:val="004558D0"/>
    <w:rsid w:val="004574D4"/>
    <w:rsid w:val="00457EFA"/>
    <w:rsid w:val="00460B88"/>
    <w:rsid w:val="004623ED"/>
    <w:rsid w:val="00462CA2"/>
    <w:rsid w:val="00463F64"/>
    <w:rsid w:val="00464B25"/>
    <w:rsid w:val="00464F48"/>
    <w:rsid w:val="00465D4A"/>
    <w:rsid w:val="00466375"/>
    <w:rsid w:val="00467598"/>
    <w:rsid w:val="0047122B"/>
    <w:rsid w:val="0047177D"/>
    <w:rsid w:val="0047247B"/>
    <w:rsid w:val="00473AE4"/>
    <w:rsid w:val="00473B7A"/>
    <w:rsid w:val="004740A6"/>
    <w:rsid w:val="004747F8"/>
    <w:rsid w:val="00477940"/>
    <w:rsid w:val="00477FA8"/>
    <w:rsid w:val="004804DB"/>
    <w:rsid w:val="00483216"/>
    <w:rsid w:val="00483379"/>
    <w:rsid w:val="00483902"/>
    <w:rsid w:val="00486073"/>
    <w:rsid w:val="0048630F"/>
    <w:rsid w:val="004875EF"/>
    <w:rsid w:val="004902C7"/>
    <w:rsid w:val="00490DEF"/>
    <w:rsid w:val="004912F0"/>
    <w:rsid w:val="00491E4D"/>
    <w:rsid w:val="004920DE"/>
    <w:rsid w:val="00493A87"/>
    <w:rsid w:val="00494A95"/>
    <w:rsid w:val="00494E3F"/>
    <w:rsid w:val="00495379"/>
    <w:rsid w:val="004960E9"/>
    <w:rsid w:val="00496414"/>
    <w:rsid w:val="004971D3"/>
    <w:rsid w:val="0049798C"/>
    <w:rsid w:val="004A0449"/>
    <w:rsid w:val="004A0A85"/>
    <w:rsid w:val="004A0DC6"/>
    <w:rsid w:val="004A0FD2"/>
    <w:rsid w:val="004A1269"/>
    <w:rsid w:val="004A17C1"/>
    <w:rsid w:val="004A2856"/>
    <w:rsid w:val="004A2D00"/>
    <w:rsid w:val="004A2E88"/>
    <w:rsid w:val="004A326A"/>
    <w:rsid w:val="004A33B8"/>
    <w:rsid w:val="004A4B23"/>
    <w:rsid w:val="004A51E0"/>
    <w:rsid w:val="004A5305"/>
    <w:rsid w:val="004A57FA"/>
    <w:rsid w:val="004B0FC4"/>
    <w:rsid w:val="004B1676"/>
    <w:rsid w:val="004B25B0"/>
    <w:rsid w:val="004B2EB0"/>
    <w:rsid w:val="004B47B2"/>
    <w:rsid w:val="004B5442"/>
    <w:rsid w:val="004B5F87"/>
    <w:rsid w:val="004B620E"/>
    <w:rsid w:val="004B7529"/>
    <w:rsid w:val="004C1D1A"/>
    <w:rsid w:val="004C2B06"/>
    <w:rsid w:val="004C2E60"/>
    <w:rsid w:val="004C3DBD"/>
    <w:rsid w:val="004C5987"/>
    <w:rsid w:val="004C7024"/>
    <w:rsid w:val="004D31B3"/>
    <w:rsid w:val="004D3EB6"/>
    <w:rsid w:val="004D49E3"/>
    <w:rsid w:val="004D4FB5"/>
    <w:rsid w:val="004D5600"/>
    <w:rsid w:val="004D7634"/>
    <w:rsid w:val="004E210A"/>
    <w:rsid w:val="004E21B3"/>
    <w:rsid w:val="004E2CC2"/>
    <w:rsid w:val="004E3275"/>
    <w:rsid w:val="004E4982"/>
    <w:rsid w:val="004E5893"/>
    <w:rsid w:val="004E5EDD"/>
    <w:rsid w:val="004E74C8"/>
    <w:rsid w:val="004E74DF"/>
    <w:rsid w:val="004F19FB"/>
    <w:rsid w:val="004F569D"/>
    <w:rsid w:val="004F5DD3"/>
    <w:rsid w:val="004F6419"/>
    <w:rsid w:val="004F68C4"/>
    <w:rsid w:val="00500A28"/>
    <w:rsid w:val="00501C96"/>
    <w:rsid w:val="0050269F"/>
    <w:rsid w:val="00503BA2"/>
    <w:rsid w:val="00504DE2"/>
    <w:rsid w:val="005056C1"/>
    <w:rsid w:val="00507C8B"/>
    <w:rsid w:val="00510831"/>
    <w:rsid w:val="005110AB"/>
    <w:rsid w:val="00511E92"/>
    <w:rsid w:val="005132E1"/>
    <w:rsid w:val="00513F86"/>
    <w:rsid w:val="0051435F"/>
    <w:rsid w:val="00515246"/>
    <w:rsid w:val="00515C6C"/>
    <w:rsid w:val="00515F11"/>
    <w:rsid w:val="0051737B"/>
    <w:rsid w:val="00517DBC"/>
    <w:rsid w:val="00517E73"/>
    <w:rsid w:val="005206E2"/>
    <w:rsid w:val="00521378"/>
    <w:rsid w:val="00522E32"/>
    <w:rsid w:val="005236DB"/>
    <w:rsid w:val="00524EFD"/>
    <w:rsid w:val="005276CE"/>
    <w:rsid w:val="005300B2"/>
    <w:rsid w:val="005300D3"/>
    <w:rsid w:val="00530569"/>
    <w:rsid w:val="005307C3"/>
    <w:rsid w:val="00530A8E"/>
    <w:rsid w:val="0053131E"/>
    <w:rsid w:val="00532FD2"/>
    <w:rsid w:val="00533B44"/>
    <w:rsid w:val="00533B5B"/>
    <w:rsid w:val="00535622"/>
    <w:rsid w:val="00535BE9"/>
    <w:rsid w:val="0053648C"/>
    <w:rsid w:val="005367E5"/>
    <w:rsid w:val="005371C5"/>
    <w:rsid w:val="00537674"/>
    <w:rsid w:val="00537735"/>
    <w:rsid w:val="0054060C"/>
    <w:rsid w:val="0054090B"/>
    <w:rsid w:val="00541222"/>
    <w:rsid w:val="00541724"/>
    <w:rsid w:val="00544019"/>
    <w:rsid w:val="00544F82"/>
    <w:rsid w:val="00545484"/>
    <w:rsid w:val="00546550"/>
    <w:rsid w:val="00547653"/>
    <w:rsid w:val="0055024D"/>
    <w:rsid w:val="005539CD"/>
    <w:rsid w:val="00554536"/>
    <w:rsid w:val="00554BC1"/>
    <w:rsid w:val="00554E0F"/>
    <w:rsid w:val="005575A4"/>
    <w:rsid w:val="005626E0"/>
    <w:rsid w:val="005638B0"/>
    <w:rsid w:val="00564527"/>
    <w:rsid w:val="005672F4"/>
    <w:rsid w:val="0057046A"/>
    <w:rsid w:val="0057063C"/>
    <w:rsid w:val="005745EF"/>
    <w:rsid w:val="0057472E"/>
    <w:rsid w:val="00574FB3"/>
    <w:rsid w:val="005758E2"/>
    <w:rsid w:val="00576862"/>
    <w:rsid w:val="00577EC1"/>
    <w:rsid w:val="00581C4D"/>
    <w:rsid w:val="005820C6"/>
    <w:rsid w:val="00582420"/>
    <w:rsid w:val="00582B8C"/>
    <w:rsid w:val="005841EE"/>
    <w:rsid w:val="00584F27"/>
    <w:rsid w:val="00586538"/>
    <w:rsid w:val="005879B0"/>
    <w:rsid w:val="00591425"/>
    <w:rsid w:val="0059207B"/>
    <w:rsid w:val="00592F45"/>
    <w:rsid w:val="0059314A"/>
    <w:rsid w:val="00593853"/>
    <w:rsid w:val="00593C4F"/>
    <w:rsid w:val="005946A8"/>
    <w:rsid w:val="005959BB"/>
    <w:rsid w:val="005966A9"/>
    <w:rsid w:val="005967AC"/>
    <w:rsid w:val="00596C97"/>
    <w:rsid w:val="005973CE"/>
    <w:rsid w:val="005A0536"/>
    <w:rsid w:val="005A158B"/>
    <w:rsid w:val="005A1AD2"/>
    <w:rsid w:val="005A2829"/>
    <w:rsid w:val="005A38F3"/>
    <w:rsid w:val="005A3B54"/>
    <w:rsid w:val="005A4114"/>
    <w:rsid w:val="005A4191"/>
    <w:rsid w:val="005A4407"/>
    <w:rsid w:val="005A59EF"/>
    <w:rsid w:val="005A5C18"/>
    <w:rsid w:val="005A5DD8"/>
    <w:rsid w:val="005A624E"/>
    <w:rsid w:val="005A7139"/>
    <w:rsid w:val="005A7891"/>
    <w:rsid w:val="005B0AEB"/>
    <w:rsid w:val="005B0E4C"/>
    <w:rsid w:val="005B2A18"/>
    <w:rsid w:val="005B2B95"/>
    <w:rsid w:val="005B3B6C"/>
    <w:rsid w:val="005B424B"/>
    <w:rsid w:val="005C0F04"/>
    <w:rsid w:val="005C14B4"/>
    <w:rsid w:val="005C2383"/>
    <w:rsid w:val="005C35D1"/>
    <w:rsid w:val="005C402A"/>
    <w:rsid w:val="005C63A8"/>
    <w:rsid w:val="005D0DED"/>
    <w:rsid w:val="005D215E"/>
    <w:rsid w:val="005D3739"/>
    <w:rsid w:val="005D4A9B"/>
    <w:rsid w:val="005D51E4"/>
    <w:rsid w:val="005D539E"/>
    <w:rsid w:val="005D6910"/>
    <w:rsid w:val="005D790C"/>
    <w:rsid w:val="005D7D9B"/>
    <w:rsid w:val="005E189C"/>
    <w:rsid w:val="005E20A3"/>
    <w:rsid w:val="005E3CAA"/>
    <w:rsid w:val="005E438D"/>
    <w:rsid w:val="005E4D01"/>
    <w:rsid w:val="005E54E9"/>
    <w:rsid w:val="005E5705"/>
    <w:rsid w:val="005E654A"/>
    <w:rsid w:val="005E6D07"/>
    <w:rsid w:val="005E7111"/>
    <w:rsid w:val="005E7908"/>
    <w:rsid w:val="005E7991"/>
    <w:rsid w:val="005F1F82"/>
    <w:rsid w:val="005F26F3"/>
    <w:rsid w:val="005F3318"/>
    <w:rsid w:val="005F3710"/>
    <w:rsid w:val="005F562F"/>
    <w:rsid w:val="005F65B1"/>
    <w:rsid w:val="005F6F41"/>
    <w:rsid w:val="005F7A7E"/>
    <w:rsid w:val="00600176"/>
    <w:rsid w:val="006015FB"/>
    <w:rsid w:val="00602A51"/>
    <w:rsid w:val="00602D64"/>
    <w:rsid w:val="006038CC"/>
    <w:rsid w:val="00603AF2"/>
    <w:rsid w:val="006043B8"/>
    <w:rsid w:val="00604D50"/>
    <w:rsid w:val="0060659D"/>
    <w:rsid w:val="00606DB2"/>
    <w:rsid w:val="00606F6A"/>
    <w:rsid w:val="00610258"/>
    <w:rsid w:val="0061061E"/>
    <w:rsid w:val="00610E3A"/>
    <w:rsid w:val="006110B0"/>
    <w:rsid w:val="00611BAF"/>
    <w:rsid w:val="006132E4"/>
    <w:rsid w:val="006173C7"/>
    <w:rsid w:val="0061769C"/>
    <w:rsid w:val="006205BB"/>
    <w:rsid w:val="00621520"/>
    <w:rsid w:val="006218F4"/>
    <w:rsid w:val="00621A12"/>
    <w:rsid w:val="00621ABE"/>
    <w:rsid w:val="006229FA"/>
    <w:rsid w:val="0062342E"/>
    <w:rsid w:val="006235E2"/>
    <w:rsid w:val="0062490D"/>
    <w:rsid w:val="00624952"/>
    <w:rsid w:val="00624C1E"/>
    <w:rsid w:val="00625B59"/>
    <w:rsid w:val="00625DC6"/>
    <w:rsid w:val="0063084B"/>
    <w:rsid w:val="00631181"/>
    <w:rsid w:val="006328E6"/>
    <w:rsid w:val="00632C3D"/>
    <w:rsid w:val="0063353C"/>
    <w:rsid w:val="00635A91"/>
    <w:rsid w:val="00636224"/>
    <w:rsid w:val="006363D0"/>
    <w:rsid w:val="006401EE"/>
    <w:rsid w:val="0064117E"/>
    <w:rsid w:val="0064391D"/>
    <w:rsid w:val="006444D4"/>
    <w:rsid w:val="00644D44"/>
    <w:rsid w:val="00645C15"/>
    <w:rsid w:val="00646040"/>
    <w:rsid w:val="006460B4"/>
    <w:rsid w:val="00646950"/>
    <w:rsid w:val="00647C1D"/>
    <w:rsid w:val="006500A8"/>
    <w:rsid w:val="00651821"/>
    <w:rsid w:val="00652548"/>
    <w:rsid w:val="00652DB2"/>
    <w:rsid w:val="0065393F"/>
    <w:rsid w:val="00653C26"/>
    <w:rsid w:val="00654117"/>
    <w:rsid w:val="00654384"/>
    <w:rsid w:val="00654B37"/>
    <w:rsid w:val="00654F3E"/>
    <w:rsid w:val="00654FC6"/>
    <w:rsid w:val="00655782"/>
    <w:rsid w:val="00656E22"/>
    <w:rsid w:val="00657695"/>
    <w:rsid w:val="00661234"/>
    <w:rsid w:val="0066454F"/>
    <w:rsid w:val="00666FC9"/>
    <w:rsid w:val="00667020"/>
    <w:rsid w:val="006675CD"/>
    <w:rsid w:val="00667F2A"/>
    <w:rsid w:val="006706EF"/>
    <w:rsid w:val="006725A2"/>
    <w:rsid w:val="00672A65"/>
    <w:rsid w:val="00672AA9"/>
    <w:rsid w:val="0067366A"/>
    <w:rsid w:val="00674C62"/>
    <w:rsid w:val="00674D4E"/>
    <w:rsid w:val="0067726F"/>
    <w:rsid w:val="00684C9E"/>
    <w:rsid w:val="00684D9B"/>
    <w:rsid w:val="006861EF"/>
    <w:rsid w:val="00686C91"/>
    <w:rsid w:val="006875CB"/>
    <w:rsid w:val="00690AC9"/>
    <w:rsid w:val="00690AFD"/>
    <w:rsid w:val="00690FA7"/>
    <w:rsid w:val="00691C0E"/>
    <w:rsid w:val="00691D21"/>
    <w:rsid w:val="00691EFE"/>
    <w:rsid w:val="00692D63"/>
    <w:rsid w:val="0069352A"/>
    <w:rsid w:val="00693EDB"/>
    <w:rsid w:val="00694885"/>
    <w:rsid w:val="00696592"/>
    <w:rsid w:val="00696CF4"/>
    <w:rsid w:val="006970CF"/>
    <w:rsid w:val="00697556"/>
    <w:rsid w:val="006A0671"/>
    <w:rsid w:val="006A14B5"/>
    <w:rsid w:val="006A1E88"/>
    <w:rsid w:val="006A2161"/>
    <w:rsid w:val="006A42F9"/>
    <w:rsid w:val="006A4DA4"/>
    <w:rsid w:val="006A5BD7"/>
    <w:rsid w:val="006A71B1"/>
    <w:rsid w:val="006A7392"/>
    <w:rsid w:val="006A79DE"/>
    <w:rsid w:val="006A7A16"/>
    <w:rsid w:val="006B12CB"/>
    <w:rsid w:val="006B23A9"/>
    <w:rsid w:val="006B2C70"/>
    <w:rsid w:val="006B2CA2"/>
    <w:rsid w:val="006B3540"/>
    <w:rsid w:val="006B438E"/>
    <w:rsid w:val="006B4647"/>
    <w:rsid w:val="006B481B"/>
    <w:rsid w:val="006B491B"/>
    <w:rsid w:val="006B4C2B"/>
    <w:rsid w:val="006B579F"/>
    <w:rsid w:val="006B6D47"/>
    <w:rsid w:val="006B7101"/>
    <w:rsid w:val="006C0ED5"/>
    <w:rsid w:val="006C4E7C"/>
    <w:rsid w:val="006C51CA"/>
    <w:rsid w:val="006C5AFE"/>
    <w:rsid w:val="006D0453"/>
    <w:rsid w:val="006D0550"/>
    <w:rsid w:val="006D0E7F"/>
    <w:rsid w:val="006D203D"/>
    <w:rsid w:val="006D2557"/>
    <w:rsid w:val="006D2817"/>
    <w:rsid w:val="006D4C16"/>
    <w:rsid w:val="006D643D"/>
    <w:rsid w:val="006D757F"/>
    <w:rsid w:val="006D7EF7"/>
    <w:rsid w:val="006E033E"/>
    <w:rsid w:val="006E22B6"/>
    <w:rsid w:val="006E24AF"/>
    <w:rsid w:val="006E3238"/>
    <w:rsid w:val="006E36D6"/>
    <w:rsid w:val="006E42CE"/>
    <w:rsid w:val="006F2052"/>
    <w:rsid w:val="006F2F91"/>
    <w:rsid w:val="006F509C"/>
    <w:rsid w:val="006F55A6"/>
    <w:rsid w:val="006F56A9"/>
    <w:rsid w:val="006F60E8"/>
    <w:rsid w:val="006F65EE"/>
    <w:rsid w:val="006F6D95"/>
    <w:rsid w:val="006F7B4F"/>
    <w:rsid w:val="006F7EA2"/>
    <w:rsid w:val="0070130A"/>
    <w:rsid w:val="0070131F"/>
    <w:rsid w:val="0070157F"/>
    <w:rsid w:val="00701F4A"/>
    <w:rsid w:val="00701FB5"/>
    <w:rsid w:val="00702CC9"/>
    <w:rsid w:val="00702DFD"/>
    <w:rsid w:val="00703123"/>
    <w:rsid w:val="0070524E"/>
    <w:rsid w:val="00706048"/>
    <w:rsid w:val="00706F13"/>
    <w:rsid w:val="00706FFA"/>
    <w:rsid w:val="007072E8"/>
    <w:rsid w:val="0071081E"/>
    <w:rsid w:val="00711C30"/>
    <w:rsid w:val="00711C67"/>
    <w:rsid w:val="00714EB2"/>
    <w:rsid w:val="00714FBC"/>
    <w:rsid w:val="0071552A"/>
    <w:rsid w:val="0071618D"/>
    <w:rsid w:val="0072154E"/>
    <w:rsid w:val="00722204"/>
    <w:rsid w:val="00722463"/>
    <w:rsid w:val="007234AF"/>
    <w:rsid w:val="00723806"/>
    <w:rsid w:val="007242D4"/>
    <w:rsid w:val="0072447A"/>
    <w:rsid w:val="00725FA4"/>
    <w:rsid w:val="00726EEB"/>
    <w:rsid w:val="0072749E"/>
    <w:rsid w:val="00730845"/>
    <w:rsid w:val="007313E8"/>
    <w:rsid w:val="00734856"/>
    <w:rsid w:val="007356C0"/>
    <w:rsid w:val="00736377"/>
    <w:rsid w:val="00736F10"/>
    <w:rsid w:val="00737268"/>
    <w:rsid w:val="00740446"/>
    <w:rsid w:val="00741712"/>
    <w:rsid w:val="00742030"/>
    <w:rsid w:val="0074250E"/>
    <w:rsid w:val="00743809"/>
    <w:rsid w:val="007438A9"/>
    <w:rsid w:val="0074491E"/>
    <w:rsid w:val="00745971"/>
    <w:rsid w:val="00746D28"/>
    <w:rsid w:val="00751970"/>
    <w:rsid w:val="00751E8F"/>
    <w:rsid w:val="00753C4B"/>
    <w:rsid w:val="007546D0"/>
    <w:rsid w:val="00754AE0"/>
    <w:rsid w:val="007552B9"/>
    <w:rsid w:val="00757341"/>
    <w:rsid w:val="00760160"/>
    <w:rsid w:val="007616CD"/>
    <w:rsid w:val="00761A28"/>
    <w:rsid w:val="00761D50"/>
    <w:rsid w:val="00761EDD"/>
    <w:rsid w:val="0076247A"/>
    <w:rsid w:val="007624BB"/>
    <w:rsid w:val="00762E7E"/>
    <w:rsid w:val="00763136"/>
    <w:rsid w:val="007636CA"/>
    <w:rsid w:val="00763E5B"/>
    <w:rsid w:val="00764FC5"/>
    <w:rsid w:val="007667A8"/>
    <w:rsid w:val="00770391"/>
    <w:rsid w:val="00770ED9"/>
    <w:rsid w:val="00772CB0"/>
    <w:rsid w:val="00772D54"/>
    <w:rsid w:val="00773386"/>
    <w:rsid w:val="00775609"/>
    <w:rsid w:val="00775964"/>
    <w:rsid w:val="00775C47"/>
    <w:rsid w:val="007765FE"/>
    <w:rsid w:val="00776775"/>
    <w:rsid w:val="00776BD0"/>
    <w:rsid w:val="007818F2"/>
    <w:rsid w:val="00782BA7"/>
    <w:rsid w:val="007838D1"/>
    <w:rsid w:val="00785D0B"/>
    <w:rsid w:val="00786458"/>
    <w:rsid w:val="00787219"/>
    <w:rsid w:val="00787FFA"/>
    <w:rsid w:val="00790034"/>
    <w:rsid w:val="0079027D"/>
    <w:rsid w:val="007905F7"/>
    <w:rsid w:val="0079070B"/>
    <w:rsid w:val="00792487"/>
    <w:rsid w:val="007951A8"/>
    <w:rsid w:val="00795BFB"/>
    <w:rsid w:val="007971FC"/>
    <w:rsid w:val="00797934"/>
    <w:rsid w:val="007A0CF3"/>
    <w:rsid w:val="007A10D6"/>
    <w:rsid w:val="007A299D"/>
    <w:rsid w:val="007A59A0"/>
    <w:rsid w:val="007A5A0A"/>
    <w:rsid w:val="007A6139"/>
    <w:rsid w:val="007A6F7F"/>
    <w:rsid w:val="007B0989"/>
    <w:rsid w:val="007B2424"/>
    <w:rsid w:val="007B2760"/>
    <w:rsid w:val="007B361C"/>
    <w:rsid w:val="007B4F3D"/>
    <w:rsid w:val="007B5E9A"/>
    <w:rsid w:val="007B6A62"/>
    <w:rsid w:val="007B71A2"/>
    <w:rsid w:val="007B796D"/>
    <w:rsid w:val="007C0FAE"/>
    <w:rsid w:val="007C3D92"/>
    <w:rsid w:val="007C5866"/>
    <w:rsid w:val="007C6311"/>
    <w:rsid w:val="007D0F59"/>
    <w:rsid w:val="007D15B2"/>
    <w:rsid w:val="007D2144"/>
    <w:rsid w:val="007D29C2"/>
    <w:rsid w:val="007D2BF0"/>
    <w:rsid w:val="007D32FC"/>
    <w:rsid w:val="007D39F7"/>
    <w:rsid w:val="007D400B"/>
    <w:rsid w:val="007D5B60"/>
    <w:rsid w:val="007D793F"/>
    <w:rsid w:val="007E015A"/>
    <w:rsid w:val="007E13C5"/>
    <w:rsid w:val="007E2E1B"/>
    <w:rsid w:val="007E34CC"/>
    <w:rsid w:val="007E3914"/>
    <w:rsid w:val="007E4A18"/>
    <w:rsid w:val="007E4A19"/>
    <w:rsid w:val="007E6094"/>
    <w:rsid w:val="007E6E4C"/>
    <w:rsid w:val="007F03D7"/>
    <w:rsid w:val="007F0C9C"/>
    <w:rsid w:val="007F0D30"/>
    <w:rsid w:val="007F1029"/>
    <w:rsid w:val="007F1234"/>
    <w:rsid w:val="007F18A8"/>
    <w:rsid w:val="007F20DF"/>
    <w:rsid w:val="007F3306"/>
    <w:rsid w:val="007F4EDE"/>
    <w:rsid w:val="007F657D"/>
    <w:rsid w:val="007F7E38"/>
    <w:rsid w:val="0080016A"/>
    <w:rsid w:val="0080025F"/>
    <w:rsid w:val="00800B0F"/>
    <w:rsid w:val="00800BD9"/>
    <w:rsid w:val="00800E64"/>
    <w:rsid w:val="008024FC"/>
    <w:rsid w:val="0080425C"/>
    <w:rsid w:val="00805874"/>
    <w:rsid w:val="00806C01"/>
    <w:rsid w:val="0081041F"/>
    <w:rsid w:val="00810BE0"/>
    <w:rsid w:val="00813839"/>
    <w:rsid w:val="00813908"/>
    <w:rsid w:val="00813C04"/>
    <w:rsid w:val="008148CC"/>
    <w:rsid w:val="00814EE0"/>
    <w:rsid w:val="0081630D"/>
    <w:rsid w:val="00820794"/>
    <w:rsid w:val="008211A4"/>
    <w:rsid w:val="00821A08"/>
    <w:rsid w:val="00822BE6"/>
    <w:rsid w:val="00822D51"/>
    <w:rsid w:val="0082340B"/>
    <w:rsid w:val="0082417E"/>
    <w:rsid w:val="00827893"/>
    <w:rsid w:val="00830DFB"/>
    <w:rsid w:val="00831BF5"/>
    <w:rsid w:val="0083274D"/>
    <w:rsid w:val="008334AE"/>
    <w:rsid w:val="00835290"/>
    <w:rsid w:val="008364D5"/>
    <w:rsid w:val="00836609"/>
    <w:rsid w:val="00836977"/>
    <w:rsid w:val="00836AEB"/>
    <w:rsid w:val="00836C7B"/>
    <w:rsid w:val="0083734E"/>
    <w:rsid w:val="00840029"/>
    <w:rsid w:val="00841436"/>
    <w:rsid w:val="00844C07"/>
    <w:rsid w:val="00844F6E"/>
    <w:rsid w:val="00846011"/>
    <w:rsid w:val="00846EBD"/>
    <w:rsid w:val="0084730E"/>
    <w:rsid w:val="008479FF"/>
    <w:rsid w:val="00847B74"/>
    <w:rsid w:val="00851C34"/>
    <w:rsid w:val="0085317C"/>
    <w:rsid w:val="00853915"/>
    <w:rsid w:val="00854910"/>
    <w:rsid w:val="00854A95"/>
    <w:rsid w:val="00855971"/>
    <w:rsid w:val="008570D6"/>
    <w:rsid w:val="0086092D"/>
    <w:rsid w:val="00862C82"/>
    <w:rsid w:val="00863B7D"/>
    <w:rsid w:val="008657E9"/>
    <w:rsid w:val="00865C81"/>
    <w:rsid w:val="00865F1E"/>
    <w:rsid w:val="0087054E"/>
    <w:rsid w:val="0087071F"/>
    <w:rsid w:val="0087105D"/>
    <w:rsid w:val="00871127"/>
    <w:rsid w:val="00871381"/>
    <w:rsid w:val="00871538"/>
    <w:rsid w:val="008720ED"/>
    <w:rsid w:val="00872A86"/>
    <w:rsid w:val="00873150"/>
    <w:rsid w:val="00874ADA"/>
    <w:rsid w:val="00874E4A"/>
    <w:rsid w:val="0087657D"/>
    <w:rsid w:val="00876CC1"/>
    <w:rsid w:val="008803F3"/>
    <w:rsid w:val="008804F7"/>
    <w:rsid w:val="008807D5"/>
    <w:rsid w:val="00880832"/>
    <w:rsid w:val="008817DA"/>
    <w:rsid w:val="00881968"/>
    <w:rsid w:val="008820F2"/>
    <w:rsid w:val="00884344"/>
    <w:rsid w:val="008864AA"/>
    <w:rsid w:val="008864FF"/>
    <w:rsid w:val="00886EE1"/>
    <w:rsid w:val="0088727D"/>
    <w:rsid w:val="00892933"/>
    <w:rsid w:val="00892FBA"/>
    <w:rsid w:val="00892FE7"/>
    <w:rsid w:val="0089375B"/>
    <w:rsid w:val="00896DC1"/>
    <w:rsid w:val="00896FA9"/>
    <w:rsid w:val="008970D2"/>
    <w:rsid w:val="00897C0B"/>
    <w:rsid w:val="00897C75"/>
    <w:rsid w:val="008A0B31"/>
    <w:rsid w:val="008A0E92"/>
    <w:rsid w:val="008A3215"/>
    <w:rsid w:val="008A43AC"/>
    <w:rsid w:val="008A4F0C"/>
    <w:rsid w:val="008A58C5"/>
    <w:rsid w:val="008B016A"/>
    <w:rsid w:val="008B0C20"/>
    <w:rsid w:val="008B1543"/>
    <w:rsid w:val="008B1B22"/>
    <w:rsid w:val="008B2589"/>
    <w:rsid w:val="008B2885"/>
    <w:rsid w:val="008B370B"/>
    <w:rsid w:val="008B374A"/>
    <w:rsid w:val="008B385E"/>
    <w:rsid w:val="008B3B03"/>
    <w:rsid w:val="008B4844"/>
    <w:rsid w:val="008B49A0"/>
    <w:rsid w:val="008B4BAD"/>
    <w:rsid w:val="008B79DB"/>
    <w:rsid w:val="008B7F2D"/>
    <w:rsid w:val="008C0852"/>
    <w:rsid w:val="008C1130"/>
    <w:rsid w:val="008C4BAE"/>
    <w:rsid w:val="008C571F"/>
    <w:rsid w:val="008C66ED"/>
    <w:rsid w:val="008C6C8F"/>
    <w:rsid w:val="008C7804"/>
    <w:rsid w:val="008D037A"/>
    <w:rsid w:val="008D09B3"/>
    <w:rsid w:val="008D18E6"/>
    <w:rsid w:val="008D1CA0"/>
    <w:rsid w:val="008D1F6B"/>
    <w:rsid w:val="008D2F15"/>
    <w:rsid w:val="008D31DE"/>
    <w:rsid w:val="008D34C6"/>
    <w:rsid w:val="008D4513"/>
    <w:rsid w:val="008D462E"/>
    <w:rsid w:val="008D4BCA"/>
    <w:rsid w:val="008D6A65"/>
    <w:rsid w:val="008D7A9B"/>
    <w:rsid w:val="008E1654"/>
    <w:rsid w:val="008E1C05"/>
    <w:rsid w:val="008E20F4"/>
    <w:rsid w:val="008E2F4A"/>
    <w:rsid w:val="008E64DD"/>
    <w:rsid w:val="008E70DD"/>
    <w:rsid w:val="008E76AC"/>
    <w:rsid w:val="008F057E"/>
    <w:rsid w:val="008F18D2"/>
    <w:rsid w:val="008F1B6C"/>
    <w:rsid w:val="008F209A"/>
    <w:rsid w:val="008F20FD"/>
    <w:rsid w:val="008F21F6"/>
    <w:rsid w:val="008F2823"/>
    <w:rsid w:val="008F3DE4"/>
    <w:rsid w:val="008F493C"/>
    <w:rsid w:val="008F4D05"/>
    <w:rsid w:val="008F52C3"/>
    <w:rsid w:val="008F53A4"/>
    <w:rsid w:val="008F59D8"/>
    <w:rsid w:val="008F6C16"/>
    <w:rsid w:val="008F7434"/>
    <w:rsid w:val="008F7F7E"/>
    <w:rsid w:val="009000A9"/>
    <w:rsid w:val="00900FAF"/>
    <w:rsid w:val="00901E63"/>
    <w:rsid w:val="009033FA"/>
    <w:rsid w:val="00903CE0"/>
    <w:rsid w:val="00903E1A"/>
    <w:rsid w:val="00904021"/>
    <w:rsid w:val="009042EB"/>
    <w:rsid w:val="0090471A"/>
    <w:rsid w:val="00904F1D"/>
    <w:rsid w:val="00905366"/>
    <w:rsid w:val="00906938"/>
    <w:rsid w:val="00906E99"/>
    <w:rsid w:val="009115EE"/>
    <w:rsid w:val="00912537"/>
    <w:rsid w:val="00912E33"/>
    <w:rsid w:val="009139A6"/>
    <w:rsid w:val="009148E0"/>
    <w:rsid w:val="009153B5"/>
    <w:rsid w:val="00915A63"/>
    <w:rsid w:val="00916365"/>
    <w:rsid w:val="009164EC"/>
    <w:rsid w:val="00916751"/>
    <w:rsid w:val="0091743C"/>
    <w:rsid w:val="00917A4B"/>
    <w:rsid w:val="009202E4"/>
    <w:rsid w:val="00920E83"/>
    <w:rsid w:val="00922328"/>
    <w:rsid w:val="00922A42"/>
    <w:rsid w:val="009253DC"/>
    <w:rsid w:val="0092653C"/>
    <w:rsid w:val="00926D0E"/>
    <w:rsid w:val="009306AF"/>
    <w:rsid w:val="00930A65"/>
    <w:rsid w:val="009311FB"/>
    <w:rsid w:val="009312B2"/>
    <w:rsid w:val="009317D5"/>
    <w:rsid w:val="0093195E"/>
    <w:rsid w:val="00931FC2"/>
    <w:rsid w:val="00935BDA"/>
    <w:rsid w:val="009369C1"/>
    <w:rsid w:val="00940779"/>
    <w:rsid w:val="0094240E"/>
    <w:rsid w:val="009424E6"/>
    <w:rsid w:val="00942862"/>
    <w:rsid w:val="0094293E"/>
    <w:rsid w:val="0094390A"/>
    <w:rsid w:val="00943A49"/>
    <w:rsid w:val="00943C28"/>
    <w:rsid w:val="009443B2"/>
    <w:rsid w:val="009451AE"/>
    <w:rsid w:val="00947A45"/>
    <w:rsid w:val="00947E01"/>
    <w:rsid w:val="009500B9"/>
    <w:rsid w:val="00951F79"/>
    <w:rsid w:val="00952DC9"/>
    <w:rsid w:val="00952E6F"/>
    <w:rsid w:val="00953D94"/>
    <w:rsid w:val="009548BF"/>
    <w:rsid w:val="009556A3"/>
    <w:rsid w:val="00955E1B"/>
    <w:rsid w:val="009608BF"/>
    <w:rsid w:val="009617BA"/>
    <w:rsid w:val="00961E52"/>
    <w:rsid w:val="00962F94"/>
    <w:rsid w:val="009630CB"/>
    <w:rsid w:val="00963AB5"/>
    <w:rsid w:val="00964837"/>
    <w:rsid w:val="00966AE3"/>
    <w:rsid w:val="00967714"/>
    <w:rsid w:val="00967818"/>
    <w:rsid w:val="00970AB5"/>
    <w:rsid w:val="00974AB5"/>
    <w:rsid w:val="00974CCA"/>
    <w:rsid w:val="00975304"/>
    <w:rsid w:val="00975668"/>
    <w:rsid w:val="00975FE2"/>
    <w:rsid w:val="009770B8"/>
    <w:rsid w:val="0097762F"/>
    <w:rsid w:val="00977B56"/>
    <w:rsid w:val="00982133"/>
    <w:rsid w:val="009838BB"/>
    <w:rsid w:val="009840B9"/>
    <w:rsid w:val="009849DF"/>
    <w:rsid w:val="009856DC"/>
    <w:rsid w:val="00985E0A"/>
    <w:rsid w:val="009868C9"/>
    <w:rsid w:val="00986914"/>
    <w:rsid w:val="0098706D"/>
    <w:rsid w:val="00987A78"/>
    <w:rsid w:val="009906B3"/>
    <w:rsid w:val="00991A8F"/>
    <w:rsid w:val="00993101"/>
    <w:rsid w:val="009935FB"/>
    <w:rsid w:val="0099455C"/>
    <w:rsid w:val="009962F5"/>
    <w:rsid w:val="009967EA"/>
    <w:rsid w:val="00996FBB"/>
    <w:rsid w:val="009A0BE3"/>
    <w:rsid w:val="009A118F"/>
    <w:rsid w:val="009A1546"/>
    <w:rsid w:val="009A40CB"/>
    <w:rsid w:val="009A4937"/>
    <w:rsid w:val="009A718C"/>
    <w:rsid w:val="009B0DB1"/>
    <w:rsid w:val="009B2AE1"/>
    <w:rsid w:val="009B2CD0"/>
    <w:rsid w:val="009B2E29"/>
    <w:rsid w:val="009B5BF0"/>
    <w:rsid w:val="009B7A1D"/>
    <w:rsid w:val="009C1D00"/>
    <w:rsid w:val="009C1F98"/>
    <w:rsid w:val="009C29E0"/>
    <w:rsid w:val="009C2CDC"/>
    <w:rsid w:val="009C2FE7"/>
    <w:rsid w:val="009C39E9"/>
    <w:rsid w:val="009C4611"/>
    <w:rsid w:val="009C4E15"/>
    <w:rsid w:val="009C5638"/>
    <w:rsid w:val="009C6336"/>
    <w:rsid w:val="009C6D1B"/>
    <w:rsid w:val="009C726E"/>
    <w:rsid w:val="009C7377"/>
    <w:rsid w:val="009C7834"/>
    <w:rsid w:val="009C7C0A"/>
    <w:rsid w:val="009C7C72"/>
    <w:rsid w:val="009D228A"/>
    <w:rsid w:val="009D26E4"/>
    <w:rsid w:val="009D2CAD"/>
    <w:rsid w:val="009D3F90"/>
    <w:rsid w:val="009D53AA"/>
    <w:rsid w:val="009E01CC"/>
    <w:rsid w:val="009E040C"/>
    <w:rsid w:val="009E2358"/>
    <w:rsid w:val="009E2C2B"/>
    <w:rsid w:val="009E3519"/>
    <w:rsid w:val="009E5FE5"/>
    <w:rsid w:val="009E66DF"/>
    <w:rsid w:val="009E6F76"/>
    <w:rsid w:val="009E7833"/>
    <w:rsid w:val="009F00F4"/>
    <w:rsid w:val="009F03EC"/>
    <w:rsid w:val="009F0EA9"/>
    <w:rsid w:val="009F1067"/>
    <w:rsid w:val="009F2008"/>
    <w:rsid w:val="009F27EF"/>
    <w:rsid w:val="009F3502"/>
    <w:rsid w:val="009F4A54"/>
    <w:rsid w:val="009F4BEC"/>
    <w:rsid w:val="009F4F9A"/>
    <w:rsid w:val="009F575B"/>
    <w:rsid w:val="009F5E1A"/>
    <w:rsid w:val="009F629E"/>
    <w:rsid w:val="00A00412"/>
    <w:rsid w:val="00A035D1"/>
    <w:rsid w:val="00A0383E"/>
    <w:rsid w:val="00A03E5C"/>
    <w:rsid w:val="00A04891"/>
    <w:rsid w:val="00A05E91"/>
    <w:rsid w:val="00A06524"/>
    <w:rsid w:val="00A0773B"/>
    <w:rsid w:val="00A10266"/>
    <w:rsid w:val="00A1092F"/>
    <w:rsid w:val="00A1129E"/>
    <w:rsid w:val="00A12BEB"/>
    <w:rsid w:val="00A16111"/>
    <w:rsid w:val="00A169CF"/>
    <w:rsid w:val="00A22055"/>
    <w:rsid w:val="00A253A8"/>
    <w:rsid w:val="00A25FD7"/>
    <w:rsid w:val="00A271CB"/>
    <w:rsid w:val="00A27E9B"/>
    <w:rsid w:val="00A30253"/>
    <w:rsid w:val="00A303C8"/>
    <w:rsid w:val="00A31C48"/>
    <w:rsid w:val="00A32F10"/>
    <w:rsid w:val="00A33A56"/>
    <w:rsid w:val="00A351C4"/>
    <w:rsid w:val="00A3581D"/>
    <w:rsid w:val="00A361EC"/>
    <w:rsid w:val="00A36D39"/>
    <w:rsid w:val="00A377D8"/>
    <w:rsid w:val="00A4385A"/>
    <w:rsid w:val="00A43AFF"/>
    <w:rsid w:val="00A44AEF"/>
    <w:rsid w:val="00A46251"/>
    <w:rsid w:val="00A508EB"/>
    <w:rsid w:val="00A54264"/>
    <w:rsid w:val="00A56BB3"/>
    <w:rsid w:val="00A5745F"/>
    <w:rsid w:val="00A60AF5"/>
    <w:rsid w:val="00A62E4D"/>
    <w:rsid w:val="00A631F2"/>
    <w:rsid w:val="00A63753"/>
    <w:rsid w:val="00A63850"/>
    <w:rsid w:val="00A656DE"/>
    <w:rsid w:val="00A65EA2"/>
    <w:rsid w:val="00A65FC4"/>
    <w:rsid w:val="00A6732D"/>
    <w:rsid w:val="00A7005F"/>
    <w:rsid w:val="00A70A1B"/>
    <w:rsid w:val="00A70ED0"/>
    <w:rsid w:val="00A712C5"/>
    <w:rsid w:val="00A71ACE"/>
    <w:rsid w:val="00A72250"/>
    <w:rsid w:val="00A743FA"/>
    <w:rsid w:val="00A74774"/>
    <w:rsid w:val="00A75927"/>
    <w:rsid w:val="00A76208"/>
    <w:rsid w:val="00A76EA1"/>
    <w:rsid w:val="00A77088"/>
    <w:rsid w:val="00A77273"/>
    <w:rsid w:val="00A7793A"/>
    <w:rsid w:val="00A77FB0"/>
    <w:rsid w:val="00A838A1"/>
    <w:rsid w:val="00A8433E"/>
    <w:rsid w:val="00A84444"/>
    <w:rsid w:val="00A84A77"/>
    <w:rsid w:val="00A8593A"/>
    <w:rsid w:val="00A86003"/>
    <w:rsid w:val="00A873D0"/>
    <w:rsid w:val="00A9028D"/>
    <w:rsid w:val="00A909B9"/>
    <w:rsid w:val="00A91068"/>
    <w:rsid w:val="00A91462"/>
    <w:rsid w:val="00A918EB"/>
    <w:rsid w:val="00A94166"/>
    <w:rsid w:val="00A94392"/>
    <w:rsid w:val="00A94D54"/>
    <w:rsid w:val="00A963D2"/>
    <w:rsid w:val="00AA0A5C"/>
    <w:rsid w:val="00AA1657"/>
    <w:rsid w:val="00AA1F72"/>
    <w:rsid w:val="00AA2E87"/>
    <w:rsid w:val="00AA36FA"/>
    <w:rsid w:val="00AA4CC7"/>
    <w:rsid w:val="00AA555B"/>
    <w:rsid w:val="00AA5B59"/>
    <w:rsid w:val="00AA5BDF"/>
    <w:rsid w:val="00AA5E8E"/>
    <w:rsid w:val="00AA6264"/>
    <w:rsid w:val="00AA678B"/>
    <w:rsid w:val="00AB07C8"/>
    <w:rsid w:val="00AB103D"/>
    <w:rsid w:val="00AB6147"/>
    <w:rsid w:val="00AB6CA7"/>
    <w:rsid w:val="00AB6CE4"/>
    <w:rsid w:val="00AB7666"/>
    <w:rsid w:val="00AC2065"/>
    <w:rsid w:val="00AC2827"/>
    <w:rsid w:val="00AC2CDE"/>
    <w:rsid w:val="00AC3500"/>
    <w:rsid w:val="00AC4338"/>
    <w:rsid w:val="00AC5633"/>
    <w:rsid w:val="00AC756E"/>
    <w:rsid w:val="00AC7C41"/>
    <w:rsid w:val="00AD01E4"/>
    <w:rsid w:val="00AD0858"/>
    <w:rsid w:val="00AD0CBB"/>
    <w:rsid w:val="00AD0D6E"/>
    <w:rsid w:val="00AD1077"/>
    <w:rsid w:val="00AD14A1"/>
    <w:rsid w:val="00AD17DB"/>
    <w:rsid w:val="00AD1A5B"/>
    <w:rsid w:val="00AD1DBB"/>
    <w:rsid w:val="00AD4E76"/>
    <w:rsid w:val="00AD4F16"/>
    <w:rsid w:val="00AD50FF"/>
    <w:rsid w:val="00AD6AEC"/>
    <w:rsid w:val="00AD7DE6"/>
    <w:rsid w:val="00AE0FB8"/>
    <w:rsid w:val="00AE1487"/>
    <w:rsid w:val="00AE1FDC"/>
    <w:rsid w:val="00AE33EC"/>
    <w:rsid w:val="00AE6237"/>
    <w:rsid w:val="00AE6E4A"/>
    <w:rsid w:val="00AE71B0"/>
    <w:rsid w:val="00AE7340"/>
    <w:rsid w:val="00AF15E2"/>
    <w:rsid w:val="00AF1B7C"/>
    <w:rsid w:val="00AF1BBD"/>
    <w:rsid w:val="00AF3067"/>
    <w:rsid w:val="00AF4340"/>
    <w:rsid w:val="00B00376"/>
    <w:rsid w:val="00B006A8"/>
    <w:rsid w:val="00B00BF0"/>
    <w:rsid w:val="00B00EAC"/>
    <w:rsid w:val="00B0289C"/>
    <w:rsid w:val="00B0295C"/>
    <w:rsid w:val="00B04E55"/>
    <w:rsid w:val="00B05BEA"/>
    <w:rsid w:val="00B06798"/>
    <w:rsid w:val="00B07649"/>
    <w:rsid w:val="00B07E5C"/>
    <w:rsid w:val="00B07E93"/>
    <w:rsid w:val="00B10207"/>
    <w:rsid w:val="00B107E0"/>
    <w:rsid w:val="00B10CE6"/>
    <w:rsid w:val="00B10DCE"/>
    <w:rsid w:val="00B11CE0"/>
    <w:rsid w:val="00B141E7"/>
    <w:rsid w:val="00B150B9"/>
    <w:rsid w:val="00B1579A"/>
    <w:rsid w:val="00B21DAA"/>
    <w:rsid w:val="00B24F4D"/>
    <w:rsid w:val="00B32E54"/>
    <w:rsid w:val="00B33AEF"/>
    <w:rsid w:val="00B351B4"/>
    <w:rsid w:val="00B3577F"/>
    <w:rsid w:val="00B362BF"/>
    <w:rsid w:val="00B36D51"/>
    <w:rsid w:val="00B37429"/>
    <w:rsid w:val="00B379EB"/>
    <w:rsid w:val="00B420A5"/>
    <w:rsid w:val="00B4395A"/>
    <w:rsid w:val="00B4418C"/>
    <w:rsid w:val="00B45095"/>
    <w:rsid w:val="00B467FA"/>
    <w:rsid w:val="00B468A3"/>
    <w:rsid w:val="00B46BCA"/>
    <w:rsid w:val="00B50591"/>
    <w:rsid w:val="00B510DE"/>
    <w:rsid w:val="00B51F50"/>
    <w:rsid w:val="00B52B6B"/>
    <w:rsid w:val="00B52E04"/>
    <w:rsid w:val="00B558BB"/>
    <w:rsid w:val="00B572A0"/>
    <w:rsid w:val="00B579BE"/>
    <w:rsid w:val="00B61182"/>
    <w:rsid w:val="00B6175D"/>
    <w:rsid w:val="00B64135"/>
    <w:rsid w:val="00B65917"/>
    <w:rsid w:val="00B661C6"/>
    <w:rsid w:val="00B67D38"/>
    <w:rsid w:val="00B7004F"/>
    <w:rsid w:val="00B70231"/>
    <w:rsid w:val="00B72B46"/>
    <w:rsid w:val="00B73524"/>
    <w:rsid w:val="00B7387A"/>
    <w:rsid w:val="00B74422"/>
    <w:rsid w:val="00B744B4"/>
    <w:rsid w:val="00B74C9B"/>
    <w:rsid w:val="00B7731B"/>
    <w:rsid w:val="00B80A7F"/>
    <w:rsid w:val="00B8164C"/>
    <w:rsid w:val="00B82452"/>
    <w:rsid w:val="00B837CE"/>
    <w:rsid w:val="00B84135"/>
    <w:rsid w:val="00B86736"/>
    <w:rsid w:val="00B87266"/>
    <w:rsid w:val="00B87806"/>
    <w:rsid w:val="00B87BC1"/>
    <w:rsid w:val="00B87EC9"/>
    <w:rsid w:val="00B9156A"/>
    <w:rsid w:val="00B9176F"/>
    <w:rsid w:val="00B92352"/>
    <w:rsid w:val="00B93CCC"/>
    <w:rsid w:val="00B94475"/>
    <w:rsid w:val="00B94A56"/>
    <w:rsid w:val="00B94A92"/>
    <w:rsid w:val="00B94D02"/>
    <w:rsid w:val="00B94F9D"/>
    <w:rsid w:val="00B955E9"/>
    <w:rsid w:val="00B96A5E"/>
    <w:rsid w:val="00B970F9"/>
    <w:rsid w:val="00B97F91"/>
    <w:rsid w:val="00B97FD3"/>
    <w:rsid w:val="00BA06FD"/>
    <w:rsid w:val="00BA1CF6"/>
    <w:rsid w:val="00BA657B"/>
    <w:rsid w:val="00BA6B17"/>
    <w:rsid w:val="00BB07F3"/>
    <w:rsid w:val="00BB0D0D"/>
    <w:rsid w:val="00BB2AF2"/>
    <w:rsid w:val="00BC1012"/>
    <w:rsid w:val="00BC38FD"/>
    <w:rsid w:val="00BC42B7"/>
    <w:rsid w:val="00BC5C8E"/>
    <w:rsid w:val="00BC789D"/>
    <w:rsid w:val="00BD10CF"/>
    <w:rsid w:val="00BD17B8"/>
    <w:rsid w:val="00BD2615"/>
    <w:rsid w:val="00BD368F"/>
    <w:rsid w:val="00BD5E99"/>
    <w:rsid w:val="00BD692E"/>
    <w:rsid w:val="00BD736A"/>
    <w:rsid w:val="00BE10E0"/>
    <w:rsid w:val="00BE1884"/>
    <w:rsid w:val="00BE2258"/>
    <w:rsid w:val="00BE22ED"/>
    <w:rsid w:val="00BE312F"/>
    <w:rsid w:val="00BE3F19"/>
    <w:rsid w:val="00BE5F03"/>
    <w:rsid w:val="00BF1BA3"/>
    <w:rsid w:val="00BF1CC0"/>
    <w:rsid w:val="00BF413D"/>
    <w:rsid w:val="00BF47E9"/>
    <w:rsid w:val="00BF4A84"/>
    <w:rsid w:val="00BF4AF3"/>
    <w:rsid w:val="00BF4CA5"/>
    <w:rsid w:val="00BF4E81"/>
    <w:rsid w:val="00BF5537"/>
    <w:rsid w:val="00BF691B"/>
    <w:rsid w:val="00BF7154"/>
    <w:rsid w:val="00BF7A6A"/>
    <w:rsid w:val="00C005D9"/>
    <w:rsid w:val="00C01296"/>
    <w:rsid w:val="00C0176C"/>
    <w:rsid w:val="00C01A8E"/>
    <w:rsid w:val="00C02E99"/>
    <w:rsid w:val="00C034CB"/>
    <w:rsid w:val="00C05140"/>
    <w:rsid w:val="00C051A8"/>
    <w:rsid w:val="00C05360"/>
    <w:rsid w:val="00C054BC"/>
    <w:rsid w:val="00C067D9"/>
    <w:rsid w:val="00C068B4"/>
    <w:rsid w:val="00C072D4"/>
    <w:rsid w:val="00C0760A"/>
    <w:rsid w:val="00C104A6"/>
    <w:rsid w:val="00C10580"/>
    <w:rsid w:val="00C10AEA"/>
    <w:rsid w:val="00C114C5"/>
    <w:rsid w:val="00C12451"/>
    <w:rsid w:val="00C13329"/>
    <w:rsid w:val="00C14081"/>
    <w:rsid w:val="00C15AD7"/>
    <w:rsid w:val="00C17185"/>
    <w:rsid w:val="00C17208"/>
    <w:rsid w:val="00C17897"/>
    <w:rsid w:val="00C20575"/>
    <w:rsid w:val="00C24F09"/>
    <w:rsid w:val="00C25325"/>
    <w:rsid w:val="00C25425"/>
    <w:rsid w:val="00C255BD"/>
    <w:rsid w:val="00C30416"/>
    <w:rsid w:val="00C320BC"/>
    <w:rsid w:val="00C328B9"/>
    <w:rsid w:val="00C3321F"/>
    <w:rsid w:val="00C335F6"/>
    <w:rsid w:val="00C340A7"/>
    <w:rsid w:val="00C3532F"/>
    <w:rsid w:val="00C35531"/>
    <w:rsid w:val="00C35FD7"/>
    <w:rsid w:val="00C36437"/>
    <w:rsid w:val="00C36AC7"/>
    <w:rsid w:val="00C409D5"/>
    <w:rsid w:val="00C42308"/>
    <w:rsid w:val="00C43538"/>
    <w:rsid w:val="00C435C3"/>
    <w:rsid w:val="00C43E46"/>
    <w:rsid w:val="00C4564A"/>
    <w:rsid w:val="00C45C07"/>
    <w:rsid w:val="00C461F9"/>
    <w:rsid w:val="00C46D70"/>
    <w:rsid w:val="00C47AAC"/>
    <w:rsid w:val="00C47E68"/>
    <w:rsid w:val="00C503C9"/>
    <w:rsid w:val="00C505AE"/>
    <w:rsid w:val="00C50C61"/>
    <w:rsid w:val="00C50CB6"/>
    <w:rsid w:val="00C511A0"/>
    <w:rsid w:val="00C529A0"/>
    <w:rsid w:val="00C53ACA"/>
    <w:rsid w:val="00C5513B"/>
    <w:rsid w:val="00C56C13"/>
    <w:rsid w:val="00C57329"/>
    <w:rsid w:val="00C57545"/>
    <w:rsid w:val="00C61B39"/>
    <w:rsid w:val="00C621EA"/>
    <w:rsid w:val="00C6234B"/>
    <w:rsid w:val="00C623F9"/>
    <w:rsid w:val="00C63295"/>
    <w:rsid w:val="00C63EAE"/>
    <w:rsid w:val="00C64A05"/>
    <w:rsid w:val="00C64EBD"/>
    <w:rsid w:val="00C65BC7"/>
    <w:rsid w:val="00C66288"/>
    <w:rsid w:val="00C669A5"/>
    <w:rsid w:val="00C671B3"/>
    <w:rsid w:val="00C67449"/>
    <w:rsid w:val="00C70CED"/>
    <w:rsid w:val="00C7177D"/>
    <w:rsid w:val="00C71918"/>
    <w:rsid w:val="00C722B7"/>
    <w:rsid w:val="00C738B6"/>
    <w:rsid w:val="00C74BCD"/>
    <w:rsid w:val="00C74CD6"/>
    <w:rsid w:val="00C756B3"/>
    <w:rsid w:val="00C7593E"/>
    <w:rsid w:val="00C75964"/>
    <w:rsid w:val="00C75DB5"/>
    <w:rsid w:val="00C7629F"/>
    <w:rsid w:val="00C76C96"/>
    <w:rsid w:val="00C7740C"/>
    <w:rsid w:val="00C77B4F"/>
    <w:rsid w:val="00C77E93"/>
    <w:rsid w:val="00C80EC1"/>
    <w:rsid w:val="00C834FD"/>
    <w:rsid w:val="00C856C4"/>
    <w:rsid w:val="00C857FB"/>
    <w:rsid w:val="00C865D4"/>
    <w:rsid w:val="00C8661B"/>
    <w:rsid w:val="00C878A7"/>
    <w:rsid w:val="00C900C6"/>
    <w:rsid w:val="00C9275E"/>
    <w:rsid w:val="00C9430C"/>
    <w:rsid w:val="00C966FA"/>
    <w:rsid w:val="00CA0C9B"/>
    <w:rsid w:val="00CA139A"/>
    <w:rsid w:val="00CA256C"/>
    <w:rsid w:val="00CA2899"/>
    <w:rsid w:val="00CA3A3D"/>
    <w:rsid w:val="00CA3A49"/>
    <w:rsid w:val="00CA3CBA"/>
    <w:rsid w:val="00CA3D0F"/>
    <w:rsid w:val="00CA4AD9"/>
    <w:rsid w:val="00CA572E"/>
    <w:rsid w:val="00CA58B9"/>
    <w:rsid w:val="00CA5EF6"/>
    <w:rsid w:val="00CA6E86"/>
    <w:rsid w:val="00CA70C6"/>
    <w:rsid w:val="00CA77FB"/>
    <w:rsid w:val="00CB0726"/>
    <w:rsid w:val="00CB090E"/>
    <w:rsid w:val="00CB1869"/>
    <w:rsid w:val="00CB1903"/>
    <w:rsid w:val="00CB2566"/>
    <w:rsid w:val="00CB2692"/>
    <w:rsid w:val="00CB2BDB"/>
    <w:rsid w:val="00CB2C9C"/>
    <w:rsid w:val="00CB379B"/>
    <w:rsid w:val="00CB5964"/>
    <w:rsid w:val="00CB5DD0"/>
    <w:rsid w:val="00CB680C"/>
    <w:rsid w:val="00CB6B77"/>
    <w:rsid w:val="00CB6E0E"/>
    <w:rsid w:val="00CB73DF"/>
    <w:rsid w:val="00CC2747"/>
    <w:rsid w:val="00CC31F9"/>
    <w:rsid w:val="00CC457E"/>
    <w:rsid w:val="00CC497B"/>
    <w:rsid w:val="00CC51D4"/>
    <w:rsid w:val="00CC5275"/>
    <w:rsid w:val="00CC598E"/>
    <w:rsid w:val="00CC5CE1"/>
    <w:rsid w:val="00CC6296"/>
    <w:rsid w:val="00CC65DA"/>
    <w:rsid w:val="00CC6DF7"/>
    <w:rsid w:val="00CC735A"/>
    <w:rsid w:val="00CD16F9"/>
    <w:rsid w:val="00CD1C22"/>
    <w:rsid w:val="00CD237A"/>
    <w:rsid w:val="00CD36CE"/>
    <w:rsid w:val="00CD403F"/>
    <w:rsid w:val="00CD449F"/>
    <w:rsid w:val="00CD5508"/>
    <w:rsid w:val="00CD5DB7"/>
    <w:rsid w:val="00CD5F81"/>
    <w:rsid w:val="00CD6E3D"/>
    <w:rsid w:val="00CD7C1A"/>
    <w:rsid w:val="00CE11D2"/>
    <w:rsid w:val="00CE2499"/>
    <w:rsid w:val="00CE40A5"/>
    <w:rsid w:val="00CE4778"/>
    <w:rsid w:val="00CE4F14"/>
    <w:rsid w:val="00CE5BA5"/>
    <w:rsid w:val="00CE60AC"/>
    <w:rsid w:val="00CE6AA8"/>
    <w:rsid w:val="00CF006B"/>
    <w:rsid w:val="00CF0C8D"/>
    <w:rsid w:val="00CF0D12"/>
    <w:rsid w:val="00CF0FA6"/>
    <w:rsid w:val="00CF1707"/>
    <w:rsid w:val="00CF1CB1"/>
    <w:rsid w:val="00CF21B9"/>
    <w:rsid w:val="00CF2F4F"/>
    <w:rsid w:val="00CF37F6"/>
    <w:rsid w:val="00CF4843"/>
    <w:rsid w:val="00CF5E27"/>
    <w:rsid w:val="00CF6BF9"/>
    <w:rsid w:val="00D0106E"/>
    <w:rsid w:val="00D03800"/>
    <w:rsid w:val="00D0404E"/>
    <w:rsid w:val="00D041E4"/>
    <w:rsid w:val="00D050C7"/>
    <w:rsid w:val="00D05197"/>
    <w:rsid w:val="00D06264"/>
    <w:rsid w:val="00D065D3"/>
    <w:rsid w:val="00D10A6F"/>
    <w:rsid w:val="00D10EB1"/>
    <w:rsid w:val="00D117B2"/>
    <w:rsid w:val="00D13F0F"/>
    <w:rsid w:val="00D14249"/>
    <w:rsid w:val="00D14C94"/>
    <w:rsid w:val="00D150D8"/>
    <w:rsid w:val="00D15B8D"/>
    <w:rsid w:val="00D17099"/>
    <w:rsid w:val="00D20EBA"/>
    <w:rsid w:val="00D21AA4"/>
    <w:rsid w:val="00D224D3"/>
    <w:rsid w:val="00D23CEA"/>
    <w:rsid w:val="00D26388"/>
    <w:rsid w:val="00D267C4"/>
    <w:rsid w:val="00D30136"/>
    <w:rsid w:val="00D312DE"/>
    <w:rsid w:val="00D31ACF"/>
    <w:rsid w:val="00D31CDE"/>
    <w:rsid w:val="00D31E37"/>
    <w:rsid w:val="00D330CC"/>
    <w:rsid w:val="00D330DB"/>
    <w:rsid w:val="00D33FEE"/>
    <w:rsid w:val="00D342A6"/>
    <w:rsid w:val="00D34465"/>
    <w:rsid w:val="00D349AB"/>
    <w:rsid w:val="00D34B67"/>
    <w:rsid w:val="00D352C5"/>
    <w:rsid w:val="00D36E76"/>
    <w:rsid w:val="00D3759C"/>
    <w:rsid w:val="00D37CBB"/>
    <w:rsid w:val="00D40739"/>
    <w:rsid w:val="00D40804"/>
    <w:rsid w:val="00D418EA"/>
    <w:rsid w:val="00D435DF"/>
    <w:rsid w:val="00D4363E"/>
    <w:rsid w:val="00D45783"/>
    <w:rsid w:val="00D464BF"/>
    <w:rsid w:val="00D47B51"/>
    <w:rsid w:val="00D47F76"/>
    <w:rsid w:val="00D50480"/>
    <w:rsid w:val="00D50999"/>
    <w:rsid w:val="00D5176D"/>
    <w:rsid w:val="00D524A1"/>
    <w:rsid w:val="00D52C8C"/>
    <w:rsid w:val="00D538BA"/>
    <w:rsid w:val="00D53E26"/>
    <w:rsid w:val="00D56179"/>
    <w:rsid w:val="00D56E81"/>
    <w:rsid w:val="00D57BB1"/>
    <w:rsid w:val="00D57C3F"/>
    <w:rsid w:val="00D60731"/>
    <w:rsid w:val="00D60852"/>
    <w:rsid w:val="00D60BB1"/>
    <w:rsid w:val="00D6109E"/>
    <w:rsid w:val="00D62287"/>
    <w:rsid w:val="00D628EA"/>
    <w:rsid w:val="00D62AC6"/>
    <w:rsid w:val="00D631A6"/>
    <w:rsid w:val="00D63932"/>
    <w:rsid w:val="00D63F85"/>
    <w:rsid w:val="00D6623E"/>
    <w:rsid w:val="00D665AD"/>
    <w:rsid w:val="00D67482"/>
    <w:rsid w:val="00D678A0"/>
    <w:rsid w:val="00D67E4F"/>
    <w:rsid w:val="00D7178C"/>
    <w:rsid w:val="00D727AA"/>
    <w:rsid w:val="00D7393B"/>
    <w:rsid w:val="00D73A17"/>
    <w:rsid w:val="00D74FEF"/>
    <w:rsid w:val="00D76739"/>
    <w:rsid w:val="00D771CC"/>
    <w:rsid w:val="00D775D8"/>
    <w:rsid w:val="00D777B8"/>
    <w:rsid w:val="00D77923"/>
    <w:rsid w:val="00D77FA6"/>
    <w:rsid w:val="00D8105C"/>
    <w:rsid w:val="00D85ED7"/>
    <w:rsid w:val="00D86518"/>
    <w:rsid w:val="00D86DCD"/>
    <w:rsid w:val="00D90648"/>
    <w:rsid w:val="00D9070A"/>
    <w:rsid w:val="00D914DE"/>
    <w:rsid w:val="00D9368D"/>
    <w:rsid w:val="00D93788"/>
    <w:rsid w:val="00D969CA"/>
    <w:rsid w:val="00D96E4B"/>
    <w:rsid w:val="00D979BA"/>
    <w:rsid w:val="00DA051D"/>
    <w:rsid w:val="00DA2C4C"/>
    <w:rsid w:val="00DA3295"/>
    <w:rsid w:val="00DA3A60"/>
    <w:rsid w:val="00DA3F6D"/>
    <w:rsid w:val="00DA4157"/>
    <w:rsid w:val="00DA4359"/>
    <w:rsid w:val="00DA466C"/>
    <w:rsid w:val="00DA4DD7"/>
    <w:rsid w:val="00DA52BD"/>
    <w:rsid w:val="00DB065C"/>
    <w:rsid w:val="00DB41A2"/>
    <w:rsid w:val="00DB4B10"/>
    <w:rsid w:val="00DB612E"/>
    <w:rsid w:val="00DB6789"/>
    <w:rsid w:val="00DB73EC"/>
    <w:rsid w:val="00DC1438"/>
    <w:rsid w:val="00DC180F"/>
    <w:rsid w:val="00DC2181"/>
    <w:rsid w:val="00DC353F"/>
    <w:rsid w:val="00DC364A"/>
    <w:rsid w:val="00DC383C"/>
    <w:rsid w:val="00DC5C29"/>
    <w:rsid w:val="00DC6B5C"/>
    <w:rsid w:val="00DD13E0"/>
    <w:rsid w:val="00DD1471"/>
    <w:rsid w:val="00DD3BC4"/>
    <w:rsid w:val="00DD486D"/>
    <w:rsid w:val="00DD4BFF"/>
    <w:rsid w:val="00DD4C3C"/>
    <w:rsid w:val="00DD4F0E"/>
    <w:rsid w:val="00DD6D1E"/>
    <w:rsid w:val="00DE037D"/>
    <w:rsid w:val="00DE054E"/>
    <w:rsid w:val="00DE07E0"/>
    <w:rsid w:val="00DE596A"/>
    <w:rsid w:val="00DF04E3"/>
    <w:rsid w:val="00DF05F1"/>
    <w:rsid w:val="00DF0BF0"/>
    <w:rsid w:val="00DF1B36"/>
    <w:rsid w:val="00DF1FED"/>
    <w:rsid w:val="00DF22C2"/>
    <w:rsid w:val="00DF2763"/>
    <w:rsid w:val="00DF27EA"/>
    <w:rsid w:val="00DF378F"/>
    <w:rsid w:val="00DF39E6"/>
    <w:rsid w:val="00DF5684"/>
    <w:rsid w:val="00DF5FAD"/>
    <w:rsid w:val="00DF6033"/>
    <w:rsid w:val="00E00A9E"/>
    <w:rsid w:val="00E00C50"/>
    <w:rsid w:val="00E00EBD"/>
    <w:rsid w:val="00E01408"/>
    <w:rsid w:val="00E01F0B"/>
    <w:rsid w:val="00E027AA"/>
    <w:rsid w:val="00E036D9"/>
    <w:rsid w:val="00E03F73"/>
    <w:rsid w:val="00E0402C"/>
    <w:rsid w:val="00E05B53"/>
    <w:rsid w:val="00E05E0A"/>
    <w:rsid w:val="00E05FB4"/>
    <w:rsid w:val="00E0680F"/>
    <w:rsid w:val="00E119DD"/>
    <w:rsid w:val="00E12083"/>
    <w:rsid w:val="00E13B60"/>
    <w:rsid w:val="00E15284"/>
    <w:rsid w:val="00E15FD8"/>
    <w:rsid w:val="00E164E4"/>
    <w:rsid w:val="00E17B31"/>
    <w:rsid w:val="00E2018B"/>
    <w:rsid w:val="00E20BDC"/>
    <w:rsid w:val="00E21EBB"/>
    <w:rsid w:val="00E221A2"/>
    <w:rsid w:val="00E22328"/>
    <w:rsid w:val="00E238B4"/>
    <w:rsid w:val="00E23BEE"/>
    <w:rsid w:val="00E26490"/>
    <w:rsid w:val="00E3085D"/>
    <w:rsid w:val="00E31305"/>
    <w:rsid w:val="00E32E51"/>
    <w:rsid w:val="00E3507C"/>
    <w:rsid w:val="00E35D5A"/>
    <w:rsid w:val="00E40F00"/>
    <w:rsid w:val="00E41ADE"/>
    <w:rsid w:val="00E41C43"/>
    <w:rsid w:val="00E42B55"/>
    <w:rsid w:val="00E42CB6"/>
    <w:rsid w:val="00E43DFB"/>
    <w:rsid w:val="00E447F8"/>
    <w:rsid w:val="00E4644E"/>
    <w:rsid w:val="00E467DC"/>
    <w:rsid w:val="00E479F5"/>
    <w:rsid w:val="00E507B9"/>
    <w:rsid w:val="00E511C1"/>
    <w:rsid w:val="00E516BB"/>
    <w:rsid w:val="00E534CF"/>
    <w:rsid w:val="00E53B82"/>
    <w:rsid w:val="00E53C15"/>
    <w:rsid w:val="00E55041"/>
    <w:rsid w:val="00E562AA"/>
    <w:rsid w:val="00E563FA"/>
    <w:rsid w:val="00E57D92"/>
    <w:rsid w:val="00E618AC"/>
    <w:rsid w:val="00E6234C"/>
    <w:rsid w:val="00E63061"/>
    <w:rsid w:val="00E635AC"/>
    <w:rsid w:val="00E637F6"/>
    <w:rsid w:val="00E63CB9"/>
    <w:rsid w:val="00E66C3E"/>
    <w:rsid w:val="00E711DB"/>
    <w:rsid w:val="00E71E5C"/>
    <w:rsid w:val="00E71EB4"/>
    <w:rsid w:val="00E7258C"/>
    <w:rsid w:val="00E72F46"/>
    <w:rsid w:val="00E73114"/>
    <w:rsid w:val="00E73633"/>
    <w:rsid w:val="00E7424A"/>
    <w:rsid w:val="00E74844"/>
    <w:rsid w:val="00E7509E"/>
    <w:rsid w:val="00E75220"/>
    <w:rsid w:val="00E7538E"/>
    <w:rsid w:val="00E75463"/>
    <w:rsid w:val="00E76CDC"/>
    <w:rsid w:val="00E80927"/>
    <w:rsid w:val="00E81CB4"/>
    <w:rsid w:val="00E83B86"/>
    <w:rsid w:val="00E851AD"/>
    <w:rsid w:val="00E85679"/>
    <w:rsid w:val="00E8585B"/>
    <w:rsid w:val="00E85E59"/>
    <w:rsid w:val="00E915CA"/>
    <w:rsid w:val="00E91880"/>
    <w:rsid w:val="00E9264A"/>
    <w:rsid w:val="00E93A08"/>
    <w:rsid w:val="00E93EB3"/>
    <w:rsid w:val="00E95C1F"/>
    <w:rsid w:val="00E95F5C"/>
    <w:rsid w:val="00E96874"/>
    <w:rsid w:val="00E97CB0"/>
    <w:rsid w:val="00EA0E44"/>
    <w:rsid w:val="00EA12C2"/>
    <w:rsid w:val="00EA30EB"/>
    <w:rsid w:val="00EA372B"/>
    <w:rsid w:val="00EA3F15"/>
    <w:rsid w:val="00EA3F81"/>
    <w:rsid w:val="00EA464D"/>
    <w:rsid w:val="00EA4DDB"/>
    <w:rsid w:val="00EA5FBC"/>
    <w:rsid w:val="00EA6384"/>
    <w:rsid w:val="00EA6385"/>
    <w:rsid w:val="00EA7847"/>
    <w:rsid w:val="00EA7FB7"/>
    <w:rsid w:val="00EB0F2E"/>
    <w:rsid w:val="00EB180D"/>
    <w:rsid w:val="00EB2359"/>
    <w:rsid w:val="00EB2884"/>
    <w:rsid w:val="00EB2F1D"/>
    <w:rsid w:val="00EB449D"/>
    <w:rsid w:val="00EB5904"/>
    <w:rsid w:val="00EB623F"/>
    <w:rsid w:val="00EB6B3E"/>
    <w:rsid w:val="00EB6EC3"/>
    <w:rsid w:val="00EB7237"/>
    <w:rsid w:val="00EC0893"/>
    <w:rsid w:val="00EC0D38"/>
    <w:rsid w:val="00EC2796"/>
    <w:rsid w:val="00EC3714"/>
    <w:rsid w:val="00EC4B96"/>
    <w:rsid w:val="00EC7775"/>
    <w:rsid w:val="00ED1181"/>
    <w:rsid w:val="00ED1ABF"/>
    <w:rsid w:val="00ED1DFF"/>
    <w:rsid w:val="00ED2A1C"/>
    <w:rsid w:val="00ED4147"/>
    <w:rsid w:val="00ED45AC"/>
    <w:rsid w:val="00ED4874"/>
    <w:rsid w:val="00ED68C4"/>
    <w:rsid w:val="00EE014D"/>
    <w:rsid w:val="00EE0E6E"/>
    <w:rsid w:val="00EE1002"/>
    <w:rsid w:val="00EE2E6D"/>
    <w:rsid w:val="00EE2E6E"/>
    <w:rsid w:val="00EE2F3A"/>
    <w:rsid w:val="00EE3B42"/>
    <w:rsid w:val="00EE3EA2"/>
    <w:rsid w:val="00EE3F32"/>
    <w:rsid w:val="00EE5298"/>
    <w:rsid w:val="00EE5994"/>
    <w:rsid w:val="00EE5AB7"/>
    <w:rsid w:val="00EE5CB9"/>
    <w:rsid w:val="00EE5F7D"/>
    <w:rsid w:val="00EE64A6"/>
    <w:rsid w:val="00EE6C8A"/>
    <w:rsid w:val="00EE70F3"/>
    <w:rsid w:val="00EE71CE"/>
    <w:rsid w:val="00EE7AC9"/>
    <w:rsid w:val="00EE7BF4"/>
    <w:rsid w:val="00EE7DD3"/>
    <w:rsid w:val="00EF00C3"/>
    <w:rsid w:val="00EF0E52"/>
    <w:rsid w:val="00EF2031"/>
    <w:rsid w:val="00EF2A9E"/>
    <w:rsid w:val="00EF2BFF"/>
    <w:rsid w:val="00EF3038"/>
    <w:rsid w:val="00EF32C0"/>
    <w:rsid w:val="00EF3921"/>
    <w:rsid w:val="00EF486A"/>
    <w:rsid w:val="00EF4B93"/>
    <w:rsid w:val="00EF63CE"/>
    <w:rsid w:val="00EF6D4B"/>
    <w:rsid w:val="00EF7019"/>
    <w:rsid w:val="00EF773E"/>
    <w:rsid w:val="00EF785A"/>
    <w:rsid w:val="00F01068"/>
    <w:rsid w:val="00F01806"/>
    <w:rsid w:val="00F01B61"/>
    <w:rsid w:val="00F044EB"/>
    <w:rsid w:val="00F0501D"/>
    <w:rsid w:val="00F0631F"/>
    <w:rsid w:val="00F066E9"/>
    <w:rsid w:val="00F0759E"/>
    <w:rsid w:val="00F07E4D"/>
    <w:rsid w:val="00F10157"/>
    <w:rsid w:val="00F10644"/>
    <w:rsid w:val="00F10B17"/>
    <w:rsid w:val="00F13554"/>
    <w:rsid w:val="00F13B94"/>
    <w:rsid w:val="00F13EB6"/>
    <w:rsid w:val="00F14C6D"/>
    <w:rsid w:val="00F158EE"/>
    <w:rsid w:val="00F158F4"/>
    <w:rsid w:val="00F1649D"/>
    <w:rsid w:val="00F16E1A"/>
    <w:rsid w:val="00F1720B"/>
    <w:rsid w:val="00F2103E"/>
    <w:rsid w:val="00F221BC"/>
    <w:rsid w:val="00F22540"/>
    <w:rsid w:val="00F2274A"/>
    <w:rsid w:val="00F23351"/>
    <w:rsid w:val="00F263F8"/>
    <w:rsid w:val="00F27665"/>
    <w:rsid w:val="00F27F24"/>
    <w:rsid w:val="00F306A1"/>
    <w:rsid w:val="00F30B18"/>
    <w:rsid w:val="00F31642"/>
    <w:rsid w:val="00F31679"/>
    <w:rsid w:val="00F33430"/>
    <w:rsid w:val="00F337D9"/>
    <w:rsid w:val="00F34E34"/>
    <w:rsid w:val="00F358D1"/>
    <w:rsid w:val="00F36895"/>
    <w:rsid w:val="00F37B32"/>
    <w:rsid w:val="00F4050A"/>
    <w:rsid w:val="00F4107D"/>
    <w:rsid w:val="00F41373"/>
    <w:rsid w:val="00F42CBD"/>
    <w:rsid w:val="00F432E6"/>
    <w:rsid w:val="00F43CA8"/>
    <w:rsid w:val="00F44C2D"/>
    <w:rsid w:val="00F4540C"/>
    <w:rsid w:val="00F479D3"/>
    <w:rsid w:val="00F50683"/>
    <w:rsid w:val="00F50FAE"/>
    <w:rsid w:val="00F51E2E"/>
    <w:rsid w:val="00F52009"/>
    <w:rsid w:val="00F53D77"/>
    <w:rsid w:val="00F55DA9"/>
    <w:rsid w:val="00F5619A"/>
    <w:rsid w:val="00F569FD"/>
    <w:rsid w:val="00F56EE9"/>
    <w:rsid w:val="00F571D2"/>
    <w:rsid w:val="00F57245"/>
    <w:rsid w:val="00F572C5"/>
    <w:rsid w:val="00F62105"/>
    <w:rsid w:val="00F62459"/>
    <w:rsid w:val="00F6286A"/>
    <w:rsid w:val="00F634AC"/>
    <w:rsid w:val="00F652B9"/>
    <w:rsid w:val="00F66696"/>
    <w:rsid w:val="00F669AB"/>
    <w:rsid w:val="00F66B49"/>
    <w:rsid w:val="00F66EFB"/>
    <w:rsid w:val="00F712A7"/>
    <w:rsid w:val="00F71742"/>
    <w:rsid w:val="00F71CBA"/>
    <w:rsid w:val="00F71E33"/>
    <w:rsid w:val="00F72311"/>
    <w:rsid w:val="00F72BA7"/>
    <w:rsid w:val="00F736B6"/>
    <w:rsid w:val="00F76D02"/>
    <w:rsid w:val="00F76F67"/>
    <w:rsid w:val="00F778C7"/>
    <w:rsid w:val="00F77BED"/>
    <w:rsid w:val="00F8145D"/>
    <w:rsid w:val="00F81D80"/>
    <w:rsid w:val="00F821A3"/>
    <w:rsid w:val="00F84267"/>
    <w:rsid w:val="00F84401"/>
    <w:rsid w:val="00F84898"/>
    <w:rsid w:val="00F854E0"/>
    <w:rsid w:val="00F85DD5"/>
    <w:rsid w:val="00F865FC"/>
    <w:rsid w:val="00F86627"/>
    <w:rsid w:val="00F913DF"/>
    <w:rsid w:val="00F9256E"/>
    <w:rsid w:val="00F9314A"/>
    <w:rsid w:val="00F93221"/>
    <w:rsid w:val="00F95F39"/>
    <w:rsid w:val="00F97F25"/>
    <w:rsid w:val="00FA0D14"/>
    <w:rsid w:val="00FA15A0"/>
    <w:rsid w:val="00FA1676"/>
    <w:rsid w:val="00FA31C4"/>
    <w:rsid w:val="00FA7A83"/>
    <w:rsid w:val="00FB0478"/>
    <w:rsid w:val="00FB0C1A"/>
    <w:rsid w:val="00FB0EE9"/>
    <w:rsid w:val="00FB1546"/>
    <w:rsid w:val="00FB2E67"/>
    <w:rsid w:val="00FB4BD0"/>
    <w:rsid w:val="00FB4C16"/>
    <w:rsid w:val="00FB5666"/>
    <w:rsid w:val="00FB57F3"/>
    <w:rsid w:val="00FB5F17"/>
    <w:rsid w:val="00FB605E"/>
    <w:rsid w:val="00FB63CC"/>
    <w:rsid w:val="00FC04C8"/>
    <w:rsid w:val="00FC1AB3"/>
    <w:rsid w:val="00FC1ED8"/>
    <w:rsid w:val="00FC2B2B"/>
    <w:rsid w:val="00FC33A7"/>
    <w:rsid w:val="00FC3985"/>
    <w:rsid w:val="00FC3B66"/>
    <w:rsid w:val="00FC58EF"/>
    <w:rsid w:val="00FC6B86"/>
    <w:rsid w:val="00FC7F4F"/>
    <w:rsid w:val="00FD0766"/>
    <w:rsid w:val="00FD1C22"/>
    <w:rsid w:val="00FD2E7C"/>
    <w:rsid w:val="00FD2F55"/>
    <w:rsid w:val="00FD33DF"/>
    <w:rsid w:val="00FD4319"/>
    <w:rsid w:val="00FD43AF"/>
    <w:rsid w:val="00FD4644"/>
    <w:rsid w:val="00FD4BD8"/>
    <w:rsid w:val="00FD5B78"/>
    <w:rsid w:val="00FD68B0"/>
    <w:rsid w:val="00FD6FD5"/>
    <w:rsid w:val="00FE0DC5"/>
    <w:rsid w:val="00FE1FE5"/>
    <w:rsid w:val="00FE277E"/>
    <w:rsid w:val="00FE2A63"/>
    <w:rsid w:val="00FE39D7"/>
    <w:rsid w:val="00FE3C9C"/>
    <w:rsid w:val="00FE42DA"/>
    <w:rsid w:val="00FE467A"/>
    <w:rsid w:val="00FE48A9"/>
    <w:rsid w:val="00FE5037"/>
    <w:rsid w:val="00FE59E2"/>
    <w:rsid w:val="00FE657B"/>
    <w:rsid w:val="00FE6E46"/>
    <w:rsid w:val="00FF03A0"/>
    <w:rsid w:val="00FF158F"/>
    <w:rsid w:val="00FF19B6"/>
    <w:rsid w:val="00FF3651"/>
    <w:rsid w:val="00FF3EAD"/>
    <w:rsid w:val="00FF4C7F"/>
    <w:rsid w:val="00FF4F3F"/>
    <w:rsid w:val="00FF6855"/>
    <w:rsid w:val="00FF795D"/>
    <w:rsid w:val="00FF7B95"/>
    <w:rsid w:val="00FF7F3D"/>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Footnote Text Char Char Char Char Char,Footnote Text Char Char Char Char,Footnote reference,FA Fu,Footnote Text Cha,Footnote Text Char Char Char,FA Fußnotentext,FA Fuﬂnotentext,Footnote Text Char Char,texto de nota al p"/>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Footnote Text Char Char Char Char Char Car,Footnote Text Char Char Char Char Car,Footnote reference Car,FA Fu Car,Footnote Text Cha Car,Footnote Text Char Char Char Car,FA Fußnotentext Car,FA Fuﬂnotentext Car"/>
    <w:link w:val="Textonotapie"/>
    <w:rsid w:val="00C505AE"/>
    <w:rPr>
      <w:rFonts w:ascii="Arial" w:hAnsi="Arial"/>
      <w:lang w:val="es-ES_tradnl"/>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styleId="NormalWeb">
    <w:name w:val="Normal (Web)"/>
    <w:basedOn w:val="Normal"/>
    <w:rsid w:val="00FA7A83"/>
    <w:pPr>
      <w:spacing w:before="100" w:beforeAutospacing="1" w:after="100" w:afterAutospacing="1"/>
      <w:ind w:left="0"/>
    </w:pPr>
    <w:rPr>
      <w:rFonts w:ascii="Arial Unicode MS" w:hAnsi="Arial Unicode MS"/>
      <w:lang w:val="it-IT" w:eastAsia="it-IT"/>
    </w:rPr>
  </w:style>
  <w:style w:type="paragraph" w:styleId="Sangra3detindependiente">
    <w:name w:val="Body Text Indent 3"/>
    <w:basedOn w:val="Normal"/>
    <w:link w:val="Sangra3detindependienteCar"/>
    <w:uiPriority w:val="99"/>
    <w:semiHidden/>
    <w:unhideWhenUsed/>
    <w:rsid w:val="0074250E"/>
    <w:pPr>
      <w:spacing w:after="120"/>
      <w:ind w:left="360"/>
    </w:pPr>
    <w:rPr>
      <w:sz w:val="16"/>
      <w:szCs w:val="16"/>
    </w:rPr>
  </w:style>
  <w:style w:type="character" w:customStyle="1" w:styleId="Sangra3detindependienteCar">
    <w:name w:val="Sangría 3 de t. independiente Car"/>
    <w:basedOn w:val="Fuentedeprrafopredeter"/>
    <w:link w:val="Sangra3detindependiente"/>
    <w:uiPriority w:val="99"/>
    <w:semiHidden/>
    <w:rsid w:val="0074250E"/>
    <w:rPr>
      <w:sz w:val="16"/>
      <w:szCs w:val="16"/>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Footnote Text Char Char Char Char Char,Footnote Text Char Char Char Char,Footnote reference,FA Fu,Footnote Text Cha,Footnote Text Char Char Char,FA Fußnotentext,FA Fuﬂnotentext,Footnote Text Char Char,texto de nota al p"/>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Footnote Text Char Char Char Char Char Car,Footnote Text Char Char Char Char Car,Footnote reference Car,FA Fu Car,Footnote Text Cha Car,Footnote Text Char Char Char Car,FA Fußnotentext Car,FA Fuﬂnotentext Car"/>
    <w:link w:val="Textonotapie"/>
    <w:rsid w:val="00C505AE"/>
    <w:rPr>
      <w:rFonts w:ascii="Arial" w:hAnsi="Arial"/>
      <w:lang w:val="es-ES_tradnl"/>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styleId="NormalWeb">
    <w:name w:val="Normal (Web)"/>
    <w:basedOn w:val="Normal"/>
    <w:rsid w:val="00FA7A83"/>
    <w:pPr>
      <w:spacing w:before="100" w:beforeAutospacing="1" w:after="100" w:afterAutospacing="1"/>
      <w:ind w:left="0"/>
    </w:pPr>
    <w:rPr>
      <w:rFonts w:ascii="Arial Unicode MS" w:hAnsi="Arial Unicode MS"/>
      <w:lang w:val="it-IT" w:eastAsia="it-IT"/>
    </w:rPr>
  </w:style>
  <w:style w:type="paragraph" w:styleId="Sangra3detindependiente">
    <w:name w:val="Body Text Indent 3"/>
    <w:basedOn w:val="Normal"/>
    <w:link w:val="Sangra3detindependienteCar"/>
    <w:uiPriority w:val="99"/>
    <w:semiHidden/>
    <w:unhideWhenUsed/>
    <w:rsid w:val="0074250E"/>
    <w:pPr>
      <w:spacing w:after="120"/>
      <w:ind w:left="360"/>
    </w:pPr>
    <w:rPr>
      <w:sz w:val="16"/>
      <w:szCs w:val="16"/>
    </w:rPr>
  </w:style>
  <w:style w:type="character" w:customStyle="1" w:styleId="Sangra3detindependienteCar">
    <w:name w:val="Sangría 3 de t. independiente Car"/>
    <w:basedOn w:val="Fuentedeprrafopredeter"/>
    <w:link w:val="Sangra3detindependiente"/>
    <w:uiPriority w:val="99"/>
    <w:semiHidden/>
    <w:rsid w:val="0074250E"/>
    <w:rPr>
      <w:sz w:val="16"/>
      <w:szCs w:val="1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6786">
      <w:bodyDiv w:val="1"/>
      <w:marLeft w:val="0"/>
      <w:marRight w:val="0"/>
      <w:marTop w:val="0"/>
      <w:marBottom w:val="0"/>
      <w:divBdr>
        <w:top w:val="none" w:sz="0" w:space="0" w:color="auto"/>
        <w:left w:val="none" w:sz="0" w:space="0" w:color="auto"/>
        <w:bottom w:val="none" w:sz="0" w:space="0" w:color="auto"/>
        <w:right w:val="none" w:sz="0" w:space="0" w:color="auto"/>
      </w:divBdr>
    </w:div>
    <w:div w:id="72435222">
      <w:bodyDiv w:val="1"/>
      <w:marLeft w:val="0"/>
      <w:marRight w:val="0"/>
      <w:marTop w:val="0"/>
      <w:marBottom w:val="0"/>
      <w:divBdr>
        <w:top w:val="none" w:sz="0" w:space="0" w:color="auto"/>
        <w:left w:val="none" w:sz="0" w:space="0" w:color="auto"/>
        <w:bottom w:val="none" w:sz="0" w:space="0" w:color="auto"/>
        <w:right w:val="none" w:sz="0" w:space="0" w:color="auto"/>
      </w:divBdr>
    </w:div>
    <w:div w:id="123624735">
      <w:bodyDiv w:val="1"/>
      <w:marLeft w:val="0"/>
      <w:marRight w:val="0"/>
      <w:marTop w:val="0"/>
      <w:marBottom w:val="0"/>
      <w:divBdr>
        <w:top w:val="none" w:sz="0" w:space="0" w:color="auto"/>
        <w:left w:val="none" w:sz="0" w:space="0" w:color="auto"/>
        <w:bottom w:val="none" w:sz="0" w:space="0" w:color="auto"/>
        <w:right w:val="none" w:sz="0" w:space="0" w:color="auto"/>
      </w:divBdr>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84834838">
      <w:bodyDiv w:val="1"/>
      <w:marLeft w:val="150"/>
      <w:marRight w:val="150"/>
      <w:marTop w:val="150"/>
      <w:marBottom w:val="150"/>
      <w:divBdr>
        <w:top w:val="none" w:sz="0" w:space="0" w:color="auto"/>
        <w:left w:val="none" w:sz="0" w:space="0" w:color="auto"/>
        <w:bottom w:val="none" w:sz="0" w:space="0" w:color="auto"/>
        <w:right w:val="none" w:sz="0" w:space="0" w:color="auto"/>
      </w:divBdr>
      <w:divsChild>
        <w:div w:id="630482826">
          <w:marLeft w:val="0"/>
          <w:marRight w:val="0"/>
          <w:marTop w:val="0"/>
          <w:marBottom w:val="0"/>
          <w:divBdr>
            <w:top w:val="none" w:sz="0" w:space="0" w:color="auto"/>
            <w:left w:val="none" w:sz="0" w:space="0" w:color="auto"/>
            <w:bottom w:val="none" w:sz="0" w:space="0" w:color="auto"/>
            <w:right w:val="none" w:sz="0" w:space="0" w:color="auto"/>
          </w:divBdr>
        </w:div>
        <w:div w:id="1390767639">
          <w:marLeft w:val="0"/>
          <w:marRight w:val="0"/>
          <w:marTop w:val="0"/>
          <w:marBottom w:val="0"/>
          <w:divBdr>
            <w:top w:val="none" w:sz="0" w:space="0" w:color="auto"/>
            <w:left w:val="none" w:sz="0" w:space="0" w:color="auto"/>
            <w:bottom w:val="none" w:sz="0" w:space="0" w:color="auto"/>
            <w:right w:val="none" w:sz="0" w:space="0" w:color="auto"/>
          </w:divBdr>
        </w:div>
      </w:divsChild>
    </w:div>
    <w:div w:id="297994726">
      <w:bodyDiv w:val="1"/>
      <w:marLeft w:val="0"/>
      <w:marRight w:val="0"/>
      <w:marTop w:val="0"/>
      <w:marBottom w:val="0"/>
      <w:divBdr>
        <w:top w:val="none" w:sz="0" w:space="0" w:color="auto"/>
        <w:left w:val="none" w:sz="0" w:space="0" w:color="auto"/>
        <w:bottom w:val="none" w:sz="0" w:space="0" w:color="auto"/>
        <w:right w:val="none" w:sz="0" w:space="0" w:color="auto"/>
      </w:divBdr>
    </w:div>
    <w:div w:id="308361449">
      <w:bodyDiv w:val="1"/>
      <w:marLeft w:val="0"/>
      <w:marRight w:val="0"/>
      <w:marTop w:val="0"/>
      <w:marBottom w:val="0"/>
      <w:divBdr>
        <w:top w:val="none" w:sz="0" w:space="0" w:color="auto"/>
        <w:left w:val="none" w:sz="0" w:space="0" w:color="auto"/>
        <w:bottom w:val="none" w:sz="0" w:space="0" w:color="auto"/>
        <w:right w:val="none" w:sz="0" w:space="0" w:color="auto"/>
      </w:divBdr>
    </w:div>
    <w:div w:id="402995217">
      <w:bodyDiv w:val="1"/>
      <w:marLeft w:val="0"/>
      <w:marRight w:val="0"/>
      <w:marTop w:val="0"/>
      <w:marBottom w:val="0"/>
      <w:divBdr>
        <w:top w:val="none" w:sz="0" w:space="0" w:color="auto"/>
        <w:left w:val="none" w:sz="0" w:space="0" w:color="auto"/>
        <w:bottom w:val="none" w:sz="0" w:space="0" w:color="auto"/>
        <w:right w:val="none" w:sz="0" w:space="0" w:color="auto"/>
      </w:divBdr>
    </w:div>
    <w:div w:id="443812568">
      <w:bodyDiv w:val="1"/>
      <w:marLeft w:val="0"/>
      <w:marRight w:val="0"/>
      <w:marTop w:val="0"/>
      <w:marBottom w:val="0"/>
      <w:divBdr>
        <w:top w:val="none" w:sz="0" w:space="0" w:color="auto"/>
        <w:left w:val="none" w:sz="0" w:space="0" w:color="auto"/>
        <w:bottom w:val="none" w:sz="0" w:space="0" w:color="auto"/>
        <w:right w:val="none" w:sz="0" w:space="0" w:color="auto"/>
      </w:divBdr>
    </w:div>
    <w:div w:id="484012671">
      <w:bodyDiv w:val="1"/>
      <w:marLeft w:val="0"/>
      <w:marRight w:val="0"/>
      <w:marTop w:val="0"/>
      <w:marBottom w:val="0"/>
      <w:divBdr>
        <w:top w:val="none" w:sz="0" w:space="0" w:color="auto"/>
        <w:left w:val="none" w:sz="0" w:space="0" w:color="auto"/>
        <w:bottom w:val="none" w:sz="0" w:space="0" w:color="auto"/>
        <w:right w:val="none" w:sz="0" w:space="0" w:color="auto"/>
      </w:divBdr>
    </w:div>
    <w:div w:id="755369227">
      <w:bodyDiv w:val="1"/>
      <w:marLeft w:val="0"/>
      <w:marRight w:val="0"/>
      <w:marTop w:val="0"/>
      <w:marBottom w:val="0"/>
      <w:divBdr>
        <w:top w:val="none" w:sz="0" w:space="0" w:color="auto"/>
        <w:left w:val="none" w:sz="0" w:space="0" w:color="auto"/>
        <w:bottom w:val="none" w:sz="0" w:space="0" w:color="auto"/>
        <w:right w:val="none" w:sz="0" w:space="0" w:color="auto"/>
      </w:divBdr>
    </w:div>
    <w:div w:id="1061635169">
      <w:bodyDiv w:val="1"/>
      <w:marLeft w:val="0"/>
      <w:marRight w:val="0"/>
      <w:marTop w:val="0"/>
      <w:marBottom w:val="0"/>
      <w:divBdr>
        <w:top w:val="none" w:sz="0" w:space="0" w:color="auto"/>
        <w:left w:val="none" w:sz="0" w:space="0" w:color="auto"/>
        <w:bottom w:val="none" w:sz="0" w:space="0" w:color="auto"/>
        <w:right w:val="none" w:sz="0" w:space="0" w:color="auto"/>
      </w:divBdr>
    </w:div>
    <w:div w:id="1085762812">
      <w:bodyDiv w:val="1"/>
      <w:marLeft w:val="0"/>
      <w:marRight w:val="0"/>
      <w:marTop w:val="0"/>
      <w:marBottom w:val="0"/>
      <w:divBdr>
        <w:top w:val="none" w:sz="0" w:space="0" w:color="auto"/>
        <w:left w:val="none" w:sz="0" w:space="0" w:color="auto"/>
        <w:bottom w:val="none" w:sz="0" w:space="0" w:color="auto"/>
        <w:right w:val="none" w:sz="0" w:space="0" w:color="auto"/>
      </w:divBdr>
    </w:div>
    <w:div w:id="1210075443">
      <w:bodyDiv w:val="1"/>
      <w:marLeft w:val="0"/>
      <w:marRight w:val="0"/>
      <w:marTop w:val="0"/>
      <w:marBottom w:val="0"/>
      <w:divBdr>
        <w:top w:val="none" w:sz="0" w:space="0" w:color="auto"/>
        <w:left w:val="none" w:sz="0" w:space="0" w:color="auto"/>
        <w:bottom w:val="none" w:sz="0" w:space="0" w:color="auto"/>
        <w:right w:val="none" w:sz="0" w:space="0" w:color="auto"/>
      </w:divBdr>
    </w:div>
    <w:div w:id="1311903377">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484928138">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60900185">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31822020">
      <w:bodyDiv w:val="1"/>
      <w:marLeft w:val="0"/>
      <w:marRight w:val="0"/>
      <w:marTop w:val="0"/>
      <w:marBottom w:val="0"/>
      <w:divBdr>
        <w:top w:val="none" w:sz="0" w:space="0" w:color="auto"/>
        <w:left w:val="none" w:sz="0" w:space="0" w:color="auto"/>
        <w:bottom w:val="none" w:sz="0" w:space="0" w:color="auto"/>
        <w:right w:val="none" w:sz="0" w:space="0" w:color="auto"/>
      </w:divBdr>
    </w:div>
    <w:div w:id="186143180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45993058">
      <w:bodyDiv w:val="1"/>
      <w:marLeft w:val="0"/>
      <w:marRight w:val="0"/>
      <w:marTop w:val="0"/>
      <w:marBottom w:val="0"/>
      <w:divBdr>
        <w:top w:val="none" w:sz="0" w:space="0" w:color="auto"/>
        <w:left w:val="none" w:sz="0" w:space="0" w:color="auto"/>
        <w:bottom w:val="none" w:sz="0" w:space="0" w:color="auto"/>
        <w:right w:val="none" w:sz="0" w:space="0" w:color="auto"/>
      </w:divBdr>
    </w:div>
    <w:div w:id="1958027150">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84CDA8-8368-45FF-931F-3375A30C1A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4</Pages>
  <Words>1615</Words>
  <Characters>8886</Characters>
  <Application>Microsoft Office Word</Application>
  <DocSecurity>0</DocSecurity>
  <Lines>74</Lines>
  <Paragraphs>20</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10481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2013-07-05T19:40:00Z</cp:lastPrinted>
  <dcterms:created xsi:type="dcterms:W3CDTF">2013-07-18T13:40:00Z</dcterms:created>
  <dcterms:modified xsi:type="dcterms:W3CDTF">2013-07-18T13:40:00Z</dcterms:modified>
</cp:coreProperties>
</file>