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E3" w:rsidRPr="006B4647" w:rsidRDefault="00F1470D"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42617781"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EC3BB2">
        <w:rPr>
          <w:rFonts w:ascii="Bookman Old Style" w:hAnsi="Bookman Old Style"/>
          <w:sz w:val="24"/>
          <w:szCs w:val="24"/>
        </w:rPr>
        <w:t>6</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Default="00D126E3" w:rsidP="00D126E3">
      <w:pPr>
        <w:tabs>
          <w:tab w:val="right" w:pos="9498"/>
        </w:tabs>
        <w:ind w:left="0" w:right="-142"/>
        <w:rPr>
          <w:rFonts w:ascii="Bookman Old Style" w:hAnsi="Bookman Old Style"/>
          <w:bCs/>
          <w:sz w:val="22"/>
          <w:lang w:val="es-CO"/>
        </w:rPr>
      </w:pPr>
    </w:p>
    <w:p w:rsidR="00DA3ED9" w:rsidRDefault="00DA3ED9" w:rsidP="00D126E3">
      <w:pPr>
        <w:tabs>
          <w:tab w:val="right" w:pos="9498"/>
        </w:tabs>
        <w:ind w:left="0" w:right="-142"/>
        <w:rPr>
          <w:rFonts w:ascii="Bookman Old Style" w:hAnsi="Bookman Old Style"/>
          <w:bCs/>
          <w:sz w:val="22"/>
          <w:lang w:val="es-CO"/>
        </w:rPr>
      </w:pPr>
    </w:p>
    <w:p w:rsidR="008609A8" w:rsidRPr="007507BF" w:rsidRDefault="008609A8"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proofErr w:type="spellStart"/>
      <w:r w:rsidR="00C55BE2">
        <w:rPr>
          <w:rFonts w:ascii="Bookman Old Style" w:hAnsi="Bookman Old Style"/>
          <w:bCs/>
          <w:lang w:val="es-CO"/>
        </w:rPr>
        <w:t>Surcolombiana</w:t>
      </w:r>
      <w:proofErr w:type="spellEnd"/>
      <w:r w:rsidR="00C55BE2">
        <w:rPr>
          <w:rFonts w:ascii="Bookman Old Style" w:hAnsi="Bookman Old Style"/>
          <w:bCs/>
          <w:lang w:val="es-CO"/>
        </w:rPr>
        <w:t xml:space="preserve"> de Gas </w:t>
      </w:r>
      <w:r w:rsidR="00EC3BB2">
        <w:rPr>
          <w:rFonts w:ascii="Bookman Old Style" w:hAnsi="Bookman Old Style"/>
          <w:bCs/>
          <w:lang w:val="es-CO"/>
        </w:rPr>
        <w:t>S.A. E.S.P.</w:t>
      </w:r>
      <w:r w:rsidRPr="00D7035A">
        <w:rPr>
          <w:rFonts w:ascii="Bookman Old Style" w:hAnsi="Bookman Old Style"/>
          <w:bCs/>
          <w:lang w:val="es-CO"/>
        </w:rPr>
        <w:t xml:space="preserve"> contra la Resolución CREG </w:t>
      </w:r>
      <w:r w:rsidR="00EC3BB2">
        <w:rPr>
          <w:rFonts w:ascii="Bookman Old Style" w:hAnsi="Bookman Old Style"/>
          <w:bCs/>
          <w:lang w:val="es-CO"/>
        </w:rPr>
        <w:t>075 de 2016</w:t>
      </w:r>
      <w:r w:rsidRPr="00D7035A">
        <w:rPr>
          <w:rFonts w:ascii="Bookman Old Style" w:hAnsi="Bookman Old Style"/>
          <w:bCs/>
          <w:lang w:val="es-CO"/>
        </w:rPr>
        <w:t>.</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Pr="003234E2" w:rsidRDefault="00D126E3"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EC3BB2" w:rsidRPr="003234E2" w:rsidRDefault="00EC3BB2" w:rsidP="00EC3BB2">
      <w:pPr>
        <w:tabs>
          <w:tab w:val="right" w:pos="9498"/>
        </w:tabs>
        <w:ind w:left="0" w:right="-142"/>
        <w:jc w:val="center"/>
        <w:rPr>
          <w:rFonts w:ascii="Bookman Old Style" w:hAnsi="Bookman Old Style" w:cs="Arial"/>
          <w:sz w:val="22"/>
        </w:rPr>
      </w:pPr>
    </w:p>
    <w:p w:rsidR="00D126E3" w:rsidRPr="003234E2" w:rsidRDefault="00D126E3" w:rsidP="00D126E3">
      <w:pPr>
        <w:tabs>
          <w:tab w:val="right" w:pos="9498"/>
        </w:tabs>
        <w:ind w:left="0" w:right="-142"/>
        <w:jc w:val="both"/>
        <w:rPr>
          <w:rFonts w:ascii="Bookman Old Style" w:hAnsi="Bookman Old Style" w:cs="Arial"/>
          <w:sz w:val="22"/>
        </w:rPr>
      </w:pPr>
    </w:p>
    <w:p w:rsidR="00D126E3" w:rsidRDefault="00D126E3" w:rsidP="00D126E3">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D126E3" w:rsidRPr="003234E2" w:rsidRDefault="00D126E3" w:rsidP="00D126E3">
      <w:pPr>
        <w:tabs>
          <w:tab w:val="right" w:pos="9498"/>
        </w:tabs>
        <w:ind w:left="0" w:right="-142"/>
        <w:jc w:val="center"/>
        <w:rPr>
          <w:rFonts w:ascii="Bookman Old Style" w:hAnsi="Bookman Old Style" w:cs="Arial"/>
          <w:b/>
          <w:sz w:val="20"/>
        </w:rPr>
      </w:pPr>
    </w:p>
    <w:p w:rsidR="00D126E3" w:rsidRDefault="00D126E3" w:rsidP="00D126E3">
      <w:pPr>
        <w:tabs>
          <w:tab w:val="right" w:pos="9498"/>
        </w:tabs>
        <w:ind w:left="0" w:right="-142"/>
        <w:jc w:val="center"/>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D126E3" w:rsidRDefault="00D126E3" w:rsidP="00D126E3">
      <w:pPr>
        <w:widowControl w:val="0"/>
        <w:tabs>
          <w:tab w:val="right" w:pos="9498"/>
        </w:tabs>
        <w:adjustRightInd w:val="0"/>
        <w:ind w:left="0" w:right="-142"/>
        <w:jc w:val="both"/>
        <w:rPr>
          <w:rFonts w:ascii="Bookman Old Style" w:hAnsi="Bookman Old Style" w:cs="Arial"/>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ejercicio de </w:t>
      </w:r>
      <w:r w:rsidRPr="00EC3BB2">
        <w:rPr>
          <w:rFonts w:ascii="Bookman Old Style" w:hAnsi="Bookman Old Style"/>
        </w:rPr>
        <w:t>sus</w:t>
      </w:r>
      <w:r w:rsidRPr="00EC3BB2">
        <w:rPr>
          <w:rFonts w:ascii="Bookman Old Style" w:hAnsi="Bookman Old Style" w:cs="Arial"/>
          <w:spacing w:val="-5"/>
          <w:lang w:val="es-CO" w:eastAsia="en-US"/>
        </w:rPr>
        <w:t xml:space="preserve"> facultades regulatorias previstas entre otras en la Ley 142 de 1994 y en el artículo 62 de la Ley 1151 de 2007</w:t>
      </w:r>
      <w:r w:rsidRPr="00EC3BB2">
        <w:rPr>
          <w:rFonts w:ascii="Bookman Old Style" w:hAnsi="Bookman Old Style" w:cs="Arial"/>
          <w:spacing w:val="-5"/>
          <w:vertAlign w:val="superscript"/>
          <w:lang w:val="es-CO" w:eastAsia="en-US"/>
        </w:rPr>
        <w:footnoteReference w:id="1"/>
      </w:r>
      <w:r w:rsidRPr="00EC3BB2">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dicho acto administrativo, así como en su documento soporte D-030 de 2016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 y el numeral 8 del artículo 8 de la Ley 1437 de 2011.</w:t>
      </w:r>
    </w:p>
    <w:p w:rsidR="00067308" w:rsidRPr="00EC3BB2" w:rsidRDefault="00067308"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w:t>
      </w:r>
      <w:r w:rsidRPr="00EC3BB2">
        <w:rPr>
          <w:rFonts w:ascii="Bookman Old Style" w:hAnsi="Bookman Old Style" w:cs="Arial"/>
          <w:spacing w:val="-5"/>
          <w:lang w:val="es-CO" w:eastAsia="en-US"/>
        </w:rPr>
        <w:lastRenderedPageBreak/>
        <w:t>dicha norma, atendiendo la capacidad de envase en kilogramos registrado de acuerdo con la información reportada en el Sistema Único de Información – SUI. En relación con lo anterior, el artículo 8 de la Resolución CREG 063 de 2016 establece lo siguiente:</w:t>
      </w:r>
    </w:p>
    <w:p w:rsidR="00EC3BB2" w:rsidRPr="00EC3BB2" w:rsidRDefault="00EC3BB2" w:rsidP="00EC3BB2">
      <w:pPr>
        <w:ind w:left="0"/>
        <w:jc w:val="both"/>
        <w:rPr>
          <w:rFonts w:ascii="Bookman Old Style" w:hAnsi="Bookman Old Style" w:cs="Arial"/>
          <w:spacing w:val="-5"/>
          <w:lang w:val="es-CO" w:eastAsia="en-US"/>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 xml:space="preserve">“Artículo </w:t>
      </w:r>
      <w:r w:rsidRPr="00EC3BB2">
        <w:rPr>
          <w:rFonts w:ascii="Bookman Old Style" w:hAnsi="Bookman Old Style" w:cs="Arial"/>
          <w:b/>
          <w:sz w:val="22"/>
          <w:szCs w:val="22"/>
        </w:rPr>
        <w:fldChar w:fldCharType="begin"/>
      </w:r>
      <w:r w:rsidRPr="00EC3BB2">
        <w:rPr>
          <w:rFonts w:ascii="Bookman Old Style" w:hAnsi="Bookman Old Style" w:cs="Arial"/>
          <w:b/>
          <w:sz w:val="22"/>
          <w:szCs w:val="22"/>
        </w:rPr>
        <w:instrText xml:space="preserve"> SEQ Artículo \* ARABIC </w:instrText>
      </w:r>
      <w:r w:rsidRPr="00EC3BB2">
        <w:rPr>
          <w:rFonts w:ascii="Bookman Old Style" w:hAnsi="Bookman Old Style" w:cs="Arial"/>
          <w:b/>
          <w:sz w:val="22"/>
          <w:szCs w:val="22"/>
        </w:rPr>
        <w:fldChar w:fldCharType="separate"/>
      </w:r>
      <w:r w:rsidRPr="00EC3BB2">
        <w:rPr>
          <w:rFonts w:ascii="Bookman Old Style" w:hAnsi="Bookman Old Style" w:cs="Arial"/>
          <w:b/>
          <w:noProof/>
          <w:sz w:val="22"/>
          <w:szCs w:val="22"/>
        </w:rPr>
        <w:t>8</w:t>
      </w:r>
      <w:r w:rsidRPr="00EC3BB2">
        <w:rPr>
          <w:rFonts w:ascii="Bookman Old Style" w:hAnsi="Bookman Old Style" w:cs="Arial"/>
          <w:b/>
          <w:sz w:val="22"/>
          <w:szCs w:val="22"/>
        </w:rPr>
        <w:fldChar w:fldCharType="end"/>
      </w:r>
      <w:r w:rsidRPr="00EC3BB2">
        <w:rPr>
          <w:rFonts w:ascii="Bookman Old Style" w:hAnsi="Bookman Old Style" w:cs="Arial"/>
          <w:b/>
          <w:sz w:val="22"/>
          <w:szCs w:val="22"/>
        </w:rPr>
        <w:t xml:space="preserve">. Capacidad de compras. </w:t>
      </w:r>
      <w:r w:rsidRPr="00EC3BB2">
        <w:rPr>
          <w:rFonts w:ascii="Bookman Old Style" w:hAnsi="Bookman Old Style" w:cs="Arial"/>
          <w:sz w:val="22"/>
          <w:szCs w:val="22"/>
        </w:rPr>
        <w:t>La capacidad disponible de compra de los distribuidores que adquieran GLP en el mercado mayorista se determinará así:</w:t>
      </w:r>
    </w:p>
    <w:p w:rsidR="00EC3BB2" w:rsidRPr="00EC3BB2" w:rsidRDefault="00EC3BB2" w:rsidP="00EC3BB2">
      <w:pPr>
        <w:jc w:val="both"/>
        <w:rPr>
          <w:rFonts w:ascii="Bookman Old Style" w:hAnsi="Bookman Old Style" w:cs="Arial"/>
          <w:sz w:val="22"/>
          <w:szCs w:val="22"/>
        </w:rPr>
      </w:pPr>
    </w:p>
    <w:p w:rsidR="00EC3BB2" w:rsidRPr="00AF500C" w:rsidRDefault="00AF500C" w:rsidP="00EC3BB2">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EC3BB2" w:rsidRPr="00EC3BB2" w:rsidRDefault="00EC3BB2" w:rsidP="00EC3BB2">
      <w:pPr>
        <w:rPr>
          <w:rFonts w:ascii="Bookman Old Style" w:hAnsi="Bookman Old Style"/>
          <w:sz w:val="22"/>
          <w:szCs w:val="22"/>
        </w:rPr>
      </w:pPr>
      <w:proofErr w:type="gramStart"/>
      <w:r w:rsidRPr="00EC3BB2">
        <w:rPr>
          <w:rFonts w:ascii="Bookman Old Style" w:hAnsi="Bookman Old Style"/>
          <w:sz w:val="22"/>
          <w:szCs w:val="22"/>
        </w:rPr>
        <w:t>donde</w:t>
      </w:r>
      <w:proofErr w:type="gramEnd"/>
      <w:r w:rsidRPr="00EC3BB2">
        <w:rPr>
          <w:rFonts w:ascii="Bookman Old Style" w:hAnsi="Bookman Old Style"/>
          <w:sz w:val="22"/>
          <w:szCs w:val="22"/>
        </w:rPr>
        <w:t>,</w:t>
      </w:r>
    </w:p>
    <w:p w:rsidR="00EC3BB2" w:rsidRPr="00EC3BB2" w:rsidRDefault="00EC3BB2" w:rsidP="00EC3BB2">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C3BB2" w:rsidRPr="005217A1" w:rsidTr="005217A1">
        <w:tc>
          <w:tcPr>
            <w:tcW w:w="1242" w:type="dxa"/>
            <w:shd w:val="clear" w:color="auto" w:fill="auto"/>
          </w:tcPr>
          <w:p w:rsidR="00EC3BB2" w:rsidRPr="005217A1" w:rsidRDefault="00AF500C" w:rsidP="005217A1">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Capacidad disponible de compra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para el periodo de compra </w:t>
            </w:r>
            <w:r w:rsidRPr="005217A1">
              <w:rPr>
                <w:rFonts w:ascii="Bookman Old Style" w:hAnsi="Bookman Old Style" w:cs="Arial"/>
                <w:i/>
                <w:sz w:val="22"/>
                <w:szCs w:val="22"/>
              </w:rPr>
              <w:t>t</w:t>
            </w:r>
            <w:r w:rsidRPr="005217A1">
              <w:rPr>
                <w:rFonts w:ascii="Bookman Old Style" w:hAnsi="Bookman Old Style" w:cs="Arial"/>
                <w:sz w:val="22"/>
                <w:szCs w:val="22"/>
              </w:rPr>
              <w:t xml:space="preserve">, calculada para el mes </w:t>
            </w:r>
            <w:r w:rsidRPr="005217A1">
              <w:rPr>
                <w:rFonts w:ascii="Bookman Old Style" w:hAnsi="Bookman Old Style" w:cs="Arial"/>
                <w:i/>
                <w:sz w:val="22"/>
                <w:szCs w:val="22"/>
              </w:rPr>
              <w:t>m</w:t>
            </w:r>
            <w:r w:rsidRPr="005217A1">
              <w:rPr>
                <w:rFonts w:ascii="Bookman Old Style" w:hAnsi="Bookman Old Style" w:cs="Arial"/>
                <w:sz w:val="22"/>
                <w:szCs w:val="22"/>
              </w:rPr>
              <w:t>, medida en kilogramos.</w:t>
            </w:r>
          </w:p>
        </w:tc>
      </w:tr>
      <w:tr w:rsidR="00EC3BB2" w:rsidRPr="005217A1" w:rsidTr="005217A1">
        <w:tc>
          <w:tcPr>
            <w:tcW w:w="1242" w:type="dxa"/>
            <w:shd w:val="clear" w:color="auto" w:fill="auto"/>
          </w:tcPr>
          <w:p w:rsidR="00EC3BB2" w:rsidRPr="005217A1" w:rsidRDefault="00F1470D"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34" w:firstLine="4"/>
              <w:jc w:val="both"/>
              <w:rPr>
                <w:rFonts w:ascii="Bookman Old Style" w:hAnsi="Bookman Old Style"/>
                <w:sz w:val="22"/>
                <w:szCs w:val="22"/>
              </w:rPr>
            </w:pPr>
            <w:r w:rsidRPr="005217A1">
              <w:rPr>
                <w:rFonts w:ascii="Bookman Old Style" w:hAnsi="Bookman Old Style" w:cs="Arial"/>
                <w:sz w:val="22"/>
                <w:szCs w:val="22"/>
              </w:rPr>
              <w:t>Capacidad de compra del distribuidor i, para el periodo de compra t, medida en kilogramos.</w:t>
            </w:r>
          </w:p>
        </w:tc>
      </w:tr>
      <w:tr w:rsidR="00EC3BB2" w:rsidRPr="005217A1" w:rsidTr="005217A1">
        <w:tc>
          <w:tcPr>
            <w:tcW w:w="1242" w:type="dxa"/>
            <w:shd w:val="clear" w:color="auto" w:fill="auto"/>
          </w:tcPr>
          <w:p w:rsidR="00EC3BB2" w:rsidRPr="005217A1" w:rsidRDefault="00F1470D"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C3BB2" w:rsidRPr="005217A1" w:rsidTr="005217A1">
        <w:tc>
          <w:tcPr>
            <w:tcW w:w="1242" w:type="dxa"/>
            <w:shd w:val="clear" w:color="auto" w:fill="auto"/>
          </w:tcPr>
          <w:p w:rsidR="00EC3BB2" w:rsidRPr="005217A1" w:rsidRDefault="00F1470D"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5217A1">
              <w:rPr>
                <w:rFonts w:ascii="Bookman Old Style" w:hAnsi="Bookman Old Style"/>
                <w:sz w:val="22"/>
                <w:szCs w:val="22"/>
              </w:rPr>
              <w:t xml:space="preserve"> será igual a cero (0).</w:t>
            </w:r>
          </w:p>
        </w:tc>
      </w:tr>
      <w:tr w:rsidR="00EC3BB2" w:rsidRPr="005217A1" w:rsidTr="005217A1">
        <w:tc>
          <w:tcPr>
            <w:tcW w:w="1242" w:type="dxa"/>
            <w:shd w:val="clear" w:color="auto" w:fill="auto"/>
          </w:tcPr>
          <w:p w:rsidR="00EC3BB2" w:rsidRPr="005217A1" w:rsidRDefault="00AF500C" w:rsidP="005217A1">
            <w:pPr>
              <w:ind w:left="0"/>
              <w:rPr>
                <w:rFonts w:ascii="Bookman Old Style" w:hAnsi="Bookman Old Style"/>
                <w:sz w:val="22"/>
                <w:szCs w:val="22"/>
              </w:rPr>
            </w:pPr>
            <m:oMath>
              <m:r>
                <w:rPr>
                  <w:rFonts w:ascii="Cambria Math" w:hAnsi="Cambria Math"/>
                  <w:sz w:val="22"/>
                  <w:szCs w:val="22"/>
                </w:rPr>
                <m:t>m</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Mes de cálculo de la capacidad disponible de compra.</w:t>
            </w:r>
          </w:p>
        </w:tc>
      </w:tr>
      <w:tr w:rsidR="00EC3BB2" w:rsidRPr="005217A1" w:rsidTr="005217A1">
        <w:tc>
          <w:tcPr>
            <w:tcW w:w="1242" w:type="dxa"/>
            <w:shd w:val="clear" w:color="auto" w:fill="auto"/>
          </w:tcPr>
          <w:p w:rsidR="00EC3BB2" w:rsidRPr="005217A1" w:rsidRDefault="00AF500C" w:rsidP="005217A1">
            <w:pPr>
              <w:ind w:left="0"/>
              <w:rPr>
                <w:rFonts w:ascii="Bookman Old Style" w:hAnsi="Bookman Old Style"/>
                <w:sz w:val="22"/>
                <w:szCs w:val="22"/>
              </w:rPr>
            </w:pPr>
            <m:oMath>
              <m:r>
                <w:rPr>
                  <w:rFonts w:ascii="Cambria Math" w:hAnsi="Cambria Math"/>
                  <w:sz w:val="22"/>
                  <w:szCs w:val="22"/>
                </w:rPr>
                <m:t>t</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5217A1">
              <w:rPr>
                <w:rFonts w:ascii="Bookman Old Style" w:hAnsi="Bookman Old Style"/>
                <w:sz w:val="22"/>
                <w:szCs w:val="22"/>
              </w:rPr>
              <w:t>.</w:t>
            </w:r>
          </w:p>
        </w:tc>
      </w:tr>
    </w:tbl>
    <w:p w:rsidR="00EC3BB2" w:rsidRPr="00EC3BB2" w:rsidRDefault="00EC3BB2" w:rsidP="00EC3BB2">
      <w:pPr>
        <w:ind w:left="1134"/>
        <w:rPr>
          <w:rFonts w:ascii="Bookman Old Style" w:hAnsi="Bookman Old Style"/>
          <w:sz w:val="22"/>
          <w:szCs w:val="22"/>
        </w:rPr>
      </w:pPr>
    </w:p>
    <w:p w:rsidR="00EC3BB2" w:rsidRPr="00EC3BB2" w:rsidRDefault="00EC3BB2" w:rsidP="00EC3BB2">
      <w:pPr>
        <w:jc w:val="both"/>
        <w:rPr>
          <w:rFonts w:ascii="Bookman Old Style" w:hAnsi="Bookman Old Style"/>
          <w:b/>
          <w:sz w:val="22"/>
          <w:szCs w:val="22"/>
        </w:rPr>
      </w:pPr>
      <w:r w:rsidRPr="00EC3BB2">
        <w:rPr>
          <w:rFonts w:ascii="Bookman Old Style" w:hAnsi="Bookman Old Style"/>
          <w:b/>
          <w:sz w:val="22"/>
          <w:szCs w:val="22"/>
        </w:rPr>
        <w:t xml:space="preserve">Parágrafo 1. </w:t>
      </w:r>
      <w:r w:rsidRPr="00EC3BB2">
        <w:rPr>
          <w:rFonts w:ascii="Bookman Old Style" w:hAnsi="Bookman Old Style"/>
          <w:sz w:val="22"/>
          <w:szCs w:val="22"/>
        </w:rPr>
        <w:t xml:space="preserve">La capacidad de compra de cada distribuidor se calculará de acuerdo con la siguiente fórmula. </w:t>
      </w:r>
      <w:r w:rsidRPr="00EC3BB2">
        <w:rPr>
          <w:rFonts w:ascii="Bookman Old Style" w:hAnsi="Bookman Old Style"/>
          <w:b/>
          <w:sz w:val="22"/>
          <w:szCs w:val="22"/>
        </w:rPr>
        <w:t xml:space="preserve"> </w:t>
      </w:r>
    </w:p>
    <w:p w:rsidR="00EC3BB2" w:rsidRPr="00EC3BB2" w:rsidRDefault="00EC3BB2" w:rsidP="00EC3BB2">
      <w:pPr>
        <w:ind w:left="1272" w:hanging="705"/>
        <w:jc w:val="both"/>
        <w:rPr>
          <w:rFonts w:ascii="Bookman Old Style" w:hAnsi="Bookman Old Style" w:cs="Arial"/>
          <w:sz w:val="22"/>
          <w:szCs w:val="22"/>
        </w:rPr>
      </w:pPr>
    </w:p>
    <w:p w:rsidR="00EC3BB2" w:rsidRPr="00AF500C" w:rsidRDefault="00F1470D" w:rsidP="00EC3BB2">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C3BB2" w:rsidRPr="00EC3BB2" w:rsidRDefault="00EC3BB2" w:rsidP="00EC3BB2">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C3BB2" w:rsidRPr="005217A1" w:rsidTr="005217A1">
        <w:tc>
          <w:tcPr>
            <w:tcW w:w="1271" w:type="dxa"/>
            <w:shd w:val="clear" w:color="auto" w:fill="auto"/>
          </w:tcPr>
          <w:p w:rsidR="00EC3BB2" w:rsidRPr="005217A1" w:rsidRDefault="00F1470D" w:rsidP="005217A1">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C3BB2" w:rsidRPr="005217A1" w:rsidTr="005217A1">
        <w:tc>
          <w:tcPr>
            <w:tcW w:w="1271" w:type="dxa"/>
            <w:shd w:val="clear" w:color="auto" w:fill="auto"/>
          </w:tcPr>
          <w:p w:rsidR="00EC3BB2" w:rsidRPr="005217A1" w:rsidRDefault="00F1470D" w:rsidP="005217A1">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Factor de equivalencia de envasado en cilindros y tanques estacionarios, corresponde a: 0,3.</w:t>
            </w:r>
          </w:p>
        </w:tc>
      </w:tr>
      <w:tr w:rsidR="00EC3BB2" w:rsidRPr="005217A1" w:rsidTr="005217A1">
        <w:tc>
          <w:tcPr>
            <w:tcW w:w="1271" w:type="dxa"/>
            <w:shd w:val="clear" w:color="auto" w:fill="auto"/>
          </w:tcPr>
          <w:p w:rsidR="00EC3BB2" w:rsidRPr="005217A1" w:rsidRDefault="00AF500C" w:rsidP="005217A1">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envase en cilindros de propiedad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271" w:type="dxa"/>
            <w:shd w:val="clear" w:color="auto" w:fill="auto"/>
          </w:tcPr>
          <w:p w:rsidR="00EC3BB2" w:rsidRPr="005217A1" w:rsidRDefault="00AF500C"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bl>
    <w:p w:rsidR="00EC3BB2" w:rsidRPr="00EC3BB2" w:rsidRDefault="00EC3BB2" w:rsidP="00EC3BB2">
      <w:pPr>
        <w:ind w:left="1272" w:hanging="705"/>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2.</w:t>
      </w:r>
      <w:r w:rsidRPr="00EC3BB2">
        <w:rPr>
          <w:rFonts w:ascii="Bookman Old Style" w:hAnsi="Bookman Old Style" w:cs="Arial"/>
          <w:sz w:val="22"/>
          <w:szCs w:val="22"/>
        </w:rPr>
        <w:t xml:space="preserve"> La capacidad total de envase en cilindros, de propiedad del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AF500C" w:rsidRDefault="00AF500C" w:rsidP="00EC3BB2">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EC3BB2" w:rsidRPr="00EC3BB2" w:rsidRDefault="00EC3BB2" w:rsidP="00EC3BB2">
      <w:pPr>
        <w:ind w:left="709" w:firstLine="566"/>
        <w:jc w:val="both"/>
        <w:rPr>
          <w:rFonts w:ascii="Bookman Old Style" w:hAnsi="Bookman Old Style"/>
          <w:sz w:val="22"/>
          <w:szCs w:val="22"/>
        </w:rPr>
      </w:pPr>
      <w:proofErr w:type="gramStart"/>
      <w:r w:rsidRPr="00EC3BB2">
        <w:rPr>
          <w:rFonts w:ascii="Bookman Old Style" w:hAnsi="Bookman Old Style"/>
          <w:sz w:val="22"/>
          <w:szCs w:val="22"/>
        </w:rPr>
        <w:t>donde</w:t>
      </w:r>
      <w:proofErr w:type="gramEnd"/>
      <w:r w:rsidRPr="00EC3BB2">
        <w:rPr>
          <w:rFonts w:ascii="Bookman Old Style" w:hAnsi="Bookman Old Style"/>
          <w:sz w:val="22"/>
          <w:szCs w:val="22"/>
        </w:rPr>
        <w:t>,</w:t>
      </w:r>
    </w:p>
    <w:tbl>
      <w:tblPr>
        <w:tblW w:w="8080" w:type="dxa"/>
        <w:tblInd w:w="1242" w:type="dxa"/>
        <w:tblLook w:val="04A0" w:firstRow="1" w:lastRow="0" w:firstColumn="1" w:lastColumn="0" w:noHBand="0" w:noVBand="1"/>
      </w:tblPr>
      <w:tblGrid>
        <w:gridCol w:w="1659"/>
        <w:gridCol w:w="6421"/>
      </w:tblGrid>
      <w:tr w:rsidR="00EC3BB2" w:rsidRPr="005217A1" w:rsidTr="005217A1">
        <w:trPr>
          <w:trHeight w:val="966"/>
        </w:trPr>
        <w:tc>
          <w:tcPr>
            <w:tcW w:w="1659" w:type="dxa"/>
            <w:shd w:val="clear" w:color="auto" w:fill="auto"/>
            <w:hideMark/>
          </w:tcPr>
          <w:p w:rsidR="00EC3BB2" w:rsidRPr="005217A1" w:rsidRDefault="00AF500C" w:rsidP="005217A1">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C3BB2" w:rsidRPr="005217A1">
              <w:rPr>
                <w:rFonts w:ascii="Bookman Old Style" w:hAnsi="Bookman Old Style"/>
                <w:sz w:val="22"/>
                <w:szCs w:val="22"/>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rPr>
              <w:t>Capacidad total de envase en cilindros de propiedad del distribuidor i, en el periodo t, medida en kilogramos, registrado en el SUI.</w:t>
            </w:r>
          </w:p>
        </w:tc>
      </w:tr>
      <w:tr w:rsidR="00EC3BB2" w:rsidRPr="005217A1" w:rsidTr="005217A1">
        <w:trPr>
          <w:trHeight w:val="1359"/>
        </w:trPr>
        <w:tc>
          <w:tcPr>
            <w:tcW w:w="1659" w:type="dxa"/>
            <w:shd w:val="clear" w:color="auto" w:fill="auto"/>
            <w:hideMark/>
          </w:tcPr>
          <w:p w:rsidR="00EC3BB2" w:rsidRPr="005217A1" w:rsidRDefault="00AF500C" w:rsidP="005217A1">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C3BB2" w:rsidRPr="005217A1">
              <w:rPr>
                <w:rFonts w:ascii="Bookman Old Style" w:hAnsi="Bookman Old Style"/>
                <w:sz w:val="22"/>
                <w:szCs w:val="22"/>
                <w:lang w:val="es-CO"/>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C3BB2" w:rsidRPr="00EC3BB2" w:rsidRDefault="00EC3BB2" w:rsidP="00EC3BB2">
      <w:pPr>
        <w:ind w:left="2694" w:hanging="2127"/>
        <w:jc w:val="both"/>
        <w:rPr>
          <w:rFonts w:ascii="Bookman Old Style" w:hAnsi="Bookman Old Style"/>
          <w:sz w:val="22"/>
          <w:szCs w:val="22"/>
        </w:rPr>
      </w:pPr>
    </w:p>
    <w:p w:rsidR="00EC3BB2" w:rsidRPr="00AF500C" w:rsidRDefault="00AF500C"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C3BB2" w:rsidRPr="00EC3BB2" w:rsidRDefault="00EC3BB2" w:rsidP="00EC3BB2">
      <w:pPr>
        <w:ind w:left="2694" w:hanging="2127"/>
        <w:jc w:val="both"/>
        <w:rPr>
          <w:rFonts w:ascii="Bookman Old Style" w:hAnsi="Bookman Old Style"/>
          <w:iCs/>
          <w:sz w:val="22"/>
          <w:szCs w:val="22"/>
        </w:rPr>
      </w:pPr>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C3BB2" w:rsidRPr="00EC3BB2" w:rsidTr="00967468">
        <w:trPr>
          <w:trHeight w:val="1359"/>
        </w:trPr>
        <w:tc>
          <w:tcPr>
            <w:tcW w:w="1418" w:type="dxa"/>
            <w:shd w:val="clear" w:color="auto" w:fill="auto"/>
            <w:tcMar>
              <w:top w:w="15" w:type="dxa"/>
              <w:left w:w="108" w:type="dxa"/>
              <w:bottom w:w="0" w:type="dxa"/>
              <w:right w:w="108" w:type="dxa"/>
            </w:tcMar>
            <w:hideMark/>
          </w:tcPr>
          <w:p w:rsidR="00EC3BB2" w:rsidRPr="00EC3BB2" w:rsidRDefault="00AF500C"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C3BB2">
              <w:rPr>
                <w:rFonts w:ascii="Bookman Old Style" w:hAnsi="Bookman Old Style"/>
                <w:color w:val="000000"/>
                <w:kern w:val="24"/>
                <w:sz w:val="22"/>
                <w:szCs w:val="22"/>
                <w:lang w:val="es-CO" w:eastAsia="es-CO"/>
              </w:rPr>
              <w:t>registrada desde el 2008 hasta octubre de 2012, por AIC proyectos y</w:t>
            </w:r>
            <w:r w:rsidRPr="00EC3BB2">
              <w:rPr>
                <w:rFonts w:ascii="Bookman Old Style" w:hAnsi="Bookman Old Style" w:cs="Arial"/>
                <w:color w:val="000000"/>
                <w:kern w:val="24"/>
                <w:sz w:val="22"/>
                <w:szCs w:val="22"/>
                <w:lang w:eastAsia="es-CO"/>
              </w:rPr>
              <w:t xml:space="preserve"> publicada en el SUI.</w:t>
            </w:r>
          </w:p>
        </w:tc>
      </w:tr>
      <w:tr w:rsidR="00EC3BB2" w:rsidRPr="00EC3BB2" w:rsidTr="00967468">
        <w:trPr>
          <w:trHeight w:val="1021"/>
        </w:trPr>
        <w:tc>
          <w:tcPr>
            <w:tcW w:w="1418" w:type="dxa"/>
            <w:shd w:val="clear" w:color="auto" w:fill="auto"/>
            <w:tcMar>
              <w:top w:w="15" w:type="dxa"/>
              <w:left w:w="108" w:type="dxa"/>
              <w:bottom w:w="0" w:type="dxa"/>
              <w:right w:w="108" w:type="dxa"/>
            </w:tcMar>
            <w:hideMark/>
          </w:tcPr>
          <w:p w:rsidR="00EC3BB2" w:rsidRPr="00EC3BB2" w:rsidRDefault="00AF500C"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Lb</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524"/>
        </w:trPr>
        <w:tc>
          <w:tcPr>
            <w:tcW w:w="1418" w:type="dxa"/>
            <w:shd w:val="clear" w:color="auto" w:fill="auto"/>
            <w:tcMar>
              <w:top w:w="15" w:type="dxa"/>
              <w:left w:w="108" w:type="dxa"/>
              <w:bottom w:w="0" w:type="dxa"/>
              <w:right w:w="108" w:type="dxa"/>
            </w:tcMar>
            <w:hideMark/>
          </w:tcPr>
          <w:p w:rsidR="00EC3BB2" w:rsidRPr="00EC3BB2" w:rsidRDefault="00AF500C" w:rsidP="00EC3BB2">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Cantidad de kilogramos por libras americanas, de acuerdo con la NTC 3853.  </w:t>
            </w:r>
          </w:p>
        </w:tc>
      </w:tr>
      <w:tr w:rsidR="00EC3BB2" w:rsidRPr="00EC3BB2" w:rsidTr="00967468">
        <w:trPr>
          <w:trHeight w:val="416"/>
        </w:trPr>
        <w:tc>
          <w:tcPr>
            <w:tcW w:w="1418" w:type="dxa"/>
            <w:shd w:val="clear" w:color="auto" w:fill="auto"/>
            <w:tcMar>
              <w:top w:w="15" w:type="dxa"/>
              <w:left w:w="108" w:type="dxa"/>
              <w:bottom w:w="0" w:type="dxa"/>
              <w:right w:w="108" w:type="dxa"/>
            </w:tcMar>
            <w:hideMark/>
          </w:tcPr>
          <w:p w:rsidR="00EC3BB2" w:rsidRPr="00EC3BB2" w:rsidRDefault="00AF500C"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C3BB2" w:rsidRPr="00EC3BB2" w:rsidTr="00967468">
        <w:trPr>
          <w:trHeight w:val="1021"/>
        </w:trPr>
        <w:tc>
          <w:tcPr>
            <w:tcW w:w="2040" w:type="dxa"/>
            <w:shd w:val="clear" w:color="auto" w:fill="auto"/>
            <w:tcMar>
              <w:top w:w="15" w:type="dxa"/>
              <w:left w:w="108" w:type="dxa"/>
              <w:bottom w:w="0" w:type="dxa"/>
              <w:right w:w="108" w:type="dxa"/>
            </w:tcMar>
            <w:hideMark/>
          </w:tcPr>
          <w:p w:rsidR="00EC3BB2" w:rsidRPr="00EC3BB2" w:rsidRDefault="00AF500C"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C3BB2" w:rsidRPr="00EC3BB2">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C3BB2">
              <w:rPr>
                <w:rFonts w:ascii="Bookman Old Style" w:hAnsi="Bookman Old Style"/>
                <w:color w:val="000000"/>
                <w:kern w:val="24"/>
                <w:sz w:val="22"/>
                <w:szCs w:val="22"/>
                <w:lang w:val="es-CO" w:eastAsia="es-CO"/>
              </w:rPr>
              <w:t>, definida de la siguiente forma:</w:t>
            </w:r>
          </w:p>
        </w:tc>
      </w:tr>
    </w:tbl>
    <w:p w:rsidR="00EC3BB2" w:rsidRPr="00AF500C" w:rsidRDefault="00AF500C"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C3BB2" w:rsidRPr="00EC3BB2" w:rsidTr="00967468">
        <w:trPr>
          <w:trHeight w:val="1359"/>
        </w:trPr>
        <w:tc>
          <w:tcPr>
            <w:tcW w:w="1276" w:type="dxa"/>
            <w:shd w:val="clear" w:color="auto" w:fill="auto"/>
            <w:tcMar>
              <w:top w:w="15" w:type="dxa"/>
              <w:left w:w="108" w:type="dxa"/>
              <w:bottom w:w="0" w:type="dxa"/>
              <w:right w:w="108" w:type="dxa"/>
            </w:tcMar>
            <w:hideMark/>
          </w:tcPr>
          <w:p w:rsidR="00EC3BB2" w:rsidRPr="00EC3BB2" w:rsidRDefault="00AF500C"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C3BB2">
              <w:rPr>
                <w:rFonts w:ascii="Bookman Old Style" w:hAnsi="Bookman Old Style"/>
                <w:color w:val="000000"/>
                <w:kern w:val="24"/>
                <w:sz w:val="22"/>
                <w:szCs w:val="22"/>
                <w:lang w:val="es-CO" w:eastAsia="es-CO"/>
              </w:rPr>
              <w:t>registrada al SUI desde noviembre de 2012 hasta la fecha</w:t>
            </w:r>
            <w:r w:rsidRPr="00EC3BB2">
              <w:rPr>
                <w:rFonts w:ascii="Bookman Old Style" w:hAnsi="Bookman Old Style" w:cs="Arial"/>
                <w:color w:val="000000"/>
                <w:kern w:val="24"/>
                <w:sz w:val="22"/>
                <w:szCs w:val="22"/>
                <w:lang w:eastAsia="es-CO"/>
              </w:rPr>
              <w:t>.</w:t>
            </w:r>
          </w:p>
        </w:tc>
      </w:tr>
      <w:tr w:rsidR="00EC3BB2" w:rsidRPr="00EC3BB2" w:rsidTr="00967468">
        <w:trPr>
          <w:trHeight w:val="1021"/>
        </w:trPr>
        <w:tc>
          <w:tcPr>
            <w:tcW w:w="1276" w:type="dxa"/>
            <w:shd w:val="clear" w:color="auto" w:fill="auto"/>
            <w:tcMar>
              <w:top w:w="15" w:type="dxa"/>
              <w:left w:w="108" w:type="dxa"/>
              <w:bottom w:w="0" w:type="dxa"/>
              <w:right w:w="108" w:type="dxa"/>
            </w:tcMar>
            <w:hideMark/>
          </w:tcPr>
          <w:p w:rsidR="00EC3BB2" w:rsidRPr="00EC3BB2" w:rsidRDefault="00AF500C"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Kg</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416"/>
        </w:trPr>
        <w:tc>
          <w:tcPr>
            <w:tcW w:w="1276" w:type="dxa"/>
            <w:shd w:val="clear" w:color="auto" w:fill="auto"/>
            <w:tcMar>
              <w:top w:w="15" w:type="dxa"/>
              <w:left w:w="108" w:type="dxa"/>
              <w:bottom w:w="0" w:type="dxa"/>
              <w:right w:w="108" w:type="dxa"/>
            </w:tcMar>
            <w:hideMark/>
          </w:tcPr>
          <w:p w:rsidR="00EC3BB2" w:rsidRPr="00EC3BB2" w:rsidRDefault="00AF500C"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3.</w:t>
      </w:r>
      <w:r w:rsidRPr="00EC3BB2">
        <w:rPr>
          <w:rFonts w:ascii="Bookman Old Style" w:hAnsi="Bookman Old Style" w:cs="Arial"/>
          <w:sz w:val="22"/>
          <w:szCs w:val="22"/>
        </w:rPr>
        <w:t xml:space="preserve"> La capacidad total de tanques estacionarios atendidos por 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AF500C" w:rsidRDefault="00AF500C" w:rsidP="00EC3BB2">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EC3BB2" w:rsidRPr="005217A1" w:rsidTr="005217A1">
        <w:tc>
          <w:tcPr>
            <w:tcW w:w="1418" w:type="dxa"/>
            <w:shd w:val="clear" w:color="auto" w:fill="auto"/>
          </w:tcPr>
          <w:p w:rsidR="00EC3BB2" w:rsidRPr="005217A1" w:rsidRDefault="00AF500C"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418" w:type="dxa"/>
            <w:shd w:val="clear" w:color="auto" w:fill="auto"/>
          </w:tcPr>
          <w:p w:rsidR="00EC3BB2" w:rsidRPr="005217A1" w:rsidRDefault="00AF500C" w:rsidP="005217A1">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sz w:val="22"/>
                <w:szCs w:val="22"/>
              </w:rPr>
              <w:t xml:space="preserve">Capacidad de cada uno de los tanques estacionarios atendidos por el distribuidor </w:t>
            </w:r>
            <w:r w:rsidRPr="005217A1">
              <w:rPr>
                <w:rFonts w:ascii="Bookman Old Style" w:hAnsi="Bookman Old Style"/>
                <w:i/>
                <w:sz w:val="22"/>
                <w:szCs w:val="22"/>
              </w:rPr>
              <w:t>i</w:t>
            </w:r>
            <w:r w:rsidRPr="005217A1">
              <w:rPr>
                <w:rFonts w:ascii="Bookman Old Style" w:hAnsi="Bookman Old Style"/>
                <w:sz w:val="22"/>
                <w:szCs w:val="22"/>
              </w:rPr>
              <w:t>, galones, de acuerdo con la información publicada en el SUI.</w:t>
            </w:r>
          </w:p>
        </w:tc>
      </w:tr>
      <w:tr w:rsidR="00EC3BB2" w:rsidRPr="005217A1" w:rsidTr="005217A1">
        <w:tc>
          <w:tcPr>
            <w:tcW w:w="1418" w:type="dxa"/>
            <w:shd w:val="clear" w:color="auto" w:fill="auto"/>
          </w:tcPr>
          <w:p w:rsidR="00EC3BB2" w:rsidRPr="005217A1" w:rsidRDefault="00AF500C" w:rsidP="005217A1">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Número de tanques estacionarios atendidos por 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con una capacidad </w:t>
            </w:r>
            <w:r w:rsidRPr="005217A1">
              <w:rPr>
                <w:rFonts w:ascii="Bookman Old Style" w:hAnsi="Bookman Old Style" w:cs="Arial"/>
                <w:i/>
                <w:sz w:val="22"/>
                <w:szCs w:val="22"/>
              </w:rPr>
              <w:t>CV</w:t>
            </w:r>
            <w:r w:rsidRPr="005217A1">
              <w:rPr>
                <w:rFonts w:ascii="Bookman Old Style" w:hAnsi="Bookman Old Style" w:cs="Arial"/>
                <w:sz w:val="22"/>
                <w:szCs w:val="22"/>
              </w:rPr>
              <w:t xml:space="preserve">, de acuerdo con la información reportada al SUI. </w:t>
            </w:r>
          </w:p>
        </w:tc>
      </w:tr>
      <w:tr w:rsidR="00EC3BB2" w:rsidRPr="005217A1" w:rsidTr="005217A1">
        <w:tc>
          <w:tcPr>
            <w:tcW w:w="1418" w:type="dxa"/>
            <w:shd w:val="clear" w:color="auto" w:fill="auto"/>
          </w:tcPr>
          <w:p w:rsidR="00EC3BB2" w:rsidRPr="005217A1" w:rsidRDefault="00AF500C" w:rsidP="005217A1">
            <w:pPr>
              <w:ind w:left="0"/>
              <w:jc w:val="both"/>
              <w:rPr>
                <w:rFonts w:ascii="Bookman Old Style" w:hAnsi="Bookman Old Style" w:cs="Arial"/>
                <w:sz w:val="22"/>
                <w:szCs w:val="22"/>
              </w:rPr>
            </w:pPr>
            <m:oMath>
              <m:r>
                <w:rPr>
                  <w:rFonts w:ascii="Cambria Math" w:hAnsi="Cambria Math" w:cs="Arial"/>
                  <w:sz w:val="22"/>
                  <w:szCs w:val="22"/>
                </w:rPr>
                <m:t>2,10</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Factor de conversión kilogramos por galón. </w:t>
            </w:r>
          </w:p>
        </w:tc>
      </w:tr>
      <w:tr w:rsidR="00EC3BB2" w:rsidRPr="005217A1" w:rsidTr="005217A1">
        <w:trPr>
          <w:trHeight w:val="356"/>
        </w:trPr>
        <w:tc>
          <w:tcPr>
            <w:tcW w:w="1418" w:type="dxa"/>
            <w:shd w:val="clear" w:color="auto" w:fill="auto"/>
          </w:tcPr>
          <w:p w:rsidR="00EC3BB2" w:rsidRPr="005217A1" w:rsidRDefault="00AF500C" w:rsidP="005217A1">
            <w:pPr>
              <w:ind w:left="708" w:hanging="708"/>
              <w:jc w:val="both"/>
              <w:rPr>
                <w:rFonts w:ascii="Bookman Old Style" w:hAnsi="Bookman Old Style" w:cs="Arial"/>
                <w:sz w:val="22"/>
                <w:szCs w:val="22"/>
              </w:rPr>
            </w:pPr>
            <m:oMath>
              <m:r>
                <w:rPr>
                  <w:rFonts w:ascii="Cambria Math" w:hAnsi="Cambria Math" w:cs="Arial"/>
                  <w:sz w:val="22"/>
                  <w:szCs w:val="22"/>
                </w:rPr>
                <m:t>6</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Número de meses del periodo de compra.</w:t>
            </w:r>
          </w:p>
        </w:tc>
      </w:tr>
    </w:tbl>
    <w:p w:rsidR="00EC3BB2" w:rsidRPr="00EC3BB2" w:rsidRDefault="00EC3BB2" w:rsidP="00EC3BB2">
      <w:pPr>
        <w:jc w:val="both"/>
        <w:rPr>
          <w:rFonts w:ascii="Bookman Old Style" w:hAnsi="Bookman Old Style" w:cs="Arial"/>
          <w:b/>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4.</w:t>
      </w:r>
      <w:r w:rsidRPr="00EC3BB2">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C3BB2" w:rsidRPr="00EC3BB2" w:rsidRDefault="00EC3BB2" w:rsidP="00EC3BB2">
      <w:pPr>
        <w:ind w:right="142"/>
        <w:jc w:val="both"/>
        <w:rPr>
          <w:rFonts w:ascii="Bookman Old Style" w:hAnsi="Bookman Old Style" w:cs="Arial"/>
          <w:sz w:val="22"/>
          <w:szCs w:val="22"/>
        </w:rPr>
      </w:pPr>
    </w:p>
    <w:p w:rsidR="00EC3BB2" w:rsidRPr="00EC3BB2" w:rsidRDefault="00EC3BB2" w:rsidP="00EC3BB2">
      <w:pPr>
        <w:tabs>
          <w:tab w:val="left" w:pos="-720"/>
          <w:tab w:val="left" w:pos="1276"/>
        </w:tabs>
        <w:suppressAutoHyphens/>
        <w:overflowPunct w:val="0"/>
        <w:autoSpaceDE w:val="0"/>
        <w:jc w:val="both"/>
        <w:textAlignment w:val="baseline"/>
        <w:rPr>
          <w:rFonts w:ascii="Bookman Old Style" w:hAnsi="Bookman Old Style" w:cs="Arial"/>
          <w:szCs w:val="20"/>
        </w:rPr>
      </w:pPr>
      <w:r w:rsidRPr="00EC3BB2">
        <w:rPr>
          <w:rFonts w:ascii="Bookman Old Style" w:hAnsi="Bookman Old Style" w:cs="Arial"/>
          <w:b/>
          <w:sz w:val="22"/>
          <w:szCs w:val="22"/>
        </w:rPr>
        <w:t xml:space="preserve">Parágrafo 5. </w:t>
      </w:r>
      <w:r w:rsidRPr="00EC3BB2">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 acuerdo con lo dispuesto en esta norma, se estableció el concepto de “capacidad disponible de compra”, el cual corresponde a la cantidad total de GLP, medida en kilogramos, que puede comprar un distribuidor en el mercado mayorista, durante lo que resta del periodo de compra. Así mismo, este “período de compra” ha sido definido como el periodo de 6 meses que inicia un primero (1) de julio de cada año y terminará el treinta y uno (31) de diciembre del mismo año o aquel que inicia un primero (1) de enero de cada año y termina el treinta (30) del mismo año”.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lo anterior, el artículo 9 de la Resolución CREG 063 de 2016 estableció que:</w:t>
      </w:r>
    </w:p>
    <w:p w:rsidR="00EC3BB2" w:rsidRPr="00EC3BB2" w:rsidRDefault="00EC3BB2" w:rsidP="00EC3BB2">
      <w:pPr>
        <w:ind w:left="0"/>
        <w:jc w:val="both"/>
        <w:rPr>
          <w:rFonts w:ascii="Arial" w:eastAsia="MS Mincho" w:hAnsi="Arial" w:cs="Arial"/>
          <w:sz w:val="22"/>
          <w:szCs w:val="22"/>
          <w:lang w:val="es-CO" w:eastAsia="en-US"/>
        </w:rPr>
      </w:pP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rPr>
      </w:pPr>
      <w:r w:rsidRPr="00EC3BB2">
        <w:rPr>
          <w:rFonts w:ascii="Bookman Old Style" w:hAnsi="Bookman Old Style" w:cs="Arial"/>
          <w:b/>
          <w:sz w:val="22"/>
          <w:szCs w:val="22"/>
        </w:rPr>
        <w:t xml:space="preserve">“Artículo 9. Determinación y publicación de información. </w:t>
      </w:r>
      <w:r w:rsidRPr="00EC3BB2">
        <w:rPr>
          <w:rFonts w:ascii="Bookman Old Style" w:hAnsi="Bookman Old Style" w:cs="Arial"/>
          <w:sz w:val="22"/>
          <w:szCs w:val="22"/>
        </w:rPr>
        <w:t xml:space="preserve">Atendiendo lo dispuesto en el artículo anterior, </w:t>
      </w:r>
      <w:r w:rsidRPr="00EC3BB2">
        <w:rPr>
          <w:rFonts w:ascii="Bookman Old Style" w:hAnsi="Bookman Old Style" w:cs="Arial"/>
          <w:b/>
          <w:sz w:val="22"/>
          <w:szCs w:val="22"/>
          <w:u w:val="single"/>
        </w:rPr>
        <w:t>la CREG determinará</w:t>
      </w:r>
      <w:r w:rsidRPr="00EC3BB2">
        <w:rPr>
          <w:rFonts w:ascii="Bookman Old Style" w:hAnsi="Bookman Old Style" w:cs="Arial"/>
          <w:sz w:val="22"/>
          <w:szCs w:val="22"/>
        </w:rPr>
        <w:t xml:space="preserve"> y publicará, por lo menos con un (1) mes de anterioridad al inicio del periodo de compra, la capacidad de compra de cada distribuidor, </w:t>
      </w:r>
      <w:r w:rsidRPr="00EC3BB2">
        <w:rPr>
          <w:rFonts w:ascii="Bookman Old Style" w:hAnsi="Bookman Old Style" w:cs="Arial"/>
          <w:b/>
          <w:sz w:val="22"/>
          <w:szCs w:val="22"/>
          <w:u w:val="single"/>
        </w:rPr>
        <w:t>con información reportada al SUI, hasta el día 10 del mes correspondiente.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C3BB2">
        <w:rPr>
          <w:rFonts w:ascii="Bookman Old Style" w:hAnsi="Bookman Old Style" w:cs="Arial"/>
          <w:sz w:val="22"/>
          <w:szCs w:val="22"/>
          <w:lang w:val="es-ES_tradnl" w:eastAsia="ar-SA"/>
        </w:rPr>
        <w:t xml:space="preserve">(…)” </w:t>
      </w:r>
    </w:p>
    <w:p w:rsidR="00EC3BB2" w:rsidRPr="00EC3BB2" w:rsidRDefault="00EC3BB2" w:rsidP="00EC3BB2">
      <w:pPr>
        <w:tabs>
          <w:tab w:val="left" w:pos="-720"/>
          <w:tab w:val="left" w:pos="1276"/>
        </w:tabs>
        <w:suppressAutoHyphens/>
        <w:overflowPunct w:val="0"/>
        <w:autoSpaceDE w:val="0"/>
        <w:ind w:left="0" w:right="284"/>
        <w:jc w:val="both"/>
        <w:textAlignment w:val="baseline"/>
        <w:rPr>
          <w:rFonts w:ascii="Arial" w:hAnsi="Arial" w:cs="Arial"/>
          <w:sz w:val="22"/>
          <w:szCs w:val="22"/>
          <w:lang w:val="es-ES_tradnl" w:eastAsia="ar-SA"/>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Arial" w:hAnsi="Arial" w:cs="Arial"/>
          <w:i/>
          <w:color w:val="000000"/>
          <w:sz w:val="22"/>
          <w:szCs w:val="22"/>
          <w:lang w:val="es-CO" w:eastAsia="es-CO"/>
        </w:rPr>
      </w:pPr>
    </w:p>
    <w:p w:rsidR="00EC3BB2" w:rsidRPr="003075F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3075FD">
        <w:rPr>
          <w:rFonts w:ascii="Bookman Old Style" w:hAnsi="Bookman Old Style" w:cs="Arial"/>
          <w:i/>
          <w:color w:val="000000"/>
          <w:sz w:val="22"/>
          <w:szCs w:val="22"/>
          <w:lang w:val="es-CO" w:eastAsia="es-CO"/>
        </w:rPr>
        <w:t>"</w:t>
      </w:r>
      <w:r w:rsidRPr="003075FD">
        <w:rPr>
          <w:rFonts w:ascii="Bookman Old Style" w:hAnsi="Bookman Old Style" w:cs="Arial"/>
          <w:b/>
          <w:sz w:val="22"/>
          <w:szCs w:val="22"/>
          <w:lang w:val="es-ES_tradnl" w:eastAsia="ar-SA"/>
        </w:rPr>
        <w:t>Artículo nuevo. Del sistema único de información</w:t>
      </w:r>
      <w:r w:rsidRPr="003075FD">
        <w:rPr>
          <w:rFonts w:ascii="Bookman Old Style" w:hAnsi="Bookman Old Style" w:cs="Arial"/>
          <w:sz w:val="22"/>
          <w:szCs w:val="22"/>
          <w:lang w:val="es-ES_tradnl" w:eastAsia="ar-SA"/>
        </w:rPr>
        <w:t xml:space="preserve">. </w:t>
      </w:r>
      <w:r w:rsidRPr="003075FD">
        <w:rPr>
          <w:rFonts w:ascii="Bookman Old Style" w:hAnsi="Bookman Old Style" w:cs="Arial"/>
          <w:b/>
          <w:sz w:val="22"/>
          <w:szCs w:val="22"/>
          <w:lang w:val="es-ES_tradnl" w:eastAsia="ar-SA"/>
        </w:rPr>
        <w:t xml:space="preserve">Corresponde a la Superintendencia de Servicios Públicos Domiciliarios, en desarrollo de sus funciones de inspección y vigilancia, establecer, administrar, mantener y operar </w:t>
      </w:r>
      <w:r w:rsidRPr="003075FD">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3075FD">
        <w:rPr>
          <w:rFonts w:ascii="Bookman Old Style" w:hAnsi="Bookman Old Style" w:cs="Arial"/>
          <w:b/>
          <w:sz w:val="22"/>
          <w:szCs w:val="22"/>
          <w:lang w:val="es-ES_tradnl" w:eastAsia="ar-SA"/>
        </w:rPr>
        <w:t xml:space="preserve"> </w:t>
      </w:r>
      <w:r w:rsidRPr="003075FD">
        <w:rPr>
          <w:rFonts w:ascii="Bookman Old Style" w:hAnsi="Bookman Old Style" w:cs="Arial"/>
          <w:sz w:val="22"/>
          <w:szCs w:val="22"/>
          <w:lang w:val="es-ES_tradnl" w:eastAsia="ar-SA"/>
        </w:rPr>
        <w:t>para que su presentación al público sea confiable, conforme a lo establecido en el artículo 53 de la Ley 142 de 1994.</w:t>
      </w:r>
    </w:p>
    <w:p w:rsidR="00EC3BB2" w:rsidRPr="003075F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3075F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3075FD">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EC3BB2" w:rsidRPr="003075F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3075F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3075FD">
        <w:rPr>
          <w:rFonts w:ascii="Bookman Old Style" w:hAnsi="Bookman Old Style" w:cs="Arial"/>
          <w:sz w:val="22"/>
          <w:szCs w:val="22"/>
          <w:lang w:val="es-ES_tradnl" w:eastAsia="ar-SA"/>
        </w:rPr>
        <w:t>1. Evitar la duplicidad de funciones en materia de información relativa a los servicios públicos.</w:t>
      </w:r>
    </w:p>
    <w:p w:rsidR="00EC3BB2" w:rsidRPr="003075F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3075F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3075FD">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C3BB2" w:rsidRPr="003075F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3075F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3075FD">
        <w:rPr>
          <w:rFonts w:ascii="Bookman Old Style" w:hAnsi="Bookman Old Style" w:cs="Arial"/>
          <w:sz w:val="22"/>
          <w:szCs w:val="22"/>
          <w:lang w:val="es-ES_tradnl" w:eastAsia="ar-SA"/>
        </w:rPr>
        <w:t>(…)</w:t>
      </w:r>
    </w:p>
    <w:p w:rsidR="00EC3BB2" w:rsidRPr="003075F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3075F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3075FD">
        <w:rPr>
          <w:rFonts w:ascii="Bookman Old Style" w:hAnsi="Bookman Old Style" w:cs="Arial"/>
          <w:b/>
          <w:sz w:val="22"/>
          <w:szCs w:val="22"/>
          <w:u w:val="single"/>
          <w:lang w:val="es-ES_tradnl" w:eastAsia="ar-SA"/>
        </w:rPr>
        <w:t>4. Apoyar las funciones asignadas a las Comisiones de Regulación.</w:t>
      </w:r>
    </w:p>
    <w:p w:rsidR="00EC3BB2" w:rsidRPr="003075F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3075F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3075FD">
        <w:rPr>
          <w:rFonts w:ascii="Bookman Old Style" w:hAnsi="Bookman Old Style" w:cs="Arial"/>
          <w:sz w:val="22"/>
          <w:szCs w:val="22"/>
          <w:lang w:val="es-ES_tradnl" w:eastAsia="ar-SA"/>
        </w:rPr>
        <w:t>(…)</w:t>
      </w:r>
    </w:p>
    <w:p w:rsidR="00EC3BB2" w:rsidRPr="003075F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3075F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3075FD">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C3BB2" w:rsidRPr="003075F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3075F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3075FD">
        <w:rPr>
          <w:rFonts w:ascii="Bookman Old Style" w:hAnsi="Bookman Old Style" w:cs="Arial"/>
          <w:b/>
          <w:sz w:val="22"/>
          <w:szCs w:val="22"/>
          <w:lang w:val="es-ES_tradnl" w:eastAsia="ar-SA"/>
        </w:rPr>
        <w:t>Parágrafo 1°.</w:t>
      </w:r>
      <w:r w:rsidRPr="003075FD">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3075FD" w:rsidRDefault="00EC3BB2" w:rsidP="00BD1622">
      <w:pPr>
        <w:pStyle w:val="Textoindependiente2"/>
        <w:spacing w:after="0" w:line="240" w:lineRule="auto"/>
        <w:ind w:left="-142" w:right="-142"/>
        <w:jc w:val="both"/>
        <w:rPr>
          <w:rFonts w:ascii="Bookman Old Style" w:hAnsi="Bookman Old Style" w:cs="Arial"/>
          <w:spacing w:val="-5"/>
          <w:sz w:val="22"/>
          <w:szCs w:val="22"/>
          <w:lang w:val="es-CO" w:eastAsia="en-US"/>
        </w:rPr>
      </w:pPr>
      <w:r w:rsidRPr="00EC3BB2">
        <w:rPr>
          <w:rFonts w:ascii="Bookman Old Style" w:hAnsi="Bookman Old Style" w:cs="Arial"/>
          <w:spacing w:val="-5"/>
          <w:lang w:val="es-CO" w:eastAsia="en-US"/>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w:t>
      </w:r>
      <w:r w:rsidRPr="003075FD">
        <w:rPr>
          <w:rFonts w:ascii="Bookman Old Style" w:hAnsi="Bookman Old Style" w:cs="Arial"/>
          <w:spacing w:val="-5"/>
          <w:sz w:val="22"/>
          <w:szCs w:val="22"/>
          <w:lang w:val="es-CO" w:eastAsia="en-US"/>
        </w:rPr>
        <w:t xml:space="preserve"> de Servicios Públicos Domiciliarios atendido lo dispuesto en el artículo 14 de la Ley 689 de 2001.  En este sentido, el artículo 3 de la Resolución CREG 177 dispuso lo siguiente:</w:t>
      </w:r>
    </w:p>
    <w:p w:rsidR="00EC3BB2" w:rsidRPr="003075F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3075F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3075FD">
        <w:rPr>
          <w:rFonts w:ascii="Bookman Old Style" w:hAnsi="Bookman Old Style" w:cs="Arial"/>
          <w:sz w:val="22"/>
          <w:szCs w:val="22"/>
          <w:lang w:val="es-ES_tradnl" w:eastAsia="ar-SA"/>
        </w:rPr>
        <w:t>“Artículo 3. El numeral 8 del Artículo 6 de la Resolución CREG 023 de 2008, modificado por el artículo 4 de la Resolución CREG 165 de 2008, el cual establece las Obligaciones Generales del Distribuidor, quedará así:</w:t>
      </w:r>
    </w:p>
    <w:p w:rsidR="00EC3BB2" w:rsidRPr="003075F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3075F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3075FD">
        <w:rPr>
          <w:rFonts w:ascii="Bookman Old Style" w:hAnsi="Bookman Old Style" w:cs="Arial"/>
          <w:sz w:val="22"/>
          <w:szCs w:val="22"/>
          <w:lang w:val="es-ES_tradnl" w:eastAsia="ar-SA"/>
        </w:rPr>
        <w:t>“8. Los Distribuidores deben llevar un registro pormenorizado de los cilindros marcados que van introduciendo al parque en las siguientes condiciones:</w:t>
      </w:r>
    </w:p>
    <w:p w:rsidR="00EC3BB2" w:rsidRPr="003075F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3075F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3075FD">
        <w:rPr>
          <w:rFonts w:ascii="Bookman Old Style" w:hAnsi="Bookman Old Style" w:cs="Arial"/>
          <w:sz w:val="22"/>
          <w:szCs w:val="22"/>
          <w:lang w:val="es-ES_tradnl" w:eastAsia="ar-SA"/>
        </w:rPr>
        <w:t>a.</w:t>
      </w:r>
      <w:r w:rsidRPr="003075FD">
        <w:rPr>
          <w:rFonts w:ascii="Bookman Old Style" w:hAnsi="Bookman Old Style" w:cs="Arial"/>
          <w:sz w:val="22"/>
          <w:szCs w:val="22"/>
          <w:lang w:val="es-ES_tradnl" w:eastAsia="ar-SA"/>
        </w:rPr>
        <w:tab/>
        <w:t>Mientras dure el Período de Transición y el Período de Cierre a través del sistema de información SICMA que debe llevar la Interventoría del esquema centralizado.</w:t>
      </w:r>
    </w:p>
    <w:p w:rsidR="00EC3BB2" w:rsidRPr="003075F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3075F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3075FD">
        <w:rPr>
          <w:rFonts w:ascii="Bookman Old Style" w:hAnsi="Bookman Old Style" w:cs="Arial"/>
          <w:sz w:val="22"/>
          <w:szCs w:val="22"/>
          <w:lang w:val="es-ES_tradnl" w:eastAsia="ar-SA"/>
        </w:rPr>
        <w:t>b.</w:t>
      </w:r>
      <w:r w:rsidRPr="003075FD">
        <w:rPr>
          <w:rFonts w:ascii="Bookman Old Style" w:hAnsi="Bookman Old Style" w:cs="Arial"/>
          <w:sz w:val="22"/>
          <w:szCs w:val="22"/>
          <w:lang w:val="es-ES_tradnl" w:eastAsia="ar-SA"/>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C3BB2" w:rsidRPr="003075F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3075F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3075FD">
        <w:rPr>
          <w:rFonts w:ascii="Bookman Old Style" w:hAnsi="Bookman Old Style" w:cs="Arial"/>
          <w:sz w:val="22"/>
          <w:szCs w:val="22"/>
          <w:lang w:val="es-ES_tradnl" w:eastAsia="ar-SA"/>
        </w:rPr>
        <w:t>c.</w:t>
      </w:r>
      <w:r w:rsidRPr="003075FD">
        <w:rPr>
          <w:rFonts w:ascii="Bookman Old Style" w:hAnsi="Bookman Old Style" w:cs="Arial"/>
          <w:sz w:val="22"/>
          <w:szCs w:val="22"/>
          <w:lang w:val="es-ES_tradnl" w:eastAsia="ar-SA"/>
        </w:rPr>
        <w:tab/>
        <w:t xml:space="preserve">Corresponde a la Interventoría del esquema centralizado crear el SICMA adecuando el sistema de información existente para que se realice adecuadamente </w:t>
      </w:r>
      <w:r w:rsidRPr="003075FD">
        <w:rPr>
          <w:rFonts w:ascii="Bookman Old Style" w:hAnsi="Bookman Old Style" w:cs="Arial"/>
          <w:sz w:val="22"/>
          <w:szCs w:val="22"/>
          <w:lang w:val="es-ES_tradnl" w:eastAsia="ar-SA"/>
        </w:rPr>
        <w:lastRenderedPageBreak/>
        <w:t>el registro de los cilindros marcados y realizar la entrega total y en funcionamiento de éste al SUI una vez finalice el período de cierre.” (Resaltado fuera de texto)</w:t>
      </w:r>
    </w:p>
    <w:p w:rsidR="00EC3BB2" w:rsidRPr="003075F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Teniendo en cuenta lo anterior, mediante Resolución SSPD 20141300040755 de 2014 de la Superintendencia de Servicios Públicos Domiciliarios se establecieron los plazos y formatos para el reporte de tal información al SUI, se utilizará dicha información para ejercer un control de los cilindros marcados que cada agente ha introducido al mercado para atender sus usuarios. Lo anterior, atendiendo la información de cilindros marcados de cada agente que debe reportar al SUI de conformidad de las resoluciones CREG 045 de 2008 y CREG 177 de 2011.</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Atendiendo esta disposición, 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FC2C01">
        <w:rPr>
          <w:rFonts w:ascii="Bookman Old Style" w:hAnsi="Bookman Old Style" w:cs="Arial"/>
          <w:spacing w:val="-5"/>
          <w:vertAlign w:val="superscript"/>
          <w:lang w:val="es-CO" w:eastAsia="en-US"/>
        </w:rPr>
        <w:footnoteReference w:id="2"/>
      </w:r>
      <w:r w:rsidRPr="00EC3BB2">
        <w:rPr>
          <w:rFonts w:ascii="Bookman Old Style" w:hAnsi="Bookman Old Style" w:cs="Arial"/>
          <w:spacing w:val="-5"/>
          <w:lang w:val="es-CO" w:eastAsia="en-US"/>
        </w:rPr>
        <w:t>. Esta información fue remitida por parte de la Superintendencia de Servicios Públicos Domiciliarios y reposa en esta Entidad con el número de radicado CREG E-2016-005769 de 18 de mayo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Resolución CREG 063 de 2016, mediante las resoluciones CREG 075 y 089 de 2016. Los cálculos y la información que se tuvo en cuenta para la publicación de esta capacidad se encuentran consignados en los Anexos que hace parte de dichas resoluciones.</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Esta capacidad es aplicable a los distribuidores que, se encuentren reportando información en el SUI y/o se encuentren en el Registro Único de Prestadores de la Superintendencia de Servicios Públicos Domiciliarios que, directamente o representados por un comercializador mayorista, compran GLP, así como a comercializadores mayoristas que venden GLP a distribuidores, así como aquellos agentes que realizan la actividad de distribución de GLP en los términos de la </w:t>
      </w:r>
      <w:r w:rsidRPr="00EC3BB2">
        <w:rPr>
          <w:rFonts w:ascii="Bookman Old Style" w:hAnsi="Bookman Old Style" w:cs="Arial"/>
          <w:spacing w:val="-5"/>
          <w:lang w:val="es-CO" w:eastAsia="en-US"/>
        </w:rPr>
        <w:lastRenderedPageBreak/>
        <w:t>Resolución CREG 023 de 2008 o aquella que la modifique, derogue o sustituya y tiene efectos dentro de las actividades de comercialización mayorista y distribución de GLP, atendiendo lo dispuesto en la Resolución CREG 063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la Resolución CREG 075 de 2016 se estableció en su artículo 1º lo siguiente:</w:t>
      </w:r>
    </w:p>
    <w:p w:rsidR="00EC3BB2" w:rsidRPr="00EC3BB2" w:rsidRDefault="00EC3BB2" w:rsidP="00EC3BB2">
      <w:pPr>
        <w:ind w:left="-142" w:right="-142"/>
        <w:jc w:val="both"/>
        <w:rPr>
          <w:rFonts w:ascii="Arial" w:eastAsia="MS Mincho" w:hAnsi="Arial" w:cs="Arial"/>
          <w:sz w:val="22"/>
          <w:szCs w:val="22"/>
          <w:lang w:eastAsia="en-US"/>
        </w:rPr>
      </w:pPr>
    </w:p>
    <w:p w:rsidR="00EC3BB2" w:rsidRPr="008609A8" w:rsidRDefault="00EC3BB2" w:rsidP="00BD1622">
      <w:pPr>
        <w:ind w:left="284" w:right="284"/>
        <w:jc w:val="both"/>
        <w:rPr>
          <w:rFonts w:ascii="Bookman Old Style" w:hAnsi="Bookman Old Style" w:cs="Arial"/>
          <w:color w:val="000000"/>
          <w:sz w:val="22"/>
          <w:szCs w:val="22"/>
          <w:lang w:val="es-CO" w:eastAsia="es-CO"/>
        </w:rPr>
      </w:pPr>
      <w:r w:rsidRPr="008609A8">
        <w:rPr>
          <w:rFonts w:ascii="Bookman Old Style" w:eastAsia="MS Mincho" w:hAnsi="Bookman Old Style" w:cs="Arial"/>
          <w:b/>
          <w:sz w:val="22"/>
          <w:szCs w:val="22"/>
          <w:lang w:eastAsia="en-US"/>
        </w:rPr>
        <w:t xml:space="preserve">“Artículo 1º. Capacidad de Compra: </w:t>
      </w:r>
      <w:r w:rsidRPr="008609A8">
        <w:rPr>
          <w:rFonts w:ascii="Bookman Old Style" w:eastAsia="MS Mincho" w:hAnsi="Bookman Old Style" w:cs="Arial"/>
          <w:sz w:val="22"/>
          <w:szCs w:val="22"/>
          <w:lang w:eastAsia="en-US"/>
        </w:rPr>
        <w:t xml:space="preserve">La siguiente corresponde a la Capacidad de Compra </w:t>
      </w:r>
      <w:r w:rsidRPr="008609A8">
        <w:rPr>
          <w:rFonts w:ascii="Bookman Old Style" w:hAnsi="Bookman Old Style" w:cs="Arial"/>
          <w:iCs/>
          <w:sz w:val="22"/>
          <w:szCs w:val="22"/>
          <w:lang w:val="es-CO" w:eastAsia="en-US"/>
        </w:rPr>
        <w:t>para cada uno de los códigos SUI de las empresas</w:t>
      </w:r>
      <w:r w:rsidRPr="008609A8">
        <w:rPr>
          <w:rFonts w:ascii="Bookman Old Style" w:hAnsi="Bookman Old Style" w:cs="Arial"/>
          <w:color w:val="000000"/>
          <w:sz w:val="22"/>
          <w:szCs w:val="22"/>
          <w:lang w:val="es-CO" w:eastAsia="es-CO"/>
        </w:rPr>
        <w:t>:</w:t>
      </w:r>
    </w:p>
    <w:p w:rsidR="00EC3BB2" w:rsidRPr="00EC3BB2" w:rsidRDefault="00EC3BB2" w:rsidP="00BD1622">
      <w:pPr>
        <w:ind w:left="284" w:right="284"/>
        <w:jc w:val="both"/>
        <w:rPr>
          <w:rFonts w:ascii="Bookman Old Style" w:hAnsi="Bookman Old Style" w:cs="Arial"/>
          <w:color w:val="000000"/>
          <w:sz w:val="20"/>
          <w:szCs w:val="20"/>
          <w:lang w:val="es-CO" w:eastAsia="es-CO"/>
        </w:rPr>
      </w:pPr>
    </w:p>
    <w:tbl>
      <w:tblPr>
        <w:tblW w:w="8214" w:type="dxa"/>
        <w:jc w:val="center"/>
        <w:tblCellMar>
          <w:left w:w="70" w:type="dxa"/>
          <w:right w:w="70" w:type="dxa"/>
        </w:tblCellMar>
        <w:tblLook w:val="04A0" w:firstRow="1" w:lastRow="0" w:firstColumn="1" w:lastColumn="0" w:noHBand="0" w:noVBand="1"/>
      </w:tblPr>
      <w:tblGrid>
        <w:gridCol w:w="1421"/>
        <w:gridCol w:w="4964"/>
        <w:gridCol w:w="1829"/>
      </w:tblGrid>
      <w:tr w:rsidR="00EC3BB2" w:rsidRPr="00BD1622" w:rsidTr="00AF500C">
        <w:trPr>
          <w:trHeight w:val="405"/>
          <w:tblHeader/>
          <w:jc w:val="center"/>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BB2" w:rsidRPr="00EC3BB2" w:rsidRDefault="00EC3BB2" w:rsidP="00BD1622">
            <w:pPr>
              <w:ind w:left="28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BD1622">
            <w:pPr>
              <w:ind w:left="28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Agente</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BD1622">
            <w:pPr>
              <w:ind w:left="28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 xml:space="preserve">Capacidad de compra </w:t>
            </w:r>
            <m:oMath>
              <m:r>
                <m:rPr>
                  <m:sty m:val="bi"/>
                </m:rPr>
                <w:rPr>
                  <w:rFonts w:ascii="Cambria Math" w:hAnsi="Cambria Math" w:cs="Arial"/>
                  <w:color w:val="000000"/>
                  <w:sz w:val="20"/>
                  <w:szCs w:val="20"/>
                  <w:lang w:val="es-CO" w:eastAsia="es-CO"/>
                </w:rPr>
                <m:t>C</m:t>
              </m:r>
              <m:sSub>
                <m:sSubPr>
                  <m:ctrlPr>
                    <w:rPr>
                      <w:rFonts w:ascii="Cambria Math" w:hAnsi="Cambria Math" w:cs="Arial"/>
                      <w:b/>
                      <w:bCs/>
                      <w:i/>
                      <w:iCs/>
                      <w:color w:val="000000"/>
                      <w:sz w:val="20"/>
                      <w:szCs w:val="20"/>
                      <w:lang w:val="es-CO" w:eastAsia="es-CO"/>
                    </w:rPr>
                  </m:ctrlPr>
                </m:sSubPr>
                <m:e>
                  <m:r>
                    <m:rPr>
                      <m:sty m:val="bi"/>
                    </m:rPr>
                    <w:rPr>
                      <w:rFonts w:ascii="Cambria Math" w:hAnsi="Cambria Math" w:cs="Arial"/>
                      <w:color w:val="000000"/>
                      <w:sz w:val="20"/>
                      <w:szCs w:val="20"/>
                      <w:lang w:val="es-CO" w:eastAsia="es-CO"/>
                    </w:rPr>
                    <m:t>C</m:t>
                  </m:r>
                </m:e>
                <m:sub>
                  <m:r>
                    <m:rPr>
                      <m:sty m:val="bi"/>
                    </m:rPr>
                    <w:rPr>
                      <w:rFonts w:ascii="Cambria Math" w:hAnsi="Cambria Math" w:cs="Arial"/>
                      <w:color w:val="000000"/>
                      <w:sz w:val="20"/>
                      <w:szCs w:val="20"/>
                      <w:lang w:val="es-CO" w:eastAsia="es-CO"/>
                    </w:rPr>
                    <m:t>i,t</m:t>
                  </m:r>
                </m:sub>
              </m:sSub>
            </m:oMath>
          </w:p>
        </w:tc>
      </w:tr>
      <w:tr w:rsidR="008A054D" w:rsidRPr="00254D8C" w:rsidTr="00AF500C">
        <w:trPr>
          <w:trHeight w:val="405"/>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rsidR="008A054D" w:rsidRPr="008A054D" w:rsidRDefault="008A054D" w:rsidP="008A054D">
            <w:pPr>
              <w:rPr>
                <w:rFonts w:ascii="Bookman Old Style" w:hAnsi="Bookman Old Style"/>
                <w:sz w:val="20"/>
                <w:szCs w:val="20"/>
              </w:rPr>
            </w:pPr>
            <w:r w:rsidRPr="008A054D">
              <w:rPr>
                <w:rFonts w:ascii="Bookman Old Style" w:hAnsi="Bookman Old Style"/>
                <w:sz w:val="20"/>
                <w:szCs w:val="20"/>
              </w:rPr>
              <w:t>20518</w:t>
            </w:r>
          </w:p>
        </w:tc>
        <w:tc>
          <w:tcPr>
            <w:tcW w:w="4964" w:type="dxa"/>
            <w:tcBorders>
              <w:top w:val="nil"/>
              <w:left w:val="nil"/>
              <w:bottom w:val="single" w:sz="4" w:space="0" w:color="auto"/>
              <w:right w:val="single" w:sz="4" w:space="0" w:color="auto"/>
            </w:tcBorders>
            <w:shd w:val="clear" w:color="auto" w:fill="auto"/>
            <w:noWrap/>
            <w:vAlign w:val="center"/>
            <w:hideMark/>
          </w:tcPr>
          <w:p w:rsidR="008A054D" w:rsidRPr="008A054D" w:rsidRDefault="008A054D" w:rsidP="008A054D">
            <w:pPr>
              <w:rPr>
                <w:rFonts w:ascii="Bookman Old Style" w:hAnsi="Bookman Old Style"/>
                <w:sz w:val="20"/>
                <w:szCs w:val="20"/>
              </w:rPr>
            </w:pPr>
            <w:r w:rsidRPr="008A054D">
              <w:rPr>
                <w:rFonts w:ascii="Bookman Old Style" w:hAnsi="Bookman Old Style"/>
                <w:sz w:val="20"/>
                <w:szCs w:val="20"/>
              </w:rPr>
              <w:t>SURCOLOMBIANA DE GAS S.A E.S.P.</w:t>
            </w:r>
          </w:p>
        </w:tc>
        <w:tc>
          <w:tcPr>
            <w:tcW w:w="1829" w:type="dxa"/>
            <w:tcBorders>
              <w:top w:val="nil"/>
              <w:left w:val="nil"/>
              <w:bottom w:val="single" w:sz="4" w:space="0" w:color="auto"/>
              <w:right w:val="single" w:sz="4" w:space="0" w:color="auto"/>
            </w:tcBorders>
            <w:shd w:val="clear" w:color="auto" w:fill="auto"/>
            <w:noWrap/>
            <w:vAlign w:val="center"/>
            <w:hideMark/>
          </w:tcPr>
          <w:p w:rsidR="008A054D" w:rsidRPr="008A054D" w:rsidRDefault="008A054D" w:rsidP="008A054D">
            <w:pPr>
              <w:rPr>
                <w:rFonts w:ascii="Bookman Old Style" w:hAnsi="Bookman Old Style"/>
                <w:sz w:val="20"/>
                <w:szCs w:val="20"/>
              </w:rPr>
            </w:pPr>
            <w:r w:rsidRPr="008A054D">
              <w:rPr>
                <w:rFonts w:ascii="Bookman Old Style" w:hAnsi="Bookman Old Style"/>
                <w:sz w:val="20"/>
                <w:szCs w:val="20"/>
              </w:rPr>
              <w:t>181.141</w:t>
            </w:r>
          </w:p>
        </w:tc>
      </w:tr>
    </w:tbl>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ab/>
      </w:r>
    </w:p>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ab/>
        <w:t>(…)</w:t>
      </w:r>
    </w:p>
    <w:p w:rsidR="00EC3BB2" w:rsidRPr="00EC3BB2" w:rsidRDefault="00EC3BB2" w:rsidP="00BD1622">
      <w:pPr>
        <w:ind w:left="284" w:right="284"/>
        <w:jc w:val="both"/>
        <w:rPr>
          <w:rFonts w:ascii="Bookman Old Style" w:eastAsia="MS Mincho" w:hAnsi="Bookman Old Style" w:cs="Arial"/>
          <w:sz w:val="20"/>
          <w:szCs w:val="20"/>
          <w:lang w:val="es-CO" w:eastAsia="en-US"/>
        </w:rPr>
      </w:pPr>
    </w:p>
    <w:p w:rsidR="00EC3BB2" w:rsidRPr="008609A8" w:rsidRDefault="00EC3BB2" w:rsidP="00BD1622">
      <w:pPr>
        <w:ind w:left="284" w:right="284"/>
        <w:jc w:val="both"/>
        <w:rPr>
          <w:rFonts w:ascii="Bookman Old Style" w:eastAsia="MS Mincho" w:hAnsi="Bookman Old Style" w:cs="Arial"/>
          <w:sz w:val="22"/>
          <w:szCs w:val="22"/>
          <w:lang w:val="es-CO" w:eastAsia="en-US"/>
        </w:rPr>
      </w:pPr>
      <w:r w:rsidRPr="008609A8">
        <w:rPr>
          <w:rFonts w:ascii="Bookman Old Style" w:eastAsia="MS Mincho" w:hAnsi="Bookman Old Style" w:cs="Arial"/>
          <w:sz w:val="22"/>
          <w:szCs w:val="22"/>
          <w:lang w:eastAsia="en-US"/>
        </w:rPr>
        <w:t>Dicha capacidad ha sido calculada atendiendo el procedimiento establecido en el artículo 8 de la Resolución CREG 063 de 2016 con información del Sistema Único de Información – sui con corte al 10 de mayo de 2016. El cálculo para cada empresa se detalla en el Anexo que hace parte de la presente resolución.”</w:t>
      </w:r>
    </w:p>
    <w:p w:rsidR="00EC3BB2" w:rsidRPr="008609A8" w:rsidRDefault="00EC3BB2" w:rsidP="00BD1622">
      <w:pPr>
        <w:tabs>
          <w:tab w:val="right" w:pos="9498"/>
        </w:tabs>
        <w:ind w:left="284" w:right="284"/>
        <w:jc w:val="both"/>
        <w:rPr>
          <w:rFonts w:ascii="Bookman Old Style" w:hAnsi="Bookman Old Style" w:cs="Arial"/>
          <w:sz w:val="40"/>
          <w:szCs w:val="20"/>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DC6FA9">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sidR="003075FD">
        <w:rPr>
          <w:rFonts w:ascii="Bookman Old Style" w:hAnsi="Bookman Old Style" w:cs="Arial"/>
          <w:spacing w:val="-5"/>
          <w:lang w:val="es-CO" w:eastAsia="en-US"/>
        </w:rPr>
        <w:t xml:space="preserve">con </w:t>
      </w:r>
      <w:r w:rsidRPr="00EC3BB2">
        <w:rPr>
          <w:rFonts w:ascii="Bookman Old Style" w:hAnsi="Bookman Old Style" w:cs="Arial"/>
          <w:spacing w:val="-5"/>
          <w:lang w:val="es-CO" w:eastAsia="en-US"/>
        </w:rPr>
        <w:t>número</w:t>
      </w:r>
      <w:r w:rsidR="003075FD">
        <w:rPr>
          <w:rFonts w:ascii="Bookman Old Style" w:hAnsi="Bookman Old Style" w:cs="Arial"/>
          <w:spacing w:val="-5"/>
          <w:lang w:val="es-CO" w:eastAsia="en-US"/>
        </w:rPr>
        <w:t>s</w:t>
      </w:r>
      <w:r w:rsidRPr="00EC3BB2">
        <w:rPr>
          <w:rFonts w:ascii="Bookman Old Style" w:hAnsi="Bookman Old Style" w:cs="Arial"/>
          <w:spacing w:val="-5"/>
          <w:lang w:val="es-CO" w:eastAsia="en-US"/>
        </w:rPr>
        <w:t xml:space="preserve"> E-2016-</w:t>
      </w:r>
      <w:r w:rsidR="008A054D">
        <w:rPr>
          <w:rFonts w:ascii="Bookman Old Style" w:hAnsi="Bookman Old Style" w:cs="Arial"/>
          <w:spacing w:val="-5"/>
          <w:lang w:val="es-CO" w:eastAsia="en-US"/>
        </w:rPr>
        <w:t>007350 y E-2016-008350</w:t>
      </w:r>
      <w:r w:rsidRPr="00EC3BB2">
        <w:rPr>
          <w:rFonts w:ascii="Bookman Old Style" w:hAnsi="Bookman Old Style" w:cs="Arial"/>
          <w:spacing w:val="-5"/>
          <w:lang w:val="es-CO" w:eastAsia="en-US"/>
        </w:rPr>
        <w:t xml:space="preserve"> de</w:t>
      </w:r>
      <w:r w:rsidR="00FC2C01">
        <w:rPr>
          <w:rFonts w:ascii="Bookman Old Style" w:hAnsi="Bookman Old Style" w:cs="Arial"/>
          <w:spacing w:val="-5"/>
          <w:lang w:val="es-CO" w:eastAsia="en-US"/>
        </w:rPr>
        <w:t>l</w:t>
      </w:r>
      <w:r w:rsidRPr="00EC3BB2">
        <w:rPr>
          <w:rFonts w:ascii="Bookman Old Style" w:hAnsi="Bookman Old Style" w:cs="Arial"/>
          <w:spacing w:val="-5"/>
          <w:lang w:val="es-CO" w:eastAsia="en-US"/>
        </w:rPr>
        <w:t xml:space="preserve"> </w:t>
      </w:r>
      <w:r w:rsidR="008A054D">
        <w:rPr>
          <w:rFonts w:ascii="Bookman Old Style" w:hAnsi="Bookman Old Style" w:cs="Arial"/>
          <w:spacing w:val="-5"/>
          <w:lang w:val="es-CO" w:eastAsia="en-US"/>
        </w:rPr>
        <w:t>30 de junio</w:t>
      </w:r>
      <w:r w:rsidRPr="00EC3BB2">
        <w:rPr>
          <w:rFonts w:ascii="Bookman Old Style" w:hAnsi="Bookman Old Style" w:cs="Arial"/>
          <w:spacing w:val="-5"/>
          <w:lang w:val="es-CO" w:eastAsia="en-US"/>
        </w:rPr>
        <w:t xml:space="preserve"> de 2016, </w:t>
      </w:r>
      <w:r w:rsidR="008A054D">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representante legal de la empresa </w:t>
      </w:r>
      <w:proofErr w:type="spellStart"/>
      <w:r w:rsidR="008A054D">
        <w:rPr>
          <w:rFonts w:ascii="Bookman Old Style" w:hAnsi="Bookman Old Style" w:cs="Arial"/>
          <w:spacing w:val="-5"/>
          <w:lang w:val="es-CO" w:eastAsia="en-US"/>
        </w:rPr>
        <w:t>Surcolombiana</w:t>
      </w:r>
      <w:proofErr w:type="spellEnd"/>
      <w:r w:rsidR="008A054D">
        <w:rPr>
          <w:rFonts w:ascii="Bookman Old Style" w:hAnsi="Bookman Old Style" w:cs="Arial"/>
          <w:spacing w:val="-5"/>
          <w:lang w:val="es-CO" w:eastAsia="en-US"/>
        </w:rPr>
        <w:t xml:space="preserve"> de Gas </w:t>
      </w:r>
      <w:r w:rsidRPr="00EC3BB2">
        <w:rPr>
          <w:rFonts w:ascii="Bookman Old Style" w:hAnsi="Bookman Old Style" w:cs="Arial"/>
          <w:spacing w:val="-5"/>
          <w:lang w:val="es-CO" w:eastAsia="en-US"/>
        </w:rPr>
        <w:t xml:space="preserve">S.A. E.S.P. interpuso recurso de reposición contra </w:t>
      </w:r>
      <w:r w:rsidR="00DC6FA9">
        <w:rPr>
          <w:rFonts w:ascii="Bookman Old Style" w:hAnsi="Bookman Old Style" w:cs="Arial"/>
          <w:spacing w:val="-5"/>
          <w:lang w:val="es-CO" w:eastAsia="en-US"/>
        </w:rPr>
        <w:t>la Resolución CREG 075 de 2016.</w:t>
      </w:r>
      <w:r w:rsidR="00FC2C01">
        <w:rPr>
          <w:rFonts w:ascii="Bookman Old Style" w:hAnsi="Bookman Old Style" w:cs="Arial"/>
          <w:spacing w:val="-5"/>
          <w:lang w:val="es-CO" w:eastAsia="en-US"/>
        </w:rPr>
        <w:t xml:space="preserve"> En dicho recurso realiza las siguientes solicitudes:</w:t>
      </w:r>
    </w:p>
    <w:p w:rsidR="00FC2C01" w:rsidRPr="00FC2C01" w:rsidRDefault="00FC2C01" w:rsidP="00FC2C01">
      <w:pPr>
        <w:pStyle w:val="Textoindependiente2"/>
        <w:spacing w:after="0" w:line="240" w:lineRule="auto"/>
        <w:ind w:left="284" w:right="284"/>
        <w:jc w:val="both"/>
        <w:rPr>
          <w:rFonts w:ascii="Bookman Old Style" w:hAnsi="Bookman Old Style" w:cs="Arial"/>
          <w:i/>
          <w:spacing w:val="-5"/>
          <w:sz w:val="22"/>
          <w:szCs w:val="22"/>
          <w:lang w:val="es-CO" w:eastAsia="en-US"/>
        </w:rPr>
      </w:pPr>
    </w:p>
    <w:p w:rsidR="008A054D" w:rsidRDefault="00FC2C01" w:rsidP="008A054D">
      <w:pPr>
        <w:pStyle w:val="Textoindependiente2"/>
        <w:spacing w:after="0" w:line="240" w:lineRule="auto"/>
        <w:ind w:left="284" w:right="284"/>
        <w:jc w:val="both"/>
        <w:rPr>
          <w:rFonts w:ascii="Bookman Old Style" w:hAnsi="Bookman Old Style" w:cs="Arial"/>
          <w:i/>
          <w:spacing w:val="-5"/>
          <w:sz w:val="22"/>
          <w:szCs w:val="22"/>
          <w:lang w:val="es-CO" w:eastAsia="en-US"/>
        </w:rPr>
      </w:pPr>
      <w:r>
        <w:rPr>
          <w:rFonts w:ascii="Bookman Old Style" w:hAnsi="Bookman Old Style" w:cs="Arial"/>
          <w:i/>
          <w:spacing w:val="-5"/>
          <w:sz w:val="22"/>
          <w:szCs w:val="22"/>
          <w:lang w:val="es-CO" w:eastAsia="en-US"/>
        </w:rPr>
        <w:t>“</w:t>
      </w:r>
      <w:r w:rsidR="005E71E5">
        <w:rPr>
          <w:rFonts w:ascii="Bookman Old Style" w:hAnsi="Bookman Old Style" w:cs="Arial"/>
          <w:i/>
          <w:spacing w:val="-5"/>
          <w:sz w:val="22"/>
          <w:szCs w:val="22"/>
          <w:lang w:val="es-CO" w:eastAsia="en-US"/>
        </w:rPr>
        <w:t xml:space="preserve">2.1. </w:t>
      </w:r>
      <w:r w:rsidR="008A054D" w:rsidRPr="008A054D">
        <w:rPr>
          <w:rFonts w:ascii="Bookman Old Style" w:hAnsi="Bookman Old Style" w:cs="Arial"/>
          <w:i/>
          <w:spacing w:val="-5"/>
          <w:sz w:val="22"/>
          <w:szCs w:val="22"/>
          <w:lang w:val="es-CO" w:eastAsia="en-US"/>
        </w:rPr>
        <w:t>Que la Resolución CREG 075 de 2016 permita la atención de la demanda de los</w:t>
      </w:r>
      <w:r w:rsidR="008A054D">
        <w:rPr>
          <w:rFonts w:ascii="Bookman Old Style" w:hAnsi="Bookman Old Style" w:cs="Arial"/>
          <w:i/>
          <w:spacing w:val="-5"/>
          <w:sz w:val="22"/>
          <w:szCs w:val="22"/>
          <w:lang w:val="es-CO" w:eastAsia="en-US"/>
        </w:rPr>
        <w:t xml:space="preserve"> 13.791 usuarios de la Empresa </w:t>
      </w:r>
      <w:proofErr w:type="spellStart"/>
      <w:r w:rsidR="008A054D">
        <w:rPr>
          <w:rFonts w:ascii="Bookman Old Style" w:hAnsi="Bookman Old Style" w:cs="Arial"/>
          <w:i/>
          <w:spacing w:val="-5"/>
          <w:sz w:val="22"/>
          <w:szCs w:val="22"/>
          <w:lang w:val="es-CO" w:eastAsia="en-US"/>
        </w:rPr>
        <w:t>Surcolombiana</w:t>
      </w:r>
      <w:proofErr w:type="spellEnd"/>
      <w:r w:rsidR="008A054D">
        <w:rPr>
          <w:rFonts w:ascii="Bookman Old Style" w:hAnsi="Bookman Old Style" w:cs="Arial"/>
          <w:i/>
          <w:spacing w:val="-5"/>
          <w:sz w:val="22"/>
          <w:szCs w:val="22"/>
          <w:lang w:val="es-CO" w:eastAsia="en-US"/>
        </w:rPr>
        <w:t xml:space="preserve"> de Gas siendo necesario una </w:t>
      </w:r>
      <w:r w:rsidR="008A054D" w:rsidRPr="008A054D">
        <w:rPr>
          <w:rFonts w:ascii="Bookman Old Style" w:hAnsi="Bookman Old Style" w:cs="Arial"/>
          <w:i/>
          <w:spacing w:val="-5"/>
          <w:sz w:val="22"/>
          <w:szCs w:val="22"/>
          <w:lang w:val="es-CO" w:eastAsia="en-US"/>
        </w:rPr>
        <w:t>capacidad de compra de 80.000 gal.</w:t>
      </w:r>
    </w:p>
    <w:p w:rsidR="008A054D" w:rsidRPr="008A054D" w:rsidRDefault="008A054D" w:rsidP="008A054D">
      <w:pPr>
        <w:pStyle w:val="Textoindependiente2"/>
        <w:spacing w:after="0" w:line="240" w:lineRule="auto"/>
        <w:ind w:left="284" w:right="284"/>
        <w:jc w:val="both"/>
        <w:rPr>
          <w:rFonts w:ascii="Bookman Old Style" w:hAnsi="Bookman Old Style" w:cs="Arial"/>
          <w:i/>
          <w:spacing w:val="-5"/>
          <w:sz w:val="22"/>
          <w:szCs w:val="22"/>
          <w:lang w:val="es-CO" w:eastAsia="en-US"/>
        </w:rPr>
      </w:pPr>
    </w:p>
    <w:p w:rsidR="00FC2C01" w:rsidRPr="00FC2C01" w:rsidRDefault="005E71E5" w:rsidP="008A054D">
      <w:pPr>
        <w:pStyle w:val="Textoindependiente2"/>
        <w:spacing w:after="0" w:line="240" w:lineRule="auto"/>
        <w:ind w:left="284" w:right="284"/>
        <w:jc w:val="both"/>
        <w:rPr>
          <w:rFonts w:ascii="Bookman Old Style" w:hAnsi="Bookman Old Style" w:cs="Arial"/>
          <w:i/>
          <w:spacing w:val="-5"/>
          <w:sz w:val="22"/>
          <w:szCs w:val="22"/>
          <w:lang w:val="es-CO" w:eastAsia="en-US"/>
        </w:rPr>
      </w:pPr>
      <w:r>
        <w:rPr>
          <w:rFonts w:ascii="Bookman Old Style" w:hAnsi="Bookman Old Style" w:cs="Arial"/>
          <w:i/>
          <w:spacing w:val="-5"/>
          <w:sz w:val="22"/>
          <w:szCs w:val="22"/>
          <w:lang w:val="es-CO" w:eastAsia="en-US"/>
        </w:rPr>
        <w:t>2.2.</w:t>
      </w:r>
      <w:r>
        <w:rPr>
          <w:rFonts w:ascii="Bookman Old Style" w:hAnsi="Bookman Old Style" w:cs="Arial"/>
          <w:i/>
          <w:spacing w:val="-5"/>
          <w:sz w:val="22"/>
          <w:szCs w:val="22"/>
          <w:lang w:val="es-CO" w:eastAsia="en-US"/>
        </w:rPr>
        <w:tab/>
        <w:t xml:space="preserve"> S</w:t>
      </w:r>
      <w:r w:rsidR="008A054D" w:rsidRPr="008A054D">
        <w:rPr>
          <w:rFonts w:ascii="Bookman Old Style" w:hAnsi="Bookman Old Style" w:cs="Arial"/>
          <w:i/>
          <w:spacing w:val="-5"/>
          <w:sz w:val="22"/>
          <w:szCs w:val="22"/>
          <w:lang w:val="es-CO" w:eastAsia="en-US"/>
        </w:rPr>
        <w:t>e modifique la inconsistencia en el cálculo</w:t>
      </w:r>
      <w:r w:rsidR="008A054D">
        <w:rPr>
          <w:rFonts w:ascii="Bookman Old Style" w:hAnsi="Bookman Old Style" w:cs="Arial"/>
          <w:i/>
          <w:spacing w:val="-5"/>
          <w:sz w:val="22"/>
          <w:szCs w:val="22"/>
          <w:lang w:val="es-CO" w:eastAsia="en-US"/>
        </w:rPr>
        <w:t xml:space="preserve"> </w:t>
      </w:r>
      <w:r w:rsidR="008A054D" w:rsidRPr="008A054D">
        <w:rPr>
          <w:rFonts w:ascii="Bookman Old Style" w:hAnsi="Bookman Old Style" w:cs="Arial"/>
          <w:i/>
          <w:spacing w:val="-5"/>
          <w:sz w:val="22"/>
          <w:szCs w:val="22"/>
          <w:lang w:val="es-CO" w:eastAsia="en-US"/>
        </w:rPr>
        <w:t>y</w:t>
      </w:r>
      <w:r w:rsidR="008A054D">
        <w:rPr>
          <w:rFonts w:ascii="Bookman Old Style" w:hAnsi="Bookman Old Style" w:cs="Arial"/>
          <w:i/>
          <w:spacing w:val="-5"/>
          <w:sz w:val="22"/>
          <w:szCs w:val="22"/>
          <w:lang w:val="es-CO" w:eastAsia="en-US"/>
        </w:rPr>
        <w:t xml:space="preserve"> </w:t>
      </w:r>
      <w:r w:rsidR="008A054D" w:rsidRPr="008A054D">
        <w:rPr>
          <w:rFonts w:ascii="Bookman Old Style" w:hAnsi="Bookman Old Style" w:cs="Arial"/>
          <w:i/>
          <w:spacing w:val="-5"/>
          <w:sz w:val="22"/>
          <w:szCs w:val="22"/>
          <w:lang w:val="es-CO" w:eastAsia="en-US"/>
        </w:rPr>
        <w:t>en</w:t>
      </w:r>
      <w:r w:rsidR="008A054D">
        <w:rPr>
          <w:rFonts w:ascii="Bookman Old Style" w:hAnsi="Bookman Old Style" w:cs="Arial"/>
          <w:i/>
          <w:spacing w:val="-5"/>
          <w:sz w:val="22"/>
          <w:szCs w:val="22"/>
          <w:lang w:val="es-CO" w:eastAsia="en-US"/>
        </w:rPr>
        <w:t xml:space="preserve"> </w:t>
      </w:r>
      <w:r w:rsidR="008A054D" w:rsidRPr="008A054D">
        <w:rPr>
          <w:rFonts w:ascii="Bookman Old Style" w:hAnsi="Bookman Old Style" w:cs="Arial"/>
          <w:i/>
          <w:spacing w:val="-5"/>
          <w:sz w:val="22"/>
          <w:szCs w:val="22"/>
          <w:lang w:val="es-CO" w:eastAsia="en-US"/>
        </w:rPr>
        <w:t>su</w:t>
      </w:r>
      <w:r w:rsidR="008A054D">
        <w:rPr>
          <w:rFonts w:ascii="Bookman Old Style" w:hAnsi="Bookman Old Style" w:cs="Arial"/>
          <w:i/>
          <w:spacing w:val="-5"/>
          <w:sz w:val="22"/>
          <w:szCs w:val="22"/>
          <w:lang w:val="es-CO" w:eastAsia="en-US"/>
        </w:rPr>
        <w:t xml:space="preserve"> </w:t>
      </w:r>
      <w:r w:rsidR="008A054D" w:rsidRPr="008A054D">
        <w:rPr>
          <w:rFonts w:ascii="Bookman Old Style" w:hAnsi="Bookman Old Style" w:cs="Arial"/>
          <w:i/>
          <w:spacing w:val="-5"/>
          <w:sz w:val="22"/>
          <w:szCs w:val="22"/>
          <w:lang w:val="es-CO" w:eastAsia="en-US"/>
        </w:rPr>
        <w:t>lugar</w:t>
      </w:r>
      <w:r w:rsidR="008A054D">
        <w:rPr>
          <w:rFonts w:ascii="Bookman Old Style" w:hAnsi="Bookman Old Style" w:cs="Arial"/>
          <w:i/>
          <w:spacing w:val="-5"/>
          <w:sz w:val="22"/>
          <w:szCs w:val="22"/>
          <w:lang w:val="es-CO" w:eastAsia="en-US"/>
        </w:rPr>
        <w:t xml:space="preserve"> </w:t>
      </w:r>
      <w:r w:rsidR="008A054D" w:rsidRPr="008A054D">
        <w:rPr>
          <w:rFonts w:ascii="Bookman Old Style" w:hAnsi="Bookman Old Style" w:cs="Arial"/>
          <w:i/>
          <w:spacing w:val="-5"/>
          <w:sz w:val="22"/>
          <w:szCs w:val="22"/>
          <w:lang w:val="es-CO" w:eastAsia="en-US"/>
        </w:rPr>
        <w:t>se Incluya el siguiente cálculo: una capacidad de compra de 80.000 gal</w:t>
      </w:r>
      <w:proofErr w:type="gramStart"/>
      <w:r w:rsidR="008A054D" w:rsidRPr="008A054D">
        <w:rPr>
          <w:rFonts w:ascii="Bookman Old Style" w:hAnsi="Bookman Old Style" w:cs="Arial"/>
          <w:i/>
          <w:spacing w:val="-5"/>
          <w:sz w:val="22"/>
          <w:szCs w:val="22"/>
          <w:lang w:val="es-CO" w:eastAsia="en-US"/>
        </w:rPr>
        <w:t>.</w:t>
      </w:r>
      <w:r w:rsidR="003075FD">
        <w:rPr>
          <w:rFonts w:ascii="Bookman Old Style" w:hAnsi="Bookman Old Style" w:cs="Arial"/>
          <w:i/>
          <w:spacing w:val="-5"/>
          <w:sz w:val="22"/>
          <w:szCs w:val="22"/>
          <w:lang w:val="es-CO" w:eastAsia="en-US"/>
        </w:rPr>
        <w:t>(</w:t>
      </w:r>
      <w:proofErr w:type="gramEnd"/>
      <w:r w:rsidR="003075FD">
        <w:rPr>
          <w:rFonts w:ascii="Bookman Old Style" w:hAnsi="Bookman Old Style" w:cs="Arial"/>
          <w:i/>
          <w:spacing w:val="-5"/>
          <w:sz w:val="22"/>
          <w:szCs w:val="22"/>
          <w:lang w:val="es-CO" w:eastAsia="en-US"/>
        </w:rPr>
        <w:t>…)</w:t>
      </w:r>
      <w:r w:rsidR="00FC2C01">
        <w:rPr>
          <w:rFonts w:ascii="Bookman Old Style" w:hAnsi="Bookman Old Style" w:cs="Arial"/>
          <w:i/>
          <w:spacing w:val="-5"/>
          <w:sz w:val="22"/>
          <w:szCs w:val="22"/>
          <w:lang w:val="es-CO" w:eastAsia="en-US"/>
        </w:rPr>
        <w:t>”</w:t>
      </w:r>
    </w:p>
    <w:p w:rsidR="00EC3BB2" w:rsidRPr="00EC3BB2" w:rsidRDefault="00EC3BB2" w:rsidP="008A054D">
      <w:pPr>
        <w:widowControl w:val="0"/>
        <w:tabs>
          <w:tab w:val="right" w:pos="9498"/>
        </w:tabs>
        <w:adjustRightInd w:val="0"/>
        <w:ind w:left="0" w:right="-142"/>
        <w:jc w:val="both"/>
        <w:rPr>
          <w:rFonts w:ascii="Arial" w:hAnsi="Arial" w:cs="Arial"/>
          <w:sz w:val="22"/>
          <w:szCs w:val="22"/>
        </w:rPr>
      </w:pPr>
    </w:p>
    <w:p w:rsid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075 de 2016 fue notificada a </w:t>
      </w:r>
      <w:proofErr w:type="spellStart"/>
      <w:r w:rsidR="008A054D">
        <w:rPr>
          <w:rFonts w:ascii="Bookman Old Style" w:hAnsi="Bookman Old Style" w:cs="Arial"/>
          <w:spacing w:val="-5"/>
          <w:lang w:val="es-CO" w:eastAsia="en-US"/>
        </w:rPr>
        <w:t>Surcolombiana</w:t>
      </w:r>
      <w:proofErr w:type="spellEnd"/>
      <w:r w:rsidR="008A054D">
        <w:rPr>
          <w:rFonts w:ascii="Bookman Old Style" w:hAnsi="Bookman Old Style" w:cs="Arial"/>
          <w:spacing w:val="-5"/>
          <w:lang w:val="es-CO" w:eastAsia="en-US"/>
        </w:rPr>
        <w:t xml:space="preserve"> de Gas</w:t>
      </w:r>
      <w:r w:rsidRPr="00EC3BB2">
        <w:rPr>
          <w:rFonts w:ascii="Bookman Old Style" w:hAnsi="Bookman Old Style" w:cs="Arial"/>
          <w:spacing w:val="-5"/>
          <w:lang w:val="es-CO" w:eastAsia="en-US"/>
        </w:rPr>
        <w:t xml:space="preserve"> mediante </w:t>
      </w:r>
      <w:r w:rsidR="00FC2C01">
        <w:rPr>
          <w:rFonts w:ascii="Bookman Old Style" w:hAnsi="Bookman Old Style" w:cs="Arial"/>
          <w:spacing w:val="-5"/>
          <w:lang w:val="es-CO" w:eastAsia="en-US"/>
        </w:rPr>
        <w:t>notificación personal I-2016-</w:t>
      </w:r>
      <w:r w:rsidR="008A054D">
        <w:rPr>
          <w:rFonts w:ascii="Bookman Old Style" w:hAnsi="Bookman Old Style" w:cs="Arial"/>
          <w:spacing w:val="-5"/>
          <w:lang w:val="es-CO" w:eastAsia="en-US"/>
        </w:rPr>
        <w:t>003203</w:t>
      </w:r>
      <w:r w:rsidR="00FC2C01">
        <w:rPr>
          <w:rFonts w:ascii="Bookman Old Style" w:hAnsi="Bookman Old Style" w:cs="Arial"/>
          <w:spacing w:val="-5"/>
          <w:lang w:val="es-CO" w:eastAsia="en-US"/>
        </w:rPr>
        <w:t xml:space="preserve"> de </w:t>
      </w:r>
      <w:r w:rsidR="008A054D">
        <w:rPr>
          <w:rFonts w:ascii="Bookman Old Style" w:hAnsi="Bookman Old Style" w:cs="Arial"/>
          <w:spacing w:val="-5"/>
          <w:lang w:val="es-CO" w:eastAsia="en-US"/>
        </w:rPr>
        <w:t>24</w:t>
      </w:r>
      <w:r w:rsidR="00FC2C01">
        <w:rPr>
          <w:rFonts w:ascii="Bookman Old Style" w:hAnsi="Bookman Old Style" w:cs="Arial"/>
          <w:spacing w:val="-5"/>
          <w:lang w:val="es-CO" w:eastAsia="en-US"/>
        </w:rPr>
        <w:t xml:space="preserve"> de junio de 2016 </w:t>
      </w:r>
      <w:r w:rsidRPr="00EC3BB2">
        <w:rPr>
          <w:rFonts w:ascii="Bookman Old Style" w:hAnsi="Bookman Old Style" w:cs="Arial"/>
          <w:spacing w:val="-5"/>
          <w:lang w:val="es-CO" w:eastAsia="en-US"/>
        </w:rPr>
        <w:t>atendiendo l</w:t>
      </w:r>
      <w:r w:rsidR="00FC2C01">
        <w:rPr>
          <w:rFonts w:ascii="Bookman Old Style" w:hAnsi="Bookman Old Style" w:cs="Arial"/>
          <w:spacing w:val="-5"/>
          <w:lang w:val="es-CO" w:eastAsia="en-US"/>
        </w:rPr>
        <w:t>o dispuesto en el artículo 67</w:t>
      </w:r>
      <w:r w:rsidRPr="00CD67E2">
        <w:rPr>
          <w:rFonts w:ascii="Bookman Old Style" w:hAnsi="Bookman Old Style" w:cs="Arial"/>
          <w:spacing w:val="-5"/>
          <w:vertAlign w:val="superscript"/>
          <w:lang w:val="es-CO" w:eastAsia="en-US"/>
        </w:rPr>
        <w:footnoteReference w:id="3"/>
      </w:r>
      <w:r w:rsidRPr="00EC3BB2">
        <w:rPr>
          <w:rFonts w:ascii="Bookman Old Style" w:hAnsi="Bookman Old Style" w:cs="Arial"/>
          <w:spacing w:val="-5"/>
          <w:lang w:val="es-CO" w:eastAsia="en-US"/>
        </w:rPr>
        <w:t xml:space="preserve"> de la Ley 1437 de 2011. </w:t>
      </w:r>
    </w:p>
    <w:p w:rsidR="00CD67E2" w:rsidRPr="00EC3BB2" w:rsidRDefault="00CD67E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Una vez establecida la fecha de notificación y verificada la fecha de interposición del recurso, se establece que el recurso de reposición fue interpuesto </w:t>
      </w:r>
      <w:r w:rsidR="00CD67E2">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2706C7">
        <w:rPr>
          <w:rFonts w:ascii="Bookman Old Style" w:hAnsi="Bookman Old Style" w:cs="Arial"/>
          <w:spacing w:val="-5"/>
          <w:lang w:val="es-CO" w:eastAsia="en-US"/>
        </w:rPr>
        <w:t>1</w:t>
      </w:r>
      <w:r w:rsidRPr="00EC3BB2">
        <w:rPr>
          <w:rFonts w:ascii="Bookman Old Style" w:hAnsi="Bookman Old Style" w:cs="Arial"/>
          <w:spacing w:val="-5"/>
          <w:lang w:val="es-CO" w:eastAsia="en-US"/>
        </w:rPr>
        <w:t xml:space="preserve"> de julio de</w:t>
      </w:r>
      <w:r w:rsidR="00FC2C01">
        <w:rPr>
          <w:rFonts w:ascii="Bookman Old Style" w:hAnsi="Bookman Old Style" w:cs="Arial"/>
          <w:spacing w:val="-5"/>
          <w:lang w:val="es-CO" w:eastAsia="en-US"/>
        </w:rPr>
        <w:t>l</w:t>
      </w:r>
      <w:r w:rsidRPr="00EC3BB2">
        <w:rPr>
          <w:rFonts w:ascii="Bookman Old Style" w:hAnsi="Bookman Old Style" w:cs="Arial"/>
          <w:spacing w:val="-5"/>
          <w:lang w:val="es-CO" w:eastAsia="en-US"/>
        </w:rPr>
        <w:t xml:space="preserve"> 2016.  </w:t>
      </w:r>
    </w:p>
    <w:p w:rsidR="00CD67E2" w:rsidRDefault="00CD67E2" w:rsidP="00B36FE8">
      <w:pPr>
        <w:pStyle w:val="Textoindependiente2"/>
        <w:spacing w:after="0" w:line="240" w:lineRule="auto"/>
        <w:ind w:left="-142" w:right="-142"/>
        <w:jc w:val="both"/>
        <w:rPr>
          <w:rFonts w:ascii="Bookman Old Style" w:hAnsi="Bookman Old Style" w:cs="Arial"/>
          <w:spacing w:val="-5"/>
          <w:lang w:val="es-CO" w:eastAsia="en-US"/>
        </w:rPr>
      </w:pPr>
    </w:p>
    <w:p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lastRenderedPageBreak/>
        <w:t>En virtud de lo anterior y una vez verificado el cumplimiento de los requisitos a los que hace referencia el artículo 77</w:t>
      </w:r>
      <w:r w:rsidRPr="00D549B1">
        <w:rPr>
          <w:rFonts w:ascii="Bookman Old Style" w:hAnsi="Bookman Old Style"/>
          <w:szCs w:val="27"/>
          <w:vertAlign w:val="superscript"/>
        </w:rPr>
        <w:footnoteReference w:id="4"/>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625260"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fundamentos del</w:t>
      </w:r>
      <w:r w:rsidR="00D126E3" w:rsidRPr="00D549B1">
        <w:rPr>
          <w:rFonts w:ascii="Bookman Old Style" w:hAnsi="Bookman Old Style"/>
          <w:szCs w:val="27"/>
        </w:rPr>
        <w:t xml:space="preserve"> recurso de reposición interpuesto por </w:t>
      </w:r>
      <w:proofErr w:type="spellStart"/>
      <w:r w:rsidR="002706C7">
        <w:rPr>
          <w:rFonts w:ascii="Bookman Old Style" w:hAnsi="Bookman Old Style"/>
          <w:szCs w:val="27"/>
        </w:rPr>
        <w:t>Surcolombiana</w:t>
      </w:r>
      <w:proofErr w:type="spellEnd"/>
      <w:r w:rsidR="002706C7">
        <w:rPr>
          <w:rFonts w:ascii="Bookman Old Style" w:hAnsi="Bookman Old Style"/>
          <w:szCs w:val="27"/>
        </w:rPr>
        <w:t xml:space="preserve"> de Gas</w:t>
      </w:r>
      <w:r>
        <w:rPr>
          <w:rFonts w:ascii="Bookman Old Style" w:hAnsi="Bookman Old Style"/>
          <w:szCs w:val="27"/>
        </w:rPr>
        <w:t xml:space="preserve"> </w:t>
      </w:r>
      <w:r w:rsidR="002A452D">
        <w:rPr>
          <w:rFonts w:ascii="Bookman Old Style" w:hAnsi="Bookman Old Style"/>
          <w:szCs w:val="27"/>
        </w:rPr>
        <w:t>hacen referencia a lo siguiente:</w:t>
      </w:r>
    </w:p>
    <w:p w:rsidR="002A452D" w:rsidRPr="002A452D" w:rsidRDefault="002A452D" w:rsidP="002A452D">
      <w:pPr>
        <w:ind w:left="284" w:right="284"/>
        <w:jc w:val="both"/>
        <w:rPr>
          <w:rFonts w:ascii="Bookman Old Style" w:hAnsi="Bookman Old Style" w:cs="Arial"/>
          <w:i/>
          <w:sz w:val="22"/>
          <w:szCs w:val="22"/>
        </w:rPr>
      </w:pPr>
    </w:p>
    <w:p w:rsidR="002706C7" w:rsidRPr="002706C7" w:rsidRDefault="002706C7" w:rsidP="002706C7">
      <w:pPr>
        <w:ind w:left="284" w:right="284"/>
        <w:jc w:val="both"/>
        <w:rPr>
          <w:rFonts w:ascii="Bookman Old Style" w:hAnsi="Bookman Old Style" w:cs="Arial"/>
          <w:i/>
          <w:sz w:val="22"/>
          <w:szCs w:val="22"/>
        </w:rPr>
      </w:pPr>
      <w:r w:rsidRPr="002706C7">
        <w:rPr>
          <w:rFonts w:ascii="Bookman Old Style" w:hAnsi="Bookman Old Style" w:cs="Arial"/>
          <w:i/>
          <w:sz w:val="22"/>
          <w:szCs w:val="22"/>
        </w:rPr>
        <w:t>1.</w:t>
      </w:r>
      <w:r w:rsidRPr="002706C7">
        <w:rPr>
          <w:rFonts w:ascii="Bookman Old Style" w:hAnsi="Bookman Old Style" w:cs="Arial"/>
          <w:i/>
          <w:sz w:val="22"/>
          <w:szCs w:val="22"/>
        </w:rPr>
        <w:tab/>
        <w:t xml:space="preserve">Hechos </w:t>
      </w:r>
    </w:p>
    <w:p w:rsidR="002706C7" w:rsidRDefault="002706C7" w:rsidP="002706C7">
      <w:pPr>
        <w:ind w:left="284" w:right="284"/>
        <w:jc w:val="both"/>
        <w:rPr>
          <w:rFonts w:ascii="Bookman Old Style" w:hAnsi="Bookman Old Style" w:cs="Arial"/>
          <w:i/>
          <w:sz w:val="22"/>
          <w:szCs w:val="22"/>
        </w:rPr>
      </w:pPr>
    </w:p>
    <w:p w:rsidR="002706C7" w:rsidRPr="002706C7" w:rsidRDefault="002706C7" w:rsidP="002706C7">
      <w:pPr>
        <w:ind w:left="284" w:right="284"/>
        <w:jc w:val="both"/>
        <w:rPr>
          <w:rFonts w:ascii="Bookman Old Style" w:hAnsi="Bookman Old Style" w:cs="Arial"/>
          <w:i/>
          <w:sz w:val="22"/>
          <w:szCs w:val="22"/>
        </w:rPr>
      </w:pPr>
      <w:proofErr w:type="spellStart"/>
      <w:r w:rsidRPr="002706C7">
        <w:rPr>
          <w:rFonts w:ascii="Bookman Old Style" w:hAnsi="Bookman Old Style" w:cs="Arial"/>
          <w:i/>
          <w:sz w:val="22"/>
          <w:szCs w:val="22"/>
        </w:rPr>
        <w:t>Surcolombiana</w:t>
      </w:r>
      <w:proofErr w:type="spellEnd"/>
      <w:r w:rsidRPr="002706C7">
        <w:rPr>
          <w:rFonts w:ascii="Bookman Old Style" w:hAnsi="Bookman Old Style" w:cs="Arial"/>
          <w:i/>
          <w:sz w:val="22"/>
          <w:szCs w:val="22"/>
        </w:rPr>
        <w:t xml:space="preserve"> de Gas S.A E.S.P reporta la información requerida por la Superintendencia de Servicios Públicos Domiciliarios ante el Sistema Único de Información -SUI- conforme Circular SSPD - CREG No. 001 de 2005, Modificada por la Circular 3 de 2006, y Circular SSPD-CREG 001 de 2006".</w:t>
      </w:r>
    </w:p>
    <w:p w:rsidR="002706C7" w:rsidRDefault="002706C7" w:rsidP="002706C7">
      <w:pPr>
        <w:ind w:left="284" w:right="284"/>
        <w:jc w:val="both"/>
        <w:rPr>
          <w:rFonts w:ascii="Bookman Old Style" w:hAnsi="Bookman Old Style" w:cs="Arial"/>
          <w:i/>
          <w:sz w:val="22"/>
          <w:szCs w:val="22"/>
        </w:rPr>
      </w:pPr>
    </w:p>
    <w:p w:rsidR="002706C7" w:rsidRPr="002706C7" w:rsidRDefault="002706C7" w:rsidP="002706C7">
      <w:pPr>
        <w:ind w:left="284" w:right="284"/>
        <w:jc w:val="both"/>
        <w:rPr>
          <w:rFonts w:ascii="Bookman Old Style" w:hAnsi="Bookman Old Style" w:cs="Arial"/>
          <w:i/>
          <w:sz w:val="22"/>
          <w:szCs w:val="22"/>
        </w:rPr>
      </w:pPr>
      <w:r w:rsidRPr="002706C7">
        <w:rPr>
          <w:rFonts w:ascii="Bookman Old Style" w:hAnsi="Bookman Old Style" w:cs="Arial"/>
          <w:i/>
          <w:sz w:val="22"/>
          <w:szCs w:val="22"/>
        </w:rPr>
        <w:t>La Circular SSPD - CREG No. 001 de 2005 especifica todo lo concerniente al reporte de información de estándares de calidad del servicio público domiciliario de gas combustible por redes de tubería y GLP.</w:t>
      </w:r>
    </w:p>
    <w:p w:rsidR="002706C7" w:rsidRDefault="002706C7" w:rsidP="002706C7">
      <w:pPr>
        <w:ind w:left="284" w:right="284"/>
        <w:jc w:val="both"/>
        <w:rPr>
          <w:rFonts w:ascii="Bookman Old Style" w:hAnsi="Bookman Old Style" w:cs="Arial"/>
          <w:i/>
          <w:sz w:val="22"/>
          <w:szCs w:val="22"/>
        </w:rPr>
      </w:pPr>
    </w:p>
    <w:p w:rsidR="002706C7" w:rsidRPr="002706C7" w:rsidRDefault="002706C7" w:rsidP="002706C7">
      <w:pPr>
        <w:ind w:left="284" w:right="284"/>
        <w:jc w:val="both"/>
        <w:rPr>
          <w:rFonts w:ascii="Bookman Old Style" w:hAnsi="Bookman Old Style" w:cs="Arial"/>
          <w:i/>
          <w:sz w:val="22"/>
          <w:szCs w:val="22"/>
        </w:rPr>
      </w:pPr>
      <w:r w:rsidRPr="002706C7">
        <w:rPr>
          <w:rFonts w:ascii="Bookman Old Style" w:hAnsi="Bookman Old Style" w:cs="Arial"/>
          <w:i/>
          <w:sz w:val="22"/>
          <w:szCs w:val="22"/>
        </w:rPr>
        <w:t xml:space="preserve">La Empresa </w:t>
      </w:r>
      <w:proofErr w:type="spellStart"/>
      <w:r w:rsidRPr="002706C7">
        <w:rPr>
          <w:rFonts w:ascii="Bookman Old Style" w:hAnsi="Bookman Old Style" w:cs="Arial"/>
          <w:i/>
          <w:sz w:val="22"/>
          <w:szCs w:val="22"/>
        </w:rPr>
        <w:t>Surgas</w:t>
      </w:r>
      <w:proofErr w:type="spellEnd"/>
      <w:r w:rsidRPr="002706C7">
        <w:rPr>
          <w:rFonts w:ascii="Bookman Old Style" w:hAnsi="Bookman Old Style" w:cs="Arial"/>
          <w:i/>
          <w:sz w:val="22"/>
          <w:szCs w:val="22"/>
        </w:rPr>
        <w:t xml:space="preserve"> SA. ESP., presta actualmente el servicio de GLP por redes a trece (13) Municipios y veinticinco (25) Centros Poblados en los Departamentos de Hulla y Putumayo, de acuerdo a gestiones con la Gobernación del Hulla se ha logrado llegar a zonas apartadas de los cascos urbanos, presentando a corte de mayo de 2016, 13.791 Usuarios en servicio. Información reportada y registrada en el SUI.</w:t>
      </w:r>
    </w:p>
    <w:p w:rsidR="002706C7" w:rsidRDefault="002706C7" w:rsidP="002706C7">
      <w:pPr>
        <w:ind w:left="284" w:right="284"/>
        <w:jc w:val="both"/>
        <w:rPr>
          <w:rFonts w:ascii="Bookman Old Style" w:hAnsi="Bookman Old Style" w:cs="Arial"/>
          <w:i/>
          <w:sz w:val="22"/>
          <w:szCs w:val="22"/>
        </w:rPr>
      </w:pPr>
    </w:p>
    <w:p w:rsidR="002706C7" w:rsidRPr="002706C7" w:rsidRDefault="00C01E7A" w:rsidP="002706C7">
      <w:pPr>
        <w:ind w:left="284" w:right="284"/>
        <w:jc w:val="both"/>
        <w:rPr>
          <w:rFonts w:ascii="Bookman Old Style" w:hAnsi="Bookman Old Style" w:cs="Arial"/>
          <w:i/>
          <w:sz w:val="22"/>
          <w:szCs w:val="22"/>
        </w:rPr>
      </w:pPr>
      <w:r>
        <w:rPr>
          <w:rFonts w:ascii="Bookman Old Style" w:hAnsi="Bookman Old Style" w:cs="Arial"/>
          <w:i/>
          <w:sz w:val="22"/>
          <w:szCs w:val="22"/>
        </w:rPr>
        <w:t>(…)</w:t>
      </w:r>
    </w:p>
    <w:p w:rsidR="002706C7" w:rsidRDefault="002706C7" w:rsidP="002706C7">
      <w:pPr>
        <w:ind w:left="284" w:right="284"/>
        <w:jc w:val="both"/>
        <w:rPr>
          <w:rFonts w:ascii="Bookman Old Style" w:hAnsi="Bookman Old Style" w:cs="Arial"/>
          <w:i/>
          <w:sz w:val="22"/>
          <w:szCs w:val="22"/>
        </w:rPr>
      </w:pPr>
    </w:p>
    <w:p w:rsidR="00C01E7A" w:rsidRDefault="002706C7" w:rsidP="00C01E7A">
      <w:pPr>
        <w:ind w:left="284" w:right="284"/>
        <w:jc w:val="both"/>
        <w:rPr>
          <w:rFonts w:ascii="Bookman Old Style" w:hAnsi="Bookman Old Style" w:cs="Arial"/>
          <w:i/>
          <w:sz w:val="22"/>
          <w:szCs w:val="22"/>
        </w:rPr>
      </w:pPr>
      <w:r w:rsidRPr="002706C7">
        <w:rPr>
          <w:rFonts w:ascii="Bookman Old Style" w:hAnsi="Bookman Old Style" w:cs="Arial"/>
          <w:i/>
          <w:sz w:val="22"/>
          <w:szCs w:val="22"/>
        </w:rPr>
        <w:t xml:space="preserve">La capacidad de compra que se estipula en la Resolución CREG 075 de 2016, para </w:t>
      </w:r>
      <w:proofErr w:type="spellStart"/>
      <w:r w:rsidRPr="002706C7">
        <w:rPr>
          <w:rFonts w:ascii="Bookman Old Style" w:hAnsi="Bookman Old Style" w:cs="Arial"/>
          <w:i/>
          <w:sz w:val="22"/>
          <w:szCs w:val="22"/>
        </w:rPr>
        <w:t>Surcolombiana</w:t>
      </w:r>
      <w:proofErr w:type="spellEnd"/>
      <w:r w:rsidRPr="002706C7">
        <w:rPr>
          <w:rFonts w:ascii="Bookman Old Style" w:hAnsi="Bookman Old Style" w:cs="Arial"/>
          <w:i/>
          <w:sz w:val="22"/>
          <w:szCs w:val="22"/>
        </w:rPr>
        <w:t xml:space="preserve"> de Gas S.A E.S.P no coincide con lo reportado en el SUI por la empresa para el mes de abril 2016, en el módulo de Facturación, debido a que la información tomada para el 10</w:t>
      </w:r>
      <w:r w:rsidR="00C01E7A">
        <w:rPr>
          <w:rFonts w:ascii="Bookman Old Style" w:hAnsi="Bookman Old Style" w:cs="Arial"/>
          <w:i/>
          <w:sz w:val="22"/>
          <w:szCs w:val="22"/>
        </w:rPr>
        <w:t xml:space="preserve"> de mayo de 2016, corresponde al</w:t>
      </w:r>
      <w:r w:rsidRPr="002706C7">
        <w:rPr>
          <w:rFonts w:ascii="Bookman Old Style" w:hAnsi="Bookman Old Style" w:cs="Arial"/>
          <w:i/>
          <w:sz w:val="22"/>
          <w:szCs w:val="22"/>
        </w:rPr>
        <w:t xml:space="preserve"> mes inmediatamente anterior y para abril el reporte al SUI por parte de la empresa</w:t>
      </w:r>
      <w:r w:rsidR="00C01E7A">
        <w:rPr>
          <w:rFonts w:ascii="Bookman Old Style" w:hAnsi="Bookman Old Style" w:cs="Arial"/>
          <w:i/>
          <w:sz w:val="22"/>
          <w:szCs w:val="22"/>
        </w:rPr>
        <w:t xml:space="preserve"> </w:t>
      </w:r>
      <w:proofErr w:type="spellStart"/>
      <w:r w:rsidR="00C01E7A" w:rsidRPr="00C01E7A">
        <w:rPr>
          <w:rFonts w:ascii="Bookman Old Style" w:hAnsi="Bookman Old Style" w:cs="Arial"/>
          <w:i/>
          <w:sz w:val="22"/>
          <w:szCs w:val="22"/>
        </w:rPr>
        <w:t>Surgas</w:t>
      </w:r>
      <w:proofErr w:type="spellEnd"/>
      <w:r w:rsidR="00C01E7A" w:rsidRPr="00C01E7A">
        <w:rPr>
          <w:rFonts w:ascii="Bookman Old Style" w:hAnsi="Bookman Old Style" w:cs="Arial"/>
          <w:i/>
          <w:sz w:val="22"/>
          <w:szCs w:val="22"/>
        </w:rPr>
        <w:t xml:space="preserve"> SA. ESP., fue de 71.611 </w:t>
      </w:r>
      <w:proofErr w:type="gramStart"/>
      <w:r w:rsidR="00C01E7A" w:rsidRPr="00C01E7A">
        <w:rPr>
          <w:rFonts w:ascii="Bookman Old Style" w:hAnsi="Bookman Old Style" w:cs="Arial"/>
          <w:i/>
          <w:sz w:val="22"/>
          <w:szCs w:val="22"/>
        </w:rPr>
        <w:t>gal</w:t>
      </w:r>
      <w:proofErr w:type="gramEnd"/>
      <w:r w:rsidR="00C01E7A" w:rsidRPr="00C01E7A">
        <w:rPr>
          <w:rFonts w:ascii="Bookman Old Style" w:hAnsi="Bookman Old Style" w:cs="Arial"/>
          <w:i/>
          <w:sz w:val="22"/>
          <w:szCs w:val="22"/>
        </w:rPr>
        <w:t xml:space="preserve"> y no 54.559 gal como aparece en la Resolución en mención.</w:t>
      </w:r>
    </w:p>
    <w:p w:rsidR="00C01E7A" w:rsidRPr="00C01E7A" w:rsidRDefault="00C01E7A" w:rsidP="00C01E7A">
      <w:pPr>
        <w:ind w:left="284" w:right="284"/>
        <w:jc w:val="both"/>
        <w:rPr>
          <w:rFonts w:ascii="Bookman Old Style" w:hAnsi="Bookman Old Style" w:cs="Arial"/>
          <w:i/>
          <w:sz w:val="22"/>
          <w:szCs w:val="22"/>
        </w:rPr>
      </w:pPr>
    </w:p>
    <w:p w:rsidR="00C01E7A" w:rsidRDefault="00C01E7A" w:rsidP="00C01E7A">
      <w:pPr>
        <w:ind w:left="284" w:right="284"/>
        <w:jc w:val="both"/>
        <w:rPr>
          <w:rFonts w:ascii="Bookman Old Style" w:hAnsi="Bookman Old Style" w:cs="Arial"/>
          <w:i/>
          <w:sz w:val="22"/>
          <w:szCs w:val="22"/>
        </w:rPr>
      </w:pPr>
      <w:r w:rsidRPr="00C01E7A">
        <w:rPr>
          <w:rFonts w:ascii="Bookman Old Style" w:hAnsi="Bookman Old Style" w:cs="Arial"/>
          <w:i/>
          <w:sz w:val="22"/>
          <w:szCs w:val="22"/>
        </w:rPr>
        <w:t xml:space="preserve">De acuerdo a la Resolución objeto del presente recurso, la capacidad de </w:t>
      </w:r>
      <w:proofErr w:type="spellStart"/>
      <w:r w:rsidRPr="00C01E7A">
        <w:rPr>
          <w:rFonts w:ascii="Bookman Old Style" w:hAnsi="Bookman Old Style" w:cs="Arial"/>
          <w:i/>
          <w:sz w:val="22"/>
          <w:szCs w:val="22"/>
        </w:rPr>
        <w:t>Surgas</w:t>
      </w:r>
      <w:proofErr w:type="spellEnd"/>
      <w:r w:rsidRPr="00C01E7A">
        <w:rPr>
          <w:rFonts w:ascii="Bookman Old Style" w:hAnsi="Bookman Old Style" w:cs="Arial"/>
          <w:i/>
          <w:sz w:val="22"/>
          <w:szCs w:val="22"/>
        </w:rPr>
        <w:t xml:space="preserve"> SA. ESP., es limitada a tal punto de que la capacidad disponible de compra es menor al 20% del consumo real como se indica en la resolución, según el siguiente cuadro:</w:t>
      </w:r>
    </w:p>
    <w:p w:rsidR="002706C7" w:rsidRDefault="002706C7" w:rsidP="00D24859">
      <w:pPr>
        <w:ind w:left="284" w:right="284"/>
        <w:jc w:val="both"/>
        <w:rPr>
          <w:rFonts w:ascii="Bookman Old Style" w:hAnsi="Bookman Old Style" w:cs="Arial"/>
          <w:i/>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1426"/>
        <w:gridCol w:w="1462"/>
        <w:gridCol w:w="547"/>
        <w:gridCol w:w="936"/>
        <w:gridCol w:w="943"/>
        <w:gridCol w:w="950"/>
        <w:gridCol w:w="1145"/>
        <w:gridCol w:w="1368"/>
      </w:tblGrid>
      <w:tr w:rsidR="00C01E7A" w:rsidRPr="00C01E7A" w:rsidTr="00C01E7A">
        <w:trPr>
          <w:trHeight w:hRule="exact" w:val="504"/>
          <w:jc w:val="center"/>
        </w:trPr>
        <w:tc>
          <w:tcPr>
            <w:tcW w:w="1426" w:type="dxa"/>
            <w:tcBorders>
              <w:top w:val="single" w:sz="4" w:space="0" w:color="auto"/>
              <w:left w:val="single" w:sz="4" w:space="0" w:color="auto"/>
              <w:bottom w:val="nil"/>
              <w:right w:val="nil"/>
            </w:tcBorders>
            <w:shd w:val="clear" w:color="auto" w:fill="FFFFFF"/>
            <w:vAlign w:val="center"/>
          </w:tcPr>
          <w:p w:rsidR="00C01E7A" w:rsidRPr="00C01E7A" w:rsidRDefault="00C01E7A" w:rsidP="00C01E7A">
            <w:pPr>
              <w:widowControl w:val="0"/>
              <w:spacing w:line="150" w:lineRule="exact"/>
              <w:ind w:left="0"/>
              <w:jc w:val="center"/>
              <w:rPr>
                <w:spacing w:val="10"/>
                <w:sz w:val="18"/>
                <w:szCs w:val="18"/>
                <w:lang w:val="es-ES_tradnl" w:eastAsia="es-CO"/>
              </w:rPr>
            </w:pPr>
            <w:r w:rsidRPr="00C01E7A">
              <w:rPr>
                <w:color w:val="000000"/>
                <w:sz w:val="18"/>
                <w:szCs w:val="18"/>
                <w:lang w:val="es-ES_tradnl" w:eastAsia="es-ES_tradnl"/>
              </w:rPr>
              <w:t>Escenarios</w:t>
            </w:r>
          </w:p>
        </w:tc>
        <w:tc>
          <w:tcPr>
            <w:tcW w:w="1462" w:type="dxa"/>
            <w:tcBorders>
              <w:top w:val="single" w:sz="4" w:space="0" w:color="auto"/>
              <w:left w:val="single" w:sz="4" w:space="0" w:color="auto"/>
              <w:bottom w:val="nil"/>
              <w:right w:val="nil"/>
            </w:tcBorders>
            <w:shd w:val="clear" w:color="auto" w:fill="FFFFFF"/>
            <w:vAlign w:val="center"/>
          </w:tcPr>
          <w:p w:rsidR="00C01E7A" w:rsidRPr="00C01E7A" w:rsidRDefault="00C01E7A" w:rsidP="00C01E7A">
            <w:pPr>
              <w:widowControl w:val="0"/>
              <w:spacing w:line="194" w:lineRule="exact"/>
              <w:ind w:left="0"/>
              <w:jc w:val="both"/>
              <w:rPr>
                <w:spacing w:val="10"/>
                <w:sz w:val="18"/>
                <w:szCs w:val="18"/>
                <w:lang w:val="es-ES_tradnl" w:eastAsia="es-CO"/>
              </w:rPr>
            </w:pPr>
            <w:r w:rsidRPr="00C01E7A">
              <w:rPr>
                <w:color w:val="000000"/>
                <w:sz w:val="18"/>
                <w:szCs w:val="18"/>
                <w:lang w:val="es-ES_tradnl" w:eastAsia="es-ES_tradnl"/>
              </w:rPr>
              <w:t>Capacidad tanques de almacenamiento</w:t>
            </w:r>
          </w:p>
        </w:tc>
        <w:tc>
          <w:tcPr>
            <w:tcW w:w="547" w:type="dxa"/>
            <w:tcBorders>
              <w:top w:val="single" w:sz="4" w:space="0" w:color="auto"/>
              <w:left w:val="nil"/>
              <w:bottom w:val="nil"/>
              <w:right w:val="nil"/>
            </w:tcBorders>
            <w:shd w:val="clear" w:color="auto" w:fill="FFFFFF"/>
            <w:vAlign w:val="bottom"/>
          </w:tcPr>
          <w:p w:rsidR="00C01E7A" w:rsidRPr="00C01E7A" w:rsidRDefault="00C01E7A" w:rsidP="00C01E7A">
            <w:pPr>
              <w:widowControl w:val="0"/>
              <w:spacing w:line="173" w:lineRule="exact"/>
              <w:ind w:left="0"/>
              <w:jc w:val="both"/>
              <w:rPr>
                <w:spacing w:val="10"/>
                <w:sz w:val="18"/>
                <w:szCs w:val="18"/>
                <w:lang w:val="es-ES_tradnl" w:eastAsia="es-CO"/>
              </w:rPr>
            </w:pPr>
            <w:r w:rsidRPr="00C01E7A">
              <w:rPr>
                <w:b/>
                <w:bCs/>
                <w:color w:val="000000"/>
                <w:sz w:val="18"/>
                <w:szCs w:val="18"/>
                <w:lang w:val="es-ES_tradnl" w:eastAsia="es-ES_tradnl"/>
              </w:rPr>
              <w:t xml:space="preserve">V </w:t>
            </w:r>
            <w:r w:rsidRPr="00C01E7A">
              <w:rPr>
                <w:i/>
                <w:iCs/>
                <w:color w:val="000000"/>
                <w:sz w:val="18"/>
                <w:szCs w:val="18"/>
                <w:lang w:val="es-ES_tradnl" w:eastAsia="es-ES_tradnl"/>
              </w:rPr>
              <w:t xml:space="preserve">CV </w:t>
            </w:r>
            <w:r w:rsidRPr="00C01E7A">
              <w:rPr>
                <w:b/>
                <w:bCs/>
                <w:color w:val="000000"/>
                <w:sz w:val="18"/>
                <w:szCs w:val="18"/>
                <w:lang w:val="es-ES_tradnl" w:eastAsia="es-ES_tradnl"/>
              </w:rPr>
              <w:t>&amp;</w:t>
            </w:r>
          </w:p>
        </w:tc>
        <w:tc>
          <w:tcPr>
            <w:tcW w:w="936" w:type="dxa"/>
            <w:tcBorders>
              <w:top w:val="single" w:sz="4" w:space="0" w:color="auto"/>
              <w:left w:val="single" w:sz="4" w:space="0" w:color="auto"/>
              <w:bottom w:val="nil"/>
              <w:right w:val="nil"/>
            </w:tcBorders>
            <w:shd w:val="clear" w:color="auto" w:fill="FFFFFF"/>
            <w:vAlign w:val="center"/>
          </w:tcPr>
          <w:p w:rsidR="00C01E7A" w:rsidRPr="00C01E7A" w:rsidRDefault="00C01E7A" w:rsidP="00C01E7A">
            <w:pPr>
              <w:widowControl w:val="0"/>
              <w:spacing w:line="150" w:lineRule="exact"/>
              <w:ind w:left="180"/>
              <w:rPr>
                <w:spacing w:val="10"/>
                <w:sz w:val="18"/>
                <w:szCs w:val="18"/>
                <w:lang w:val="es-ES_tradnl" w:eastAsia="es-CO"/>
              </w:rPr>
            </w:pPr>
            <w:proofErr w:type="spellStart"/>
            <w:r w:rsidRPr="00C01E7A">
              <w:rPr>
                <w:color w:val="000000"/>
                <w:sz w:val="18"/>
                <w:szCs w:val="18"/>
                <w:lang w:val="es-ES_tradnl" w:eastAsia="es-ES_tradnl"/>
              </w:rPr>
              <w:t>Cap.TEit</w:t>
            </w:r>
            <w:proofErr w:type="spellEnd"/>
          </w:p>
        </w:tc>
        <w:tc>
          <w:tcPr>
            <w:tcW w:w="943" w:type="dxa"/>
            <w:tcBorders>
              <w:top w:val="single" w:sz="4" w:space="0" w:color="auto"/>
              <w:left w:val="single" w:sz="4" w:space="0" w:color="auto"/>
              <w:bottom w:val="nil"/>
              <w:right w:val="nil"/>
            </w:tcBorders>
            <w:shd w:val="clear" w:color="auto" w:fill="FFFFFF"/>
            <w:vAlign w:val="center"/>
          </w:tcPr>
          <w:p w:rsidR="00C01E7A" w:rsidRPr="00C01E7A" w:rsidRDefault="00C01E7A" w:rsidP="00C01E7A">
            <w:pPr>
              <w:widowControl w:val="0"/>
              <w:spacing w:line="150" w:lineRule="exact"/>
              <w:ind w:left="0"/>
              <w:jc w:val="center"/>
              <w:rPr>
                <w:spacing w:val="10"/>
                <w:sz w:val="18"/>
                <w:szCs w:val="18"/>
                <w:lang w:val="es-ES_tradnl" w:eastAsia="es-CO"/>
              </w:rPr>
            </w:pPr>
            <w:r w:rsidRPr="00C01E7A">
              <w:rPr>
                <w:color w:val="000000"/>
                <w:sz w:val="18"/>
                <w:szCs w:val="18"/>
                <w:lang w:val="es-ES_tradnl" w:eastAsia="es-ES_tradnl"/>
              </w:rPr>
              <w:t>CCi.t</w:t>
            </w:r>
          </w:p>
        </w:tc>
        <w:tc>
          <w:tcPr>
            <w:tcW w:w="950" w:type="dxa"/>
            <w:tcBorders>
              <w:top w:val="single" w:sz="4" w:space="0" w:color="auto"/>
              <w:left w:val="single" w:sz="4" w:space="0" w:color="auto"/>
              <w:bottom w:val="nil"/>
              <w:right w:val="nil"/>
            </w:tcBorders>
            <w:shd w:val="clear" w:color="auto" w:fill="FFFFFF"/>
            <w:vAlign w:val="center"/>
          </w:tcPr>
          <w:p w:rsidR="00C01E7A" w:rsidRPr="00C01E7A" w:rsidRDefault="00C01E7A" w:rsidP="00C01E7A">
            <w:pPr>
              <w:widowControl w:val="0"/>
              <w:spacing w:line="150" w:lineRule="exact"/>
              <w:ind w:left="240"/>
              <w:rPr>
                <w:spacing w:val="10"/>
                <w:sz w:val="18"/>
                <w:szCs w:val="18"/>
                <w:lang w:val="es-ES_tradnl" w:eastAsia="es-CO"/>
              </w:rPr>
            </w:pPr>
            <w:proofErr w:type="spellStart"/>
            <w:r w:rsidRPr="00C01E7A">
              <w:rPr>
                <w:color w:val="000000"/>
                <w:sz w:val="18"/>
                <w:szCs w:val="18"/>
                <w:lang w:val="es-ES_tradnl" w:eastAsia="es-ES_tradnl"/>
              </w:rPr>
              <w:t>CDl.t.m</w:t>
            </w:r>
            <w:proofErr w:type="spellEnd"/>
          </w:p>
        </w:tc>
        <w:tc>
          <w:tcPr>
            <w:tcW w:w="1145" w:type="dxa"/>
            <w:tcBorders>
              <w:top w:val="single" w:sz="4" w:space="0" w:color="auto"/>
              <w:left w:val="single" w:sz="4" w:space="0" w:color="auto"/>
              <w:bottom w:val="nil"/>
              <w:right w:val="nil"/>
            </w:tcBorders>
            <w:shd w:val="clear" w:color="auto" w:fill="FFFFFF"/>
            <w:vAlign w:val="bottom"/>
          </w:tcPr>
          <w:p w:rsidR="00C01E7A" w:rsidRPr="00C01E7A" w:rsidRDefault="00C01E7A" w:rsidP="00C01E7A">
            <w:pPr>
              <w:widowControl w:val="0"/>
              <w:spacing w:line="238" w:lineRule="exact"/>
              <w:ind w:left="0"/>
              <w:jc w:val="center"/>
              <w:rPr>
                <w:spacing w:val="10"/>
                <w:sz w:val="18"/>
                <w:szCs w:val="18"/>
                <w:lang w:val="es-ES_tradnl" w:eastAsia="es-CO"/>
              </w:rPr>
            </w:pPr>
            <w:r w:rsidRPr="00C01E7A">
              <w:rPr>
                <w:color w:val="000000"/>
                <w:sz w:val="18"/>
                <w:szCs w:val="18"/>
                <w:lang w:val="en-US" w:eastAsia="en-US"/>
              </w:rPr>
              <w:t xml:space="preserve">CD </w:t>
            </w:r>
            <w:r w:rsidRPr="00C01E7A">
              <w:rPr>
                <w:color w:val="000000"/>
                <w:sz w:val="18"/>
                <w:szCs w:val="18"/>
                <w:lang w:val="es-ES_tradnl" w:eastAsia="es-ES_tradnl"/>
              </w:rPr>
              <w:t>en galones Semestre</w:t>
            </w:r>
          </w:p>
        </w:tc>
        <w:tc>
          <w:tcPr>
            <w:tcW w:w="1368" w:type="dxa"/>
            <w:tcBorders>
              <w:top w:val="single" w:sz="4" w:space="0" w:color="auto"/>
              <w:left w:val="single" w:sz="4" w:space="0" w:color="auto"/>
              <w:bottom w:val="nil"/>
              <w:right w:val="single" w:sz="4" w:space="0" w:color="auto"/>
            </w:tcBorders>
            <w:shd w:val="clear" w:color="auto" w:fill="FFFFFF"/>
            <w:vAlign w:val="bottom"/>
          </w:tcPr>
          <w:p w:rsidR="00C01E7A" w:rsidRPr="00C01E7A" w:rsidRDefault="00C01E7A" w:rsidP="00C01E7A">
            <w:pPr>
              <w:widowControl w:val="0"/>
              <w:spacing w:line="245" w:lineRule="exact"/>
              <w:ind w:left="0"/>
              <w:jc w:val="center"/>
              <w:rPr>
                <w:spacing w:val="10"/>
                <w:sz w:val="18"/>
                <w:szCs w:val="18"/>
                <w:lang w:val="es-ES_tradnl" w:eastAsia="es-CO"/>
              </w:rPr>
            </w:pPr>
            <w:r w:rsidRPr="00C01E7A">
              <w:rPr>
                <w:color w:val="000000"/>
                <w:sz w:val="18"/>
                <w:szCs w:val="18"/>
                <w:lang w:val="en-US" w:eastAsia="en-US"/>
              </w:rPr>
              <w:t xml:space="preserve">CD </w:t>
            </w:r>
            <w:r w:rsidRPr="00C01E7A">
              <w:rPr>
                <w:color w:val="000000"/>
                <w:sz w:val="18"/>
                <w:szCs w:val="18"/>
                <w:lang w:val="es-ES_tradnl" w:eastAsia="es-ES_tradnl"/>
              </w:rPr>
              <w:t>Mensual en galones</w:t>
            </w:r>
          </w:p>
        </w:tc>
      </w:tr>
      <w:tr w:rsidR="00C01E7A" w:rsidRPr="00C01E7A" w:rsidTr="00C01E7A">
        <w:trPr>
          <w:trHeight w:hRule="exact" w:val="526"/>
          <w:jc w:val="center"/>
        </w:trPr>
        <w:tc>
          <w:tcPr>
            <w:tcW w:w="1426" w:type="dxa"/>
            <w:tcBorders>
              <w:top w:val="single" w:sz="4" w:space="0" w:color="auto"/>
              <w:left w:val="single" w:sz="4" w:space="0" w:color="auto"/>
              <w:bottom w:val="single" w:sz="4" w:space="0" w:color="auto"/>
              <w:right w:val="nil"/>
            </w:tcBorders>
            <w:shd w:val="clear" w:color="auto" w:fill="FFFFFF"/>
            <w:vAlign w:val="center"/>
          </w:tcPr>
          <w:p w:rsidR="00C01E7A" w:rsidRPr="00C01E7A" w:rsidRDefault="00C01E7A" w:rsidP="00C01E7A">
            <w:pPr>
              <w:widowControl w:val="0"/>
              <w:spacing w:line="150" w:lineRule="exact"/>
              <w:ind w:left="0"/>
              <w:jc w:val="center"/>
              <w:rPr>
                <w:spacing w:val="10"/>
                <w:sz w:val="18"/>
                <w:szCs w:val="18"/>
                <w:lang w:val="es-ES_tradnl" w:eastAsia="es-CO"/>
              </w:rPr>
            </w:pPr>
            <w:r w:rsidRPr="00C01E7A">
              <w:rPr>
                <w:color w:val="000000"/>
                <w:sz w:val="18"/>
                <w:szCs w:val="18"/>
                <w:lang w:val="es-ES_tradnl" w:eastAsia="es-ES_tradnl"/>
              </w:rPr>
              <w:t xml:space="preserve">Reporte según </w:t>
            </w:r>
            <w:r w:rsidRPr="00C01E7A">
              <w:rPr>
                <w:color w:val="000000"/>
                <w:sz w:val="18"/>
                <w:szCs w:val="18"/>
                <w:lang w:val="en-US" w:eastAsia="en-US"/>
              </w:rPr>
              <w:t>075</w:t>
            </w:r>
          </w:p>
        </w:tc>
        <w:tc>
          <w:tcPr>
            <w:tcW w:w="1462" w:type="dxa"/>
            <w:tcBorders>
              <w:top w:val="single" w:sz="4" w:space="0" w:color="auto"/>
              <w:left w:val="single" w:sz="4" w:space="0" w:color="auto"/>
              <w:bottom w:val="single" w:sz="4" w:space="0" w:color="auto"/>
              <w:right w:val="nil"/>
            </w:tcBorders>
            <w:shd w:val="clear" w:color="auto" w:fill="FFFFFF"/>
            <w:vAlign w:val="center"/>
          </w:tcPr>
          <w:p w:rsidR="00C01E7A" w:rsidRPr="00C01E7A" w:rsidRDefault="00C01E7A" w:rsidP="00C01E7A">
            <w:pPr>
              <w:widowControl w:val="0"/>
              <w:spacing w:line="150" w:lineRule="exact"/>
              <w:ind w:left="800"/>
              <w:rPr>
                <w:spacing w:val="10"/>
                <w:sz w:val="18"/>
                <w:szCs w:val="18"/>
                <w:lang w:val="es-ES_tradnl" w:eastAsia="es-CO"/>
              </w:rPr>
            </w:pPr>
            <w:r w:rsidRPr="00C01E7A">
              <w:rPr>
                <w:color w:val="000000"/>
                <w:sz w:val="18"/>
                <w:szCs w:val="18"/>
                <w:lang w:val="es-ES_tradnl" w:eastAsia="es-ES_tradnl"/>
              </w:rPr>
              <w:t>54559</w:t>
            </w:r>
          </w:p>
        </w:tc>
        <w:tc>
          <w:tcPr>
            <w:tcW w:w="547" w:type="dxa"/>
            <w:tcBorders>
              <w:top w:val="single" w:sz="4" w:space="0" w:color="auto"/>
              <w:left w:val="nil"/>
              <w:bottom w:val="single" w:sz="4" w:space="0" w:color="auto"/>
              <w:right w:val="nil"/>
            </w:tcBorders>
            <w:shd w:val="clear" w:color="auto" w:fill="FFFFFF"/>
          </w:tcPr>
          <w:p w:rsidR="00C01E7A" w:rsidRPr="00C01E7A" w:rsidRDefault="00C01E7A" w:rsidP="00C01E7A">
            <w:pPr>
              <w:widowControl w:val="0"/>
              <w:ind w:left="0"/>
              <w:rPr>
                <w:sz w:val="18"/>
                <w:szCs w:val="18"/>
                <w:lang w:val="es-ES_tradnl" w:eastAsia="es-CO"/>
              </w:rPr>
            </w:pPr>
          </w:p>
        </w:tc>
        <w:tc>
          <w:tcPr>
            <w:tcW w:w="936" w:type="dxa"/>
            <w:tcBorders>
              <w:top w:val="single" w:sz="4" w:space="0" w:color="auto"/>
              <w:left w:val="single" w:sz="4" w:space="0" w:color="auto"/>
              <w:bottom w:val="single" w:sz="4" w:space="0" w:color="auto"/>
              <w:right w:val="nil"/>
            </w:tcBorders>
            <w:shd w:val="clear" w:color="auto" w:fill="FFFFFF"/>
            <w:vAlign w:val="center"/>
          </w:tcPr>
          <w:p w:rsidR="00C01E7A" w:rsidRPr="00C01E7A" w:rsidRDefault="00C01E7A" w:rsidP="00C01E7A">
            <w:pPr>
              <w:widowControl w:val="0"/>
              <w:spacing w:line="150" w:lineRule="exact"/>
              <w:ind w:left="180"/>
              <w:rPr>
                <w:spacing w:val="10"/>
                <w:sz w:val="18"/>
                <w:szCs w:val="18"/>
                <w:lang w:val="es-ES_tradnl" w:eastAsia="es-CO"/>
              </w:rPr>
            </w:pPr>
            <w:r w:rsidRPr="00C01E7A">
              <w:rPr>
                <w:color w:val="000000"/>
                <w:sz w:val="18"/>
                <w:szCs w:val="18"/>
                <w:lang w:val="es-ES_tradnl" w:eastAsia="es-ES_tradnl"/>
              </w:rPr>
              <w:t>687443.4</w:t>
            </w:r>
          </w:p>
        </w:tc>
        <w:tc>
          <w:tcPr>
            <w:tcW w:w="943" w:type="dxa"/>
            <w:tcBorders>
              <w:top w:val="single" w:sz="4" w:space="0" w:color="auto"/>
              <w:left w:val="single" w:sz="4" w:space="0" w:color="auto"/>
              <w:bottom w:val="single" w:sz="4" w:space="0" w:color="auto"/>
              <w:right w:val="nil"/>
            </w:tcBorders>
            <w:shd w:val="clear" w:color="auto" w:fill="FFFFFF"/>
            <w:vAlign w:val="center"/>
          </w:tcPr>
          <w:p w:rsidR="00C01E7A" w:rsidRPr="00C01E7A" w:rsidRDefault="00C01E7A" w:rsidP="00C01E7A">
            <w:pPr>
              <w:widowControl w:val="0"/>
              <w:spacing w:line="150" w:lineRule="exact"/>
              <w:ind w:left="0"/>
              <w:jc w:val="center"/>
              <w:rPr>
                <w:spacing w:val="10"/>
                <w:sz w:val="18"/>
                <w:szCs w:val="18"/>
                <w:lang w:val="es-ES_tradnl" w:eastAsia="es-CO"/>
              </w:rPr>
            </w:pPr>
            <w:r w:rsidRPr="00C01E7A">
              <w:rPr>
                <w:color w:val="000000"/>
                <w:sz w:val="18"/>
                <w:szCs w:val="18"/>
                <w:lang w:val="es-ES_tradnl" w:eastAsia="es-ES_tradnl"/>
              </w:rPr>
              <w:t>181141</w:t>
            </w:r>
          </w:p>
        </w:tc>
        <w:tc>
          <w:tcPr>
            <w:tcW w:w="950" w:type="dxa"/>
            <w:tcBorders>
              <w:top w:val="single" w:sz="4" w:space="0" w:color="auto"/>
              <w:left w:val="single" w:sz="4" w:space="0" w:color="auto"/>
              <w:bottom w:val="single" w:sz="4" w:space="0" w:color="auto"/>
              <w:right w:val="nil"/>
            </w:tcBorders>
            <w:shd w:val="clear" w:color="auto" w:fill="FFFFFF"/>
            <w:vAlign w:val="center"/>
          </w:tcPr>
          <w:p w:rsidR="00C01E7A" w:rsidRPr="00C01E7A" w:rsidRDefault="00C01E7A" w:rsidP="00C01E7A">
            <w:pPr>
              <w:widowControl w:val="0"/>
              <w:spacing w:line="150" w:lineRule="exact"/>
              <w:ind w:left="0" w:right="220"/>
              <w:jc w:val="right"/>
              <w:rPr>
                <w:spacing w:val="10"/>
                <w:sz w:val="18"/>
                <w:szCs w:val="18"/>
                <w:lang w:val="es-ES_tradnl" w:eastAsia="es-CO"/>
              </w:rPr>
            </w:pPr>
            <w:r w:rsidRPr="00C01E7A">
              <w:rPr>
                <w:color w:val="000000"/>
                <w:sz w:val="18"/>
                <w:szCs w:val="18"/>
                <w:lang w:val="es-ES_tradnl" w:eastAsia="es-ES_tradnl"/>
              </w:rPr>
              <w:t>181141</w:t>
            </w:r>
          </w:p>
        </w:tc>
        <w:tc>
          <w:tcPr>
            <w:tcW w:w="1145" w:type="dxa"/>
            <w:tcBorders>
              <w:top w:val="single" w:sz="4" w:space="0" w:color="auto"/>
              <w:left w:val="single" w:sz="4" w:space="0" w:color="auto"/>
              <w:bottom w:val="single" w:sz="4" w:space="0" w:color="auto"/>
              <w:right w:val="nil"/>
            </w:tcBorders>
            <w:shd w:val="clear" w:color="auto" w:fill="FFFFFF"/>
            <w:vAlign w:val="center"/>
          </w:tcPr>
          <w:p w:rsidR="00C01E7A" w:rsidRPr="00C01E7A" w:rsidRDefault="00C01E7A" w:rsidP="00C01E7A">
            <w:pPr>
              <w:widowControl w:val="0"/>
              <w:spacing w:line="150" w:lineRule="exact"/>
              <w:ind w:left="0"/>
              <w:jc w:val="center"/>
              <w:rPr>
                <w:spacing w:val="10"/>
                <w:sz w:val="18"/>
                <w:szCs w:val="18"/>
                <w:lang w:val="es-ES_tradnl" w:eastAsia="es-CO"/>
              </w:rPr>
            </w:pPr>
            <w:r w:rsidRPr="00C01E7A">
              <w:rPr>
                <w:color w:val="000000"/>
                <w:sz w:val="18"/>
                <w:szCs w:val="18"/>
                <w:lang w:val="es-ES_tradnl" w:eastAsia="es-ES_tradnl"/>
              </w:rPr>
              <w:t>86258</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C01E7A" w:rsidRPr="00C01E7A" w:rsidRDefault="00C01E7A" w:rsidP="00C01E7A">
            <w:pPr>
              <w:widowControl w:val="0"/>
              <w:spacing w:line="200" w:lineRule="exact"/>
              <w:ind w:left="0" w:right="100"/>
              <w:jc w:val="right"/>
              <w:rPr>
                <w:spacing w:val="10"/>
                <w:sz w:val="18"/>
                <w:szCs w:val="18"/>
                <w:lang w:val="es-ES_tradnl" w:eastAsia="es-CO"/>
              </w:rPr>
            </w:pPr>
            <w:r w:rsidRPr="00C01E7A">
              <w:rPr>
                <w:b/>
                <w:bCs/>
                <w:color w:val="000000"/>
                <w:sz w:val="18"/>
                <w:szCs w:val="18"/>
                <w:lang w:val="es-ES_tradnl" w:eastAsia="es-ES_tradnl"/>
              </w:rPr>
              <w:t>14,376</w:t>
            </w:r>
          </w:p>
        </w:tc>
      </w:tr>
    </w:tbl>
    <w:p w:rsidR="002706C7" w:rsidRDefault="002706C7" w:rsidP="00D24859">
      <w:pPr>
        <w:ind w:left="284" w:right="284"/>
        <w:jc w:val="both"/>
        <w:rPr>
          <w:rFonts w:ascii="Bookman Old Style" w:hAnsi="Bookman Old Style" w:cs="Arial"/>
          <w:i/>
          <w:sz w:val="22"/>
          <w:szCs w:val="22"/>
        </w:rPr>
      </w:pPr>
    </w:p>
    <w:p w:rsidR="00C01E7A" w:rsidRDefault="00C01E7A" w:rsidP="00C01E7A">
      <w:pPr>
        <w:ind w:left="284" w:right="284"/>
        <w:jc w:val="both"/>
        <w:rPr>
          <w:rFonts w:ascii="Bookman Old Style" w:hAnsi="Bookman Old Style" w:cs="Arial"/>
          <w:i/>
          <w:sz w:val="22"/>
          <w:szCs w:val="22"/>
        </w:rPr>
      </w:pPr>
      <w:r w:rsidRPr="00C01E7A">
        <w:rPr>
          <w:rFonts w:ascii="Bookman Old Style" w:hAnsi="Bookman Old Style" w:cs="Arial"/>
          <w:i/>
          <w:sz w:val="22"/>
          <w:szCs w:val="22"/>
        </w:rPr>
        <w:t>Según la norma, la compañía solo tien</w:t>
      </w:r>
      <w:r>
        <w:rPr>
          <w:rFonts w:ascii="Bookman Old Style" w:hAnsi="Bookman Old Style" w:cs="Arial"/>
          <w:i/>
          <w:sz w:val="22"/>
          <w:szCs w:val="22"/>
        </w:rPr>
        <w:t xml:space="preserve">e como capacidad de compra la </w:t>
      </w:r>
      <w:r w:rsidRPr="00C01E7A">
        <w:rPr>
          <w:rFonts w:ascii="Bookman Old Style" w:hAnsi="Bookman Old Style" w:cs="Arial"/>
          <w:i/>
          <w:sz w:val="22"/>
          <w:szCs w:val="22"/>
        </w:rPr>
        <w:t>disponibilidad de 181.141 Kg, lo que equivale mensualmente a 14.376 gales, que</w:t>
      </w:r>
      <w:r>
        <w:rPr>
          <w:rFonts w:ascii="Bookman Old Style" w:hAnsi="Bookman Old Style" w:cs="Arial"/>
          <w:i/>
          <w:sz w:val="22"/>
          <w:szCs w:val="22"/>
        </w:rPr>
        <w:t xml:space="preserve"> </w:t>
      </w:r>
      <w:r w:rsidRPr="00C01E7A">
        <w:rPr>
          <w:rFonts w:ascii="Bookman Old Style" w:hAnsi="Bookman Old Style" w:cs="Arial"/>
          <w:i/>
          <w:sz w:val="22"/>
          <w:szCs w:val="22"/>
        </w:rPr>
        <w:t xml:space="preserve">en la realidad </w:t>
      </w:r>
      <w:r w:rsidRPr="00C01E7A">
        <w:rPr>
          <w:rFonts w:ascii="Bookman Old Style" w:hAnsi="Bookman Old Style" w:cs="Arial"/>
          <w:i/>
          <w:sz w:val="22"/>
          <w:szCs w:val="22"/>
        </w:rPr>
        <w:lastRenderedPageBreak/>
        <w:t>según el último trimestre de consumo en facturación reportada al</w:t>
      </w:r>
      <w:r>
        <w:rPr>
          <w:rFonts w:ascii="Bookman Old Style" w:hAnsi="Bookman Old Style" w:cs="Arial"/>
          <w:i/>
          <w:sz w:val="22"/>
          <w:szCs w:val="22"/>
        </w:rPr>
        <w:t xml:space="preserve"> </w:t>
      </w:r>
      <w:r w:rsidRPr="00C01E7A">
        <w:rPr>
          <w:rFonts w:ascii="Bookman Old Style" w:hAnsi="Bookman Old Style" w:cs="Arial"/>
          <w:i/>
          <w:sz w:val="22"/>
          <w:szCs w:val="22"/>
        </w:rPr>
        <w:t xml:space="preserve">SUI, de acuerdo a la Circular SSPD - CREG No. 001 de 2005, el promedio es de 70.000 </w:t>
      </w:r>
      <w:proofErr w:type="gramStart"/>
      <w:r w:rsidRPr="00C01E7A">
        <w:rPr>
          <w:rFonts w:ascii="Bookman Old Style" w:hAnsi="Bookman Old Style" w:cs="Arial"/>
          <w:i/>
          <w:sz w:val="22"/>
          <w:szCs w:val="22"/>
        </w:rPr>
        <w:t>gal</w:t>
      </w:r>
      <w:proofErr w:type="gramEnd"/>
      <w:r w:rsidRPr="00C01E7A">
        <w:rPr>
          <w:rFonts w:ascii="Bookman Old Style" w:hAnsi="Bookman Old Style" w:cs="Arial"/>
          <w:i/>
          <w:sz w:val="22"/>
          <w:szCs w:val="22"/>
        </w:rPr>
        <w:t>.</w:t>
      </w:r>
    </w:p>
    <w:p w:rsidR="00C01E7A" w:rsidRPr="00C01E7A" w:rsidRDefault="00C01E7A" w:rsidP="00C01E7A">
      <w:pPr>
        <w:ind w:left="284" w:right="284"/>
        <w:jc w:val="both"/>
        <w:rPr>
          <w:rFonts w:ascii="Bookman Old Style" w:hAnsi="Bookman Old Style" w:cs="Arial"/>
          <w:i/>
          <w:sz w:val="22"/>
          <w:szCs w:val="22"/>
        </w:rPr>
      </w:pPr>
    </w:p>
    <w:p w:rsidR="002706C7" w:rsidRDefault="00C01E7A" w:rsidP="00C01E7A">
      <w:pPr>
        <w:ind w:left="284" w:right="284"/>
        <w:jc w:val="both"/>
        <w:rPr>
          <w:rFonts w:ascii="Bookman Old Style" w:hAnsi="Bookman Old Style" w:cs="Arial"/>
          <w:i/>
          <w:sz w:val="22"/>
          <w:szCs w:val="22"/>
        </w:rPr>
      </w:pPr>
      <w:r w:rsidRPr="00C01E7A">
        <w:rPr>
          <w:rFonts w:ascii="Bookman Old Style" w:hAnsi="Bookman Old Style" w:cs="Arial"/>
          <w:i/>
          <w:sz w:val="22"/>
          <w:szCs w:val="22"/>
        </w:rPr>
        <w:t xml:space="preserve">Aplicando la formula con la información reportada al SUI en facturación del mes de abril de 2016 que presento un consumo de GLP de 73.365 m3 equivalente a 71.611 </w:t>
      </w:r>
      <w:proofErr w:type="gramStart"/>
      <w:r w:rsidRPr="00C01E7A">
        <w:rPr>
          <w:rFonts w:ascii="Bookman Old Style" w:hAnsi="Bookman Old Style" w:cs="Arial"/>
          <w:i/>
          <w:sz w:val="22"/>
          <w:szCs w:val="22"/>
        </w:rPr>
        <w:t>gal</w:t>
      </w:r>
      <w:proofErr w:type="gramEnd"/>
      <w:r w:rsidRPr="00C01E7A">
        <w:rPr>
          <w:rFonts w:ascii="Bookman Old Style" w:hAnsi="Bookman Old Style" w:cs="Arial"/>
          <w:i/>
          <w:sz w:val="22"/>
          <w:szCs w:val="22"/>
        </w:rPr>
        <w:t>, la capacidad disponible de compra es de 18.754 gal promedio mensual, tan solo llegando al 26.3% del consumo real de dicho mes, según la formula aplicada:</w:t>
      </w:r>
    </w:p>
    <w:p w:rsidR="00C01E7A" w:rsidRDefault="00C01E7A" w:rsidP="00C01E7A">
      <w:pPr>
        <w:ind w:left="284" w:right="284"/>
        <w:jc w:val="both"/>
        <w:rPr>
          <w:rFonts w:ascii="Bookman Old Style" w:hAnsi="Bookman Old Style" w:cs="Arial"/>
          <w:i/>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1433"/>
        <w:gridCol w:w="2009"/>
        <w:gridCol w:w="943"/>
        <w:gridCol w:w="943"/>
        <w:gridCol w:w="950"/>
        <w:gridCol w:w="1145"/>
        <w:gridCol w:w="1375"/>
      </w:tblGrid>
      <w:tr w:rsidR="00C01E7A" w:rsidRPr="003075FD" w:rsidTr="00C01E7A">
        <w:trPr>
          <w:trHeight w:hRule="exact" w:val="511"/>
          <w:jc w:val="center"/>
        </w:trPr>
        <w:tc>
          <w:tcPr>
            <w:tcW w:w="1433" w:type="dxa"/>
            <w:tcBorders>
              <w:top w:val="single" w:sz="4" w:space="0" w:color="auto"/>
              <w:left w:val="single" w:sz="4" w:space="0" w:color="auto"/>
              <w:bottom w:val="nil"/>
              <w:right w:val="nil"/>
            </w:tcBorders>
            <w:shd w:val="clear" w:color="auto" w:fill="FFFFFF"/>
            <w:vAlign w:val="center"/>
          </w:tcPr>
          <w:p w:rsidR="00C01E7A" w:rsidRPr="003075FD" w:rsidRDefault="00C01E7A" w:rsidP="00C01E7A">
            <w:pPr>
              <w:widowControl w:val="0"/>
              <w:spacing w:line="150" w:lineRule="exact"/>
              <w:ind w:left="0"/>
              <w:jc w:val="center"/>
              <w:rPr>
                <w:rFonts w:ascii="Bookman Old Style" w:hAnsi="Bookman Old Style"/>
                <w:spacing w:val="10"/>
                <w:sz w:val="18"/>
                <w:szCs w:val="18"/>
                <w:lang w:val="es-ES_tradnl" w:eastAsia="es-CO"/>
              </w:rPr>
            </w:pPr>
            <w:r w:rsidRPr="003075FD">
              <w:rPr>
                <w:rFonts w:ascii="Bookman Old Style" w:hAnsi="Bookman Old Style"/>
                <w:color w:val="000000"/>
                <w:sz w:val="18"/>
                <w:szCs w:val="18"/>
                <w:lang w:val="es-ES_tradnl" w:eastAsia="es-ES_tradnl"/>
              </w:rPr>
              <w:t>Escenarios</w:t>
            </w:r>
          </w:p>
        </w:tc>
        <w:tc>
          <w:tcPr>
            <w:tcW w:w="2009" w:type="dxa"/>
            <w:tcBorders>
              <w:top w:val="single" w:sz="4" w:space="0" w:color="auto"/>
              <w:left w:val="single" w:sz="4" w:space="0" w:color="auto"/>
              <w:bottom w:val="nil"/>
              <w:right w:val="nil"/>
            </w:tcBorders>
            <w:shd w:val="clear" w:color="auto" w:fill="FFFFFF"/>
          </w:tcPr>
          <w:p w:rsidR="00C01E7A" w:rsidRPr="003075FD" w:rsidRDefault="00C01E7A" w:rsidP="00C01E7A">
            <w:pPr>
              <w:widowControl w:val="0"/>
              <w:spacing w:line="180" w:lineRule="exact"/>
              <w:ind w:left="0"/>
              <w:jc w:val="both"/>
              <w:rPr>
                <w:rFonts w:ascii="Bookman Old Style" w:hAnsi="Bookman Old Style"/>
                <w:spacing w:val="10"/>
                <w:sz w:val="18"/>
                <w:szCs w:val="18"/>
                <w:lang w:val="es-ES_tradnl" w:eastAsia="es-CO"/>
              </w:rPr>
            </w:pPr>
            <w:r w:rsidRPr="003075FD">
              <w:rPr>
                <w:rFonts w:ascii="Bookman Old Style" w:hAnsi="Bookman Old Style"/>
                <w:color w:val="000000"/>
                <w:sz w:val="18"/>
                <w:szCs w:val="18"/>
                <w:lang w:val="es-ES_tradnl" w:eastAsia="es-ES_tradnl"/>
              </w:rPr>
              <w:t xml:space="preserve">Capacidad tanques de </w:t>
            </w:r>
            <w:proofErr w:type="spellStart"/>
            <w:r w:rsidRPr="003075FD">
              <w:rPr>
                <w:rFonts w:ascii="Bookman Old Style" w:hAnsi="Bookman Old Style"/>
                <w:color w:val="000000"/>
                <w:sz w:val="18"/>
                <w:szCs w:val="18"/>
                <w:lang w:val="es-ES_tradnl" w:eastAsia="es-ES_tradnl"/>
              </w:rPr>
              <w:t>V</w:t>
            </w:r>
            <w:r w:rsidRPr="003075FD">
              <w:rPr>
                <w:rFonts w:ascii="Bookman Old Style" w:hAnsi="Bookman Old Style"/>
                <w:color w:val="000000"/>
                <w:sz w:val="18"/>
                <w:szCs w:val="18"/>
                <w:vertAlign w:val="subscript"/>
                <w:lang w:val="es-ES_tradnl" w:eastAsia="es-ES_tradnl"/>
              </w:rPr>
              <w:t>C</w:t>
            </w:r>
            <w:r w:rsidRPr="003075FD">
              <w:rPr>
                <w:rFonts w:ascii="Bookman Old Style" w:hAnsi="Bookman Old Style"/>
                <w:color w:val="000000"/>
                <w:sz w:val="18"/>
                <w:szCs w:val="18"/>
                <w:lang w:val="es-ES_tradnl" w:eastAsia="es-ES_tradnl"/>
              </w:rPr>
              <w:t>i</w:t>
            </w:r>
            <w:proofErr w:type="spellEnd"/>
            <w:r w:rsidRPr="003075FD">
              <w:rPr>
                <w:rFonts w:ascii="Bookman Old Style" w:hAnsi="Bookman Old Style"/>
                <w:color w:val="000000"/>
                <w:sz w:val="18"/>
                <w:szCs w:val="18"/>
                <w:lang w:val="es-ES_tradnl" w:eastAsia="es-ES_tradnl"/>
              </w:rPr>
              <w:t>/ almacenamiento</w:t>
            </w:r>
          </w:p>
        </w:tc>
        <w:tc>
          <w:tcPr>
            <w:tcW w:w="943" w:type="dxa"/>
            <w:tcBorders>
              <w:top w:val="single" w:sz="4" w:space="0" w:color="auto"/>
              <w:left w:val="single" w:sz="4" w:space="0" w:color="auto"/>
              <w:bottom w:val="nil"/>
              <w:right w:val="nil"/>
            </w:tcBorders>
            <w:shd w:val="clear" w:color="auto" w:fill="FFFFFF"/>
            <w:vAlign w:val="center"/>
          </w:tcPr>
          <w:p w:rsidR="00C01E7A" w:rsidRPr="003075FD" w:rsidRDefault="00C01E7A" w:rsidP="00C01E7A">
            <w:pPr>
              <w:widowControl w:val="0"/>
              <w:spacing w:line="150" w:lineRule="exact"/>
              <w:ind w:left="180"/>
              <w:rPr>
                <w:rFonts w:ascii="Bookman Old Style" w:hAnsi="Bookman Old Style"/>
                <w:spacing w:val="10"/>
                <w:sz w:val="18"/>
                <w:szCs w:val="18"/>
                <w:lang w:val="es-ES_tradnl" w:eastAsia="es-CO"/>
              </w:rPr>
            </w:pPr>
            <w:proofErr w:type="spellStart"/>
            <w:r w:rsidRPr="003075FD">
              <w:rPr>
                <w:rFonts w:ascii="Bookman Old Style" w:hAnsi="Bookman Old Style"/>
                <w:color w:val="000000"/>
                <w:sz w:val="18"/>
                <w:szCs w:val="18"/>
                <w:lang w:val="es-ES_tradnl" w:eastAsia="es-ES_tradnl"/>
              </w:rPr>
              <w:t>Cap.TEit</w:t>
            </w:r>
            <w:proofErr w:type="spellEnd"/>
          </w:p>
        </w:tc>
        <w:tc>
          <w:tcPr>
            <w:tcW w:w="943" w:type="dxa"/>
            <w:tcBorders>
              <w:top w:val="single" w:sz="4" w:space="0" w:color="auto"/>
              <w:left w:val="single" w:sz="4" w:space="0" w:color="auto"/>
              <w:bottom w:val="nil"/>
              <w:right w:val="nil"/>
            </w:tcBorders>
            <w:shd w:val="clear" w:color="auto" w:fill="FFFFFF"/>
            <w:vAlign w:val="center"/>
          </w:tcPr>
          <w:p w:rsidR="00C01E7A" w:rsidRPr="003075FD" w:rsidRDefault="00C01E7A" w:rsidP="00C01E7A">
            <w:pPr>
              <w:widowControl w:val="0"/>
              <w:spacing w:line="150" w:lineRule="exact"/>
              <w:ind w:left="0"/>
              <w:jc w:val="center"/>
              <w:rPr>
                <w:rFonts w:ascii="Bookman Old Style" w:hAnsi="Bookman Old Style"/>
                <w:spacing w:val="10"/>
                <w:sz w:val="18"/>
                <w:szCs w:val="18"/>
                <w:lang w:val="es-ES_tradnl" w:eastAsia="es-CO"/>
              </w:rPr>
            </w:pPr>
            <w:r w:rsidRPr="003075FD">
              <w:rPr>
                <w:rFonts w:ascii="Bookman Old Style" w:hAnsi="Bookman Old Style"/>
                <w:color w:val="000000"/>
                <w:sz w:val="18"/>
                <w:szCs w:val="18"/>
                <w:lang w:val="es-ES_tradnl" w:eastAsia="es-ES_tradnl"/>
              </w:rPr>
              <w:t>CCI.t</w:t>
            </w:r>
          </w:p>
        </w:tc>
        <w:tc>
          <w:tcPr>
            <w:tcW w:w="950" w:type="dxa"/>
            <w:tcBorders>
              <w:top w:val="single" w:sz="4" w:space="0" w:color="auto"/>
              <w:left w:val="single" w:sz="4" w:space="0" w:color="auto"/>
              <w:bottom w:val="nil"/>
              <w:right w:val="nil"/>
            </w:tcBorders>
            <w:shd w:val="clear" w:color="auto" w:fill="FFFFFF"/>
            <w:vAlign w:val="center"/>
          </w:tcPr>
          <w:p w:rsidR="00C01E7A" w:rsidRPr="003075FD" w:rsidRDefault="00C01E7A" w:rsidP="00C01E7A">
            <w:pPr>
              <w:widowControl w:val="0"/>
              <w:spacing w:line="150" w:lineRule="exact"/>
              <w:ind w:left="240"/>
              <w:rPr>
                <w:rFonts w:ascii="Bookman Old Style" w:hAnsi="Bookman Old Style"/>
                <w:spacing w:val="10"/>
                <w:sz w:val="18"/>
                <w:szCs w:val="18"/>
                <w:lang w:val="es-ES_tradnl" w:eastAsia="es-CO"/>
              </w:rPr>
            </w:pPr>
            <w:proofErr w:type="spellStart"/>
            <w:r w:rsidRPr="003075FD">
              <w:rPr>
                <w:rFonts w:ascii="Bookman Old Style" w:hAnsi="Bookman Old Style"/>
                <w:color w:val="000000"/>
                <w:sz w:val="18"/>
                <w:szCs w:val="18"/>
                <w:lang w:val="es-ES_tradnl" w:eastAsia="es-ES_tradnl"/>
              </w:rPr>
              <w:t>CDl.t.m</w:t>
            </w:r>
            <w:proofErr w:type="spellEnd"/>
          </w:p>
        </w:tc>
        <w:tc>
          <w:tcPr>
            <w:tcW w:w="1145" w:type="dxa"/>
            <w:tcBorders>
              <w:top w:val="single" w:sz="4" w:space="0" w:color="auto"/>
              <w:left w:val="single" w:sz="4" w:space="0" w:color="auto"/>
              <w:bottom w:val="nil"/>
              <w:right w:val="nil"/>
            </w:tcBorders>
            <w:shd w:val="clear" w:color="auto" w:fill="FFFFFF"/>
            <w:vAlign w:val="bottom"/>
          </w:tcPr>
          <w:p w:rsidR="00C01E7A" w:rsidRPr="003075FD" w:rsidRDefault="00C01E7A" w:rsidP="00C01E7A">
            <w:pPr>
              <w:widowControl w:val="0"/>
              <w:spacing w:line="238" w:lineRule="exact"/>
              <w:ind w:left="0"/>
              <w:jc w:val="center"/>
              <w:rPr>
                <w:rFonts w:ascii="Bookman Old Style" w:hAnsi="Bookman Old Style"/>
                <w:spacing w:val="10"/>
                <w:sz w:val="18"/>
                <w:szCs w:val="18"/>
                <w:lang w:val="es-ES_tradnl" w:eastAsia="es-CO"/>
              </w:rPr>
            </w:pPr>
            <w:r w:rsidRPr="003075FD">
              <w:rPr>
                <w:rFonts w:ascii="Bookman Old Style" w:hAnsi="Bookman Old Style"/>
                <w:color w:val="000000"/>
                <w:sz w:val="18"/>
                <w:szCs w:val="18"/>
                <w:lang w:val="en-US" w:eastAsia="en-US"/>
              </w:rPr>
              <w:t xml:space="preserve">CD </w:t>
            </w:r>
            <w:r w:rsidRPr="003075FD">
              <w:rPr>
                <w:rFonts w:ascii="Bookman Old Style" w:hAnsi="Bookman Old Style"/>
                <w:color w:val="000000"/>
                <w:sz w:val="18"/>
                <w:szCs w:val="18"/>
                <w:lang w:val="es-ES_tradnl" w:eastAsia="es-ES_tradnl"/>
              </w:rPr>
              <w:t>en galones Semestre</w:t>
            </w:r>
          </w:p>
        </w:tc>
        <w:tc>
          <w:tcPr>
            <w:tcW w:w="1375" w:type="dxa"/>
            <w:tcBorders>
              <w:top w:val="single" w:sz="4" w:space="0" w:color="auto"/>
              <w:left w:val="single" w:sz="4" w:space="0" w:color="auto"/>
              <w:bottom w:val="nil"/>
              <w:right w:val="single" w:sz="4" w:space="0" w:color="auto"/>
            </w:tcBorders>
            <w:shd w:val="clear" w:color="auto" w:fill="FFFFFF"/>
            <w:vAlign w:val="bottom"/>
          </w:tcPr>
          <w:p w:rsidR="00C01E7A" w:rsidRPr="003075FD" w:rsidRDefault="00C01E7A" w:rsidP="00C01E7A">
            <w:pPr>
              <w:widowControl w:val="0"/>
              <w:spacing w:line="238" w:lineRule="exact"/>
              <w:ind w:left="0"/>
              <w:jc w:val="center"/>
              <w:rPr>
                <w:rFonts w:ascii="Bookman Old Style" w:hAnsi="Bookman Old Style"/>
                <w:spacing w:val="10"/>
                <w:sz w:val="18"/>
                <w:szCs w:val="18"/>
                <w:lang w:val="es-ES_tradnl" w:eastAsia="es-CO"/>
              </w:rPr>
            </w:pPr>
            <w:r w:rsidRPr="003075FD">
              <w:rPr>
                <w:rFonts w:ascii="Bookman Old Style" w:hAnsi="Bookman Old Style"/>
                <w:color w:val="000000"/>
                <w:sz w:val="18"/>
                <w:szCs w:val="18"/>
                <w:lang w:val="en-US" w:eastAsia="en-US"/>
              </w:rPr>
              <w:t xml:space="preserve">CD </w:t>
            </w:r>
            <w:r w:rsidRPr="003075FD">
              <w:rPr>
                <w:rFonts w:ascii="Bookman Old Style" w:hAnsi="Bookman Old Style"/>
                <w:color w:val="000000"/>
                <w:sz w:val="18"/>
                <w:szCs w:val="18"/>
                <w:lang w:val="es-ES_tradnl" w:eastAsia="es-ES_tradnl"/>
              </w:rPr>
              <w:t>Mensual en galones</w:t>
            </w:r>
          </w:p>
        </w:tc>
      </w:tr>
      <w:tr w:rsidR="00C01E7A" w:rsidRPr="003075FD" w:rsidTr="00C01E7A">
        <w:trPr>
          <w:trHeight w:hRule="exact" w:val="518"/>
          <w:jc w:val="center"/>
        </w:trPr>
        <w:tc>
          <w:tcPr>
            <w:tcW w:w="1433" w:type="dxa"/>
            <w:tcBorders>
              <w:top w:val="single" w:sz="4" w:space="0" w:color="auto"/>
              <w:left w:val="single" w:sz="4" w:space="0" w:color="auto"/>
              <w:bottom w:val="single" w:sz="4" w:space="0" w:color="auto"/>
              <w:right w:val="nil"/>
            </w:tcBorders>
            <w:shd w:val="clear" w:color="auto" w:fill="FFFFFF"/>
            <w:vAlign w:val="bottom"/>
          </w:tcPr>
          <w:p w:rsidR="00C01E7A" w:rsidRPr="003075FD" w:rsidRDefault="00C01E7A" w:rsidP="00C01E7A">
            <w:pPr>
              <w:widowControl w:val="0"/>
              <w:spacing w:line="238" w:lineRule="exact"/>
              <w:ind w:left="0"/>
              <w:jc w:val="both"/>
              <w:rPr>
                <w:rFonts w:ascii="Bookman Old Style" w:hAnsi="Bookman Old Style"/>
                <w:spacing w:val="10"/>
                <w:sz w:val="18"/>
                <w:szCs w:val="18"/>
                <w:lang w:val="es-ES_tradnl" w:eastAsia="es-CO"/>
              </w:rPr>
            </w:pPr>
            <w:r w:rsidRPr="003075FD">
              <w:rPr>
                <w:rFonts w:ascii="Bookman Old Style" w:hAnsi="Bookman Old Style"/>
                <w:color w:val="000000"/>
                <w:sz w:val="18"/>
                <w:szCs w:val="18"/>
                <w:lang w:val="es-ES_tradnl" w:eastAsia="es-ES_tradnl"/>
              </w:rPr>
              <w:t xml:space="preserve">Reporte según </w:t>
            </w:r>
            <w:proofErr w:type="spellStart"/>
            <w:r w:rsidRPr="003075FD">
              <w:rPr>
                <w:rFonts w:ascii="Bookman Old Style" w:hAnsi="Bookman Old Style"/>
                <w:color w:val="000000"/>
                <w:sz w:val="18"/>
                <w:szCs w:val="18"/>
                <w:lang w:val="es-ES_tradnl" w:eastAsia="es-ES_tradnl"/>
              </w:rPr>
              <w:t>surgas</w:t>
            </w:r>
            <w:proofErr w:type="spellEnd"/>
            <w:r w:rsidRPr="003075FD">
              <w:rPr>
                <w:rFonts w:ascii="Bookman Old Style" w:hAnsi="Bookman Old Style"/>
                <w:color w:val="000000"/>
                <w:sz w:val="18"/>
                <w:szCs w:val="18"/>
                <w:lang w:val="es-ES_tradnl" w:eastAsia="es-ES_tradnl"/>
              </w:rPr>
              <w:t xml:space="preserve"> datos SUI</w:t>
            </w:r>
          </w:p>
        </w:tc>
        <w:tc>
          <w:tcPr>
            <w:tcW w:w="2009" w:type="dxa"/>
            <w:tcBorders>
              <w:top w:val="single" w:sz="4" w:space="0" w:color="auto"/>
              <w:left w:val="single" w:sz="4" w:space="0" w:color="auto"/>
              <w:bottom w:val="single" w:sz="4" w:space="0" w:color="auto"/>
              <w:right w:val="nil"/>
            </w:tcBorders>
            <w:shd w:val="clear" w:color="auto" w:fill="FFFFFF"/>
            <w:vAlign w:val="center"/>
          </w:tcPr>
          <w:p w:rsidR="00C01E7A" w:rsidRPr="003075FD" w:rsidRDefault="00C01E7A" w:rsidP="00C01E7A">
            <w:pPr>
              <w:widowControl w:val="0"/>
              <w:spacing w:line="150" w:lineRule="exact"/>
              <w:ind w:left="0"/>
              <w:jc w:val="center"/>
              <w:rPr>
                <w:rFonts w:ascii="Bookman Old Style" w:hAnsi="Bookman Old Style"/>
                <w:spacing w:val="10"/>
                <w:sz w:val="18"/>
                <w:szCs w:val="18"/>
                <w:lang w:val="es-ES_tradnl" w:eastAsia="es-CO"/>
              </w:rPr>
            </w:pPr>
            <w:r w:rsidRPr="003075FD">
              <w:rPr>
                <w:rFonts w:ascii="Bookman Old Style" w:hAnsi="Bookman Old Style"/>
                <w:color w:val="000000"/>
                <w:sz w:val="18"/>
                <w:szCs w:val="18"/>
                <w:lang w:val="es-ES_tradnl" w:eastAsia="es-ES_tradnl"/>
              </w:rPr>
              <w:t>71611</w:t>
            </w:r>
          </w:p>
        </w:tc>
        <w:tc>
          <w:tcPr>
            <w:tcW w:w="943" w:type="dxa"/>
            <w:tcBorders>
              <w:top w:val="single" w:sz="4" w:space="0" w:color="auto"/>
              <w:left w:val="single" w:sz="4" w:space="0" w:color="auto"/>
              <w:bottom w:val="single" w:sz="4" w:space="0" w:color="auto"/>
              <w:right w:val="nil"/>
            </w:tcBorders>
            <w:shd w:val="clear" w:color="auto" w:fill="FFFFFF"/>
            <w:vAlign w:val="center"/>
          </w:tcPr>
          <w:p w:rsidR="00C01E7A" w:rsidRPr="003075FD" w:rsidRDefault="00C01E7A" w:rsidP="00C01E7A">
            <w:pPr>
              <w:widowControl w:val="0"/>
              <w:spacing w:line="150" w:lineRule="exact"/>
              <w:ind w:left="180"/>
              <w:rPr>
                <w:rFonts w:ascii="Bookman Old Style" w:hAnsi="Bookman Old Style"/>
                <w:spacing w:val="10"/>
                <w:sz w:val="18"/>
                <w:szCs w:val="18"/>
                <w:lang w:val="es-ES_tradnl" w:eastAsia="es-CO"/>
              </w:rPr>
            </w:pPr>
            <w:r w:rsidRPr="003075FD">
              <w:rPr>
                <w:rFonts w:ascii="Bookman Old Style" w:hAnsi="Bookman Old Style"/>
                <w:color w:val="000000"/>
                <w:sz w:val="18"/>
                <w:szCs w:val="18"/>
                <w:lang w:val="es-ES_tradnl" w:eastAsia="es-ES_tradnl"/>
              </w:rPr>
              <w:t>902298.6</w:t>
            </w:r>
          </w:p>
        </w:tc>
        <w:tc>
          <w:tcPr>
            <w:tcW w:w="943" w:type="dxa"/>
            <w:tcBorders>
              <w:top w:val="single" w:sz="4" w:space="0" w:color="auto"/>
              <w:left w:val="single" w:sz="4" w:space="0" w:color="auto"/>
              <w:bottom w:val="single" w:sz="4" w:space="0" w:color="auto"/>
              <w:right w:val="nil"/>
            </w:tcBorders>
            <w:shd w:val="clear" w:color="auto" w:fill="FFFFFF"/>
            <w:vAlign w:val="center"/>
          </w:tcPr>
          <w:p w:rsidR="00C01E7A" w:rsidRPr="003075FD" w:rsidRDefault="00C01E7A" w:rsidP="00C01E7A">
            <w:pPr>
              <w:widowControl w:val="0"/>
              <w:spacing w:line="150" w:lineRule="exact"/>
              <w:ind w:left="0"/>
              <w:jc w:val="center"/>
              <w:rPr>
                <w:rFonts w:ascii="Bookman Old Style" w:hAnsi="Bookman Old Style"/>
                <w:spacing w:val="10"/>
                <w:sz w:val="18"/>
                <w:szCs w:val="18"/>
                <w:lang w:val="es-ES_tradnl" w:eastAsia="es-CO"/>
              </w:rPr>
            </w:pPr>
            <w:r w:rsidRPr="003075FD">
              <w:rPr>
                <w:rFonts w:ascii="Bookman Old Style" w:hAnsi="Bookman Old Style"/>
                <w:color w:val="000000"/>
                <w:sz w:val="18"/>
                <w:szCs w:val="18"/>
                <w:lang w:val="es-ES_tradnl" w:eastAsia="es-ES_tradnl"/>
              </w:rPr>
              <w:t>237756</w:t>
            </w:r>
          </w:p>
        </w:tc>
        <w:tc>
          <w:tcPr>
            <w:tcW w:w="950" w:type="dxa"/>
            <w:tcBorders>
              <w:top w:val="single" w:sz="4" w:space="0" w:color="auto"/>
              <w:left w:val="single" w:sz="4" w:space="0" w:color="auto"/>
              <w:bottom w:val="single" w:sz="4" w:space="0" w:color="auto"/>
              <w:right w:val="nil"/>
            </w:tcBorders>
            <w:shd w:val="clear" w:color="auto" w:fill="FFFFFF"/>
            <w:vAlign w:val="center"/>
          </w:tcPr>
          <w:p w:rsidR="00C01E7A" w:rsidRPr="003075FD" w:rsidRDefault="00C01E7A" w:rsidP="00C01E7A">
            <w:pPr>
              <w:widowControl w:val="0"/>
              <w:spacing w:line="150" w:lineRule="exact"/>
              <w:ind w:left="0" w:right="200"/>
              <w:jc w:val="right"/>
              <w:rPr>
                <w:rFonts w:ascii="Bookman Old Style" w:hAnsi="Bookman Old Style"/>
                <w:spacing w:val="10"/>
                <w:sz w:val="18"/>
                <w:szCs w:val="18"/>
                <w:lang w:val="es-ES_tradnl" w:eastAsia="es-CO"/>
              </w:rPr>
            </w:pPr>
            <w:r w:rsidRPr="003075FD">
              <w:rPr>
                <w:rFonts w:ascii="Bookman Old Style" w:hAnsi="Bookman Old Style"/>
                <w:color w:val="000000"/>
                <w:sz w:val="18"/>
                <w:szCs w:val="18"/>
                <w:lang w:val="es-ES_tradnl" w:eastAsia="es-ES_tradnl"/>
              </w:rPr>
              <w:t>237756</w:t>
            </w:r>
          </w:p>
        </w:tc>
        <w:tc>
          <w:tcPr>
            <w:tcW w:w="1145" w:type="dxa"/>
            <w:tcBorders>
              <w:top w:val="single" w:sz="4" w:space="0" w:color="auto"/>
              <w:left w:val="single" w:sz="4" w:space="0" w:color="auto"/>
              <w:bottom w:val="single" w:sz="4" w:space="0" w:color="auto"/>
              <w:right w:val="nil"/>
            </w:tcBorders>
            <w:shd w:val="clear" w:color="auto" w:fill="FFFFFF"/>
            <w:vAlign w:val="center"/>
          </w:tcPr>
          <w:p w:rsidR="00C01E7A" w:rsidRPr="003075FD" w:rsidRDefault="00C01E7A" w:rsidP="00C01E7A">
            <w:pPr>
              <w:widowControl w:val="0"/>
              <w:spacing w:line="150" w:lineRule="exact"/>
              <w:ind w:left="0"/>
              <w:jc w:val="center"/>
              <w:rPr>
                <w:rFonts w:ascii="Bookman Old Style" w:hAnsi="Bookman Old Style"/>
                <w:spacing w:val="10"/>
                <w:sz w:val="18"/>
                <w:szCs w:val="18"/>
                <w:lang w:val="es-ES_tradnl" w:eastAsia="es-CO"/>
              </w:rPr>
            </w:pPr>
            <w:r w:rsidRPr="003075FD">
              <w:rPr>
                <w:rFonts w:ascii="Bookman Old Style" w:hAnsi="Bookman Old Style"/>
                <w:color w:val="000000"/>
                <w:sz w:val="18"/>
                <w:szCs w:val="18"/>
                <w:lang w:val="es-ES_tradnl" w:eastAsia="es-ES_tradnl"/>
              </w:rPr>
              <w:t>113217</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rsidR="00C01E7A" w:rsidRPr="003075FD" w:rsidRDefault="00C01E7A" w:rsidP="00C01E7A">
            <w:pPr>
              <w:widowControl w:val="0"/>
              <w:spacing w:line="200" w:lineRule="exact"/>
              <w:ind w:left="0" w:right="120"/>
              <w:jc w:val="right"/>
              <w:rPr>
                <w:rFonts w:ascii="Bookman Old Style" w:hAnsi="Bookman Old Style"/>
                <w:spacing w:val="10"/>
                <w:sz w:val="18"/>
                <w:szCs w:val="18"/>
                <w:lang w:val="es-ES_tradnl" w:eastAsia="es-CO"/>
              </w:rPr>
            </w:pPr>
            <w:r w:rsidRPr="003075FD">
              <w:rPr>
                <w:rFonts w:ascii="Bookman Old Style" w:hAnsi="Bookman Old Style"/>
                <w:b/>
                <w:bCs/>
                <w:color w:val="000000"/>
                <w:sz w:val="18"/>
                <w:szCs w:val="18"/>
                <w:lang w:val="es-ES_tradnl" w:eastAsia="es-ES_tradnl"/>
              </w:rPr>
              <w:t>18,869</w:t>
            </w:r>
          </w:p>
        </w:tc>
      </w:tr>
    </w:tbl>
    <w:p w:rsidR="00C01E7A" w:rsidRPr="00CD67E2" w:rsidRDefault="00C01E7A" w:rsidP="00C01E7A">
      <w:pPr>
        <w:ind w:left="284" w:right="284"/>
        <w:jc w:val="both"/>
        <w:rPr>
          <w:rFonts w:ascii="Bookman Old Style" w:hAnsi="Bookman Old Style" w:cs="Arial"/>
          <w:i/>
          <w:sz w:val="22"/>
          <w:szCs w:val="22"/>
        </w:rPr>
      </w:pPr>
    </w:p>
    <w:p w:rsidR="00C01E7A" w:rsidRPr="00C01E7A" w:rsidRDefault="00C01E7A" w:rsidP="00C01E7A">
      <w:pPr>
        <w:ind w:left="284" w:right="284"/>
        <w:jc w:val="both"/>
        <w:rPr>
          <w:rFonts w:ascii="Bookman Old Style" w:hAnsi="Bookman Old Style" w:cs="Arial"/>
          <w:i/>
          <w:sz w:val="22"/>
          <w:szCs w:val="22"/>
        </w:rPr>
      </w:pPr>
      <w:r w:rsidRPr="00C01E7A">
        <w:rPr>
          <w:rFonts w:ascii="Bookman Old Style" w:hAnsi="Bookman Old Style" w:cs="Arial"/>
          <w:i/>
          <w:sz w:val="22"/>
          <w:szCs w:val="22"/>
        </w:rPr>
        <w:t>Esta información sin contar con la cantidad de GLP que debe quedar almacenada en los tanques, para dar continuidad del servicio, los cuales deben quedar por lo menos al 30% de almacenamiento para prestar el servicio y no pierda la presión.</w:t>
      </w:r>
    </w:p>
    <w:p w:rsidR="00C01E7A" w:rsidRDefault="00C01E7A" w:rsidP="00C01E7A">
      <w:pPr>
        <w:ind w:left="284" w:right="284"/>
        <w:jc w:val="both"/>
        <w:rPr>
          <w:rFonts w:ascii="Bookman Old Style" w:hAnsi="Bookman Old Style" w:cs="Arial"/>
          <w:i/>
          <w:sz w:val="22"/>
          <w:szCs w:val="22"/>
        </w:rPr>
      </w:pPr>
    </w:p>
    <w:p w:rsidR="00C01E7A" w:rsidRPr="00C01E7A" w:rsidRDefault="00C01E7A" w:rsidP="00C01E7A">
      <w:pPr>
        <w:ind w:left="284" w:right="284"/>
        <w:jc w:val="both"/>
        <w:rPr>
          <w:rFonts w:ascii="Bookman Old Style" w:hAnsi="Bookman Old Style" w:cs="Arial"/>
          <w:i/>
          <w:sz w:val="22"/>
          <w:szCs w:val="22"/>
        </w:rPr>
      </w:pPr>
      <w:r w:rsidRPr="00C01E7A">
        <w:rPr>
          <w:rFonts w:ascii="Bookman Old Style" w:hAnsi="Bookman Old Style" w:cs="Arial"/>
          <w:i/>
          <w:sz w:val="22"/>
          <w:szCs w:val="22"/>
        </w:rPr>
        <w:t>Si se realiza un ejercicio con los 13.791 Usuar</w:t>
      </w:r>
      <w:r>
        <w:rPr>
          <w:rFonts w:ascii="Bookman Old Style" w:hAnsi="Bookman Old Style" w:cs="Arial"/>
          <w:i/>
          <w:sz w:val="22"/>
          <w:szCs w:val="22"/>
        </w:rPr>
        <w:t xml:space="preserve">ios en servicio, con el consumo </w:t>
      </w:r>
      <w:r w:rsidRPr="00C01E7A">
        <w:rPr>
          <w:rFonts w:ascii="Bookman Old Style" w:hAnsi="Bookman Old Style" w:cs="Arial"/>
          <w:i/>
          <w:sz w:val="22"/>
          <w:szCs w:val="22"/>
        </w:rPr>
        <w:t xml:space="preserve">promedio de 6 m3, daría 82.746 m3, equivalentes a 80.767 </w:t>
      </w:r>
      <w:proofErr w:type="gramStart"/>
      <w:r w:rsidRPr="00C01E7A">
        <w:rPr>
          <w:rFonts w:ascii="Bookman Old Style" w:hAnsi="Bookman Old Style" w:cs="Arial"/>
          <w:i/>
          <w:sz w:val="22"/>
          <w:szCs w:val="22"/>
        </w:rPr>
        <w:t>gal</w:t>
      </w:r>
      <w:proofErr w:type="gramEnd"/>
      <w:r w:rsidRPr="00C01E7A">
        <w:rPr>
          <w:rFonts w:ascii="Bookman Old Style" w:hAnsi="Bookman Old Style" w:cs="Arial"/>
          <w:i/>
          <w:sz w:val="22"/>
          <w:szCs w:val="22"/>
        </w:rPr>
        <w:t xml:space="preserve"> de GLP, como se evidencia en el siguiente cuadro, que es realmente el consumo promedio de la Empresa:</w:t>
      </w:r>
    </w:p>
    <w:p w:rsidR="00C01E7A" w:rsidRDefault="00C01E7A" w:rsidP="00D126E3">
      <w:pPr>
        <w:widowControl w:val="0"/>
        <w:tabs>
          <w:tab w:val="right" w:pos="9498"/>
        </w:tabs>
        <w:adjustRightInd w:val="0"/>
        <w:ind w:left="0" w:right="-142"/>
        <w:jc w:val="both"/>
        <w:rPr>
          <w:rFonts w:ascii="Bookman Old Style" w:hAnsi="Bookman Old Style"/>
          <w:b/>
          <w:szCs w:val="27"/>
        </w:rPr>
      </w:pPr>
    </w:p>
    <w:tbl>
      <w:tblPr>
        <w:tblW w:w="0" w:type="auto"/>
        <w:jc w:val="center"/>
        <w:tblLayout w:type="fixed"/>
        <w:tblCellMar>
          <w:left w:w="0" w:type="dxa"/>
          <w:right w:w="0" w:type="dxa"/>
        </w:tblCellMar>
        <w:tblLook w:val="0000" w:firstRow="0" w:lastRow="0" w:firstColumn="0" w:lastColumn="0" w:noHBand="0" w:noVBand="0"/>
      </w:tblPr>
      <w:tblGrid>
        <w:gridCol w:w="1202"/>
        <w:gridCol w:w="1238"/>
        <w:gridCol w:w="979"/>
        <w:gridCol w:w="972"/>
      </w:tblGrid>
      <w:tr w:rsidR="00C01E7A" w:rsidRPr="003075FD" w:rsidTr="00C01E7A">
        <w:trPr>
          <w:trHeight w:hRule="exact" w:val="626"/>
          <w:jc w:val="center"/>
        </w:trPr>
        <w:tc>
          <w:tcPr>
            <w:tcW w:w="1202" w:type="dxa"/>
            <w:tcBorders>
              <w:top w:val="single" w:sz="4" w:space="0" w:color="auto"/>
              <w:left w:val="single" w:sz="4" w:space="0" w:color="auto"/>
              <w:bottom w:val="nil"/>
              <w:right w:val="nil"/>
            </w:tcBorders>
            <w:shd w:val="clear" w:color="auto" w:fill="FFFFFF"/>
            <w:vAlign w:val="center"/>
          </w:tcPr>
          <w:p w:rsidR="00C01E7A" w:rsidRPr="003075FD" w:rsidRDefault="00C01E7A" w:rsidP="00C01E7A">
            <w:pPr>
              <w:widowControl w:val="0"/>
              <w:spacing w:line="180" w:lineRule="exact"/>
              <w:ind w:left="220"/>
              <w:rPr>
                <w:rFonts w:ascii="Bookman Old Style" w:hAnsi="Bookman Old Style"/>
                <w:spacing w:val="10"/>
                <w:sz w:val="18"/>
                <w:szCs w:val="18"/>
                <w:lang w:val="es-ES_tradnl" w:eastAsia="es-CO"/>
              </w:rPr>
            </w:pPr>
            <w:r w:rsidRPr="003075FD">
              <w:rPr>
                <w:rFonts w:ascii="Bookman Old Style" w:hAnsi="Bookman Old Style"/>
                <w:color w:val="000000"/>
                <w:spacing w:val="10"/>
                <w:sz w:val="18"/>
                <w:szCs w:val="18"/>
                <w:lang w:val="es-ES_tradnl" w:eastAsia="es-ES_tradnl"/>
              </w:rPr>
              <w:t>Usuarios</w:t>
            </w:r>
          </w:p>
        </w:tc>
        <w:tc>
          <w:tcPr>
            <w:tcW w:w="1238" w:type="dxa"/>
            <w:tcBorders>
              <w:top w:val="single" w:sz="4" w:space="0" w:color="auto"/>
              <w:left w:val="single" w:sz="4" w:space="0" w:color="auto"/>
              <w:bottom w:val="nil"/>
              <w:right w:val="nil"/>
            </w:tcBorders>
            <w:shd w:val="clear" w:color="auto" w:fill="FFFFFF"/>
          </w:tcPr>
          <w:p w:rsidR="00C01E7A" w:rsidRPr="003075FD" w:rsidRDefault="00C01E7A" w:rsidP="00C01E7A">
            <w:pPr>
              <w:widowControl w:val="0"/>
              <w:spacing w:after="60" w:line="180" w:lineRule="exact"/>
              <w:ind w:left="200"/>
              <w:rPr>
                <w:rFonts w:ascii="Bookman Old Style" w:hAnsi="Bookman Old Style"/>
                <w:spacing w:val="10"/>
                <w:sz w:val="18"/>
                <w:szCs w:val="18"/>
                <w:lang w:val="es-ES_tradnl" w:eastAsia="es-CO"/>
              </w:rPr>
            </w:pPr>
            <w:r w:rsidRPr="003075FD">
              <w:rPr>
                <w:rFonts w:ascii="Bookman Old Style" w:hAnsi="Bookman Old Style"/>
                <w:color w:val="000000"/>
                <w:spacing w:val="10"/>
                <w:sz w:val="18"/>
                <w:szCs w:val="18"/>
                <w:lang w:val="es-ES_tradnl" w:eastAsia="es-ES_tradnl"/>
              </w:rPr>
              <w:t>Consumo</w:t>
            </w:r>
          </w:p>
          <w:p w:rsidR="00C01E7A" w:rsidRPr="003075FD" w:rsidRDefault="00C01E7A" w:rsidP="00C01E7A">
            <w:pPr>
              <w:widowControl w:val="0"/>
              <w:spacing w:before="60" w:line="180" w:lineRule="exact"/>
              <w:ind w:left="200"/>
              <w:rPr>
                <w:rFonts w:ascii="Bookman Old Style" w:hAnsi="Bookman Old Style"/>
                <w:spacing w:val="10"/>
                <w:sz w:val="18"/>
                <w:szCs w:val="18"/>
                <w:lang w:val="es-ES_tradnl" w:eastAsia="es-CO"/>
              </w:rPr>
            </w:pPr>
            <w:r w:rsidRPr="003075FD">
              <w:rPr>
                <w:rFonts w:ascii="Bookman Old Style" w:hAnsi="Bookman Old Style"/>
                <w:color w:val="000000"/>
                <w:spacing w:val="10"/>
                <w:sz w:val="18"/>
                <w:szCs w:val="18"/>
                <w:lang w:val="es-ES_tradnl" w:eastAsia="es-ES_tradnl"/>
              </w:rPr>
              <w:t>Promedio</w:t>
            </w:r>
          </w:p>
        </w:tc>
        <w:tc>
          <w:tcPr>
            <w:tcW w:w="979" w:type="dxa"/>
            <w:tcBorders>
              <w:top w:val="single" w:sz="4" w:space="0" w:color="auto"/>
              <w:left w:val="single" w:sz="4" w:space="0" w:color="auto"/>
              <w:bottom w:val="nil"/>
              <w:right w:val="nil"/>
            </w:tcBorders>
            <w:shd w:val="clear" w:color="auto" w:fill="FFFFFF"/>
            <w:vAlign w:val="center"/>
          </w:tcPr>
          <w:p w:rsidR="00C01E7A" w:rsidRPr="003075FD" w:rsidRDefault="00C01E7A" w:rsidP="00C01E7A">
            <w:pPr>
              <w:widowControl w:val="0"/>
              <w:spacing w:line="180" w:lineRule="exact"/>
              <w:ind w:left="0" w:right="120"/>
              <w:jc w:val="right"/>
              <w:rPr>
                <w:rFonts w:ascii="Bookman Old Style" w:hAnsi="Bookman Old Style"/>
                <w:spacing w:val="10"/>
                <w:sz w:val="18"/>
                <w:szCs w:val="18"/>
                <w:lang w:val="es-ES_tradnl" w:eastAsia="es-CO"/>
              </w:rPr>
            </w:pPr>
            <w:proofErr w:type="spellStart"/>
            <w:r w:rsidRPr="003075FD">
              <w:rPr>
                <w:rFonts w:ascii="Bookman Old Style" w:hAnsi="Bookman Old Style"/>
                <w:color w:val="000000"/>
                <w:spacing w:val="10"/>
                <w:sz w:val="18"/>
                <w:szCs w:val="18"/>
                <w:lang w:val="es-ES_tradnl" w:eastAsia="es-ES_tradnl"/>
              </w:rPr>
              <w:t>mB</w:t>
            </w:r>
            <w:proofErr w:type="spellEnd"/>
            <w:r w:rsidRPr="003075FD">
              <w:rPr>
                <w:rFonts w:ascii="Bookman Old Style" w:hAnsi="Bookman Old Style"/>
                <w:color w:val="000000"/>
                <w:spacing w:val="10"/>
                <w:sz w:val="18"/>
                <w:szCs w:val="18"/>
                <w:lang w:val="es-ES_tradnl" w:eastAsia="es-ES_tradnl"/>
              </w:rPr>
              <w:t>/Mes</w:t>
            </w:r>
          </w:p>
        </w:tc>
        <w:tc>
          <w:tcPr>
            <w:tcW w:w="972" w:type="dxa"/>
            <w:tcBorders>
              <w:top w:val="single" w:sz="4" w:space="0" w:color="auto"/>
              <w:left w:val="single" w:sz="4" w:space="0" w:color="auto"/>
              <w:bottom w:val="nil"/>
              <w:right w:val="single" w:sz="4" w:space="0" w:color="auto"/>
            </w:tcBorders>
            <w:shd w:val="clear" w:color="auto" w:fill="FFFFFF"/>
          </w:tcPr>
          <w:p w:rsidR="00C01E7A" w:rsidRPr="003075FD" w:rsidRDefault="00C01E7A" w:rsidP="00C01E7A">
            <w:pPr>
              <w:widowControl w:val="0"/>
              <w:spacing w:after="120" w:line="180" w:lineRule="exact"/>
              <w:ind w:left="60"/>
              <w:rPr>
                <w:rFonts w:ascii="Bookman Old Style" w:hAnsi="Bookman Old Style"/>
                <w:spacing w:val="10"/>
                <w:sz w:val="18"/>
                <w:szCs w:val="18"/>
                <w:lang w:val="es-ES_tradnl" w:eastAsia="es-CO"/>
              </w:rPr>
            </w:pPr>
            <w:r w:rsidRPr="003075FD">
              <w:rPr>
                <w:rFonts w:ascii="Bookman Old Style" w:hAnsi="Bookman Old Style"/>
                <w:color w:val="000000"/>
                <w:spacing w:val="10"/>
                <w:sz w:val="18"/>
                <w:szCs w:val="18"/>
                <w:lang w:val="es-ES_tradnl" w:eastAsia="es-ES_tradnl"/>
              </w:rPr>
              <w:t>Galones/</w:t>
            </w:r>
          </w:p>
          <w:p w:rsidR="00C01E7A" w:rsidRPr="003075FD" w:rsidRDefault="00C01E7A" w:rsidP="00C01E7A">
            <w:pPr>
              <w:widowControl w:val="0"/>
              <w:spacing w:before="120" w:line="180" w:lineRule="exact"/>
              <w:ind w:left="280"/>
              <w:rPr>
                <w:rFonts w:ascii="Bookman Old Style" w:hAnsi="Bookman Old Style"/>
                <w:spacing w:val="10"/>
                <w:sz w:val="18"/>
                <w:szCs w:val="18"/>
                <w:lang w:val="es-ES_tradnl" w:eastAsia="es-CO"/>
              </w:rPr>
            </w:pPr>
            <w:r w:rsidRPr="003075FD">
              <w:rPr>
                <w:rFonts w:ascii="Bookman Old Style" w:hAnsi="Bookman Old Style"/>
                <w:color w:val="000000"/>
                <w:spacing w:val="10"/>
                <w:sz w:val="18"/>
                <w:szCs w:val="18"/>
                <w:lang w:val="es-ES_tradnl" w:eastAsia="es-ES_tradnl"/>
              </w:rPr>
              <w:t>Mes</w:t>
            </w:r>
          </w:p>
        </w:tc>
      </w:tr>
      <w:tr w:rsidR="00C01E7A" w:rsidRPr="003075FD" w:rsidTr="00C01E7A">
        <w:trPr>
          <w:trHeight w:hRule="exact" w:val="317"/>
          <w:jc w:val="center"/>
        </w:trPr>
        <w:tc>
          <w:tcPr>
            <w:tcW w:w="1202" w:type="dxa"/>
            <w:tcBorders>
              <w:top w:val="single" w:sz="4" w:space="0" w:color="auto"/>
              <w:left w:val="single" w:sz="4" w:space="0" w:color="auto"/>
              <w:bottom w:val="single" w:sz="4" w:space="0" w:color="auto"/>
              <w:right w:val="nil"/>
            </w:tcBorders>
            <w:shd w:val="clear" w:color="auto" w:fill="FFFFFF"/>
            <w:vAlign w:val="bottom"/>
          </w:tcPr>
          <w:p w:rsidR="00C01E7A" w:rsidRPr="003075FD" w:rsidRDefault="00C01E7A" w:rsidP="00C01E7A">
            <w:pPr>
              <w:widowControl w:val="0"/>
              <w:spacing w:line="180" w:lineRule="exact"/>
              <w:ind w:left="0" w:right="120"/>
              <w:jc w:val="right"/>
              <w:rPr>
                <w:rFonts w:ascii="Bookman Old Style" w:hAnsi="Bookman Old Style"/>
                <w:spacing w:val="10"/>
                <w:sz w:val="18"/>
                <w:szCs w:val="18"/>
                <w:lang w:val="es-ES_tradnl" w:eastAsia="es-CO"/>
              </w:rPr>
            </w:pPr>
            <w:r w:rsidRPr="003075FD">
              <w:rPr>
                <w:rFonts w:ascii="Bookman Old Style" w:hAnsi="Bookman Old Style"/>
                <w:color w:val="000000"/>
                <w:spacing w:val="10"/>
                <w:sz w:val="18"/>
                <w:szCs w:val="18"/>
                <w:lang w:val="es-ES_tradnl" w:eastAsia="es-ES_tradnl"/>
              </w:rPr>
              <w:t>13,791</w:t>
            </w:r>
          </w:p>
        </w:tc>
        <w:tc>
          <w:tcPr>
            <w:tcW w:w="1238" w:type="dxa"/>
            <w:tcBorders>
              <w:top w:val="single" w:sz="4" w:space="0" w:color="auto"/>
              <w:left w:val="single" w:sz="4" w:space="0" w:color="auto"/>
              <w:bottom w:val="single" w:sz="4" w:space="0" w:color="auto"/>
              <w:right w:val="nil"/>
            </w:tcBorders>
            <w:shd w:val="clear" w:color="auto" w:fill="FFFFFF"/>
            <w:vAlign w:val="bottom"/>
          </w:tcPr>
          <w:p w:rsidR="00C01E7A" w:rsidRPr="003075FD" w:rsidRDefault="00C01E7A" w:rsidP="00C01E7A">
            <w:pPr>
              <w:widowControl w:val="0"/>
              <w:spacing w:line="180" w:lineRule="exact"/>
              <w:ind w:left="0" w:right="100"/>
              <w:jc w:val="right"/>
              <w:rPr>
                <w:rFonts w:ascii="Bookman Old Style" w:hAnsi="Bookman Old Style"/>
                <w:spacing w:val="10"/>
                <w:sz w:val="18"/>
                <w:szCs w:val="18"/>
                <w:lang w:val="es-ES_tradnl" w:eastAsia="es-CO"/>
              </w:rPr>
            </w:pPr>
            <w:r w:rsidRPr="003075FD">
              <w:rPr>
                <w:rFonts w:ascii="Bookman Old Style" w:hAnsi="Bookman Old Style"/>
                <w:color w:val="000000"/>
                <w:spacing w:val="10"/>
                <w:sz w:val="18"/>
                <w:szCs w:val="18"/>
                <w:lang w:val="es-ES_tradnl" w:eastAsia="es-ES_tradnl"/>
              </w:rPr>
              <w:t>6.00</w:t>
            </w:r>
          </w:p>
        </w:tc>
        <w:tc>
          <w:tcPr>
            <w:tcW w:w="979" w:type="dxa"/>
            <w:tcBorders>
              <w:top w:val="single" w:sz="4" w:space="0" w:color="auto"/>
              <w:left w:val="single" w:sz="4" w:space="0" w:color="auto"/>
              <w:bottom w:val="single" w:sz="4" w:space="0" w:color="auto"/>
              <w:right w:val="nil"/>
            </w:tcBorders>
            <w:shd w:val="clear" w:color="auto" w:fill="FFFFFF"/>
            <w:vAlign w:val="bottom"/>
          </w:tcPr>
          <w:p w:rsidR="00C01E7A" w:rsidRPr="003075FD" w:rsidRDefault="00C01E7A" w:rsidP="00C01E7A">
            <w:pPr>
              <w:widowControl w:val="0"/>
              <w:spacing w:line="180" w:lineRule="exact"/>
              <w:ind w:left="0" w:right="120"/>
              <w:jc w:val="right"/>
              <w:rPr>
                <w:rFonts w:ascii="Bookman Old Style" w:hAnsi="Bookman Old Style"/>
                <w:spacing w:val="10"/>
                <w:sz w:val="18"/>
                <w:szCs w:val="18"/>
                <w:lang w:val="es-ES_tradnl" w:eastAsia="es-CO"/>
              </w:rPr>
            </w:pPr>
            <w:r w:rsidRPr="003075FD">
              <w:rPr>
                <w:rFonts w:ascii="Bookman Old Style" w:hAnsi="Bookman Old Style"/>
                <w:color w:val="000000"/>
                <w:spacing w:val="10"/>
                <w:sz w:val="18"/>
                <w:szCs w:val="18"/>
                <w:lang w:val="es-ES_tradnl" w:eastAsia="es-ES_tradnl"/>
              </w:rPr>
              <w:t>82,746</w:t>
            </w:r>
          </w:p>
        </w:tc>
        <w:tc>
          <w:tcPr>
            <w:tcW w:w="972" w:type="dxa"/>
            <w:tcBorders>
              <w:top w:val="single" w:sz="4" w:space="0" w:color="auto"/>
              <w:left w:val="single" w:sz="4" w:space="0" w:color="auto"/>
              <w:bottom w:val="single" w:sz="4" w:space="0" w:color="auto"/>
              <w:right w:val="single" w:sz="4" w:space="0" w:color="auto"/>
            </w:tcBorders>
            <w:shd w:val="clear" w:color="auto" w:fill="FFFFFF"/>
            <w:vAlign w:val="bottom"/>
          </w:tcPr>
          <w:p w:rsidR="00C01E7A" w:rsidRPr="003075FD" w:rsidRDefault="00C01E7A" w:rsidP="00C01E7A">
            <w:pPr>
              <w:widowControl w:val="0"/>
              <w:spacing w:line="180" w:lineRule="exact"/>
              <w:ind w:left="280"/>
              <w:rPr>
                <w:rFonts w:ascii="Bookman Old Style" w:hAnsi="Bookman Old Style"/>
                <w:spacing w:val="10"/>
                <w:sz w:val="18"/>
                <w:szCs w:val="18"/>
                <w:lang w:val="es-ES_tradnl" w:eastAsia="es-CO"/>
              </w:rPr>
            </w:pPr>
            <w:r w:rsidRPr="003075FD">
              <w:rPr>
                <w:rFonts w:ascii="Bookman Old Style" w:hAnsi="Bookman Old Style"/>
                <w:color w:val="000000"/>
                <w:spacing w:val="10"/>
                <w:sz w:val="18"/>
                <w:szCs w:val="18"/>
                <w:lang w:val="es-ES_tradnl" w:eastAsia="es-ES_tradnl"/>
              </w:rPr>
              <w:t>80,767</w:t>
            </w:r>
          </w:p>
        </w:tc>
      </w:tr>
    </w:tbl>
    <w:p w:rsidR="00C01E7A" w:rsidRDefault="00C01E7A" w:rsidP="00D126E3">
      <w:pPr>
        <w:widowControl w:val="0"/>
        <w:tabs>
          <w:tab w:val="right" w:pos="9498"/>
        </w:tabs>
        <w:adjustRightInd w:val="0"/>
        <w:ind w:left="0" w:right="-142"/>
        <w:jc w:val="both"/>
        <w:rPr>
          <w:rFonts w:ascii="Bookman Old Style" w:hAnsi="Bookman Old Style"/>
          <w:b/>
          <w:szCs w:val="27"/>
        </w:rPr>
      </w:pPr>
      <w:r>
        <w:rPr>
          <w:rFonts w:ascii="Bookman Old Style" w:hAnsi="Bookman Old Style"/>
          <w:b/>
          <w:szCs w:val="27"/>
        </w:rPr>
        <w:tab/>
      </w: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3234E2" w:rsidRPr="00BD0898" w:rsidRDefault="003234E2" w:rsidP="00D126E3">
      <w:pPr>
        <w:widowControl w:val="0"/>
        <w:tabs>
          <w:tab w:val="right" w:pos="9498"/>
        </w:tabs>
        <w:adjustRightInd w:val="0"/>
        <w:ind w:left="0" w:right="-142"/>
        <w:jc w:val="both"/>
        <w:rPr>
          <w:rFonts w:ascii="Bookman Old Style" w:hAnsi="Bookman Old Style"/>
          <w:b/>
          <w:szCs w:val="27"/>
        </w:rPr>
      </w:pPr>
    </w:p>
    <w:p w:rsidR="00B42221" w:rsidRDefault="00967468" w:rsidP="00B42221">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w:t>
      </w:r>
      <w:r w:rsidR="002A452D">
        <w:rPr>
          <w:rFonts w:ascii="Bookman Old Style" w:hAnsi="Bookman Old Style"/>
          <w:szCs w:val="27"/>
        </w:rPr>
        <w:t xml:space="preserve">por el recurrente </w:t>
      </w:r>
      <w:r>
        <w:rPr>
          <w:rFonts w:ascii="Bookman Old Style" w:hAnsi="Bookman Old Style"/>
          <w:szCs w:val="27"/>
        </w:rPr>
        <w:t xml:space="preserve">en el recurso de reposición, </w:t>
      </w:r>
      <w:r w:rsidR="00B42221">
        <w:rPr>
          <w:rFonts w:ascii="Bookman Old Style" w:hAnsi="Bookman Old Style"/>
          <w:szCs w:val="27"/>
        </w:rPr>
        <w:t xml:space="preserve">se </w:t>
      </w:r>
      <w:r w:rsidR="00B42221" w:rsidRPr="00B42221">
        <w:rPr>
          <w:rFonts w:ascii="Bookman Old Style" w:hAnsi="Bookman Old Style"/>
          <w:szCs w:val="27"/>
        </w:rPr>
        <w:t xml:space="preserve">advierte por parte esta Comisión que los </w:t>
      </w:r>
      <w:r w:rsidR="00B42221">
        <w:rPr>
          <w:rFonts w:ascii="Bookman Old Style" w:hAnsi="Bookman Old Style"/>
          <w:szCs w:val="27"/>
        </w:rPr>
        <w:t xml:space="preserve">mismos están dirigidos a </w:t>
      </w:r>
      <w:r w:rsidR="00B42221" w:rsidRPr="00B42221">
        <w:rPr>
          <w:rFonts w:ascii="Bookman Old Style" w:hAnsi="Bookman Old Style"/>
          <w:szCs w:val="27"/>
        </w:rPr>
        <w:t xml:space="preserve">cuestionar las motivaciones y la decisión adoptada por la CREG en relación con la información del Sistema Único de Información – SUI, así como a la forma y el procedimiento que se llevó a cabo para la definición de la capacidad de compra para la empresa </w:t>
      </w:r>
      <w:proofErr w:type="spellStart"/>
      <w:r w:rsidR="00FB365C">
        <w:rPr>
          <w:rFonts w:ascii="Bookman Old Style" w:hAnsi="Bookman Old Style"/>
          <w:szCs w:val="27"/>
        </w:rPr>
        <w:t>Surcolombiana</w:t>
      </w:r>
      <w:proofErr w:type="spellEnd"/>
      <w:r w:rsidR="00FB365C">
        <w:rPr>
          <w:rFonts w:ascii="Bookman Old Style" w:hAnsi="Bookman Old Style"/>
          <w:szCs w:val="27"/>
        </w:rPr>
        <w:t xml:space="preserve"> de Gas</w:t>
      </w:r>
      <w:r w:rsidR="00B42221" w:rsidRPr="00B42221">
        <w:rPr>
          <w:rFonts w:ascii="Bookman Old Style" w:hAnsi="Bookman Old Style"/>
          <w:szCs w:val="27"/>
        </w:rPr>
        <w:t xml:space="preserve"> en la Resolución CREG 075 de 2016 y su Anexo en aplicación de lo previsto en el artículo 8 de</w:t>
      </w:r>
      <w:r w:rsidR="00B42221">
        <w:rPr>
          <w:rFonts w:ascii="Bookman Old Style" w:hAnsi="Bookman Old Style"/>
          <w:szCs w:val="27"/>
        </w:rPr>
        <w:t xml:space="preserve"> la Resolución CREG 063 de 2016.</w:t>
      </w:r>
    </w:p>
    <w:p w:rsidR="00FB365C" w:rsidRDefault="00FB365C" w:rsidP="00FB365C">
      <w:pPr>
        <w:pStyle w:val="Textoindependiente2"/>
        <w:spacing w:after="0" w:line="240" w:lineRule="auto"/>
        <w:ind w:left="0" w:right="-142"/>
        <w:jc w:val="both"/>
        <w:rPr>
          <w:rFonts w:ascii="Bookman Old Style" w:hAnsi="Bookman Old Style"/>
          <w:szCs w:val="27"/>
        </w:rPr>
      </w:pPr>
    </w:p>
    <w:p w:rsidR="00FB365C" w:rsidRDefault="00FB365C" w:rsidP="00B42221">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lo anterior, dentro de la Resolución CREG 063 de 2016 y de manera específica dentro de los artículos 8 y 9 de este acto administrativo se establece de forma general la forma y la información que debe ser tenida en cuenta para llevar cabo la definición de  la capacidad de compra, la cual no incluye la información de las ventas hechas por los distribuidores como lo advierte </w:t>
      </w:r>
      <w:proofErr w:type="spellStart"/>
      <w:r>
        <w:rPr>
          <w:rFonts w:ascii="Bookman Old Style" w:hAnsi="Bookman Old Style"/>
          <w:szCs w:val="27"/>
        </w:rPr>
        <w:t>Surcolombiana</w:t>
      </w:r>
      <w:proofErr w:type="spellEnd"/>
      <w:r>
        <w:rPr>
          <w:rFonts w:ascii="Bookman Old Style" w:hAnsi="Bookman Old Style"/>
          <w:szCs w:val="27"/>
        </w:rPr>
        <w:t xml:space="preserve"> de Ga</w:t>
      </w:r>
      <w:r w:rsidR="003075FD">
        <w:rPr>
          <w:rFonts w:ascii="Bookman Old Style" w:hAnsi="Bookman Old Style"/>
          <w:szCs w:val="27"/>
        </w:rPr>
        <w:t>s en su recurso, sino que tiene</w:t>
      </w:r>
      <w:r>
        <w:rPr>
          <w:rFonts w:ascii="Bookman Old Style" w:hAnsi="Bookman Old Style"/>
          <w:szCs w:val="27"/>
        </w:rPr>
        <w:t xml:space="preserve"> en cuenta su capacidad de envasado de acuerdo con las inversiones </w:t>
      </w:r>
      <w:r w:rsidR="003075FD">
        <w:rPr>
          <w:rFonts w:ascii="Bookman Old Style" w:hAnsi="Bookman Old Style"/>
          <w:szCs w:val="27"/>
        </w:rPr>
        <w:t>en</w:t>
      </w:r>
      <w:r>
        <w:rPr>
          <w:rFonts w:ascii="Bookman Old Style" w:hAnsi="Bookman Old Style"/>
          <w:szCs w:val="27"/>
        </w:rPr>
        <w:t xml:space="preserve"> cilindros marcados </w:t>
      </w:r>
      <w:r w:rsidR="003075FD">
        <w:rPr>
          <w:rFonts w:ascii="Bookman Old Style" w:hAnsi="Bookman Old Style"/>
          <w:szCs w:val="27"/>
        </w:rPr>
        <w:t xml:space="preserve">y de tanques estacionarios atendidos </w:t>
      </w:r>
      <w:r>
        <w:rPr>
          <w:rFonts w:ascii="Bookman Old Style" w:hAnsi="Bookman Old Style"/>
          <w:szCs w:val="27"/>
        </w:rPr>
        <w:t>con las que cuenten en el S</w:t>
      </w:r>
      <w:r w:rsidR="003075FD">
        <w:rPr>
          <w:rFonts w:ascii="Bookman Old Style" w:hAnsi="Bookman Old Style"/>
          <w:szCs w:val="27"/>
        </w:rPr>
        <w:t xml:space="preserve">istema Único de Información-SUI con base en </w:t>
      </w:r>
      <w:r>
        <w:rPr>
          <w:rFonts w:ascii="Bookman Old Style" w:hAnsi="Bookman Old Style"/>
          <w:szCs w:val="27"/>
        </w:rPr>
        <w:t>la calidad de distribuidores inversionistas</w:t>
      </w:r>
      <w:r w:rsidR="003075FD">
        <w:rPr>
          <w:rFonts w:ascii="Bookman Old Style" w:hAnsi="Bookman Old Style"/>
          <w:szCs w:val="27"/>
        </w:rPr>
        <w:t xml:space="preserve"> (i. e. distribuidor que cuenta con inversiones y atiende usuarios en cilindros y/o tanques estacionarios)</w:t>
      </w:r>
      <w:r>
        <w:rPr>
          <w:rFonts w:ascii="Bookman Old Style" w:hAnsi="Bookman Old Style"/>
          <w:szCs w:val="27"/>
        </w:rPr>
        <w:t>. Por esta razón los argumentos en este sentido</w:t>
      </w:r>
      <w:r w:rsidR="003075FD">
        <w:rPr>
          <w:rFonts w:ascii="Bookman Old Style" w:hAnsi="Bookman Old Style"/>
          <w:szCs w:val="27"/>
        </w:rPr>
        <w:t xml:space="preserve"> expuestos por </w:t>
      </w:r>
      <w:proofErr w:type="spellStart"/>
      <w:r w:rsidR="003075FD">
        <w:rPr>
          <w:rFonts w:ascii="Bookman Old Style" w:hAnsi="Bookman Old Style"/>
          <w:szCs w:val="27"/>
        </w:rPr>
        <w:t>Surcolombiana</w:t>
      </w:r>
      <w:proofErr w:type="spellEnd"/>
      <w:r w:rsidR="003075FD">
        <w:rPr>
          <w:rFonts w:ascii="Bookman Old Style" w:hAnsi="Bookman Old Style"/>
          <w:szCs w:val="27"/>
        </w:rPr>
        <w:t xml:space="preserve"> de Gas</w:t>
      </w:r>
      <w:r>
        <w:rPr>
          <w:rFonts w:ascii="Bookman Old Style" w:hAnsi="Bookman Old Style"/>
          <w:szCs w:val="27"/>
        </w:rPr>
        <w:t xml:space="preserve"> no son de recibo por parte de la Comisión. </w:t>
      </w:r>
    </w:p>
    <w:p w:rsidR="00FB365C" w:rsidRDefault="00FB365C" w:rsidP="00B42221">
      <w:pPr>
        <w:pStyle w:val="Textoindependiente2"/>
        <w:spacing w:after="0" w:line="240" w:lineRule="auto"/>
        <w:ind w:left="-142" w:right="-142"/>
        <w:jc w:val="both"/>
        <w:rPr>
          <w:rFonts w:ascii="Bookman Old Style" w:hAnsi="Bookman Old Style"/>
          <w:szCs w:val="27"/>
        </w:rPr>
      </w:pPr>
    </w:p>
    <w:p w:rsidR="00023B66" w:rsidRDefault="00FB365C" w:rsidP="00B42221">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esto, </w:t>
      </w:r>
      <w:r w:rsidR="00023B66">
        <w:rPr>
          <w:rFonts w:ascii="Bookman Old Style" w:hAnsi="Bookman Old Style"/>
          <w:szCs w:val="27"/>
        </w:rPr>
        <w:t xml:space="preserve">si bien de acuerdo con el Registro Único de Prestadores de Servicios Públicos – RUPS </w:t>
      </w:r>
      <w:proofErr w:type="spellStart"/>
      <w:r w:rsidR="00023B66">
        <w:rPr>
          <w:rFonts w:ascii="Bookman Old Style" w:hAnsi="Bookman Old Style"/>
          <w:szCs w:val="27"/>
        </w:rPr>
        <w:t>Surcolombiana</w:t>
      </w:r>
      <w:proofErr w:type="spellEnd"/>
      <w:r w:rsidR="00023B66">
        <w:rPr>
          <w:rFonts w:ascii="Bookman Old Style" w:hAnsi="Bookman Old Style"/>
          <w:szCs w:val="27"/>
        </w:rPr>
        <w:t xml:space="preserve"> de Gas S.A. E.S.P. se encuentra activo como distribuidor de GLP por redes, </w:t>
      </w:r>
      <w:r>
        <w:rPr>
          <w:rFonts w:ascii="Bookman Old Style" w:hAnsi="Bookman Old Style"/>
          <w:szCs w:val="27"/>
        </w:rPr>
        <w:t xml:space="preserve">con </w:t>
      </w:r>
      <w:r w:rsidR="003075FD">
        <w:rPr>
          <w:rFonts w:ascii="Bookman Old Style" w:hAnsi="Bookman Old Style"/>
          <w:szCs w:val="27"/>
        </w:rPr>
        <w:t xml:space="preserve">base en </w:t>
      </w:r>
      <w:r>
        <w:rPr>
          <w:rFonts w:ascii="Bookman Old Style" w:hAnsi="Bookman Old Style"/>
          <w:szCs w:val="27"/>
        </w:rPr>
        <w:t xml:space="preserve">la información </w:t>
      </w:r>
      <w:r w:rsidR="00023B66">
        <w:rPr>
          <w:rFonts w:ascii="Bookman Old Style" w:hAnsi="Bookman Old Style"/>
          <w:szCs w:val="27"/>
        </w:rPr>
        <w:t xml:space="preserve">del Sistema Único de Información – SUI con corte de mayo de 2016 y con la cual fue definida la </w:t>
      </w:r>
      <w:r w:rsidR="00023B66">
        <w:rPr>
          <w:rFonts w:ascii="Bookman Old Style" w:hAnsi="Bookman Old Style"/>
          <w:szCs w:val="27"/>
        </w:rPr>
        <w:lastRenderedPageBreak/>
        <w:t xml:space="preserve">capacidad de compra de la empresa </w:t>
      </w:r>
      <w:proofErr w:type="spellStart"/>
      <w:r w:rsidR="00023B66">
        <w:rPr>
          <w:rFonts w:ascii="Bookman Old Style" w:hAnsi="Bookman Old Style"/>
          <w:szCs w:val="27"/>
        </w:rPr>
        <w:t>Surcolombiana</w:t>
      </w:r>
      <w:proofErr w:type="spellEnd"/>
      <w:r w:rsidR="00023B66">
        <w:rPr>
          <w:rFonts w:ascii="Bookman Old Style" w:hAnsi="Bookman Old Style"/>
          <w:szCs w:val="27"/>
        </w:rPr>
        <w:t xml:space="preserve"> de Gas, dicha empresa at</w:t>
      </w:r>
      <w:r w:rsidR="003075FD">
        <w:rPr>
          <w:rFonts w:ascii="Bookman Old Style" w:hAnsi="Bookman Old Style"/>
          <w:szCs w:val="27"/>
        </w:rPr>
        <w:t xml:space="preserve">iende 19 tanques estacionarios. Esto </w:t>
      </w:r>
      <w:r w:rsidR="00023B66">
        <w:rPr>
          <w:rFonts w:ascii="Bookman Old Style" w:hAnsi="Bookman Old Style"/>
          <w:szCs w:val="27"/>
        </w:rPr>
        <w:t xml:space="preserve">permite establecer por parte de esta Comisión que </w:t>
      </w:r>
      <w:r w:rsidR="003075FD">
        <w:rPr>
          <w:rFonts w:ascii="Bookman Old Style" w:hAnsi="Bookman Old Style"/>
          <w:szCs w:val="27"/>
        </w:rPr>
        <w:t>con base en la información del SUI, dicha empresa corresponde</w:t>
      </w:r>
      <w:r w:rsidR="00023B66">
        <w:rPr>
          <w:rFonts w:ascii="Bookman Old Style" w:hAnsi="Bookman Old Style"/>
          <w:szCs w:val="27"/>
        </w:rPr>
        <w:t xml:space="preserve"> igualmente a un distribuidor de GLP que presta el servicio a granel en los términos de la Resolución CREG 023 de 2008</w:t>
      </w:r>
      <w:r w:rsidR="003075FD">
        <w:rPr>
          <w:rFonts w:ascii="Bookman Old Style" w:hAnsi="Bookman Old Style"/>
          <w:szCs w:val="27"/>
        </w:rPr>
        <w:t>,</w:t>
      </w:r>
      <w:r w:rsidR="00023B66">
        <w:rPr>
          <w:rFonts w:ascii="Bookman Old Style" w:hAnsi="Bookman Old Style"/>
          <w:szCs w:val="27"/>
        </w:rPr>
        <w:t xml:space="preserve"> la cual considera a definido dicha actividad como:</w:t>
      </w:r>
    </w:p>
    <w:p w:rsidR="00023B66" w:rsidRDefault="00023B66" w:rsidP="00B42221">
      <w:pPr>
        <w:pStyle w:val="Textoindependiente2"/>
        <w:spacing w:after="0" w:line="240" w:lineRule="auto"/>
        <w:ind w:left="-142" w:right="-142"/>
        <w:jc w:val="both"/>
        <w:rPr>
          <w:rFonts w:ascii="Bookman Old Style" w:hAnsi="Bookman Old Style"/>
          <w:szCs w:val="27"/>
        </w:rPr>
      </w:pPr>
    </w:p>
    <w:p w:rsidR="00023B66" w:rsidRPr="00023B66" w:rsidRDefault="00023B66" w:rsidP="00023B66">
      <w:pPr>
        <w:pStyle w:val="Textoindependiente2"/>
        <w:spacing w:after="0" w:line="240" w:lineRule="auto"/>
        <w:ind w:left="284" w:right="284"/>
        <w:jc w:val="both"/>
        <w:rPr>
          <w:rFonts w:ascii="Bookman Old Style" w:hAnsi="Bookman Old Style"/>
          <w:i/>
          <w:sz w:val="22"/>
          <w:szCs w:val="22"/>
        </w:rPr>
      </w:pPr>
      <w:r>
        <w:rPr>
          <w:rFonts w:ascii="Bookman Old Style" w:hAnsi="Bookman Old Style"/>
          <w:i/>
          <w:sz w:val="22"/>
          <w:szCs w:val="22"/>
        </w:rPr>
        <w:t>“</w:t>
      </w:r>
      <w:r w:rsidRPr="00023B66">
        <w:rPr>
          <w:rFonts w:ascii="Bookman Old Style" w:hAnsi="Bookman Old Style"/>
          <w:b/>
          <w:i/>
          <w:sz w:val="22"/>
          <w:szCs w:val="22"/>
        </w:rPr>
        <w:t>Distribución de GLP:</w:t>
      </w:r>
      <w:r w:rsidRPr="00023B66">
        <w:rPr>
          <w:rFonts w:ascii="Bookman Old Style" w:hAnsi="Bookman Old Style"/>
          <w:i/>
          <w:sz w:val="22"/>
          <w:szCs w:val="22"/>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w:t>
      </w:r>
      <w:r w:rsidRPr="00023B66">
        <w:rPr>
          <w:rFonts w:ascii="Bookman Old Style" w:hAnsi="Bookman Old Style"/>
          <w:i/>
          <w:sz w:val="22"/>
          <w:szCs w:val="22"/>
          <w:u w:val="single"/>
        </w:rPr>
        <w:t xml:space="preserve">Comprende además las actividades de flete y entrega de producto a granel a través de tanques estacionarios instalados en el domicilio de los usuarios finales </w:t>
      </w:r>
      <w:r w:rsidRPr="00023B66">
        <w:rPr>
          <w:rFonts w:ascii="Bookman Old Style" w:hAnsi="Bookman Old Style"/>
          <w:i/>
          <w:sz w:val="22"/>
          <w:szCs w:val="22"/>
        </w:rPr>
        <w:t>y de venta de cilindros a través de Puntos de Venta.</w:t>
      </w:r>
      <w:r>
        <w:rPr>
          <w:rFonts w:ascii="Bookman Old Style" w:hAnsi="Bookman Old Style"/>
          <w:i/>
          <w:sz w:val="22"/>
          <w:szCs w:val="22"/>
        </w:rPr>
        <w:t>” (Resaltado fuera de texto)</w:t>
      </w:r>
    </w:p>
    <w:p w:rsidR="00023B66" w:rsidRDefault="00023B66" w:rsidP="00B42221">
      <w:pPr>
        <w:pStyle w:val="Textoindependiente2"/>
        <w:spacing w:after="0" w:line="240" w:lineRule="auto"/>
        <w:ind w:left="-142" w:right="-142"/>
        <w:jc w:val="both"/>
        <w:rPr>
          <w:rFonts w:ascii="Bookman Old Style" w:hAnsi="Bookman Old Style"/>
          <w:szCs w:val="27"/>
        </w:rPr>
      </w:pPr>
    </w:p>
    <w:p w:rsidR="0035783A" w:rsidRDefault="00023B66" w:rsidP="00B42221">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lo anterior, la definición de la capacidad de compra hecha en las resoluciones CREG 075 y 089 de 2016 se realizó para aquellos distribuidores que realizan la prestación del servicio de GLP en cilindros y/o a granel atendiendo la regulación prevista para el efecto en la Resolución CREG 023 de 2008. </w:t>
      </w:r>
      <w:r w:rsidR="003075FD">
        <w:rPr>
          <w:rFonts w:ascii="Bookman Old Style" w:hAnsi="Bookman Old Style"/>
          <w:szCs w:val="27"/>
        </w:rPr>
        <w:t>Esto difiere de la calidad de distribuidor de GLP por redes y que realizan exclusivamente dicha actividad.</w:t>
      </w:r>
    </w:p>
    <w:p w:rsidR="0035783A" w:rsidRDefault="0035783A" w:rsidP="00B42221">
      <w:pPr>
        <w:pStyle w:val="Textoindependiente2"/>
        <w:spacing w:after="0" w:line="240" w:lineRule="auto"/>
        <w:ind w:left="-142" w:right="-142"/>
        <w:jc w:val="both"/>
        <w:rPr>
          <w:rFonts w:ascii="Bookman Old Style" w:hAnsi="Bookman Old Style"/>
          <w:szCs w:val="27"/>
        </w:rPr>
      </w:pPr>
    </w:p>
    <w:p w:rsidR="00B42221" w:rsidRDefault="00023B66" w:rsidP="00B42221">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Dicha calidad y la realización de esta actividad se establece </w:t>
      </w:r>
      <w:r w:rsidR="0035783A">
        <w:rPr>
          <w:rFonts w:ascii="Bookman Old Style" w:hAnsi="Bookman Old Style"/>
          <w:szCs w:val="27"/>
        </w:rPr>
        <w:t xml:space="preserve">por parte de esta Comisión </w:t>
      </w:r>
      <w:r>
        <w:rPr>
          <w:rFonts w:ascii="Bookman Old Style" w:hAnsi="Bookman Old Style"/>
          <w:szCs w:val="27"/>
        </w:rPr>
        <w:t xml:space="preserve">de acuerdo con </w:t>
      </w:r>
      <w:r w:rsidR="0035783A">
        <w:rPr>
          <w:rFonts w:ascii="Bookman Old Style" w:hAnsi="Bookman Old Style"/>
          <w:szCs w:val="27"/>
        </w:rPr>
        <w:t xml:space="preserve">lo previsto en la regulación, así como con base en </w:t>
      </w:r>
      <w:r>
        <w:rPr>
          <w:rFonts w:ascii="Bookman Old Style" w:hAnsi="Bookman Old Style"/>
          <w:szCs w:val="27"/>
        </w:rPr>
        <w:t xml:space="preserve">la 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o a granel; ii) tener reportadas ventas de GLP en cilindros y/o tanques estacionarios a usuarios finales en el SUI; iii) </w:t>
      </w:r>
      <w:r w:rsidR="0035783A">
        <w:rPr>
          <w:rFonts w:ascii="Bookman Old Style" w:hAnsi="Bookman Old Style"/>
          <w:szCs w:val="27"/>
        </w:rPr>
        <w:t>contar con inversiones en cilindros o reportar tanques atendidos.</w:t>
      </w:r>
      <w:r>
        <w:rPr>
          <w:rFonts w:ascii="Bookman Old Style" w:hAnsi="Bookman Old Style"/>
          <w:szCs w:val="27"/>
        </w:rPr>
        <w:t xml:space="preserve">  </w:t>
      </w:r>
    </w:p>
    <w:p w:rsidR="00023B66" w:rsidRDefault="00023B66" w:rsidP="00B42221">
      <w:pPr>
        <w:pStyle w:val="Textoindependiente2"/>
        <w:spacing w:after="0" w:line="240" w:lineRule="auto"/>
        <w:ind w:left="-142" w:right="-142"/>
        <w:jc w:val="both"/>
        <w:rPr>
          <w:rFonts w:ascii="Bookman Old Style" w:hAnsi="Bookman Old Style"/>
          <w:szCs w:val="27"/>
        </w:rPr>
      </w:pPr>
    </w:p>
    <w:p w:rsidR="0035783A" w:rsidRDefault="0035783A" w:rsidP="00B42221">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el caso de la empresa </w:t>
      </w:r>
      <w:proofErr w:type="spellStart"/>
      <w:r>
        <w:rPr>
          <w:rFonts w:ascii="Bookman Old Style" w:hAnsi="Bookman Old Style"/>
          <w:szCs w:val="27"/>
        </w:rPr>
        <w:t>Surcolombiana</w:t>
      </w:r>
      <w:proofErr w:type="spellEnd"/>
      <w:r>
        <w:rPr>
          <w:rFonts w:ascii="Bookman Old Style" w:hAnsi="Bookman Old Style"/>
          <w:szCs w:val="27"/>
        </w:rPr>
        <w:t xml:space="preserve"> de Gas se establece la existencia </w:t>
      </w:r>
      <w:r w:rsidR="003075FD">
        <w:rPr>
          <w:rFonts w:ascii="Bookman Old Style" w:hAnsi="Bookman Old Style"/>
          <w:szCs w:val="27"/>
        </w:rPr>
        <w:t>de atención de tanques estacionarios y reporte de ventas en este sentido,</w:t>
      </w:r>
      <w:r>
        <w:rPr>
          <w:rFonts w:ascii="Bookman Old Style" w:hAnsi="Bookman Old Style"/>
          <w:szCs w:val="27"/>
        </w:rPr>
        <w:t xml:space="preserve"> razón por la cual</w:t>
      </w:r>
      <w:r w:rsidR="003075FD">
        <w:rPr>
          <w:rFonts w:ascii="Bookman Old Style" w:hAnsi="Bookman Old Style"/>
          <w:szCs w:val="27"/>
        </w:rPr>
        <w:t>,</w:t>
      </w:r>
      <w:r>
        <w:rPr>
          <w:rFonts w:ascii="Bookman Old Style" w:hAnsi="Bookman Old Style"/>
          <w:szCs w:val="27"/>
        </w:rPr>
        <w:t xml:space="preserve"> </w:t>
      </w:r>
      <w:r w:rsidR="003075FD">
        <w:rPr>
          <w:rFonts w:ascii="Bookman Old Style" w:hAnsi="Bookman Old Style"/>
          <w:szCs w:val="27"/>
        </w:rPr>
        <w:t>le corresponde a esta Comisión</w:t>
      </w:r>
      <w:r>
        <w:rPr>
          <w:rFonts w:ascii="Bookman Old Style" w:hAnsi="Bookman Old Style"/>
          <w:szCs w:val="27"/>
        </w:rPr>
        <w:t xml:space="preserve"> llevar a cabo la definición de la capacidad de compra atendiendo lo previsto en la Resolución CREG 063 de 2016. </w:t>
      </w:r>
    </w:p>
    <w:p w:rsidR="0035783A" w:rsidRDefault="0035783A" w:rsidP="00B42221">
      <w:pPr>
        <w:pStyle w:val="Textoindependiente2"/>
        <w:spacing w:after="0" w:line="240" w:lineRule="auto"/>
        <w:ind w:left="-142" w:right="-142"/>
        <w:jc w:val="both"/>
        <w:rPr>
          <w:rFonts w:ascii="Bookman Old Style" w:hAnsi="Bookman Old Style"/>
          <w:szCs w:val="27"/>
        </w:rPr>
      </w:pPr>
    </w:p>
    <w:p w:rsidR="00936888" w:rsidRDefault="0035783A" w:rsidP="0035783A">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De acuerdo con lo anterior, la información de ventas y usuarios atendidos a la que hace referencia el recurso no es de recibo por parte de esta Comisión a efectos de modificar lo establecido en la Resolución CREG 075 de 2016 </w:t>
      </w:r>
      <w:r w:rsidR="00C20BF7">
        <w:rPr>
          <w:rFonts w:ascii="Bookman Old Style" w:hAnsi="Bookman Old Style"/>
          <w:szCs w:val="27"/>
        </w:rPr>
        <w:t>en cuanto a la aplicación realizada por la Comisión a efectos de determinar la capacidad de compra de acuerdo con lo previsto en el artícul</w:t>
      </w:r>
      <w:r w:rsidR="00B42221">
        <w:rPr>
          <w:rFonts w:ascii="Bookman Old Style" w:hAnsi="Bookman Old Style"/>
          <w:szCs w:val="27"/>
        </w:rPr>
        <w:t>o 8 de este acto administrativo</w:t>
      </w:r>
      <w:r w:rsidR="00936888">
        <w:rPr>
          <w:rFonts w:ascii="Bookman Old Style" w:hAnsi="Bookman Old Style"/>
          <w:szCs w:val="27"/>
        </w:rPr>
        <w:t>.</w:t>
      </w:r>
      <w:r w:rsidR="00C20BF7">
        <w:rPr>
          <w:rFonts w:ascii="Bookman Old Style" w:hAnsi="Bookman Old Style"/>
          <w:szCs w:val="27"/>
        </w:rPr>
        <w:t xml:space="preserve"> </w:t>
      </w:r>
    </w:p>
    <w:p w:rsidR="00D126E3" w:rsidRPr="003234E2" w:rsidRDefault="00D126E3" w:rsidP="00B42221">
      <w:pPr>
        <w:pStyle w:val="Textoindependiente2"/>
        <w:spacing w:after="0" w:line="240" w:lineRule="auto"/>
        <w:ind w:left="0" w:right="-142"/>
        <w:jc w:val="both"/>
        <w:rPr>
          <w:rFonts w:ascii="Bookman Old Style" w:hAnsi="Bookman Old Style"/>
          <w:sz w:val="22"/>
          <w:szCs w:val="27"/>
        </w:rPr>
      </w:pPr>
    </w:p>
    <w:p w:rsidR="00DB5D03" w:rsidRPr="00EE6670" w:rsidRDefault="00DB5D03" w:rsidP="00DB5D0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 bien, t</w:t>
      </w:r>
      <w:r w:rsidRPr="00EE6670">
        <w:rPr>
          <w:rFonts w:ascii="Bookman Old Style" w:hAnsi="Bookman Old Style"/>
          <w:szCs w:val="27"/>
        </w:rPr>
        <w:t>eniendo en cuenta que dentro de</w:t>
      </w:r>
      <w:r>
        <w:rPr>
          <w:rFonts w:ascii="Bookman Old Style" w:hAnsi="Bookman Old Style"/>
          <w:szCs w:val="27"/>
        </w:rPr>
        <w:t xml:space="preserve"> los argumentos expuestos por una serie de empresas dentro de sus</w:t>
      </w:r>
      <w:r w:rsidRPr="00EE6670">
        <w:rPr>
          <w:rFonts w:ascii="Bookman Old Style" w:hAnsi="Bookman Old Style"/>
          <w:szCs w:val="27"/>
        </w:rPr>
        <w:t xml:space="preserve"> recurso</w:t>
      </w:r>
      <w:r>
        <w:rPr>
          <w:rFonts w:ascii="Bookman Old Style" w:hAnsi="Bookman Old Style"/>
          <w:szCs w:val="27"/>
        </w:rPr>
        <w:t>s</w:t>
      </w:r>
      <w:r w:rsidRPr="00EE6670">
        <w:rPr>
          <w:rFonts w:ascii="Bookman Old Style" w:hAnsi="Bookman Old Style"/>
          <w:szCs w:val="27"/>
        </w:rPr>
        <w:t xml:space="preserve"> de reposición se encontraban elementos relacionados con una posible diferencia de información del Sistema Único de Información – SUI</w:t>
      </w:r>
      <w:r>
        <w:rPr>
          <w:rFonts w:ascii="Bookman Old Style" w:hAnsi="Bookman Old Style"/>
          <w:szCs w:val="27"/>
        </w:rPr>
        <w:t>,</w:t>
      </w:r>
      <w:r w:rsidRPr="00EE6670">
        <w:rPr>
          <w:rFonts w:ascii="Bookman Old Style" w:hAnsi="Bookman Old Style"/>
          <w:szCs w:val="27"/>
        </w:rPr>
        <w:t xml:space="preserve"> </w:t>
      </w:r>
      <w:r>
        <w:rPr>
          <w:rFonts w:ascii="Bookman Old Style" w:hAnsi="Bookman Old Style"/>
          <w:szCs w:val="27"/>
        </w:rPr>
        <w:t>esta Comisión de acuerdo con las</w:t>
      </w:r>
      <w:r w:rsidRPr="00EE6670">
        <w:rPr>
          <w:rFonts w:ascii="Bookman Old Style" w:hAnsi="Bookman Old Style"/>
          <w:szCs w:val="27"/>
        </w:rPr>
        <w:t xml:space="preserve"> facultades </w:t>
      </w:r>
      <w:r>
        <w:rPr>
          <w:rFonts w:ascii="Bookman Old Style" w:hAnsi="Bookman Old Style"/>
          <w:szCs w:val="27"/>
        </w:rPr>
        <w:t xml:space="preserve">con las que cuenta en </w:t>
      </w:r>
      <w:r w:rsidRPr="00EE6670">
        <w:rPr>
          <w:rFonts w:ascii="Bookman Old Style" w:hAnsi="Bookman Old Style"/>
          <w:szCs w:val="27"/>
        </w:rPr>
        <w:t xml:space="preserve">materia probatoria, previstas en la Ley 142 de 1994, procedió a decretar de manera oficiosa la práctica de pruebas, para lo cual expidió el Auto I-2016-003755 en el cual se solicitó a la Superintendencia de Servicios Públicos Domiciliarios, en calidad de administrador de dicha herramienta, lo siguiente: </w:t>
      </w:r>
    </w:p>
    <w:p w:rsidR="00DB5D03" w:rsidRPr="00EE6670" w:rsidRDefault="00DB5D03" w:rsidP="00DB5D03">
      <w:pPr>
        <w:ind w:left="284" w:right="284"/>
        <w:jc w:val="both"/>
        <w:rPr>
          <w:rFonts w:ascii="Bookman Old Style" w:hAnsi="Bookman Old Style" w:cs="Arial"/>
          <w:i/>
          <w:sz w:val="22"/>
          <w:szCs w:val="22"/>
        </w:rPr>
      </w:pPr>
    </w:p>
    <w:p w:rsidR="00DB5D03" w:rsidRPr="00EE6670" w:rsidRDefault="00DB5D03" w:rsidP="00DB5D03">
      <w:pPr>
        <w:ind w:left="284" w:right="284"/>
        <w:jc w:val="both"/>
        <w:rPr>
          <w:rFonts w:ascii="Bookman Old Style" w:hAnsi="Bookman Old Style" w:cs="Arial"/>
          <w:i/>
          <w:sz w:val="22"/>
          <w:szCs w:val="22"/>
        </w:rPr>
      </w:pPr>
      <w:r>
        <w:rPr>
          <w:rFonts w:ascii="Bookman Old Style" w:hAnsi="Bookman Old Style" w:cs="Arial"/>
          <w:i/>
          <w:sz w:val="22"/>
          <w:szCs w:val="22"/>
        </w:rPr>
        <w:lastRenderedPageBreak/>
        <w:t>“</w:t>
      </w:r>
      <w:r w:rsidRPr="00EE6670">
        <w:rPr>
          <w:rFonts w:ascii="Bookman Old Style" w:hAnsi="Bookman Old Style" w:cs="Arial"/>
          <w:i/>
          <w:sz w:val="22"/>
          <w:szCs w:val="22"/>
        </w:rPr>
        <w:t>Artículo 1. Decretar de manera oficiosa la práctica de las siguientes pruebas a efectos de que esta Comisión pueda resolver los recursos de reposición interpuestos en contra de las resoluciones CREG 075 y 089 de 2016:</w:t>
      </w:r>
    </w:p>
    <w:p w:rsidR="00DB5D03" w:rsidRPr="00EE6670" w:rsidRDefault="00DB5D03" w:rsidP="00DB5D03">
      <w:pPr>
        <w:ind w:left="284" w:right="284"/>
        <w:jc w:val="both"/>
        <w:rPr>
          <w:rFonts w:ascii="Bookman Old Style" w:hAnsi="Bookman Old Style" w:cs="Arial"/>
          <w:i/>
          <w:sz w:val="22"/>
          <w:szCs w:val="22"/>
        </w:rPr>
      </w:pPr>
    </w:p>
    <w:p w:rsidR="00DB5D03" w:rsidRPr="00EE6670" w:rsidRDefault="00DB5D03" w:rsidP="00DB5D03">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Oficiar a la Superintendencia de Servicios Públicos Domiciliarios para que en el término de quince (15) días hábiles siguientes al recibo de la presente comunicación manifieste e informe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reportes y pantallazos que se adjuntan en los recursos de reposición por parte de las empresas. </w:t>
      </w:r>
    </w:p>
    <w:p w:rsidR="00DB5D03" w:rsidRPr="00EE6670" w:rsidRDefault="00DB5D03" w:rsidP="00DB5D03">
      <w:pPr>
        <w:ind w:left="284" w:right="284"/>
        <w:jc w:val="both"/>
        <w:rPr>
          <w:rFonts w:ascii="Bookman Old Style" w:hAnsi="Bookman Old Style" w:cs="Arial"/>
          <w:i/>
          <w:sz w:val="22"/>
          <w:szCs w:val="22"/>
        </w:rPr>
      </w:pPr>
    </w:p>
    <w:p w:rsidR="00DB5D03" w:rsidRPr="00EE6670" w:rsidRDefault="00DB5D03" w:rsidP="00DB5D03">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manifestar e informar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informes de cesión de marcas realizados a la Superintendencia por parte de las empresas distribuidoras de acuerdo con los soportes adjuntos en los recursos de reposición.</w:t>
      </w:r>
    </w:p>
    <w:p w:rsidR="00DB5D03" w:rsidRPr="00EE6670" w:rsidRDefault="00DB5D03" w:rsidP="00DB5D03">
      <w:pPr>
        <w:ind w:left="284" w:right="284"/>
        <w:jc w:val="both"/>
        <w:rPr>
          <w:rFonts w:ascii="Bookman Old Style" w:hAnsi="Bookman Old Style" w:cs="Arial"/>
          <w:i/>
          <w:sz w:val="22"/>
          <w:szCs w:val="22"/>
        </w:rPr>
      </w:pPr>
    </w:p>
    <w:p w:rsidR="00DB5D03" w:rsidRPr="00EE6670" w:rsidRDefault="00DB5D03" w:rsidP="00DB5D03">
      <w:pPr>
        <w:ind w:left="284" w:right="284"/>
        <w:jc w:val="both"/>
        <w:rPr>
          <w:rFonts w:ascii="Bookman Old Style" w:hAnsi="Bookman Old Style" w:cs="Arial"/>
          <w:i/>
          <w:sz w:val="22"/>
          <w:szCs w:val="22"/>
        </w:rPr>
      </w:pPr>
      <w:r w:rsidRPr="00EE6670">
        <w:rPr>
          <w:rFonts w:ascii="Bookman Old Style" w:hAnsi="Bookman Old Style" w:cs="Arial"/>
          <w:i/>
          <w:sz w:val="22"/>
          <w:szCs w:val="22"/>
        </w:rPr>
        <w:t>Para el efecto se remitirá a la Superintendencia la información del archivo Excel correspondiente al radicado CREG E-2016-005769, así como copia de los recursos de reposición interpuestos en contra de las resolu</w:t>
      </w:r>
      <w:r>
        <w:rPr>
          <w:rFonts w:ascii="Bookman Old Style" w:hAnsi="Bookman Old Style" w:cs="Arial"/>
          <w:i/>
          <w:sz w:val="22"/>
          <w:szCs w:val="22"/>
        </w:rPr>
        <w:t>ciones CREG 075 y 089 de 2016</w:t>
      </w:r>
      <w:r w:rsidRPr="00EE6670">
        <w:rPr>
          <w:rFonts w:ascii="Bookman Old Style" w:hAnsi="Bookman Old Style" w:cs="Arial"/>
          <w:i/>
          <w:sz w:val="22"/>
          <w:szCs w:val="22"/>
        </w:rPr>
        <w:t>.</w:t>
      </w:r>
      <w:r>
        <w:rPr>
          <w:rFonts w:ascii="Bookman Old Style" w:hAnsi="Bookman Old Style" w:cs="Arial"/>
          <w:i/>
          <w:sz w:val="22"/>
          <w:szCs w:val="22"/>
        </w:rPr>
        <w:t>”</w:t>
      </w:r>
    </w:p>
    <w:p w:rsidR="00DB5D03" w:rsidRPr="007F1548" w:rsidRDefault="00DB5D03" w:rsidP="00DB5D03">
      <w:pPr>
        <w:jc w:val="both"/>
        <w:rPr>
          <w:rFonts w:ascii="Arial" w:hAnsi="Arial" w:cs="Arial"/>
          <w:bCs/>
          <w:sz w:val="22"/>
          <w:szCs w:val="22"/>
          <w:lang w:val="es-CO"/>
        </w:rPr>
      </w:pPr>
    </w:p>
    <w:p w:rsidR="00DB5D03" w:rsidRPr="00EE6670" w:rsidRDefault="00DB5D03" w:rsidP="00DB5D03">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 xml:space="preserve">Posteriormente se expidió el Auto I-2016-004099 a efectos de incluir a las empresas Gases de Popayán y </w:t>
      </w:r>
      <w:proofErr w:type="spellStart"/>
      <w:r w:rsidRPr="00EE6670">
        <w:rPr>
          <w:rFonts w:ascii="Bookman Old Style" w:hAnsi="Bookman Old Style"/>
          <w:szCs w:val="27"/>
        </w:rPr>
        <w:t>Electrogas</w:t>
      </w:r>
      <w:proofErr w:type="spellEnd"/>
      <w:r w:rsidRPr="00EE6670">
        <w:rPr>
          <w:rFonts w:ascii="Bookman Old Style" w:hAnsi="Bookman Old Style"/>
          <w:szCs w:val="27"/>
        </w:rPr>
        <w:t xml:space="preserve"> dentro de la misma solicitud hecha a la Superintendencia, como parte del decreto y práctica de pruebas hecho inicialmente para 12 empresas distribuidoras en el Auto I-2016-003755.</w:t>
      </w:r>
    </w:p>
    <w:p w:rsidR="00DB5D03" w:rsidRPr="00EE6670" w:rsidRDefault="00DB5D03" w:rsidP="00DB5D03">
      <w:pPr>
        <w:pStyle w:val="Textoindependiente2"/>
        <w:spacing w:after="0" w:line="240" w:lineRule="auto"/>
        <w:ind w:left="0" w:right="-142"/>
        <w:jc w:val="both"/>
        <w:rPr>
          <w:rFonts w:ascii="Bookman Old Style" w:hAnsi="Bookman Old Style"/>
          <w:szCs w:val="27"/>
        </w:rPr>
      </w:pPr>
    </w:p>
    <w:p w:rsidR="00DB5D03" w:rsidRDefault="00DB5D03" w:rsidP="00DB5D03">
      <w:pPr>
        <w:pStyle w:val="Textoindependiente2"/>
        <w:spacing w:after="0" w:line="240" w:lineRule="auto"/>
        <w:ind w:left="-142" w:right="-142"/>
        <w:jc w:val="both"/>
        <w:rPr>
          <w:rFonts w:ascii="Bookman Old Style" w:hAnsi="Bookman Old Style"/>
          <w:szCs w:val="27"/>
        </w:rPr>
      </w:pPr>
      <w:r w:rsidRPr="00D24BFC">
        <w:rPr>
          <w:rFonts w:ascii="Bookman Old Style" w:hAnsi="Bookman Old Style"/>
          <w:szCs w:val="27"/>
        </w:rPr>
        <w:t>Mediante oficio</w:t>
      </w:r>
      <w:r>
        <w:rPr>
          <w:rFonts w:ascii="Bookman Old Style" w:hAnsi="Bookman Old Style"/>
          <w:szCs w:val="27"/>
        </w:rPr>
        <w:t>s</w:t>
      </w:r>
      <w:r w:rsidRPr="00D24BFC">
        <w:rPr>
          <w:rFonts w:ascii="Bookman Old Style" w:hAnsi="Bookman Old Style"/>
          <w:szCs w:val="27"/>
        </w:rPr>
        <w:t xml:space="preserve"> con radicado CREG E-2016-010390 de 23 de septiembre </w:t>
      </w:r>
      <w:r>
        <w:rPr>
          <w:rFonts w:ascii="Bookman Old Style" w:hAnsi="Bookman Old Style"/>
          <w:szCs w:val="27"/>
        </w:rPr>
        <w:t>y E-2016-</w:t>
      </w:r>
      <w:r w:rsidR="0035783A">
        <w:rPr>
          <w:rFonts w:ascii="Bookman Old Style" w:hAnsi="Bookman Old Style"/>
          <w:szCs w:val="27"/>
        </w:rPr>
        <w:t>010752</w:t>
      </w:r>
      <w:r>
        <w:rPr>
          <w:rFonts w:ascii="Bookman Old Style" w:hAnsi="Bookman Old Style"/>
          <w:szCs w:val="27"/>
        </w:rPr>
        <w:t xml:space="preserve"> de septiembre 30 </w:t>
      </w:r>
      <w:r w:rsidRPr="00D24BFC">
        <w:rPr>
          <w:rFonts w:ascii="Bookman Old Style" w:hAnsi="Bookman Old Style"/>
          <w:szCs w:val="27"/>
        </w:rPr>
        <w:t xml:space="preserve">de 2016 la Superintendencia de Servicios Públicos Domiciliarios a través de la Delegada de Energía Eléctrica y Gas Combustible remitió la información solicitada por esta Comisión. </w:t>
      </w:r>
    </w:p>
    <w:p w:rsidR="00DB5D03" w:rsidRDefault="00DB5D03" w:rsidP="00DB5D03">
      <w:pPr>
        <w:pStyle w:val="Textoindependiente2"/>
        <w:spacing w:after="0" w:line="240" w:lineRule="auto"/>
        <w:ind w:left="-142" w:right="-142"/>
        <w:jc w:val="both"/>
        <w:rPr>
          <w:rFonts w:ascii="Bookman Old Style" w:hAnsi="Bookman Old Style"/>
          <w:szCs w:val="27"/>
        </w:rPr>
      </w:pPr>
    </w:p>
    <w:p w:rsidR="00DB5D03" w:rsidRDefault="00DB5D03" w:rsidP="00DB5D0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Igualmente, dentro del auto de pruebas esta Comisión precisó lo siguiente:</w:t>
      </w:r>
    </w:p>
    <w:p w:rsidR="00DB5D03" w:rsidRDefault="00DB5D03" w:rsidP="00DB5D03">
      <w:pPr>
        <w:pStyle w:val="Textoindependiente2"/>
        <w:spacing w:after="0" w:line="240" w:lineRule="auto"/>
        <w:ind w:left="-142" w:right="-142"/>
        <w:jc w:val="both"/>
        <w:rPr>
          <w:rFonts w:ascii="Bookman Old Style" w:hAnsi="Bookman Old Style"/>
          <w:szCs w:val="27"/>
        </w:rPr>
      </w:pPr>
    </w:p>
    <w:p w:rsidR="00DB5D03" w:rsidRPr="00EE6670" w:rsidRDefault="00DB5D03" w:rsidP="00DB5D03">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DB5D03" w:rsidRPr="00EE6670" w:rsidRDefault="00DB5D03" w:rsidP="00DB5D03">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DB5D03" w:rsidRPr="006B1C94" w:rsidTr="00FB4329">
        <w:trPr>
          <w:jc w:val="center"/>
        </w:trPr>
        <w:tc>
          <w:tcPr>
            <w:tcW w:w="2408" w:type="dxa"/>
            <w:shd w:val="clear" w:color="auto" w:fill="auto"/>
            <w:vAlign w:val="center"/>
          </w:tcPr>
          <w:p w:rsidR="00DB5D03" w:rsidRPr="006B1C94" w:rsidRDefault="00DB5D03" w:rsidP="00FB4329">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DB5D03" w:rsidRPr="006B1C94" w:rsidRDefault="00DB5D03" w:rsidP="00FB4329">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DB5D03" w:rsidRPr="006B1C94" w:rsidRDefault="00DB5D03" w:rsidP="00FB4329">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DB5D03" w:rsidRDefault="00DB5D03" w:rsidP="00DB5D03">
      <w:pPr>
        <w:pStyle w:val="Textoindependiente"/>
        <w:rPr>
          <w:sz w:val="22"/>
          <w:szCs w:val="22"/>
        </w:rPr>
      </w:pPr>
    </w:p>
    <w:p w:rsidR="00DB5D03" w:rsidRDefault="00DB5D03" w:rsidP="003075FD">
      <w:pPr>
        <w:ind w:left="284" w:right="284"/>
        <w:jc w:val="both"/>
        <w:rPr>
          <w:rFonts w:ascii="Bookman Old Style" w:hAnsi="Bookman Old Style" w:cs="Arial"/>
          <w:i/>
          <w:sz w:val="22"/>
          <w:szCs w:val="22"/>
        </w:rPr>
      </w:pPr>
      <w:r w:rsidRPr="00EE6670">
        <w:rPr>
          <w:rFonts w:ascii="Bookman Old Style" w:hAnsi="Bookman Old Style" w:cs="Arial"/>
          <w:i/>
          <w:sz w:val="22"/>
          <w:szCs w:val="22"/>
        </w:rPr>
        <w:lastRenderedPageBreak/>
        <w:t xml:space="preserve">Así mismo, remitir la información de tanques estacionarios atendidos por cada distribuidor y su capacidad en galones correspondiente al año 2015 de acuerdo con lo reportado a la Superintendencia de Servicios Públicos Domiciliarios en el Sistema Único de Información </w:t>
      </w:r>
      <w:r>
        <w:rPr>
          <w:rFonts w:ascii="Bookman Old Style" w:hAnsi="Bookman Old Style" w:cs="Arial"/>
          <w:i/>
          <w:sz w:val="22"/>
          <w:szCs w:val="22"/>
        </w:rPr>
        <w:t>–</w:t>
      </w:r>
      <w:r w:rsidRPr="00EE6670">
        <w:rPr>
          <w:rFonts w:ascii="Bookman Old Style" w:hAnsi="Bookman Old Style" w:cs="Arial"/>
          <w:i/>
          <w:sz w:val="22"/>
          <w:szCs w:val="22"/>
        </w:rPr>
        <w:t xml:space="preserve"> SUI</w:t>
      </w:r>
      <w:r>
        <w:rPr>
          <w:rFonts w:ascii="Bookman Old Style" w:hAnsi="Bookman Old Style" w:cs="Arial"/>
          <w:i/>
          <w:sz w:val="22"/>
          <w:szCs w:val="22"/>
        </w:rPr>
        <w:t>”</w:t>
      </w:r>
      <w:r w:rsidR="008609A8">
        <w:rPr>
          <w:rFonts w:ascii="Bookman Old Style" w:hAnsi="Bookman Old Style" w:cs="Arial"/>
          <w:i/>
          <w:sz w:val="22"/>
          <w:szCs w:val="22"/>
        </w:rPr>
        <w:t>.</w:t>
      </w:r>
    </w:p>
    <w:p w:rsidR="008609A8" w:rsidRDefault="008609A8" w:rsidP="003075FD">
      <w:pPr>
        <w:ind w:left="284" w:right="284"/>
        <w:jc w:val="both"/>
        <w:rPr>
          <w:rFonts w:ascii="Bookman Old Style" w:hAnsi="Bookman Old Style"/>
          <w:szCs w:val="27"/>
        </w:rPr>
      </w:pPr>
    </w:p>
    <w:p w:rsidR="00DB5D03" w:rsidRDefault="00DB5D03" w:rsidP="00DB5D0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esta solicitud la </w:t>
      </w:r>
      <w:r w:rsidRPr="005912CB">
        <w:rPr>
          <w:rFonts w:ascii="Bookman Old Style" w:hAnsi="Bookman Old Style"/>
          <w:szCs w:val="27"/>
        </w:rPr>
        <w:t>Superintendencia de Servicios Públicos Domiciliarios</w:t>
      </w:r>
      <w:r>
        <w:rPr>
          <w:rFonts w:ascii="Bookman Old Style" w:hAnsi="Bookman Old Style"/>
          <w:szCs w:val="27"/>
        </w:rPr>
        <w:t xml:space="preserve"> expuso:</w:t>
      </w:r>
    </w:p>
    <w:p w:rsidR="00DB5D03" w:rsidRDefault="00DB5D03" w:rsidP="00DB5D03">
      <w:pPr>
        <w:pStyle w:val="Textoindependiente2"/>
        <w:spacing w:after="0" w:line="240" w:lineRule="auto"/>
        <w:ind w:left="0" w:right="-142"/>
        <w:jc w:val="both"/>
        <w:rPr>
          <w:rFonts w:ascii="Bookman Old Style" w:hAnsi="Bookman Old Style"/>
          <w:szCs w:val="27"/>
        </w:rPr>
      </w:pPr>
    </w:p>
    <w:p w:rsidR="00DB5D03" w:rsidRDefault="00AF500C" w:rsidP="00DB5D03">
      <w:pPr>
        <w:pStyle w:val="Textoindependiente2"/>
        <w:spacing w:after="0" w:line="240" w:lineRule="auto"/>
        <w:ind w:left="-142" w:right="-142"/>
        <w:jc w:val="center"/>
        <w:rPr>
          <w:rFonts w:ascii="Bookman Old Style" w:hAnsi="Bookman Old Style"/>
          <w:szCs w:val="27"/>
        </w:rPr>
      </w:pPr>
      <w:r w:rsidRPr="005912CB">
        <w:rPr>
          <w:rFonts w:ascii="Bookman Old Style" w:hAnsi="Bookman Old Style"/>
          <w:noProof/>
          <w:szCs w:val="27"/>
          <w:lang w:val="es-CO" w:eastAsia="es-CO"/>
        </w:rPr>
        <w:drawing>
          <wp:inline distT="0" distB="0" distL="0" distR="0">
            <wp:extent cx="5931535" cy="938530"/>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1535" cy="938530"/>
                    </a:xfrm>
                    <a:prstGeom prst="rect">
                      <a:avLst/>
                    </a:prstGeom>
                    <a:noFill/>
                    <a:ln>
                      <a:noFill/>
                    </a:ln>
                  </pic:spPr>
                </pic:pic>
              </a:graphicData>
            </a:graphic>
          </wp:inline>
        </w:drawing>
      </w:r>
    </w:p>
    <w:p w:rsidR="00DB5D03" w:rsidRDefault="00DB5D03" w:rsidP="00DB5D03">
      <w:pPr>
        <w:pStyle w:val="Textoindependiente2"/>
        <w:spacing w:after="0" w:line="240" w:lineRule="auto"/>
        <w:ind w:left="-142" w:right="-142"/>
        <w:jc w:val="both"/>
        <w:rPr>
          <w:rFonts w:ascii="Bookman Old Style" w:hAnsi="Bookman Old Style"/>
          <w:szCs w:val="27"/>
        </w:rPr>
      </w:pPr>
    </w:p>
    <w:p w:rsidR="00DB5D03" w:rsidRDefault="00DB5D03" w:rsidP="00DB5D0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Con respecto a la información de tanques estacionarios, se debe precisar en primer lugar que esta Comisión </w:t>
      </w:r>
      <w:r w:rsidRPr="00A45909">
        <w:rPr>
          <w:rFonts w:ascii="Bookman Old Style" w:hAnsi="Bookman Old Style"/>
          <w:szCs w:val="27"/>
        </w:rPr>
        <w:t>atendiendo el procedimiento establecido en el artículo 8 de la Resolución CREG 063 de 2016</w:t>
      </w:r>
      <w:r>
        <w:rPr>
          <w:rFonts w:ascii="Bookman Old Style" w:hAnsi="Bookman Old Style"/>
          <w:szCs w:val="27"/>
        </w:rPr>
        <w:t>, llevo a cabo la definición de la capacidad de compra en la Resolución CREG 075 de 2016</w:t>
      </w:r>
      <w:r w:rsidRPr="00A45909">
        <w:rPr>
          <w:rFonts w:ascii="Bookman Old Style" w:hAnsi="Bookman Old Style"/>
          <w:szCs w:val="27"/>
        </w:rPr>
        <w:t xml:space="preserve"> con información </w:t>
      </w:r>
      <w:r>
        <w:rPr>
          <w:rFonts w:ascii="Bookman Old Style" w:hAnsi="Bookman Old Style"/>
          <w:szCs w:val="27"/>
        </w:rPr>
        <w:t>publicada en e</w:t>
      </w:r>
      <w:r w:rsidRPr="00A45909">
        <w:rPr>
          <w:rFonts w:ascii="Bookman Old Style" w:hAnsi="Bookman Old Style"/>
          <w:szCs w:val="27"/>
        </w:rPr>
        <w:t xml:space="preserve">l Sistema Único de Información – </w:t>
      </w:r>
      <w:r>
        <w:rPr>
          <w:rFonts w:ascii="Bookman Old Style" w:hAnsi="Bookman Old Style"/>
          <w:szCs w:val="27"/>
        </w:rPr>
        <w:t>SUI</w:t>
      </w:r>
      <w:r w:rsidRPr="00A45909">
        <w:rPr>
          <w:rFonts w:ascii="Bookman Old Style" w:hAnsi="Bookman Old Style"/>
          <w:szCs w:val="27"/>
        </w:rPr>
        <w:t xml:space="preserve"> con corte al 10 de mayo de 2016.</w:t>
      </w:r>
    </w:p>
    <w:p w:rsidR="00DB5D03" w:rsidRDefault="00DB5D03" w:rsidP="00DB5D03">
      <w:pPr>
        <w:pStyle w:val="Textoindependiente2"/>
        <w:spacing w:after="0" w:line="240" w:lineRule="auto"/>
        <w:ind w:left="-142" w:right="-142"/>
        <w:jc w:val="both"/>
        <w:rPr>
          <w:rFonts w:ascii="Bookman Old Style" w:hAnsi="Bookman Old Style"/>
          <w:szCs w:val="27"/>
        </w:rPr>
      </w:pPr>
    </w:p>
    <w:p w:rsidR="003075FD" w:rsidRDefault="00DB5D03" w:rsidP="003075F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Ahora, de acuerdo con la información remitida por parte de la Superintendencia de Servicios Públicos Domiciliarios, se establece por parte de esta Comisión que se han hecho ajustes a la información del Sistema Único de Información – SUI reportada y remitida inicialmente con corte a 10 de mayo de 2016 con la cual fue definida la capacidad de compra a que hace referencia las resoluciones CREG 075 y 089 de 2016, tanto a nivel de cilindros y tanques estacionarios de las empresas distribuidoras de GLP. </w:t>
      </w:r>
    </w:p>
    <w:p w:rsidR="003075FD" w:rsidRDefault="003075FD" w:rsidP="003075FD">
      <w:pPr>
        <w:pStyle w:val="Textoindependiente2"/>
        <w:spacing w:after="0" w:line="240" w:lineRule="auto"/>
        <w:ind w:left="-142" w:right="-142"/>
        <w:jc w:val="both"/>
        <w:rPr>
          <w:rFonts w:ascii="Bookman Old Style" w:hAnsi="Bookman Old Style"/>
          <w:szCs w:val="27"/>
        </w:rPr>
      </w:pPr>
    </w:p>
    <w:p w:rsidR="003075FD" w:rsidRDefault="00DB5D03" w:rsidP="003075F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De esto se concluye que dichas modificaciones y ajustes al SUI son consideradas como ajustadas a las normas sobre reporte de información por parte de dicha superintendencia y corresponde a información válida dentro de este sistema de información. </w:t>
      </w:r>
    </w:p>
    <w:p w:rsidR="003075FD" w:rsidRDefault="003075FD" w:rsidP="003075FD">
      <w:pPr>
        <w:pStyle w:val="Textoindependiente2"/>
        <w:spacing w:after="0" w:line="240" w:lineRule="auto"/>
        <w:ind w:left="-142" w:right="-142"/>
        <w:jc w:val="both"/>
        <w:rPr>
          <w:rFonts w:ascii="Bookman Old Style" w:hAnsi="Bookman Old Style"/>
          <w:szCs w:val="27"/>
        </w:rPr>
      </w:pPr>
    </w:p>
    <w:p w:rsidR="00DB5D03" w:rsidRDefault="0035783A" w:rsidP="003075F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el caso </w:t>
      </w:r>
      <w:r w:rsidR="005C4B64">
        <w:rPr>
          <w:rFonts w:ascii="Bookman Old Style" w:hAnsi="Bookman Old Style"/>
          <w:szCs w:val="27"/>
        </w:rPr>
        <w:t>particular</w:t>
      </w:r>
      <w:r>
        <w:rPr>
          <w:rFonts w:ascii="Bookman Old Style" w:hAnsi="Bookman Old Style"/>
          <w:szCs w:val="27"/>
        </w:rPr>
        <w:t xml:space="preserve"> de </w:t>
      </w:r>
      <w:proofErr w:type="spellStart"/>
      <w:r>
        <w:rPr>
          <w:rFonts w:ascii="Bookman Old Style" w:hAnsi="Bookman Old Style"/>
          <w:szCs w:val="27"/>
        </w:rPr>
        <w:t>Surcolombiana</w:t>
      </w:r>
      <w:proofErr w:type="spellEnd"/>
      <w:r>
        <w:rPr>
          <w:rFonts w:ascii="Bookman Old Style" w:hAnsi="Bookman Old Style"/>
          <w:szCs w:val="27"/>
        </w:rPr>
        <w:t xml:space="preserve"> de Gas dichos ajustes se realizaron en la información </w:t>
      </w:r>
      <w:r w:rsidR="003075FD">
        <w:rPr>
          <w:rFonts w:ascii="Bookman Old Style" w:hAnsi="Bookman Old Style"/>
          <w:szCs w:val="27"/>
        </w:rPr>
        <w:t>correspon</w:t>
      </w:r>
      <w:r>
        <w:rPr>
          <w:rFonts w:ascii="Bookman Old Style" w:hAnsi="Bookman Old Style"/>
          <w:szCs w:val="27"/>
        </w:rPr>
        <w:t xml:space="preserve">diente al reporte de tanques estacionarios, sin embargo, se sigue observando por parte de esta Comisión de acuerdo con esta información que </w:t>
      </w:r>
      <w:proofErr w:type="spellStart"/>
      <w:r>
        <w:rPr>
          <w:rFonts w:ascii="Bookman Old Style" w:hAnsi="Bookman Old Style"/>
          <w:szCs w:val="27"/>
        </w:rPr>
        <w:t>Surcolombiana</w:t>
      </w:r>
      <w:proofErr w:type="spellEnd"/>
      <w:r>
        <w:rPr>
          <w:rFonts w:ascii="Bookman Old Style" w:hAnsi="Bookman Old Style"/>
          <w:szCs w:val="27"/>
        </w:rPr>
        <w:t xml:space="preserve"> de Gas sigue ostentando la calidad de distribuidor prestador del servicio a granel, toda vez que lleva a cabo la atención de tanques estacionarios, por lo que se debe reafirmar en la definición de una capacidad de compra para esta empresa atendiendo dicha calidad.</w:t>
      </w:r>
    </w:p>
    <w:p w:rsidR="0035783A" w:rsidRDefault="0035783A" w:rsidP="00DB5D03">
      <w:pPr>
        <w:pStyle w:val="Textoindependiente2"/>
        <w:spacing w:after="0" w:line="240" w:lineRule="auto"/>
        <w:ind w:left="-142" w:right="-142"/>
        <w:jc w:val="both"/>
        <w:rPr>
          <w:rFonts w:ascii="Bookman Old Style" w:hAnsi="Bookman Old Style"/>
          <w:szCs w:val="27"/>
        </w:rPr>
      </w:pPr>
    </w:p>
    <w:p w:rsidR="0035783A" w:rsidRDefault="0035783A" w:rsidP="0035783A">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w:t>
      </w:r>
      <w:r w:rsidR="00C45894">
        <w:rPr>
          <w:rFonts w:ascii="Bookman Old Style" w:hAnsi="Bookman Old Style"/>
          <w:szCs w:val="27"/>
        </w:rPr>
        <w:t>con base en</w:t>
      </w:r>
      <w:r>
        <w:rPr>
          <w:rFonts w:ascii="Bookman Old Style" w:hAnsi="Bookman Old Style"/>
          <w:szCs w:val="27"/>
        </w:rPr>
        <w:t xml:space="preserve"> el contenido de la información remitida por la Superintendencia de Servicios Públicos, así como en el marco de los principios de: i) neutralidad en el tratamiento de los agentes a que hace referencia el artículo 87 de la Ley 142 de 1994, al dar igual tratamiento a los que estén en condiciones similares, en este caso, respecto del estado del reporte de información al SUI; ii) prevalencia de lo sustancial sobre lo formal, y; iii) así como atendiendo el principio de congruencia </w:t>
      </w:r>
      <w:r w:rsidRPr="00CE445E">
        <w:rPr>
          <w:rFonts w:ascii="Bookman Old Style" w:hAnsi="Bookman Old Style"/>
          <w:szCs w:val="27"/>
        </w:rPr>
        <w:t>de acuerdo con lo previsto en el artículo 80 de la Ley 1437 de 2011</w:t>
      </w:r>
      <w:r w:rsidRPr="00CE445E">
        <w:rPr>
          <w:rFonts w:ascii="Bookman Old Style" w:hAnsi="Bookman Old Style"/>
          <w:szCs w:val="27"/>
        </w:rPr>
        <w:footnoteReference w:id="5"/>
      </w:r>
      <w:r w:rsidRPr="00CE445E">
        <w:rPr>
          <w:rFonts w:ascii="Bookman Old Style" w:hAnsi="Bookman Old Style"/>
          <w:szCs w:val="27"/>
        </w:rPr>
        <w:t xml:space="preserve">, </w:t>
      </w:r>
      <w:r>
        <w:rPr>
          <w:rFonts w:ascii="Bookman Old Style" w:hAnsi="Bookman Old Style"/>
          <w:szCs w:val="27"/>
        </w:rPr>
        <w:t xml:space="preserve">al considerar que este elemento hace parte de los recursos de reposición </w:t>
      </w:r>
      <w:r>
        <w:rPr>
          <w:rFonts w:ascii="Bookman Old Style" w:hAnsi="Bookman Old Style"/>
          <w:szCs w:val="27"/>
        </w:rPr>
        <w:lastRenderedPageBreak/>
        <w:t>interpuestos por los agentes con respecto a lo solicitado o que tienen</w:t>
      </w:r>
      <w:r w:rsidRPr="00CE445E">
        <w:rPr>
          <w:rFonts w:ascii="Bookman Old Style" w:hAnsi="Bookman Old Style"/>
          <w:szCs w:val="27"/>
        </w:rPr>
        <w:t xml:space="preserve"> relación directa con las peticiones hechas</w:t>
      </w:r>
      <w:r>
        <w:rPr>
          <w:rFonts w:ascii="Bookman Old Style" w:hAnsi="Bookman Old Style"/>
          <w:szCs w:val="27"/>
        </w:rPr>
        <w:t xml:space="preserve"> por los interesados; esta Comisión encuentra procedente realizar los ajustes en la definición de la capacidad de compra de las empresas que hayan interpuesto recurso de reposición contras las resoluciones CREG 075 y 089 de 2016, con base en la información </w:t>
      </w:r>
      <w:r w:rsidRPr="009E796E">
        <w:rPr>
          <w:rFonts w:ascii="Bookman Old Style" w:hAnsi="Bookman Old Style"/>
          <w:szCs w:val="27"/>
        </w:rPr>
        <w:t xml:space="preserve">remitida por </w:t>
      </w:r>
      <w:r>
        <w:rPr>
          <w:rFonts w:ascii="Bookman Old Style" w:hAnsi="Bookman Old Style"/>
          <w:szCs w:val="27"/>
        </w:rPr>
        <w:t xml:space="preserve">parte de </w:t>
      </w:r>
      <w:r w:rsidRPr="009E796E">
        <w:rPr>
          <w:rFonts w:ascii="Bookman Old Style" w:hAnsi="Bookman Old Style"/>
          <w:szCs w:val="27"/>
        </w:rPr>
        <w:t>la Superintendencia de Servicios Públicos</w:t>
      </w:r>
      <w:r>
        <w:rPr>
          <w:rFonts w:ascii="Bookman Old Style" w:hAnsi="Bookman Old Style"/>
          <w:szCs w:val="27"/>
        </w:rPr>
        <w:t>.</w:t>
      </w:r>
    </w:p>
    <w:p w:rsidR="0035783A" w:rsidRDefault="0035783A" w:rsidP="00DB5D03">
      <w:pPr>
        <w:pStyle w:val="Textoindependiente2"/>
        <w:spacing w:after="0" w:line="240" w:lineRule="auto"/>
        <w:ind w:left="-142" w:right="-142"/>
        <w:jc w:val="both"/>
        <w:rPr>
          <w:rFonts w:ascii="Bookman Old Style" w:hAnsi="Bookman Old Style"/>
          <w:szCs w:val="27"/>
        </w:rPr>
      </w:pPr>
    </w:p>
    <w:p w:rsidR="00C45894" w:rsidRPr="00C45894" w:rsidRDefault="00C45894" w:rsidP="00C45894">
      <w:pPr>
        <w:ind w:left="-142" w:right="-142"/>
        <w:jc w:val="both"/>
        <w:rPr>
          <w:rFonts w:ascii="Bookman Old Style" w:hAnsi="Bookman Old Style"/>
          <w:szCs w:val="27"/>
        </w:rPr>
      </w:pPr>
      <w:r w:rsidRPr="00C45894">
        <w:rPr>
          <w:rFonts w:ascii="Bookman Old Style" w:hAnsi="Bookman Old Style"/>
          <w:szCs w:val="27"/>
        </w:rPr>
        <w:t xml:space="preserve">Una vez expuestos los anteriores argumentos, la Comisión de Regulación de Energía y Gas, en su sesión No. </w:t>
      </w:r>
      <w:r w:rsidR="005C4B64">
        <w:rPr>
          <w:rFonts w:ascii="Bookman Old Style" w:hAnsi="Bookman Old Style"/>
          <w:szCs w:val="27"/>
        </w:rPr>
        <w:t>746</w:t>
      </w:r>
      <w:r w:rsidRPr="00C45894">
        <w:rPr>
          <w:rFonts w:ascii="Bookman Old Style" w:hAnsi="Bookman Old Style"/>
          <w:szCs w:val="27"/>
        </w:rPr>
        <w:t xml:space="preserve"> del </w:t>
      </w:r>
      <w:r w:rsidR="005C4B64">
        <w:rPr>
          <w:rFonts w:ascii="Bookman Old Style" w:hAnsi="Bookman Old Style"/>
          <w:szCs w:val="27"/>
        </w:rPr>
        <w:t>21</w:t>
      </w:r>
      <w:r w:rsidRPr="00C45894">
        <w:rPr>
          <w:rFonts w:ascii="Bookman Old Style" w:hAnsi="Bookman Old Style"/>
          <w:szCs w:val="27"/>
        </w:rPr>
        <w:t xml:space="preserve"> de </w:t>
      </w:r>
      <w:r w:rsidR="005C4B64">
        <w:rPr>
          <w:rFonts w:ascii="Bookman Old Style" w:hAnsi="Bookman Old Style"/>
          <w:szCs w:val="27"/>
        </w:rPr>
        <w:t>noviembre</w:t>
      </w:r>
      <w:r w:rsidRPr="00C45894">
        <w:rPr>
          <w:rFonts w:ascii="Bookman Old Style" w:hAnsi="Bookman Old Style"/>
          <w:szCs w:val="27"/>
        </w:rPr>
        <w:t xml:space="preserve"> de 2016, acordó expedir la presente resolución.</w:t>
      </w:r>
    </w:p>
    <w:p w:rsidR="00C45894" w:rsidRPr="00C45894" w:rsidRDefault="00C45894" w:rsidP="00C45894">
      <w:pPr>
        <w:tabs>
          <w:tab w:val="right" w:pos="9498"/>
        </w:tabs>
        <w:ind w:left="0" w:right="-142"/>
        <w:jc w:val="both"/>
        <w:rPr>
          <w:rFonts w:ascii="Bookman Old Style" w:hAnsi="Bookman Old Style"/>
          <w:bCs/>
          <w:sz w:val="20"/>
        </w:rPr>
      </w:pPr>
    </w:p>
    <w:p w:rsidR="00C45894" w:rsidRPr="00C45894" w:rsidRDefault="00C45894" w:rsidP="00C45894">
      <w:pPr>
        <w:tabs>
          <w:tab w:val="right" w:pos="9498"/>
        </w:tabs>
        <w:ind w:left="0" w:right="-142"/>
        <w:jc w:val="both"/>
        <w:rPr>
          <w:rFonts w:ascii="Bookman Old Style" w:hAnsi="Bookman Old Style"/>
          <w:bCs/>
          <w:sz w:val="20"/>
        </w:rPr>
      </w:pPr>
    </w:p>
    <w:p w:rsidR="00C45894" w:rsidRPr="00C45894" w:rsidRDefault="00C45894" w:rsidP="00C45894">
      <w:pPr>
        <w:tabs>
          <w:tab w:val="right" w:pos="9498"/>
        </w:tabs>
        <w:ind w:left="0" w:right="-142"/>
        <w:jc w:val="center"/>
        <w:rPr>
          <w:rFonts w:ascii="Bookman Old Style" w:hAnsi="Bookman Old Style" w:cs="Arial"/>
        </w:rPr>
      </w:pPr>
      <w:r w:rsidRPr="00C45894">
        <w:rPr>
          <w:rFonts w:ascii="Bookman Old Style" w:hAnsi="Bookman Old Style" w:cs="Arial"/>
          <w:b/>
          <w:spacing w:val="80"/>
        </w:rPr>
        <w:t>RESUELVE</w:t>
      </w:r>
      <w:r w:rsidRPr="00C45894">
        <w:rPr>
          <w:rFonts w:ascii="Bookman Old Style" w:hAnsi="Bookman Old Style" w:cs="Arial"/>
        </w:rPr>
        <w:t>:</w:t>
      </w:r>
    </w:p>
    <w:p w:rsidR="00C45894" w:rsidRPr="00C45894" w:rsidRDefault="00C45894" w:rsidP="00C45894">
      <w:pPr>
        <w:tabs>
          <w:tab w:val="right" w:pos="9498"/>
        </w:tabs>
        <w:ind w:left="0" w:right="-142"/>
        <w:jc w:val="both"/>
        <w:rPr>
          <w:rFonts w:ascii="Bookman Old Style" w:hAnsi="Bookman Old Style" w:cs="Arial"/>
          <w:b/>
          <w:spacing w:val="-3"/>
          <w:sz w:val="20"/>
        </w:rPr>
      </w:pPr>
    </w:p>
    <w:p w:rsidR="00C45894" w:rsidRPr="00C45894" w:rsidRDefault="00C45894" w:rsidP="00C45894">
      <w:pPr>
        <w:ind w:left="-142" w:right="-142"/>
        <w:jc w:val="both"/>
        <w:rPr>
          <w:rFonts w:ascii="Bookman Old Style" w:hAnsi="Bookman Old Style"/>
          <w:szCs w:val="27"/>
        </w:rPr>
      </w:pPr>
      <w:r w:rsidRPr="00C45894">
        <w:rPr>
          <w:rFonts w:ascii="Bookman Old Style" w:hAnsi="Bookman Old Style"/>
          <w:b/>
          <w:szCs w:val="27"/>
        </w:rPr>
        <w:t>Artículo 1</w:t>
      </w:r>
      <w:r w:rsidRPr="00C45894">
        <w:rPr>
          <w:rFonts w:ascii="Bookman Old Style" w:hAnsi="Bookman Old Style"/>
          <w:szCs w:val="27"/>
        </w:rPr>
        <w:t xml:space="preserve">. Negar por improcedentes los argumentos de </w:t>
      </w:r>
      <w:proofErr w:type="spellStart"/>
      <w:r w:rsidR="005C4B64">
        <w:rPr>
          <w:rFonts w:ascii="Bookman Old Style" w:hAnsi="Bookman Old Style"/>
          <w:szCs w:val="27"/>
        </w:rPr>
        <w:t>Surcolombiana</w:t>
      </w:r>
      <w:proofErr w:type="spellEnd"/>
      <w:r w:rsidR="005C4B64">
        <w:rPr>
          <w:rFonts w:ascii="Bookman Old Style" w:hAnsi="Bookman Old Style"/>
          <w:szCs w:val="27"/>
        </w:rPr>
        <w:t xml:space="preserve"> de Gas</w:t>
      </w:r>
      <w:r>
        <w:rPr>
          <w:rFonts w:ascii="Bookman Old Style" w:hAnsi="Bookman Old Style"/>
          <w:szCs w:val="27"/>
        </w:rPr>
        <w:t xml:space="preserve"> </w:t>
      </w:r>
      <w:r w:rsidRPr="00C45894">
        <w:rPr>
          <w:rFonts w:ascii="Bookman Old Style" w:hAnsi="Bookman Old Style"/>
          <w:szCs w:val="27"/>
        </w:rPr>
        <w:t>S.A. E.S.P. en su recurso de reposición ateniendo las consideraciones expuestas en la presente resolución.</w:t>
      </w:r>
    </w:p>
    <w:p w:rsidR="00C45894" w:rsidRPr="00C45894" w:rsidRDefault="00C45894" w:rsidP="00C45894">
      <w:pPr>
        <w:ind w:left="-142" w:right="-142"/>
        <w:jc w:val="both"/>
        <w:rPr>
          <w:rFonts w:ascii="Bookman Old Style" w:hAnsi="Bookman Old Style"/>
          <w:szCs w:val="27"/>
        </w:rPr>
      </w:pPr>
    </w:p>
    <w:p w:rsidR="00C45894" w:rsidRPr="00C45894" w:rsidRDefault="00C45894" w:rsidP="00C45894">
      <w:pPr>
        <w:ind w:left="-142" w:right="-142"/>
        <w:jc w:val="both"/>
        <w:rPr>
          <w:rFonts w:ascii="Bookman Old Style" w:hAnsi="Bookman Old Style"/>
          <w:szCs w:val="27"/>
        </w:rPr>
      </w:pPr>
      <w:r w:rsidRPr="00C45894">
        <w:rPr>
          <w:rFonts w:ascii="Bookman Old Style" w:hAnsi="Bookman Old Style"/>
          <w:b/>
          <w:szCs w:val="27"/>
        </w:rPr>
        <w:t>Artículo 2.</w:t>
      </w:r>
      <w:r w:rsidRPr="00C45894">
        <w:rPr>
          <w:rFonts w:ascii="Bookman Old Style" w:hAnsi="Bookman Old Style"/>
          <w:szCs w:val="27"/>
        </w:rPr>
        <w:t xml:space="preserve"> Modificar el artículo 1 de la Resolución CREG 075 de 2016 de la siguiente forma:</w:t>
      </w:r>
    </w:p>
    <w:p w:rsidR="00C45894" w:rsidRPr="00C45894" w:rsidRDefault="00C45894" w:rsidP="00C45894">
      <w:pPr>
        <w:ind w:left="-142" w:right="-142"/>
        <w:jc w:val="both"/>
        <w:rPr>
          <w:rFonts w:ascii="Bookman Old Style" w:hAnsi="Bookman Old Style"/>
          <w:szCs w:val="27"/>
        </w:rPr>
      </w:pPr>
    </w:p>
    <w:p w:rsidR="00C45894" w:rsidRPr="00C45894" w:rsidRDefault="00C45894" w:rsidP="00C45894">
      <w:pPr>
        <w:ind w:left="-142" w:right="-142"/>
        <w:jc w:val="both"/>
        <w:rPr>
          <w:rFonts w:ascii="Bookman Old Style" w:hAnsi="Bookman Old Style"/>
          <w:szCs w:val="27"/>
        </w:rPr>
      </w:pPr>
      <w:r w:rsidRPr="00C45894">
        <w:rPr>
          <w:rFonts w:ascii="Bookman Old Style" w:hAnsi="Bookman Old Style"/>
          <w:szCs w:val="27"/>
        </w:rPr>
        <w:t>La siguiente corresponde a la Capacidad de Compra para cada uno de los códigos SUI de las empresas:</w:t>
      </w:r>
    </w:p>
    <w:p w:rsidR="00C45894" w:rsidRPr="00C45894" w:rsidRDefault="00C45894" w:rsidP="00C45894">
      <w:pPr>
        <w:ind w:left="-142" w:right="-142"/>
        <w:jc w:val="both"/>
        <w:rPr>
          <w:rFonts w:ascii="Bookman Old Style" w:hAnsi="Bookman Old Style"/>
          <w:szCs w:val="27"/>
        </w:rPr>
      </w:pPr>
    </w:p>
    <w:tbl>
      <w:tblPr>
        <w:tblW w:w="8028" w:type="dxa"/>
        <w:jc w:val="center"/>
        <w:tblCellMar>
          <w:left w:w="70" w:type="dxa"/>
          <w:right w:w="70" w:type="dxa"/>
        </w:tblCellMar>
        <w:tblLook w:val="04A0" w:firstRow="1" w:lastRow="0" w:firstColumn="1" w:lastColumn="0" w:noHBand="0" w:noVBand="1"/>
      </w:tblPr>
      <w:tblGrid>
        <w:gridCol w:w="1348"/>
        <w:gridCol w:w="4964"/>
        <w:gridCol w:w="1716"/>
      </w:tblGrid>
      <w:tr w:rsidR="00C45894" w:rsidRPr="00C45894" w:rsidTr="00926CE6">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894" w:rsidRPr="00C45894" w:rsidRDefault="00C45894" w:rsidP="00AF500C">
            <w:pPr>
              <w:ind w:left="117"/>
              <w:jc w:val="center"/>
              <w:rPr>
                <w:rFonts w:ascii="Bookman Old Style" w:hAnsi="Bookman Old Style"/>
                <w:b/>
                <w:bCs/>
                <w:color w:val="000000"/>
                <w:sz w:val="18"/>
                <w:szCs w:val="18"/>
                <w:lang w:eastAsia="es-CO"/>
              </w:rPr>
            </w:pPr>
            <w:r w:rsidRPr="00C45894">
              <w:rPr>
                <w:rFonts w:ascii="Bookman Old Style" w:hAnsi="Bookman Old Style"/>
                <w:b/>
                <w:bCs/>
                <w:color w:val="000000"/>
                <w:sz w:val="18"/>
                <w:szCs w:val="18"/>
                <w:lang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C45894" w:rsidRPr="00C45894" w:rsidRDefault="00C45894" w:rsidP="00AF500C">
            <w:pPr>
              <w:ind w:left="117"/>
              <w:jc w:val="center"/>
              <w:rPr>
                <w:rFonts w:ascii="Bookman Old Style" w:hAnsi="Bookman Old Style"/>
                <w:b/>
                <w:bCs/>
                <w:color w:val="000000"/>
                <w:sz w:val="18"/>
                <w:szCs w:val="18"/>
                <w:lang w:eastAsia="es-CO"/>
              </w:rPr>
            </w:pPr>
            <w:r w:rsidRPr="00C45894">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C45894" w:rsidRPr="00C45894" w:rsidRDefault="00C45894" w:rsidP="00AF500C">
            <w:pPr>
              <w:ind w:left="117"/>
              <w:jc w:val="center"/>
              <w:rPr>
                <w:rFonts w:ascii="Bookman Old Style" w:hAnsi="Bookman Old Style"/>
                <w:b/>
                <w:bCs/>
                <w:color w:val="000000"/>
                <w:sz w:val="18"/>
                <w:szCs w:val="18"/>
                <w:lang w:eastAsia="es-CO"/>
              </w:rPr>
            </w:pPr>
            <w:r w:rsidRPr="00C45894">
              <w:rPr>
                <w:rFonts w:ascii="Bookman Old Style" w:hAnsi="Bookman Old Style"/>
                <w:b/>
                <w:bCs/>
                <w:color w:val="000000"/>
                <w:sz w:val="18"/>
                <w:szCs w:val="18"/>
                <w:lang w:eastAsia="es-CO"/>
              </w:rPr>
              <w:t xml:space="preserve">Capacidad de compra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C45894" w:rsidRPr="00C45894" w:rsidTr="00AF500C">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5894" w:rsidRPr="00C45894" w:rsidRDefault="00AF500C" w:rsidP="00AF500C">
            <w:pPr>
              <w:ind w:left="117"/>
              <w:rPr>
                <w:rFonts w:ascii="Bookman Old Style" w:hAnsi="Bookman Old Style"/>
                <w:sz w:val="18"/>
                <w:szCs w:val="18"/>
              </w:rPr>
            </w:pPr>
            <w:r>
              <w:rPr>
                <w:rFonts w:ascii="Bookman Old Style" w:hAnsi="Bookman Old Style"/>
                <w:sz w:val="18"/>
                <w:szCs w:val="18"/>
              </w:rPr>
              <w:t>20518</w:t>
            </w:r>
          </w:p>
        </w:tc>
        <w:tc>
          <w:tcPr>
            <w:tcW w:w="4964" w:type="dxa"/>
            <w:tcBorders>
              <w:top w:val="single" w:sz="4" w:space="0" w:color="auto"/>
              <w:left w:val="nil"/>
              <w:bottom w:val="single" w:sz="4" w:space="0" w:color="auto"/>
              <w:right w:val="single" w:sz="4" w:space="0" w:color="auto"/>
            </w:tcBorders>
            <w:shd w:val="clear" w:color="auto" w:fill="auto"/>
            <w:noWrap/>
            <w:vAlign w:val="center"/>
            <w:hideMark/>
          </w:tcPr>
          <w:p w:rsidR="00C45894" w:rsidRPr="00C45894" w:rsidRDefault="00C45894" w:rsidP="00AF500C">
            <w:pPr>
              <w:ind w:left="117"/>
              <w:rPr>
                <w:rFonts w:ascii="Bookman Old Style" w:hAnsi="Bookman Old Style"/>
                <w:sz w:val="18"/>
                <w:szCs w:val="18"/>
              </w:rPr>
            </w:pPr>
            <w:r>
              <w:rPr>
                <w:rFonts w:ascii="Bookman Old Style" w:hAnsi="Bookman Old Style"/>
                <w:sz w:val="18"/>
                <w:szCs w:val="18"/>
              </w:rPr>
              <w:t>SURCOLOMBIANA DE GAS</w:t>
            </w:r>
            <w:r w:rsidRPr="00C45894">
              <w:rPr>
                <w:rFonts w:ascii="Bookman Old Style" w:hAnsi="Bookman Old Style"/>
                <w:sz w:val="18"/>
                <w:szCs w:val="18"/>
              </w:rPr>
              <w:t xml:space="preserve"> S.A. E.SP.</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C45894" w:rsidRPr="00C45894" w:rsidRDefault="00AF500C" w:rsidP="00AF500C">
            <w:pPr>
              <w:ind w:left="117"/>
              <w:rPr>
                <w:rFonts w:ascii="Bookman Old Style" w:hAnsi="Bookman Old Style"/>
                <w:sz w:val="18"/>
                <w:szCs w:val="18"/>
              </w:rPr>
            </w:pPr>
            <w:r>
              <w:rPr>
                <w:rFonts w:ascii="Bookman Old Style" w:hAnsi="Bookman Old Style"/>
                <w:sz w:val="18"/>
                <w:szCs w:val="18"/>
              </w:rPr>
              <w:t>258.573</w:t>
            </w:r>
          </w:p>
        </w:tc>
      </w:tr>
    </w:tbl>
    <w:p w:rsidR="00C45894" w:rsidRPr="00C45894" w:rsidRDefault="00C45894" w:rsidP="00C45894">
      <w:pPr>
        <w:tabs>
          <w:tab w:val="right" w:pos="9498"/>
        </w:tabs>
        <w:ind w:left="0" w:right="-142"/>
        <w:jc w:val="both"/>
        <w:rPr>
          <w:rFonts w:ascii="Bookman Old Style" w:hAnsi="Bookman Old Style" w:cs="Arial"/>
          <w:b/>
          <w:bCs/>
          <w:color w:val="666666"/>
          <w:sz w:val="27"/>
          <w:szCs w:val="27"/>
          <w:lang w:eastAsia="es-CO"/>
        </w:rPr>
      </w:pPr>
    </w:p>
    <w:p w:rsidR="00C45894" w:rsidRPr="00C45894" w:rsidRDefault="00C45894" w:rsidP="00C45894">
      <w:pPr>
        <w:ind w:left="-142" w:right="-142"/>
        <w:jc w:val="both"/>
        <w:rPr>
          <w:rFonts w:ascii="Bookman Old Style" w:hAnsi="Bookman Old Style"/>
          <w:szCs w:val="27"/>
        </w:rPr>
      </w:pPr>
      <w:r w:rsidRPr="00C45894">
        <w:rPr>
          <w:rFonts w:ascii="Bookman Old Style" w:hAnsi="Bookman Old Style"/>
          <w:b/>
          <w:szCs w:val="27"/>
        </w:rPr>
        <w:t>Artículo 3.</w:t>
      </w:r>
      <w:r w:rsidRPr="00C45894">
        <w:rPr>
          <w:rFonts w:ascii="Bookman Old Style" w:hAnsi="Bookman Old Style"/>
          <w:szCs w:val="27"/>
        </w:rPr>
        <w:t xml:space="preserve"> Modificar el Anexo de la Resolución CREG 075 de 2016 de la siguiente forma:</w:t>
      </w:r>
    </w:p>
    <w:p w:rsidR="00C45894" w:rsidRPr="00C45894" w:rsidRDefault="00C45894" w:rsidP="00C45894">
      <w:pPr>
        <w:ind w:left="-142" w:right="-142"/>
        <w:jc w:val="both"/>
        <w:rPr>
          <w:rFonts w:ascii="Bookman Old Style" w:hAnsi="Bookman Old Style"/>
          <w:szCs w:val="27"/>
        </w:rPr>
      </w:pPr>
    </w:p>
    <w:p w:rsidR="00AF500C" w:rsidRPr="00CD74B5" w:rsidRDefault="00AF500C" w:rsidP="00AF500C">
      <w:pPr>
        <w:ind w:right="-93"/>
        <w:jc w:val="center"/>
        <w:rPr>
          <w:rFonts w:ascii="Bookman Old Style" w:eastAsia="MS Mincho" w:hAnsi="Bookman Old Style" w:cs="Arial"/>
          <w:b/>
        </w:rPr>
      </w:pPr>
      <w:r w:rsidRPr="00CD74B5">
        <w:rPr>
          <w:rFonts w:ascii="Bookman Old Style" w:eastAsia="MS Mincho" w:hAnsi="Bookman Old Style" w:cs="Arial"/>
          <w:b/>
        </w:rPr>
        <w:t>CAPACIDAD DE COMPRA</w:t>
      </w:r>
    </w:p>
    <w:p w:rsidR="00AF500C" w:rsidRDefault="00AF500C" w:rsidP="00AF500C">
      <w:pPr>
        <w:jc w:val="both"/>
        <w:rPr>
          <w:rFonts w:ascii="Bookman Old Style" w:hAnsi="Bookman Old Style"/>
        </w:rPr>
      </w:pPr>
    </w:p>
    <w:p w:rsidR="00AF500C" w:rsidRDefault="00AF500C" w:rsidP="00AF500C">
      <w:pPr>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AF500C" w:rsidRDefault="00AF500C" w:rsidP="00AF500C">
      <w:pPr>
        <w:jc w:val="both"/>
        <w:rPr>
          <w:rFonts w:ascii="Bookman Old Style" w:hAnsi="Bookman Old Style"/>
        </w:rPr>
      </w:pPr>
    </w:p>
    <w:p w:rsidR="00AF500C" w:rsidRDefault="00AF500C" w:rsidP="00AF500C">
      <w:pPr>
        <w:pStyle w:val="Prrafodelista"/>
        <w:numPr>
          <w:ilvl w:val="0"/>
          <w:numId w:val="36"/>
        </w:numPr>
        <w:contextualSpacing/>
        <w:jc w:val="both"/>
        <w:rPr>
          <w:rFonts w:ascii="Bookman Old Style" w:hAnsi="Bookman Old Style"/>
          <w:sz w:val="24"/>
          <w:szCs w:val="24"/>
        </w:rPr>
      </w:pPr>
      <w:r w:rsidRPr="001C513B">
        <w:rPr>
          <w:rFonts w:ascii="Bookman Old Style" w:hAnsi="Bookman Old Style"/>
          <w:sz w:val="24"/>
          <w:szCs w:val="24"/>
        </w:rPr>
        <w:t xml:space="preserve">De acuerdo con el parágrafo </w:t>
      </w:r>
      <w:r>
        <w:rPr>
          <w:rFonts w:ascii="Bookman Old Style" w:hAnsi="Bookman Old Style"/>
          <w:sz w:val="24"/>
          <w:szCs w:val="24"/>
        </w:rPr>
        <w:t>2</w:t>
      </w:r>
      <w:r w:rsidRPr="001C513B">
        <w:rPr>
          <w:rFonts w:ascii="Bookman Old Style" w:hAnsi="Bookman Old Style"/>
          <w:sz w:val="24"/>
          <w:szCs w:val="24"/>
        </w:rPr>
        <w:t xml:space="preserve"> del artículo </w:t>
      </w:r>
      <w:r>
        <w:rPr>
          <w:rFonts w:ascii="Bookman Old Style" w:hAnsi="Bookman Old Style"/>
          <w:sz w:val="24"/>
          <w:szCs w:val="24"/>
        </w:rPr>
        <w:t>8</w:t>
      </w:r>
      <w:r w:rsidRPr="001C513B">
        <w:rPr>
          <w:rFonts w:ascii="Bookman Old Style" w:hAnsi="Bookman Old Style"/>
          <w:sz w:val="24"/>
          <w:szCs w:val="24"/>
        </w:rPr>
        <w:t xml:space="preserve"> de la resolución</w:t>
      </w:r>
      <w:r>
        <w:rPr>
          <w:rFonts w:ascii="Bookman Old Style" w:hAnsi="Bookman Old Style"/>
          <w:sz w:val="24"/>
          <w:szCs w:val="24"/>
        </w:rPr>
        <w:t xml:space="preserve"> CREG</w:t>
      </w:r>
      <w:r w:rsidRPr="001C513B">
        <w:rPr>
          <w:rFonts w:ascii="Bookman Old Style" w:hAnsi="Bookman Old Style"/>
          <w:sz w:val="24"/>
          <w:szCs w:val="24"/>
        </w:rPr>
        <w:t xml:space="preserve"> </w:t>
      </w:r>
      <w:r>
        <w:rPr>
          <w:rFonts w:ascii="Bookman Old Style" w:hAnsi="Bookman Old Style"/>
          <w:sz w:val="24"/>
          <w:szCs w:val="24"/>
        </w:rPr>
        <w:t>063 de 2016</w:t>
      </w:r>
      <w:r w:rsidRPr="001C513B">
        <w:rPr>
          <w:rFonts w:ascii="Bookman Old Style" w:hAnsi="Bookman Old Style"/>
          <w:sz w:val="24"/>
          <w:szCs w:val="24"/>
        </w:rPr>
        <w:t xml:space="preserve">, se calcula la variable </w:t>
      </w:r>
      <m:oMath>
        <m:r>
          <w:rPr>
            <w:rFonts w:ascii="Cambria Math" w:hAnsi="Cambria Math"/>
          </w:rPr>
          <m:t>Cap.</m:t>
        </m:r>
        <m:sSub>
          <m:sSubPr>
            <m:ctrlPr>
              <w:rPr>
                <w:rFonts w:ascii="Cambria Math" w:hAnsi="Cambria Math"/>
                <w:i/>
                <w:iCs/>
              </w:rPr>
            </m:ctrlPr>
          </m:sSubPr>
          <m:e>
            <m:r>
              <w:rPr>
                <w:rFonts w:ascii="Cambria Math" w:hAnsi="Cambria Math"/>
              </w:rPr>
              <m:t>1</m:t>
            </m:r>
          </m:e>
          <m:sub>
            <m:r>
              <w:rPr>
                <w:rFonts w:ascii="Cambria Math" w:hAnsi="Cambria Math"/>
              </w:rPr>
              <m:t>i,t</m:t>
            </m:r>
          </m:sub>
        </m:sSub>
      </m:oMath>
      <w:r w:rsidRPr="00AF500C">
        <w:rPr>
          <w:rFonts w:ascii="Bookman Old Style" w:hAnsi="Bookman Old Style"/>
          <w:iCs/>
          <w:sz w:val="24"/>
          <w:szCs w:val="24"/>
        </w:rPr>
        <w:t xml:space="preserve">, a continuación se muestra el conteo de cilindros por código de presentación para cada uno de los códigos SUI de las empresas. </w:t>
      </w:r>
      <w:r w:rsidRPr="001C513B">
        <w:rPr>
          <w:rFonts w:ascii="Bookman Old Style" w:hAnsi="Bookman Old Style"/>
          <w:sz w:val="24"/>
          <w:szCs w:val="24"/>
        </w:rPr>
        <w:t xml:space="preserve"> </w:t>
      </w:r>
    </w:p>
    <w:p w:rsidR="00AF500C" w:rsidRPr="001C513B" w:rsidRDefault="00AF500C" w:rsidP="00AF500C">
      <w:pPr>
        <w:pStyle w:val="Prrafodelista"/>
        <w:jc w:val="both"/>
        <w:rPr>
          <w:rFonts w:ascii="Bookman Old Style" w:hAnsi="Bookman Old Style"/>
          <w:sz w:val="24"/>
          <w:szCs w:val="24"/>
        </w:rPr>
      </w:pPr>
    </w:p>
    <w:tbl>
      <w:tblPr>
        <w:tblW w:w="9487" w:type="dxa"/>
        <w:jc w:val="center"/>
        <w:tblCellMar>
          <w:left w:w="70" w:type="dxa"/>
          <w:right w:w="70" w:type="dxa"/>
        </w:tblCellMar>
        <w:tblLook w:val="04A0" w:firstRow="1" w:lastRow="0" w:firstColumn="1" w:lastColumn="0" w:noHBand="0" w:noVBand="1"/>
      </w:tblPr>
      <w:tblGrid>
        <w:gridCol w:w="844"/>
        <w:gridCol w:w="868"/>
        <w:gridCol w:w="688"/>
        <w:gridCol w:w="756"/>
        <w:gridCol w:w="756"/>
        <w:gridCol w:w="868"/>
        <w:gridCol w:w="868"/>
        <w:gridCol w:w="704"/>
        <w:gridCol w:w="832"/>
        <w:gridCol w:w="1037"/>
        <w:gridCol w:w="1266"/>
      </w:tblGrid>
      <w:tr w:rsidR="00AF500C" w:rsidRPr="00CF4873" w:rsidTr="00A167F8">
        <w:trPr>
          <w:trHeight w:val="570"/>
          <w:tblHeader/>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500C" w:rsidRPr="00313D63" w:rsidRDefault="00AF500C" w:rsidP="00AF500C">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Código SUI</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AF500C" w:rsidRPr="00313D63" w:rsidRDefault="00AF500C" w:rsidP="00AF500C">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 Lb</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rsidR="00AF500C" w:rsidRPr="00313D63" w:rsidRDefault="00AF500C" w:rsidP="00AF500C">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15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AF500C" w:rsidRPr="00313D63" w:rsidRDefault="00AF500C" w:rsidP="00AF500C">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20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AF500C" w:rsidRPr="00313D63" w:rsidRDefault="00AF500C" w:rsidP="00AF500C">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24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AF500C" w:rsidRPr="00313D63" w:rsidRDefault="00AF500C" w:rsidP="00AF500C">
            <w:pPr>
              <w:ind w:left="0"/>
              <w:jc w:val="center"/>
              <w:rPr>
                <w:rFonts w:ascii="Bookman Old Style" w:hAnsi="Bookman Old Style"/>
                <w:b/>
                <w:bCs/>
                <w:color w:val="000000"/>
                <w:sz w:val="16"/>
                <w:szCs w:val="16"/>
                <w:lang w:eastAsia="es-CO"/>
              </w:rPr>
            </w:pPr>
            <w:r>
              <w:rPr>
                <w:rFonts w:ascii="Bookman Old Style" w:hAnsi="Bookman Old Style"/>
                <w:b/>
                <w:bCs/>
                <w:color w:val="000000"/>
                <w:sz w:val="16"/>
                <w:szCs w:val="16"/>
                <w:lang w:eastAsia="es-CO"/>
              </w:rPr>
              <w:t>30</w:t>
            </w:r>
            <w:r w:rsidRPr="00313D63">
              <w:rPr>
                <w:rFonts w:ascii="Bookman Old Style" w:hAnsi="Bookman Old Style"/>
                <w:b/>
                <w:bCs/>
                <w:color w:val="000000"/>
                <w:sz w:val="16"/>
                <w:szCs w:val="16"/>
                <w:lang w:eastAsia="es-CO"/>
              </w:rPr>
              <w:t xml:space="preserve">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AF500C" w:rsidRPr="00313D63" w:rsidRDefault="00AF500C" w:rsidP="00AF500C">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40 Lb</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AF500C" w:rsidRPr="00313D63" w:rsidRDefault="00AF500C" w:rsidP="00AF500C">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80 Lb</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AF500C" w:rsidRPr="00313D63" w:rsidRDefault="00AF500C" w:rsidP="00AF500C">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100 Lb</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AF500C" w:rsidRPr="00313D63" w:rsidRDefault="00AF500C" w:rsidP="00AF500C">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Total conteo</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AF500C" w:rsidRPr="00AF500C" w:rsidRDefault="00AF500C" w:rsidP="00AF500C">
            <w:pPr>
              <w:ind w:left="0"/>
              <w:jc w:val="center"/>
              <w:rPr>
                <w:rFonts w:ascii="Bookman Old Style" w:hAnsi="Bookman Old Style"/>
                <w:b/>
                <w:bCs/>
                <w:color w:val="000000"/>
                <w:sz w:val="16"/>
                <w:szCs w:val="16"/>
                <w:lang w:eastAsia="es-CO"/>
              </w:rPr>
            </w:pPr>
            <m:oMathPara>
              <m:oMathParaPr>
                <m:jc m:val="center"/>
              </m:oMathParaPr>
              <m:oMath>
                <m:r>
                  <m:rPr>
                    <m:sty m:val="bi"/>
                  </m:rPr>
                  <w:rPr>
                    <w:rFonts w:ascii="Cambria Math" w:hAnsi="Cambria Math"/>
                    <w:color w:val="000000"/>
                    <w:sz w:val="16"/>
                    <w:szCs w:val="16"/>
                  </w:rPr>
                  <m:t>Cap.</m:t>
                </m:r>
                <m:sSub>
                  <m:sSubPr>
                    <m:ctrlPr>
                      <w:rPr>
                        <w:rFonts w:ascii="Cambria Math" w:hAnsi="Cambria Math"/>
                        <w:b/>
                        <w:bCs/>
                        <w:i/>
                        <w:iCs/>
                        <w:color w:val="000000"/>
                        <w:sz w:val="16"/>
                        <w:szCs w:val="16"/>
                      </w:rPr>
                    </m:ctrlPr>
                  </m:sSubPr>
                  <m:e>
                    <m:r>
                      <m:rPr>
                        <m:sty m:val="bi"/>
                      </m:rPr>
                      <w:rPr>
                        <w:rFonts w:ascii="Cambria Math" w:hAnsi="Cambria Math"/>
                        <w:color w:val="000000"/>
                        <w:sz w:val="16"/>
                        <w:szCs w:val="16"/>
                      </w:rPr>
                      <m:t>1</m:t>
                    </m:r>
                  </m:e>
                  <m:sub>
                    <m:r>
                      <m:rPr>
                        <m:sty m:val="bi"/>
                      </m:rPr>
                      <w:rPr>
                        <w:rFonts w:ascii="Cambria Math" w:hAnsi="Cambria Math"/>
                        <w:color w:val="000000"/>
                        <w:sz w:val="16"/>
                        <w:szCs w:val="16"/>
                      </w:rPr>
                      <m:t>i,t</m:t>
                    </m:r>
                  </m:sub>
                </m:sSub>
              </m:oMath>
            </m:oMathPara>
          </w:p>
        </w:tc>
      </w:tr>
      <w:tr w:rsidR="00AF500C" w:rsidRPr="00CF4873" w:rsidTr="00DE3681">
        <w:trPr>
          <w:trHeight w:val="405"/>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AF500C" w:rsidRPr="0093479E" w:rsidRDefault="00AF500C" w:rsidP="00AF500C">
            <w:pPr>
              <w:ind w:left="0"/>
              <w:jc w:val="center"/>
              <w:rPr>
                <w:rFonts w:ascii="Bookman Old Style" w:hAnsi="Bookman Old Style"/>
                <w:color w:val="000000"/>
                <w:sz w:val="18"/>
                <w:szCs w:val="20"/>
              </w:rPr>
            </w:pPr>
            <w:r>
              <w:rPr>
                <w:rFonts w:ascii="Bookman Old Style" w:hAnsi="Bookman Old Style"/>
                <w:color w:val="000000"/>
                <w:sz w:val="18"/>
                <w:szCs w:val="20"/>
              </w:rPr>
              <w:t>20518</w:t>
            </w:r>
          </w:p>
        </w:tc>
        <w:tc>
          <w:tcPr>
            <w:tcW w:w="868" w:type="dxa"/>
            <w:tcBorders>
              <w:top w:val="nil"/>
              <w:left w:val="nil"/>
              <w:bottom w:val="single" w:sz="4" w:space="0" w:color="auto"/>
              <w:right w:val="single" w:sz="4" w:space="0" w:color="auto"/>
            </w:tcBorders>
            <w:shd w:val="clear" w:color="auto" w:fill="auto"/>
            <w:noWrap/>
            <w:vAlign w:val="center"/>
          </w:tcPr>
          <w:p w:rsidR="00AF500C" w:rsidRDefault="00AF500C" w:rsidP="00AF500C">
            <w:pPr>
              <w:ind w:left="0"/>
              <w:jc w:val="center"/>
            </w:pPr>
            <w:r w:rsidRPr="00211461">
              <w:rPr>
                <w:rFonts w:ascii="Bookman Old Style" w:hAnsi="Bookman Old Style"/>
                <w:color w:val="000000"/>
                <w:sz w:val="18"/>
                <w:szCs w:val="18"/>
              </w:rPr>
              <w:t>NR*</w:t>
            </w:r>
          </w:p>
        </w:tc>
        <w:tc>
          <w:tcPr>
            <w:tcW w:w="688" w:type="dxa"/>
            <w:tcBorders>
              <w:top w:val="nil"/>
              <w:left w:val="nil"/>
              <w:bottom w:val="single" w:sz="4" w:space="0" w:color="auto"/>
              <w:right w:val="single" w:sz="4" w:space="0" w:color="auto"/>
            </w:tcBorders>
            <w:shd w:val="clear" w:color="auto" w:fill="auto"/>
            <w:noWrap/>
            <w:vAlign w:val="center"/>
          </w:tcPr>
          <w:p w:rsidR="00AF500C" w:rsidRDefault="00AF500C" w:rsidP="00AF500C">
            <w:pPr>
              <w:ind w:left="0"/>
              <w:jc w:val="center"/>
            </w:pPr>
            <w:r w:rsidRPr="00211461">
              <w:rPr>
                <w:rFonts w:ascii="Bookman Old Style" w:hAnsi="Bookman Old Style"/>
                <w:color w:val="000000"/>
                <w:sz w:val="18"/>
                <w:szCs w:val="18"/>
              </w:rPr>
              <w:t>NR*</w:t>
            </w:r>
          </w:p>
        </w:tc>
        <w:tc>
          <w:tcPr>
            <w:tcW w:w="756" w:type="dxa"/>
            <w:tcBorders>
              <w:top w:val="nil"/>
              <w:left w:val="nil"/>
              <w:bottom w:val="single" w:sz="4" w:space="0" w:color="auto"/>
              <w:right w:val="single" w:sz="4" w:space="0" w:color="auto"/>
            </w:tcBorders>
            <w:shd w:val="clear" w:color="auto" w:fill="auto"/>
            <w:noWrap/>
            <w:vAlign w:val="center"/>
          </w:tcPr>
          <w:p w:rsidR="00AF500C" w:rsidRDefault="00AF500C" w:rsidP="00AF500C">
            <w:pPr>
              <w:ind w:left="0"/>
              <w:jc w:val="center"/>
            </w:pPr>
            <w:r w:rsidRPr="00211461">
              <w:rPr>
                <w:rFonts w:ascii="Bookman Old Style" w:hAnsi="Bookman Old Style"/>
                <w:color w:val="000000"/>
                <w:sz w:val="18"/>
                <w:szCs w:val="18"/>
              </w:rPr>
              <w:t>NR*</w:t>
            </w:r>
          </w:p>
        </w:tc>
        <w:tc>
          <w:tcPr>
            <w:tcW w:w="756" w:type="dxa"/>
            <w:tcBorders>
              <w:top w:val="nil"/>
              <w:left w:val="nil"/>
              <w:bottom w:val="single" w:sz="4" w:space="0" w:color="auto"/>
              <w:right w:val="single" w:sz="4" w:space="0" w:color="auto"/>
            </w:tcBorders>
            <w:shd w:val="clear" w:color="auto" w:fill="auto"/>
            <w:noWrap/>
            <w:vAlign w:val="center"/>
          </w:tcPr>
          <w:p w:rsidR="00AF500C" w:rsidRDefault="00AF500C" w:rsidP="00AF500C">
            <w:pPr>
              <w:ind w:left="0"/>
              <w:jc w:val="center"/>
            </w:pPr>
            <w:r w:rsidRPr="00211461">
              <w:rPr>
                <w:rFonts w:ascii="Bookman Old Style" w:hAnsi="Bookman Old Style"/>
                <w:color w:val="000000"/>
                <w:sz w:val="18"/>
                <w:szCs w:val="18"/>
              </w:rPr>
              <w:t>NR*</w:t>
            </w:r>
          </w:p>
        </w:tc>
        <w:tc>
          <w:tcPr>
            <w:tcW w:w="868" w:type="dxa"/>
            <w:tcBorders>
              <w:top w:val="nil"/>
              <w:left w:val="nil"/>
              <w:bottom w:val="single" w:sz="4" w:space="0" w:color="auto"/>
              <w:right w:val="single" w:sz="4" w:space="0" w:color="auto"/>
            </w:tcBorders>
            <w:shd w:val="clear" w:color="auto" w:fill="auto"/>
            <w:noWrap/>
            <w:vAlign w:val="center"/>
          </w:tcPr>
          <w:p w:rsidR="00AF500C" w:rsidRDefault="00AF500C" w:rsidP="00AF500C">
            <w:pPr>
              <w:ind w:left="0"/>
              <w:jc w:val="center"/>
            </w:pPr>
            <w:r w:rsidRPr="00211461">
              <w:rPr>
                <w:rFonts w:ascii="Bookman Old Style" w:hAnsi="Bookman Old Style"/>
                <w:color w:val="000000"/>
                <w:sz w:val="18"/>
                <w:szCs w:val="18"/>
              </w:rPr>
              <w:t>NR*</w:t>
            </w:r>
          </w:p>
        </w:tc>
        <w:tc>
          <w:tcPr>
            <w:tcW w:w="868" w:type="dxa"/>
            <w:tcBorders>
              <w:top w:val="nil"/>
              <w:left w:val="nil"/>
              <w:bottom w:val="single" w:sz="4" w:space="0" w:color="auto"/>
              <w:right w:val="single" w:sz="4" w:space="0" w:color="auto"/>
            </w:tcBorders>
            <w:shd w:val="clear" w:color="auto" w:fill="auto"/>
            <w:noWrap/>
            <w:vAlign w:val="center"/>
          </w:tcPr>
          <w:p w:rsidR="00AF500C" w:rsidRDefault="00AF500C" w:rsidP="00AF500C">
            <w:pPr>
              <w:ind w:left="0"/>
              <w:jc w:val="center"/>
            </w:pPr>
            <w:r w:rsidRPr="00211461">
              <w:rPr>
                <w:rFonts w:ascii="Bookman Old Style" w:hAnsi="Bookman Old Style"/>
                <w:color w:val="000000"/>
                <w:sz w:val="18"/>
                <w:szCs w:val="18"/>
              </w:rPr>
              <w:t>NR*</w:t>
            </w:r>
          </w:p>
        </w:tc>
        <w:tc>
          <w:tcPr>
            <w:tcW w:w="704" w:type="dxa"/>
            <w:tcBorders>
              <w:top w:val="nil"/>
              <w:left w:val="nil"/>
              <w:bottom w:val="single" w:sz="4" w:space="0" w:color="auto"/>
              <w:right w:val="single" w:sz="4" w:space="0" w:color="auto"/>
            </w:tcBorders>
            <w:shd w:val="clear" w:color="auto" w:fill="auto"/>
            <w:noWrap/>
            <w:vAlign w:val="center"/>
          </w:tcPr>
          <w:p w:rsidR="00AF500C" w:rsidRDefault="00AF500C" w:rsidP="00AF500C">
            <w:pPr>
              <w:ind w:left="0"/>
              <w:jc w:val="center"/>
            </w:pPr>
            <w:r w:rsidRPr="00211461">
              <w:rPr>
                <w:rFonts w:ascii="Bookman Old Style" w:hAnsi="Bookman Old Style"/>
                <w:color w:val="000000"/>
                <w:sz w:val="18"/>
                <w:szCs w:val="18"/>
              </w:rPr>
              <w:t>NR*</w:t>
            </w:r>
          </w:p>
        </w:tc>
        <w:tc>
          <w:tcPr>
            <w:tcW w:w="832" w:type="dxa"/>
            <w:tcBorders>
              <w:top w:val="nil"/>
              <w:left w:val="nil"/>
              <w:bottom w:val="single" w:sz="4" w:space="0" w:color="auto"/>
              <w:right w:val="single" w:sz="4" w:space="0" w:color="auto"/>
            </w:tcBorders>
            <w:shd w:val="clear" w:color="auto" w:fill="auto"/>
            <w:noWrap/>
            <w:vAlign w:val="center"/>
          </w:tcPr>
          <w:p w:rsidR="00AF500C" w:rsidRDefault="00AF500C" w:rsidP="00AF500C">
            <w:pPr>
              <w:ind w:left="0"/>
              <w:jc w:val="center"/>
            </w:pPr>
            <w:r w:rsidRPr="00211461">
              <w:rPr>
                <w:rFonts w:ascii="Bookman Old Style" w:hAnsi="Bookman Old Style"/>
                <w:color w:val="000000"/>
                <w:sz w:val="18"/>
                <w:szCs w:val="18"/>
              </w:rPr>
              <w:t>NR*</w:t>
            </w:r>
          </w:p>
        </w:tc>
        <w:tc>
          <w:tcPr>
            <w:tcW w:w="1037" w:type="dxa"/>
            <w:tcBorders>
              <w:top w:val="nil"/>
              <w:left w:val="nil"/>
              <w:bottom w:val="single" w:sz="4" w:space="0" w:color="auto"/>
              <w:right w:val="single" w:sz="4" w:space="0" w:color="auto"/>
            </w:tcBorders>
            <w:shd w:val="clear" w:color="auto" w:fill="auto"/>
            <w:noWrap/>
            <w:vAlign w:val="center"/>
          </w:tcPr>
          <w:p w:rsidR="00AF500C" w:rsidRDefault="00AF500C" w:rsidP="00AF500C">
            <w:pPr>
              <w:ind w:left="0"/>
              <w:jc w:val="center"/>
            </w:pPr>
            <w:r w:rsidRPr="00211461">
              <w:rPr>
                <w:rFonts w:ascii="Bookman Old Style" w:hAnsi="Bookman Old Style"/>
                <w:color w:val="000000"/>
                <w:sz w:val="18"/>
                <w:szCs w:val="18"/>
              </w:rPr>
              <w:t>NR*</w:t>
            </w:r>
          </w:p>
        </w:tc>
        <w:tc>
          <w:tcPr>
            <w:tcW w:w="1266" w:type="dxa"/>
            <w:tcBorders>
              <w:top w:val="nil"/>
              <w:left w:val="nil"/>
              <w:bottom w:val="single" w:sz="4" w:space="0" w:color="auto"/>
              <w:right w:val="single" w:sz="4" w:space="0" w:color="auto"/>
            </w:tcBorders>
            <w:shd w:val="clear" w:color="auto" w:fill="auto"/>
            <w:noWrap/>
            <w:vAlign w:val="center"/>
          </w:tcPr>
          <w:p w:rsidR="00AF500C" w:rsidRDefault="00AF500C" w:rsidP="00AF500C">
            <w:pPr>
              <w:ind w:left="0"/>
              <w:jc w:val="center"/>
            </w:pPr>
            <w:r w:rsidRPr="00211461">
              <w:rPr>
                <w:rFonts w:ascii="Bookman Old Style" w:hAnsi="Bookman Old Style"/>
                <w:color w:val="000000"/>
                <w:sz w:val="18"/>
                <w:szCs w:val="18"/>
              </w:rPr>
              <w:t>NR*</w:t>
            </w:r>
          </w:p>
        </w:tc>
      </w:tr>
    </w:tbl>
    <w:p w:rsidR="00AF500C" w:rsidRDefault="00AF500C" w:rsidP="00AF500C">
      <w:pPr>
        <w:jc w:val="center"/>
        <w:rPr>
          <w:rFonts w:ascii="Bookman Old Style" w:hAnsi="Bookman Old Style"/>
          <w:sz w:val="18"/>
        </w:rPr>
      </w:pPr>
      <w:r>
        <w:rPr>
          <w:rFonts w:ascii="Bookman Old Style" w:hAnsi="Bookman Old Style"/>
          <w:sz w:val="18"/>
        </w:rPr>
        <w:t>NR</w:t>
      </w:r>
      <w:r w:rsidRPr="002B4873">
        <w:rPr>
          <w:rFonts w:ascii="Bookman Old Style" w:hAnsi="Bookman Old Style"/>
          <w:sz w:val="18"/>
        </w:rPr>
        <w:t>*</w:t>
      </w:r>
      <w:r>
        <w:rPr>
          <w:rFonts w:ascii="Bookman Old Style" w:hAnsi="Bookman Old Style"/>
          <w:sz w:val="18"/>
        </w:rPr>
        <w:t xml:space="preserve">: No presenta registro de información en el SUI, </w:t>
      </w:r>
      <w:r w:rsidRPr="00074962">
        <w:rPr>
          <w:rFonts w:ascii="Bookman Old Style" w:hAnsi="Bookman Old Style"/>
          <w:sz w:val="18"/>
        </w:rPr>
        <w:t>de acuerdo con la información registrada al SUI</w:t>
      </w:r>
      <w:r>
        <w:rPr>
          <w:rFonts w:ascii="Bookman Old Style" w:hAnsi="Bookman Old Style"/>
          <w:sz w:val="18"/>
        </w:rPr>
        <w:t>, por AIC proyectos,</w:t>
      </w:r>
      <w:r w:rsidRPr="00074962">
        <w:rPr>
          <w:rFonts w:ascii="Bookman Old Style" w:hAnsi="Bookman Old Style"/>
          <w:sz w:val="18"/>
        </w:rPr>
        <w:t xml:space="preserve"> desde</w:t>
      </w:r>
      <w:r>
        <w:rPr>
          <w:rFonts w:ascii="Bookman Old Style" w:hAnsi="Bookman Old Style"/>
          <w:sz w:val="18"/>
        </w:rPr>
        <w:t xml:space="preserve"> 2008 hasta 2012.</w:t>
      </w:r>
    </w:p>
    <w:p w:rsidR="00AF500C" w:rsidRDefault="00AF500C" w:rsidP="00AF500C">
      <w:pPr>
        <w:jc w:val="center"/>
        <w:rPr>
          <w:rFonts w:ascii="Bookman Old Style" w:hAnsi="Bookman Old Style"/>
        </w:rPr>
      </w:pPr>
    </w:p>
    <w:p w:rsidR="00AF500C" w:rsidRPr="008609A8" w:rsidRDefault="00AF500C" w:rsidP="00AF500C">
      <w:pPr>
        <w:pStyle w:val="Prrafodelista"/>
        <w:numPr>
          <w:ilvl w:val="0"/>
          <w:numId w:val="36"/>
        </w:numPr>
        <w:contextualSpacing/>
        <w:jc w:val="both"/>
        <w:rPr>
          <w:rFonts w:ascii="Bookman Old Style" w:hAnsi="Bookman Old Style"/>
          <w:sz w:val="24"/>
          <w:szCs w:val="24"/>
        </w:rPr>
      </w:pPr>
      <w:r>
        <w:rPr>
          <w:rFonts w:ascii="Bookman Old Style" w:hAnsi="Bookman Old Style"/>
          <w:sz w:val="24"/>
          <w:szCs w:val="24"/>
        </w:rPr>
        <w:t xml:space="preserve">De acuerdo con parágrafo 2 del artículo 8 de la resolución CREG 063 de 2016, se calcula la </w:t>
      </w:r>
      <w:r w:rsidRPr="00AE5D16">
        <w:rPr>
          <w:rFonts w:ascii="Bookman Old Style" w:hAnsi="Bookman Old Style"/>
          <w:sz w:val="24"/>
          <w:szCs w:val="24"/>
        </w:rPr>
        <w:t xml:space="preserve">variable </w:t>
      </w:r>
      <m:oMath>
        <m:r>
          <w:rPr>
            <w:rFonts w:ascii="Cambria Math" w:hAnsi="Cambria Math"/>
          </w:rPr>
          <m:t>Cap.</m:t>
        </m:r>
        <m:sSub>
          <m:sSubPr>
            <m:ctrlPr>
              <w:rPr>
                <w:rFonts w:ascii="Cambria Math" w:hAnsi="Cambria Math"/>
                <w:i/>
                <w:iCs/>
              </w:rPr>
            </m:ctrlPr>
          </m:sSubPr>
          <m:e>
            <m:r>
              <w:rPr>
                <w:rFonts w:ascii="Cambria Math" w:hAnsi="Cambria Math"/>
              </w:rPr>
              <m:t>2</m:t>
            </m:r>
          </m:e>
          <m:sub>
            <m:r>
              <w:rPr>
                <w:rFonts w:ascii="Cambria Math" w:hAnsi="Cambria Math"/>
              </w:rPr>
              <m:t>i,t</m:t>
            </m:r>
          </m:sub>
        </m:sSub>
      </m:oMath>
      <w:r w:rsidRPr="00AF500C">
        <w:rPr>
          <w:rFonts w:ascii="Bookman Old Style" w:hAnsi="Bookman Old Style"/>
          <w:iCs/>
          <w:sz w:val="24"/>
          <w:szCs w:val="24"/>
        </w:rPr>
        <w:t xml:space="preserve">, a continuación se muestra el conteo de </w:t>
      </w:r>
      <w:r w:rsidRPr="00AF500C">
        <w:rPr>
          <w:rFonts w:ascii="Bookman Old Style" w:hAnsi="Bookman Old Style"/>
          <w:iCs/>
          <w:sz w:val="24"/>
          <w:szCs w:val="24"/>
        </w:rPr>
        <w:lastRenderedPageBreak/>
        <w:t xml:space="preserve">cilindros por código de presentación para cada uno de los códigos SUI de las empresas. </w:t>
      </w:r>
    </w:p>
    <w:p w:rsidR="008609A8" w:rsidRPr="002E47EE" w:rsidRDefault="008609A8" w:rsidP="008609A8">
      <w:pPr>
        <w:pStyle w:val="Prrafodelista"/>
        <w:ind w:left="720"/>
        <w:contextualSpacing/>
        <w:jc w:val="both"/>
        <w:rPr>
          <w:rFonts w:ascii="Bookman Old Style" w:hAnsi="Bookman Old Style"/>
          <w:sz w:val="24"/>
          <w:szCs w:val="24"/>
        </w:rPr>
      </w:pPr>
    </w:p>
    <w:tbl>
      <w:tblPr>
        <w:tblStyle w:val="Tablaconcuadrcula"/>
        <w:tblW w:w="0" w:type="auto"/>
        <w:jc w:val="center"/>
        <w:tblLook w:val="04A0" w:firstRow="1" w:lastRow="0" w:firstColumn="1" w:lastColumn="0" w:noHBand="0" w:noVBand="1"/>
      </w:tblPr>
      <w:tblGrid>
        <w:gridCol w:w="1445"/>
        <w:gridCol w:w="1394"/>
      </w:tblGrid>
      <w:tr w:rsidR="00AF500C" w:rsidRPr="00060097" w:rsidTr="008609A8">
        <w:trPr>
          <w:trHeight w:val="422"/>
          <w:jc w:val="center"/>
        </w:trPr>
        <w:tc>
          <w:tcPr>
            <w:tcW w:w="1445" w:type="dxa"/>
            <w:vAlign w:val="center"/>
          </w:tcPr>
          <w:p w:rsidR="00AF500C" w:rsidRPr="00060097" w:rsidRDefault="00AF500C" w:rsidP="00DE3681">
            <w:pPr>
              <w:ind w:left="29"/>
              <w:jc w:val="center"/>
              <w:rPr>
                <w:rFonts w:ascii="Bookman Old Style" w:hAnsi="Bookman Old Style"/>
                <w:b/>
                <w:sz w:val="18"/>
                <w:szCs w:val="18"/>
              </w:rPr>
            </w:pPr>
            <w:r w:rsidRPr="00060097">
              <w:rPr>
                <w:rFonts w:ascii="Bookman Old Style" w:hAnsi="Bookman Old Style"/>
                <w:b/>
                <w:sz w:val="18"/>
                <w:szCs w:val="18"/>
              </w:rPr>
              <w:t>Código SUI</w:t>
            </w:r>
          </w:p>
        </w:tc>
        <w:tc>
          <w:tcPr>
            <w:tcW w:w="1394" w:type="dxa"/>
            <w:vAlign w:val="center"/>
          </w:tcPr>
          <w:p w:rsidR="00AF500C" w:rsidRPr="00216D63" w:rsidRDefault="00DE3681" w:rsidP="00DE3681">
            <w:pPr>
              <w:ind w:left="0"/>
              <w:jc w:val="center"/>
              <w:rPr>
                <w:rFonts w:ascii="Bookman Old Style" w:hAnsi="Bookman Old Style"/>
                <w:b/>
                <w:sz w:val="18"/>
                <w:szCs w:val="18"/>
              </w:rPr>
            </w:pPr>
            <w:r>
              <w:rPr>
                <w:rFonts w:ascii="Bookman Old Style" w:hAnsi="Bookman Old Style"/>
                <w:b/>
                <w:sz w:val="18"/>
                <w:szCs w:val="18"/>
              </w:rPr>
              <w:t>20518</w:t>
            </w:r>
          </w:p>
        </w:tc>
      </w:tr>
      <w:tr w:rsidR="00DE3681" w:rsidRPr="00060097" w:rsidTr="008609A8">
        <w:trPr>
          <w:trHeight w:val="422"/>
          <w:jc w:val="center"/>
        </w:trPr>
        <w:tc>
          <w:tcPr>
            <w:tcW w:w="1445" w:type="dxa"/>
            <w:vAlign w:val="center"/>
          </w:tcPr>
          <w:p w:rsidR="00DE3681" w:rsidRPr="00060097" w:rsidRDefault="00DE3681" w:rsidP="00DE3681">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4 Kg</w:t>
            </w:r>
          </w:p>
        </w:tc>
        <w:tc>
          <w:tcPr>
            <w:tcW w:w="1394" w:type="dxa"/>
          </w:tcPr>
          <w:p w:rsidR="00DE3681" w:rsidRDefault="00DE3681" w:rsidP="00DE3681">
            <w:pPr>
              <w:ind w:left="0"/>
              <w:jc w:val="center"/>
            </w:pPr>
            <w:r w:rsidRPr="008130A0">
              <w:rPr>
                <w:rFonts w:ascii="Bookman Old Style" w:hAnsi="Bookman Old Style"/>
                <w:color w:val="000000"/>
                <w:sz w:val="18"/>
                <w:szCs w:val="18"/>
              </w:rPr>
              <w:t>NR*</w:t>
            </w:r>
          </w:p>
        </w:tc>
      </w:tr>
      <w:tr w:rsidR="00DE3681" w:rsidRPr="00060097" w:rsidTr="008609A8">
        <w:trPr>
          <w:trHeight w:val="422"/>
          <w:jc w:val="center"/>
        </w:trPr>
        <w:tc>
          <w:tcPr>
            <w:tcW w:w="1445" w:type="dxa"/>
            <w:vAlign w:val="center"/>
          </w:tcPr>
          <w:p w:rsidR="00DE3681" w:rsidRPr="00060097" w:rsidRDefault="00DE3681" w:rsidP="00DE3681">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5 Kg</w:t>
            </w:r>
          </w:p>
        </w:tc>
        <w:tc>
          <w:tcPr>
            <w:tcW w:w="1394" w:type="dxa"/>
          </w:tcPr>
          <w:p w:rsidR="00DE3681" w:rsidRDefault="00DE3681" w:rsidP="00DE3681">
            <w:pPr>
              <w:ind w:left="0"/>
              <w:jc w:val="center"/>
            </w:pPr>
            <w:r w:rsidRPr="008130A0">
              <w:rPr>
                <w:rFonts w:ascii="Bookman Old Style" w:hAnsi="Bookman Old Style"/>
                <w:color w:val="000000"/>
                <w:sz w:val="18"/>
                <w:szCs w:val="18"/>
              </w:rPr>
              <w:t>NR*</w:t>
            </w:r>
          </w:p>
        </w:tc>
      </w:tr>
      <w:tr w:rsidR="00DE3681" w:rsidRPr="00060097" w:rsidTr="008609A8">
        <w:trPr>
          <w:trHeight w:val="422"/>
          <w:jc w:val="center"/>
        </w:trPr>
        <w:tc>
          <w:tcPr>
            <w:tcW w:w="1445" w:type="dxa"/>
            <w:vAlign w:val="center"/>
          </w:tcPr>
          <w:p w:rsidR="00DE3681" w:rsidRPr="00060097" w:rsidRDefault="00DE3681" w:rsidP="00DE3681">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7 Kg</w:t>
            </w:r>
          </w:p>
        </w:tc>
        <w:tc>
          <w:tcPr>
            <w:tcW w:w="1394" w:type="dxa"/>
          </w:tcPr>
          <w:p w:rsidR="00DE3681" w:rsidRDefault="00DE3681" w:rsidP="00DE3681">
            <w:pPr>
              <w:ind w:left="0"/>
              <w:jc w:val="center"/>
            </w:pPr>
            <w:r w:rsidRPr="008130A0">
              <w:rPr>
                <w:rFonts w:ascii="Bookman Old Style" w:hAnsi="Bookman Old Style"/>
                <w:color w:val="000000"/>
                <w:sz w:val="18"/>
                <w:szCs w:val="18"/>
              </w:rPr>
              <w:t>NR*</w:t>
            </w:r>
          </w:p>
        </w:tc>
      </w:tr>
      <w:tr w:rsidR="00DE3681" w:rsidRPr="00060097" w:rsidTr="008609A8">
        <w:trPr>
          <w:trHeight w:val="422"/>
          <w:jc w:val="center"/>
        </w:trPr>
        <w:tc>
          <w:tcPr>
            <w:tcW w:w="1445" w:type="dxa"/>
            <w:vAlign w:val="center"/>
          </w:tcPr>
          <w:p w:rsidR="00DE3681" w:rsidRPr="00060097" w:rsidRDefault="00DE3681" w:rsidP="00DE3681">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9 Kg</w:t>
            </w:r>
          </w:p>
        </w:tc>
        <w:tc>
          <w:tcPr>
            <w:tcW w:w="1394" w:type="dxa"/>
          </w:tcPr>
          <w:p w:rsidR="00DE3681" w:rsidRDefault="00DE3681" w:rsidP="00DE3681">
            <w:pPr>
              <w:ind w:left="0"/>
              <w:jc w:val="center"/>
            </w:pPr>
            <w:r w:rsidRPr="008130A0">
              <w:rPr>
                <w:rFonts w:ascii="Bookman Old Style" w:hAnsi="Bookman Old Style"/>
                <w:color w:val="000000"/>
                <w:sz w:val="18"/>
                <w:szCs w:val="18"/>
              </w:rPr>
              <w:t>NR*</w:t>
            </w:r>
          </w:p>
        </w:tc>
      </w:tr>
      <w:tr w:rsidR="00DE3681" w:rsidRPr="00060097" w:rsidTr="008609A8">
        <w:trPr>
          <w:trHeight w:val="422"/>
          <w:jc w:val="center"/>
        </w:trPr>
        <w:tc>
          <w:tcPr>
            <w:tcW w:w="1445" w:type="dxa"/>
            <w:vAlign w:val="center"/>
          </w:tcPr>
          <w:p w:rsidR="00DE3681" w:rsidRPr="00060097" w:rsidRDefault="00DE3681" w:rsidP="00DE3681">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10 Kg</w:t>
            </w:r>
          </w:p>
        </w:tc>
        <w:tc>
          <w:tcPr>
            <w:tcW w:w="1394" w:type="dxa"/>
          </w:tcPr>
          <w:p w:rsidR="00DE3681" w:rsidRDefault="00DE3681" w:rsidP="00DE3681">
            <w:pPr>
              <w:ind w:left="0"/>
              <w:jc w:val="center"/>
            </w:pPr>
            <w:r w:rsidRPr="008130A0">
              <w:rPr>
                <w:rFonts w:ascii="Bookman Old Style" w:hAnsi="Bookman Old Style"/>
                <w:color w:val="000000"/>
                <w:sz w:val="18"/>
                <w:szCs w:val="18"/>
              </w:rPr>
              <w:t>NR*</w:t>
            </w:r>
          </w:p>
        </w:tc>
      </w:tr>
      <w:tr w:rsidR="00DE3681" w:rsidRPr="00060097" w:rsidTr="008609A8">
        <w:trPr>
          <w:trHeight w:val="422"/>
          <w:jc w:val="center"/>
        </w:trPr>
        <w:tc>
          <w:tcPr>
            <w:tcW w:w="1445" w:type="dxa"/>
            <w:vAlign w:val="center"/>
          </w:tcPr>
          <w:p w:rsidR="00DE3681" w:rsidRPr="00060097" w:rsidRDefault="00DE3681" w:rsidP="00DE3681">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15 Kg</w:t>
            </w:r>
          </w:p>
        </w:tc>
        <w:tc>
          <w:tcPr>
            <w:tcW w:w="1394" w:type="dxa"/>
          </w:tcPr>
          <w:p w:rsidR="00DE3681" w:rsidRDefault="00DE3681" w:rsidP="00DE3681">
            <w:pPr>
              <w:ind w:left="0"/>
              <w:jc w:val="center"/>
            </w:pPr>
            <w:r w:rsidRPr="008130A0">
              <w:rPr>
                <w:rFonts w:ascii="Bookman Old Style" w:hAnsi="Bookman Old Style"/>
                <w:color w:val="000000"/>
                <w:sz w:val="18"/>
                <w:szCs w:val="18"/>
              </w:rPr>
              <w:t>NR*</w:t>
            </w:r>
          </w:p>
        </w:tc>
      </w:tr>
      <w:tr w:rsidR="00DE3681" w:rsidRPr="00060097" w:rsidTr="008609A8">
        <w:trPr>
          <w:trHeight w:val="422"/>
          <w:jc w:val="center"/>
        </w:trPr>
        <w:tc>
          <w:tcPr>
            <w:tcW w:w="1445" w:type="dxa"/>
            <w:vAlign w:val="center"/>
          </w:tcPr>
          <w:p w:rsidR="00DE3681" w:rsidRPr="00060097" w:rsidRDefault="00DE3681" w:rsidP="00DE3681">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18 Kg</w:t>
            </w:r>
          </w:p>
        </w:tc>
        <w:tc>
          <w:tcPr>
            <w:tcW w:w="1394" w:type="dxa"/>
          </w:tcPr>
          <w:p w:rsidR="00DE3681" w:rsidRDefault="00DE3681" w:rsidP="00DE3681">
            <w:pPr>
              <w:ind w:left="0"/>
              <w:jc w:val="center"/>
            </w:pPr>
            <w:r w:rsidRPr="008130A0">
              <w:rPr>
                <w:rFonts w:ascii="Bookman Old Style" w:hAnsi="Bookman Old Style"/>
                <w:color w:val="000000"/>
                <w:sz w:val="18"/>
                <w:szCs w:val="18"/>
              </w:rPr>
              <w:t>NR*</w:t>
            </w:r>
          </w:p>
        </w:tc>
      </w:tr>
      <w:tr w:rsidR="00DE3681" w:rsidRPr="00060097" w:rsidTr="008609A8">
        <w:trPr>
          <w:trHeight w:val="422"/>
          <w:jc w:val="center"/>
        </w:trPr>
        <w:tc>
          <w:tcPr>
            <w:tcW w:w="1445" w:type="dxa"/>
            <w:vAlign w:val="center"/>
          </w:tcPr>
          <w:p w:rsidR="00DE3681" w:rsidRPr="00060097" w:rsidRDefault="00DE3681" w:rsidP="00DE3681">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20 Kg</w:t>
            </w:r>
          </w:p>
        </w:tc>
        <w:tc>
          <w:tcPr>
            <w:tcW w:w="1394" w:type="dxa"/>
          </w:tcPr>
          <w:p w:rsidR="00DE3681" w:rsidRDefault="00DE3681" w:rsidP="00DE3681">
            <w:pPr>
              <w:ind w:left="0"/>
              <w:jc w:val="center"/>
            </w:pPr>
            <w:r w:rsidRPr="008130A0">
              <w:rPr>
                <w:rFonts w:ascii="Bookman Old Style" w:hAnsi="Bookman Old Style"/>
                <w:color w:val="000000"/>
                <w:sz w:val="18"/>
                <w:szCs w:val="18"/>
              </w:rPr>
              <w:t>NR*</w:t>
            </w:r>
          </w:p>
        </w:tc>
      </w:tr>
      <w:tr w:rsidR="00DE3681" w:rsidRPr="00060097" w:rsidTr="008609A8">
        <w:trPr>
          <w:trHeight w:val="422"/>
          <w:jc w:val="center"/>
        </w:trPr>
        <w:tc>
          <w:tcPr>
            <w:tcW w:w="1445" w:type="dxa"/>
            <w:vAlign w:val="center"/>
          </w:tcPr>
          <w:p w:rsidR="00DE3681" w:rsidRPr="00060097" w:rsidRDefault="00DE3681" w:rsidP="00DE3681">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30 Kg</w:t>
            </w:r>
          </w:p>
        </w:tc>
        <w:tc>
          <w:tcPr>
            <w:tcW w:w="1394" w:type="dxa"/>
          </w:tcPr>
          <w:p w:rsidR="00DE3681" w:rsidRDefault="00DE3681" w:rsidP="00DE3681">
            <w:pPr>
              <w:ind w:left="0"/>
              <w:jc w:val="center"/>
            </w:pPr>
            <w:r w:rsidRPr="008130A0">
              <w:rPr>
                <w:rFonts w:ascii="Bookman Old Style" w:hAnsi="Bookman Old Style"/>
                <w:color w:val="000000"/>
                <w:sz w:val="18"/>
                <w:szCs w:val="18"/>
              </w:rPr>
              <w:t>NR*</w:t>
            </w:r>
          </w:p>
        </w:tc>
      </w:tr>
      <w:tr w:rsidR="00DE3681" w:rsidRPr="00060097" w:rsidTr="008609A8">
        <w:trPr>
          <w:trHeight w:val="422"/>
          <w:jc w:val="center"/>
        </w:trPr>
        <w:tc>
          <w:tcPr>
            <w:tcW w:w="1445" w:type="dxa"/>
            <w:vAlign w:val="center"/>
          </w:tcPr>
          <w:p w:rsidR="00DE3681" w:rsidRPr="00060097" w:rsidRDefault="00DE3681" w:rsidP="00DE3681">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33 Kg</w:t>
            </w:r>
          </w:p>
        </w:tc>
        <w:tc>
          <w:tcPr>
            <w:tcW w:w="1394" w:type="dxa"/>
          </w:tcPr>
          <w:p w:rsidR="00DE3681" w:rsidRDefault="00DE3681" w:rsidP="00DE3681">
            <w:pPr>
              <w:ind w:left="0"/>
              <w:jc w:val="center"/>
            </w:pPr>
            <w:r w:rsidRPr="008130A0">
              <w:rPr>
                <w:rFonts w:ascii="Bookman Old Style" w:hAnsi="Bookman Old Style"/>
                <w:color w:val="000000"/>
                <w:sz w:val="18"/>
                <w:szCs w:val="18"/>
              </w:rPr>
              <w:t>NR*</w:t>
            </w:r>
          </w:p>
        </w:tc>
      </w:tr>
      <w:tr w:rsidR="00DE3681" w:rsidRPr="00060097" w:rsidTr="008609A8">
        <w:trPr>
          <w:trHeight w:val="422"/>
          <w:jc w:val="center"/>
        </w:trPr>
        <w:tc>
          <w:tcPr>
            <w:tcW w:w="1445" w:type="dxa"/>
            <w:vAlign w:val="center"/>
          </w:tcPr>
          <w:p w:rsidR="00DE3681" w:rsidRPr="00060097" w:rsidRDefault="00DE3681" w:rsidP="00DE3681">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35 Kg</w:t>
            </w:r>
          </w:p>
        </w:tc>
        <w:tc>
          <w:tcPr>
            <w:tcW w:w="1394" w:type="dxa"/>
          </w:tcPr>
          <w:p w:rsidR="00DE3681" w:rsidRDefault="00DE3681" w:rsidP="00DE3681">
            <w:pPr>
              <w:ind w:left="0"/>
              <w:jc w:val="center"/>
            </w:pPr>
            <w:r w:rsidRPr="008130A0">
              <w:rPr>
                <w:rFonts w:ascii="Bookman Old Style" w:hAnsi="Bookman Old Style"/>
                <w:color w:val="000000"/>
                <w:sz w:val="18"/>
                <w:szCs w:val="18"/>
              </w:rPr>
              <w:t>NR*</w:t>
            </w:r>
          </w:p>
        </w:tc>
      </w:tr>
      <w:tr w:rsidR="00DE3681" w:rsidRPr="00060097" w:rsidTr="008609A8">
        <w:trPr>
          <w:trHeight w:val="422"/>
          <w:jc w:val="center"/>
        </w:trPr>
        <w:tc>
          <w:tcPr>
            <w:tcW w:w="1445" w:type="dxa"/>
            <w:vAlign w:val="center"/>
          </w:tcPr>
          <w:p w:rsidR="00DE3681" w:rsidRPr="00060097" w:rsidRDefault="00DE3681" w:rsidP="00DE3681">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40 Kg</w:t>
            </w:r>
          </w:p>
        </w:tc>
        <w:tc>
          <w:tcPr>
            <w:tcW w:w="1394" w:type="dxa"/>
          </w:tcPr>
          <w:p w:rsidR="00DE3681" w:rsidRDefault="00DE3681" w:rsidP="00DE3681">
            <w:pPr>
              <w:ind w:left="0"/>
              <w:jc w:val="center"/>
            </w:pPr>
            <w:r w:rsidRPr="008130A0">
              <w:rPr>
                <w:rFonts w:ascii="Bookman Old Style" w:hAnsi="Bookman Old Style"/>
                <w:color w:val="000000"/>
                <w:sz w:val="18"/>
                <w:szCs w:val="18"/>
              </w:rPr>
              <w:t>NR*</w:t>
            </w:r>
          </w:p>
        </w:tc>
      </w:tr>
      <w:tr w:rsidR="00DE3681" w:rsidRPr="00060097" w:rsidTr="008609A8">
        <w:trPr>
          <w:trHeight w:val="422"/>
          <w:jc w:val="center"/>
        </w:trPr>
        <w:tc>
          <w:tcPr>
            <w:tcW w:w="1445" w:type="dxa"/>
            <w:vAlign w:val="center"/>
          </w:tcPr>
          <w:p w:rsidR="00DE3681" w:rsidRPr="00060097" w:rsidRDefault="00DE3681" w:rsidP="00DE3681">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45 Kg</w:t>
            </w:r>
          </w:p>
        </w:tc>
        <w:tc>
          <w:tcPr>
            <w:tcW w:w="1394" w:type="dxa"/>
          </w:tcPr>
          <w:p w:rsidR="00DE3681" w:rsidRDefault="00DE3681" w:rsidP="00DE3681">
            <w:pPr>
              <w:ind w:left="0"/>
              <w:jc w:val="center"/>
            </w:pPr>
            <w:r w:rsidRPr="008130A0">
              <w:rPr>
                <w:rFonts w:ascii="Bookman Old Style" w:hAnsi="Bookman Old Style"/>
                <w:color w:val="000000"/>
                <w:sz w:val="18"/>
                <w:szCs w:val="18"/>
              </w:rPr>
              <w:t>NR*</w:t>
            </w:r>
          </w:p>
        </w:tc>
      </w:tr>
      <w:tr w:rsidR="00DE3681" w:rsidRPr="00060097" w:rsidTr="008609A8">
        <w:trPr>
          <w:trHeight w:val="422"/>
          <w:jc w:val="center"/>
        </w:trPr>
        <w:tc>
          <w:tcPr>
            <w:tcW w:w="1445" w:type="dxa"/>
            <w:vAlign w:val="center"/>
          </w:tcPr>
          <w:p w:rsidR="00DE3681" w:rsidRPr="00060097" w:rsidRDefault="00DE3681" w:rsidP="00DE3681">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100 Kg</w:t>
            </w:r>
          </w:p>
        </w:tc>
        <w:tc>
          <w:tcPr>
            <w:tcW w:w="1394" w:type="dxa"/>
          </w:tcPr>
          <w:p w:rsidR="00DE3681" w:rsidRDefault="00DE3681" w:rsidP="00DE3681">
            <w:pPr>
              <w:ind w:left="0"/>
              <w:jc w:val="center"/>
            </w:pPr>
            <w:r w:rsidRPr="008130A0">
              <w:rPr>
                <w:rFonts w:ascii="Bookman Old Style" w:hAnsi="Bookman Old Style"/>
                <w:color w:val="000000"/>
                <w:sz w:val="18"/>
                <w:szCs w:val="18"/>
              </w:rPr>
              <w:t>NR*</w:t>
            </w:r>
          </w:p>
        </w:tc>
      </w:tr>
      <w:tr w:rsidR="00DE3681" w:rsidRPr="00060097" w:rsidTr="008609A8">
        <w:trPr>
          <w:trHeight w:val="422"/>
          <w:jc w:val="center"/>
        </w:trPr>
        <w:tc>
          <w:tcPr>
            <w:tcW w:w="1445" w:type="dxa"/>
            <w:vAlign w:val="center"/>
          </w:tcPr>
          <w:p w:rsidR="00DE3681" w:rsidRPr="00060097" w:rsidRDefault="00DE3681" w:rsidP="00DE3681">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Total general</w:t>
            </w:r>
          </w:p>
        </w:tc>
        <w:tc>
          <w:tcPr>
            <w:tcW w:w="1394" w:type="dxa"/>
          </w:tcPr>
          <w:p w:rsidR="00DE3681" w:rsidRDefault="00DE3681" w:rsidP="00DE3681">
            <w:pPr>
              <w:ind w:left="0"/>
              <w:jc w:val="center"/>
            </w:pPr>
            <w:r w:rsidRPr="008130A0">
              <w:rPr>
                <w:rFonts w:ascii="Bookman Old Style" w:hAnsi="Bookman Old Style"/>
                <w:color w:val="000000"/>
                <w:sz w:val="18"/>
                <w:szCs w:val="18"/>
              </w:rPr>
              <w:t>NR*</w:t>
            </w:r>
          </w:p>
        </w:tc>
      </w:tr>
      <w:tr w:rsidR="00DE3681" w:rsidRPr="00060097" w:rsidTr="008609A8">
        <w:trPr>
          <w:trHeight w:val="422"/>
          <w:jc w:val="center"/>
        </w:trPr>
        <w:tc>
          <w:tcPr>
            <w:tcW w:w="1445" w:type="dxa"/>
            <w:vAlign w:val="center"/>
          </w:tcPr>
          <w:p w:rsidR="00DE3681" w:rsidRPr="00AF500C" w:rsidRDefault="00DE3681" w:rsidP="00DE3681">
            <w:pPr>
              <w:ind w:left="29"/>
              <w:jc w:val="center"/>
              <w:rPr>
                <w:rFonts w:ascii="Bookman Old Style" w:hAnsi="Bookman Old Style"/>
                <w:b/>
                <w:color w:val="000000"/>
                <w:sz w:val="18"/>
                <w:szCs w:val="18"/>
              </w:rPr>
            </w:pPr>
            <m:oMathPara>
              <m:oMath>
                <m:r>
                  <m:rPr>
                    <m:sty m:val="bi"/>
                  </m:rPr>
                  <w:rPr>
                    <w:rFonts w:ascii="Cambria Math" w:hAnsi="Cambria Math"/>
                    <w:color w:val="000000"/>
                    <w:sz w:val="18"/>
                    <w:szCs w:val="18"/>
                  </w:rPr>
                  <m:t>Cap.</m:t>
                </m:r>
                <m:sSub>
                  <m:sSubPr>
                    <m:ctrlPr>
                      <w:rPr>
                        <w:rFonts w:ascii="Cambria Math" w:hAnsi="Cambria Math"/>
                        <w:b/>
                        <w:i/>
                        <w:color w:val="000000"/>
                        <w:sz w:val="18"/>
                        <w:szCs w:val="18"/>
                        <w:lang w:eastAsia="es-CO"/>
                      </w:rPr>
                    </m:ctrlPr>
                  </m:sSubPr>
                  <m:e>
                    <m:r>
                      <m:rPr>
                        <m:sty m:val="bi"/>
                      </m:rPr>
                      <w:rPr>
                        <w:rFonts w:ascii="Cambria Math" w:hAnsi="Cambria Math"/>
                        <w:color w:val="000000"/>
                        <w:sz w:val="18"/>
                        <w:szCs w:val="18"/>
                      </w:rPr>
                      <m:t>2</m:t>
                    </m:r>
                  </m:e>
                  <m:sub>
                    <m:r>
                      <m:rPr>
                        <m:sty m:val="bi"/>
                      </m:rPr>
                      <w:rPr>
                        <w:rFonts w:ascii="Cambria Math" w:hAnsi="Cambria Math"/>
                        <w:color w:val="000000"/>
                        <w:sz w:val="18"/>
                        <w:szCs w:val="18"/>
                      </w:rPr>
                      <m:t>i,t</m:t>
                    </m:r>
                  </m:sub>
                </m:sSub>
                <m:r>
                  <m:rPr>
                    <m:sty m:val="bi"/>
                  </m:rPr>
                  <w:rPr>
                    <w:rFonts w:ascii="Cambria Math" w:hAnsi="Cambria Math"/>
                    <w:color w:val="000000"/>
                    <w:sz w:val="18"/>
                    <w:szCs w:val="18"/>
                  </w:rPr>
                  <m:t xml:space="preserve"> </m:t>
                </m:r>
              </m:oMath>
            </m:oMathPara>
          </w:p>
        </w:tc>
        <w:tc>
          <w:tcPr>
            <w:tcW w:w="1394" w:type="dxa"/>
          </w:tcPr>
          <w:p w:rsidR="00DE3681" w:rsidRDefault="00DE3681" w:rsidP="00DE3681">
            <w:pPr>
              <w:ind w:left="0"/>
              <w:jc w:val="center"/>
            </w:pPr>
            <w:r w:rsidRPr="008130A0">
              <w:rPr>
                <w:rFonts w:ascii="Bookman Old Style" w:hAnsi="Bookman Old Style"/>
                <w:color w:val="000000"/>
                <w:sz w:val="18"/>
                <w:szCs w:val="18"/>
              </w:rPr>
              <w:t>NR*</w:t>
            </w:r>
          </w:p>
        </w:tc>
      </w:tr>
    </w:tbl>
    <w:p w:rsidR="00AF500C" w:rsidRPr="00074962" w:rsidRDefault="00AF500C" w:rsidP="00AF500C">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AF500C" w:rsidRDefault="00AF500C" w:rsidP="00AF500C">
      <w:pPr>
        <w:jc w:val="center"/>
        <w:rPr>
          <w:rFonts w:ascii="Bookman Old Style" w:hAnsi="Bookman Old Style"/>
          <w:sz w:val="18"/>
        </w:rPr>
      </w:pPr>
    </w:p>
    <w:p w:rsidR="00AF500C" w:rsidRPr="00AF500C" w:rsidRDefault="00AF500C" w:rsidP="00AF500C">
      <w:pPr>
        <w:pStyle w:val="Prrafodelista"/>
        <w:numPr>
          <w:ilvl w:val="0"/>
          <w:numId w:val="36"/>
        </w:numPr>
        <w:contextualSpacing/>
        <w:jc w:val="both"/>
        <w:rPr>
          <w:rFonts w:ascii="Bookman Old Style" w:eastAsia="Calibri" w:hAnsi="Bookman Old Style"/>
          <w:sz w:val="24"/>
          <w:szCs w:val="24"/>
        </w:rPr>
      </w:pPr>
      <w:r>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cil</m:t>
            </m:r>
          </m:e>
          <m:sub>
            <m:r>
              <w:rPr>
                <w:rFonts w:ascii="Cambria Math" w:hAnsi="Cambria Math"/>
              </w:rPr>
              <m:t>i,t</m:t>
            </m:r>
          </m:sub>
        </m:sSub>
      </m:oMath>
      <w:r w:rsidRPr="00AF500C">
        <w:rPr>
          <w:rFonts w:ascii="Bookman Old Style" w:hAnsi="Bookman Old Style"/>
          <w:iCs/>
          <w:sz w:val="24"/>
          <w:szCs w:val="24"/>
        </w:rPr>
        <w:t xml:space="preserve">, a continuación se muestra el conteo de cilindros por código de presentación para cada uno de los códigos SUI de las empresas. </w:t>
      </w:r>
    </w:p>
    <w:p w:rsidR="00AF500C" w:rsidRPr="0089470C" w:rsidRDefault="00AF500C" w:rsidP="00AF500C">
      <w:pPr>
        <w:pStyle w:val="Prrafodelista"/>
        <w:ind w:left="720"/>
        <w:jc w:val="both"/>
        <w:rPr>
          <w:rFonts w:ascii="Bookman Old Style" w:hAnsi="Bookman Old Style"/>
          <w:sz w:val="24"/>
          <w:szCs w:val="24"/>
        </w:rPr>
      </w:pPr>
    </w:p>
    <w:tbl>
      <w:tblPr>
        <w:tblW w:w="6001" w:type="dxa"/>
        <w:jc w:val="center"/>
        <w:tblCellMar>
          <w:left w:w="70" w:type="dxa"/>
          <w:right w:w="70" w:type="dxa"/>
        </w:tblCellMar>
        <w:tblLook w:val="04A0" w:firstRow="1" w:lastRow="0" w:firstColumn="1" w:lastColumn="0" w:noHBand="0" w:noVBand="1"/>
      </w:tblPr>
      <w:tblGrid>
        <w:gridCol w:w="1420"/>
        <w:gridCol w:w="1660"/>
        <w:gridCol w:w="1360"/>
        <w:gridCol w:w="1600"/>
      </w:tblGrid>
      <w:tr w:rsidR="00AF500C" w:rsidRPr="00074962" w:rsidTr="00A167F8">
        <w:trPr>
          <w:trHeight w:val="405"/>
          <w:tblHeader/>
          <w:jc w:val="center"/>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500C" w:rsidRPr="00074962" w:rsidRDefault="00AF500C" w:rsidP="00A167F8">
            <w:pPr>
              <w:jc w:val="center"/>
              <w:rPr>
                <w:rFonts w:ascii="Bookman Old Style" w:hAnsi="Bookman Old Style"/>
                <w:color w:val="000000"/>
                <w:sz w:val="20"/>
                <w:szCs w:val="20"/>
                <w:lang w:eastAsia="es-CO"/>
              </w:rPr>
            </w:pPr>
            <w:r w:rsidRPr="00074962">
              <w:rPr>
                <w:rFonts w:ascii="Bookman Old Style" w:hAnsi="Bookman Old Style"/>
                <w:b/>
                <w:bCs/>
                <w:color w:val="000000"/>
                <w:sz w:val="20"/>
                <w:szCs w:val="20"/>
                <w:lang w:eastAsia="es-CO"/>
              </w:rPr>
              <w:t>Código SUI</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F500C" w:rsidRPr="00AF500C" w:rsidRDefault="00AF500C" w:rsidP="00A167F8">
            <w:pPr>
              <w:jc w:val="center"/>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1</m:t>
                    </m:r>
                  </m:e>
                  <m:sub>
                    <m:r>
                      <m:rPr>
                        <m:sty m:val="bi"/>
                      </m:rPr>
                      <w:rPr>
                        <w:rFonts w:ascii="Cambria Math" w:hAnsi="Cambria Math"/>
                        <w:color w:val="000000"/>
                        <w:sz w:val="20"/>
                        <w:szCs w:val="20"/>
                        <w:lang w:eastAsia="es-CO"/>
                      </w:rPr>
                      <m:t>i,t</m:t>
                    </m:r>
                  </m:sub>
                </m:sSub>
              </m:oMath>
            </m:oMathPara>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AF500C" w:rsidRPr="00AF500C" w:rsidRDefault="00AF500C" w:rsidP="00A167F8">
            <w:pPr>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2</m:t>
                    </m:r>
                  </m:e>
                  <m:sub>
                    <m:r>
                      <m:rPr>
                        <m:sty m:val="bi"/>
                      </m:rPr>
                      <w:rPr>
                        <w:rFonts w:ascii="Cambria Math" w:hAnsi="Cambria Math"/>
                        <w:color w:val="000000"/>
                        <w:sz w:val="20"/>
                        <w:szCs w:val="20"/>
                        <w:lang w:eastAsia="es-CO"/>
                      </w:rPr>
                      <m:t>i,t</m:t>
                    </m:r>
                  </m:sub>
                </m:sSub>
              </m:oMath>
            </m:oMathPara>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AF500C" w:rsidRPr="00AF500C" w:rsidRDefault="00AF500C" w:rsidP="00A167F8">
            <w:pPr>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r>
      <w:tr w:rsidR="00AF500C" w:rsidRPr="00074962" w:rsidTr="00A167F8">
        <w:trPr>
          <w:trHeight w:val="311"/>
          <w:jc w:val="center"/>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500C" w:rsidRPr="0093479E" w:rsidRDefault="00AF500C" w:rsidP="00DE3681">
            <w:pPr>
              <w:jc w:val="center"/>
              <w:rPr>
                <w:rFonts w:ascii="Bookman Old Style" w:hAnsi="Bookman Old Style"/>
                <w:color w:val="000000"/>
                <w:sz w:val="18"/>
                <w:szCs w:val="20"/>
              </w:rPr>
            </w:pPr>
            <w:r>
              <w:rPr>
                <w:rFonts w:ascii="Bookman Old Style" w:hAnsi="Bookman Old Style"/>
                <w:color w:val="000000"/>
                <w:sz w:val="18"/>
                <w:szCs w:val="20"/>
              </w:rPr>
              <w:t>2</w:t>
            </w:r>
            <w:r w:rsidR="00DE3681">
              <w:rPr>
                <w:rFonts w:ascii="Bookman Old Style" w:hAnsi="Bookman Old Style"/>
                <w:color w:val="000000"/>
                <w:sz w:val="18"/>
                <w:szCs w:val="20"/>
              </w:rPr>
              <w:t>0518</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F500C" w:rsidRDefault="00AF500C" w:rsidP="00A167F8">
            <w:pPr>
              <w:jc w:val="center"/>
            </w:pPr>
            <w:r w:rsidRPr="00364115">
              <w:rPr>
                <w:rFonts w:ascii="Bookman Old Style" w:hAnsi="Bookman Old Style"/>
                <w:color w:val="000000"/>
                <w:sz w:val="20"/>
                <w:szCs w:val="20"/>
              </w:rPr>
              <w:t>NR*</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AF500C" w:rsidRDefault="00AF500C" w:rsidP="00A167F8">
            <w:pPr>
              <w:jc w:val="center"/>
            </w:pPr>
            <w:r w:rsidRPr="00364115">
              <w:rPr>
                <w:rFonts w:ascii="Bookman Old Style" w:hAnsi="Bookman Old Style"/>
                <w:color w:val="000000"/>
                <w:sz w:val="20"/>
                <w:szCs w:val="20"/>
              </w:rPr>
              <w:t>NR*</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AF500C" w:rsidRDefault="00AF500C" w:rsidP="00A167F8">
            <w:pPr>
              <w:jc w:val="center"/>
            </w:pPr>
            <w:r w:rsidRPr="00364115">
              <w:rPr>
                <w:rFonts w:ascii="Bookman Old Style" w:hAnsi="Bookman Old Style"/>
                <w:color w:val="000000"/>
                <w:sz w:val="20"/>
                <w:szCs w:val="20"/>
              </w:rPr>
              <w:t>NR*</w:t>
            </w:r>
          </w:p>
        </w:tc>
      </w:tr>
    </w:tbl>
    <w:p w:rsidR="00AF500C" w:rsidRPr="00074962" w:rsidRDefault="00AF500C" w:rsidP="00AF500C">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AF500C" w:rsidRDefault="00AF500C" w:rsidP="00AF500C">
      <w:pPr>
        <w:rPr>
          <w:rFonts w:ascii="Bookman Old Style" w:hAnsi="Bookman Old Style"/>
        </w:rPr>
      </w:pPr>
    </w:p>
    <w:p w:rsidR="00AF500C" w:rsidRPr="008609A8" w:rsidRDefault="00AF500C" w:rsidP="00AF500C">
      <w:pPr>
        <w:pStyle w:val="Prrafodelista"/>
        <w:numPr>
          <w:ilvl w:val="0"/>
          <w:numId w:val="36"/>
        </w:numPr>
        <w:contextualSpacing/>
        <w:jc w:val="both"/>
        <w:rPr>
          <w:rFonts w:ascii="Bookman Old Style" w:hAnsi="Bookman Old Style"/>
          <w:sz w:val="24"/>
          <w:szCs w:val="24"/>
        </w:rPr>
      </w:pPr>
      <w:r w:rsidRPr="004443F3">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TE</m:t>
            </m:r>
          </m:e>
          <m:sub>
            <m:r>
              <w:rPr>
                <w:rFonts w:ascii="Cambria Math" w:hAnsi="Cambria Math"/>
              </w:rPr>
              <m:t>i,t</m:t>
            </m:r>
          </m:sub>
        </m:sSub>
      </m:oMath>
      <w:r w:rsidRPr="00AF500C">
        <w:rPr>
          <w:rFonts w:ascii="Bookman Old Style" w:hAnsi="Bookman Old Style"/>
          <w:iCs/>
          <w:sz w:val="24"/>
          <w:szCs w:val="24"/>
        </w:rPr>
        <w:t xml:space="preserve">, a continuación se muestra el conteo de cilindros por código de presentación para cada uno de los códigos SUI de las empresas. </w:t>
      </w:r>
    </w:p>
    <w:p w:rsidR="008609A8" w:rsidRPr="004443F3" w:rsidRDefault="008609A8" w:rsidP="008609A8">
      <w:pPr>
        <w:pStyle w:val="Prrafodelista"/>
        <w:ind w:left="720"/>
        <w:contextualSpacing/>
        <w:jc w:val="both"/>
        <w:rPr>
          <w:rFonts w:ascii="Bookman Old Style" w:hAnsi="Bookman Old Style"/>
          <w:sz w:val="24"/>
          <w:szCs w:val="24"/>
        </w:rPr>
      </w:pPr>
    </w:p>
    <w:tbl>
      <w:tblPr>
        <w:tblW w:w="7088" w:type="dxa"/>
        <w:jc w:val="center"/>
        <w:tblCellMar>
          <w:left w:w="70" w:type="dxa"/>
          <w:right w:w="70" w:type="dxa"/>
        </w:tblCellMar>
        <w:tblLook w:val="04A0" w:firstRow="1" w:lastRow="0" w:firstColumn="1" w:lastColumn="0" w:noHBand="0" w:noVBand="1"/>
      </w:tblPr>
      <w:tblGrid>
        <w:gridCol w:w="1420"/>
        <w:gridCol w:w="1776"/>
        <w:gridCol w:w="2092"/>
        <w:gridCol w:w="1800"/>
      </w:tblGrid>
      <w:tr w:rsidR="00AF500C" w:rsidRPr="0056639C" w:rsidTr="00DE3681">
        <w:trPr>
          <w:trHeight w:val="791"/>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00C" w:rsidRPr="0056639C" w:rsidRDefault="00AF500C" w:rsidP="00DE3681">
            <w:pPr>
              <w:ind w:left="0"/>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Código SUI</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AF500C" w:rsidRPr="0056639C" w:rsidRDefault="00AF500C" w:rsidP="00DE3681">
            <w:pPr>
              <w:ind w:left="0"/>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Capacidad total (</w:t>
            </w:r>
            <w:proofErr w:type="spellStart"/>
            <w:r w:rsidRPr="0056639C">
              <w:rPr>
                <w:rFonts w:ascii="Bookman Old Style" w:hAnsi="Bookman Old Style"/>
                <w:b/>
                <w:bCs/>
                <w:color w:val="000000"/>
                <w:sz w:val="20"/>
                <w:szCs w:val="20"/>
                <w:lang w:eastAsia="es-CO"/>
              </w:rPr>
              <w:t>gl</w:t>
            </w:r>
            <w:proofErr w:type="spellEnd"/>
            <w:r w:rsidRPr="0056639C">
              <w:rPr>
                <w:rFonts w:ascii="Bookman Old Style" w:hAnsi="Bookman Old Style"/>
                <w:b/>
                <w:bCs/>
                <w:color w:val="000000"/>
                <w:sz w:val="20"/>
                <w:szCs w:val="20"/>
                <w:lang w:eastAsia="es-CO"/>
              </w:rPr>
              <w:t>)</w:t>
            </w:r>
            <w:r>
              <w:rPr>
                <w:rFonts w:ascii="Bookman Old Style" w:hAnsi="Bookman Old Style"/>
                <w:b/>
                <w:bCs/>
                <w:color w:val="000000"/>
                <w:sz w:val="20"/>
                <w:szCs w:val="20"/>
                <w:lang w:eastAsia="es-CO"/>
              </w:rPr>
              <w:t xml:space="preserve"> (</w:t>
            </w:r>
            <m:oMath>
              <m:nary>
                <m:naryPr>
                  <m:chr m:val="∑"/>
                  <m:limLoc m:val="undOvr"/>
                  <m:subHide m:val="1"/>
                  <m:supHide m:val="1"/>
                  <m:ctrlPr>
                    <w:rPr>
                      <w:rFonts w:ascii="Cambria Math" w:hAnsi="Cambria Math"/>
                      <w:b/>
                      <w:bCs/>
                      <w:i/>
                      <w:color w:val="000000"/>
                      <w:sz w:val="20"/>
                      <w:szCs w:val="20"/>
                      <w:lang w:eastAsia="es-CO"/>
                    </w:rPr>
                  </m:ctrlPr>
                </m:naryPr>
                <m:sub/>
                <m:sup/>
                <m:e>
                  <m:r>
                    <m:rPr>
                      <m:sty m:val="bi"/>
                    </m:rPr>
                    <w:rPr>
                      <w:rFonts w:ascii="Cambria Math" w:hAnsi="Cambria Math"/>
                      <w:color w:val="000000"/>
                      <w:sz w:val="20"/>
                      <w:szCs w:val="20"/>
                      <w:lang w:eastAsia="es-CO"/>
                    </w:rPr>
                    <m:t>CV*NT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e>
              </m:nary>
            </m:oMath>
            <w:r>
              <w:rPr>
                <w:rFonts w:ascii="Bookman Old Style" w:hAnsi="Bookman Old Style"/>
                <w:b/>
                <w:bCs/>
                <w:color w:val="000000"/>
                <w:sz w:val="20"/>
                <w:szCs w:val="20"/>
                <w:lang w:eastAsia="es-CO"/>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AF500C" w:rsidRPr="0056639C" w:rsidRDefault="00AF500C" w:rsidP="00DE3681">
            <w:pPr>
              <w:ind w:left="0"/>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Número tanques estacionarios</w:t>
            </w:r>
            <w:r>
              <w:rPr>
                <w:rFonts w:ascii="Bookman Old Style" w:hAnsi="Bookman Old Style"/>
                <w:b/>
                <w:bCs/>
                <w:color w:val="000000"/>
                <w:sz w:val="20"/>
                <w:szCs w:val="20"/>
                <w:lang w:eastAsia="es-CO"/>
              </w:rPr>
              <w:t xml:space="preserve"> (</w:t>
            </w:r>
            <m:oMath>
              <m:r>
                <m:rPr>
                  <m:sty m:val="bi"/>
                </m:rPr>
                <w:rPr>
                  <w:rFonts w:ascii="Cambria Math" w:hAnsi="Cambria Math"/>
                  <w:color w:val="000000"/>
                  <w:sz w:val="20"/>
                  <w:szCs w:val="20"/>
                  <w:lang w:eastAsia="es-CO"/>
                </w:rPr>
                <m:t>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oMath>
            <w:r>
              <w:rPr>
                <w:rFonts w:ascii="Bookman Old Style" w:hAnsi="Bookman Old Style"/>
                <w:b/>
                <w:bCs/>
                <w:color w:val="000000"/>
                <w:sz w:val="20"/>
                <w:szCs w:val="20"/>
                <w:lang w:eastAsia="es-CO"/>
              </w:rPr>
              <w: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AF500C" w:rsidRPr="0056639C" w:rsidRDefault="00AF500C" w:rsidP="00DE3681">
            <w:pPr>
              <w:ind w:left="0"/>
              <w:jc w:val="center"/>
              <w:rPr>
                <w:rFonts w:ascii="Bookman Old Style" w:hAnsi="Bookman Old Style"/>
                <w:b/>
                <w:bCs/>
                <w:color w:val="000000"/>
                <w:sz w:val="20"/>
                <w:szCs w:val="20"/>
                <w:lang w:eastAsia="es-CO"/>
              </w:rPr>
            </w:pPr>
            <m:oMath>
              <m:r>
                <m:rPr>
                  <m:sty m:val="bi"/>
                </m:rPr>
                <w:rPr>
                  <w:rFonts w:ascii="Cambria Math" w:hAnsi="Cambria Math"/>
                </w:rPr>
                <m:t>Cap.</m:t>
              </m:r>
              <m:sSub>
                <m:sSubPr>
                  <m:ctrlPr>
                    <w:rPr>
                      <w:rFonts w:ascii="Cambria Math" w:hAnsi="Cambria Math"/>
                      <w:b/>
                      <w:i/>
                      <w:iCs/>
                    </w:rPr>
                  </m:ctrlPr>
                </m:sSubPr>
                <m:e>
                  <m:r>
                    <m:rPr>
                      <m:sty m:val="bi"/>
                    </m:rPr>
                    <w:rPr>
                      <w:rFonts w:ascii="Cambria Math" w:hAnsi="Cambria Math"/>
                    </w:rPr>
                    <m:t>TE</m:t>
                  </m:r>
                </m:e>
                <m:sub>
                  <m:r>
                    <m:rPr>
                      <m:sty m:val="bi"/>
                    </m:rPr>
                    <w:rPr>
                      <w:rFonts w:ascii="Cambria Math" w:hAnsi="Cambria Math"/>
                    </w:rPr>
                    <m:t>i,t</m:t>
                  </m:r>
                </m:sub>
              </m:sSub>
            </m:oMath>
            <w:r w:rsidRPr="0056639C">
              <w:rPr>
                <w:rFonts w:ascii="Bookman Old Style" w:hAnsi="Bookman Old Style"/>
                <w:b/>
                <w:bCs/>
                <w:color w:val="000000"/>
                <w:sz w:val="20"/>
                <w:szCs w:val="20"/>
                <w:lang w:eastAsia="es-CO"/>
              </w:rPr>
              <w:t> </w:t>
            </w:r>
          </w:p>
        </w:tc>
      </w:tr>
      <w:tr w:rsidR="00DE3681" w:rsidRPr="0056639C" w:rsidTr="00DE3681">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DE3681" w:rsidRPr="0093479E" w:rsidRDefault="00DE3681" w:rsidP="00DE3681">
            <w:pPr>
              <w:ind w:left="0"/>
              <w:jc w:val="center"/>
              <w:rPr>
                <w:rFonts w:ascii="Bookman Old Style" w:hAnsi="Bookman Old Style"/>
                <w:color w:val="000000"/>
                <w:sz w:val="18"/>
                <w:szCs w:val="20"/>
              </w:rPr>
            </w:pPr>
            <w:r>
              <w:rPr>
                <w:rFonts w:ascii="Bookman Old Style" w:hAnsi="Bookman Old Style"/>
                <w:color w:val="000000"/>
                <w:sz w:val="18"/>
                <w:szCs w:val="20"/>
              </w:rPr>
              <w:t>20518</w:t>
            </w:r>
          </w:p>
        </w:tc>
        <w:tc>
          <w:tcPr>
            <w:tcW w:w="1776" w:type="dxa"/>
            <w:tcBorders>
              <w:top w:val="nil"/>
              <w:left w:val="nil"/>
              <w:bottom w:val="single" w:sz="4" w:space="0" w:color="auto"/>
              <w:right w:val="single" w:sz="4" w:space="0" w:color="auto"/>
            </w:tcBorders>
            <w:shd w:val="clear" w:color="auto" w:fill="auto"/>
            <w:noWrap/>
            <w:vAlign w:val="center"/>
          </w:tcPr>
          <w:p w:rsidR="00DE3681" w:rsidRPr="00DE3681" w:rsidRDefault="00DE3681" w:rsidP="00DE3681">
            <w:pPr>
              <w:ind w:left="0"/>
              <w:jc w:val="center"/>
              <w:rPr>
                <w:rFonts w:ascii="Bookman Old Style" w:hAnsi="Bookman Old Style"/>
                <w:sz w:val="18"/>
                <w:szCs w:val="18"/>
                <w:lang w:val="es-CO" w:eastAsia="es-CO"/>
              </w:rPr>
            </w:pPr>
            <w:r w:rsidRPr="00DE3681">
              <w:rPr>
                <w:rFonts w:ascii="Bookman Old Style" w:hAnsi="Bookman Old Style"/>
                <w:sz w:val="18"/>
                <w:szCs w:val="18"/>
              </w:rPr>
              <w:t>77.881</w:t>
            </w:r>
          </w:p>
        </w:tc>
        <w:tc>
          <w:tcPr>
            <w:tcW w:w="2092" w:type="dxa"/>
            <w:tcBorders>
              <w:top w:val="nil"/>
              <w:left w:val="nil"/>
              <w:bottom w:val="single" w:sz="4" w:space="0" w:color="auto"/>
              <w:right w:val="single" w:sz="4" w:space="0" w:color="auto"/>
            </w:tcBorders>
            <w:shd w:val="clear" w:color="auto" w:fill="auto"/>
            <w:noWrap/>
            <w:vAlign w:val="center"/>
          </w:tcPr>
          <w:p w:rsidR="00DE3681" w:rsidRPr="00DE3681" w:rsidRDefault="00DE3681" w:rsidP="00DE3681">
            <w:pPr>
              <w:ind w:left="0"/>
              <w:jc w:val="center"/>
              <w:rPr>
                <w:rFonts w:ascii="Bookman Old Style" w:hAnsi="Bookman Old Style"/>
                <w:sz w:val="18"/>
                <w:szCs w:val="18"/>
              </w:rPr>
            </w:pPr>
            <w:r w:rsidRPr="00DE3681">
              <w:rPr>
                <w:rFonts w:ascii="Bookman Old Style" w:hAnsi="Bookman Old Style"/>
                <w:sz w:val="18"/>
                <w:szCs w:val="18"/>
              </w:rPr>
              <w:t>27</w:t>
            </w:r>
          </w:p>
        </w:tc>
        <w:tc>
          <w:tcPr>
            <w:tcW w:w="1800" w:type="dxa"/>
            <w:tcBorders>
              <w:top w:val="nil"/>
              <w:left w:val="nil"/>
              <w:bottom w:val="single" w:sz="4" w:space="0" w:color="auto"/>
              <w:right w:val="single" w:sz="4" w:space="0" w:color="auto"/>
            </w:tcBorders>
            <w:shd w:val="clear" w:color="auto" w:fill="auto"/>
            <w:noWrap/>
            <w:vAlign w:val="center"/>
          </w:tcPr>
          <w:p w:rsidR="00DE3681" w:rsidRPr="00DE3681" w:rsidRDefault="00DE3681" w:rsidP="00DE3681">
            <w:pPr>
              <w:ind w:left="0"/>
              <w:jc w:val="center"/>
              <w:rPr>
                <w:rFonts w:ascii="Bookman Old Style" w:hAnsi="Bookman Old Style"/>
                <w:sz w:val="18"/>
                <w:szCs w:val="18"/>
              </w:rPr>
            </w:pPr>
            <w:r w:rsidRPr="00DE3681">
              <w:rPr>
                <w:rFonts w:ascii="Bookman Old Style" w:hAnsi="Bookman Old Style"/>
                <w:sz w:val="18"/>
                <w:szCs w:val="18"/>
              </w:rPr>
              <w:t>981.301</w:t>
            </w:r>
          </w:p>
        </w:tc>
      </w:tr>
    </w:tbl>
    <w:p w:rsidR="00AF500C" w:rsidRPr="004443F3" w:rsidRDefault="00AF500C" w:rsidP="00AF500C">
      <w:pPr>
        <w:pStyle w:val="Prrafodelista"/>
        <w:numPr>
          <w:ilvl w:val="0"/>
          <w:numId w:val="36"/>
        </w:numPr>
        <w:spacing w:after="200" w:line="276" w:lineRule="auto"/>
        <w:contextualSpacing/>
        <w:rPr>
          <w:rFonts w:ascii="Bookman Old Style" w:hAnsi="Bookman Old Style"/>
          <w:sz w:val="24"/>
          <w:szCs w:val="24"/>
        </w:rPr>
      </w:pPr>
      <w:r w:rsidRPr="004443F3">
        <w:rPr>
          <w:rFonts w:ascii="Bookman Old Style" w:hAnsi="Bookman Old Style"/>
          <w:sz w:val="24"/>
          <w:szCs w:val="24"/>
        </w:rPr>
        <w:lastRenderedPageBreak/>
        <w:t xml:space="preserve">De acuerdo con parágrafo 1 del artículo 8 de la resolución CREG 063 de 2016, se calcula la variable </w:t>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i,t</m:t>
            </m:r>
          </m:sub>
        </m:sSub>
      </m:oMath>
      <w:r w:rsidRPr="00AF500C">
        <w:rPr>
          <w:rFonts w:ascii="Bookman Old Style" w:hAnsi="Bookman Old Style"/>
          <w:iCs/>
          <w:sz w:val="24"/>
          <w:szCs w:val="24"/>
        </w:rPr>
        <w:t xml:space="preserve">, a continuación se muestra el conteo de cilindros por código de presentación para cada uno de los códigos SUI de las empresas. </w:t>
      </w:r>
    </w:p>
    <w:p w:rsidR="00AF500C" w:rsidRDefault="00AF500C" w:rsidP="00AF500C">
      <w:pPr>
        <w:pStyle w:val="Prrafodelista"/>
        <w:ind w:left="0"/>
        <w:jc w:val="center"/>
        <w:rPr>
          <w:rFonts w:ascii="Bookman Old Style" w:hAnsi="Bookman Old Style"/>
          <w:sz w:val="18"/>
          <w:szCs w:val="24"/>
        </w:rPr>
      </w:pPr>
    </w:p>
    <w:tbl>
      <w:tblPr>
        <w:tblW w:w="5720" w:type="dxa"/>
        <w:jc w:val="center"/>
        <w:tblCellMar>
          <w:left w:w="70" w:type="dxa"/>
          <w:right w:w="70" w:type="dxa"/>
        </w:tblCellMar>
        <w:tblLook w:val="04A0" w:firstRow="1" w:lastRow="0" w:firstColumn="1" w:lastColumn="0" w:noHBand="0" w:noVBand="1"/>
      </w:tblPr>
      <w:tblGrid>
        <w:gridCol w:w="1420"/>
        <w:gridCol w:w="1700"/>
        <w:gridCol w:w="1516"/>
        <w:gridCol w:w="1516"/>
      </w:tblGrid>
      <w:tr w:rsidR="00AF500C" w:rsidRPr="000768E2" w:rsidTr="00A167F8">
        <w:trPr>
          <w:trHeight w:val="570"/>
          <w:tblHeader/>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500C" w:rsidRPr="000768E2" w:rsidRDefault="00AF500C" w:rsidP="00A167F8">
            <w:pPr>
              <w:jc w:val="center"/>
              <w:rPr>
                <w:rFonts w:ascii="Bookman Old Style" w:hAnsi="Bookman Old Style"/>
                <w:b/>
                <w:bCs/>
                <w:color w:val="000000"/>
                <w:sz w:val="20"/>
                <w:szCs w:val="20"/>
                <w:lang w:eastAsia="es-CO"/>
              </w:rPr>
            </w:pPr>
            <w:r w:rsidRPr="000768E2">
              <w:rPr>
                <w:rFonts w:ascii="Bookman Old Style" w:hAnsi="Bookman Old Style"/>
                <w:b/>
                <w:bCs/>
                <w:color w:val="000000"/>
                <w:sz w:val="20"/>
                <w:szCs w:val="20"/>
                <w:lang w:eastAsia="es-CO"/>
              </w:rPr>
              <w:t>Código SUI</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AF500C" w:rsidRPr="00AF500C" w:rsidRDefault="00AF500C" w:rsidP="00A167F8">
            <w:pP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AF500C" w:rsidRPr="00AF500C" w:rsidRDefault="00AF500C" w:rsidP="00A167F8">
            <w:pPr>
              <w:rPr>
                <w:rFonts w:ascii="Bookman Old Style" w:hAnsi="Bookman Old Style"/>
                <w:b/>
                <w:bCs/>
                <w:color w:val="000000"/>
                <w:sz w:val="20"/>
                <w:szCs w:val="20"/>
                <w:lang w:eastAsia="es-CO"/>
              </w:rPr>
            </w:pPr>
            <m:oMathPara>
              <m:oMath>
                <m:r>
                  <m:rPr>
                    <m:sty m:val="bi"/>
                  </m:rPr>
                  <w:rPr>
                    <w:rFonts w:ascii="Cambria Math" w:hAnsi="Cambria Math"/>
                    <w:sz w:val="20"/>
                    <w:szCs w:val="20"/>
                  </w:rPr>
                  <m:t>Cap.</m:t>
                </m:r>
                <m:sSub>
                  <m:sSubPr>
                    <m:ctrlPr>
                      <w:rPr>
                        <w:rFonts w:ascii="Cambria Math" w:hAnsi="Cambria Math"/>
                        <w:b/>
                        <w:i/>
                        <w:iCs/>
                        <w:sz w:val="20"/>
                        <w:szCs w:val="20"/>
                      </w:rPr>
                    </m:ctrlPr>
                  </m:sSubPr>
                  <m:e>
                    <m:r>
                      <m:rPr>
                        <m:sty m:val="bi"/>
                      </m:rPr>
                      <w:rPr>
                        <w:rFonts w:ascii="Cambria Math" w:hAnsi="Cambria Math"/>
                        <w:sz w:val="20"/>
                        <w:szCs w:val="20"/>
                      </w:rPr>
                      <m:t>TE</m:t>
                    </m:r>
                  </m:e>
                  <m:sub>
                    <m:r>
                      <m:rPr>
                        <m:sty m:val="bi"/>
                      </m:rPr>
                      <w:rPr>
                        <w:rFonts w:ascii="Cambria Math" w:hAnsi="Cambria Math"/>
                        <w:sz w:val="20"/>
                        <w:szCs w:val="20"/>
                      </w:rPr>
                      <m:t>i,t</m:t>
                    </m:r>
                  </m:sub>
                </m:sSub>
              </m:oMath>
            </m:oMathPara>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AF500C" w:rsidRPr="00AF500C" w:rsidRDefault="00AF500C" w:rsidP="00A167F8">
            <w:pPr>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m:oMathPara>
          </w:p>
        </w:tc>
      </w:tr>
      <w:tr w:rsidR="00AF500C" w:rsidRPr="000768E2" w:rsidTr="00A167F8">
        <w:trPr>
          <w:trHeight w:val="2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AF500C" w:rsidRPr="0093479E" w:rsidRDefault="00DE3681" w:rsidP="00A167F8">
            <w:pPr>
              <w:jc w:val="center"/>
              <w:rPr>
                <w:rFonts w:ascii="Bookman Old Style" w:hAnsi="Bookman Old Style"/>
                <w:color w:val="000000"/>
                <w:sz w:val="18"/>
                <w:szCs w:val="20"/>
              </w:rPr>
            </w:pPr>
            <w:r>
              <w:rPr>
                <w:rFonts w:ascii="Bookman Old Style" w:hAnsi="Bookman Old Style"/>
                <w:color w:val="000000"/>
                <w:sz w:val="18"/>
                <w:szCs w:val="20"/>
              </w:rPr>
              <w:t>20518</w:t>
            </w:r>
          </w:p>
        </w:tc>
        <w:tc>
          <w:tcPr>
            <w:tcW w:w="1700" w:type="dxa"/>
            <w:tcBorders>
              <w:top w:val="nil"/>
              <w:left w:val="nil"/>
              <w:bottom w:val="single" w:sz="4" w:space="0" w:color="auto"/>
              <w:right w:val="single" w:sz="4" w:space="0" w:color="auto"/>
            </w:tcBorders>
            <w:shd w:val="clear" w:color="auto" w:fill="auto"/>
            <w:noWrap/>
            <w:vAlign w:val="center"/>
          </w:tcPr>
          <w:p w:rsidR="00AF500C" w:rsidRDefault="00AF500C" w:rsidP="00A167F8">
            <w:pPr>
              <w:jc w:val="center"/>
              <w:rPr>
                <w:rFonts w:ascii="Bookman Old Style" w:hAnsi="Bookman Old Style"/>
                <w:color w:val="000000"/>
                <w:sz w:val="20"/>
                <w:szCs w:val="20"/>
              </w:rPr>
            </w:pPr>
            <w:r>
              <w:rPr>
                <w:rFonts w:ascii="Bookman Old Style" w:hAnsi="Bookman Old Style"/>
                <w:color w:val="000000"/>
                <w:sz w:val="20"/>
                <w:szCs w:val="20"/>
              </w:rPr>
              <w:t>NR*</w:t>
            </w:r>
          </w:p>
        </w:tc>
        <w:tc>
          <w:tcPr>
            <w:tcW w:w="1340" w:type="dxa"/>
            <w:tcBorders>
              <w:top w:val="nil"/>
              <w:left w:val="nil"/>
              <w:bottom w:val="single" w:sz="4" w:space="0" w:color="auto"/>
              <w:right w:val="single" w:sz="4" w:space="0" w:color="auto"/>
            </w:tcBorders>
            <w:shd w:val="clear" w:color="auto" w:fill="auto"/>
            <w:noWrap/>
            <w:vAlign w:val="center"/>
          </w:tcPr>
          <w:p w:rsidR="00AF500C" w:rsidRDefault="00DE3681" w:rsidP="00A167F8">
            <w:pPr>
              <w:jc w:val="center"/>
              <w:rPr>
                <w:rFonts w:ascii="Bookman Old Style" w:hAnsi="Bookman Old Style"/>
                <w:color w:val="000000"/>
                <w:sz w:val="20"/>
                <w:szCs w:val="20"/>
              </w:rPr>
            </w:pPr>
            <w:r>
              <w:rPr>
                <w:rFonts w:ascii="Bookman Old Style" w:hAnsi="Bookman Old Style"/>
                <w:color w:val="000000"/>
                <w:sz w:val="20"/>
                <w:szCs w:val="20"/>
              </w:rPr>
              <w:t>981.301</w:t>
            </w:r>
          </w:p>
        </w:tc>
        <w:tc>
          <w:tcPr>
            <w:tcW w:w="1480" w:type="dxa"/>
            <w:tcBorders>
              <w:top w:val="nil"/>
              <w:left w:val="nil"/>
              <w:bottom w:val="single" w:sz="4" w:space="0" w:color="auto"/>
              <w:right w:val="single" w:sz="4" w:space="0" w:color="auto"/>
            </w:tcBorders>
            <w:shd w:val="clear" w:color="auto" w:fill="auto"/>
            <w:noWrap/>
            <w:vAlign w:val="center"/>
          </w:tcPr>
          <w:p w:rsidR="00AF500C" w:rsidRDefault="00DE3681" w:rsidP="00A167F8">
            <w:pPr>
              <w:jc w:val="center"/>
              <w:rPr>
                <w:rFonts w:ascii="Bookman Old Style" w:hAnsi="Bookman Old Style"/>
                <w:color w:val="000000"/>
                <w:sz w:val="20"/>
                <w:szCs w:val="20"/>
              </w:rPr>
            </w:pPr>
            <w:r>
              <w:rPr>
                <w:rFonts w:ascii="Bookman Old Style" w:hAnsi="Bookman Old Style"/>
                <w:color w:val="000000"/>
                <w:sz w:val="20"/>
                <w:szCs w:val="20"/>
              </w:rPr>
              <w:t>258.573</w:t>
            </w:r>
          </w:p>
        </w:tc>
      </w:tr>
    </w:tbl>
    <w:p w:rsidR="00AF500C" w:rsidRPr="002B4873" w:rsidRDefault="00AF500C" w:rsidP="00AF500C">
      <w:pPr>
        <w:pStyle w:val="Prrafodelista"/>
        <w:ind w:left="0"/>
        <w:jc w:val="center"/>
        <w:rPr>
          <w:rFonts w:ascii="Bookman Old Style" w:hAnsi="Bookman Old Style"/>
          <w:sz w:val="18"/>
          <w:szCs w:val="24"/>
        </w:rPr>
      </w:pPr>
      <w:r>
        <w:rPr>
          <w:rFonts w:ascii="Bookman Old Style" w:hAnsi="Bookman Old Style"/>
          <w:sz w:val="18"/>
          <w:szCs w:val="24"/>
        </w:rPr>
        <w:t>NR</w:t>
      </w:r>
      <w:r w:rsidRPr="002B4873">
        <w:rPr>
          <w:rFonts w:ascii="Bookman Old Style" w:hAnsi="Bookman Old Style"/>
          <w:sz w:val="18"/>
          <w:szCs w:val="24"/>
        </w:rPr>
        <w:t>*</w:t>
      </w:r>
      <w:r>
        <w:rPr>
          <w:rFonts w:ascii="Bookman Old Style" w:hAnsi="Bookman Old Style"/>
          <w:sz w:val="18"/>
          <w:szCs w:val="24"/>
        </w:rPr>
        <w:t>:</w:t>
      </w:r>
      <w:r w:rsidRPr="00EB559D">
        <w:t xml:space="preserve"> </w:t>
      </w:r>
      <w:r w:rsidRPr="002B4873">
        <w:rPr>
          <w:rFonts w:ascii="Bookman Old Style" w:hAnsi="Bookman Old Style"/>
          <w:sz w:val="18"/>
          <w:szCs w:val="24"/>
        </w:rPr>
        <w:t>no p</w:t>
      </w:r>
      <w:r>
        <w:rPr>
          <w:rFonts w:ascii="Bookman Old Style" w:hAnsi="Bookman Old Style"/>
          <w:sz w:val="18"/>
          <w:szCs w:val="24"/>
        </w:rPr>
        <w:t>resenta registro de información</w:t>
      </w:r>
      <w:r w:rsidRPr="002B4873">
        <w:rPr>
          <w:rFonts w:ascii="Bookman Old Style" w:hAnsi="Bookman Old Style"/>
          <w:sz w:val="18"/>
          <w:szCs w:val="24"/>
        </w:rPr>
        <w:t xml:space="preserve"> </w:t>
      </w:r>
      <w:r>
        <w:rPr>
          <w:rFonts w:ascii="Bookman Old Style" w:hAnsi="Bookman Old Style"/>
          <w:sz w:val="18"/>
          <w:szCs w:val="24"/>
        </w:rPr>
        <w:t>al SUI.</w:t>
      </w:r>
    </w:p>
    <w:p w:rsidR="00C45894" w:rsidRPr="00C45894" w:rsidRDefault="00C45894" w:rsidP="00C45894">
      <w:pPr>
        <w:ind w:left="-142" w:right="-142"/>
        <w:jc w:val="both"/>
        <w:rPr>
          <w:rFonts w:ascii="Bookman Old Style" w:hAnsi="Bookman Old Style"/>
          <w:szCs w:val="27"/>
        </w:rPr>
      </w:pPr>
    </w:p>
    <w:p w:rsidR="00C45894" w:rsidRPr="00C45894" w:rsidRDefault="00C45894" w:rsidP="00C45894">
      <w:pPr>
        <w:ind w:left="-142" w:right="-142"/>
        <w:jc w:val="both"/>
        <w:rPr>
          <w:rFonts w:ascii="Bookman Old Style" w:hAnsi="Bookman Old Style"/>
          <w:szCs w:val="27"/>
        </w:rPr>
      </w:pPr>
      <w:r w:rsidRPr="00C45894">
        <w:rPr>
          <w:rFonts w:ascii="Bookman Old Style" w:hAnsi="Bookman Old Style"/>
          <w:b/>
          <w:szCs w:val="27"/>
        </w:rPr>
        <w:t xml:space="preserve">Artículo 4. </w:t>
      </w:r>
      <w:r w:rsidRPr="00C45894">
        <w:rPr>
          <w:rFonts w:ascii="Bookman Old Style" w:hAnsi="Bookman Old Style"/>
          <w:szCs w:val="27"/>
        </w:rPr>
        <w:t xml:space="preserve">La presente resolución deberá notificarse a la empresa </w:t>
      </w:r>
      <w:proofErr w:type="spellStart"/>
      <w:r w:rsidR="005C4B64">
        <w:rPr>
          <w:rFonts w:ascii="Bookman Old Style" w:hAnsi="Bookman Old Style"/>
          <w:szCs w:val="27"/>
        </w:rPr>
        <w:t>Surcolombiana</w:t>
      </w:r>
      <w:proofErr w:type="spellEnd"/>
      <w:r w:rsidR="005C4B64">
        <w:rPr>
          <w:rFonts w:ascii="Bookman Old Style" w:hAnsi="Bookman Old Style"/>
          <w:szCs w:val="27"/>
        </w:rPr>
        <w:t xml:space="preserve"> de Gas</w:t>
      </w:r>
      <w:r w:rsidRPr="00C45894">
        <w:rPr>
          <w:rFonts w:ascii="Bookman Old Style" w:hAnsi="Bookman Old Style"/>
          <w:szCs w:val="27"/>
        </w:rPr>
        <w:t xml:space="preserve"> S.A. E.S.P. Contra lo aquí dispuesto no procede recurso alguno por haber finalizado la actuación administrativa correspondiente a la presentación de recursos previsto en la Ley.</w:t>
      </w:r>
    </w:p>
    <w:p w:rsidR="00C45894" w:rsidRPr="00C45894" w:rsidRDefault="00C45894" w:rsidP="00C45894">
      <w:pPr>
        <w:ind w:left="0" w:right="-142"/>
        <w:jc w:val="both"/>
        <w:rPr>
          <w:rFonts w:ascii="Bookman Old Style" w:hAnsi="Bookman Old Style"/>
          <w:szCs w:val="27"/>
        </w:rPr>
      </w:pPr>
    </w:p>
    <w:p w:rsidR="00C45894" w:rsidRPr="00C45894" w:rsidRDefault="003075FD" w:rsidP="00C45894">
      <w:pPr>
        <w:ind w:left="-181"/>
        <w:jc w:val="center"/>
        <w:rPr>
          <w:rFonts w:ascii="Bookman Old Style" w:hAnsi="Bookman Old Style" w:cs="Arial"/>
          <w:b/>
        </w:rPr>
      </w:pPr>
      <w:r>
        <w:rPr>
          <w:rFonts w:ascii="Bookman Old Style" w:hAnsi="Bookman Old Style" w:cs="Arial"/>
          <w:b/>
        </w:rPr>
        <w:t xml:space="preserve">     NOTIFÍQUESE Y CÚMPLASE</w:t>
      </w:r>
    </w:p>
    <w:p w:rsidR="00C45894" w:rsidRPr="00C45894" w:rsidRDefault="00C45894" w:rsidP="00C45894">
      <w:pPr>
        <w:ind w:left="0"/>
        <w:rPr>
          <w:rFonts w:ascii="Bookman Old Style" w:hAnsi="Bookman Old Style" w:cs="Arial"/>
          <w:sz w:val="20"/>
          <w:szCs w:val="20"/>
        </w:rPr>
      </w:pPr>
    </w:p>
    <w:p w:rsidR="00C45894" w:rsidRDefault="00C45894" w:rsidP="00C45894">
      <w:pPr>
        <w:ind w:left="0"/>
        <w:rPr>
          <w:rFonts w:ascii="Bookman Old Style" w:hAnsi="Bookman Old Style" w:cs="Arial"/>
          <w:szCs w:val="20"/>
        </w:rPr>
      </w:pPr>
      <w:r w:rsidRPr="00C45894">
        <w:rPr>
          <w:rFonts w:ascii="Bookman Old Style" w:hAnsi="Bookman Old Style" w:cs="Arial"/>
          <w:szCs w:val="20"/>
        </w:rPr>
        <w:t>Dada en Bogotá, D.C.</w:t>
      </w:r>
    </w:p>
    <w:p w:rsidR="003075FD" w:rsidRDefault="003075FD" w:rsidP="00C45894">
      <w:pPr>
        <w:ind w:left="0"/>
        <w:rPr>
          <w:rFonts w:ascii="Bookman Old Style" w:hAnsi="Bookman Old Style" w:cs="Arial"/>
          <w:szCs w:val="20"/>
        </w:rPr>
      </w:pP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3075FD" w:rsidRPr="00A14C71" w:rsidTr="005D266B">
        <w:trPr>
          <w:tblCellSpacing w:w="0" w:type="dxa"/>
          <w:jc w:val="center"/>
        </w:trPr>
        <w:tc>
          <w:tcPr>
            <w:tcW w:w="5529" w:type="dxa"/>
            <w:hideMark/>
          </w:tcPr>
          <w:p w:rsidR="003075FD" w:rsidRPr="00A14C71" w:rsidRDefault="003075FD" w:rsidP="005D266B">
            <w:pPr>
              <w:ind w:left="0"/>
              <w:rPr>
                <w:rFonts w:ascii="Bookman Old Style" w:hAnsi="Bookman Old Style" w:cs="Arial"/>
                <w:b/>
                <w:spacing w:val="-3"/>
              </w:rPr>
            </w:pPr>
          </w:p>
          <w:p w:rsidR="003075FD" w:rsidRPr="00A14C71" w:rsidRDefault="003075FD" w:rsidP="005D266B">
            <w:pPr>
              <w:ind w:left="0"/>
              <w:rPr>
                <w:rFonts w:ascii="Bookman Old Style" w:hAnsi="Bookman Old Style" w:cs="Arial"/>
                <w:b/>
                <w:spacing w:val="-3"/>
              </w:rPr>
            </w:pPr>
          </w:p>
          <w:p w:rsidR="003075FD" w:rsidRPr="00A14C71" w:rsidRDefault="003075FD" w:rsidP="005D266B">
            <w:pPr>
              <w:ind w:left="0"/>
              <w:rPr>
                <w:rFonts w:ascii="Bookman Old Style" w:hAnsi="Bookman Old Style" w:cs="Arial"/>
                <w:b/>
                <w:spacing w:val="-3"/>
              </w:rPr>
            </w:pPr>
          </w:p>
          <w:p w:rsidR="003075FD" w:rsidRPr="00A14C71" w:rsidRDefault="003075FD" w:rsidP="005D266B">
            <w:pPr>
              <w:ind w:left="66"/>
              <w:jc w:val="center"/>
              <w:rPr>
                <w:rFonts w:ascii="Bookman Old Style" w:hAnsi="Bookman Old Style" w:cs="Arial"/>
                <w:b/>
                <w:spacing w:val="-3"/>
              </w:rPr>
            </w:pPr>
          </w:p>
          <w:p w:rsidR="003075FD" w:rsidRPr="00A14C71" w:rsidRDefault="003075FD" w:rsidP="005D266B">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3075FD" w:rsidRPr="00A14C71" w:rsidRDefault="003075FD" w:rsidP="005D266B">
            <w:pPr>
              <w:ind w:left="89"/>
              <w:jc w:val="center"/>
              <w:rPr>
                <w:rFonts w:ascii="Bookman Old Style" w:hAnsi="Bookman Old Style" w:cs="Arial"/>
                <w:b/>
                <w:spacing w:val="-3"/>
              </w:rPr>
            </w:pPr>
          </w:p>
          <w:p w:rsidR="003075FD" w:rsidRPr="00A14C71" w:rsidRDefault="003075FD" w:rsidP="005D266B">
            <w:pPr>
              <w:ind w:left="89"/>
              <w:jc w:val="center"/>
              <w:rPr>
                <w:rFonts w:ascii="Bookman Old Style" w:hAnsi="Bookman Old Style" w:cs="Arial"/>
                <w:b/>
                <w:spacing w:val="-3"/>
              </w:rPr>
            </w:pPr>
          </w:p>
          <w:p w:rsidR="003075FD" w:rsidRPr="00A14C71" w:rsidRDefault="003075FD" w:rsidP="005D266B">
            <w:pPr>
              <w:ind w:left="89"/>
              <w:jc w:val="center"/>
              <w:rPr>
                <w:rFonts w:ascii="Bookman Old Style" w:hAnsi="Bookman Old Style" w:cs="Arial"/>
                <w:b/>
                <w:spacing w:val="-3"/>
              </w:rPr>
            </w:pPr>
          </w:p>
          <w:p w:rsidR="003075FD" w:rsidRPr="00A14C71" w:rsidRDefault="003075FD" w:rsidP="005D266B">
            <w:pPr>
              <w:ind w:left="89"/>
              <w:jc w:val="center"/>
              <w:rPr>
                <w:rFonts w:ascii="Bookman Old Style" w:hAnsi="Bookman Old Style" w:cs="Arial"/>
                <w:b/>
                <w:spacing w:val="-3"/>
              </w:rPr>
            </w:pPr>
          </w:p>
          <w:p w:rsidR="003075FD" w:rsidRPr="00A14C71" w:rsidRDefault="003075FD" w:rsidP="005D266B">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3075FD" w:rsidRPr="00A14C71" w:rsidTr="005D266B">
        <w:trPr>
          <w:tblCellSpacing w:w="0" w:type="dxa"/>
          <w:jc w:val="center"/>
        </w:trPr>
        <w:tc>
          <w:tcPr>
            <w:tcW w:w="5529" w:type="dxa"/>
            <w:hideMark/>
          </w:tcPr>
          <w:p w:rsidR="003075FD" w:rsidRDefault="003075FD" w:rsidP="005D266B">
            <w:pPr>
              <w:ind w:left="66"/>
              <w:jc w:val="center"/>
              <w:rPr>
                <w:rFonts w:ascii="Bookman Old Style" w:hAnsi="Bookman Old Style" w:cs="Arial"/>
                <w:spacing w:val="-3"/>
              </w:rPr>
            </w:pPr>
            <w:r w:rsidRPr="00A14C71">
              <w:rPr>
                <w:rFonts w:ascii="Bookman Old Style" w:hAnsi="Bookman Old Style" w:cs="Arial"/>
                <w:spacing w:val="-3"/>
              </w:rPr>
              <w:t>Viceministra de Energía</w:t>
            </w:r>
          </w:p>
          <w:p w:rsidR="008609A8" w:rsidRPr="00A14C71" w:rsidRDefault="008609A8"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Delegada del Ministro de Minas y Energía</w:t>
            </w:r>
          </w:p>
        </w:tc>
        <w:tc>
          <w:tcPr>
            <w:tcW w:w="3969" w:type="dxa"/>
            <w:hideMark/>
          </w:tcPr>
          <w:p w:rsidR="003075FD" w:rsidRPr="00A14C71" w:rsidRDefault="003075FD" w:rsidP="005D266B">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3075FD" w:rsidRPr="00A14C71" w:rsidTr="005D266B">
        <w:trPr>
          <w:tblCellSpacing w:w="0" w:type="dxa"/>
          <w:jc w:val="center"/>
        </w:trPr>
        <w:tc>
          <w:tcPr>
            <w:tcW w:w="5529" w:type="dxa"/>
            <w:hideMark/>
          </w:tcPr>
          <w:p w:rsidR="003075FD" w:rsidRPr="00A14C71" w:rsidRDefault="003075FD"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3075FD" w:rsidRPr="00A14C71" w:rsidRDefault="003075FD" w:rsidP="005D266B">
            <w:pPr>
              <w:ind w:left="0"/>
              <w:jc w:val="center"/>
              <w:rPr>
                <w:rFonts w:ascii="Bookman Old Style" w:eastAsia="Arial Unicode MS" w:hAnsi="Bookman Old Style" w:cs="Arial"/>
                <w:color w:val="000000"/>
              </w:rPr>
            </w:pPr>
          </w:p>
        </w:tc>
      </w:tr>
    </w:tbl>
    <w:p w:rsidR="003075FD" w:rsidRPr="00C45894" w:rsidRDefault="003075FD" w:rsidP="00C45894">
      <w:pPr>
        <w:ind w:left="0"/>
        <w:rPr>
          <w:rFonts w:ascii="Bookman Old Style" w:hAnsi="Bookman Old Style" w:cs="Arial"/>
          <w:szCs w:val="20"/>
        </w:rPr>
      </w:pPr>
    </w:p>
    <w:p w:rsidR="00C45894" w:rsidRPr="00C45894" w:rsidRDefault="00C45894" w:rsidP="00C45894">
      <w:pPr>
        <w:rPr>
          <w:rFonts w:ascii="Bookman Old Style" w:hAnsi="Bookman Old Style" w:cs="Arial"/>
          <w:szCs w:val="20"/>
        </w:rPr>
      </w:pPr>
    </w:p>
    <w:p w:rsidR="00C45894" w:rsidRPr="00C45894" w:rsidRDefault="00C45894" w:rsidP="00C45894">
      <w:pPr>
        <w:rPr>
          <w:rFonts w:ascii="Bookman Old Style" w:hAnsi="Bookman Old Style" w:cs="Arial"/>
          <w:szCs w:val="20"/>
        </w:rPr>
      </w:pPr>
    </w:p>
    <w:p w:rsidR="00C45894" w:rsidRPr="00C45894" w:rsidRDefault="00C45894" w:rsidP="00C45894">
      <w:pPr>
        <w:ind w:left="0"/>
        <w:rPr>
          <w:rFonts w:ascii="Bookman Old Style" w:hAnsi="Bookman Old Style" w:cs="Arial"/>
          <w:sz w:val="22"/>
          <w:szCs w:val="20"/>
        </w:rPr>
      </w:pPr>
    </w:p>
    <w:p w:rsidR="00C45894" w:rsidRPr="00C45894" w:rsidRDefault="00C45894" w:rsidP="00C45894">
      <w:pPr>
        <w:rPr>
          <w:rFonts w:ascii="Bookman Old Style" w:hAnsi="Bookman Old Style" w:cs="Arial"/>
          <w:szCs w:val="20"/>
        </w:rPr>
      </w:pPr>
    </w:p>
    <w:p w:rsidR="00C45894" w:rsidRPr="00C45894" w:rsidRDefault="00C45894" w:rsidP="00C45894">
      <w:pPr>
        <w:ind w:left="0"/>
        <w:rPr>
          <w:sz w:val="20"/>
        </w:rPr>
      </w:pPr>
    </w:p>
    <w:sectPr w:rsidR="00C45894" w:rsidRPr="00C45894" w:rsidSect="00D549B1">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5B9" w:rsidRDefault="006415B9">
      <w:r>
        <w:separator/>
      </w:r>
    </w:p>
  </w:endnote>
  <w:endnote w:type="continuationSeparator" w:id="0">
    <w:p w:rsidR="006415B9" w:rsidRDefault="0064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5B9" w:rsidRDefault="006415B9">
      <w:r>
        <w:separator/>
      </w:r>
    </w:p>
  </w:footnote>
  <w:footnote w:type="continuationSeparator" w:id="0">
    <w:p w:rsidR="006415B9" w:rsidRDefault="006415B9">
      <w:r>
        <w:continuationSeparator/>
      </w:r>
    </w:p>
  </w:footnote>
  <w:footnote w:id="1">
    <w:p w:rsidR="00967468" w:rsidRPr="00EC3BB2" w:rsidRDefault="00967468" w:rsidP="00EC3BB2">
      <w:pPr>
        <w:pStyle w:val="Textonotapie"/>
        <w:jc w:val="both"/>
        <w:rPr>
          <w:rFonts w:ascii="Bookman Old Style" w:hAnsi="Bookman Old Style" w:cs="Arial"/>
          <w:sz w:val="16"/>
          <w:szCs w:val="16"/>
        </w:rPr>
      </w:pPr>
      <w:r w:rsidRPr="00EC3BB2">
        <w:rPr>
          <w:rStyle w:val="Refdenotaalpie"/>
          <w:rFonts w:ascii="Bookman Old Style" w:hAnsi="Bookman Old Style" w:cs="Arial"/>
          <w:sz w:val="16"/>
          <w:szCs w:val="16"/>
        </w:rPr>
        <w:footnoteRef/>
      </w:r>
      <w:r w:rsidRPr="00EC3BB2">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967468" w:rsidRPr="00BD1622" w:rsidRDefault="00967468" w:rsidP="00EC3BB2">
      <w:pPr>
        <w:pStyle w:val="Textonotapie"/>
        <w:jc w:val="both"/>
        <w:rPr>
          <w:rFonts w:ascii="Bookman Old Style" w:hAnsi="Bookman Old Style" w:cs="Arial"/>
          <w:sz w:val="16"/>
          <w:szCs w:val="16"/>
        </w:rPr>
      </w:pPr>
      <w:r w:rsidRPr="00BD1622">
        <w:rPr>
          <w:rStyle w:val="Refdenotaalpie"/>
          <w:rFonts w:ascii="Bookman Old Style" w:hAnsi="Bookman Old Style" w:cs="Arial"/>
          <w:sz w:val="16"/>
          <w:szCs w:val="16"/>
        </w:rPr>
        <w:footnoteRef/>
      </w:r>
      <w:r w:rsidRPr="00BD1622">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BD1622">
        <w:rPr>
          <w:rFonts w:ascii="Bookman Old Style" w:hAnsi="Bookman Old Style" w:cs="Arial"/>
        </w:rPr>
        <w:t xml:space="preserve"> </w:t>
      </w:r>
      <w:r w:rsidRPr="00BD1622">
        <w:rPr>
          <w:rFonts w:ascii="Bookman Old Style" w:hAnsi="Bookman Old Style" w:cs="Arial"/>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rsidR="00FC2C01" w:rsidRPr="00FC2C01" w:rsidRDefault="00967468" w:rsidP="00FC2C01">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sidRPr="00CD67E2">
        <w:rPr>
          <w:rFonts w:ascii="Bookman Old Style" w:hAnsi="Bookman Old Style" w:cs="Arial"/>
          <w:sz w:val="16"/>
          <w:szCs w:val="16"/>
        </w:rPr>
        <w:t xml:space="preserve"> “Ley 1437 de 2011. </w:t>
      </w:r>
      <w:r w:rsidR="00FC2C01" w:rsidRPr="00FC2C01">
        <w:rPr>
          <w:rFonts w:ascii="Bookman Old Style" w:hAnsi="Bookman Old Style" w:cs="Arial"/>
          <w:sz w:val="16"/>
          <w:szCs w:val="16"/>
        </w:rPr>
        <w:t>Artículo  67. Notificación personal. Las decisiones que pongan término a una actuación administrativa se notificarán personalmente al interesado, a su representante o apoderado, o a la persona debidamente autorizada por el interesado para notificarse.</w:t>
      </w:r>
    </w:p>
    <w:p w:rsidR="00FC2C01" w:rsidRPr="00FC2C01" w:rsidRDefault="00FC2C01" w:rsidP="00FC2C01">
      <w:pPr>
        <w:pStyle w:val="Textonotapie"/>
        <w:jc w:val="both"/>
        <w:rPr>
          <w:rFonts w:ascii="Bookman Old Style" w:hAnsi="Bookman Old Style" w:cs="Arial"/>
          <w:sz w:val="16"/>
          <w:szCs w:val="16"/>
        </w:rPr>
      </w:pPr>
    </w:p>
    <w:p w:rsidR="00967468" w:rsidRPr="00CD67E2" w:rsidRDefault="00FC2C01" w:rsidP="00FC2C01">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00967468" w:rsidRPr="00CD67E2">
        <w:rPr>
          <w:rFonts w:ascii="Bookman Old Style" w:hAnsi="Bookman Old Style" w:cs="Arial"/>
          <w:sz w:val="16"/>
          <w:szCs w:val="16"/>
        </w:rPr>
        <w:t>.”</w:t>
      </w:r>
    </w:p>
  </w:footnote>
  <w:footnote w:id="4">
    <w:p w:rsidR="00CD67E2" w:rsidRPr="00FA7CDB" w:rsidRDefault="00CD67E2" w:rsidP="00CD67E2">
      <w:pPr>
        <w:pStyle w:val="Textonotapie"/>
        <w:jc w:val="both"/>
        <w:rPr>
          <w:rFonts w:ascii="Bookman Old Style" w:hAnsi="Bookman Old Style" w:cs="Arial"/>
          <w:sz w:val="16"/>
          <w:szCs w:val="16"/>
        </w:rPr>
      </w:pPr>
    </w:p>
    <w:p w:rsidR="00CD67E2" w:rsidRPr="00FA7CDB" w:rsidRDefault="00CD67E2"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CD67E2" w:rsidRDefault="00CD67E2"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5">
    <w:p w:rsidR="0035783A" w:rsidRPr="004E1287" w:rsidRDefault="0035783A" w:rsidP="0035783A">
      <w:pPr>
        <w:pStyle w:val="Textonotapie"/>
        <w:jc w:val="both"/>
        <w:rPr>
          <w:rFonts w:ascii="Bookman Old Style" w:hAnsi="Bookman Old Style" w:cs="Arial"/>
          <w:sz w:val="16"/>
          <w:szCs w:val="16"/>
        </w:rPr>
      </w:pPr>
      <w:r w:rsidRPr="004E1287">
        <w:rPr>
          <w:rStyle w:val="Refdenotaalpie"/>
          <w:rFonts w:ascii="Bookman Old Style" w:hAnsi="Bookman Old Style" w:cs="Arial"/>
          <w:sz w:val="16"/>
          <w:szCs w:val="16"/>
        </w:rPr>
        <w:footnoteRef/>
      </w:r>
      <w:r w:rsidRPr="004E1287">
        <w:rPr>
          <w:rFonts w:ascii="Bookman Old Style" w:hAnsi="Bookman Old Style" w:cs="Arial"/>
          <w:sz w:val="16"/>
          <w:szCs w:val="16"/>
        </w:rPr>
        <w:t xml:space="preserve"> Artículo 80. Decisión de los recursos. Vencido el período probatorio, si a ello hubiere lugar, y sin necesidad de acto que así lo declare, deberá proferirse la decisión motivada que resuelva el recurso.</w:t>
      </w:r>
    </w:p>
    <w:p w:rsidR="0035783A" w:rsidRPr="004E1287" w:rsidRDefault="0035783A" w:rsidP="0035783A">
      <w:pPr>
        <w:pStyle w:val="Textonotapie"/>
        <w:jc w:val="both"/>
        <w:rPr>
          <w:rFonts w:ascii="Bookman Old Style" w:hAnsi="Bookman Old Style" w:cs="Arial"/>
          <w:sz w:val="16"/>
          <w:szCs w:val="16"/>
        </w:rPr>
      </w:pPr>
    </w:p>
    <w:p w:rsidR="0035783A" w:rsidRPr="00321EAE" w:rsidRDefault="0035783A" w:rsidP="0035783A">
      <w:pPr>
        <w:pStyle w:val="Textonotapie"/>
        <w:jc w:val="both"/>
        <w:rPr>
          <w:rFonts w:ascii="Arial" w:hAnsi="Arial" w:cs="Arial"/>
          <w:sz w:val="16"/>
          <w:szCs w:val="16"/>
        </w:rPr>
      </w:pPr>
      <w:r w:rsidRPr="004E1287">
        <w:rPr>
          <w:rFonts w:ascii="Bookman Old Style" w:hAnsi="Bookman Old Style" w:cs="Arial"/>
          <w:sz w:val="16"/>
          <w:szCs w:val="16"/>
        </w:rPr>
        <w:t>La decisión resolverá todas las peticiones que hayan sido oportunamente planteadas y las que surjan con motivo del recurso.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68" w:rsidRDefault="00967468" w:rsidP="00951F79">
    <w:pPr>
      <w:pStyle w:val="Ttulo1"/>
      <w:ind w:right="6"/>
      <w:jc w:val="left"/>
      <w:rPr>
        <w:rFonts w:ascii="Bookman Old Style" w:hAnsi="Bookman Old Style" w:cs="Arial"/>
        <w:b w:val="0"/>
        <w:sz w:val="22"/>
        <w:szCs w:val="22"/>
      </w:rPr>
    </w:pPr>
  </w:p>
  <w:p w:rsidR="00967468" w:rsidRPr="00951F79" w:rsidRDefault="0096746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F1470D">
      <w:rPr>
        <w:rFonts w:ascii="Bookman Old Style" w:hAnsi="Bookman Old Style" w:cs="Arial"/>
        <w:b w:val="0"/>
        <w:noProof/>
        <w:sz w:val="22"/>
        <w:szCs w:val="22"/>
      </w:rPr>
      <w:t>15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1470D" w:rsidRPr="00F1470D">
        <w:rPr>
          <w:rFonts w:ascii="Bookman Old Style" w:hAnsi="Bookman Old Style" w:cs="Arial"/>
          <w:b w:val="0"/>
          <w:noProof/>
          <w:sz w:val="22"/>
          <w:szCs w:val="22"/>
        </w:rPr>
        <w:t>15</w:t>
      </w:r>
    </w:fldSimple>
  </w:p>
  <w:p w:rsidR="00967468" w:rsidRDefault="00AF500C"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8E915"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967468" w:rsidRPr="00616D65" w:rsidRDefault="00967468"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 xml:space="preserve">interpuesto por </w:t>
    </w:r>
    <w:proofErr w:type="spellStart"/>
    <w:r w:rsidR="008A054D">
      <w:rPr>
        <w:rFonts w:ascii="Bookman Old Style" w:hAnsi="Bookman Old Style" w:cs="Arial"/>
        <w:sz w:val="22"/>
        <w:szCs w:val="22"/>
      </w:rPr>
      <w:t>Surcolombiana</w:t>
    </w:r>
    <w:proofErr w:type="spellEnd"/>
    <w:r w:rsidR="008A054D">
      <w:rPr>
        <w:rFonts w:ascii="Bookman Old Style" w:hAnsi="Bookman Old Style" w:cs="Arial"/>
        <w:sz w:val="22"/>
        <w:szCs w:val="22"/>
      </w:rPr>
      <w:t xml:space="preserve"> de Gas </w:t>
    </w:r>
    <w:r w:rsidRPr="00EC3BB2">
      <w:rPr>
        <w:rFonts w:ascii="Bookman Old Style" w:hAnsi="Bookman Old Style" w:cs="Arial"/>
        <w:sz w:val="22"/>
        <w:szCs w:val="22"/>
      </w:rPr>
      <w:t>S.A. E.S.P. contra</w:t>
    </w:r>
    <w:r>
      <w:rPr>
        <w:rFonts w:ascii="Bookman Old Style" w:hAnsi="Bookman Old Style" w:cs="Arial"/>
        <w:sz w:val="22"/>
        <w:szCs w:val="22"/>
      </w:rPr>
      <w:t xml:space="preserve"> la Resolución CREG 075 de 2016.</w:t>
    </w:r>
  </w:p>
  <w:p w:rsidR="00967468" w:rsidRPr="00730C9E" w:rsidRDefault="00AF500C"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982CD7"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68" w:rsidRDefault="00967468"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967468" w:rsidRDefault="00967468">
    <w:pPr>
      <w:pStyle w:val="Encabezado"/>
      <w:jc w:val="center"/>
      <w:rPr>
        <w:rFonts w:ascii="Arial" w:hAnsi="Arial" w:cs="Arial"/>
        <w:spacing w:val="20"/>
        <w:sz w:val="20"/>
      </w:rPr>
    </w:pPr>
  </w:p>
  <w:p w:rsidR="00967468" w:rsidRDefault="00AF500C"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082F8"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6" w15:restartNumberingAfterBreak="0">
    <w:nsid w:val="45FC18E6"/>
    <w:multiLevelType w:val="hybridMultilevel"/>
    <w:tmpl w:val="E7509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8"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0"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8"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33"/>
  </w:num>
  <w:num w:numId="4">
    <w:abstractNumId w:val="12"/>
  </w:num>
  <w:num w:numId="5">
    <w:abstractNumId w:val="23"/>
  </w:num>
  <w:num w:numId="6">
    <w:abstractNumId w:val="3"/>
  </w:num>
  <w:num w:numId="7">
    <w:abstractNumId w:val="2"/>
  </w:num>
  <w:num w:numId="8">
    <w:abstractNumId w:val="26"/>
  </w:num>
  <w:num w:numId="9">
    <w:abstractNumId w:val="24"/>
  </w:num>
  <w:num w:numId="10">
    <w:abstractNumId w:val="18"/>
  </w:num>
  <w:num w:numId="11">
    <w:abstractNumId w:val="34"/>
  </w:num>
  <w:num w:numId="12">
    <w:abstractNumId w:val="31"/>
  </w:num>
  <w:num w:numId="13">
    <w:abstractNumId w:val="14"/>
  </w:num>
  <w:num w:numId="14">
    <w:abstractNumId w:val="1"/>
  </w:num>
  <w:num w:numId="15">
    <w:abstractNumId w:val="19"/>
  </w:num>
  <w:num w:numId="16">
    <w:abstractNumId w:val="0"/>
  </w:num>
  <w:num w:numId="17">
    <w:abstractNumId w:val="32"/>
  </w:num>
  <w:num w:numId="18">
    <w:abstractNumId w:val="8"/>
  </w:num>
  <w:num w:numId="19">
    <w:abstractNumId w:val="20"/>
  </w:num>
  <w:num w:numId="20">
    <w:abstractNumId w:val="21"/>
  </w:num>
  <w:num w:numId="21">
    <w:abstractNumId w:val="30"/>
  </w:num>
  <w:num w:numId="22">
    <w:abstractNumId w:val="25"/>
  </w:num>
  <w:num w:numId="23">
    <w:abstractNumId w:val="29"/>
  </w:num>
  <w:num w:numId="24">
    <w:abstractNumId w:val="11"/>
  </w:num>
  <w:num w:numId="25">
    <w:abstractNumId w:val="9"/>
  </w:num>
  <w:num w:numId="26">
    <w:abstractNumId w:val="22"/>
  </w:num>
  <w:num w:numId="27">
    <w:abstractNumId w:val="6"/>
  </w:num>
  <w:num w:numId="28">
    <w:abstractNumId w:val="7"/>
  </w:num>
  <w:num w:numId="29">
    <w:abstractNumId w:val="13"/>
  </w:num>
  <w:num w:numId="30">
    <w:abstractNumId w:val="28"/>
  </w:num>
  <w:num w:numId="31">
    <w:abstractNumId w:val="10"/>
  </w:num>
  <w:num w:numId="32">
    <w:abstractNumId w:val="15"/>
  </w:num>
  <w:num w:numId="33">
    <w:abstractNumId w:val="27"/>
  </w:num>
  <w:num w:numId="34">
    <w:abstractNumId w:val="35"/>
  </w:num>
  <w:num w:numId="35">
    <w:abstractNumId w:val="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75DD"/>
    <w:rsid w:val="0002201E"/>
    <w:rsid w:val="00023B66"/>
    <w:rsid w:val="00024FE0"/>
    <w:rsid w:val="00025383"/>
    <w:rsid w:val="000275B9"/>
    <w:rsid w:val="000337A6"/>
    <w:rsid w:val="00034816"/>
    <w:rsid w:val="00034F40"/>
    <w:rsid w:val="000432F7"/>
    <w:rsid w:val="0004674A"/>
    <w:rsid w:val="000537E8"/>
    <w:rsid w:val="00060D57"/>
    <w:rsid w:val="000623A6"/>
    <w:rsid w:val="00063657"/>
    <w:rsid w:val="00065504"/>
    <w:rsid w:val="000657E2"/>
    <w:rsid w:val="00066D23"/>
    <w:rsid w:val="00067308"/>
    <w:rsid w:val="00070222"/>
    <w:rsid w:val="00070B2B"/>
    <w:rsid w:val="00072400"/>
    <w:rsid w:val="0007402F"/>
    <w:rsid w:val="0007548D"/>
    <w:rsid w:val="00076680"/>
    <w:rsid w:val="00076A1D"/>
    <w:rsid w:val="0008073E"/>
    <w:rsid w:val="00084B8C"/>
    <w:rsid w:val="000867FA"/>
    <w:rsid w:val="00087733"/>
    <w:rsid w:val="00091CDB"/>
    <w:rsid w:val="00092215"/>
    <w:rsid w:val="00096E1F"/>
    <w:rsid w:val="00097013"/>
    <w:rsid w:val="000A061F"/>
    <w:rsid w:val="000A19AC"/>
    <w:rsid w:val="000B03C2"/>
    <w:rsid w:val="000B20EA"/>
    <w:rsid w:val="000B27E6"/>
    <w:rsid w:val="000B48BF"/>
    <w:rsid w:val="000B4B19"/>
    <w:rsid w:val="000B667A"/>
    <w:rsid w:val="000C27EB"/>
    <w:rsid w:val="000C6FE5"/>
    <w:rsid w:val="000D22D4"/>
    <w:rsid w:val="000D26F8"/>
    <w:rsid w:val="000E01B8"/>
    <w:rsid w:val="000E3FC7"/>
    <w:rsid w:val="000F1132"/>
    <w:rsid w:val="000F410B"/>
    <w:rsid w:val="000F5641"/>
    <w:rsid w:val="00100A80"/>
    <w:rsid w:val="00100EBA"/>
    <w:rsid w:val="0010707E"/>
    <w:rsid w:val="00111AE3"/>
    <w:rsid w:val="00112FAE"/>
    <w:rsid w:val="00113128"/>
    <w:rsid w:val="0011359D"/>
    <w:rsid w:val="00115E75"/>
    <w:rsid w:val="0011665A"/>
    <w:rsid w:val="00116953"/>
    <w:rsid w:val="001206A0"/>
    <w:rsid w:val="0012200E"/>
    <w:rsid w:val="00122C3D"/>
    <w:rsid w:val="00130821"/>
    <w:rsid w:val="0014017F"/>
    <w:rsid w:val="001405C6"/>
    <w:rsid w:val="00141013"/>
    <w:rsid w:val="00142085"/>
    <w:rsid w:val="00142711"/>
    <w:rsid w:val="00143C0C"/>
    <w:rsid w:val="0014428A"/>
    <w:rsid w:val="00144441"/>
    <w:rsid w:val="00151E8C"/>
    <w:rsid w:val="001635F2"/>
    <w:rsid w:val="0016590D"/>
    <w:rsid w:val="001670CB"/>
    <w:rsid w:val="001779AB"/>
    <w:rsid w:val="00177FE3"/>
    <w:rsid w:val="00182917"/>
    <w:rsid w:val="0018547A"/>
    <w:rsid w:val="00192CBF"/>
    <w:rsid w:val="00192FF1"/>
    <w:rsid w:val="001946B2"/>
    <w:rsid w:val="00195B37"/>
    <w:rsid w:val="00195E5B"/>
    <w:rsid w:val="001A4274"/>
    <w:rsid w:val="001A43F3"/>
    <w:rsid w:val="001A59B6"/>
    <w:rsid w:val="001A5A68"/>
    <w:rsid w:val="001A5F1B"/>
    <w:rsid w:val="001B1C22"/>
    <w:rsid w:val="001B34C6"/>
    <w:rsid w:val="001B5CDD"/>
    <w:rsid w:val="001B6003"/>
    <w:rsid w:val="001B61EB"/>
    <w:rsid w:val="001D033A"/>
    <w:rsid w:val="001D48AE"/>
    <w:rsid w:val="001D7832"/>
    <w:rsid w:val="001E0774"/>
    <w:rsid w:val="001E27EF"/>
    <w:rsid w:val="001E42F6"/>
    <w:rsid w:val="001E70A9"/>
    <w:rsid w:val="001F091E"/>
    <w:rsid w:val="001F4E31"/>
    <w:rsid w:val="001F501A"/>
    <w:rsid w:val="0020108D"/>
    <w:rsid w:val="00202EAD"/>
    <w:rsid w:val="00204A96"/>
    <w:rsid w:val="00206C47"/>
    <w:rsid w:val="00207B65"/>
    <w:rsid w:val="00211523"/>
    <w:rsid w:val="00211D34"/>
    <w:rsid w:val="00214F04"/>
    <w:rsid w:val="00215B3E"/>
    <w:rsid w:val="00217BEC"/>
    <w:rsid w:val="002205E2"/>
    <w:rsid w:val="00221498"/>
    <w:rsid w:val="00223B98"/>
    <w:rsid w:val="00226B1A"/>
    <w:rsid w:val="00233E7D"/>
    <w:rsid w:val="00240455"/>
    <w:rsid w:val="00241399"/>
    <w:rsid w:val="00241733"/>
    <w:rsid w:val="00241898"/>
    <w:rsid w:val="00241F57"/>
    <w:rsid w:val="00244C3F"/>
    <w:rsid w:val="00246AA1"/>
    <w:rsid w:val="00246C1A"/>
    <w:rsid w:val="002528AF"/>
    <w:rsid w:val="00253E07"/>
    <w:rsid w:val="00254D8C"/>
    <w:rsid w:val="002606C2"/>
    <w:rsid w:val="002606F0"/>
    <w:rsid w:val="00260CE3"/>
    <w:rsid w:val="00266CD6"/>
    <w:rsid w:val="002706C7"/>
    <w:rsid w:val="002709FC"/>
    <w:rsid w:val="00273C18"/>
    <w:rsid w:val="00275DAB"/>
    <w:rsid w:val="002817D6"/>
    <w:rsid w:val="002870E7"/>
    <w:rsid w:val="0029597D"/>
    <w:rsid w:val="00295B70"/>
    <w:rsid w:val="00297D3E"/>
    <w:rsid w:val="002A01F2"/>
    <w:rsid w:val="002A452D"/>
    <w:rsid w:val="002A4E70"/>
    <w:rsid w:val="002A579E"/>
    <w:rsid w:val="002A782A"/>
    <w:rsid w:val="002A7F80"/>
    <w:rsid w:val="002B11E2"/>
    <w:rsid w:val="002B24B8"/>
    <w:rsid w:val="002B3063"/>
    <w:rsid w:val="002B38EF"/>
    <w:rsid w:val="002B3CF4"/>
    <w:rsid w:val="002B43F8"/>
    <w:rsid w:val="002D3AE9"/>
    <w:rsid w:val="002D4510"/>
    <w:rsid w:val="002D656D"/>
    <w:rsid w:val="002D6B5D"/>
    <w:rsid w:val="002D7D3D"/>
    <w:rsid w:val="002E06B1"/>
    <w:rsid w:val="002E3349"/>
    <w:rsid w:val="002F0734"/>
    <w:rsid w:val="002F32A4"/>
    <w:rsid w:val="002F46E7"/>
    <w:rsid w:val="002F5A0E"/>
    <w:rsid w:val="00304121"/>
    <w:rsid w:val="00306779"/>
    <w:rsid w:val="003075FD"/>
    <w:rsid w:val="003101DA"/>
    <w:rsid w:val="00314757"/>
    <w:rsid w:val="00316A9A"/>
    <w:rsid w:val="00317791"/>
    <w:rsid w:val="003211CE"/>
    <w:rsid w:val="003234E2"/>
    <w:rsid w:val="0032669A"/>
    <w:rsid w:val="00332B81"/>
    <w:rsid w:val="00332BE1"/>
    <w:rsid w:val="00333DFB"/>
    <w:rsid w:val="00335916"/>
    <w:rsid w:val="00341341"/>
    <w:rsid w:val="00346E50"/>
    <w:rsid w:val="0035403A"/>
    <w:rsid w:val="0035783A"/>
    <w:rsid w:val="003638D6"/>
    <w:rsid w:val="0036394B"/>
    <w:rsid w:val="00366D5C"/>
    <w:rsid w:val="0036751E"/>
    <w:rsid w:val="003709B5"/>
    <w:rsid w:val="00373D56"/>
    <w:rsid w:val="00374471"/>
    <w:rsid w:val="003759C2"/>
    <w:rsid w:val="00376A8A"/>
    <w:rsid w:val="00381139"/>
    <w:rsid w:val="0038380F"/>
    <w:rsid w:val="003846C6"/>
    <w:rsid w:val="0038623A"/>
    <w:rsid w:val="0039315E"/>
    <w:rsid w:val="00393F0D"/>
    <w:rsid w:val="003943C4"/>
    <w:rsid w:val="00397365"/>
    <w:rsid w:val="003A31F6"/>
    <w:rsid w:val="003A3AAF"/>
    <w:rsid w:val="003B10B0"/>
    <w:rsid w:val="003B10B9"/>
    <w:rsid w:val="003B17FC"/>
    <w:rsid w:val="003B4844"/>
    <w:rsid w:val="003B6A60"/>
    <w:rsid w:val="003B769B"/>
    <w:rsid w:val="003C157F"/>
    <w:rsid w:val="003C1AEF"/>
    <w:rsid w:val="003C3447"/>
    <w:rsid w:val="003C35A2"/>
    <w:rsid w:val="003C5787"/>
    <w:rsid w:val="003D076C"/>
    <w:rsid w:val="003D2A46"/>
    <w:rsid w:val="003D47BD"/>
    <w:rsid w:val="003D5E91"/>
    <w:rsid w:val="003E26E3"/>
    <w:rsid w:val="003E3304"/>
    <w:rsid w:val="003E4875"/>
    <w:rsid w:val="003E59E7"/>
    <w:rsid w:val="003E78B5"/>
    <w:rsid w:val="003F023F"/>
    <w:rsid w:val="003F3E5B"/>
    <w:rsid w:val="003F6ACE"/>
    <w:rsid w:val="00404DA1"/>
    <w:rsid w:val="00407E99"/>
    <w:rsid w:val="00412BB6"/>
    <w:rsid w:val="00415BAB"/>
    <w:rsid w:val="00415ED2"/>
    <w:rsid w:val="00417B3D"/>
    <w:rsid w:val="0042068C"/>
    <w:rsid w:val="00426523"/>
    <w:rsid w:val="004314B0"/>
    <w:rsid w:val="00433128"/>
    <w:rsid w:val="00435119"/>
    <w:rsid w:val="0044048C"/>
    <w:rsid w:val="00441C4E"/>
    <w:rsid w:val="00442915"/>
    <w:rsid w:val="00443C12"/>
    <w:rsid w:val="00443D9A"/>
    <w:rsid w:val="00444A03"/>
    <w:rsid w:val="00447C6D"/>
    <w:rsid w:val="00451434"/>
    <w:rsid w:val="004526E0"/>
    <w:rsid w:val="004532A9"/>
    <w:rsid w:val="00454019"/>
    <w:rsid w:val="004551B3"/>
    <w:rsid w:val="00456FE2"/>
    <w:rsid w:val="00457D70"/>
    <w:rsid w:val="0046024D"/>
    <w:rsid w:val="0046176B"/>
    <w:rsid w:val="00463F18"/>
    <w:rsid w:val="004708A3"/>
    <w:rsid w:val="0047122B"/>
    <w:rsid w:val="00473B7A"/>
    <w:rsid w:val="0047410D"/>
    <w:rsid w:val="00481A57"/>
    <w:rsid w:val="00483A01"/>
    <w:rsid w:val="00490647"/>
    <w:rsid w:val="00491E18"/>
    <w:rsid w:val="004926FE"/>
    <w:rsid w:val="00493726"/>
    <w:rsid w:val="00495A52"/>
    <w:rsid w:val="004960E9"/>
    <w:rsid w:val="004A2E88"/>
    <w:rsid w:val="004A5305"/>
    <w:rsid w:val="004A6EE1"/>
    <w:rsid w:val="004B0C00"/>
    <w:rsid w:val="004B78C1"/>
    <w:rsid w:val="004C0BFE"/>
    <w:rsid w:val="004C19C2"/>
    <w:rsid w:val="004C7BD8"/>
    <w:rsid w:val="004D19FA"/>
    <w:rsid w:val="004D1BE8"/>
    <w:rsid w:val="004D3045"/>
    <w:rsid w:val="004D7634"/>
    <w:rsid w:val="004E1536"/>
    <w:rsid w:val="004E33F2"/>
    <w:rsid w:val="004F3744"/>
    <w:rsid w:val="004F7D1F"/>
    <w:rsid w:val="0050015E"/>
    <w:rsid w:val="00503267"/>
    <w:rsid w:val="00510E8B"/>
    <w:rsid w:val="0051257C"/>
    <w:rsid w:val="00513865"/>
    <w:rsid w:val="00515932"/>
    <w:rsid w:val="005217A1"/>
    <w:rsid w:val="005300D3"/>
    <w:rsid w:val="00535B16"/>
    <w:rsid w:val="00536323"/>
    <w:rsid w:val="0054284F"/>
    <w:rsid w:val="00544F82"/>
    <w:rsid w:val="005457C2"/>
    <w:rsid w:val="00547183"/>
    <w:rsid w:val="005544E8"/>
    <w:rsid w:val="00554FFF"/>
    <w:rsid w:val="00557C22"/>
    <w:rsid w:val="00567915"/>
    <w:rsid w:val="00573970"/>
    <w:rsid w:val="00573C98"/>
    <w:rsid w:val="005750EF"/>
    <w:rsid w:val="00581094"/>
    <w:rsid w:val="0058201E"/>
    <w:rsid w:val="00593C4F"/>
    <w:rsid w:val="005946A8"/>
    <w:rsid w:val="00596B5A"/>
    <w:rsid w:val="00596EEA"/>
    <w:rsid w:val="00596EFA"/>
    <w:rsid w:val="005972F1"/>
    <w:rsid w:val="005A1309"/>
    <w:rsid w:val="005A4407"/>
    <w:rsid w:val="005A59EF"/>
    <w:rsid w:val="005A6E1A"/>
    <w:rsid w:val="005B1B14"/>
    <w:rsid w:val="005C41AF"/>
    <w:rsid w:val="005C4B64"/>
    <w:rsid w:val="005C568C"/>
    <w:rsid w:val="005C6BB2"/>
    <w:rsid w:val="005C6E8F"/>
    <w:rsid w:val="005D77A0"/>
    <w:rsid w:val="005E035F"/>
    <w:rsid w:val="005E253A"/>
    <w:rsid w:val="005E260A"/>
    <w:rsid w:val="005E42A6"/>
    <w:rsid w:val="005E44A9"/>
    <w:rsid w:val="005E71E5"/>
    <w:rsid w:val="005E7350"/>
    <w:rsid w:val="005F26E0"/>
    <w:rsid w:val="005F49DD"/>
    <w:rsid w:val="005F4BB9"/>
    <w:rsid w:val="005F5F07"/>
    <w:rsid w:val="005F6F41"/>
    <w:rsid w:val="005F7184"/>
    <w:rsid w:val="00603719"/>
    <w:rsid w:val="00606FD6"/>
    <w:rsid w:val="00616D65"/>
    <w:rsid w:val="0062102E"/>
    <w:rsid w:val="00621590"/>
    <w:rsid w:val="006234BC"/>
    <w:rsid w:val="00625260"/>
    <w:rsid w:val="00625DC6"/>
    <w:rsid w:val="00630F5A"/>
    <w:rsid w:val="00631E8F"/>
    <w:rsid w:val="00640301"/>
    <w:rsid w:val="006415B9"/>
    <w:rsid w:val="00642281"/>
    <w:rsid w:val="0064391D"/>
    <w:rsid w:val="0064486D"/>
    <w:rsid w:val="00645549"/>
    <w:rsid w:val="00647A97"/>
    <w:rsid w:val="00651821"/>
    <w:rsid w:val="00654384"/>
    <w:rsid w:val="00654D63"/>
    <w:rsid w:val="00655884"/>
    <w:rsid w:val="00660346"/>
    <w:rsid w:val="006605EA"/>
    <w:rsid w:val="00663D4F"/>
    <w:rsid w:val="006672F7"/>
    <w:rsid w:val="006674B6"/>
    <w:rsid w:val="006675CD"/>
    <w:rsid w:val="006701E6"/>
    <w:rsid w:val="00671A62"/>
    <w:rsid w:val="00671EB8"/>
    <w:rsid w:val="00673146"/>
    <w:rsid w:val="00675AF8"/>
    <w:rsid w:val="00682473"/>
    <w:rsid w:val="00684D9B"/>
    <w:rsid w:val="00686E48"/>
    <w:rsid w:val="00690C05"/>
    <w:rsid w:val="00693339"/>
    <w:rsid w:val="006965D3"/>
    <w:rsid w:val="00697556"/>
    <w:rsid w:val="006A01FE"/>
    <w:rsid w:val="006A4917"/>
    <w:rsid w:val="006A4D4F"/>
    <w:rsid w:val="006A5FD7"/>
    <w:rsid w:val="006B0FE8"/>
    <w:rsid w:val="006B1C64"/>
    <w:rsid w:val="006B4647"/>
    <w:rsid w:val="006B4C2B"/>
    <w:rsid w:val="006B6D47"/>
    <w:rsid w:val="006C2624"/>
    <w:rsid w:val="006C5AFE"/>
    <w:rsid w:val="006C709E"/>
    <w:rsid w:val="006D3C10"/>
    <w:rsid w:val="006D3E42"/>
    <w:rsid w:val="006D5418"/>
    <w:rsid w:val="006D6139"/>
    <w:rsid w:val="006D79D9"/>
    <w:rsid w:val="006E6198"/>
    <w:rsid w:val="006E73A5"/>
    <w:rsid w:val="006F193C"/>
    <w:rsid w:val="006F1D41"/>
    <w:rsid w:val="006F3BDC"/>
    <w:rsid w:val="006F586A"/>
    <w:rsid w:val="006F6D95"/>
    <w:rsid w:val="006F73FB"/>
    <w:rsid w:val="006F7765"/>
    <w:rsid w:val="00703722"/>
    <w:rsid w:val="00705E2A"/>
    <w:rsid w:val="00706F13"/>
    <w:rsid w:val="007072E8"/>
    <w:rsid w:val="00710289"/>
    <w:rsid w:val="0071618D"/>
    <w:rsid w:val="00717187"/>
    <w:rsid w:val="0072310E"/>
    <w:rsid w:val="00725FA4"/>
    <w:rsid w:val="00726A1D"/>
    <w:rsid w:val="00730825"/>
    <w:rsid w:val="00730B0C"/>
    <w:rsid w:val="00730C9E"/>
    <w:rsid w:val="0073215E"/>
    <w:rsid w:val="00732179"/>
    <w:rsid w:val="00733551"/>
    <w:rsid w:val="00735FB9"/>
    <w:rsid w:val="0074029E"/>
    <w:rsid w:val="00740446"/>
    <w:rsid w:val="00740A1D"/>
    <w:rsid w:val="007438A9"/>
    <w:rsid w:val="0074491E"/>
    <w:rsid w:val="00744B02"/>
    <w:rsid w:val="007507BF"/>
    <w:rsid w:val="00751023"/>
    <w:rsid w:val="00755165"/>
    <w:rsid w:val="00755A34"/>
    <w:rsid w:val="00761027"/>
    <w:rsid w:val="0076247A"/>
    <w:rsid w:val="0076483A"/>
    <w:rsid w:val="00766560"/>
    <w:rsid w:val="00767CCD"/>
    <w:rsid w:val="007715F0"/>
    <w:rsid w:val="00772807"/>
    <w:rsid w:val="00772DA8"/>
    <w:rsid w:val="00773C92"/>
    <w:rsid w:val="00773FFC"/>
    <w:rsid w:val="00775891"/>
    <w:rsid w:val="00775964"/>
    <w:rsid w:val="007765FE"/>
    <w:rsid w:val="00780FAA"/>
    <w:rsid w:val="0078760A"/>
    <w:rsid w:val="00790CEA"/>
    <w:rsid w:val="00793152"/>
    <w:rsid w:val="00795983"/>
    <w:rsid w:val="00795BFB"/>
    <w:rsid w:val="00796875"/>
    <w:rsid w:val="007974F9"/>
    <w:rsid w:val="007A0FE6"/>
    <w:rsid w:val="007A2F35"/>
    <w:rsid w:val="007B122F"/>
    <w:rsid w:val="007B1F48"/>
    <w:rsid w:val="007B2760"/>
    <w:rsid w:val="007B40C9"/>
    <w:rsid w:val="007B453E"/>
    <w:rsid w:val="007C56A8"/>
    <w:rsid w:val="007C6762"/>
    <w:rsid w:val="007D111E"/>
    <w:rsid w:val="007D195A"/>
    <w:rsid w:val="007D1EE9"/>
    <w:rsid w:val="007E1F80"/>
    <w:rsid w:val="007E3AB1"/>
    <w:rsid w:val="007F0732"/>
    <w:rsid w:val="008009C2"/>
    <w:rsid w:val="00802179"/>
    <w:rsid w:val="00802330"/>
    <w:rsid w:val="00804473"/>
    <w:rsid w:val="00804B35"/>
    <w:rsid w:val="00806C01"/>
    <w:rsid w:val="008074E7"/>
    <w:rsid w:val="00810E7F"/>
    <w:rsid w:val="008112E8"/>
    <w:rsid w:val="008136C3"/>
    <w:rsid w:val="008148CC"/>
    <w:rsid w:val="00820A7B"/>
    <w:rsid w:val="008211A4"/>
    <w:rsid w:val="00823A07"/>
    <w:rsid w:val="00832398"/>
    <w:rsid w:val="00833BEE"/>
    <w:rsid w:val="008348CB"/>
    <w:rsid w:val="00836006"/>
    <w:rsid w:val="00850F85"/>
    <w:rsid w:val="00854C37"/>
    <w:rsid w:val="0085598C"/>
    <w:rsid w:val="008609A8"/>
    <w:rsid w:val="00862B36"/>
    <w:rsid w:val="00864289"/>
    <w:rsid w:val="00865BD4"/>
    <w:rsid w:val="008679A0"/>
    <w:rsid w:val="00873150"/>
    <w:rsid w:val="0087657D"/>
    <w:rsid w:val="008807D5"/>
    <w:rsid w:val="00880832"/>
    <w:rsid w:val="00882263"/>
    <w:rsid w:val="00883C72"/>
    <w:rsid w:val="00885F45"/>
    <w:rsid w:val="00886EE1"/>
    <w:rsid w:val="0088727D"/>
    <w:rsid w:val="00895F71"/>
    <w:rsid w:val="0089643C"/>
    <w:rsid w:val="00897C75"/>
    <w:rsid w:val="008A0383"/>
    <w:rsid w:val="008A054D"/>
    <w:rsid w:val="008A2456"/>
    <w:rsid w:val="008A4076"/>
    <w:rsid w:val="008A657A"/>
    <w:rsid w:val="008B413B"/>
    <w:rsid w:val="008C1130"/>
    <w:rsid w:val="008D0995"/>
    <w:rsid w:val="008D18E6"/>
    <w:rsid w:val="008D191F"/>
    <w:rsid w:val="008D2C00"/>
    <w:rsid w:val="008D464B"/>
    <w:rsid w:val="008D675E"/>
    <w:rsid w:val="008D7A9B"/>
    <w:rsid w:val="008E02E1"/>
    <w:rsid w:val="008E2BF5"/>
    <w:rsid w:val="008E61CB"/>
    <w:rsid w:val="008E7049"/>
    <w:rsid w:val="008E76AC"/>
    <w:rsid w:val="008F1017"/>
    <w:rsid w:val="008F21F6"/>
    <w:rsid w:val="008F2A14"/>
    <w:rsid w:val="008F3972"/>
    <w:rsid w:val="009011F4"/>
    <w:rsid w:val="00902D87"/>
    <w:rsid w:val="0090417A"/>
    <w:rsid w:val="00913905"/>
    <w:rsid w:val="00916247"/>
    <w:rsid w:val="00917874"/>
    <w:rsid w:val="0092279E"/>
    <w:rsid w:val="00922CA7"/>
    <w:rsid w:val="009246BD"/>
    <w:rsid w:val="009269A7"/>
    <w:rsid w:val="00926CE6"/>
    <w:rsid w:val="009270E0"/>
    <w:rsid w:val="00927FA3"/>
    <w:rsid w:val="00931F7E"/>
    <w:rsid w:val="0093345C"/>
    <w:rsid w:val="00936888"/>
    <w:rsid w:val="00937565"/>
    <w:rsid w:val="009410CB"/>
    <w:rsid w:val="009438AD"/>
    <w:rsid w:val="00945A3C"/>
    <w:rsid w:val="00951F79"/>
    <w:rsid w:val="00952ADF"/>
    <w:rsid w:val="00952F4A"/>
    <w:rsid w:val="00960049"/>
    <w:rsid w:val="00960FB7"/>
    <w:rsid w:val="00962962"/>
    <w:rsid w:val="00967121"/>
    <w:rsid w:val="00967468"/>
    <w:rsid w:val="00971FF2"/>
    <w:rsid w:val="00973049"/>
    <w:rsid w:val="009742E8"/>
    <w:rsid w:val="00974AB5"/>
    <w:rsid w:val="00980704"/>
    <w:rsid w:val="0098213C"/>
    <w:rsid w:val="00985A22"/>
    <w:rsid w:val="0098706D"/>
    <w:rsid w:val="009907B1"/>
    <w:rsid w:val="009935FB"/>
    <w:rsid w:val="0099379E"/>
    <w:rsid w:val="009955D1"/>
    <w:rsid w:val="0099780A"/>
    <w:rsid w:val="009A6E35"/>
    <w:rsid w:val="009B2AED"/>
    <w:rsid w:val="009B3501"/>
    <w:rsid w:val="009C0467"/>
    <w:rsid w:val="009C1F60"/>
    <w:rsid w:val="009C6488"/>
    <w:rsid w:val="009C7A49"/>
    <w:rsid w:val="009D15DF"/>
    <w:rsid w:val="009D262C"/>
    <w:rsid w:val="009D42C8"/>
    <w:rsid w:val="009D53A9"/>
    <w:rsid w:val="009D56A3"/>
    <w:rsid w:val="009E11C8"/>
    <w:rsid w:val="009E2F5E"/>
    <w:rsid w:val="009E7A7F"/>
    <w:rsid w:val="009F0D98"/>
    <w:rsid w:val="009F4A3B"/>
    <w:rsid w:val="009F4A54"/>
    <w:rsid w:val="009F4B06"/>
    <w:rsid w:val="009F4BEC"/>
    <w:rsid w:val="00A10A0B"/>
    <w:rsid w:val="00A1296D"/>
    <w:rsid w:val="00A16385"/>
    <w:rsid w:val="00A21A33"/>
    <w:rsid w:val="00A22D58"/>
    <w:rsid w:val="00A23A1B"/>
    <w:rsid w:val="00A25FD7"/>
    <w:rsid w:val="00A30197"/>
    <w:rsid w:val="00A35FEF"/>
    <w:rsid w:val="00A40EC5"/>
    <w:rsid w:val="00A42FAB"/>
    <w:rsid w:val="00A433C5"/>
    <w:rsid w:val="00A43AFF"/>
    <w:rsid w:val="00A478A0"/>
    <w:rsid w:val="00A47F3A"/>
    <w:rsid w:val="00A5373F"/>
    <w:rsid w:val="00A54052"/>
    <w:rsid w:val="00A631A3"/>
    <w:rsid w:val="00A654DC"/>
    <w:rsid w:val="00A70F81"/>
    <w:rsid w:val="00A74AF2"/>
    <w:rsid w:val="00A7793A"/>
    <w:rsid w:val="00A87B7A"/>
    <w:rsid w:val="00AA4CC7"/>
    <w:rsid w:val="00AA4F68"/>
    <w:rsid w:val="00AA5E8E"/>
    <w:rsid w:val="00AB2A7D"/>
    <w:rsid w:val="00AB2ACC"/>
    <w:rsid w:val="00AB6CA7"/>
    <w:rsid w:val="00AB6CE2"/>
    <w:rsid w:val="00AC453E"/>
    <w:rsid w:val="00AC7A58"/>
    <w:rsid w:val="00AD01E4"/>
    <w:rsid w:val="00AD0844"/>
    <w:rsid w:val="00AD0858"/>
    <w:rsid w:val="00AD1559"/>
    <w:rsid w:val="00AD4DB6"/>
    <w:rsid w:val="00AD5E02"/>
    <w:rsid w:val="00AE556C"/>
    <w:rsid w:val="00AE7340"/>
    <w:rsid w:val="00AE7DA4"/>
    <w:rsid w:val="00AF1558"/>
    <w:rsid w:val="00AF1BBD"/>
    <w:rsid w:val="00AF3B72"/>
    <w:rsid w:val="00AF500C"/>
    <w:rsid w:val="00AF6DEF"/>
    <w:rsid w:val="00B01B73"/>
    <w:rsid w:val="00B04B81"/>
    <w:rsid w:val="00B05626"/>
    <w:rsid w:val="00B05914"/>
    <w:rsid w:val="00B10207"/>
    <w:rsid w:val="00B13E74"/>
    <w:rsid w:val="00B141E7"/>
    <w:rsid w:val="00B23A09"/>
    <w:rsid w:val="00B309B2"/>
    <w:rsid w:val="00B31959"/>
    <w:rsid w:val="00B351B4"/>
    <w:rsid w:val="00B36FE8"/>
    <w:rsid w:val="00B42221"/>
    <w:rsid w:val="00B46BCA"/>
    <w:rsid w:val="00B4775D"/>
    <w:rsid w:val="00B526A3"/>
    <w:rsid w:val="00B54F3C"/>
    <w:rsid w:val="00B55F26"/>
    <w:rsid w:val="00B563ED"/>
    <w:rsid w:val="00B60A3F"/>
    <w:rsid w:val="00B60A77"/>
    <w:rsid w:val="00B63B12"/>
    <w:rsid w:val="00B74F1F"/>
    <w:rsid w:val="00B75ED9"/>
    <w:rsid w:val="00B7686B"/>
    <w:rsid w:val="00B825E3"/>
    <w:rsid w:val="00B8328F"/>
    <w:rsid w:val="00B83F3A"/>
    <w:rsid w:val="00B87806"/>
    <w:rsid w:val="00B87EC9"/>
    <w:rsid w:val="00B905E0"/>
    <w:rsid w:val="00B92BC9"/>
    <w:rsid w:val="00B92EAC"/>
    <w:rsid w:val="00BA3338"/>
    <w:rsid w:val="00BA67CD"/>
    <w:rsid w:val="00BB076C"/>
    <w:rsid w:val="00BC2BE8"/>
    <w:rsid w:val="00BC38FD"/>
    <w:rsid w:val="00BC4AE4"/>
    <w:rsid w:val="00BC794F"/>
    <w:rsid w:val="00BD0898"/>
    <w:rsid w:val="00BD1622"/>
    <w:rsid w:val="00BD3267"/>
    <w:rsid w:val="00BF35DB"/>
    <w:rsid w:val="00BF4008"/>
    <w:rsid w:val="00BF4A20"/>
    <w:rsid w:val="00C013F0"/>
    <w:rsid w:val="00C01E7A"/>
    <w:rsid w:val="00C034CB"/>
    <w:rsid w:val="00C051A8"/>
    <w:rsid w:val="00C054BC"/>
    <w:rsid w:val="00C0554D"/>
    <w:rsid w:val="00C122C4"/>
    <w:rsid w:val="00C15CDD"/>
    <w:rsid w:val="00C17897"/>
    <w:rsid w:val="00C17DB0"/>
    <w:rsid w:val="00C20BF7"/>
    <w:rsid w:val="00C22517"/>
    <w:rsid w:val="00C225E7"/>
    <w:rsid w:val="00C322F9"/>
    <w:rsid w:val="00C350E9"/>
    <w:rsid w:val="00C35B2B"/>
    <w:rsid w:val="00C3612F"/>
    <w:rsid w:val="00C400BD"/>
    <w:rsid w:val="00C409D5"/>
    <w:rsid w:val="00C4104C"/>
    <w:rsid w:val="00C435C3"/>
    <w:rsid w:val="00C45894"/>
    <w:rsid w:val="00C53E81"/>
    <w:rsid w:val="00C55BE2"/>
    <w:rsid w:val="00C609F5"/>
    <w:rsid w:val="00C6234B"/>
    <w:rsid w:val="00C62D01"/>
    <w:rsid w:val="00C63EAE"/>
    <w:rsid w:val="00C64697"/>
    <w:rsid w:val="00C70A73"/>
    <w:rsid w:val="00C721CE"/>
    <w:rsid w:val="00C7430C"/>
    <w:rsid w:val="00C7629F"/>
    <w:rsid w:val="00C820DC"/>
    <w:rsid w:val="00C85364"/>
    <w:rsid w:val="00C8661B"/>
    <w:rsid w:val="00C9491C"/>
    <w:rsid w:val="00CA139A"/>
    <w:rsid w:val="00CA2899"/>
    <w:rsid w:val="00CA2B1D"/>
    <w:rsid w:val="00CA3A3D"/>
    <w:rsid w:val="00CA77FB"/>
    <w:rsid w:val="00CB379B"/>
    <w:rsid w:val="00CB3D87"/>
    <w:rsid w:val="00CB460F"/>
    <w:rsid w:val="00CB4ACB"/>
    <w:rsid w:val="00CB541F"/>
    <w:rsid w:val="00CB57C7"/>
    <w:rsid w:val="00CB5DD0"/>
    <w:rsid w:val="00CB7F94"/>
    <w:rsid w:val="00CC0B0B"/>
    <w:rsid w:val="00CC51D4"/>
    <w:rsid w:val="00CC65DA"/>
    <w:rsid w:val="00CD0158"/>
    <w:rsid w:val="00CD3BBA"/>
    <w:rsid w:val="00CD67E2"/>
    <w:rsid w:val="00CD75E7"/>
    <w:rsid w:val="00CE1EEF"/>
    <w:rsid w:val="00CE21E3"/>
    <w:rsid w:val="00CF21B9"/>
    <w:rsid w:val="00CF6BF9"/>
    <w:rsid w:val="00CF7CC6"/>
    <w:rsid w:val="00D0082F"/>
    <w:rsid w:val="00D01F0A"/>
    <w:rsid w:val="00D03800"/>
    <w:rsid w:val="00D03E47"/>
    <w:rsid w:val="00D065D3"/>
    <w:rsid w:val="00D11415"/>
    <w:rsid w:val="00D126E3"/>
    <w:rsid w:val="00D14C94"/>
    <w:rsid w:val="00D16F2E"/>
    <w:rsid w:val="00D20911"/>
    <w:rsid w:val="00D24859"/>
    <w:rsid w:val="00D27114"/>
    <w:rsid w:val="00D313EC"/>
    <w:rsid w:val="00D32669"/>
    <w:rsid w:val="00D342A6"/>
    <w:rsid w:val="00D356D0"/>
    <w:rsid w:val="00D35AB2"/>
    <w:rsid w:val="00D36ABB"/>
    <w:rsid w:val="00D40598"/>
    <w:rsid w:val="00D42A15"/>
    <w:rsid w:val="00D460EB"/>
    <w:rsid w:val="00D464BF"/>
    <w:rsid w:val="00D47AB0"/>
    <w:rsid w:val="00D53E26"/>
    <w:rsid w:val="00D549B1"/>
    <w:rsid w:val="00D6036E"/>
    <w:rsid w:val="00D607B1"/>
    <w:rsid w:val="00D619A5"/>
    <w:rsid w:val="00D62044"/>
    <w:rsid w:val="00D639B7"/>
    <w:rsid w:val="00D7035A"/>
    <w:rsid w:val="00D74A42"/>
    <w:rsid w:val="00D74BAC"/>
    <w:rsid w:val="00D83101"/>
    <w:rsid w:val="00D84F46"/>
    <w:rsid w:val="00D92EC6"/>
    <w:rsid w:val="00D95493"/>
    <w:rsid w:val="00D96E9A"/>
    <w:rsid w:val="00DA0D65"/>
    <w:rsid w:val="00DA3ED9"/>
    <w:rsid w:val="00DA4135"/>
    <w:rsid w:val="00DA4BB6"/>
    <w:rsid w:val="00DB122B"/>
    <w:rsid w:val="00DB5D03"/>
    <w:rsid w:val="00DB7AC1"/>
    <w:rsid w:val="00DC2818"/>
    <w:rsid w:val="00DC2D17"/>
    <w:rsid w:val="00DC3340"/>
    <w:rsid w:val="00DC6FA9"/>
    <w:rsid w:val="00DD3CE8"/>
    <w:rsid w:val="00DD4F0E"/>
    <w:rsid w:val="00DE3681"/>
    <w:rsid w:val="00DE4017"/>
    <w:rsid w:val="00DF070D"/>
    <w:rsid w:val="00DF0BF0"/>
    <w:rsid w:val="00DF465D"/>
    <w:rsid w:val="00DF4E15"/>
    <w:rsid w:val="00DF4F58"/>
    <w:rsid w:val="00E0158D"/>
    <w:rsid w:val="00E0456C"/>
    <w:rsid w:val="00E05E0A"/>
    <w:rsid w:val="00E06ECE"/>
    <w:rsid w:val="00E101ED"/>
    <w:rsid w:val="00E14E26"/>
    <w:rsid w:val="00E15D29"/>
    <w:rsid w:val="00E20A83"/>
    <w:rsid w:val="00E20AA8"/>
    <w:rsid w:val="00E21057"/>
    <w:rsid w:val="00E233B4"/>
    <w:rsid w:val="00E3198B"/>
    <w:rsid w:val="00E35D4F"/>
    <w:rsid w:val="00E37248"/>
    <w:rsid w:val="00E37400"/>
    <w:rsid w:val="00E41DFD"/>
    <w:rsid w:val="00E436A8"/>
    <w:rsid w:val="00E43916"/>
    <w:rsid w:val="00E534CF"/>
    <w:rsid w:val="00E56ED5"/>
    <w:rsid w:val="00E57338"/>
    <w:rsid w:val="00E61467"/>
    <w:rsid w:val="00E61DA0"/>
    <w:rsid w:val="00E67C74"/>
    <w:rsid w:val="00E7046A"/>
    <w:rsid w:val="00E72868"/>
    <w:rsid w:val="00E72C5E"/>
    <w:rsid w:val="00E81CB4"/>
    <w:rsid w:val="00E8585B"/>
    <w:rsid w:val="00E877F1"/>
    <w:rsid w:val="00E958BA"/>
    <w:rsid w:val="00EA20EE"/>
    <w:rsid w:val="00EA3F15"/>
    <w:rsid w:val="00EA7847"/>
    <w:rsid w:val="00EB1916"/>
    <w:rsid w:val="00EB2614"/>
    <w:rsid w:val="00EB3344"/>
    <w:rsid w:val="00EB4BA1"/>
    <w:rsid w:val="00EB54E4"/>
    <w:rsid w:val="00EC28B2"/>
    <w:rsid w:val="00EC3BB2"/>
    <w:rsid w:val="00ED028D"/>
    <w:rsid w:val="00ED048C"/>
    <w:rsid w:val="00ED1F55"/>
    <w:rsid w:val="00ED5722"/>
    <w:rsid w:val="00EE25CE"/>
    <w:rsid w:val="00EE2E6E"/>
    <w:rsid w:val="00EF78A2"/>
    <w:rsid w:val="00F0000A"/>
    <w:rsid w:val="00F01F07"/>
    <w:rsid w:val="00F03154"/>
    <w:rsid w:val="00F0499E"/>
    <w:rsid w:val="00F06BB2"/>
    <w:rsid w:val="00F0759E"/>
    <w:rsid w:val="00F1470D"/>
    <w:rsid w:val="00F14B80"/>
    <w:rsid w:val="00F16F1A"/>
    <w:rsid w:val="00F200EC"/>
    <w:rsid w:val="00F205F5"/>
    <w:rsid w:val="00F22B1C"/>
    <w:rsid w:val="00F22E25"/>
    <w:rsid w:val="00F30C51"/>
    <w:rsid w:val="00F30F7F"/>
    <w:rsid w:val="00F31FCD"/>
    <w:rsid w:val="00F35523"/>
    <w:rsid w:val="00F369F8"/>
    <w:rsid w:val="00F37CD2"/>
    <w:rsid w:val="00F4350B"/>
    <w:rsid w:val="00F43F5B"/>
    <w:rsid w:val="00F452BE"/>
    <w:rsid w:val="00F471E0"/>
    <w:rsid w:val="00F509F9"/>
    <w:rsid w:val="00F50EDA"/>
    <w:rsid w:val="00F5143E"/>
    <w:rsid w:val="00F53BD8"/>
    <w:rsid w:val="00F57246"/>
    <w:rsid w:val="00F75127"/>
    <w:rsid w:val="00F75280"/>
    <w:rsid w:val="00F821A3"/>
    <w:rsid w:val="00F9314A"/>
    <w:rsid w:val="00F95C9F"/>
    <w:rsid w:val="00FA049B"/>
    <w:rsid w:val="00FA717D"/>
    <w:rsid w:val="00FA7CDB"/>
    <w:rsid w:val="00FB365C"/>
    <w:rsid w:val="00FB4329"/>
    <w:rsid w:val="00FB5E09"/>
    <w:rsid w:val="00FB6E4D"/>
    <w:rsid w:val="00FC2C01"/>
    <w:rsid w:val="00FC462E"/>
    <w:rsid w:val="00FC55EF"/>
    <w:rsid w:val="00FC58EF"/>
    <w:rsid w:val="00FD33DF"/>
    <w:rsid w:val="00FD6BF7"/>
    <w:rsid w:val="00FD7259"/>
    <w:rsid w:val="00FE01D4"/>
    <w:rsid w:val="00FE1FDD"/>
    <w:rsid w:val="00FE2D9D"/>
    <w:rsid w:val="00FE39D7"/>
    <w:rsid w:val="00FE3F15"/>
    <w:rsid w:val="00FF1CBF"/>
    <w:rsid w:val="00FF2AEA"/>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9DF8F5A-2267-4C2A-96DD-9D2BF5CF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
    <w:name w:val="Título"/>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B4A13-6BA2-477A-89F5-8F7DAB62F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15</Pages>
  <Words>5909</Words>
  <Characters>30918</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2015-01-14T20:44:00Z</cp:lastPrinted>
  <dcterms:created xsi:type="dcterms:W3CDTF">2016-12-07T17:10:00Z</dcterms:created>
  <dcterms:modified xsi:type="dcterms:W3CDTF">2016-12-07T17:10:00Z</dcterms:modified>
</cp:coreProperties>
</file>