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D619F" w14:textId="3D741C1E" w:rsidR="00386051" w:rsidRPr="00E060BE" w:rsidRDefault="008C34B8" w:rsidP="00386051">
      <w:pPr>
        <w:pStyle w:val="Ttulo4"/>
        <w:tabs>
          <w:tab w:val="left" w:pos="0"/>
          <w:tab w:val="right" w:pos="9356"/>
        </w:tabs>
        <w:ind w:left="0"/>
        <w:rPr>
          <w:rFonts w:ascii="Bookman Old Style" w:hAnsi="Bookman Old Style"/>
          <w:b w:val="0"/>
          <w:bCs/>
          <w:noProof/>
          <w:sz w:val="24"/>
          <w:szCs w:val="24"/>
          <w:lang w:val="es-ES"/>
        </w:rPr>
      </w:pPr>
      <w:r>
        <w:rPr>
          <w:rFonts w:ascii="Bookman Old Style" w:hAnsi="Bookman Old Style"/>
          <w:b w:val="0"/>
          <w:bCs/>
          <w:noProof/>
          <w:snapToGrid/>
          <w:sz w:val="24"/>
          <w:szCs w:val="24"/>
        </w:rPr>
        <w:object w:dxaOrig="1440" w:dyaOrig="1440" w14:anchorId="199296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pt;width:52.5pt;height:48.75pt;z-index:251658240" fillcolor="#0c9">
            <v:imagedata r:id="rId11" o:title=""/>
          </v:shape>
          <o:OLEObject Type="Embed" ProgID="PBrush" ShapeID="_x0000_s2050" DrawAspect="Content" ObjectID="_1701786179" r:id="rId12"/>
        </w:object>
      </w:r>
      <w:r w:rsidR="00386051" w:rsidRPr="00E060BE">
        <w:rPr>
          <w:rFonts w:ascii="Bookman Old Style" w:hAnsi="Bookman Old Style"/>
          <w:b w:val="0"/>
          <w:bCs/>
          <w:sz w:val="24"/>
          <w:szCs w:val="24"/>
        </w:rPr>
        <w:t>Ministerio de Minas y Energía</w:t>
      </w:r>
    </w:p>
    <w:p w14:paraId="0567117E" w14:textId="77777777" w:rsidR="00386051" w:rsidRPr="00E060BE" w:rsidRDefault="00386051" w:rsidP="00386051">
      <w:pPr>
        <w:pStyle w:val="Ttulo4"/>
        <w:tabs>
          <w:tab w:val="left" w:pos="0"/>
          <w:tab w:val="right" w:pos="9356"/>
        </w:tabs>
        <w:ind w:left="0"/>
        <w:rPr>
          <w:rFonts w:ascii="Bookman Old Style" w:hAnsi="Bookman Old Style"/>
          <w:b w:val="0"/>
          <w:bCs/>
          <w:sz w:val="24"/>
          <w:szCs w:val="24"/>
        </w:rPr>
      </w:pPr>
    </w:p>
    <w:p w14:paraId="5E16C4A5" w14:textId="77777777" w:rsidR="00386051" w:rsidRPr="00E060BE" w:rsidRDefault="00386051" w:rsidP="00386051">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2A82DEC9"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78AB0D56" w14:textId="69DF22E1" w:rsidR="00386051" w:rsidRPr="00E060BE" w:rsidRDefault="00386051" w:rsidP="00386051">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9D1367" w:rsidRPr="009D1367">
        <w:rPr>
          <w:rFonts w:ascii="Bookman Old Style" w:hAnsi="Bookman Old Style"/>
          <w:sz w:val="32"/>
          <w:szCs w:val="32"/>
        </w:rPr>
        <w:t>223</w:t>
      </w:r>
      <w:r w:rsidRPr="00E060BE">
        <w:rPr>
          <w:rFonts w:ascii="Bookman Old Style" w:hAnsi="Bookman Old Style"/>
          <w:sz w:val="24"/>
          <w:szCs w:val="24"/>
        </w:rPr>
        <w:t xml:space="preserve">    DE 20</w:t>
      </w:r>
      <w:r>
        <w:rPr>
          <w:rFonts w:ascii="Bookman Old Style" w:hAnsi="Bookman Old Style"/>
          <w:sz w:val="24"/>
          <w:szCs w:val="24"/>
        </w:rPr>
        <w:t>2</w:t>
      </w:r>
      <w:r w:rsidR="00FD2C66">
        <w:rPr>
          <w:rFonts w:ascii="Bookman Old Style" w:hAnsi="Bookman Old Style"/>
          <w:sz w:val="24"/>
          <w:szCs w:val="24"/>
        </w:rPr>
        <w:t>1</w:t>
      </w:r>
    </w:p>
    <w:p w14:paraId="552B90C1" w14:textId="77777777" w:rsidR="00386051" w:rsidRPr="00E060BE" w:rsidRDefault="00386051" w:rsidP="00386051">
      <w:pPr>
        <w:tabs>
          <w:tab w:val="left" w:pos="0"/>
          <w:tab w:val="right" w:pos="9356"/>
        </w:tabs>
        <w:ind w:left="0"/>
        <w:jc w:val="center"/>
        <w:rPr>
          <w:rFonts w:ascii="Bookman Old Style" w:hAnsi="Bookman Old Style" w:cs="Arial"/>
          <w:b/>
          <w:snapToGrid w:val="0"/>
          <w:color w:val="000000"/>
          <w:lang w:val="es-ES_tradnl"/>
        </w:rPr>
      </w:pPr>
    </w:p>
    <w:p w14:paraId="035D2757" w14:textId="2B224EDA" w:rsidR="00386051" w:rsidRPr="00E060BE" w:rsidRDefault="00386051" w:rsidP="00386051">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xml:space="preserve">(   </w:t>
      </w:r>
      <w:r w:rsidR="009D1367" w:rsidRPr="009D1367">
        <w:rPr>
          <w:rFonts w:ascii="Bookman Old Style" w:hAnsi="Bookman Old Style"/>
          <w:bCs/>
          <w:sz w:val="32"/>
          <w:szCs w:val="32"/>
        </w:rPr>
        <w:t>17 DIC. 2021</w:t>
      </w:r>
      <w:r w:rsidRPr="00E060BE">
        <w:rPr>
          <w:rFonts w:ascii="Bookman Old Style" w:hAnsi="Bookman Old Style"/>
          <w:b w:val="0"/>
          <w:szCs w:val="24"/>
        </w:rPr>
        <w:t xml:space="preserve">   )</w:t>
      </w:r>
    </w:p>
    <w:p w14:paraId="27BAE550" w14:textId="77777777" w:rsidR="00386051" w:rsidRPr="00E060BE" w:rsidRDefault="00386051" w:rsidP="00386051">
      <w:pPr>
        <w:tabs>
          <w:tab w:val="left" w:pos="0"/>
          <w:tab w:val="right" w:pos="9356"/>
        </w:tabs>
        <w:ind w:left="0"/>
        <w:jc w:val="center"/>
        <w:rPr>
          <w:rFonts w:ascii="Bookman Old Style" w:hAnsi="Bookman Old Style"/>
          <w:lang w:val="es-ES_tradnl"/>
        </w:rPr>
      </w:pPr>
    </w:p>
    <w:p w14:paraId="47FBE416" w14:textId="77777777" w:rsidR="00386051" w:rsidRPr="00E060BE" w:rsidRDefault="00386051" w:rsidP="00386051">
      <w:pPr>
        <w:ind w:left="0"/>
        <w:rPr>
          <w:rFonts w:ascii="Bookman Old Style" w:hAnsi="Bookman Old Style"/>
          <w:bCs/>
          <w:lang w:val="es-CO"/>
        </w:rPr>
      </w:pPr>
    </w:p>
    <w:p w14:paraId="5667B6CC" w14:textId="3B2AE1EA" w:rsidR="00CC5568" w:rsidRPr="003E6769" w:rsidRDefault="00CC5568" w:rsidP="00CC5568">
      <w:pPr>
        <w:ind w:left="0"/>
        <w:jc w:val="center"/>
        <w:rPr>
          <w:rFonts w:ascii="Bookman Old Style" w:hAnsi="Bookman Old Style"/>
        </w:rPr>
      </w:pPr>
      <w:r>
        <w:rPr>
          <w:rFonts w:ascii="Bookman Old Style" w:hAnsi="Bookman Old Style" w:cs="Arial"/>
        </w:rPr>
        <w:t>Por la cual se ordena hacer público un proyecto de resolución de carácter general, “</w:t>
      </w:r>
      <w:r w:rsidRPr="00CC5568">
        <w:rPr>
          <w:rFonts w:ascii="Bookman Old Style" w:hAnsi="Bookman Old Style" w:cs="Arial"/>
          <w:i/>
          <w:iCs/>
        </w:rPr>
        <w:t xml:space="preserve">Por la cual se </w:t>
      </w:r>
      <w:r w:rsidR="00FD2C66">
        <w:rPr>
          <w:rFonts w:ascii="Bookman Old Style" w:hAnsi="Bookman Old Style" w:cs="Arial"/>
          <w:i/>
          <w:iCs/>
        </w:rPr>
        <w:t xml:space="preserve">establece </w:t>
      </w:r>
      <w:r w:rsidRPr="00CC5568">
        <w:rPr>
          <w:rFonts w:ascii="Bookman Old Style" w:hAnsi="Bookman Old Style" w:cs="Arial"/>
          <w:i/>
          <w:iCs/>
        </w:rPr>
        <w:t>la oportunidad en que se asignarán las Obligaciones de Energía Firme del Cargo por Confiabilidad para los períodos comprendidos entre diciembre 1 de 2023 a noviembre 30 de 2024</w:t>
      </w:r>
      <w:r w:rsidR="0098229E">
        <w:rPr>
          <w:rFonts w:ascii="Bookman Old Style" w:hAnsi="Bookman Old Style" w:cs="Arial"/>
          <w:i/>
          <w:iCs/>
        </w:rPr>
        <w:t>,</w:t>
      </w:r>
      <w:r w:rsidRPr="00CC5568">
        <w:rPr>
          <w:rFonts w:ascii="Bookman Old Style" w:hAnsi="Bookman Old Style" w:cs="Arial"/>
          <w:i/>
          <w:iCs/>
        </w:rPr>
        <w:t xml:space="preserve"> y diciembre 1 de 2024 a noviembre 30 de 2025</w:t>
      </w:r>
      <w:r>
        <w:rPr>
          <w:rFonts w:ascii="Bookman Old Style" w:hAnsi="Bookman Old Style" w:cs="Arial"/>
        </w:rPr>
        <w:t>”</w:t>
      </w:r>
    </w:p>
    <w:p w14:paraId="6D6B9481" w14:textId="77777777" w:rsidR="00386051" w:rsidRDefault="00386051" w:rsidP="00386051">
      <w:pPr>
        <w:ind w:right="51"/>
        <w:rPr>
          <w:rFonts w:ascii="Bookman Old Style" w:hAnsi="Bookman Old Style"/>
        </w:rPr>
      </w:pPr>
    </w:p>
    <w:p w14:paraId="532D1A30" w14:textId="77777777" w:rsidR="00386051" w:rsidRDefault="00386051" w:rsidP="00386051">
      <w:pPr>
        <w:ind w:right="51"/>
        <w:rPr>
          <w:rFonts w:ascii="Bookman Old Style" w:hAnsi="Bookman Old Style"/>
        </w:rPr>
      </w:pPr>
    </w:p>
    <w:p w14:paraId="04529110" w14:textId="77777777" w:rsidR="00386051" w:rsidRPr="00C435C3" w:rsidRDefault="00386051" w:rsidP="00386051">
      <w:pPr>
        <w:ind w:right="51"/>
        <w:jc w:val="center"/>
        <w:rPr>
          <w:rFonts w:ascii="Bookman Old Style" w:hAnsi="Bookman Old Style"/>
          <w:b/>
        </w:rPr>
      </w:pPr>
      <w:r w:rsidRPr="00C435C3">
        <w:rPr>
          <w:rFonts w:ascii="Bookman Old Style" w:hAnsi="Bookman Old Style"/>
          <w:b/>
        </w:rPr>
        <w:t>LA COMISIÓN DE REGULACIÓN DE ENERGÍA Y GAS</w:t>
      </w:r>
    </w:p>
    <w:p w14:paraId="6E93BC52" w14:textId="77777777" w:rsidR="00386051" w:rsidRPr="00C435C3" w:rsidRDefault="00386051" w:rsidP="00386051">
      <w:pPr>
        <w:ind w:left="0" w:right="51"/>
        <w:rPr>
          <w:rFonts w:ascii="Bookman Old Style" w:hAnsi="Bookman Old Style"/>
        </w:rPr>
      </w:pPr>
    </w:p>
    <w:p w14:paraId="34AC87C2" w14:textId="77777777" w:rsidR="00386051" w:rsidRPr="00C435C3" w:rsidRDefault="00386051" w:rsidP="00386051">
      <w:pPr>
        <w:ind w:left="0" w:right="51"/>
        <w:rPr>
          <w:rFonts w:ascii="Bookman Old Style" w:hAnsi="Bookman Old Style"/>
        </w:rPr>
      </w:pPr>
    </w:p>
    <w:p w14:paraId="59E0DB97" w14:textId="77777777" w:rsidR="00386051" w:rsidRDefault="00386051" w:rsidP="00386051">
      <w:pPr>
        <w:pStyle w:val="Textoindependiente3"/>
        <w:ind w:left="0"/>
        <w:rPr>
          <w:rFonts w:ascii="Bookman Old Style" w:hAnsi="Bookman Old Style"/>
          <w:b w:val="0"/>
        </w:rPr>
      </w:pPr>
      <w:r>
        <w:rPr>
          <w:rFonts w:ascii="Bookman Old Style" w:hAnsi="Bookman Old Style"/>
          <w:b w:val="0"/>
        </w:rPr>
        <w:t>En ejercicio de sus atribuciones constitucionales y legales, en especial las conferidas por las Leyes 142 y 143 de 1994, y en desarrollo de los Decretos 1524 y 2253 de 1994 y 1260 de 2013.</w:t>
      </w:r>
    </w:p>
    <w:p w14:paraId="22551FF3" w14:textId="77777777" w:rsidR="00386051" w:rsidRDefault="00386051" w:rsidP="00386051">
      <w:pPr>
        <w:ind w:right="51"/>
        <w:rPr>
          <w:rFonts w:ascii="Bookman Old Style" w:hAnsi="Bookman Old Style"/>
        </w:rPr>
      </w:pPr>
    </w:p>
    <w:p w14:paraId="36B77CED" w14:textId="77777777" w:rsidR="00386051" w:rsidRDefault="00386051" w:rsidP="00386051">
      <w:pPr>
        <w:ind w:right="51"/>
        <w:rPr>
          <w:rFonts w:ascii="Bookman Old Style" w:hAnsi="Bookman Old Style"/>
        </w:rPr>
      </w:pPr>
    </w:p>
    <w:p w14:paraId="38406D29" w14:textId="77777777" w:rsidR="00386051" w:rsidRPr="00C435C3" w:rsidRDefault="00386051" w:rsidP="00386051">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14:paraId="1AA8884D" w14:textId="77777777" w:rsidR="00386051" w:rsidRPr="00C435C3" w:rsidRDefault="00386051" w:rsidP="00386051">
      <w:pPr>
        <w:ind w:right="51"/>
        <w:jc w:val="center"/>
        <w:rPr>
          <w:rFonts w:ascii="Bookman Old Style" w:hAnsi="Bookman Old Style"/>
          <w:b/>
        </w:rPr>
      </w:pPr>
    </w:p>
    <w:p w14:paraId="4E81B39C" w14:textId="77777777" w:rsidR="00386051" w:rsidRDefault="00386051" w:rsidP="00386051">
      <w:pPr>
        <w:tabs>
          <w:tab w:val="left" w:pos="0"/>
        </w:tabs>
        <w:ind w:left="0"/>
        <w:jc w:val="both"/>
        <w:rPr>
          <w:rFonts w:ascii="Bookman Old Style" w:hAnsi="Bookman Old Style" w:cs="Arial"/>
        </w:rPr>
      </w:pPr>
    </w:p>
    <w:p w14:paraId="60D44601" w14:textId="47E08069" w:rsidR="00386051" w:rsidRDefault="00386051" w:rsidP="00386051">
      <w:pPr>
        <w:tabs>
          <w:tab w:val="left" w:pos="0"/>
        </w:tabs>
        <w:ind w:left="0"/>
        <w:jc w:val="both"/>
        <w:rPr>
          <w:rFonts w:ascii="Bookman Old Style" w:hAnsi="Bookman Old Style" w:cs="Arial"/>
        </w:rPr>
      </w:pPr>
      <w:r w:rsidRPr="29657FEF">
        <w:rPr>
          <w:rFonts w:ascii="Bookman Old Style" w:hAnsi="Bookman Old Style" w:cs="Arial"/>
        </w:rPr>
        <w:t>Conforme a lo dispuesto por el artículo 8 del Código de Procedimiento Administrativo y de lo Contencioso Administrativo</w:t>
      </w:r>
      <w:r w:rsidR="1725A9F3" w:rsidRPr="29657FEF">
        <w:rPr>
          <w:rFonts w:ascii="Bookman Old Style" w:hAnsi="Bookman Old Style" w:cs="Arial"/>
        </w:rPr>
        <w:t>, así como lo establecido en el Decreto 2696 de 2004, compilado por el Decreto 1078 de 2015</w:t>
      </w:r>
      <w:r w:rsidRPr="29657FEF">
        <w:rPr>
          <w:rFonts w:ascii="Bookman Old Style" w:hAnsi="Bookman Old Style" w:cs="Arial"/>
        </w:rPr>
        <w:t xml:space="preserve"> y el artículo 33 de la Resolución CREG 039 de 2017, la Comisión debe hacer público en su página web todos los proyectos de resolución de carácter general que pretenda adoptar.</w:t>
      </w:r>
    </w:p>
    <w:p w14:paraId="0AAB2400" w14:textId="77777777" w:rsidR="0010022B" w:rsidRDefault="0010022B" w:rsidP="00386051">
      <w:pPr>
        <w:tabs>
          <w:tab w:val="left" w:pos="0"/>
        </w:tabs>
        <w:ind w:left="0"/>
        <w:jc w:val="both"/>
        <w:rPr>
          <w:rFonts w:ascii="Bookman Old Style" w:hAnsi="Bookman Old Style" w:cs="Arial"/>
        </w:rPr>
      </w:pPr>
    </w:p>
    <w:p w14:paraId="5917852B" w14:textId="2E43EE55" w:rsidR="00386051" w:rsidRPr="00C435C3" w:rsidRDefault="00386051" w:rsidP="00386051">
      <w:pPr>
        <w:ind w:left="0"/>
        <w:jc w:val="both"/>
        <w:rPr>
          <w:rFonts w:ascii="Bookman Old Style" w:hAnsi="Bookman Old Style"/>
        </w:rPr>
      </w:pPr>
      <w:r w:rsidRPr="738E1D91">
        <w:rPr>
          <w:rFonts w:ascii="Bookman Old Style" w:hAnsi="Bookman Old Style"/>
        </w:rPr>
        <w:t xml:space="preserve">La </w:t>
      </w:r>
      <w:r w:rsidRPr="738E1D91">
        <w:rPr>
          <w:rFonts w:ascii="Bookman Old Style" w:hAnsi="Bookman Old Style" w:cs="Arial"/>
        </w:rPr>
        <w:t>Comisión</w:t>
      </w:r>
      <w:r w:rsidRPr="738E1D91">
        <w:rPr>
          <w:rFonts w:ascii="Bookman Old Style" w:hAnsi="Bookman Old Style"/>
        </w:rPr>
        <w:t xml:space="preserve"> de Regulación de Energía y Gas, en su sesión No.</w:t>
      </w:r>
      <w:r w:rsidR="009D1367">
        <w:rPr>
          <w:rFonts w:ascii="Bookman Old Style" w:hAnsi="Bookman Old Style"/>
        </w:rPr>
        <w:t xml:space="preserve">1142 </w:t>
      </w:r>
      <w:r w:rsidRPr="738E1D91">
        <w:rPr>
          <w:rFonts w:ascii="Bookman Old Style" w:hAnsi="Bookman Old Style"/>
        </w:rPr>
        <w:t xml:space="preserve">del </w:t>
      </w:r>
      <w:r w:rsidR="0098229E">
        <w:rPr>
          <w:rFonts w:ascii="Bookman Old Style" w:hAnsi="Bookman Old Style"/>
        </w:rPr>
        <w:t>17</w:t>
      </w:r>
      <w:r w:rsidR="0098229E" w:rsidRPr="738E1D91">
        <w:rPr>
          <w:rFonts w:ascii="Bookman Old Style" w:hAnsi="Bookman Old Style"/>
        </w:rPr>
        <w:t xml:space="preserve"> </w:t>
      </w:r>
      <w:r w:rsidRPr="738E1D91">
        <w:rPr>
          <w:rFonts w:ascii="Bookman Old Style" w:hAnsi="Bookman Old Style"/>
        </w:rPr>
        <w:t xml:space="preserve">de </w:t>
      </w:r>
      <w:r w:rsidR="003E6769">
        <w:rPr>
          <w:rFonts w:ascii="Bookman Old Style" w:hAnsi="Bookman Old Style"/>
        </w:rPr>
        <w:t>diciembre</w:t>
      </w:r>
      <w:r w:rsidR="4BFCB1D1" w:rsidRPr="738E1D91">
        <w:rPr>
          <w:rFonts w:ascii="Bookman Old Style" w:hAnsi="Bookman Old Style"/>
        </w:rPr>
        <w:t xml:space="preserve"> </w:t>
      </w:r>
      <w:r w:rsidRPr="738E1D91">
        <w:rPr>
          <w:rFonts w:ascii="Bookman Old Style" w:hAnsi="Bookman Old Style"/>
        </w:rPr>
        <w:t>de 20</w:t>
      </w:r>
      <w:r w:rsidR="002E2D9E" w:rsidRPr="738E1D91">
        <w:rPr>
          <w:rFonts w:ascii="Bookman Old Style" w:hAnsi="Bookman Old Style"/>
        </w:rPr>
        <w:t>2</w:t>
      </w:r>
      <w:r w:rsidR="00C0797B">
        <w:rPr>
          <w:rFonts w:ascii="Bookman Old Style" w:hAnsi="Bookman Old Style"/>
        </w:rPr>
        <w:t>1</w:t>
      </w:r>
      <w:r w:rsidRPr="738E1D91">
        <w:rPr>
          <w:rFonts w:ascii="Bookman Old Style" w:hAnsi="Bookman Old Style"/>
        </w:rPr>
        <w:t xml:space="preserve">, aprobó hacer público el proyecto de resolución </w:t>
      </w:r>
      <w:r w:rsidRPr="738E1D91">
        <w:rPr>
          <w:rFonts w:ascii="Bookman Old Style" w:hAnsi="Bookman Old Style" w:cs="Arial"/>
        </w:rPr>
        <w:t>“</w:t>
      </w:r>
      <w:r w:rsidR="00CC5568" w:rsidRPr="00CC5568">
        <w:rPr>
          <w:rFonts w:ascii="Bookman Old Style" w:hAnsi="Bookman Old Style" w:cs="Arial"/>
          <w:i/>
          <w:iCs/>
        </w:rPr>
        <w:t xml:space="preserve">Por la cual se </w:t>
      </w:r>
      <w:r w:rsidR="00930406">
        <w:rPr>
          <w:rFonts w:ascii="Bookman Old Style" w:hAnsi="Bookman Old Style" w:cs="Arial"/>
          <w:i/>
          <w:iCs/>
        </w:rPr>
        <w:t>establece</w:t>
      </w:r>
      <w:r w:rsidR="00930406" w:rsidRPr="00CC5568">
        <w:rPr>
          <w:rFonts w:ascii="Bookman Old Style" w:hAnsi="Bookman Old Style" w:cs="Arial"/>
          <w:i/>
          <w:iCs/>
        </w:rPr>
        <w:t xml:space="preserve"> </w:t>
      </w:r>
      <w:r w:rsidR="00CC5568" w:rsidRPr="00CC5568">
        <w:rPr>
          <w:rFonts w:ascii="Bookman Old Style" w:hAnsi="Bookman Old Style" w:cs="Arial"/>
          <w:i/>
          <w:iCs/>
        </w:rPr>
        <w:t>la oportunidad en que se asignarán las Obligaciones de Energía Firme del Cargo por Confiabilidad para los períodos comprendidos entre diciembre 1 de 2023 a noviembre 30 de 2024 y diciembre 1 de 2024 a noviembre 30 de 2025</w:t>
      </w:r>
      <w:r w:rsidRPr="738E1D91">
        <w:rPr>
          <w:rFonts w:ascii="Bookman Old Style" w:hAnsi="Bookman Old Style"/>
          <w:i/>
          <w:iCs/>
        </w:rPr>
        <w:t>”.</w:t>
      </w:r>
    </w:p>
    <w:p w14:paraId="765CA752" w14:textId="77777777" w:rsidR="00386051" w:rsidRDefault="00386051" w:rsidP="00386051">
      <w:pPr>
        <w:suppressAutoHyphens/>
        <w:jc w:val="center"/>
        <w:rPr>
          <w:rFonts w:ascii="Bookman Old Style" w:hAnsi="Bookman Old Style"/>
          <w:b/>
          <w:spacing w:val="-3"/>
        </w:rPr>
      </w:pPr>
    </w:p>
    <w:p w14:paraId="5B8BF9C9" w14:textId="77777777" w:rsidR="00386051" w:rsidRDefault="00386051" w:rsidP="00386051">
      <w:pPr>
        <w:suppressAutoHyphens/>
        <w:jc w:val="center"/>
        <w:rPr>
          <w:rFonts w:ascii="Bookman Old Style" w:hAnsi="Bookman Old Style"/>
          <w:b/>
          <w:spacing w:val="-3"/>
        </w:rPr>
      </w:pPr>
    </w:p>
    <w:p w14:paraId="23FA7DBF" w14:textId="77777777" w:rsidR="00386051" w:rsidRPr="00C435C3" w:rsidRDefault="00386051" w:rsidP="00386051">
      <w:pPr>
        <w:suppressAutoHyphens/>
        <w:jc w:val="center"/>
        <w:rPr>
          <w:rFonts w:ascii="Bookman Old Style" w:hAnsi="Bookman Old Style"/>
          <w:spacing w:val="-3"/>
        </w:rPr>
      </w:pPr>
      <w:r w:rsidRPr="00C435C3">
        <w:rPr>
          <w:rFonts w:ascii="Bookman Old Style" w:hAnsi="Bookman Old Style"/>
          <w:b/>
          <w:spacing w:val="-3"/>
        </w:rPr>
        <w:t>R E S U E L V E:</w:t>
      </w:r>
    </w:p>
    <w:p w14:paraId="5BB6C72D" w14:textId="77777777" w:rsidR="00386051" w:rsidRDefault="00386051" w:rsidP="00386051">
      <w:pPr>
        <w:jc w:val="center"/>
        <w:rPr>
          <w:rFonts w:ascii="Bookman Old Style" w:hAnsi="Bookman Old Style"/>
        </w:rPr>
      </w:pPr>
    </w:p>
    <w:p w14:paraId="0E03EB6F" w14:textId="77777777" w:rsidR="00386051" w:rsidRDefault="00386051" w:rsidP="00386051">
      <w:pPr>
        <w:ind w:left="0"/>
        <w:jc w:val="both"/>
        <w:rPr>
          <w:rFonts w:ascii="Bookman Old Style" w:hAnsi="Bookman Old Style"/>
          <w:b/>
        </w:rPr>
      </w:pPr>
    </w:p>
    <w:p w14:paraId="476BABE2" w14:textId="3F12617F" w:rsidR="00386051" w:rsidRPr="007554BB" w:rsidRDefault="00386051" w:rsidP="738E1D91">
      <w:pPr>
        <w:ind w:left="0"/>
        <w:jc w:val="both"/>
        <w:rPr>
          <w:rFonts w:ascii="Bookman Old Style" w:hAnsi="Bookman Old Style"/>
          <w:lang w:val="es-CO"/>
        </w:rPr>
      </w:pPr>
      <w:r w:rsidRPr="738E1D91">
        <w:rPr>
          <w:rFonts w:ascii="Bookman Old Style" w:hAnsi="Bookman Old Style"/>
          <w:b/>
          <w:bCs/>
        </w:rPr>
        <w:t>ARTÍCULO 1.</w:t>
      </w:r>
      <w:r w:rsidRPr="738E1D91">
        <w:rPr>
          <w:rFonts w:ascii="Bookman Old Style" w:hAnsi="Bookman Old Style"/>
        </w:rPr>
        <w:t xml:space="preserve"> Hágase público el proyecto de resolución “</w:t>
      </w:r>
      <w:r w:rsidR="00CC5568" w:rsidRPr="00CC5568">
        <w:rPr>
          <w:rFonts w:ascii="Bookman Old Style" w:hAnsi="Bookman Old Style" w:cs="Arial"/>
          <w:i/>
          <w:iCs/>
        </w:rPr>
        <w:t xml:space="preserve">Por la cual se </w:t>
      </w:r>
      <w:r w:rsidR="00930406">
        <w:rPr>
          <w:rFonts w:ascii="Bookman Old Style" w:hAnsi="Bookman Old Style" w:cs="Arial"/>
          <w:i/>
          <w:iCs/>
        </w:rPr>
        <w:t>establece</w:t>
      </w:r>
      <w:r w:rsidR="00930406" w:rsidRPr="00CC5568">
        <w:rPr>
          <w:rFonts w:ascii="Bookman Old Style" w:hAnsi="Bookman Old Style" w:cs="Arial"/>
          <w:i/>
          <w:iCs/>
        </w:rPr>
        <w:t xml:space="preserve"> </w:t>
      </w:r>
      <w:r w:rsidR="00CC5568" w:rsidRPr="00CC5568">
        <w:rPr>
          <w:rFonts w:ascii="Bookman Old Style" w:hAnsi="Bookman Old Style" w:cs="Arial"/>
          <w:i/>
          <w:iCs/>
        </w:rPr>
        <w:t>la oportunidad en que se asignarán las Obligaciones de Energía Firme del Cargo por Confiabilidad para los períodos comprendidos entre diciembre 1 de 2023 a noviembre 30 de 2024</w:t>
      </w:r>
      <w:r w:rsidR="0098229E">
        <w:rPr>
          <w:rFonts w:ascii="Bookman Old Style" w:hAnsi="Bookman Old Style" w:cs="Arial"/>
          <w:i/>
          <w:iCs/>
        </w:rPr>
        <w:t>,</w:t>
      </w:r>
      <w:r w:rsidR="00CC5568" w:rsidRPr="00CC5568">
        <w:rPr>
          <w:rFonts w:ascii="Bookman Old Style" w:hAnsi="Bookman Old Style" w:cs="Arial"/>
          <w:i/>
          <w:iCs/>
        </w:rPr>
        <w:t xml:space="preserve"> y diciembre 1 de 2024 a noviembre 30 de 2025</w:t>
      </w:r>
      <w:r w:rsidRPr="738E1D91">
        <w:rPr>
          <w:rFonts w:ascii="Bookman Old Style" w:hAnsi="Bookman Old Style"/>
        </w:rPr>
        <w:t>”</w:t>
      </w:r>
      <w:r w:rsidR="00F90B93">
        <w:rPr>
          <w:rFonts w:ascii="Bookman Old Style" w:hAnsi="Bookman Old Style"/>
        </w:rPr>
        <w:t xml:space="preserve"> y el Documento CREG </w:t>
      </w:r>
      <w:r w:rsidR="00962039">
        <w:rPr>
          <w:rFonts w:ascii="Bookman Old Style" w:hAnsi="Bookman Old Style"/>
        </w:rPr>
        <w:t>183</w:t>
      </w:r>
      <w:r w:rsidR="00F90B93">
        <w:rPr>
          <w:rFonts w:ascii="Bookman Old Style" w:hAnsi="Bookman Old Style"/>
        </w:rPr>
        <w:t xml:space="preserve"> de 2021.</w:t>
      </w:r>
    </w:p>
    <w:p w14:paraId="08ADDD8A" w14:textId="77777777" w:rsidR="00386051" w:rsidRPr="00C435C3" w:rsidRDefault="00386051" w:rsidP="00386051">
      <w:pPr>
        <w:ind w:left="0"/>
        <w:jc w:val="both"/>
        <w:rPr>
          <w:rFonts w:ascii="Bookman Old Style" w:hAnsi="Bookman Old Style"/>
        </w:rPr>
      </w:pPr>
    </w:p>
    <w:p w14:paraId="1118A1D8" w14:textId="3F330DBE" w:rsidR="00386051" w:rsidRDefault="00386051" w:rsidP="00386051">
      <w:pPr>
        <w:rPr>
          <w:rFonts w:ascii="Bookman Old Style" w:hAnsi="Bookman Old Style"/>
        </w:rPr>
      </w:pPr>
    </w:p>
    <w:p w14:paraId="24A30C3D" w14:textId="77777777" w:rsidR="00962039" w:rsidRPr="00C435C3" w:rsidRDefault="00962039" w:rsidP="00386051">
      <w:pPr>
        <w:rPr>
          <w:rFonts w:ascii="Bookman Old Style" w:hAnsi="Bookman Old Style"/>
        </w:rPr>
      </w:pPr>
    </w:p>
    <w:p w14:paraId="10987A4A" w14:textId="46F0E9D0" w:rsidR="003B2D68" w:rsidRDefault="00386051" w:rsidP="738E1D91">
      <w:pPr>
        <w:ind w:left="0"/>
        <w:jc w:val="both"/>
        <w:rPr>
          <w:rFonts w:ascii="Bookman Old Style" w:hAnsi="Bookman Old Style" w:cs="Arial"/>
          <w:color w:val="000000" w:themeColor="text1"/>
        </w:rPr>
      </w:pPr>
      <w:r w:rsidRPr="738E1D91">
        <w:rPr>
          <w:rFonts w:ascii="Bookman Old Style" w:hAnsi="Bookman Old Style"/>
          <w:b/>
          <w:bCs/>
        </w:rPr>
        <w:t>ARTÍCULO 2.</w:t>
      </w:r>
      <w:r w:rsidRPr="738E1D91">
        <w:rPr>
          <w:rFonts w:ascii="Bookman Old Style" w:hAnsi="Bookman Old Style"/>
          <w:i/>
          <w:iCs/>
          <w:sz w:val="22"/>
          <w:szCs w:val="22"/>
        </w:rPr>
        <w:t xml:space="preserve">  </w:t>
      </w:r>
      <w:r w:rsidRPr="738E1D91">
        <w:rPr>
          <w:rFonts w:ascii="Bookman Old Style" w:hAnsi="Bookman Old Style" w:cs="Arial"/>
          <w:color w:val="000000" w:themeColor="text1"/>
        </w:rPr>
        <w:t xml:space="preserve">Se invita a los agentes, a los usuarios, </w:t>
      </w:r>
      <w:r w:rsidRPr="738E1D91">
        <w:rPr>
          <w:rFonts w:ascii="Bookman Old Style" w:hAnsi="Bookman Old Style" w:cs="Arial"/>
        </w:rPr>
        <w:t>a las autoridades locales municipales y departamentales competentes</w:t>
      </w:r>
      <w:r w:rsidR="0098229E">
        <w:rPr>
          <w:rFonts w:ascii="Bookman Old Style" w:hAnsi="Bookman Old Style" w:cs="Arial"/>
        </w:rPr>
        <w:t>,</w:t>
      </w:r>
      <w:r w:rsidRPr="738E1D91">
        <w:rPr>
          <w:rFonts w:ascii="Bookman Old Style" w:hAnsi="Bookman Old Style" w:cs="Arial"/>
          <w:color w:val="000000" w:themeColor="text1"/>
        </w:rPr>
        <w:t xml:space="preserve"> a la Superintendencia de Servicios Públicos Domiciliarios</w:t>
      </w:r>
      <w:r w:rsidR="239EC362" w:rsidRPr="738E1D91">
        <w:rPr>
          <w:rFonts w:ascii="Bookman Old Style" w:hAnsi="Bookman Old Style" w:cs="Arial"/>
          <w:color w:val="000000" w:themeColor="text1"/>
        </w:rPr>
        <w:t xml:space="preserve"> y a la Superintendencia de Industria y Comercio</w:t>
      </w:r>
      <w:r w:rsidRPr="738E1D91">
        <w:rPr>
          <w:rFonts w:ascii="Bookman Old Style" w:hAnsi="Bookman Old Style" w:cs="Arial"/>
          <w:color w:val="000000" w:themeColor="text1"/>
        </w:rPr>
        <w:t>, para que remitan sus observaciones o sugerencias sobre la propuesta, dentro de</w:t>
      </w:r>
      <w:r w:rsidR="00695CA6">
        <w:rPr>
          <w:rFonts w:ascii="Bookman Old Style" w:hAnsi="Bookman Old Style" w:cs="Arial"/>
          <w:color w:val="000000" w:themeColor="text1"/>
        </w:rPr>
        <w:t xml:space="preserve"> </w:t>
      </w:r>
      <w:r w:rsidR="001023D1">
        <w:rPr>
          <w:rFonts w:ascii="Bookman Old Style" w:hAnsi="Bookman Old Style" w:cs="Arial"/>
          <w:color w:val="000000" w:themeColor="text1"/>
        </w:rPr>
        <w:t>l</w:t>
      </w:r>
      <w:r w:rsidR="00695CA6">
        <w:rPr>
          <w:rFonts w:ascii="Bookman Old Style" w:hAnsi="Bookman Old Style" w:cs="Arial"/>
          <w:color w:val="000000" w:themeColor="text1"/>
        </w:rPr>
        <w:t xml:space="preserve">os </w:t>
      </w:r>
      <w:r w:rsidR="00CC5568">
        <w:rPr>
          <w:rFonts w:ascii="Bookman Old Style" w:hAnsi="Bookman Old Style" w:cs="Arial"/>
          <w:color w:val="000000" w:themeColor="text1"/>
        </w:rPr>
        <w:t xml:space="preserve">diez </w:t>
      </w:r>
      <w:r w:rsidR="00695CA6" w:rsidRPr="00CC5568">
        <w:rPr>
          <w:rFonts w:ascii="Bookman Old Style" w:hAnsi="Bookman Old Style" w:cs="Arial"/>
          <w:color w:val="000000" w:themeColor="text1"/>
        </w:rPr>
        <w:t>(</w:t>
      </w:r>
      <w:r w:rsidR="00CC5568" w:rsidRPr="00CC5568">
        <w:rPr>
          <w:rFonts w:ascii="Bookman Old Style" w:hAnsi="Bookman Old Style" w:cs="Arial"/>
          <w:color w:val="000000" w:themeColor="text1"/>
        </w:rPr>
        <w:t>10</w:t>
      </w:r>
      <w:r w:rsidR="00695CA6" w:rsidRPr="00CC5568">
        <w:rPr>
          <w:rFonts w:ascii="Bookman Old Style" w:hAnsi="Bookman Old Style" w:cs="Arial"/>
          <w:color w:val="000000" w:themeColor="text1"/>
        </w:rPr>
        <w:t>) días</w:t>
      </w:r>
      <w:r w:rsidR="008B1754">
        <w:rPr>
          <w:rFonts w:ascii="Bookman Old Style" w:hAnsi="Bookman Old Style" w:cs="Arial"/>
          <w:color w:val="000000" w:themeColor="text1"/>
        </w:rPr>
        <w:t xml:space="preserve"> </w:t>
      </w:r>
      <w:r w:rsidR="00CC5568">
        <w:rPr>
          <w:rFonts w:ascii="Bookman Old Style" w:hAnsi="Bookman Old Style" w:cs="Arial"/>
          <w:color w:val="000000" w:themeColor="text1"/>
        </w:rPr>
        <w:t xml:space="preserve">hábiles </w:t>
      </w:r>
      <w:r w:rsidRPr="738E1D91">
        <w:rPr>
          <w:rFonts w:ascii="Bookman Old Style" w:hAnsi="Bookman Old Style" w:cs="Arial"/>
          <w:color w:val="000000" w:themeColor="text1"/>
        </w:rPr>
        <w:t>siguiente</w:t>
      </w:r>
      <w:r w:rsidR="008B1754">
        <w:rPr>
          <w:rFonts w:ascii="Bookman Old Style" w:hAnsi="Bookman Old Style" w:cs="Arial"/>
          <w:color w:val="000000" w:themeColor="text1"/>
        </w:rPr>
        <w:t>s</w:t>
      </w:r>
      <w:r w:rsidRPr="738E1D91">
        <w:rPr>
          <w:rFonts w:ascii="Bookman Old Style" w:hAnsi="Bookman Old Style" w:cs="Arial"/>
          <w:color w:val="000000" w:themeColor="text1"/>
        </w:rPr>
        <w:t xml:space="preserve"> a la publicación de la presente resolución en la página Web de la Comisión de Regulación de Energía y Gas.</w:t>
      </w:r>
    </w:p>
    <w:p w14:paraId="18E6D9B8" w14:textId="77777777" w:rsidR="003B2D68" w:rsidRDefault="003B2D68" w:rsidP="738E1D91">
      <w:pPr>
        <w:ind w:left="0"/>
        <w:jc w:val="both"/>
        <w:rPr>
          <w:rFonts w:ascii="Bookman Old Style" w:hAnsi="Bookman Old Style" w:cs="Arial"/>
          <w:color w:val="000000" w:themeColor="text1"/>
        </w:rPr>
      </w:pPr>
    </w:p>
    <w:p w14:paraId="3AE8B86A" w14:textId="6E878A96" w:rsidR="00E00345" w:rsidRPr="00E8644D" w:rsidRDefault="00E00345" w:rsidP="00B52504">
      <w:pPr>
        <w:ind w:left="0"/>
        <w:jc w:val="both"/>
        <w:rPr>
          <w:rFonts w:ascii="Bookman Old Style" w:eastAsia="Bookman Old Style" w:hAnsi="Bookman Old Style" w:cs="Bookman Old Style"/>
          <w:b/>
          <w:bCs/>
          <w:lang w:val="es"/>
        </w:rPr>
      </w:pPr>
      <w:r w:rsidRPr="00232CAB">
        <w:rPr>
          <w:rFonts w:ascii="Bookman Old Style" w:eastAsia="Bookman Old Style" w:hAnsi="Bookman Old Style" w:cs="Bookman Old Style"/>
          <w:b/>
          <w:bCs/>
          <w:lang w:val="es"/>
        </w:rPr>
        <w:t xml:space="preserve">ARTÍCULO 3. </w:t>
      </w:r>
      <w:r w:rsidRPr="00232CAB">
        <w:rPr>
          <w:rFonts w:ascii="Bookman Old Style" w:eastAsia="Bookman Old Style" w:hAnsi="Bookman Old Style" w:cs="Bookman Old Style"/>
          <w:lang w:val="es"/>
        </w:rPr>
        <w:t xml:space="preserve">Información del proyecto a la Superintendencia de Industria y Comercio. </w:t>
      </w:r>
      <w:r w:rsidRPr="00E8644D">
        <w:rPr>
          <w:rFonts w:ascii="Bookman Old Style" w:eastAsia="Bookman Old Style" w:hAnsi="Bookman Old Style" w:cs="Bookman Old Style"/>
          <w:lang w:val="es"/>
        </w:rPr>
        <w:t>Al vencimiento de la consulta pública, la CREG determinará si el proyecto debe ser informado a la Superintendencia de Industria y Comercio, para el ejercicio de la Abogacía de la Competencia, con fundamento en las disposiciones del Decreto 1074 de 2015, Artículo 2.2.2.30.5.</w:t>
      </w:r>
      <w:r w:rsidRPr="00E8644D">
        <w:rPr>
          <w:rFonts w:ascii="Bookman Old Style" w:eastAsia="Bookman Old Style" w:hAnsi="Bookman Old Style" w:cs="Bookman Old Style"/>
          <w:b/>
          <w:bCs/>
          <w:lang w:val="es"/>
        </w:rPr>
        <w:t xml:space="preserve">   </w:t>
      </w:r>
    </w:p>
    <w:p w14:paraId="7905A379" w14:textId="0CF77C60" w:rsidR="00386051" w:rsidRDefault="00386051" w:rsidP="738E1D91">
      <w:pPr>
        <w:ind w:left="0"/>
        <w:jc w:val="both"/>
        <w:rPr>
          <w:rFonts w:ascii="Bookman Old Style" w:hAnsi="Bookman Old Style"/>
          <w:i/>
          <w:iCs/>
          <w:sz w:val="22"/>
          <w:szCs w:val="22"/>
        </w:rPr>
      </w:pPr>
    </w:p>
    <w:p w14:paraId="2B0C8BB4" w14:textId="3CD875BC" w:rsidR="006F27AC" w:rsidRDefault="00386051" w:rsidP="006F27AC">
      <w:pPr>
        <w:ind w:left="0"/>
        <w:jc w:val="both"/>
        <w:rPr>
          <w:rFonts w:ascii="Bookman Old Style" w:hAnsi="Bookman Old Style" w:cs="Arial"/>
          <w:color w:val="000000" w:themeColor="text1"/>
        </w:rPr>
      </w:pPr>
      <w:r w:rsidRPr="05D438F1">
        <w:rPr>
          <w:rFonts w:ascii="Bookman Old Style" w:hAnsi="Bookman Old Style" w:cs="Arial"/>
          <w:b/>
          <w:bCs/>
          <w:color w:val="000000" w:themeColor="text1"/>
        </w:rPr>
        <w:t xml:space="preserve">ARTÍCULO </w:t>
      </w:r>
      <w:r w:rsidR="00E00345">
        <w:rPr>
          <w:rFonts w:ascii="Bookman Old Style" w:hAnsi="Bookman Old Style" w:cs="Arial"/>
          <w:b/>
          <w:bCs/>
          <w:color w:val="000000" w:themeColor="text1"/>
        </w:rPr>
        <w:t>4</w:t>
      </w:r>
      <w:r w:rsidRPr="05D438F1">
        <w:rPr>
          <w:rFonts w:ascii="Bookman Old Style" w:hAnsi="Bookman Old Style" w:cs="Arial"/>
          <w:color w:val="000000" w:themeColor="text1"/>
        </w:rPr>
        <w:t xml:space="preserve">. </w:t>
      </w:r>
      <w:r w:rsidR="006F27AC">
        <w:rPr>
          <w:rFonts w:ascii="Bookman Old Style" w:hAnsi="Bookman Old Style" w:cs="Arial"/>
          <w:color w:val="000000" w:themeColor="text1"/>
        </w:rPr>
        <w:t>Las observaciones y sugerencias sobre el proyecto deberán consignarse en el formato Excel “</w:t>
      </w:r>
      <w:r w:rsidR="006F27AC" w:rsidRPr="00B44B8C">
        <w:rPr>
          <w:rFonts w:ascii="Bookman Old Style" w:hAnsi="Bookman Old Style" w:cs="Arial"/>
          <w:i/>
          <w:iCs/>
          <w:color w:val="000000" w:themeColor="text1"/>
        </w:rPr>
        <w:t>comentarios_</w:t>
      </w:r>
      <w:r w:rsidR="003E6769">
        <w:rPr>
          <w:rFonts w:ascii="Bookman Old Style" w:hAnsi="Bookman Old Style" w:cs="Arial"/>
          <w:i/>
          <w:iCs/>
          <w:color w:val="000000" w:themeColor="text1"/>
        </w:rPr>
        <w:t>asignación_2023</w:t>
      </w:r>
      <w:r w:rsidR="006F27AC" w:rsidRPr="00B44B8C">
        <w:rPr>
          <w:rFonts w:ascii="Bookman Old Style" w:hAnsi="Bookman Old Style" w:cs="Arial"/>
          <w:i/>
          <w:iCs/>
          <w:color w:val="000000" w:themeColor="text1"/>
        </w:rPr>
        <w:t>_</w:t>
      </w:r>
      <w:r w:rsidR="003E6769">
        <w:rPr>
          <w:rFonts w:ascii="Bookman Old Style" w:hAnsi="Bookman Old Style" w:cs="Arial"/>
          <w:i/>
          <w:iCs/>
          <w:color w:val="000000" w:themeColor="text1"/>
        </w:rPr>
        <w:t>202</w:t>
      </w:r>
      <w:r w:rsidR="00872A6C">
        <w:rPr>
          <w:rFonts w:ascii="Bookman Old Style" w:hAnsi="Bookman Old Style" w:cs="Arial"/>
          <w:i/>
          <w:iCs/>
          <w:color w:val="000000" w:themeColor="text1"/>
        </w:rPr>
        <w:t>5</w:t>
      </w:r>
      <w:r w:rsidR="006F27AC" w:rsidRPr="00B44B8C">
        <w:rPr>
          <w:rFonts w:ascii="Bookman Old Style" w:hAnsi="Bookman Old Style" w:cs="Arial"/>
          <w:i/>
          <w:iCs/>
          <w:color w:val="000000" w:themeColor="text1"/>
        </w:rPr>
        <w:t>.xlsx</w:t>
      </w:r>
      <w:r w:rsidR="006F27AC">
        <w:rPr>
          <w:rFonts w:ascii="Bookman Old Style" w:hAnsi="Bookman Old Style" w:cs="Arial"/>
          <w:color w:val="000000" w:themeColor="text1"/>
        </w:rPr>
        <w:t xml:space="preserve">” y enviarse al Director Ejecutivo de la Comisión de Regulación de Energía y Gas, CREG, al correo electrónico </w:t>
      </w:r>
      <w:hyperlink r:id="rId13" w:history="1">
        <w:r w:rsidR="006F27AC" w:rsidRPr="004E0F78">
          <w:rPr>
            <w:rStyle w:val="Hipervnculo"/>
            <w:rFonts w:ascii="Bookman Old Style" w:hAnsi="Bookman Old Style" w:cs="Arial"/>
          </w:rPr>
          <w:t>creg@creg.gov.co</w:t>
        </w:r>
      </w:hyperlink>
    </w:p>
    <w:p w14:paraId="53E2050A" w14:textId="1B5853BB" w:rsidR="738E1D91" w:rsidRDefault="738E1D91" w:rsidP="738E1D91">
      <w:pPr>
        <w:ind w:left="0"/>
        <w:jc w:val="both"/>
        <w:rPr>
          <w:rFonts w:ascii="Bookman Old Style" w:hAnsi="Bookman Old Style" w:cs="Arial"/>
          <w:color w:val="000000" w:themeColor="text1"/>
        </w:rPr>
      </w:pPr>
    </w:p>
    <w:p w14:paraId="49C7E35F" w14:textId="54D03C0A" w:rsidR="00386051" w:rsidRPr="00517096" w:rsidRDefault="00386051" w:rsidP="00386051">
      <w:pPr>
        <w:ind w:left="0"/>
        <w:contextualSpacing/>
        <w:jc w:val="both"/>
        <w:rPr>
          <w:rFonts w:ascii="Bookman Old Style" w:hAnsi="Bookman Old Style" w:cs="Arial"/>
          <w:color w:val="000000"/>
          <w:szCs w:val="27"/>
        </w:rPr>
      </w:pPr>
      <w:r w:rsidRPr="00517096">
        <w:rPr>
          <w:rFonts w:ascii="Bookman Old Style" w:hAnsi="Bookman Old Style" w:cs="Arial"/>
          <w:b/>
          <w:bCs/>
          <w:color w:val="000000"/>
          <w:szCs w:val="27"/>
        </w:rPr>
        <w:t xml:space="preserve">ARTÍCULO </w:t>
      </w:r>
      <w:r w:rsidR="00E00345">
        <w:rPr>
          <w:rFonts w:ascii="Bookman Old Style" w:hAnsi="Bookman Old Style" w:cs="Arial"/>
          <w:b/>
          <w:bCs/>
          <w:color w:val="000000"/>
          <w:szCs w:val="27"/>
        </w:rPr>
        <w:t>5</w:t>
      </w:r>
      <w:r w:rsidRPr="00517096">
        <w:rPr>
          <w:rFonts w:ascii="Bookman Old Style" w:hAnsi="Bookman Old Style" w:cs="Arial"/>
          <w:color w:val="000000"/>
          <w:szCs w:val="27"/>
        </w:rPr>
        <w:t xml:space="preserve">. La presente </w:t>
      </w:r>
      <w:r>
        <w:rPr>
          <w:rFonts w:ascii="Bookman Old Style" w:hAnsi="Bookman Old Style" w:cs="Arial"/>
          <w:color w:val="000000"/>
          <w:szCs w:val="27"/>
        </w:rPr>
        <w:t>r</w:t>
      </w:r>
      <w:r w:rsidRPr="00517096">
        <w:rPr>
          <w:rFonts w:ascii="Bookman Old Style" w:hAnsi="Bookman Old Style" w:cs="Arial"/>
          <w:color w:val="000000"/>
          <w:szCs w:val="27"/>
        </w:rPr>
        <w:t>esolución no deroga ni modifica disposiciones vigentes por tratarse de un acto de trámite.</w:t>
      </w:r>
    </w:p>
    <w:p w14:paraId="59724833" w14:textId="77777777" w:rsidR="00386051" w:rsidRPr="00C435C3" w:rsidRDefault="00386051" w:rsidP="00386051">
      <w:pPr>
        <w:ind w:left="0"/>
        <w:rPr>
          <w:rFonts w:ascii="Bookman Old Style" w:hAnsi="Bookman Old Style"/>
        </w:rPr>
      </w:pPr>
    </w:p>
    <w:p w14:paraId="1048AA31" w14:textId="77777777" w:rsidR="00386051" w:rsidRPr="00C435C3" w:rsidRDefault="00386051" w:rsidP="00386051">
      <w:pPr>
        <w:jc w:val="center"/>
        <w:rPr>
          <w:rFonts w:ascii="Bookman Old Style" w:hAnsi="Bookman Old Style"/>
          <w:b/>
        </w:rPr>
      </w:pPr>
      <w:r w:rsidRPr="00C435C3">
        <w:rPr>
          <w:rFonts w:ascii="Bookman Old Style" w:hAnsi="Bookman Old Style"/>
          <w:b/>
        </w:rPr>
        <w:t>PU</w:t>
      </w:r>
      <w:r>
        <w:rPr>
          <w:rFonts w:ascii="Bookman Old Style" w:hAnsi="Bookman Old Style"/>
          <w:b/>
        </w:rPr>
        <w:t>B</w:t>
      </w:r>
      <w:r w:rsidRPr="00C435C3">
        <w:rPr>
          <w:rFonts w:ascii="Bookman Old Style" w:hAnsi="Bookman Old Style"/>
          <w:b/>
        </w:rPr>
        <w:t>LÍQUESE Y CÚMPLASE</w:t>
      </w:r>
    </w:p>
    <w:p w14:paraId="4EB5CF39" w14:textId="77777777" w:rsidR="00386051" w:rsidRDefault="00386051" w:rsidP="00386051">
      <w:pPr>
        <w:ind w:left="0"/>
        <w:rPr>
          <w:rFonts w:ascii="Bookman Old Style" w:hAnsi="Bookman Old Style"/>
        </w:rPr>
      </w:pPr>
    </w:p>
    <w:p w14:paraId="193FE5C8" w14:textId="7FFF3F5D" w:rsidR="00386051" w:rsidRDefault="00386051" w:rsidP="00386051">
      <w:pPr>
        <w:ind w:left="0"/>
        <w:rPr>
          <w:rFonts w:ascii="Bookman Old Style" w:hAnsi="Bookman Old Style"/>
        </w:rPr>
      </w:pPr>
      <w:r>
        <w:rPr>
          <w:rFonts w:ascii="Bookman Old Style" w:hAnsi="Bookman Old Style"/>
        </w:rPr>
        <w:t>Dada en Bogotá, D.C. a</w:t>
      </w:r>
      <w:r w:rsidR="009D1367">
        <w:rPr>
          <w:rFonts w:ascii="Bookman Old Style" w:hAnsi="Bookman Old Style"/>
        </w:rPr>
        <w:t xml:space="preserve"> </w:t>
      </w:r>
      <w:r w:rsidR="009D1367" w:rsidRPr="009D1367">
        <w:rPr>
          <w:rFonts w:ascii="Bookman Old Style" w:hAnsi="Bookman Old Style"/>
          <w:b/>
          <w:bCs/>
        </w:rPr>
        <w:t>17 DIC. 2021</w:t>
      </w:r>
    </w:p>
    <w:p w14:paraId="435EDB42" w14:textId="77777777" w:rsidR="00386051" w:rsidRDefault="00386051" w:rsidP="00386051">
      <w:pPr>
        <w:ind w:left="0"/>
        <w:rPr>
          <w:rFonts w:ascii="Bookman Old Style" w:hAnsi="Bookman Old Style"/>
        </w:rPr>
      </w:pPr>
    </w:p>
    <w:p w14:paraId="72A6888C"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4B6B6D2B" w14:textId="76A04286" w:rsidR="00B27555" w:rsidRDefault="00B27555" w:rsidP="00B27555">
      <w:pPr>
        <w:ind w:left="0"/>
        <w:rPr>
          <w:rFonts w:ascii="Bookman Old Style" w:hAnsi="Bookman Old Style"/>
        </w:rPr>
      </w:pPr>
    </w:p>
    <w:p w14:paraId="19FB0130" w14:textId="77777777" w:rsidR="00B27555" w:rsidRDefault="00B27555" w:rsidP="00B27555">
      <w:pPr>
        <w:ind w:left="0"/>
        <w:rPr>
          <w:rFonts w:ascii="Bookman Old Style" w:hAnsi="Bookman Old Style"/>
        </w:rPr>
      </w:pPr>
    </w:p>
    <w:p w14:paraId="7347D65F" w14:textId="77777777" w:rsidR="00B27555" w:rsidRDefault="00B27555" w:rsidP="00B27555">
      <w:pPr>
        <w:ind w:left="0"/>
        <w:rPr>
          <w:rFonts w:ascii="Bookman Old Style" w:hAnsi="Bookman Old Style"/>
        </w:rPr>
      </w:pPr>
    </w:p>
    <w:tbl>
      <w:tblPr>
        <w:tblW w:w="9498" w:type="dxa"/>
        <w:tblCellSpacing w:w="0" w:type="dxa"/>
        <w:tblInd w:w="-142" w:type="dxa"/>
        <w:shd w:val="clear" w:color="auto" w:fill="FFFFFF"/>
        <w:tblCellMar>
          <w:left w:w="0" w:type="dxa"/>
          <w:right w:w="0" w:type="dxa"/>
        </w:tblCellMar>
        <w:tblLook w:val="04A0" w:firstRow="1" w:lastRow="0" w:firstColumn="1" w:lastColumn="0" w:noHBand="0" w:noVBand="1"/>
      </w:tblPr>
      <w:tblGrid>
        <w:gridCol w:w="4820"/>
        <w:gridCol w:w="4678"/>
      </w:tblGrid>
      <w:tr w:rsidR="00B27555" w:rsidRPr="00B64D62" w14:paraId="031FF773" w14:textId="77777777" w:rsidTr="002D64CE">
        <w:trPr>
          <w:tblCellSpacing w:w="0" w:type="dxa"/>
        </w:trPr>
        <w:tc>
          <w:tcPr>
            <w:tcW w:w="4820" w:type="dxa"/>
            <w:shd w:val="clear" w:color="auto" w:fill="FFFFFF" w:themeFill="background1"/>
            <w:hideMark/>
          </w:tcPr>
          <w:p w14:paraId="25F7ECDB" w14:textId="77777777" w:rsidR="00B27555" w:rsidRDefault="00B27555" w:rsidP="00823B26">
            <w:pPr>
              <w:ind w:left="0"/>
              <w:jc w:val="center"/>
              <w:rPr>
                <w:rFonts w:ascii="Bookman Old Style" w:hAnsi="Bookman Old Style"/>
                <w:b/>
              </w:rPr>
            </w:pPr>
            <w:r>
              <w:rPr>
                <w:rFonts w:ascii="Bookman Old Style" w:hAnsi="Bookman Old Style"/>
                <w:b/>
              </w:rPr>
              <w:t>DIEGO MESA PUYO</w:t>
            </w:r>
          </w:p>
          <w:p w14:paraId="3346483B" w14:textId="571A7FAF" w:rsidR="00B27555" w:rsidRPr="009B72C4" w:rsidRDefault="00B27555" w:rsidP="738E1D91">
            <w:pPr>
              <w:ind w:left="0"/>
              <w:jc w:val="center"/>
              <w:rPr>
                <w:rFonts w:ascii="Bookman Old Style" w:hAnsi="Bookman Old Style" w:cs="Arial"/>
                <w:sz w:val="23"/>
                <w:szCs w:val="23"/>
                <w:lang w:val="es-CO" w:eastAsia="es-CO"/>
              </w:rPr>
            </w:pPr>
          </w:p>
        </w:tc>
        <w:tc>
          <w:tcPr>
            <w:tcW w:w="4678" w:type="dxa"/>
            <w:shd w:val="clear" w:color="auto" w:fill="FFFFFF" w:themeFill="background1"/>
            <w:hideMark/>
          </w:tcPr>
          <w:p w14:paraId="2A4DBB87" w14:textId="77777777" w:rsidR="00B27555" w:rsidRPr="00B64D62" w:rsidRDefault="00B27555" w:rsidP="00823B26">
            <w:pPr>
              <w:ind w:left="142"/>
              <w:jc w:val="center"/>
              <w:rPr>
                <w:rFonts w:ascii="Bookman Old Style" w:hAnsi="Bookman Old Style" w:cs="Arial"/>
                <w:sz w:val="23"/>
                <w:szCs w:val="23"/>
                <w:lang w:val="es-CO" w:eastAsia="es-CO"/>
              </w:rPr>
            </w:pPr>
            <w:r>
              <w:rPr>
                <w:rFonts w:ascii="Bookman Old Style" w:hAnsi="Bookman Old Style" w:cs="Arial"/>
                <w:b/>
                <w:bCs/>
                <w:szCs w:val="23"/>
                <w:lang w:val="es-CO" w:eastAsia="es-CO"/>
              </w:rPr>
              <w:t>JORGE ALBERTO VALENCIA MARÍN</w:t>
            </w:r>
          </w:p>
        </w:tc>
      </w:tr>
      <w:tr w:rsidR="00B27555" w:rsidRPr="00B64D62" w14:paraId="109FF45C" w14:textId="77777777" w:rsidTr="002D64CE">
        <w:trPr>
          <w:tblCellSpacing w:w="0" w:type="dxa"/>
        </w:trPr>
        <w:tc>
          <w:tcPr>
            <w:tcW w:w="4820" w:type="dxa"/>
            <w:shd w:val="clear" w:color="auto" w:fill="FFFFFF" w:themeFill="background1"/>
            <w:hideMark/>
          </w:tcPr>
          <w:p w14:paraId="7C649C3D" w14:textId="77777777" w:rsidR="00B27555" w:rsidRPr="00B64D62" w:rsidRDefault="00B27555" w:rsidP="00823B26">
            <w:pPr>
              <w:ind w:left="0"/>
              <w:jc w:val="center"/>
              <w:rPr>
                <w:rFonts w:ascii="Bookman Old Style" w:hAnsi="Bookman Old Style" w:cs="Arial"/>
                <w:lang w:val="es-CO" w:eastAsia="es-CO"/>
              </w:rPr>
            </w:pPr>
            <w:r w:rsidRPr="00B64D62">
              <w:rPr>
                <w:rFonts w:ascii="Bookman Old Style" w:hAnsi="Bookman Old Style"/>
              </w:rPr>
              <w:t>Ministr</w:t>
            </w:r>
            <w:r>
              <w:rPr>
                <w:rFonts w:ascii="Bookman Old Style" w:hAnsi="Bookman Old Style"/>
              </w:rPr>
              <w:t>o</w:t>
            </w:r>
            <w:r w:rsidRPr="00B64D62">
              <w:rPr>
                <w:rFonts w:ascii="Bookman Old Style" w:hAnsi="Bookman Old Style"/>
              </w:rPr>
              <w:t xml:space="preserve"> de Minas y Energía</w:t>
            </w:r>
          </w:p>
        </w:tc>
        <w:tc>
          <w:tcPr>
            <w:tcW w:w="4678" w:type="dxa"/>
            <w:shd w:val="clear" w:color="auto" w:fill="FFFFFF" w:themeFill="background1"/>
            <w:hideMark/>
          </w:tcPr>
          <w:p w14:paraId="3ACAC979" w14:textId="77777777" w:rsidR="00B27555" w:rsidRPr="00B64D62" w:rsidRDefault="00B27555" w:rsidP="00823B26">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B27555" w:rsidRPr="00B64D62" w14:paraId="3E949DED" w14:textId="77777777" w:rsidTr="002D64CE">
        <w:trPr>
          <w:tblCellSpacing w:w="0" w:type="dxa"/>
        </w:trPr>
        <w:tc>
          <w:tcPr>
            <w:tcW w:w="4820" w:type="dxa"/>
            <w:shd w:val="clear" w:color="auto" w:fill="FFFFFF" w:themeFill="background1"/>
            <w:hideMark/>
          </w:tcPr>
          <w:p w14:paraId="636E393F" w14:textId="77777777" w:rsidR="00B27555" w:rsidRPr="00B64D62" w:rsidRDefault="00B27555" w:rsidP="00823B26">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678" w:type="dxa"/>
            <w:shd w:val="clear" w:color="auto" w:fill="FFFFFF" w:themeFill="background1"/>
            <w:hideMark/>
          </w:tcPr>
          <w:p w14:paraId="16971F33" w14:textId="77777777" w:rsidR="00B27555" w:rsidRPr="00B64D62" w:rsidRDefault="00B27555" w:rsidP="00823B26">
            <w:pPr>
              <w:ind w:left="142"/>
              <w:rPr>
                <w:rFonts w:ascii="Bookman Old Style" w:hAnsi="Bookman Old Style" w:cs="Arial"/>
                <w:lang w:val="es-CO" w:eastAsia="es-CO"/>
              </w:rPr>
            </w:pPr>
            <w:r>
              <w:rPr>
                <w:noProof/>
              </w:rPr>
              <w:drawing>
                <wp:inline distT="0" distB="0" distL="0" distR="0" wp14:anchorId="667B61FD" wp14:editId="2406737B">
                  <wp:extent cx="9525" cy="9525"/>
                  <wp:effectExtent l="0" t="0" r="0" b="0"/>
                  <wp:docPr id="1681318121" name="Imagen 3"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4">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tc>
      </w:tr>
    </w:tbl>
    <w:p w14:paraId="6D1219C0"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53915106"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509CB187"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69577BD4"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2F99BF94"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0A5FC7FB"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46016FDF"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30A2F24F"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2432FB94"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7C71BEAB"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25784443"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4700EF5C"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2B5540CB"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1C84FA73" w14:textId="7E2EC379"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630E005A" w14:textId="2B305F3A" w:rsidR="009D1367" w:rsidRDefault="009D1367" w:rsidP="00EC6015">
      <w:pPr>
        <w:pStyle w:val="Encabezado"/>
        <w:tabs>
          <w:tab w:val="clear" w:pos="8504"/>
          <w:tab w:val="left" w:pos="0"/>
          <w:tab w:val="right" w:pos="9356"/>
        </w:tabs>
        <w:ind w:left="0"/>
        <w:jc w:val="center"/>
        <w:rPr>
          <w:rFonts w:ascii="Bookman Old Style" w:hAnsi="Bookman Old Style"/>
          <w:bCs/>
          <w:szCs w:val="24"/>
        </w:rPr>
      </w:pPr>
    </w:p>
    <w:p w14:paraId="79C20870" w14:textId="23CA9EC2" w:rsidR="009D1367" w:rsidRDefault="009D1367" w:rsidP="00EC6015">
      <w:pPr>
        <w:pStyle w:val="Encabezado"/>
        <w:tabs>
          <w:tab w:val="clear" w:pos="8504"/>
          <w:tab w:val="left" w:pos="0"/>
          <w:tab w:val="right" w:pos="9356"/>
        </w:tabs>
        <w:ind w:left="0"/>
        <w:jc w:val="center"/>
        <w:rPr>
          <w:rFonts w:ascii="Bookman Old Style" w:hAnsi="Bookman Old Style"/>
          <w:bCs/>
          <w:szCs w:val="24"/>
        </w:rPr>
      </w:pPr>
    </w:p>
    <w:p w14:paraId="2F394BE0" w14:textId="77777777" w:rsidR="009D1367" w:rsidRDefault="009D1367" w:rsidP="00EC6015">
      <w:pPr>
        <w:pStyle w:val="Encabezado"/>
        <w:tabs>
          <w:tab w:val="clear" w:pos="8504"/>
          <w:tab w:val="left" w:pos="0"/>
          <w:tab w:val="right" w:pos="9356"/>
        </w:tabs>
        <w:ind w:left="0"/>
        <w:jc w:val="center"/>
        <w:rPr>
          <w:rFonts w:ascii="Bookman Old Style" w:hAnsi="Bookman Old Style"/>
          <w:bCs/>
          <w:szCs w:val="24"/>
        </w:rPr>
      </w:pPr>
    </w:p>
    <w:p w14:paraId="01A0A74B"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6AC59B48"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32127061" w14:textId="1D4DDA1C" w:rsidR="00920787" w:rsidRPr="00D84372" w:rsidRDefault="00386051" w:rsidP="00567D5D">
      <w:pPr>
        <w:ind w:left="0"/>
        <w:jc w:val="center"/>
        <w:rPr>
          <w:rFonts w:ascii="Bookman Old Style" w:hAnsi="Bookman Old Style"/>
          <w:b/>
          <w:lang w:val="es-CO"/>
        </w:rPr>
      </w:pPr>
      <w:r w:rsidRPr="00D84372">
        <w:rPr>
          <w:rFonts w:ascii="Bookman Old Style" w:hAnsi="Bookman Old Style"/>
          <w:b/>
          <w:lang w:val="es-CO"/>
        </w:rPr>
        <w:t>PROYECTO DE RESOLUCIÓN</w:t>
      </w:r>
    </w:p>
    <w:p w14:paraId="4EB52822" w14:textId="16D17087" w:rsidR="00386051" w:rsidRDefault="00386051" w:rsidP="00012259">
      <w:pPr>
        <w:ind w:left="0"/>
        <w:rPr>
          <w:rFonts w:ascii="Bookman Old Style" w:hAnsi="Bookman Old Style"/>
          <w:bCs/>
          <w:lang w:val="es-CO"/>
        </w:rPr>
      </w:pPr>
    </w:p>
    <w:p w14:paraId="7BD6AC27" w14:textId="77777777" w:rsidR="00386051" w:rsidRPr="00E060BE" w:rsidRDefault="00386051" w:rsidP="00012259">
      <w:pPr>
        <w:ind w:left="0"/>
        <w:rPr>
          <w:rFonts w:ascii="Bookman Old Style" w:hAnsi="Bookman Old Style"/>
          <w:bCs/>
          <w:lang w:val="es-CO"/>
        </w:rPr>
      </w:pPr>
    </w:p>
    <w:p w14:paraId="648FB83D" w14:textId="72DCDEC8" w:rsidR="009F3785" w:rsidRPr="00CC5568" w:rsidRDefault="003E6769" w:rsidP="00DE7E37">
      <w:pPr>
        <w:ind w:left="0"/>
        <w:jc w:val="center"/>
        <w:rPr>
          <w:rFonts w:ascii="Bookman Old Style" w:hAnsi="Bookman Old Style"/>
        </w:rPr>
      </w:pPr>
      <w:r w:rsidRPr="00CC5568">
        <w:rPr>
          <w:rFonts w:ascii="Bookman Old Style" w:hAnsi="Bookman Old Style" w:cs="Arial"/>
        </w:rPr>
        <w:t xml:space="preserve">Por la cual se </w:t>
      </w:r>
      <w:r w:rsidR="00930406">
        <w:rPr>
          <w:rFonts w:ascii="Bookman Old Style" w:hAnsi="Bookman Old Style" w:cs="Arial"/>
        </w:rPr>
        <w:t>establece</w:t>
      </w:r>
      <w:r w:rsidR="00930406" w:rsidRPr="00CC5568">
        <w:rPr>
          <w:rFonts w:ascii="Bookman Old Style" w:hAnsi="Bookman Old Style" w:cs="Arial"/>
        </w:rPr>
        <w:t xml:space="preserve"> </w:t>
      </w:r>
      <w:r w:rsidRPr="00CC5568">
        <w:rPr>
          <w:rFonts w:ascii="Bookman Old Style" w:hAnsi="Bookman Old Style" w:cs="Arial"/>
        </w:rPr>
        <w:t xml:space="preserve">la oportunidad en que se asignarán las Obligaciones de Energía Firme del Cargo por Confiabilidad para </w:t>
      </w:r>
      <w:r w:rsidR="00872A6C" w:rsidRPr="00CC5568">
        <w:rPr>
          <w:rFonts w:ascii="Bookman Old Style" w:hAnsi="Bookman Old Style" w:cs="Arial"/>
        </w:rPr>
        <w:t xml:space="preserve">los </w:t>
      </w:r>
      <w:r w:rsidRPr="00CC5568">
        <w:rPr>
          <w:rFonts w:ascii="Bookman Old Style" w:hAnsi="Bookman Old Style" w:cs="Arial"/>
        </w:rPr>
        <w:t>período</w:t>
      </w:r>
      <w:r w:rsidR="00872A6C" w:rsidRPr="00CC5568">
        <w:rPr>
          <w:rFonts w:ascii="Bookman Old Style" w:hAnsi="Bookman Old Style" w:cs="Arial"/>
        </w:rPr>
        <w:t>s</w:t>
      </w:r>
      <w:r w:rsidRPr="00CC5568">
        <w:rPr>
          <w:rFonts w:ascii="Bookman Old Style" w:hAnsi="Bookman Old Style" w:cs="Arial"/>
        </w:rPr>
        <w:t xml:space="preserve"> comprendido</w:t>
      </w:r>
      <w:r w:rsidR="0095230E" w:rsidRPr="00CC5568">
        <w:rPr>
          <w:rFonts w:ascii="Bookman Old Style" w:hAnsi="Bookman Old Style" w:cs="Arial"/>
        </w:rPr>
        <w:t>s</w:t>
      </w:r>
      <w:r w:rsidRPr="00CC5568">
        <w:rPr>
          <w:rFonts w:ascii="Bookman Old Style" w:hAnsi="Bookman Old Style" w:cs="Arial"/>
        </w:rPr>
        <w:t xml:space="preserve"> entre </w:t>
      </w:r>
      <w:r w:rsidR="003E71DD" w:rsidRPr="00CC5568">
        <w:rPr>
          <w:rFonts w:ascii="Bookman Old Style" w:hAnsi="Bookman Old Style" w:cs="Arial"/>
        </w:rPr>
        <w:t>d</w:t>
      </w:r>
      <w:r w:rsidRPr="00CC5568">
        <w:rPr>
          <w:rFonts w:ascii="Bookman Old Style" w:hAnsi="Bookman Old Style" w:cs="Arial"/>
        </w:rPr>
        <w:t xml:space="preserve">iciembre </w:t>
      </w:r>
      <w:r w:rsidR="003E71DD" w:rsidRPr="00CC5568">
        <w:rPr>
          <w:rFonts w:ascii="Bookman Old Style" w:hAnsi="Bookman Old Style" w:cs="Arial"/>
        </w:rPr>
        <w:t xml:space="preserve">1 de </w:t>
      </w:r>
      <w:r w:rsidRPr="00CC5568">
        <w:rPr>
          <w:rFonts w:ascii="Bookman Old Style" w:hAnsi="Bookman Old Style" w:cs="Arial"/>
        </w:rPr>
        <w:t xml:space="preserve">2023 </w:t>
      </w:r>
      <w:r w:rsidR="0095230E" w:rsidRPr="00CC5568">
        <w:rPr>
          <w:rFonts w:ascii="Bookman Old Style" w:hAnsi="Bookman Old Style" w:cs="Arial"/>
        </w:rPr>
        <w:t xml:space="preserve">a </w:t>
      </w:r>
      <w:r w:rsidRPr="00CC5568">
        <w:rPr>
          <w:rFonts w:ascii="Bookman Old Style" w:hAnsi="Bookman Old Style" w:cs="Arial"/>
        </w:rPr>
        <w:t xml:space="preserve">noviembre </w:t>
      </w:r>
      <w:r w:rsidR="003E71DD" w:rsidRPr="00CC5568">
        <w:rPr>
          <w:rFonts w:ascii="Bookman Old Style" w:hAnsi="Bookman Old Style" w:cs="Arial"/>
        </w:rPr>
        <w:t xml:space="preserve">30 </w:t>
      </w:r>
      <w:r w:rsidRPr="00CC5568">
        <w:rPr>
          <w:rFonts w:ascii="Bookman Old Style" w:hAnsi="Bookman Old Style" w:cs="Arial"/>
        </w:rPr>
        <w:t>de 2024</w:t>
      </w:r>
      <w:r w:rsidR="0098229E">
        <w:rPr>
          <w:rFonts w:ascii="Bookman Old Style" w:hAnsi="Bookman Old Style" w:cs="Arial"/>
        </w:rPr>
        <w:t>,</w:t>
      </w:r>
      <w:r w:rsidR="00872A6C" w:rsidRPr="00CC5568">
        <w:rPr>
          <w:rFonts w:ascii="Bookman Old Style" w:hAnsi="Bookman Old Style" w:cs="Arial"/>
        </w:rPr>
        <w:t xml:space="preserve"> y diciembre </w:t>
      </w:r>
      <w:r w:rsidR="003E71DD" w:rsidRPr="00CC5568">
        <w:rPr>
          <w:rFonts w:ascii="Bookman Old Style" w:hAnsi="Bookman Old Style" w:cs="Arial"/>
        </w:rPr>
        <w:t xml:space="preserve">1 de </w:t>
      </w:r>
      <w:r w:rsidR="00872A6C" w:rsidRPr="00CC5568">
        <w:rPr>
          <w:rFonts w:ascii="Bookman Old Style" w:hAnsi="Bookman Old Style" w:cs="Arial"/>
        </w:rPr>
        <w:t xml:space="preserve">2024 </w:t>
      </w:r>
      <w:r w:rsidR="0095230E" w:rsidRPr="00CC5568">
        <w:rPr>
          <w:rFonts w:ascii="Bookman Old Style" w:hAnsi="Bookman Old Style" w:cs="Arial"/>
        </w:rPr>
        <w:t>a</w:t>
      </w:r>
      <w:r w:rsidR="003E71DD" w:rsidRPr="00CC5568">
        <w:rPr>
          <w:rFonts w:ascii="Bookman Old Style" w:hAnsi="Bookman Old Style" w:cs="Arial"/>
        </w:rPr>
        <w:t xml:space="preserve"> </w:t>
      </w:r>
      <w:r w:rsidR="00872A6C" w:rsidRPr="00CC5568">
        <w:rPr>
          <w:rFonts w:ascii="Bookman Old Style" w:hAnsi="Bookman Old Style" w:cs="Arial"/>
        </w:rPr>
        <w:t xml:space="preserve">noviembre </w:t>
      </w:r>
      <w:r w:rsidR="003E71DD" w:rsidRPr="00CC5568">
        <w:rPr>
          <w:rFonts w:ascii="Bookman Old Style" w:hAnsi="Bookman Old Style" w:cs="Arial"/>
        </w:rPr>
        <w:t xml:space="preserve">30 </w:t>
      </w:r>
      <w:r w:rsidR="00872A6C" w:rsidRPr="00CC5568">
        <w:rPr>
          <w:rFonts w:ascii="Bookman Old Style" w:hAnsi="Bookman Old Style" w:cs="Arial"/>
        </w:rPr>
        <w:t>de 2025</w:t>
      </w:r>
    </w:p>
    <w:p w14:paraId="7EA7DD32" w14:textId="275AF3E9" w:rsidR="00DD58E1" w:rsidRDefault="00DD58E1" w:rsidP="00DE7E37">
      <w:pPr>
        <w:ind w:left="0"/>
        <w:jc w:val="center"/>
        <w:rPr>
          <w:rFonts w:ascii="Bookman Old Style" w:hAnsi="Bookman Old Style"/>
        </w:rPr>
      </w:pPr>
    </w:p>
    <w:p w14:paraId="674BF6BA" w14:textId="77777777" w:rsidR="003E6769" w:rsidRDefault="003E6769" w:rsidP="00DE7E37">
      <w:pPr>
        <w:ind w:left="0"/>
        <w:jc w:val="center"/>
        <w:rPr>
          <w:rFonts w:ascii="Bookman Old Style" w:hAnsi="Bookman Old Style"/>
        </w:rPr>
      </w:pPr>
    </w:p>
    <w:p w14:paraId="1CC55A9A" w14:textId="04F25380" w:rsidR="00DE7E37" w:rsidRPr="00C435C3" w:rsidRDefault="00DE7E37" w:rsidP="00DE7E37">
      <w:pPr>
        <w:ind w:right="51"/>
        <w:jc w:val="center"/>
        <w:rPr>
          <w:rFonts w:ascii="Bookman Old Style" w:hAnsi="Bookman Old Style"/>
          <w:b/>
        </w:rPr>
      </w:pPr>
      <w:r w:rsidRPr="00C435C3">
        <w:rPr>
          <w:rFonts w:ascii="Bookman Old Style" w:hAnsi="Bookman Old Style"/>
          <w:b/>
        </w:rPr>
        <w:t>LA COMISIÓN DE REGULACIÓN DE ENERGÍA Y GAS</w:t>
      </w:r>
    </w:p>
    <w:p w14:paraId="5A31791F" w14:textId="1664FA80" w:rsidR="00DE7E37" w:rsidRDefault="00DE7E37" w:rsidP="00DE7E37">
      <w:pPr>
        <w:ind w:left="0" w:right="51"/>
        <w:rPr>
          <w:rFonts w:ascii="Bookman Old Style" w:hAnsi="Bookman Old Style"/>
        </w:rPr>
      </w:pPr>
    </w:p>
    <w:p w14:paraId="3AEAC210" w14:textId="77777777" w:rsidR="00EC6015" w:rsidRPr="00C435C3" w:rsidRDefault="00EC6015" w:rsidP="00DE7E37">
      <w:pPr>
        <w:ind w:left="0" w:right="51"/>
        <w:rPr>
          <w:rFonts w:ascii="Bookman Old Style" w:hAnsi="Bookman Old Style"/>
        </w:rPr>
      </w:pPr>
    </w:p>
    <w:p w14:paraId="27CBF71C" w14:textId="498CE000" w:rsidR="002E3A4C" w:rsidRPr="00AD1F99" w:rsidRDefault="002E3A4C" w:rsidP="002E3A4C">
      <w:pPr>
        <w:ind w:left="0"/>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sidR="0022650F">
        <w:rPr>
          <w:rFonts w:ascii="Bookman Old Style" w:hAnsi="Bookman Old Style"/>
        </w:rPr>
        <w:t xml:space="preserve"> y</w:t>
      </w:r>
      <w:r w:rsidRPr="00AD1F99">
        <w:rPr>
          <w:rFonts w:ascii="Bookman Old Style" w:hAnsi="Bookman Old Style"/>
        </w:rPr>
        <w:t xml:space="preserve"> 2253 de 1994</w:t>
      </w:r>
      <w:r w:rsidR="0098229E">
        <w:rPr>
          <w:rFonts w:ascii="Bookman Old Style" w:hAnsi="Bookman Old Style"/>
        </w:rPr>
        <w:t>,</w:t>
      </w:r>
      <w:r w:rsidRPr="00AD1F99">
        <w:rPr>
          <w:rFonts w:ascii="Bookman Old Style" w:hAnsi="Bookman Old Style"/>
        </w:rPr>
        <w:t xml:space="preserve"> y 1260 de 2013.</w:t>
      </w:r>
    </w:p>
    <w:p w14:paraId="177A3C40" w14:textId="778E9120" w:rsidR="00C240CA" w:rsidRDefault="00C240CA" w:rsidP="00DE7E37">
      <w:pPr>
        <w:ind w:right="51"/>
        <w:rPr>
          <w:rFonts w:ascii="Bookman Old Style" w:hAnsi="Bookman Old Style"/>
        </w:rPr>
      </w:pPr>
    </w:p>
    <w:p w14:paraId="33627635" w14:textId="14AC924E" w:rsidR="00C240CA" w:rsidRDefault="00C240CA" w:rsidP="00DE7E37">
      <w:pPr>
        <w:ind w:right="51"/>
        <w:rPr>
          <w:rFonts w:ascii="Bookman Old Style" w:hAnsi="Bookman Old Style"/>
        </w:rPr>
      </w:pPr>
    </w:p>
    <w:p w14:paraId="0423A25E" w14:textId="77777777" w:rsidR="00DE7E37" w:rsidRPr="00C435C3" w:rsidRDefault="00DE7E37" w:rsidP="00DE7E37">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14:paraId="6618A32C" w14:textId="77777777" w:rsidR="00F44ED7" w:rsidRDefault="00F44ED7" w:rsidP="00F77D2D">
      <w:pPr>
        <w:ind w:left="0"/>
        <w:rPr>
          <w:rFonts w:ascii="Bookman Old Style" w:hAnsi="Bookman Old Style"/>
          <w:bCs/>
          <w:sz w:val="18"/>
          <w:szCs w:val="18"/>
          <w:lang w:val="es-CO"/>
        </w:rPr>
      </w:pPr>
    </w:p>
    <w:p w14:paraId="6D1BC0D1" w14:textId="77777777" w:rsidR="0006683F" w:rsidRDefault="0006683F" w:rsidP="0006683F">
      <w:pPr>
        <w:ind w:left="0"/>
        <w:jc w:val="both"/>
        <w:rPr>
          <w:rFonts w:ascii="Bookman Old Style" w:hAnsi="Bookman Old Style" w:cs="Arial"/>
          <w:lang w:val="es-CO"/>
        </w:rPr>
      </w:pPr>
    </w:p>
    <w:p w14:paraId="1A8283BF" w14:textId="77777777" w:rsidR="008A7880" w:rsidRPr="001B44E2" w:rsidRDefault="008A7880" w:rsidP="008A7880">
      <w:pPr>
        <w:suppressAutoHyphens/>
        <w:ind w:left="0"/>
        <w:jc w:val="both"/>
        <w:rPr>
          <w:rFonts w:ascii="Bookman Old Style" w:hAnsi="Bookman Old Style"/>
          <w:lang w:eastAsia="ar-SA"/>
        </w:rPr>
      </w:pPr>
      <w:r>
        <w:rPr>
          <w:rFonts w:ascii="Bookman Old Style" w:hAnsi="Bookman Old Style"/>
          <w:lang w:eastAsia="ar-SA"/>
        </w:rPr>
        <w:t>S</w:t>
      </w:r>
      <w:r w:rsidRPr="001B44E2">
        <w:rPr>
          <w:rFonts w:ascii="Bookman Old Style" w:hAnsi="Bookman Old Style"/>
          <w:lang w:eastAsia="ar-SA"/>
        </w:rPr>
        <w:t>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w:t>
      </w:r>
      <w:r>
        <w:rPr>
          <w:rFonts w:ascii="Bookman Old Style" w:hAnsi="Bookman Old Style"/>
          <w:lang w:eastAsia="ar-SA"/>
        </w:rPr>
        <w:t>alidad y seguridad establecidos.</w:t>
      </w:r>
      <w:r w:rsidRPr="001B44E2">
        <w:rPr>
          <w:rFonts w:ascii="Bookman Old Style" w:hAnsi="Bookman Old Style"/>
          <w:lang w:eastAsia="ar-SA"/>
        </w:rPr>
        <w:t xml:space="preserve"> </w:t>
      </w:r>
    </w:p>
    <w:p w14:paraId="1C04F81A" w14:textId="77777777" w:rsidR="008A7880" w:rsidRPr="001B44E2" w:rsidRDefault="008A7880" w:rsidP="008A7880">
      <w:pPr>
        <w:suppressAutoHyphens/>
        <w:ind w:left="0"/>
        <w:jc w:val="both"/>
        <w:rPr>
          <w:rFonts w:ascii="Bookman Old Style" w:hAnsi="Bookman Old Style"/>
          <w:lang w:eastAsia="ar-SA"/>
        </w:rPr>
      </w:pPr>
    </w:p>
    <w:p w14:paraId="05AEBC64" w14:textId="77777777" w:rsidR="008A7880" w:rsidRPr="001B44E2" w:rsidRDefault="008A7880" w:rsidP="008A7880">
      <w:pPr>
        <w:suppressAutoHyphens/>
        <w:ind w:left="0"/>
        <w:jc w:val="both"/>
        <w:rPr>
          <w:rFonts w:ascii="Bookman Old Style" w:hAnsi="Bookman Old Style"/>
          <w:lang w:eastAsia="ar-SA"/>
        </w:rPr>
      </w:pPr>
      <w:r>
        <w:rPr>
          <w:rFonts w:ascii="Bookman Old Style" w:hAnsi="Bookman Old Style"/>
          <w:lang w:eastAsia="ar-SA"/>
        </w:rPr>
        <w:t>L</w:t>
      </w:r>
      <w:r w:rsidRPr="001B44E2">
        <w:rPr>
          <w:rFonts w:ascii="Bookman Old Style" w:hAnsi="Bookman Old Style"/>
          <w:lang w:eastAsia="ar-SA"/>
        </w:rPr>
        <w:t>a Ley 143 de 1994, artículo 20, definió como objetivo fundamental de la Regulación en el sector eléctrico, asegurar una adecuada prestación del servicio mediante el aprovechamiento eficiente de los diferentes recursos en</w:t>
      </w:r>
      <w:r>
        <w:rPr>
          <w:rFonts w:ascii="Bookman Old Style" w:hAnsi="Bookman Old Style"/>
          <w:lang w:eastAsia="ar-SA"/>
        </w:rPr>
        <w:t>ergé</w:t>
      </w:r>
      <w:r w:rsidRPr="001B44E2">
        <w:rPr>
          <w:rFonts w:ascii="Bookman Old Style" w:hAnsi="Bookman Old Style"/>
          <w:lang w:eastAsia="ar-SA"/>
        </w:rPr>
        <w:t>ticos, en beneficio del usuario en términos de calidad, o</w:t>
      </w:r>
      <w:r>
        <w:rPr>
          <w:rFonts w:ascii="Bookman Old Style" w:hAnsi="Bookman Old Style"/>
          <w:lang w:eastAsia="ar-SA"/>
        </w:rPr>
        <w:t>portunidad y costo del servicio.</w:t>
      </w:r>
      <w:r w:rsidRPr="001B44E2">
        <w:rPr>
          <w:rFonts w:ascii="Bookman Old Style" w:hAnsi="Bookman Old Style"/>
          <w:lang w:eastAsia="ar-SA"/>
        </w:rPr>
        <w:t xml:space="preserve"> </w:t>
      </w:r>
    </w:p>
    <w:p w14:paraId="413F59B6" w14:textId="6C1D7421" w:rsidR="00930406" w:rsidRDefault="00930406" w:rsidP="00930406">
      <w:pPr>
        <w:suppressAutoHyphens/>
        <w:spacing w:after="120"/>
        <w:ind w:left="0"/>
        <w:jc w:val="both"/>
        <w:rPr>
          <w:rFonts w:ascii="Bookman Old Style" w:hAnsi="Bookman Old Style"/>
          <w:lang w:eastAsia="ar-SA"/>
        </w:rPr>
      </w:pPr>
    </w:p>
    <w:p w14:paraId="1B7DEB9F" w14:textId="5EF03C1F" w:rsidR="008A7880" w:rsidRPr="001B44E2" w:rsidRDefault="008A7880" w:rsidP="009B5364">
      <w:pPr>
        <w:suppressAutoHyphens/>
        <w:spacing w:after="120"/>
        <w:ind w:left="0"/>
        <w:jc w:val="both"/>
        <w:rPr>
          <w:rFonts w:ascii="Bookman Old Style" w:hAnsi="Bookman Old Style"/>
          <w:lang w:eastAsia="ar-SA"/>
        </w:rPr>
      </w:pPr>
      <w:r>
        <w:rPr>
          <w:rFonts w:ascii="Bookman Old Style" w:hAnsi="Bookman Old Style"/>
          <w:lang w:eastAsia="ar-SA"/>
        </w:rPr>
        <w:t>P</w:t>
      </w:r>
      <w:r w:rsidRPr="001B44E2">
        <w:rPr>
          <w:rFonts w:ascii="Bookman Old Style" w:hAnsi="Bookman Old Style"/>
          <w:lang w:eastAsia="ar-SA"/>
        </w:rPr>
        <w:t>ara el cumplimiento del objetivo señalado, la Ley 143 de 1994, artículo 23, le atribuyó a la Comisión de Regulación de Energía y Gas, entre otras, las siguientes funciones:</w:t>
      </w:r>
    </w:p>
    <w:p w14:paraId="47EEFF3C" w14:textId="77777777" w:rsidR="008A7880" w:rsidRPr="00C0797B" w:rsidRDefault="008A7880" w:rsidP="009B5364">
      <w:pPr>
        <w:pStyle w:val="Prrafodelista"/>
        <w:numPr>
          <w:ilvl w:val="0"/>
          <w:numId w:val="2"/>
        </w:numPr>
        <w:suppressAutoHyphens/>
        <w:spacing w:after="120"/>
        <w:ind w:left="360" w:right="142"/>
        <w:jc w:val="both"/>
        <w:rPr>
          <w:rFonts w:ascii="Bookman Old Style" w:hAnsi="Bookman Old Style"/>
          <w:sz w:val="24"/>
          <w:szCs w:val="24"/>
          <w:lang w:eastAsia="ar-SA"/>
        </w:rPr>
      </w:pPr>
      <w:r w:rsidRPr="00C0797B">
        <w:rPr>
          <w:rFonts w:ascii="Bookman Old Style" w:hAnsi="Bookman Old Style"/>
          <w:sz w:val="24"/>
          <w:szCs w:val="24"/>
          <w:lang w:eastAsia="ar-SA"/>
        </w:rPr>
        <w:t>Crear las condiciones para asegurar la disponibilidad de una oferta energética eficiente capaz de abastecer la demanda bajo criterios sociales, económicos, ambientales y de viabilidad financiera, promover y preservar la competencia, para lo cual, la oferta eficiente, en el sector eléctrico, debe tener en cuenta la capacidad de generación de respaldo.</w:t>
      </w:r>
    </w:p>
    <w:p w14:paraId="36C26AD4" w14:textId="77777777" w:rsidR="008A7880" w:rsidRPr="00C0797B" w:rsidRDefault="008A7880" w:rsidP="009B5364">
      <w:pPr>
        <w:pStyle w:val="Prrafodelista"/>
        <w:numPr>
          <w:ilvl w:val="0"/>
          <w:numId w:val="2"/>
        </w:numPr>
        <w:suppressAutoHyphens/>
        <w:spacing w:after="120"/>
        <w:ind w:left="360" w:right="142"/>
        <w:jc w:val="both"/>
        <w:rPr>
          <w:rFonts w:ascii="Bookman Old Style" w:hAnsi="Bookman Old Style"/>
          <w:sz w:val="24"/>
          <w:szCs w:val="24"/>
          <w:lang w:eastAsia="ar-SA"/>
        </w:rPr>
      </w:pPr>
      <w:r w:rsidRPr="00C0797B">
        <w:rPr>
          <w:rFonts w:ascii="Bookman Old Style" w:hAnsi="Bookman Old Style"/>
          <w:sz w:val="24"/>
          <w:szCs w:val="24"/>
          <w:lang w:eastAsia="ar-SA"/>
        </w:rPr>
        <w:t>Valorar la capacidad de generación de respaldo de la oferta eficiente.</w:t>
      </w:r>
    </w:p>
    <w:p w14:paraId="33A4E6ED" w14:textId="77777777" w:rsidR="008A7880" w:rsidRPr="00C0797B" w:rsidRDefault="008A7880" w:rsidP="009B5364">
      <w:pPr>
        <w:pStyle w:val="Prrafodelista"/>
        <w:numPr>
          <w:ilvl w:val="0"/>
          <w:numId w:val="2"/>
        </w:numPr>
        <w:suppressAutoHyphens/>
        <w:spacing w:after="120"/>
        <w:ind w:left="360" w:right="142"/>
        <w:jc w:val="both"/>
        <w:rPr>
          <w:rFonts w:ascii="Bookman Old Style" w:hAnsi="Bookman Old Style"/>
          <w:sz w:val="24"/>
          <w:szCs w:val="24"/>
          <w:lang w:eastAsia="ar-SA"/>
        </w:rPr>
      </w:pPr>
      <w:r w:rsidRPr="00C0797B">
        <w:rPr>
          <w:rFonts w:ascii="Bookman Old Style" w:hAnsi="Bookman Old Style"/>
          <w:sz w:val="24"/>
          <w:szCs w:val="24"/>
          <w:lang w:eastAsia="ar-SA"/>
        </w:rPr>
        <w:t xml:space="preserve">Definir y hacer operativos los criterios técnicos de calidad, confiabilidad y seguridad del servicio de energía. </w:t>
      </w:r>
    </w:p>
    <w:p w14:paraId="0BC07FEB" w14:textId="77777777" w:rsidR="008A7880" w:rsidRPr="00C0797B" w:rsidRDefault="008A7880" w:rsidP="009B5364">
      <w:pPr>
        <w:pStyle w:val="Prrafodelista"/>
        <w:numPr>
          <w:ilvl w:val="0"/>
          <w:numId w:val="2"/>
        </w:numPr>
        <w:suppressAutoHyphens/>
        <w:ind w:left="360" w:right="142"/>
        <w:jc w:val="both"/>
        <w:rPr>
          <w:rFonts w:ascii="Bookman Old Style" w:hAnsi="Bookman Old Style"/>
          <w:sz w:val="24"/>
          <w:szCs w:val="24"/>
          <w:lang w:eastAsia="ar-SA"/>
        </w:rPr>
      </w:pPr>
      <w:r w:rsidRPr="00C0797B">
        <w:rPr>
          <w:rFonts w:ascii="Bookman Old Style" w:hAnsi="Bookman Old Style"/>
          <w:sz w:val="24"/>
          <w:szCs w:val="24"/>
          <w:lang w:eastAsia="ar-SA"/>
        </w:rPr>
        <w:lastRenderedPageBreak/>
        <w:t>Establecer el Reglamento de Operación para realizar el planeamiento y la coordinación de la operación del Sistema Interconectado Nacional; y determinar las condiciones para la liberación gradual del mercado hacia la libre competencia.</w:t>
      </w:r>
    </w:p>
    <w:p w14:paraId="72F80CA5" w14:textId="77777777" w:rsidR="008A7880" w:rsidRPr="001B44E2" w:rsidRDefault="008A7880" w:rsidP="008A7880">
      <w:pPr>
        <w:suppressAutoHyphens/>
        <w:ind w:left="0"/>
        <w:jc w:val="both"/>
        <w:rPr>
          <w:rFonts w:ascii="Bookman Old Style" w:hAnsi="Bookman Old Style"/>
          <w:lang w:eastAsia="ar-SA"/>
        </w:rPr>
      </w:pPr>
    </w:p>
    <w:p w14:paraId="600D11BA" w14:textId="77777777" w:rsidR="00A66A35" w:rsidRPr="003C3499" w:rsidRDefault="00A66A35" w:rsidP="009B5364">
      <w:pPr>
        <w:ind w:left="0"/>
        <w:rPr>
          <w:rFonts w:ascii="Bookman Old Style" w:hAnsi="Bookman Old Style" w:cs="Arial"/>
        </w:rPr>
      </w:pPr>
      <w:r w:rsidRPr="003C3499">
        <w:rPr>
          <w:rFonts w:ascii="Bookman Old Style" w:hAnsi="Bookman Old Style" w:cs="Arial"/>
        </w:rPr>
        <w:t>De acuerdo con lo establecido en el literal c) del artículo 74.1 de la ley 142 de 1994, le corresponde a la CREG establecer el Reglamento de Operación, para regular el funcionamiento del Mercado Mayorista.</w:t>
      </w:r>
    </w:p>
    <w:p w14:paraId="706DE6A2" w14:textId="77777777" w:rsidR="00A66A35" w:rsidRPr="003C3499" w:rsidRDefault="00A66A35" w:rsidP="00A66A35">
      <w:pPr>
        <w:pStyle w:val="Vietaletra"/>
        <w:numPr>
          <w:ilvl w:val="0"/>
          <w:numId w:val="0"/>
        </w:numPr>
        <w:suppressAutoHyphens w:val="0"/>
        <w:overflowPunct/>
        <w:autoSpaceDE/>
        <w:textAlignment w:val="auto"/>
        <w:rPr>
          <w:rFonts w:ascii="Bookman Old Style" w:hAnsi="Bookman Old Style" w:cs="Arial"/>
          <w:bCs/>
          <w:szCs w:val="24"/>
          <w:lang w:val="es-CO" w:eastAsia="es-ES"/>
        </w:rPr>
      </w:pPr>
    </w:p>
    <w:p w14:paraId="4335BB6E" w14:textId="2346AD67" w:rsidR="00A66A35" w:rsidRPr="003C3499" w:rsidRDefault="00A66A35" w:rsidP="00A66A35">
      <w:pPr>
        <w:pStyle w:val="Vietaletra"/>
        <w:numPr>
          <w:ilvl w:val="0"/>
          <w:numId w:val="0"/>
        </w:numPr>
        <w:suppressAutoHyphens w:val="0"/>
        <w:overflowPunct/>
        <w:autoSpaceDE/>
        <w:textAlignment w:val="auto"/>
        <w:rPr>
          <w:rFonts w:ascii="Bookman Old Style" w:hAnsi="Bookman Old Style" w:cs="Arial"/>
          <w:bCs/>
          <w:szCs w:val="24"/>
          <w:lang w:val="es-CO" w:eastAsia="es-ES"/>
        </w:rPr>
      </w:pPr>
      <w:r w:rsidRPr="003C3499">
        <w:rPr>
          <w:rFonts w:ascii="Bookman Old Style" w:hAnsi="Bookman Old Style" w:cs="Arial"/>
          <w:bCs/>
          <w:szCs w:val="24"/>
          <w:lang w:val="es-CO" w:eastAsia="es-ES"/>
        </w:rPr>
        <w:t>La CREG</w:t>
      </w:r>
      <w:r w:rsidR="0098229E">
        <w:rPr>
          <w:rFonts w:ascii="Bookman Old Style" w:hAnsi="Bookman Old Style" w:cs="Arial"/>
          <w:bCs/>
          <w:szCs w:val="24"/>
          <w:lang w:val="es-CO" w:eastAsia="es-ES"/>
        </w:rPr>
        <w:t>,</w:t>
      </w:r>
      <w:r w:rsidRPr="003C3499">
        <w:rPr>
          <w:rFonts w:ascii="Bookman Old Style" w:hAnsi="Bookman Old Style" w:cs="Arial"/>
          <w:bCs/>
          <w:szCs w:val="24"/>
          <w:lang w:val="es-CO" w:eastAsia="es-ES"/>
        </w:rPr>
        <w:t xml:space="preserve"> mediante Resolución CREG</w:t>
      </w:r>
      <w:r w:rsidR="0098229E">
        <w:rPr>
          <w:rFonts w:ascii="Bookman Old Style" w:hAnsi="Bookman Old Style" w:cs="Arial"/>
          <w:bCs/>
          <w:szCs w:val="24"/>
          <w:lang w:val="es-CO" w:eastAsia="es-ES"/>
        </w:rPr>
        <w:t xml:space="preserve"> </w:t>
      </w:r>
      <w:r w:rsidRPr="003C3499">
        <w:rPr>
          <w:rFonts w:ascii="Bookman Old Style" w:hAnsi="Bookman Old Style" w:cs="Arial"/>
          <w:bCs/>
          <w:szCs w:val="24"/>
          <w:lang w:val="es-CO" w:eastAsia="es-ES"/>
        </w:rPr>
        <w:t>071 de 2006, adoptó la metodología para la remuneración del Cargo por Confiabilidad en el Mercado Mayorista de Energía, en la cual se estableció que</w:t>
      </w:r>
      <w:r w:rsidR="0098229E">
        <w:rPr>
          <w:rFonts w:ascii="Bookman Old Style" w:hAnsi="Bookman Old Style" w:cs="Arial"/>
          <w:bCs/>
          <w:szCs w:val="24"/>
          <w:lang w:val="es-CO" w:eastAsia="es-ES"/>
        </w:rPr>
        <w:t>,</w:t>
      </w:r>
      <w:r w:rsidRPr="003C3499">
        <w:rPr>
          <w:rFonts w:ascii="Bookman Old Style" w:hAnsi="Bookman Old Style" w:cs="Arial"/>
          <w:bCs/>
          <w:szCs w:val="24"/>
          <w:lang w:val="es-CO" w:eastAsia="es-ES"/>
        </w:rPr>
        <w:t xml:space="preserve"> con el fin de garantizar la confiabilidad del servicio de energía eléctrica en el Sistema Interconectado Nacional</w:t>
      </w:r>
      <w:r w:rsidR="0098229E">
        <w:rPr>
          <w:rFonts w:ascii="Bookman Old Style" w:hAnsi="Bookman Old Style" w:cs="Arial"/>
          <w:bCs/>
          <w:szCs w:val="24"/>
          <w:lang w:val="es-CO" w:eastAsia="es-ES"/>
        </w:rPr>
        <w:t>,</w:t>
      </w:r>
      <w:r w:rsidRPr="003C3499">
        <w:rPr>
          <w:rFonts w:ascii="Bookman Old Style" w:hAnsi="Bookman Old Style" w:cs="Arial"/>
          <w:bCs/>
          <w:szCs w:val="24"/>
          <w:lang w:val="es-CO" w:eastAsia="es-ES"/>
        </w:rPr>
        <w:t xml:space="preserve"> se definirá una Demanda Objetivo que se debe cubrir mediante Obligaciones de Energía Firme.</w:t>
      </w:r>
    </w:p>
    <w:p w14:paraId="7F64380F" w14:textId="77777777" w:rsidR="00A66A35" w:rsidRPr="00BC4290" w:rsidRDefault="00A66A35" w:rsidP="00A66A35">
      <w:pPr>
        <w:rPr>
          <w:rFonts w:ascii="Bookman Old Style" w:hAnsi="Bookman Old Style" w:cs="Arial"/>
          <w:bCs/>
          <w:sz w:val="22"/>
        </w:rPr>
      </w:pPr>
    </w:p>
    <w:p w14:paraId="42C79421" w14:textId="6976FDEA" w:rsidR="00A66A35" w:rsidRPr="003C3499" w:rsidRDefault="00A66A35" w:rsidP="00A66A35">
      <w:pPr>
        <w:pStyle w:val="Vietaletra"/>
        <w:numPr>
          <w:ilvl w:val="0"/>
          <w:numId w:val="0"/>
        </w:numPr>
        <w:suppressAutoHyphens w:val="0"/>
        <w:overflowPunct/>
        <w:autoSpaceDE/>
        <w:textAlignment w:val="auto"/>
        <w:rPr>
          <w:rFonts w:ascii="Bookman Old Style" w:hAnsi="Bookman Old Style" w:cs="Arial"/>
          <w:bCs/>
          <w:szCs w:val="24"/>
          <w:lang w:val="es-CO" w:eastAsia="es-ES"/>
        </w:rPr>
      </w:pPr>
      <w:r w:rsidRPr="003C3499">
        <w:rPr>
          <w:rFonts w:ascii="Bookman Old Style" w:hAnsi="Bookman Old Style" w:cs="Arial"/>
          <w:bCs/>
          <w:szCs w:val="24"/>
          <w:lang w:val="es-CO" w:eastAsia="es-ES"/>
        </w:rPr>
        <w:t>En el artículo 2 de la Resolución CREG</w:t>
      </w:r>
      <w:r w:rsidR="0098229E">
        <w:rPr>
          <w:rFonts w:ascii="Bookman Old Style" w:hAnsi="Bookman Old Style" w:cs="Arial"/>
          <w:bCs/>
          <w:szCs w:val="24"/>
          <w:lang w:val="es-CO" w:eastAsia="es-ES"/>
        </w:rPr>
        <w:t xml:space="preserve"> </w:t>
      </w:r>
      <w:r w:rsidRPr="003C3499">
        <w:rPr>
          <w:rFonts w:ascii="Bookman Old Style" w:hAnsi="Bookman Old Style" w:cs="Arial"/>
          <w:bCs/>
          <w:szCs w:val="24"/>
          <w:lang w:val="es-CO" w:eastAsia="es-ES"/>
        </w:rPr>
        <w:t>071 de 2006, se definió la Demanda Objetivo como aquella que “equivale a la Demanda Total Doméstica de Energía para cada uno de los meses comprendidos entre el 1º de Diciembre y el 30 de noviembre del año siguiente al Período de Planeación, más un porcentaje que fijará la CREG</w:t>
      </w:r>
      <w:r>
        <w:rPr>
          <w:rFonts w:ascii="Bookman Old Style" w:hAnsi="Bookman Old Style" w:cs="Arial"/>
          <w:bCs/>
          <w:szCs w:val="24"/>
          <w:lang w:val="es-CO" w:eastAsia="es-ES"/>
        </w:rPr>
        <w:t>…”</w:t>
      </w:r>
      <w:r w:rsidRPr="003C3499">
        <w:rPr>
          <w:rFonts w:ascii="Bookman Old Style" w:hAnsi="Bookman Old Style" w:cs="Arial"/>
          <w:bCs/>
          <w:szCs w:val="24"/>
          <w:lang w:val="es-CO" w:eastAsia="es-ES"/>
        </w:rPr>
        <w:t>; y se estableció que “la Demanda Total Doméstica de Energía corresponderá a la proyección más reciente elaborada por la UPME para el escenario de proyección seleccionado por la CREG”.</w:t>
      </w:r>
    </w:p>
    <w:p w14:paraId="7D8A996A" w14:textId="77777777" w:rsidR="00A66A35" w:rsidRPr="00BC4290" w:rsidRDefault="00A66A35" w:rsidP="00A66A35">
      <w:pPr>
        <w:rPr>
          <w:rFonts w:ascii="Bookman Old Style" w:hAnsi="Bookman Old Style" w:cs="Arial"/>
          <w:bCs/>
          <w:sz w:val="22"/>
        </w:rPr>
      </w:pPr>
    </w:p>
    <w:p w14:paraId="2C298470" w14:textId="14F7EE60" w:rsidR="00A66A35" w:rsidRPr="003C3499" w:rsidRDefault="00A66A35" w:rsidP="00A66A35">
      <w:pPr>
        <w:ind w:left="0"/>
        <w:jc w:val="both"/>
        <w:rPr>
          <w:rFonts w:ascii="Bookman Old Style" w:hAnsi="Bookman Old Style" w:cs="Arial"/>
          <w:i/>
        </w:rPr>
      </w:pPr>
      <w:r w:rsidRPr="003C3499">
        <w:rPr>
          <w:rFonts w:ascii="Bookman Old Style" w:hAnsi="Bookman Old Style" w:cs="Arial"/>
          <w:bCs/>
        </w:rPr>
        <w:t>En el citado artículo 18 de la Resolución CREG</w:t>
      </w:r>
      <w:r w:rsidR="0098229E">
        <w:rPr>
          <w:rFonts w:ascii="Bookman Old Style" w:hAnsi="Bookman Old Style" w:cs="Arial"/>
          <w:bCs/>
        </w:rPr>
        <w:t xml:space="preserve"> </w:t>
      </w:r>
      <w:r w:rsidRPr="003C3499">
        <w:rPr>
          <w:rFonts w:ascii="Bookman Old Style" w:hAnsi="Bookman Old Style" w:cs="Arial"/>
          <w:bCs/>
        </w:rPr>
        <w:t xml:space="preserve">071 de 2006 se estableció que </w:t>
      </w:r>
      <w:r w:rsidRPr="003C3499">
        <w:rPr>
          <w:rFonts w:ascii="Bookman Old Style" w:hAnsi="Bookman Old Style" w:cs="Arial"/>
          <w:bCs/>
          <w:i/>
        </w:rPr>
        <w:t>“l</w:t>
      </w:r>
      <w:r w:rsidRPr="003C3499">
        <w:rPr>
          <w:rFonts w:ascii="Bookman Old Style" w:hAnsi="Bookman Old Style" w:cs="Arial"/>
          <w:i/>
        </w:rPr>
        <w:t>a CREG fijará, mediante resolución, la oportunidad en que el ASIC debe llevar a cabo la Subasta o el mecanismo de asignación que haga sus veces; así como el cronograma de las actividades que deben ejecutarse durante los Períodos de Precalificación y de Planeación de la Subasta, o las fechas máximas de ejecución de las actividades asociadas al mecanismo de asignación, según sea el caso”.</w:t>
      </w:r>
    </w:p>
    <w:p w14:paraId="4FCA89CA" w14:textId="77777777" w:rsidR="00A66A35" w:rsidRPr="00BC4290" w:rsidRDefault="00A66A35" w:rsidP="00A66A35">
      <w:pPr>
        <w:ind w:left="0"/>
        <w:jc w:val="both"/>
        <w:rPr>
          <w:rFonts w:ascii="Bookman Old Style" w:hAnsi="Bookman Old Style" w:cs="Arial"/>
          <w:bCs/>
          <w:sz w:val="22"/>
        </w:rPr>
      </w:pPr>
    </w:p>
    <w:p w14:paraId="2814E0B4" w14:textId="75EFD32E" w:rsidR="00A66A35" w:rsidRPr="003C3499" w:rsidRDefault="00A66A35" w:rsidP="00A66A35">
      <w:pPr>
        <w:ind w:left="0"/>
        <w:jc w:val="both"/>
        <w:rPr>
          <w:rFonts w:ascii="Bookman Old Style" w:hAnsi="Bookman Old Style"/>
          <w:bCs/>
        </w:rPr>
      </w:pPr>
      <w:r>
        <w:rPr>
          <w:rFonts w:ascii="Bookman Old Style" w:hAnsi="Bookman Old Style"/>
          <w:bCs/>
        </w:rPr>
        <w:t>La UPME publicó en su página WEB (</w:t>
      </w:r>
      <w:hyperlink r:id="rId15" w:history="1">
        <w:r w:rsidRPr="00591779">
          <w:rPr>
            <w:rStyle w:val="Hipervnculo"/>
            <w:rFonts w:ascii="Bookman Old Style" w:hAnsi="Bookman Old Style"/>
            <w:bCs/>
          </w:rPr>
          <w:t>www.upme.gov.co</w:t>
        </w:r>
      </w:hyperlink>
      <w:r>
        <w:rPr>
          <w:rFonts w:ascii="Bookman Old Style" w:hAnsi="Bookman Old Style"/>
          <w:bCs/>
        </w:rPr>
        <w:t>) el documento “Proyección de Demanda de Energía Eléctrica y Gas Natural 2021-2035”</w:t>
      </w:r>
      <w:r w:rsidR="009B5364">
        <w:rPr>
          <w:rFonts w:ascii="Bookman Old Style" w:hAnsi="Bookman Old Style"/>
          <w:bCs/>
        </w:rPr>
        <w:t xml:space="preserve"> (</w:t>
      </w:r>
      <w:r w:rsidR="00AF6BC0">
        <w:rPr>
          <w:rFonts w:ascii="Bookman Old Style" w:hAnsi="Bookman Old Style"/>
          <w:bCs/>
        </w:rPr>
        <w:t xml:space="preserve">Proyección junio </w:t>
      </w:r>
      <w:r w:rsidR="009B5364">
        <w:rPr>
          <w:rFonts w:ascii="Bookman Old Style" w:hAnsi="Bookman Old Style"/>
          <w:bCs/>
        </w:rPr>
        <w:t>2021)</w:t>
      </w:r>
      <w:r>
        <w:rPr>
          <w:rFonts w:ascii="Bookman Old Style" w:hAnsi="Bookman Old Style"/>
          <w:bCs/>
        </w:rPr>
        <w:t>.</w:t>
      </w:r>
    </w:p>
    <w:p w14:paraId="394C3B81" w14:textId="75A9B870" w:rsidR="00224582" w:rsidRDefault="00224582" w:rsidP="00656042">
      <w:pPr>
        <w:suppressAutoHyphens/>
        <w:ind w:left="0"/>
        <w:jc w:val="both"/>
        <w:rPr>
          <w:rFonts w:ascii="Bookman Old Style" w:hAnsi="Bookman Old Style"/>
          <w:lang w:eastAsia="ar-SA"/>
        </w:rPr>
      </w:pPr>
    </w:p>
    <w:p w14:paraId="667AFE50" w14:textId="61D0A42E" w:rsidR="00B70782" w:rsidRPr="003C3499" w:rsidRDefault="00B70782" w:rsidP="00B70782">
      <w:pPr>
        <w:ind w:left="0"/>
        <w:jc w:val="both"/>
        <w:rPr>
          <w:rFonts w:ascii="Bookman Old Style" w:hAnsi="Bookman Old Style"/>
          <w:bCs/>
        </w:rPr>
      </w:pPr>
      <w:r w:rsidRPr="003C3499">
        <w:rPr>
          <w:rFonts w:ascii="Bookman Old Style" w:hAnsi="Bookman Old Style"/>
          <w:bCs/>
        </w:rPr>
        <w:t>En cumplimiento</w:t>
      </w:r>
      <w:r w:rsidR="00E047C9">
        <w:rPr>
          <w:rFonts w:ascii="Bookman Old Style" w:hAnsi="Bookman Old Style"/>
          <w:bCs/>
        </w:rPr>
        <w:t xml:space="preserve"> </w:t>
      </w:r>
      <w:r w:rsidR="00930406">
        <w:rPr>
          <w:rFonts w:ascii="Bookman Old Style" w:hAnsi="Bookman Old Style"/>
          <w:bCs/>
        </w:rPr>
        <w:t>de</w:t>
      </w:r>
      <w:r w:rsidR="00E047C9">
        <w:rPr>
          <w:rFonts w:ascii="Bookman Old Style" w:hAnsi="Bookman Old Style"/>
          <w:bCs/>
        </w:rPr>
        <w:t xml:space="preserve"> lo dispuesto en</w:t>
      </w:r>
      <w:r w:rsidRPr="003C3499">
        <w:rPr>
          <w:rFonts w:ascii="Bookman Old Style" w:hAnsi="Bookman Old Style"/>
          <w:bCs/>
        </w:rPr>
        <w:t xml:space="preserve"> el artículo 18 de la resolución CREG</w:t>
      </w:r>
      <w:r w:rsidR="0098229E">
        <w:rPr>
          <w:rFonts w:ascii="Bookman Old Style" w:hAnsi="Bookman Old Style"/>
          <w:bCs/>
        </w:rPr>
        <w:t xml:space="preserve"> </w:t>
      </w:r>
      <w:r w:rsidRPr="003C3499">
        <w:rPr>
          <w:rFonts w:ascii="Bookman Old Style" w:hAnsi="Bookman Old Style"/>
          <w:bCs/>
        </w:rPr>
        <w:t xml:space="preserve">071 de 2006, se analizó la información reportada oportunamente por los agentes y se verificó </w:t>
      </w:r>
      <w:r w:rsidR="00930406">
        <w:rPr>
          <w:rFonts w:ascii="Bookman Old Style" w:hAnsi="Bookman Old Style"/>
          <w:bCs/>
        </w:rPr>
        <w:t xml:space="preserve">para los períodos </w:t>
      </w:r>
      <w:r w:rsidR="00930406" w:rsidRPr="00930406">
        <w:rPr>
          <w:rFonts w:ascii="Bookman Old Style" w:hAnsi="Bookman Old Style"/>
          <w:bCs/>
        </w:rPr>
        <w:t>comprendidos entre diciembre 1 de 2023 a noviembre 30 de 2024</w:t>
      </w:r>
      <w:r w:rsidR="0098229E">
        <w:rPr>
          <w:rFonts w:ascii="Bookman Old Style" w:hAnsi="Bookman Old Style"/>
          <w:bCs/>
        </w:rPr>
        <w:t>,</w:t>
      </w:r>
      <w:r w:rsidR="00930406" w:rsidRPr="00930406">
        <w:rPr>
          <w:rFonts w:ascii="Bookman Old Style" w:hAnsi="Bookman Old Style"/>
          <w:bCs/>
        </w:rPr>
        <w:t xml:space="preserve"> y diciembre 1 de 2024 a noviembre 30 de 2025</w:t>
      </w:r>
      <w:r w:rsidR="00930406">
        <w:rPr>
          <w:rFonts w:ascii="Bookman Old Style" w:hAnsi="Bookman Old Style"/>
          <w:bCs/>
        </w:rPr>
        <w:t>, s</w:t>
      </w:r>
      <w:r w:rsidRPr="003C3499">
        <w:rPr>
          <w:rFonts w:ascii="Bookman Old Style" w:hAnsi="Bookman Old Style"/>
          <w:bCs/>
        </w:rPr>
        <w:t>i la suma de las ENFICC de cada una de las plantas es mayor o igual a la demanda objetivo</w:t>
      </w:r>
      <w:r>
        <w:rPr>
          <w:rFonts w:ascii="Bookman Old Style" w:hAnsi="Bookman Old Style"/>
          <w:bCs/>
        </w:rPr>
        <w:t>.</w:t>
      </w:r>
    </w:p>
    <w:p w14:paraId="6690BDAB" w14:textId="77777777" w:rsidR="00B27555" w:rsidRDefault="00B27555" w:rsidP="00771DB0">
      <w:pPr>
        <w:ind w:left="0"/>
        <w:jc w:val="both"/>
        <w:rPr>
          <w:rFonts w:ascii="Bookman Old Style" w:hAnsi="Bookman Old Style"/>
          <w:bCs/>
          <w:szCs w:val="18"/>
          <w:lang w:val="es-CO"/>
        </w:rPr>
      </w:pPr>
    </w:p>
    <w:p w14:paraId="496999A5" w14:textId="77777777" w:rsidR="004235AF" w:rsidRDefault="004235AF" w:rsidP="004235AF">
      <w:pPr>
        <w:suppressAutoHyphens/>
        <w:jc w:val="center"/>
        <w:rPr>
          <w:rFonts w:ascii="Bookman Old Style" w:hAnsi="Bookman Old Style"/>
          <w:b/>
          <w:spacing w:val="-3"/>
        </w:rPr>
      </w:pPr>
      <w:r w:rsidRPr="00C435C3">
        <w:rPr>
          <w:rFonts w:ascii="Bookman Old Style" w:hAnsi="Bookman Old Style"/>
          <w:b/>
          <w:spacing w:val="-3"/>
        </w:rPr>
        <w:t>R E S U E L V E:</w:t>
      </w:r>
    </w:p>
    <w:p w14:paraId="68EB8C29" w14:textId="4D693F24" w:rsidR="00244689" w:rsidRDefault="00244689" w:rsidP="004235AF">
      <w:pPr>
        <w:suppressAutoHyphens/>
        <w:jc w:val="center"/>
        <w:rPr>
          <w:rFonts w:ascii="Bookman Old Style" w:hAnsi="Bookman Old Style"/>
          <w:spacing w:val="-3"/>
        </w:rPr>
      </w:pPr>
    </w:p>
    <w:p w14:paraId="3D864E48" w14:textId="18D52F23" w:rsidR="0095230E" w:rsidRPr="0095230E" w:rsidRDefault="0095230E" w:rsidP="000B4071">
      <w:pPr>
        <w:pStyle w:val="Ttulo1"/>
        <w:ind w:left="0"/>
        <w:jc w:val="both"/>
        <w:rPr>
          <w:rFonts w:ascii="Bookman Old Style" w:hAnsi="Bookman Old Style"/>
          <w:b w:val="0"/>
          <w:bCs/>
        </w:rPr>
      </w:pPr>
      <w:r>
        <w:rPr>
          <w:rFonts w:ascii="Bookman Old Style" w:hAnsi="Bookman Old Style"/>
        </w:rPr>
        <w:t>Artículo 1.</w:t>
      </w:r>
      <w:r>
        <w:rPr>
          <w:rFonts w:ascii="Bookman Old Style" w:hAnsi="Bookman Old Style"/>
          <w:b w:val="0"/>
          <w:bCs/>
        </w:rPr>
        <w:t xml:space="preserve"> </w:t>
      </w:r>
      <w:r w:rsidRPr="0095230E">
        <w:rPr>
          <w:rFonts w:ascii="Bookman Old Style" w:hAnsi="Bookman Old Style"/>
        </w:rPr>
        <w:t>Objeto</w:t>
      </w:r>
      <w:r>
        <w:rPr>
          <w:rFonts w:ascii="Bookman Old Style" w:hAnsi="Bookman Old Style"/>
          <w:b w:val="0"/>
          <w:bCs/>
        </w:rPr>
        <w:t xml:space="preserve">. Mediante la presente resolución se establece la fecha en que el Administrador del Sistema de </w:t>
      </w:r>
      <w:r w:rsidR="003E71DD">
        <w:rPr>
          <w:rFonts w:ascii="Bookman Old Style" w:hAnsi="Bookman Old Style"/>
          <w:b w:val="0"/>
          <w:bCs/>
        </w:rPr>
        <w:t>Intercambios Comerciales del Mercado de Energía Mayorista, ASIC, debe llevar a cabo la asignación de Obligaciones de Energía Firme, OEF, del Cargo por Confiabilidad, para los período</w:t>
      </w:r>
      <w:r w:rsidR="00181CEE">
        <w:rPr>
          <w:rFonts w:ascii="Bookman Old Style" w:hAnsi="Bookman Old Style"/>
          <w:b w:val="0"/>
          <w:bCs/>
        </w:rPr>
        <w:t>s</w:t>
      </w:r>
      <w:r w:rsidR="003E71DD">
        <w:rPr>
          <w:rFonts w:ascii="Bookman Old Style" w:hAnsi="Bookman Old Style"/>
          <w:b w:val="0"/>
          <w:bCs/>
        </w:rPr>
        <w:t xml:space="preserve"> comprendidos diciembre </w:t>
      </w:r>
      <w:r w:rsidR="00181CEE">
        <w:rPr>
          <w:rFonts w:ascii="Bookman Old Style" w:hAnsi="Bookman Old Style"/>
          <w:b w:val="0"/>
          <w:bCs/>
        </w:rPr>
        <w:t xml:space="preserve">1 de </w:t>
      </w:r>
      <w:r w:rsidR="003E71DD">
        <w:rPr>
          <w:rFonts w:ascii="Bookman Old Style" w:hAnsi="Bookman Old Style"/>
          <w:b w:val="0"/>
          <w:bCs/>
        </w:rPr>
        <w:t xml:space="preserve">2023 a noviembre </w:t>
      </w:r>
      <w:r w:rsidR="00181CEE">
        <w:rPr>
          <w:rFonts w:ascii="Bookman Old Style" w:hAnsi="Bookman Old Style"/>
          <w:b w:val="0"/>
          <w:bCs/>
        </w:rPr>
        <w:t xml:space="preserve">30 </w:t>
      </w:r>
      <w:r w:rsidR="003E71DD">
        <w:rPr>
          <w:rFonts w:ascii="Bookman Old Style" w:hAnsi="Bookman Old Style"/>
          <w:b w:val="0"/>
          <w:bCs/>
        </w:rPr>
        <w:t>de 2024</w:t>
      </w:r>
      <w:r w:rsidR="0098229E">
        <w:rPr>
          <w:rFonts w:ascii="Bookman Old Style" w:hAnsi="Bookman Old Style"/>
          <w:b w:val="0"/>
          <w:bCs/>
        </w:rPr>
        <w:t>,</w:t>
      </w:r>
      <w:r w:rsidR="003E71DD">
        <w:rPr>
          <w:rFonts w:ascii="Bookman Old Style" w:hAnsi="Bookman Old Style"/>
          <w:b w:val="0"/>
          <w:bCs/>
        </w:rPr>
        <w:t xml:space="preserve"> </w:t>
      </w:r>
      <w:r w:rsidR="00181CEE">
        <w:rPr>
          <w:rFonts w:ascii="Bookman Old Style" w:hAnsi="Bookman Old Style"/>
          <w:b w:val="0"/>
          <w:bCs/>
        </w:rPr>
        <w:t xml:space="preserve">y diciembre 1 de </w:t>
      </w:r>
      <w:r w:rsidR="00181CEE">
        <w:rPr>
          <w:rFonts w:ascii="Bookman Old Style" w:hAnsi="Bookman Old Style"/>
          <w:b w:val="0"/>
          <w:bCs/>
        </w:rPr>
        <w:lastRenderedPageBreak/>
        <w:t>2024 a noviembre 30 de 2025, así como el cronograma de actividades y las fechas máximas de ejecución de las mismas.</w:t>
      </w:r>
    </w:p>
    <w:p w14:paraId="1A1DB046" w14:textId="77777777" w:rsidR="0095230E" w:rsidRDefault="0095230E" w:rsidP="000B4071">
      <w:pPr>
        <w:pStyle w:val="Ttulo1"/>
        <w:ind w:left="0"/>
        <w:jc w:val="both"/>
        <w:rPr>
          <w:rFonts w:ascii="Bookman Old Style" w:hAnsi="Bookman Old Style"/>
        </w:rPr>
      </w:pPr>
    </w:p>
    <w:p w14:paraId="23777CB8" w14:textId="064A16F8" w:rsidR="00181CEE" w:rsidRDefault="00B70782" w:rsidP="009B5364">
      <w:pPr>
        <w:pStyle w:val="Ttulo1"/>
        <w:spacing w:after="120"/>
        <w:ind w:left="0"/>
        <w:jc w:val="both"/>
        <w:rPr>
          <w:rFonts w:ascii="Bookman Old Style" w:hAnsi="Bookman Old Style"/>
          <w:b w:val="0"/>
        </w:rPr>
      </w:pPr>
      <w:r w:rsidRPr="003C3499">
        <w:rPr>
          <w:rFonts w:ascii="Bookman Old Style" w:hAnsi="Bookman Old Style"/>
        </w:rPr>
        <w:t xml:space="preserve">Artículo </w:t>
      </w:r>
      <w:r w:rsidR="00181CEE">
        <w:rPr>
          <w:rFonts w:ascii="Bookman Old Style" w:hAnsi="Bookman Old Style"/>
        </w:rPr>
        <w:t>2</w:t>
      </w:r>
      <w:r w:rsidRPr="003C3499">
        <w:rPr>
          <w:rFonts w:ascii="Bookman Old Style" w:hAnsi="Bookman Old Style"/>
        </w:rPr>
        <w:t>. Asignación de Obligaciones de Energía Firme, OEF, correspondientes a</w:t>
      </w:r>
      <w:r w:rsidR="00872A6C">
        <w:rPr>
          <w:rFonts w:ascii="Bookman Old Style" w:hAnsi="Bookman Old Style"/>
        </w:rPr>
        <w:t xml:space="preserve"> </w:t>
      </w:r>
      <w:r w:rsidRPr="003C3499">
        <w:rPr>
          <w:rFonts w:ascii="Bookman Old Style" w:hAnsi="Bookman Old Style"/>
        </w:rPr>
        <w:t>l</w:t>
      </w:r>
      <w:r w:rsidR="00872A6C">
        <w:rPr>
          <w:rFonts w:ascii="Bookman Old Style" w:hAnsi="Bookman Old Style"/>
        </w:rPr>
        <w:t>os</w:t>
      </w:r>
      <w:r w:rsidRPr="003C3499">
        <w:rPr>
          <w:rFonts w:ascii="Bookman Old Style" w:hAnsi="Bookman Old Style"/>
        </w:rPr>
        <w:t xml:space="preserve"> período</w:t>
      </w:r>
      <w:r w:rsidR="00872A6C">
        <w:rPr>
          <w:rFonts w:ascii="Bookman Old Style" w:hAnsi="Bookman Old Style"/>
        </w:rPr>
        <w:t>s</w:t>
      </w:r>
      <w:r w:rsidRPr="003C3499">
        <w:rPr>
          <w:rFonts w:ascii="Bookman Old Style" w:hAnsi="Bookman Old Style"/>
        </w:rPr>
        <w:t xml:space="preserve"> 20</w:t>
      </w:r>
      <w:r w:rsidR="000B4071">
        <w:rPr>
          <w:rFonts w:ascii="Bookman Old Style" w:hAnsi="Bookman Old Style"/>
        </w:rPr>
        <w:t>23</w:t>
      </w:r>
      <w:r w:rsidRPr="003C3499">
        <w:rPr>
          <w:rFonts w:ascii="Bookman Old Style" w:hAnsi="Bookman Old Style"/>
        </w:rPr>
        <w:t>-20</w:t>
      </w:r>
      <w:r w:rsidR="000B4071">
        <w:rPr>
          <w:rFonts w:ascii="Bookman Old Style" w:hAnsi="Bookman Old Style"/>
        </w:rPr>
        <w:t>24</w:t>
      </w:r>
      <w:r w:rsidR="00872A6C">
        <w:rPr>
          <w:rFonts w:ascii="Bookman Old Style" w:hAnsi="Bookman Old Style"/>
        </w:rPr>
        <w:t xml:space="preserve"> y 2024-2025</w:t>
      </w:r>
      <w:r w:rsidRPr="003C3499">
        <w:rPr>
          <w:rFonts w:ascii="Bookman Old Style" w:hAnsi="Bookman Old Style"/>
        </w:rPr>
        <w:t xml:space="preserve">. </w:t>
      </w:r>
      <w:r w:rsidRPr="003C3499">
        <w:rPr>
          <w:rFonts w:ascii="Bookman Old Style" w:hAnsi="Bookman Old Style"/>
          <w:b w:val="0"/>
        </w:rPr>
        <w:t xml:space="preserve">El Administrador del Sistema de Intercambios Comerciales del Mercado de Energía Mayorista, ASIC, asignará las Obligaciones de Energía Firme, OEF, del Cargo por Confiabilidad para </w:t>
      </w:r>
      <w:r w:rsidR="00872A6C">
        <w:rPr>
          <w:rFonts w:ascii="Bookman Old Style" w:hAnsi="Bookman Old Style"/>
          <w:b w:val="0"/>
        </w:rPr>
        <w:t xml:space="preserve">los </w:t>
      </w:r>
      <w:r w:rsidRPr="003C3499">
        <w:rPr>
          <w:rFonts w:ascii="Bookman Old Style" w:hAnsi="Bookman Old Style"/>
          <w:b w:val="0"/>
        </w:rPr>
        <w:t>período</w:t>
      </w:r>
      <w:r w:rsidR="00872A6C">
        <w:rPr>
          <w:rFonts w:ascii="Bookman Old Style" w:hAnsi="Bookman Old Style"/>
          <w:b w:val="0"/>
        </w:rPr>
        <w:t>s</w:t>
      </w:r>
      <w:r w:rsidRPr="003C3499">
        <w:rPr>
          <w:rFonts w:ascii="Bookman Old Style" w:hAnsi="Bookman Old Style"/>
          <w:b w:val="0"/>
        </w:rPr>
        <w:t xml:space="preserve"> comprendido</w:t>
      </w:r>
      <w:r w:rsidR="0095230E">
        <w:rPr>
          <w:rFonts w:ascii="Bookman Old Style" w:hAnsi="Bookman Old Style"/>
          <w:b w:val="0"/>
        </w:rPr>
        <w:t>s</w:t>
      </w:r>
      <w:r w:rsidRPr="003C3499">
        <w:rPr>
          <w:rFonts w:ascii="Bookman Old Style" w:hAnsi="Bookman Old Style"/>
          <w:b w:val="0"/>
        </w:rPr>
        <w:t xml:space="preserve"> entre</w:t>
      </w:r>
      <w:r w:rsidR="00181CEE">
        <w:rPr>
          <w:rFonts w:ascii="Bookman Old Style" w:hAnsi="Bookman Old Style"/>
          <w:b w:val="0"/>
        </w:rPr>
        <w:t>:</w:t>
      </w:r>
    </w:p>
    <w:p w14:paraId="3A3F3F8E" w14:textId="19CA86E0" w:rsidR="00181CEE" w:rsidRDefault="00181CEE" w:rsidP="009B5364">
      <w:pPr>
        <w:pStyle w:val="Ttulo1"/>
        <w:numPr>
          <w:ilvl w:val="0"/>
          <w:numId w:val="7"/>
        </w:numPr>
        <w:spacing w:after="120"/>
        <w:ind w:left="426"/>
        <w:jc w:val="both"/>
        <w:rPr>
          <w:rFonts w:ascii="Bookman Old Style" w:hAnsi="Bookman Old Style"/>
          <w:b w:val="0"/>
        </w:rPr>
      </w:pPr>
      <w:r>
        <w:rPr>
          <w:rFonts w:ascii="Bookman Old Style" w:hAnsi="Bookman Old Style"/>
          <w:b w:val="0"/>
        </w:rPr>
        <w:t>Diciembre 1 de 2023 a noviembre 30 de 2024 y</w:t>
      </w:r>
    </w:p>
    <w:p w14:paraId="09A501C4" w14:textId="2137B96B" w:rsidR="00181CEE" w:rsidRDefault="00181CEE" w:rsidP="009B5364">
      <w:pPr>
        <w:pStyle w:val="Ttulo1"/>
        <w:numPr>
          <w:ilvl w:val="0"/>
          <w:numId w:val="7"/>
        </w:numPr>
        <w:ind w:left="426"/>
        <w:jc w:val="both"/>
        <w:rPr>
          <w:rFonts w:ascii="Bookman Old Style" w:hAnsi="Bookman Old Style"/>
          <w:b w:val="0"/>
        </w:rPr>
      </w:pPr>
      <w:r w:rsidRPr="00181CEE">
        <w:rPr>
          <w:rFonts w:ascii="Bookman Old Style" w:hAnsi="Bookman Old Style"/>
          <w:b w:val="0"/>
        </w:rPr>
        <w:t>Dicie</w:t>
      </w:r>
      <w:r>
        <w:rPr>
          <w:rFonts w:ascii="Bookman Old Style" w:hAnsi="Bookman Old Style"/>
          <w:b w:val="0"/>
        </w:rPr>
        <w:t>mbre 1 de 2024 a noviembre 30 de 2025.</w:t>
      </w:r>
    </w:p>
    <w:p w14:paraId="0D904FDD" w14:textId="745479F8" w:rsidR="00181CEE" w:rsidRDefault="00181CEE" w:rsidP="00181CEE">
      <w:pPr>
        <w:ind w:left="0"/>
        <w:rPr>
          <w:lang w:val="es-CO"/>
        </w:rPr>
      </w:pPr>
    </w:p>
    <w:p w14:paraId="334C1430" w14:textId="0D16848D" w:rsidR="00B70782" w:rsidRDefault="00B70782" w:rsidP="000B4071">
      <w:pPr>
        <w:pStyle w:val="Ttulo1"/>
        <w:ind w:left="0"/>
        <w:jc w:val="both"/>
        <w:rPr>
          <w:rFonts w:ascii="Bookman Old Style" w:hAnsi="Bookman Old Style"/>
          <w:b w:val="0"/>
        </w:rPr>
      </w:pPr>
      <w:r w:rsidRPr="003C3499">
        <w:rPr>
          <w:rFonts w:ascii="Bookman Old Style" w:hAnsi="Bookman Old Style"/>
          <w:b w:val="0"/>
        </w:rPr>
        <w:t>Esta asignación la hará el ASIC en la forma establecida en el artículo 25 de la Resolución CREG</w:t>
      </w:r>
      <w:r w:rsidR="0098229E">
        <w:rPr>
          <w:rFonts w:ascii="Bookman Old Style" w:hAnsi="Bookman Old Style"/>
          <w:b w:val="0"/>
        </w:rPr>
        <w:t xml:space="preserve"> </w:t>
      </w:r>
      <w:r w:rsidRPr="003C3499">
        <w:rPr>
          <w:rFonts w:ascii="Bookman Old Style" w:hAnsi="Bookman Old Style"/>
          <w:b w:val="0"/>
        </w:rPr>
        <w:t>071 de 2006.</w:t>
      </w:r>
    </w:p>
    <w:p w14:paraId="287BE67B" w14:textId="3445C990" w:rsidR="003279C7" w:rsidRDefault="003279C7" w:rsidP="003279C7">
      <w:pPr>
        <w:ind w:left="0"/>
        <w:rPr>
          <w:lang w:val="es-CO"/>
        </w:rPr>
      </w:pPr>
    </w:p>
    <w:p w14:paraId="48E2E411" w14:textId="7A44F5C7" w:rsidR="00B70782" w:rsidRPr="003C3499" w:rsidRDefault="00B70782" w:rsidP="000B4071">
      <w:pPr>
        <w:pStyle w:val="Ttulo1"/>
        <w:tabs>
          <w:tab w:val="left" w:pos="0"/>
        </w:tabs>
        <w:ind w:left="0"/>
        <w:jc w:val="both"/>
        <w:rPr>
          <w:rFonts w:ascii="Bookman Old Style" w:hAnsi="Bookman Old Style"/>
          <w:b w:val="0"/>
          <w:iCs/>
        </w:rPr>
      </w:pPr>
      <w:r w:rsidRPr="003C3499">
        <w:rPr>
          <w:rFonts w:ascii="Bookman Old Style" w:hAnsi="Bookman Old Style"/>
        </w:rPr>
        <w:t xml:space="preserve">Artículo </w:t>
      </w:r>
      <w:r w:rsidR="00181CEE">
        <w:rPr>
          <w:rFonts w:ascii="Bookman Old Style" w:hAnsi="Bookman Old Style"/>
        </w:rPr>
        <w:t>3</w:t>
      </w:r>
      <w:r w:rsidRPr="003C3499">
        <w:rPr>
          <w:rFonts w:ascii="Bookman Old Style" w:hAnsi="Bookman Old Style"/>
        </w:rPr>
        <w:t xml:space="preserve">. </w:t>
      </w:r>
      <w:r w:rsidRPr="003C3499">
        <w:rPr>
          <w:rFonts w:ascii="Bookman Old Style" w:hAnsi="Bookman Old Style"/>
          <w:iCs/>
        </w:rPr>
        <w:t xml:space="preserve">Escenario de proyección de demanda para efectos de determinar la Demanda Objetivo.  </w:t>
      </w:r>
      <w:r w:rsidRPr="003C3499">
        <w:rPr>
          <w:rFonts w:ascii="Bookman Old Style" w:hAnsi="Bookman Old Style"/>
          <w:b w:val="0"/>
          <w:iCs/>
        </w:rPr>
        <w:t xml:space="preserve">Para efectos de lo previsto en el </w:t>
      </w:r>
      <w:r w:rsidRPr="00EE40B9">
        <w:rPr>
          <w:rFonts w:ascii="Bookman Old Style" w:hAnsi="Bookman Old Style"/>
          <w:b w:val="0"/>
          <w:iCs/>
        </w:rPr>
        <w:t xml:space="preserve">Artículo </w:t>
      </w:r>
      <w:r w:rsidR="00181CEE">
        <w:rPr>
          <w:rFonts w:ascii="Bookman Old Style" w:hAnsi="Bookman Old Style"/>
          <w:b w:val="0"/>
          <w:iCs/>
        </w:rPr>
        <w:t>2</w:t>
      </w:r>
      <w:r w:rsidRPr="003C3499">
        <w:rPr>
          <w:rFonts w:ascii="Bookman Old Style" w:hAnsi="Bookman Old Style"/>
          <w:b w:val="0"/>
          <w:iCs/>
        </w:rPr>
        <w:t xml:space="preserve"> de la presente Resolución, el escenario de proyección de demanda </w:t>
      </w:r>
      <w:r w:rsidR="00AF6BC0">
        <w:rPr>
          <w:rFonts w:ascii="Bookman Old Style" w:hAnsi="Bookman Old Style"/>
          <w:b w:val="0"/>
          <w:iCs/>
        </w:rPr>
        <w:t xml:space="preserve">de energía </w:t>
      </w:r>
      <w:r w:rsidRPr="003C3499">
        <w:rPr>
          <w:rFonts w:ascii="Bookman Old Style" w:hAnsi="Bookman Old Style"/>
          <w:b w:val="0"/>
          <w:iCs/>
        </w:rPr>
        <w:t xml:space="preserve">corresponderá al escenario de proyección </w:t>
      </w:r>
      <w:r w:rsidR="000B4071">
        <w:rPr>
          <w:rFonts w:ascii="Bookman Old Style" w:hAnsi="Bookman Old Style"/>
          <w:b w:val="0"/>
          <w:iCs/>
        </w:rPr>
        <w:t>denominado Límite A</w:t>
      </w:r>
      <w:r w:rsidRPr="003C3499">
        <w:rPr>
          <w:rFonts w:ascii="Bookman Old Style" w:hAnsi="Bookman Old Style"/>
          <w:b w:val="0"/>
          <w:iCs/>
        </w:rPr>
        <w:t xml:space="preserve">lto </w:t>
      </w:r>
      <w:r w:rsidR="00AF6BC0">
        <w:rPr>
          <w:rFonts w:ascii="Bookman Old Style" w:hAnsi="Bookman Old Style"/>
          <w:b w:val="0"/>
          <w:iCs/>
        </w:rPr>
        <w:t>publicado</w:t>
      </w:r>
      <w:r w:rsidR="00AF6BC0" w:rsidRPr="003C3499">
        <w:rPr>
          <w:rFonts w:ascii="Bookman Old Style" w:hAnsi="Bookman Old Style"/>
          <w:b w:val="0"/>
          <w:iCs/>
        </w:rPr>
        <w:t xml:space="preserve"> </w:t>
      </w:r>
      <w:r w:rsidRPr="003C3499">
        <w:rPr>
          <w:rFonts w:ascii="Bookman Old Style" w:hAnsi="Bookman Old Style"/>
          <w:b w:val="0"/>
          <w:iCs/>
        </w:rPr>
        <w:t>por la Unidad de Planeación Minero Energética</w:t>
      </w:r>
      <w:r w:rsidR="0098229E">
        <w:rPr>
          <w:rFonts w:ascii="Bookman Old Style" w:hAnsi="Bookman Old Style"/>
          <w:b w:val="0"/>
          <w:iCs/>
        </w:rPr>
        <w:t>,</w:t>
      </w:r>
      <w:r w:rsidRPr="003C3499">
        <w:rPr>
          <w:rFonts w:ascii="Bookman Old Style" w:hAnsi="Bookman Old Style"/>
          <w:b w:val="0"/>
          <w:iCs/>
        </w:rPr>
        <w:t xml:space="preserve"> UPME</w:t>
      </w:r>
      <w:r w:rsidR="0098229E">
        <w:rPr>
          <w:rFonts w:ascii="Bookman Old Style" w:hAnsi="Bookman Old Style"/>
          <w:b w:val="0"/>
          <w:iCs/>
        </w:rPr>
        <w:t>,</w:t>
      </w:r>
      <w:r w:rsidRPr="003C3499">
        <w:rPr>
          <w:rFonts w:ascii="Bookman Old Style" w:hAnsi="Bookman Old Style"/>
          <w:b w:val="0"/>
          <w:iCs/>
        </w:rPr>
        <w:t xml:space="preserve"> en </w:t>
      </w:r>
      <w:r w:rsidR="000B4071">
        <w:rPr>
          <w:rFonts w:ascii="Bookman Old Style" w:hAnsi="Bookman Old Style"/>
          <w:b w:val="0"/>
          <w:iCs/>
        </w:rPr>
        <w:t xml:space="preserve">junio </w:t>
      </w:r>
      <w:r w:rsidRPr="003C3499">
        <w:rPr>
          <w:rFonts w:ascii="Bookman Old Style" w:hAnsi="Bookman Old Style"/>
          <w:b w:val="0"/>
          <w:iCs/>
        </w:rPr>
        <w:t>de 20</w:t>
      </w:r>
      <w:r w:rsidR="000B4071">
        <w:rPr>
          <w:rFonts w:ascii="Bookman Old Style" w:hAnsi="Bookman Old Style"/>
          <w:b w:val="0"/>
          <w:iCs/>
        </w:rPr>
        <w:t>21</w:t>
      </w:r>
      <w:r w:rsidRPr="003C3499">
        <w:rPr>
          <w:rFonts w:ascii="Bookman Old Style" w:hAnsi="Bookman Old Style"/>
          <w:b w:val="0"/>
          <w:iCs/>
        </w:rPr>
        <w:t>.</w:t>
      </w:r>
    </w:p>
    <w:p w14:paraId="435446E7" w14:textId="77777777" w:rsidR="00B70782" w:rsidRPr="003C3499" w:rsidRDefault="00B70782" w:rsidP="000B4071">
      <w:pPr>
        <w:ind w:left="0"/>
        <w:jc w:val="both"/>
      </w:pPr>
    </w:p>
    <w:p w14:paraId="1330E6E2" w14:textId="7BBADEBC" w:rsidR="00B70782" w:rsidRPr="003C3499" w:rsidRDefault="00B70782" w:rsidP="000B4071">
      <w:pPr>
        <w:pStyle w:val="Ttulo1"/>
        <w:ind w:left="0"/>
        <w:jc w:val="both"/>
        <w:rPr>
          <w:rFonts w:ascii="Bookman Old Style" w:hAnsi="Bookman Old Style"/>
          <w:b w:val="0"/>
          <w:iCs/>
        </w:rPr>
      </w:pPr>
      <w:r w:rsidRPr="003C3499">
        <w:rPr>
          <w:rFonts w:ascii="Bookman Old Style" w:hAnsi="Bookman Old Style"/>
        </w:rPr>
        <w:t xml:space="preserve">Artículo </w:t>
      </w:r>
      <w:r w:rsidR="00CC09C8">
        <w:rPr>
          <w:rFonts w:ascii="Bookman Old Style" w:hAnsi="Bookman Old Style"/>
        </w:rPr>
        <w:t>4</w:t>
      </w:r>
      <w:r w:rsidRPr="003C3499">
        <w:rPr>
          <w:rFonts w:ascii="Bookman Old Style" w:hAnsi="Bookman Old Style"/>
        </w:rPr>
        <w:t xml:space="preserve">. </w:t>
      </w:r>
      <w:r w:rsidRPr="003C3499">
        <w:rPr>
          <w:rFonts w:ascii="Bookman Old Style" w:hAnsi="Bookman Old Style"/>
          <w:iCs/>
        </w:rPr>
        <w:t xml:space="preserve">Demanda Objetivo. </w:t>
      </w:r>
      <w:r w:rsidRPr="003C3499">
        <w:rPr>
          <w:rFonts w:ascii="Bookman Old Style" w:hAnsi="Bookman Old Style"/>
          <w:b w:val="0"/>
          <w:iCs/>
        </w:rPr>
        <w:t>Para la asignación de la</w:t>
      </w:r>
      <w:r w:rsidR="0098229E">
        <w:rPr>
          <w:rFonts w:ascii="Bookman Old Style" w:hAnsi="Bookman Old Style"/>
          <w:b w:val="0"/>
          <w:iCs/>
        </w:rPr>
        <w:t>s</w:t>
      </w:r>
      <w:r w:rsidRPr="003C3499">
        <w:rPr>
          <w:rFonts w:ascii="Bookman Old Style" w:hAnsi="Bookman Old Style"/>
          <w:b w:val="0"/>
          <w:iCs/>
        </w:rPr>
        <w:t xml:space="preserve"> Obligaciones de Energía Firme de que trata la presente Resolución, la Demanda Objetivo para cada uno de los meses comprendidos entre el primero (1°) de Diciembre de 20</w:t>
      </w:r>
      <w:r w:rsidR="000B4071">
        <w:rPr>
          <w:rFonts w:ascii="Bookman Old Style" w:hAnsi="Bookman Old Style"/>
          <w:b w:val="0"/>
          <w:iCs/>
        </w:rPr>
        <w:t>23</w:t>
      </w:r>
      <w:r w:rsidRPr="003C3499">
        <w:rPr>
          <w:rFonts w:ascii="Bookman Old Style" w:hAnsi="Bookman Old Style"/>
          <w:b w:val="0"/>
          <w:iCs/>
        </w:rPr>
        <w:t xml:space="preserve"> y el treinta (30) de Noviembre de </w:t>
      </w:r>
      <w:r w:rsidR="007964C6" w:rsidRPr="003C3499">
        <w:rPr>
          <w:rFonts w:ascii="Bookman Old Style" w:hAnsi="Bookman Old Style"/>
          <w:b w:val="0"/>
          <w:iCs/>
        </w:rPr>
        <w:t>20</w:t>
      </w:r>
      <w:r w:rsidR="007964C6">
        <w:rPr>
          <w:rFonts w:ascii="Bookman Old Style" w:hAnsi="Bookman Old Style"/>
          <w:b w:val="0"/>
          <w:iCs/>
        </w:rPr>
        <w:t>25</w:t>
      </w:r>
      <w:r w:rsidR="007964C6" w:rsidRPr="003C3499">
        <w:rPr>
          <w:rFonts w:ascii="Bookman Old Style" w:hAnsi="Bookman Old Style"/>
          <w:b w:val="0"/>
          <w:iCs/>
        </w:rPr>
        <w:t xml:space="preserve"> </w:t>
      </w:r>
      <w:r w:rsidRPr="003C3499">
        <w:rPr>
          <w:rFonts w:ascii="Bookman Old Style" w:hAnsi="Bookman Old Style"/>
          <w:b w:val="0"/>
          <w:iCs/>
        </w:rPr>
        <w:t>será la que se especifica en la siguiente tabla.</w:t>
      </w:r>
    </w:p>
    <w:p w14:paraId="56163335" w14:textId="77777777" w:rsidR="00B70782" w:rsidRPr="003C3499" w:rsidRDefault="00B70782" w:rsidP="000B4071">
      <w:pPr>
        <w:jc w:val="both"/>
        <w:rPr>
          <w:rFonts w:ascii="Bookman Old Style" w:hAnsi="Bookman Old Style"/>
        </w:rPr>
      </w:pPr>
    </w:p>
    <w:tbl>
      <w:tblPr>
        <w:tblW w:w="7229"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1670"/>
        <w:gridCol w:w="2005"/>
        <w:gridCol w:w="1570"/>
      </w:tblGrid>
      <w:tr w:rsidR="00535E6C" w:rsidRPr="003C3499" w14:paraId="245D8E9E" w14:textId="42EF2C8F" w:rsidTr="009B5364">
        <w:tc>
          <w:tcPr>
            <w:tcW w:w="1984" w:type="dxa"/>
            <w:shd w:val="clear" w:color="auto" w:fill="FFC000"/>
          </w:tcPr>
          <w:p w14:paraId="17AA800A" w14:textId="77777777" w:rsidR="007964C6" w:rsidRPr="009D1367" w:rsidRDefault="007964C6" w:rsidP="007964C6">
            <w:pPr>
              <w:rPr>
                <w:rFonts w:ascii="Bookman Old Style" w:hAnsi="Bookman Old Style" w:cs="Arial"/>
                <w:b/>
                <w:sz w:val="22"/>
                <w:szCs w:val="22"/>
                <w:lang w:eastAsia="ar-SA"/>
              </w:rPr>
            </w:pPr>
          </w:p>
          <w:p w14:paraId="2CB7608E" w14:textId="121DAE0A" w:rsidR="00535E6C" w:rsidRPr="009D1367" w:rsidRDefault="00535E6C" w:rsidP="009B5364">
            <w:pPr>
              <w:rPr>
                <w:rFonts w:ascii="Bookman Old Style" w:hAnsi="Bookman Old Style" w:cs="Arial"/>
                <w:b/>
                <w:sz w:val="22"/>
                <w:szCs w:val="22"/>
                <w:lang w:eastAsia="ar-SA"/>
              </w:rPr>
            </w:pPr>
            <w:r w:rsidRPr="009D1367">
              <w:rPr>
                <w:rFonts w:ascii="Bookman Old Style" w:hAnsi="Bookman Old Style" w:cs="Arial"/>
                <w:b/>
                <w:sz w:val="22"/>
                <w:szCs w:val="22"/>
                <w:lang w:eastAsia="ar-SA"/>
              </w:rPr>
              <w:t>Mes</w:t>
            </w:r>
          </w:p>
        </w:tc>
        <w:tc>
          <w:tcPr>
            <w:tcW w:w="1670" w:type="dxa"/>
            <w:shd w:val="clear" w:color="auto" w:fill="FFC000"/>
          </w:tcPr>
          <w:p w14:paraId="1B5353AE" w14:textId="53B3731A" w:rsidR="00535E6C" w:rsidRPr="009D1367" w:rsidRDefault="00535E6C" w:rsidP="00DA7837">
            <w:pPr>
              <w:ind w:left="0"/>
              <w:jc w:val="center"/>
              <w:rPr>
                <w:rFonts w:ascii="Bookman Old Style" w:hAnsi="Bookman Old Style" w:cs="Arial"/>
                <w:b/>
                <w:sz w:val="22"/>
                <w:szCs w:val="22"/>
                <w:lang w:eastAsia="ar-SA"/>
              </w:rPr>
            </w:pPr>
            <w:r w:rsidRPr="009D1367">
              <w:rPr>
                <w:rFonts w:ascii="Bookman Old Style" w:hAnsi="Bookman Old Style" w:cs="Arial"/>
                <w:b/>
                <w:sz w:val="22"/>
                <w:szCs w:val="22"/>
                <w:lang w:eastAsia="ar-SA"/>
              </w:rPr>
              <w:t>2023-2024</w:t>
            </w:r>
          </w:p>
          <w:p w14:paraId="11FFFB6F" w14:textId="2F0551E7" w:rsidR="00535E6C" w:rsidRPr="009D1367" w:rsidRDefault="007964C6" w:rsidP="00DA7837">
            <w:pPr>
              <w:ind w:left="0"/>
              <w:jc w:val="center"/>
              <w:rPr>
                <w:rFonts w:ascii="Bookman Old Style" w:hAnsi="Bookman Old Style" w:cs="Arial"/>
                <w:b/>
                <w:sz w:val="22"/>
                <w:szCs w:val="22"/>
                <w:lang w:eastAsia="ar-SA"/>
              </w:rPr>
            </w:pPr>
            <w:r w:rsidRPr="009D1367">
              <w:rPr>
                <w:rFonts w:ascii="Bookman Old Style" w:hAnsi="Bookman Old Style" w:cs="Arial"/>
                <w:b/>
                <w:sz w:val="22"/>
                <w:szCs w:val="22"/>
                <w:lang w:eastAsia="ar-SA"/>
              </w:rPr>
              <w:t>(</w:t>
            </w:r>
            <w:r w:rsidR="00535E6C" w:rsidRPr="009D1367">
              <w:rPr>
                <w:rFonts w:ascii="Bookman Old Style" w:hAnsi="Bookman Old Style" w:cs="Arial"/>
                <w:b/>
                <w:sz w:val="22"/>
                <w:szCs w:val="22"/>
                <w:lang w:eastAsia="ar-SA"/>
              </w:rPr>
              <w:t>GWh</w:t>
            </w:r>
            <w:r w:rsidRPr="009D1367">
              <w:rPr>
                <w:rFonts w:ascii="Bookman Old Style" w:hAnsi="Bookman Old Style" w:cs="Arial"/>
                <w:b/>
                <w:sz w:val="22"/>
                <w:szCs w:val="22"/>
                <w:lang w:eastAsia="ar-SA"/>
              </w:rPr>
              <w:t>)</w:t>
            </w:r>
          </w:p>
        </w:tc>
        <w:tc>
          <w:tcPr>
            <w:tcW w:w="2005" w:type="dxa"/>
            <w:shd w:val="clear" w:color="auto" w:fill="FFC000"/>
          </w:tcPr>
          <w:p w14:paraId="6E119D86" w14:textId="77777777" w:rsidR="007964C6" w:rsidRPr="009D1367" w:rsidRDefault="007964C6" w:rsidP="007964C6">
            <w:pPr>
              <w:rPr>
                <w:rFonts w:ascii="Bookman Old Style" w:hAnsi="Bookman Old Style" w:cs="Arial"/>
                <w:b/>
                <w:sz w:val="22"/>
                <w:szCs w:val="22"/>
                <w:lang w:eastAsia="ar-SA"/>
              </w:rPr>
            </w:pPr>
          </w:p>
          <w:p w14:paraId="1D894C88" w14:textId="6907DF62" w:rsidR="00535E6C" w:rsidRPr="009D1367" w:rsidRDefault="00535E6C" w:rsidP="009B5364">
            <w:pPr>
              <w:rPr>
                <w:rFonts w:ascii="Bookman Old Style" w:hAnsi="Bookman Old Style" w:cs="Arial"/>
                <w:b/>
                <w:sz w:val="22"/>
                <w:szCs w:val="22"/>
                <w:lang w:eastAsia="ar-SA"/>
              </w:rPr>
            </w:pPr>
            <w:r w:rsidRPr="009D1367">
              <w:rPr>
                <w:rFonts w:ascii="Bookman Old Style" w:hAnsi="Bookman Old Style" w:cs="Arial"/>
                <w:b/>
                <w:sz w:val="22"/>
                <w:szCs w:val="22"/>
                <w:lang w:eastAsia="ar-SA"/>
              </w:rPr>
              <w:t>Mes</w:t>
            </w:r>
          </w:p>
        </w:tc>
        <w:tc>
          <w:tcPr>
            <w:tcW w:w="1570" w:type="dxa"/>
            <w:shd w:val="clear" w:color="auto" w:fill="FFC000"/>
          </w:tcPr>
          <w:p w14:paraId="3C2C7B43" w14:textId="5630BD25" w:rsidR="00DA7837" w:rsidRPr="009D1367" w:rsidRDefault="007964C6" w:rsidP="00DA7837">
            <w:pPr>
              <w:ind w:left="0"/>
              <w:jc w:val="center"/>
              <w:rPr>
                <w:rFonts w:ascii="Bookman Old Style" w:hAnsi="Bookman Old Style" w:cs="Arial"/>
                <w:b/>
                <w:sz w:val="22"/>
                <w:szCs w:val="22"/>
                <w:lang w:eastAsia="ar-SA"/>
              </w:rPr>
            </w:pPr>
            <w:r w:rsidRPr="009D1367">
              <w:rPr>
                <w:rFonts w:ascii="Bookman Old Style" w:hAnsi="Bookman Old Style" w:cs="Arial"/>
                <w:b/>
                <w:sz w:val="22"/>
                <w:szCs w:val="22"/>
                <w:lang w:eastAsia="ar-SA"/>
              </w:rPr>
              <w:t>2024</w:t>
            </w:r>
            <w:r w:rsidR="00DA7837" w:rsidRPr="009D1367">
              <w:rPr>
                <w:rFonts w:ascii="Bookman Old Style" w:hAnsi="Bookman Old Style" w:cs="Arial"/>
                <w:b/>
                <w:sz w:val="22"/>
                <w:szCs w:val="22"/>
                <w:lang w:eastAsia="ar-SA"/>
              </w:rPr>
              <w:t>-</w:t>
            </w:r>
            <w:r w:rsidRPr="009D1367">
              <w:rPr>
                <w:rFonts w:ascii="Bookman Old Style" w:hAnsi="Bookman Old Style" w:cs="Arial"/>
                <w:b/>
                <w:sz w:val="22"/>
                <w:szCs w:val="22"/>
                <w:lang w:eastAsia="ar-SA"/>
              </w:rPr>
              <w:t>2025</w:t>
            </w:r>
          </w:p>
          <w:p w14:paraId="6C8D4489" w14:textId="49B4476D" w:rsidR="00535E6C" w:rsidRPr="009D1367" w:rsidRDefault="00EA0D4A" w:rsidP="00DA7837">
            <w:pPr>
              <w:ind w:left="0"/>
              <w:jc w:val="center"/>
              <w:rPr>
                <w:rFonts w:ascii="Bookman Old Style" w:hAnsi="Bookman Old Style" w:cs="Arial"/>
                <w:b/>
                <w:sz w:val="22"/>
                <w:szCs w:val="22"/>
                <w:lang w:eastAsia="ar-SA"/>
              </w:rPr>
            </w:pPr>
            <w:r w:rsidRPr="009D1367">
              <w:rPr>
                <w:rFonts w:ascii="Bookman Old Style" w:hAnsi="Bookman Old Style" w:cs="Arial"/>
                <w:b/>
                <w:sz w:val="22"/>
                <w:szCs w:val="22"/>
                <w:lang w:eastAsia="ar-SA"/>
              </w:rPr>
              <w:t>(</w:t>
            </w:r>
            <w:r w:rsidR="00DA7837" w:rsidRPr="009D1367">
              <w:rPr>
                <w:rFonts w:ascii="Bookman Old Style" w:hAnsi="Bookman Old Style" w:cs="Arial"/>
                <w:b/>
                <w:sz w:val="22"/>
                <w:szCs w:val="22"/>
                <w:lang w:eastAsia="ar-SA"/>
              </w:rPr>
              <w:t>GWh</w:t>
            </w:r>
            <w:r w:rsidRPr="009D1367">
              <w:rPr>
                <w:rFonts w:ascii="Bookman Old Style" w:hAnsi="Bookman Old Style" w:cs="Arial"/>
                <w:b/>
                <w:sz w:val="22"/>
                <w:szCs w:val="22"/>
                <w:lang w:eastAsia="ar-SA"/>
              </w:rPr>
              <w:t>)</w:t>
            </w:r>
          </w:p>
        </w:tc>
      </w:tr>
      <w:tr w:rsidR="00535E6C" w:rsidRPr="003C3499" w14:paraId="5CC5062A" w14:textId="028B2CC4" w:rsidTr="009B5364">
        <w:tc>
          <w:tcPr>
            <w:tcW w:w="1984" w:type="dxa"/>
          </w:tcPr>
          <w:p w14:paraId="34350D34" w14:textId="49558996" w:rsidR="00535E6C" w:rsidRPr="009D1367" w:rsidRDefault="00535E6C" w:rsidP="00535E6C">
            <w:pPr>
              <w:ind w:left="0"/>
              <w:jc w:val="center"/>
              <w:rPr>
                <w:rFonts w:ascii="Bookman Old Style" w:hAnsi="Bookman Old Style" w:cs="Arial"/>
                <w:sz w:val="22"/>
                <w:szCs w:val="22"/>
                <w:lang w:eastAsia="ar-SA"/>
              </w:rPr>
            </w:pPr>
            <w:r w:rsidRPr="009D1367">
              <w:rPr>
                <w:rFonts w:ascii="Bookman Old Style" w:hAnsi="Bookman Old Style" w:cs="Arial"/>
                <w:sz w:val="22"/>
                <w:szCs w:val="22"/>
                <w:lang w:eastAsia="ar-SA"/>
              </w:rPr>
              <w:t>Dic-2023</w:t>
            </w:r>
          </w:p>
        </w:tc>
        <w:tc>
          <w:tcPr>
            <w:tcW w:w="1670" w:type="dxa"/>
            <w:vAlign w:val="center"/>
          </w:tcPr>
          <w:p w14:paraId="72485A81" w14:textId="74FA559D" w:rsidR="00535E6C" w:rsidRPr="009D1367" w:rsidRDefault="00535E6C" w:rsidP="00DA7837">
            <w:pPr>
              <w:ind w:left="0"/>
              <w:jc w:val="center"/>
              <w:rPr>
                <w:rFonts w:ascii="Bookman Old Style" w:hAnsi="Bookman Old Style" w:cs="Arial"/>
                <w:sz w:val="22"/>
                <w:szCs w:val="22"/>
                <w:lang w:eastAsia="ar-SA"/>
              </w:rPr>
            </w:pPr>
            <w:r w:rsidRPr="009D1367">
              <w:rPr>
                <w:rFonts w:ascii="Bookman Old Style" w:hAnsi="Bookman Old Style" w:cs="Calibri"/>
                <w:sz w:val="22"/>
                <w:szCs w:val="22"/>
              </w:rPr>
              <w:t>6.879</w:t>
            </w:r>
          </w:p>
        </w:tc>
        <w:tc>
          <w:tcPr>
            <w:tcW w:w="2005" w:type="dxa"/>
          </w:tcPr>
          <w:p w14:paraId="22838F39" w14:textId="01F3B7AA" w:rsidR="00535E6C" w:rsidRPr="009D1367" w:rsidRDefault="00535E6C" w:rsidP="00535E6C">
            <w:pPr>
              <w:jc w:val="center"/>
              <w:rPr>
                <w:rFonts w:ascii="Bookman Old Style" w:hAnsi="Bookman Old Style" w:cs="Calibri"/>
                <w:sz w:val="22"/>
                <w:szCs w:val="22"/>
              </w:rPr>
            </w:pPr>
            <w:r w:rsidRPr="009D1367">
              <w:rPr>
                <w:rFonts w:ascii="Bookman Old Style" w:hAnsi="Bookman Old Style" w:cs="Arial"/>
                <w:sz w:val="22"/>
                <w:szCs w:val="22"/>
                <w:lang w:eastAsia="ar-SA"/>
              </w:rPr>
              <w:t>Dic-2024</w:t>
            </w:r>
          </w:p>
        </w:tc>
        <w:tc>
          <w:tcPr>
            <w:tcW w:w="1570" w:type="dxa"/>
          </w:tcPr>
          <w:p w14:paraId="30410B62" w14:textId="78375B2F" w:rsidR="00535E6C" w:rsidRPr="009D1367" w:rsidRDefault="00DA7837" w:rsidP="00DA7837">
            <w:pPr>
              <w:ind w:left="0"/>
              <w:jc w:val="center"/>
              <w:rPr>
                <w:rFonts w:ascii="Bookman Old Style" w:hAnsi="Bookman Old Style" w:cs="Calibri"/>
                <w:sz w:val="22"/>
                <w:szCs w:val="22"/>
              </w:rPr>
            </w:pPr>
            <w:r w:rsidRPr="009D1367">
              <w:rPr>
                <w:rFonts w:ascii="Bookman Old Style" w:hAnsi="Bookman Old Style" w:cs="Calibri"/>
                <w:sz w:val="22"/>
                <w:szCs w:val="22"/>
              </w:rPr>
              <w:t>7.107</w:t>
            </w:r>
          </w:p>
        </w:tc>
      </w:tr>
      <w:tr w:rsidR="00535E6C" w:rsidRPr="003C3499" w14:paraId="79414E63" w14:textId="4A5E8093" w:rsidTr="009B5364">
        <w:tc>
          <w:tcPr>
            <w:tcW w:w="1984" w:type="dxa"/>
          </w:tcPr>
          <w:p w14:paraId="0D8A6A7A" w14:textId="6BB4FD58" w:rsidR="00535E6C" w:rsidRPr="009D1367" w:rsidRDefault="00535E6C" w:rsidP="00535E6C">
            <w:pPr>
              <w:ind w:left="0"/>
              <w:jc w:val="center"/>
              <w:rPr>
                <w:rFonts w:ascii="Bookman Old Style" w:hAnsi="Bookman Old Style" w:cs="Arial"/>
                <w:sz w:val="22"/>
                <w:szCs w:val="22"/>
                <w:lang w:eastAsia="ar-SA"/>
              </w:rPr>
            </w:pPr>
            <w:r w:rsidRPr="009D1367">
              <w:rPr>
                <w:rFonts w:ascii="Bookman Old Style" w:hAnsi="Bookman Old Style" w:cs="Arial"/>
                <w:sz w:val="22"/>
                <w:szCs w:val="22"/>
                <w:lang w:eastAsia="ar-SA"/>
              </w:rPr>
              <w:t>Ene-2024</w:t>
            </w:r>
          </w:p>
        </w:tc>
        <w:tc>
          <w:tcPr>
            <w:tcW w:w="1670" w:type="dxa"/>
            <w:vAlign w:val="center"/>
          </w:tcPr>
          <w:p w14:paraId="12238F68" w14:textId="785F3625" w:rsidR="00535E6C" w:rsidRPr="009D1367" w:rsidRDefault="00535E6C" w:rsidP="00DA7837">
            <w:pPr>
              <w:ind w:left="0"/>
              <w:jc w:val="center"/>
              <w:rPr>
                <w:rFonts w:ascii="Bookman Old Style" w:hAnsi="Bookman Old Style" w:cs="Arial"/>
                <w:sz w:val="22"/>
                <w:szCs w:val="22"/>
                <w:lang w:eastAsia="ar-SA"/>
              </w:rPr>
            </w:pPr>
            <w:r w:rsidRPr="009D1367">
              <w:rPr>
                <w:rFonts w:ascii="Bookman Old Style" w:hAnsi="Bookman Old Style" w:cs="Calibri"/>
                <w:sz w:val="22"/>
                <w:szCs w:val="22"/>
              </w:rPr>
              <w:t>6.732</w:t>
            </w:r>
          </w:p>
        </w:tc>
        <w:tc>
          <w:tcPr>
            <w:tcW w:w="2005" w:type="dxa"/>
          </w:tcPr>
          <w:p w14:paraId="053C59F9" w14:textId="1F8B54D5" w:rsidR="00535E6C" w:rsidRPr="009D1367" w:rsidRDefault="00535E6C" w:rsidP="00535E6C">
            <w:pPr>
              <w:jc w:val="center"/>
              <w:rPr>
                <w:rFonts w:ascii="Bookman Old Style" w:hAnsi="Bookman Old Style" w:cs="Calibri"/>
                <w:sz w:val="22"/>
                <w:szCs w:val="22"/>
              </w:rPr>
            </w:pPr>
            <w:r w:rsidRPr="009D1367">
              <w:rPr>
                <w:rFonts w:ascii="Bookman Old Style" w:hAnsi="Bookman Old Style" w:cs="Arial"/>
                <w:sz w:val="22"/>
                <w:szCs w:val="22"/>
                <w:lang w:eastAsia="ar-SA"/>
              </w:rPr>
              <w:t>Ene-2025</w:t>
            </w:r>
          </w:p>
        </w:tc>
        <w:tc>
          <w:tcPr>
            <w:tcW w:w="1570" w:type="dxa"/>
          </w:tcPr>
          <w:p w14:paraId="26776D4F" w14:textId="6FF3418A" w:rsidR="00535E6C" w:rsidRPr="009D1367" w:rsidRDefault="00DA7837" w:rsidP="00E67B1A">
            <w:pPr>
              <w:ind w:left="0"/>
              <w:jc w:val="center"/>
              <w:rPr>
                <w:rFonts w:ascii="Bookman Old Style" w:hAnsi="Bookman Old Style" w:cs="Calibri"/>
                <w:sz w:val="22"/>
                <w:szCs w:val="22"/>
              </w:rPr>
            </w:pPr>
            <w:r w:rsidRPr="009D1367">
              <w:rPr>
                <w:rFonts w:ascii="Bookman Old Style" w:hAnsi="Bookman Old Style" w:cs="Calibri"/>
                <w:sz w:val="22"/>
                <w:szCs w:val="22"/>
              </w:rPr>
              <w:t>6.990</w:t>
            </w:r>
          </w:p>
        </w:tc>
      </w:tr>
      <w:tr w:rsidR="00535E6C" w:rsidRPr="003C3499" w14:paraId="0C10C9F6" w14:textId="4EA92460" w:rsidTr="009B5364">
        <w:tc>
          <w:tcPr>
            <w:tcW w:w="1984" w:type="dxa"/>
          </w:tcPr>
          <w:p w14:paraId="5969225A" w14:textId="48C92157" w:rsidR="00535E6C" w:rsidRPr="009D1367" w:rsidRDefault="00535E6C" w:rsidP="00535E6C">
            <w:pPr>
              <w:ind w:left="0"/>
              <w:jc w:val="center"/>
              <w:rPr>
                <w:rFonts w:ascii="Bookman Old Style" w:hAnsi="Bookman Old Style" w:cs="Arial"/>
                <w:sz w:val="22"/>
                <w:szCs w:val="22"/>
                <w:lang w:eastAsia="ar-SA"/>
              </w:rPr>
            </w:pPr>
            <w:r w:rsidRPr="009D1367">
              <w:rPr>
                <w:rFonts w:ascii="Bookman Old Style" w:hAnsi="Bookman Old Style" w:cs="Arial"/>
                <w:sz w:val="22"/>
                <w:szCs w:val="22"/>
                <w:lang w:eastAsia="ar-SA"/>
              </w:rPr>
              <w:t>Feb-2024</w:t>
            </w:r>
          </w:p>
        </w:tc>
        <w:tc>
          <w:tcPr>
            <w:tcW w:w="1670" w:type="dxa"/>
            <w:vAlign w:val="center"/>
          </w:tcPr>
          <w:p w14:paraId="3157B03C" w14:textId="478E22FF" w:rsidR="00535E6C" w:rsidRPr="009D1367" w:rsidRDefault="00535E6C" w:rsidP="00DA7837">
            <w:pPr>
              <w:ind w:left="0"/>
              <w:jc w:val="center"/>
              <w:rPr>
                <w:rFonts w:ascii="Bookman Old Style" w:hAnsi="Bookman Old Style" w:cs="Arial"/>
                <w:sz w:val="22"/>
                <w:szCs w:val="22"/>
                <w:lang w:eastAsia="ar-SA"/>
              </w:rPr>
            </w:pPr>
            <w:r w:rsidRPr="009D1367">
              <w:rPr>
                <w:rFonts w:ascii="Bookman Old Style" w:hAnsi="Bookman Old Style" w:cs="Calibri"/>
                <w:sz w:val="22"/>
                <w:szCs w:val="22"/>
              </w:rPr>
              <w:t>6.549</w:t>
            </w:r>
          </w:p>
        </w:tc>
        <w:tc>
          <w:tcPr>
            <w:tcW w:w="2005" w:type="dxa"/>
          </w:tcPr>
          <w:p w14:paraId="79382241" w14:textId="0E079F0B" w:rsidR="00535E6C" w:rsidRPr="009D1367" w:rsidRDefault="00535E6C" w:rsidP="00535E6C">
            <w:pPr>
              <w:jc w:val="center"/>
              <w:rPr>
                <w:rFonts w:ascii="Bookman Old Style" w:hAnsi="Bookman Old Style" w:cs="Calibri"/>
                <w:sz w:val="22"/>
                <w:szCs w:val="22"/>
              </w:rPr>
            </w:pPr>
            <w:r w:rsidRPr="009D1367">
              <w:rPr>
                <w:rFonts w:ascii="Bookman Old Style" w:hAnsi="Bookman Old Style" w:cs="Arial"/>
                <w:sz w:val="22"/>
                <w:szCs w:val="22"/>
                <w:lang w:eastAsia="ar-SA"/>
              </w:rPr>
              <w:t>Feb-2025</w:t>
            </w:r>
          </w:p>
        </w:tc>
        <w:tc>
          <w:tcPr>
            <w:tcW w:w="1570" w:type="dxa"/>
          </w:tcPr>
          <w:p w14:paraId="49E544F3" w14:textId="52EFBD16" w:rsidR="00535E6C" w:rsidRPr="009D1367" w:rsidRDefault="00DA7837" w:rsidP="00E67B1A">
            <w:pPr>
              <w:ind w:left="0"/>
              <w:jc w:val="center"/>
              <w:rPr>
                <w:rFonts w:ascii="Bookman Old Style" w:hAnsi="Bookman Old Style" w:cs="Calibri"/>
                <w:sz w:val="22"/>
                <w:szCs w:val="22"/>
              </w:rPr>
            </w:pPr>
            <w:r w:rsidRPr="009D1367">
              <w:rPr>
                <w:rFonts w:ascii="Bookman Old Style" w:hAnsi="Bookman Old Style" w:cs="Calibri"/>
                <w:sz w:val="22"/>
                <w:szCs w:val="22"/>
              </w:rPr>
              <w:t>6.674</w:t>
            </w:r>
          </w:p>
        </w:tc>
      </w:tr>
      <w:tr w:rsidR="00535E6C" w:rsidRPr="003C3499" w14:paraId="440F3012" w14:textId="7B930274" w:rsidTr="009B5364">
        <w:tc>
          <w:tcPr>
            <w:tcW w:w="1984" w:type="dxa"/>
          </w:tcPr>
          <w:p w14:paraId="7B20A5E0" w14:textId="1E9CE870" w:rsidR="00535E6C" w:rsidRPr="009D1367" w:rsidRDefault="00535E6C" w:rsidP="00535E6C">
            <w:pPr>
              <w:ind w:left="0"/>
              <w:jc w:val="center"/>
              <w:rPr>
                <w:rFonts w:ascii="Bookman Old Style" w:hAnsi="Bookman Old Style" w:cs="Arial"/>
                <w:sz w:val="22"/>
                <w:szCs w:val="22"/>
                <w:lang w:eastAsia="ar-SA"/>
              </w:rPr>
            </w:pPr>
            <w:r w:rsidRPr="009D1367">
              <w:rPr>
                <w:rFonts w:ascii="Bookman Old Style" w:hAnsi="Bookman Old Style" w:cs="Arial"/>
                <w:sz w:val="22"/>
                <w:szCs w:val="22"/>
                <w:lang w:eastAsia="ar-SA"/>
              </w:rPr>
              <w:t>Mar-2024</w:t>
            </w:r>
          </w:p>
        </w:tc>
        <w:tc>
          <w:tcPr>
            <w:tcW w:w="1670" w:type="dxa"/>
            <w:vAlign w:val="center"/>
          </w:tcPr>
          <w:p w14:paraId="2E887577" w14:textId="0F9E7AE3" w:rsidR="00535E6C" w:rsidRPr="009D1367" w:rsidRDefault="00535E6C" w:rsidP="00DA7837">
            <w:pPr>
              <w:ind w:left="0"/>
              <w:jc w:val="center"/>
              <w:rPr>
                <w:rFonts w:ascii="Bookman Old Style" w:hAnsi="Bookman Old Style" w:cs="Arial"/>
                <w:sz w:val="22"/>
                <w:szCs w:val="22"/>
                <w:lang w:eastAsia="ar-SA"/>
              </w:rPr>
            </w:pPr>
            <w:r w:rsidRPr="009D1367">
              <w:rPr>
                <w:rFonts w:ascii="Bookman Old Style" w:hAnsi="Bookman Old Style" w:cs="Calibri"/>
                <w:sz w:val="22"/>
                <w:szCs w:val="22"/>
              </w:rPr>
              <w:t>6.817</w:t>
            </w:r>
          </w:p>
        </w:tc>
        <w:tc>
          <w:tcPr>
            <w:tcW w:w="2005" w:type="dxa"/>
          </w:tcPr>
          <w:p w14:paraId="4B6DA3EB" w14:textId="5571650F" w:rsidR="00535E6C" w:rsidRPr="009D1367" w:rsidRDefault="00535E6C" w:rsidP="00535E6C">
            <w:pPr>
              <w:jc w:val="center"/>
              <w:rPr>
                <w:rFonts w:ascii="Bookman Old Style" w:hAnsi="Bookman Old Style" w:cs="Calibri"/>
                <w:sz w:val="22"/>
                <w:szCs w:val="22"/>
              </w:rPr>
            </w:pPr>
            <w:r w:rsidRPr="009D1367">
              <w:rPr>
                <w:rFonts w:ascii="Bookman Old Style" w:hAnsi="Bookman Old Style" w:cs="Arial"/>
                <w:sz w:val="22"/>
                <w:szCs w:val="22"/>
                <w:lang w:eastAsia="ar-SA"/>
              </w:rPr>
              <w:t>Mar-2025</w:t>
            </w:r>
          </w:p>
        </w:tc>
        <w:tc>
          <w:tcPr>
            <w:tcW w:w="1570" w:type="dxa"/>
          </w:tcPr>
          <w:p w14:paraId="51D216B9" w14:textId="64D5F8F4" w:rsidR="00535E6C" w:rsidRPr="009D1367" w:rsidRDefault="00DA7837" w:rsidP="00E67B1A">
            <w:pPr>
              <w:ind w:left="0"/>
              <w:jc w:val="center"/>
              <w:rPr>
                <w:rFonts w:ascii="Bookman Old Style" w:hAnsi="Bookman Old Style" w:cs="Calibri"/>
                <w:sz w:val="22"/>
                <w:szCs w:val="22"/>
              </w:rPr>
            </w:pPr>
            <w:r w:rsidRPr="009D1367">
              <w:rPr>
                <w:rFonts w:ascii="Bookman Old Style" w:hAnsi="Bookman Old Style" w:cs="Calibri"/>
                <w:sz w:val="22"/>
                <w:szCs w:val="22"/>
              </w:rPr>
              <w:t>7.132</w:t>
            </w:r>
          </w:p>
        </w:tc>
      </w:tr>
      <w:tr w:rsidR="00535E6C" w:rsidRPr="003C3499" w14:paraId="7EDD3BF3" w14:textId="03BE9758" w:rsidTr="009B5364">
        <w:tc>
          <w:tcPr>
            <w:tcW w:w="1984" w:type="dxa"/>
          </w:tcPr>
          <w:p w14:paraId="15B3F437" w14:textId="50EEBA10" w:rsidR="00535E6C" w:rsidRPr="009D1367" w:rsidRDefault="00535E6C" w:rsidP="00535E6C">
            <w:pPr>
              <w:ind w:left="0"/>
              <w:jc w:val="center"/>
              <w:rPr>
                <w:rFonts w:ascii="Bookman Old Style" w:hAnsi="Bookman Old Style" w:cs="Arial"/>
                <w:sz w:val="22"/>
                <w:szCs w:val="22"/>
                <w:lang w:eastAsia="ar-SA"/>
              </w:rPr>
            </w:pPr>
            <w:r w:rsidRPr="009D1367">
              <w:rPr>
                <w:rFonts w:ascii="Bookman Old Style" w:hAnsi="Bookman Old Style" w:cs="Arial"/>
                <w:sz w:val="22"/>
                <w:szCs w:val="22"/>
                <w:lang w:eastAsia="ar-SA"/>
              </w:rPr>
              <w:t>Abr-2024</w:t>
            </w:r>
          </w:p>
        </w:tc>
        <w:tc>
          <w:tcPr>
            <w:tcW w:w="1670" w:type="dxa"/>
            <w:vAlign w:val="center"/>
          </w:tcPr>
          <w:p w14:paraId="33AC9502" w14:textId="36A1D3E4" w:rsidR="00535E6C" w:rsidRPr="009D1367" w:rsidRDefault="00535E6C" w:rsidP="00DA7837">
            <w:pPr>
              <w:ind w:left="0"/>
              <w:jc w:val="center"/>
              <w:rPr>
                <w:rFonts w:ascii="Bookman Old Style" w:hAnsi="Bookman Old Style" w:cs="Arial"/>
                <w:sz w:val="22"/>
                <w:szCs w:val="22"/>
                <w:lang w:eastAsia="ar-SA"/>
              </w:rPr>
            </w:pPr>
            <w:r w:rsidRPr="009D1367">
              <w:rPr>
                <w:rFonts w:ascii="Bookman Old Style" w:hAnsi="Bookman Old Style" w:cs="Calibri"/>
                <w:sz w:val="22"/>
                <w:szCs w:val="22"/>
              </w:rPr>
              <w:t>6.704</w:t>
            </w:r>
          </w:p>
        </w:tc>
        <w:tc>
          <w:tcPr>
            <w:tcW w:w="2005" w:type="dxa"/>
          </w:tcPr>
          <w:p w14:paraId="661E0A0B" w14:textId="58C32972" w:rsidR="00535E6C" w:rsidRPr="009D1367" w:rsidRDefault="00535E6C" w:rsidP="00535E6C">
            <w:pPr>
              <w:jc w:val="center"/>
              <w:rPr>
                <w:rFonts w:ascii="Bookman Old Style" w:hAnsi="Bookman Old Style" w:cs="Calibri"/>
                <w:sz w:val="22"/>
                <w:szCs w:val="22"/>
              </w:rPr>
            </w:pPr>
            <w:r w:rsidRPr="009D1367">
              <w:rPr>
                <w:rFonts w:ascii="Bookman Old Style" w:hAnsi="Bookman Old Style" w:cs="Arial"/>
                <w:sz w:val="22"/>
                <w:szCs w:val="22"/>
                <w:lang w:eastAsia="ar-SA"/>
              </w:rPr>
              <w:t>Abr-2025</w:t>
            </w:r>
          </w:p>
        </w:tc>
        <w:tc>
          <w:tcPr>
            <w:tcW w:w="1570" w:type="dxa"/>
          </w:tcPr>
          <w:p w14:paraId="41C0C02B" w14:textId="09054AC8" w:rsidR="00535E6C" w:rsidRPr="009D1367" w:rsidRDefault="00DA7837" w:rsidP="00E67B1A">
            <w:pPr>
              <w:ind w:left="0"/>
              <w:jc w:val="center"/>
              <w:rPr>
                <w:rFonts w:ascii="Bookman Old Style" w:hAnsi="Bookman Old Style" w:cs="Calibri"/>
                <w:sz w:val="22"/>
                <w:szCs w:val="22"/>
              </w:rPr>
            </w:pPr>
            <w:r w:rsidRPr="009D1367">
              <w:rPr>
                <w:rFonts w:ascii="Bookman Old Style" w:hAnsi="Bookman Old Style" w:cs="Calibri"/>
                <w:sz w:val="22"/>
                <w:szCs w:val="22"/>
              </w:rPr>
              <w:t>6.885</w:t>
            </w:r>
          </w:p>
        </w:tc>
      </w:tr>
      <w:tr w:rsidR="00535E6C" w:rsidRPr="003C3499" w14:paraId="79BA39DF" w14:textId="1A990A1D" w:rsidTr="009B5364">
        <w:tc>
          <w:tcPr>
            <w:tcW w:w="1984" w:type="dxa"/>
          </w:tcPr>
          <w:p w14:paraId="0851CB66" w14:textId="172B49C2" w:rsidR="00535E6C" w:rsidRPr="009D1367" w:rsidRDefault="00535E6C" w:rsidP="00535E6C">
            <w:pPr>
              <w:ind w:left="0"/>
              <w:jc w:val="center"/>
              <w:rPr>
                <w:rFonts w:ascii="Bookman Old Style" w:hAnsi="Bookman Old Style" w:cs="Arial"/>
                <w:sz w:val="22"/>
                <w:szCs w:val="22"/>
                <w:lang w:eastAsia="ar-SA"/>
              </w:rPr>
            </w:pPr>
            <w:r w:rsidRPr="009D1367">
              <w:rPr>
                <w:rFonts w:ascii="Bookman Old Style" w:hAnsi="Bookman Old Style" w:cs="Arial"/>
                <w:sz w:val="22"/>
                <w:szCs w:val="22"/>
                <w:lang w:eastAsia="ar-SA"/>
              </w:rPr>
              <w:t>May-2024</w:t>
            </w:r>
          </w:p>
        </w:tc>
        <w:tc>
          <w:tcPr>
            <w:tcW w:w="1670" w:type="dxa"/>
            <w:vAlign w:val="center"/>
          </w:tcPr>
          <w:p w14:paraId="44F4ADBE" w14:textId="416C0800" w:rsidR="00535E6C" w:rsidRPr="009D1367" w:rsidRDefault="00535E6C" w:rsidP="00DA7837">
            <w:pPr>
              <w:ind w:left="0"/>
              <w:jc w:val="center"/>
              <w:rPr>
                <w:rFonts w:ascii="Bookman Old Style" w:hAnsi="Bookman Old Style" w:cs="Arial"/>
                <w:sz w:val="22"/>
                <w:szCs w:val="22"/>
                <w:lang w:eastAsia="ar-SA"/>
              </w:rPr>
            </w:pPr>
            <w:r w:rsidRPr="009D1367">
              <w:rPr>
                <w:rFonts w:ascii="Bookman Old Style" w:hAnsi="Bookman Old Style" w:cs="Calibri"/>
                <w:sz w:val="22"/>
                <w:szCs w:val="22"/>
              </w:rPr>
              <w:t>6.887</w:t>
            </w:r>
          </w:p>
        </w:tc>
        <w:tc>
          <w:tcPr>
            <w:tcW w:w="2005" w:type="dxa"/>
          </w:tcPr>
          <w:p w14:paraId="6CDA6002" w14:textId="46C4F2B2" w:rsidR="00535E6C" w:rsidRPr="009D1367" w:rsidRDefault="00535E6C" w:rsidP="00535E6C">
            <w:pPr>
              <w:jc w:val="center"/>
              <w:rPr>
                <w:rFonts w:ascii="Bookman Old Style" w:hAnsi="Bookman Old Style" w:cs="Calibri"/>
                <w:sz w:val="22"/>
                <w:szCs w:val="22"/>
              </w:rPr>
            </w:pPr>
            <w:r w:rsidRPr="009D1367">
              <w:rPr>
                <w:rFonts w:ascii="Bookman Old Style" w:hAnsi="Bookman Old Style" w:cs="Arial"/>
                <w:sz w:val="22"/>
                <w:szCs w:val="22"/>
                <w:lang w:eastAsia="ar-SA"/>
              </w:rPr>
              <w:t>May-2025</w:t>
            </w:r>
          </w:p>
        </w:tc>
        <w:tc>
          <w:tcPr>
            <w:tcW w:w="1570" w:type="dxa"/>
          </w:tcPr>
          <w:p w14:paraId="7C25C1DD" w14:textId="2B1726A6" w:rsidR="00535E6C" w:rsidRPr="009D1367" w:rsidRDefault="00DA7837" w:rsidP="00E67B1A">
            <w:pPr>
              <w:ind w:left="0"/>
              <w:jc w:val="center"/>
              <w:rPr>
                <w:rFonts w:ascii="Bookman Old Style" w:hAnsi="Bookman Old Style" w:cs="Calibri"/>
                <w:sz w:val="22"/>
                <w:szCs w:val="22"/>
              </w:rPr>
            </w:pPr>
            <w:r w:rsidRPr="009D1367">
              <w:rPr>
                <w:rFonts w:ascii="Bookman Old Style" w:hAnsi="Bookman Old Style" w:cs="Calibri"/>
                <w:sz w:val="22"/>
                <w:szCs w:val="22"/>
              </w:rPr>
              <w:t>7.142</w:t>
            </w:r>
          </w:p>
        </w:tc>
      </w:tr>
      <w:tr w:rsidR="00535E6C" w:rsidRPr="003C3499" w14:paraId="14FD34C8" w14:textId="4F8B387D" w:rsidTr="009B5364">
        <w:tc>
          <w:tcPr>
            <w:tcW w:w="1984" w:type="dxa"/>
          </w:tcPr>
          <w:p w14:paraId="784B16C5" w14:textId="175F7F2F" w:rsidR="00535E6C" w:rsidRPr="009D1367" w:rsidRDefault="00535E6C" w:rsidP="00535E6C">
            <w:pPr>
              <w:ind w:left="0"/>
              <w:jc w:val="center"/>
              <w:rPr>
                <w:rFonts w:ascii="Bookman Old Style" w:hAnsi="Bookman Old Style" w:cs="Arial"/>
                <w:sz w:val="22"/>
                <w:szCs w:val="22"/>
                <w:lang w:eastAsia="ar-SA"/>
              </w:rPr>
            </w:pPr>
            <w:r w:rsidRPr="009D1367">
              <w:rPr>
                <w:rFonts w:ascii="Bookman Old Style" w:hAnsi="Bookman Old Style" w:cs="Arial"/>
                <w:sz w:val="22"/>
                <w:szCs w:val="22"/>
                <w:lang w:eastAsia="ar-SA"/>
              </w:rPr>
              <w:t>Jun-2024</w:t>
            </w:r>
          </w:p>
        </w:tc>
        <w:tc>
          <w:tcPr>
            <w:tcW w:w="1670" w:type="dxa"/>
            <w:vAlign w:val="center"/>
          </w:tcPr>
          <w:p w14:paraId="73B58005" w14:textId="6CFC3B78" w:rsidR="00535E6C" w:rsidRPr="009D1367" w:rsidRDefault="00535E6C" w:rsidP="00DA7837">
            <w:pPr>
              <w:ind w:left="0"/>
              <w:jc w:val="center"/>
              <w:rPr>
                <w:rFonts w:ascii="Bookman Old Style" w:hAnsi="Bookman Old Style" w:cs="Arial"/>
                <w:sz w:val="22"/>
                <w:szCs w:val="22"/>
                <w:lang w:eastAsia="ar-SA"/>
              </w:rPr>
            </w:pPr>
            <w:r w:rsidRPr="009D1367">
              <w:rPr>
                <w:rFonts w:ascii="Bookman Old Style" w:hAnsi="Bookman Old Style" w:cs="Calibri"/>
                <w:sz w:val="22"/>
                <w:szCs w:val="22"/>
              </w:rPr>
              <w:t>6.694</w:t>
            </w:r>
          </w:p>
        </w:tc>
        <w:tc>
          <w:tcPr>
            <w:tcW w:w="2005" w:type="dxa"/>
          </w:tcPr>
          <w:p w14:paraId="35B719D5" w14:textId="5B331BF7" w:rsidR="00535E6C" w:rsidRPr="009D1367" w:rsidRDefault="00535E6C" w:rsidP="00535E6C">
            <w:pPr>
              <w:jc w:val="center"/>
              <w:rPr>
                <w:rFonts w:ascii="Bookman Old Style" w:hAnsi="Bookman Old Style" w:cs="Calibri"/>
                <w:sz w:val="22"/>
                <w:szCs w:val="22"/>
              </w:rPr>
            </w:pPr>
            <w:r w:rsidRPr="009D1367">
              <w:rPr>
                <w:rFonts w:ascii="Bookman Old Style" w:hAnsi="Bookman Old Style" w:cs="Arial"/>
                <w:sz w:val="22"/>
                <w:szCs w:val="22"/>
                <w:lang w:eastAsia="ar-SA"/>
              </w:rPr>
              <w:t>Jun-2025</w:t>
            </w:r>
          </w:p>
        </w:tc>
        <w:tc>
          <w:tcPr>
            <w:tcW w:w="1570" w:type="dxa"/>
          </w:tcPr>
          <w:p w14:paraId="2B030155" w14:textId="0DC87EF6" w:rsidR="00535E6C" w:rsidRPr="009D1367" w:rsidRDefault="00DA7837" w:rsidP="00E67B1A">
            <w:pPr>
              <w:ind w:left="0"/>
              <w:jc w:val="center"/>
              <w:rPr>
                <w:rFonts w:ascii="Bookman Old Style" w:hAnsi="Bookman Old Style" w:cs="Calibri"/>
                <w:sz w:val="22"/>
                <w:szCs w:val="22"/>
              </w:rPr>
            </w:pPr>
            <w:r w:rsidRPr="009D1367">
              <w:rPr>
                <w:rFonts w:ascii="Bookman Old Style" w:hAnsi="Bookman Old Style" w:cs="Calibri"/>
                <w:sz w:val="22"/>
                <w:szCs w:val="22"/>
              </w:rPr>
              <w:t>6.910</w:t>
            </w:r>
          </w:p>
        </w:tc>
      </w:tr>
      <w:tr w:rsidR="00535E6C" w:rsidRPr="003C3499" w14:paraId="18D1CF2D" w14:textId="2D56DF44" w:rsidTr="009B5364">
        <w:tc>
          <w:tcPr>
            <w:tcW w:w="1984" w:type="dxa"/>
          </w:tcPr>
          <w:p w14:paraId="50DEA4F6" w14:textId="642CF0C7" w:rsidR="00535E6C" w:rsidRPr="009D1367" w:rsidRDefault="00535E6C" w:rsidP="00535E6C">
            <w:pPr>
              <w:ind w:left="0"/>
              <w:jc w:val="center"/>
              <w:rPr>
                <w:rFonts w:ascii="Bookman Old Style" w:hAnsi="Bookman Old Style" w:cs="Arial"/>
                <w:sz w:val="22"/>
                <w:szCs w:val="22"/>
                <w:lang w:eastAsia="ar-SA"/>
              </w:rPr>
            </w:pPr>
            <w:r w:rsidRPr="009D1367">
              <w:rPr>
                <w:rFonts w:ascii="Bookman Old Style" w:hAnsi="Bookman Old Style" w:cs="Arial"/>
                <w:sz w:val="22"/>
                <w:szCs w:val="22"/>
                <w:lang w:eastAsia="ar-SA"/>
              </w:rPr>
              <w:t>Jul-2024</w:t>
            </w:r>
          </w:p>
        </w:tc>
        <w:tc>
          <w:tcPr>
            <w:tcW w:w="1670" w:type="dxa"/>
            <w:vAlign w:val="center"/>
          </w:tcPr>
          <w:p w14:paraId="086B5613" w14:textId="588ADC6E" w:rsidR="00535E6C" w:rsidRPr="009D1367" w:rsidRDefault="00535E6C" w:rsidP="00DA7837">
            <w:pPr>
              <w:ind w:left="0"/>
              <w:jc w:val="center"/>
              <w:rPr>
                <w:rFonts w:ascii="Bookman Old Style" w:hAnsi="Bookman Old Style" w:cs="Arial"/>
                <w:sz w:val="22"/>
                <w:szCs w:val="22"/>
                <w:lang w:eastAsia="ar-SA"/>
              </w:rPr>
            </w:pPr>
            <w:r w:rsidRPr="009D1367">
              <w:rPr>
                <w:rFonts w:ascii="Bookman Old Style" w:hAnsi="Bookman Old Style" w:cs="Calibri"/>
                <w:sz w:val="22"/>
                <w:szCs w:val="22"/>
              </w:rPr>
              <w:t>6.966</w:t>
            </w:r>
          </w:p>
        </w:tc>
        <w:tc>
          <w:tcPr>
            <w:tcW w:w="2005" w:type="dxa"/>
          </w:tcPr>
          <w:p w14:paraId="2161016C" w14:textId="60FD0D9A" w:rsidR="00535E6C" w:rsidRPr="009D1367" w:rsidRDefault="00535E6C" w:rsidP="00535E6C">
            <w:pPr>
              <w:jc w:val="center"/>
              <w:rPr>
                <w:rFonts w:ascii="Bookman Old Style" w:hAnsi="Bookman Old Style" w:cs="Calibri"/>
                <w:sz w:val="22"/>
                <w:szCs w:val="22"/>
              </w:rPr>
            </w:pPr>
            <w:r w:rsidRPr="009D1367">
              <w:rPr>
                <w:rFonts w:ascii="Bookman Old Style" w:hAnsi="Bookman Old Style" w:cs="Arial"/>
                <w:sz w:val="22"/>
                <w:szCs w:val="22"/>
                <w:lang w:eastAsia="ar-SA"/>
              </w:rPr>
              <w:t>Jul-2025</w:t>
            </w:r>
          </w:p>
        </w:tc>
        <w:tc>
          <w:tcPr>
            <w:tcW w:w="1570" w:type="dxa"/>
          </w:tcPr>
          <w:p w14:paraId="78BFEED2" w14:textId="0B454281" w:rsidR="00535E6C" w:rsidRPr="009D1367" w:rsidRDefault="00DA7837" w:rsidP="00E67B1A">
            <w:pPr>
              <w:ind w:left="0"/>
              <w:jc w:val="center"/>
              <w:rPr>
                <w:rFonts w:ascii="Bookman Old Style" w:hAnsi="Bookman Old Style" w:cs="Calibri"/>
                <w:sz w:val="22"/>
                <w:szCs w:val="22"/>
              </w:rPr>
            </w:pPr>
            <w:r w:rsidRPr="009D1367">
              <w:rPr>
                <w:rFonts w:ascii="Bookman Old Style" w:hAnsi="Bookman Old Style" w:cs="Calibri"/>
                <w:sz w:val="22"/>
                <w:szCs w:val="22"/>
              </w:rPr>
              <w:t>7.195</w:t>
            </w:r>
          </w:p>
        </w:tc>
      </w:tr>
      <w:tr w:rsidR="00535E6C" w:rsidRPr="003C3499" w14:paraId="65690478" w14:textId="7639D430" w:rsidTr="009B5364">
        <w:tc>
          <w:tcPr>
            <w:tcW w:w="1984" w:type="dxa"/>
          </w:tcPr>
          <w:p w14:paraId="4405B4A2" w14:textId="57C4BF1E" w:rsidR="00535E6C" w:rsidRPr="009D1367" w:rsidRDefault="00535E6C" w:rsidP="00535E6C">
            <w:pPr>
              <w:ind w:left="0"/>
              <w:jc w:val="center"/>
              <w:rPr>
                <w:rFonts w:ascii="Bookman Old Style" w:hAnsi="Bookman Old Style" w:cs="Arial"/>
                <w:sz w:val="22"/>
                <w:szCs w:val="22"/>
                <w:lang w:eastAsia="ar-SA"/>
              </w:rPr>
            </w:pPr>
            <w:r w:rsidRPr="009D1367">
              <w:rPr>
                <w:rFonts w:ascii="Bookman Old Style" w:hAnsi="Bookman Old Style" w:cs="Arial"/>
                <w:sz w:val="22"/>
                <w:szCs w:val="22"/>
                <w:lang w:eastAsia="ar-SA"/>
              </w:rPr>
              <w:t>Ago-2024</w:t>
            </w:r>
          </w:p>
        </w:tc>
        <w:tc>
          <w:tcPr>
            <w:tcW w:w="1670" w:type="dxa"/>
            <w:vAlign w:val="center"/>
          </w:tcPr>
          <w:p w14:paraId="29EF890A" w14:textId="7FC6E5E7" w:rsidR="00535E6C" w:rsidRPr="009D1367" w:rsidRDefault="00535E6C" w:rsidP="00DA7837">
            <w:pPr>
              <w:ind w:left="0"/>
              <w:jc w:val="center"/>
              <w:rPr>
                <w:rFonts w:ascii="Bookman Old Style" w:hAnsi="Bookman Old Style" w:cs="Arial"/>
                <w:sz w:val="22"/>
                <w:szCs w:val="22"/>
                <w:lang w:eastAsia="ar-SA"/>
              </w:rPr>
            </w:pPr>
            <w:r w:rsidRPr="009D1367">
              <w:rPr>
                <w:rFonts w:ascii="Bookman Old Style" w:hAnsi="Bookman Old Style" w:cs="Calibri"/>
                <w:sz w:val="22"/>
                <w:szCs w:val="22"/>
              </w:rPr>
              <w:t>7.028</w:t>
            </w:r>
          </w:p>
        </w:tc>
        <w:tc>
          <w:tcPr>
            <w:tcW w:w="2005" w:type="dxa"/>
          </w:tcPr>
          <w:p w14:paraId="53073909" w14:textId="7B7CDE5B" w:rsidR="00535E6C" w:rsidRPr="009D1367" w:rsidRDefault="00535E6C" w:rsidP="00535E6C">
            <w:pPr>
              <w:jc w:val="center"/>
              <w:rPr>
                <w:rFonts w:ascii="Bookman Old Style" w:hAnsi="Bookman Old Style" w:cs="Calibri"/>
                <w:sz w:val="22"/>
                <w:szCs w:val="22"/>
              </w:rPr>
            </w:pPr>
            <w:r w:rsidRPr="009D1367">
              <w:rPr>
                <w:rFonts w:ascii="Bookman Old Style" w:hAnsi="Bookman Old Style" w:cs="Arial"/>
                <w:sz w:val="22"/>
                <w:szCs w:val="22"/>
                <w:lang w:eastAsia="ar-SA"/>
              </w:rPr>
              <w:t>Ago-2025</w:t>
            </w:r>
          </w:p>
        </w:tc>
        <w:tc>
          <w:tcPr>
            <w:tcW w:w="1570" w:type="dxa"/>
          </w:tcPr>
          <w:p w14:paraId="238E36D7" w14:textId="47C1207B" w:rsidR="00535E6C" w:rsidRPr="009D1367" w:rsidRDefault="00DA7837" w:rsidP="00E67B1A">
            <w:pPr>
              <w:ind w:left="0"/>
              <w:jc w:val="center"/>
              <w:rPr>
                <w:rFonts w:ascii="Bookman Old Style" w:hAnsi="Bookman Old Style" w:cs="Calibri"/>
                <w:sz w:val="22"/>
                <w:szCs w:val="22"/>
              </w:rPr>
            </w:pPr>
            <w:r w:rsidRPr="009D1367">
              <w:rPr>
                <w:rFonts w:ascii="Bookman Old Style" w:hAnsi="Bookman Old Style" w:cs="Calibri"/>
                <w:sz w:val="22"/>
                <w:szCs w:val="22"/>
              </w:rPr>
              <w:t>7.203</w:t>
            </w:r>
          </w:p>
        </w:tc>
      </w:tr>
      <w:tr w:rsidR="00535E6C" w:rsidRPr="003C3499" w14:paraId="4253A59B" w14:textId="21DAA442" w:rsidTr="009B5364">
        <w:tc>
          <w:tcPr>
            <w:tcW w:w="1984" w:type="dxa"/>
          </w:tcPr>
          <w:p w14:paraId="08DD6682" w14:textId="54CC9062" w:rsidR="00535E6C" w:rsidRPr="009D1367" w:rsidRDefault="00535E6C" w:rsidP="00535E6C">
            <w:pPr>
              <w:ind w:left="0"/>
              <w:jc w:val="center"/>
              <w:rPr>
                <w:rFonts w:ascii="Bookman Old Style" w:hAnsi="Bookman Old Style" w:cs="Arial"/>
                <w:sz w:val="22"/>
                <w:szCs w:val="22"/>
                <w:lang w:eastAsia="ar-SA"/>
              </w:rPr>
            </w:pPr>
            <w:r w:rsidRPr="009D1367">
              <w:rPr>
                <w:rFonts w:ascii="Bookman Old Style" w:hAnsi="Bookman Old Style" w:cs="Arial"/>
                <w:sz w:val="22"/>
                <w:szCs w:val="22"/>
                <w:lang w:eastAsia="ar-SA"/>
              </w:rPr>
              <w:t>Sep-2024</w:t>
            </w:r>
          </w:p>
        </w:tc>
        <w:tc>
          <w:tcPr>
            <w:tcW w:w="1670" w:type="dxa"/>
            <w:vAlign w:val="center"/>
          </w:tcPr>
          <w:p w14:paraId="30B246D2" w14:textId="143D30DE" w:rsidR="00535E6C" w:rsidRPr="009D1367" w:rsidRDefault="00535E6C" w:rsidP="00DA7837">
            <w:pPr>
              <w:ind w:left="0"/>
              <w:jc w:val="center"/>
              <w:rPr>
                <w:rFonts w:ascii="Bookman Old Style" w:hAnsi="Bookman Old Style" w:cs="Arial"/>
                <w:sz w:val="22"/>
                <w:szCs w:val="22"/>
                <w:lang w:eastAsia="ar-SA"/>
              </w:rPr>
            </w:pPr>
            <w:r w:rsidRPr="009D1367">
              <w:rPr>
                <w:rFonts w:ascii="Bookman Old Style" w:hAnsi="Bookman Old Style" w:cs="Calibri"/>
                <w:sz w:val="22"/>
                <w:szCs w:val="22"/>
              </w:rPr>
              <w:t>6.868</w:t>
            </w:r>
          </w:p>
        </w:tc>
        <w:tc>
          <w:tcPr>
            <w:tcW w:w="2005" w:type="dxa"/>
          </w:tcPr>
          <w:p w14:paraId="17446F14" w14:textId="2FA9D84B" w:rsidR="00535E6C" w:rsidRPr="009D1367" w:rsidRDefault="00535E6C" w:rsidP="00535E6C">
            <w:pPr>
              <w:jc w:val="center"/>
              <w:rPr>
                <w:rFonts w:ascii="Bookman Old Style" w:hAnsi="Bookman Old Style" w:cs="Calibri"/>
                <w:sz w:val="22"/>
                <w:szCs w:val="22"/>
              </w:rPr>
            </w:pPr>
            <w:r w:rsidRPr="009D1367">
              <w:rPr>
                <w:rFonts w:ascii="Bookman Old Style" w:hAnsi="Bookman Old Style" w:cs="Arial"/>
                <w:sz w:val="22"/>
                <w:szCs w:val="22"/>
                <w:lang w:eastAsia="ar-SA"/>
              </w:rPr>
              <w:t>Sep-2025</w:t>
            </w:r>
          </w:p>
        </w:tc>
        <w:tc>
          <w:tcPr>
            <w:tcW w:w="1570" w:type="dxa"/>
          </w:tcPr>
          <w:p w14:paraId="5BDC3CC2" w14:textId="45FA43AE" w:rsidR="00535E6C" w:rsidRPr="009D1367" w:rsidRDefault="00DA7837" w:rsidP="00E67B1A">
            <w:pPr>
              <w:ind w:left="0"/>
              <w:jc w:val="center"/>
              <w:rPr>
                <w:rFonts w:ascii="Bookman Old Style" w:hAnsi="Bookman Old Style" w:cs="Calibri"/>
                <w:sz w:val="22"/>
                <w:szCs w:val="22"/>
              </w:rPr>
            </w:pPr>
            <w:r w:rsidRPr="009D1367">
              <w:rPr>
                <w:rFonts w:ascii="Bookman Old Style" w:hAnsi="Bookman Old Style" w:cs="Calibri"/>
                <w:sz w:val="22"/>
                <w:szCs w:val="22"/>
              </w:rPr>
              <w:t>7.099</w:t>
            </w:r>
          </w:p>
        </w:tc>
      </w:tr>
      <w:tr w:rsidR="00535E6C" w:rsidRPr="003C3499" w14:paraId="6795DC77" w14:textId="2B13D4F1" w:rsidTr="009B5364">
        <w:tc>
          <w:tcPr>
            <w:tcW w:w="1984" w:type="dxa"/>
          </w:tcPr>
          <w:p w14:paraId="1E04F172" w14:textId="400DCCA3" w:rsidR="00535E6C" w:rsidRPr="009D1367" w:rsidRDefault="00535E6C" w:rsidP="00535E6C">
            <w:pPr>
              <w:ind w:left="0"/>
              <w:jc w:val="center"/>
              <w:rPr>
                <w:rFonts w:ascii="Bookman Old Style" w:hAnsi="Bookman Old Style" w:cs="Arial"/>
                <w:sz w:val="22"/>
                <w:szCs w:val="22"/>
                <w:lang w:eastAsia="ar-SA"/>
              </w:rPr>
            </w:pPr>
            <w:r w:rsidRPr="009D1367">
              <w:rPr>
                <w:rFonts w:ascii="Bookman Old Style" w:hAnsi="Bookman Old Style" w:cs="Arial"/>
                <w:sz w:val="22"/>
                <w:szCs w:val="22"/>
                <w:lang w:eastAsia="ar-SA"/>
              </w:rPr>
              <w:t>Oct-2024</w:t>
            </w:r>
          </w:p>
        </w:tc>
        <w:tc>
          <w:tcPr>
            <w:tcW w:w="1670" w:type="dxa"/>
            <w:vAlign w:val="center"/>
          </w:tcPr>
          <w:p w14:paraId="3EAF567D" w14:textId="30626A87" w:rsidR="00535E6C" w:rsidRPr="009D1367" w:rsidRDefault="00535E6C" w:rsidP="00DA7837">
            <w:pPr>
              <w:ind w:left="0"/>
              <w:jc w:val="center"/>
              <w:rPr>
                <w:rFonts w:ascii="Bookman Old Style" w:hAnsi="Bookman Old Style" w:cs="Arial"/>
                <w:sz w:val="22"/>
                <w:szCs w:val="22"/>
                <w:lang w:eastAsia="ar-SA"/>
              </w:rPr>
            </w:pPr>
            <w:r w:rsidRPr="009D1367">
              <w:rPr>
                <w:rFonts w:ascii="Bookman Old Style" w:hAnsi="Bookman Old Style" w:cs="Calibri"/>
                <w:sz w:val="22"/>
                <w:szCs w:val="22"/>
              </w:rPr>
              <w:t>7.102</w:t>
            </w:r>
          </w:p>
        </w:tc>
        <w:tc>
          <w:tcPr>
            <w:tcW w:w="2005" w:type="dxa"/>
          </w:tcPr>
          <w:p w14:paraId="63D6CF13" w14:textId="7E46C516" w:rsidR="00535E6C" w:rsidRPr="009D1367" w:rsidRDefault="00535E6C" w:rsidP="00535E6C">
            <w:pPr>
              <w:jc w:val="center"/>
              <w:rPr>
                <w:rFonts w:ascii="Bookman Old Style" w:hAnsi="Bookman Old Style" w:cs="Calibri"/>
                <w:sz w:val="22"/>
                <w:szCs w:val="22"/>
              </w:rPr>
            </w:pPr>
            <w:r w:rsidRPr="009D1367">
              <w:rPr>
                <w:rFonts w:ascii="Bookman Old Style" w:hAnsi="Bookman Old Style" w:cs="Arial"/>
                <w:sz w:val="22"/>
                <w:szCs w:val="22"/>
                <w:lang w:eastAsia="ar-SA"/>
              </w:rPr>
              <w:t>Oct-2025</w:t>
            </w:r>
          </w:p>
        </w:tc>
        <w:tc>
          <w:tcPr>
            <w:tcW w:w="1570" w:type="dxa"/>
          </w:tcPr>
          <w:p w14:paraId="32DCDBB2" w14:textId="43E32214" w:rsidR="00535E6C" w:rsidRPr="009D1367" w:rsidRDefault="00DA7837" w:rsidP="00E67B1A">
            <w:pPr>
              <w:ind w:left="0"/>
              <w:jc w:val="center"/>
              <w:rPr>
                <w:rFonts w:ascii="Bookman Old Style" w:hAnsi="Bookman Old Style" w:cs="Calibri"/>
                <w:sz w:val="22"/>
                <w:szCs w:val="22"/>
              </w:rPr>
            </w:pPr>
            <w:r w:rsidRPr="009D1367">
              <w:rPr>
                <w:rFonts w:ascii="Bookman Old Style" w:hAnsi="Bookman Old Style" w:cs="Calibri"/>
                <w:sz w:val="22"/>
                <w:szCs w:val="22"/>
              </w:rPr>
              <w:t>7.317</w:t>
            </w:r>
          </w:p>
        </w:tc>
      </w:tr>
      <w:tr w:rsidR="00535E6C" w:rsidRPr="003C3499" w14:paraId="1C8EE4CB" w14:textId="5DE513B4" w:rsidTr="009B5364">
        <w:tc>
          <w:tcPr>
            <w:tcW w:w="1984" w:type="dxa"/>
          </w:tcPr>
          <w:p w14:paraId="7B37A003" w14:textId="2B85EE51" w:rsidR="00535E6C" w:rsidRPr="009D1367" w:rsidRDefault="00535E6C" w:rsidP="00535E6C">
            <w:pPr>
              <w:ind w:left="0"/>
              <w:jc w:val="center"/>
              <w:rPr>
                <w:rFonts w:ascii="Bookman Old Style" w:hAnsi="Bookman Old Style" w:cs="Arial"/>
                <w:sz w:val="22"/>
                <w:szCs w:val="22"/>
                <w:lang w:eastAsia="ar-SA"/>
              </w:rPr>
            </w:pPr>
            <w:r w:rsidRPr="009D1367">
              <w:rPr>
                <w:rFonts w:ascii="Bookman Old Style" w:hAnsi="Bookman Old Style" w:cs="Arial"/>
                <w:sz w:val="22"/>
                <w:szCs w:val="22"/>
                <w:lang w:eastAsia="ar-SA"/>
              </w:rPr>
              <w:t>Nov-2024</w:t>
            </w:r>
          </w:p>
        </w:tc>
        <w:tc>
          <w:tcPr>
            <w:tcW w:w="1670" w:type="dxa"/>
            <w:vAlign w:val="center"/>
          </w:tcPr>
          <w:p w14:paraId="20028AAD" w14:textId="19451E33" w:rsidR="00535E6C" w:rsidRPr="009D1367" w:rsidRDefault="00535E6C" w:rsidP="00DA7837">
            <w:pPr>
              <w:ind w:left="0"/>
              <w:jc w:val="center"/>
              <w:rPr>
                <w:rFonts w:ascii="Bookman Old Style" w:hAnsi="Bookman Old Style" w:cs="Arial"/>
                <w:sz w:val="22"/>
                <w:szCs w:val="22"/>
                <w:lang w:eastAsia="ar-SA"/>
              </w:rPr>
            </w:pPr>
            <w:r w:rsidRPr="009D1367">
              <w:rPr>
                <w:rFonts w:ascii="Bookman Old Style" w:hAnsi="Bookman Old Style" w:cs="Calibri"/>
                <w:sz w:val="22"/>
                <w:szCs w:val="22"/>
              </w:rPr>
              <w:t>6.951</w:t>
            </w:r>
          </w:p>
        </w:tc>
        <w:tc>
          <w:tcPr>
            <w:tcW w:w="2005" w:type="dxa"/>
          </w:tcPr>
          <w:p w14:paraId="3519DE44" w14:textId="3A09174B" w:rsidR="00535E6C" w:rsidRPr="009D1367" w:rsidRDefault="00535E6C" w:rsidP="00535E6C">
            <w:pPr>
              <w:jc w:val="center"/>
              <w:rPr>
                <w:rFonts w:ascii="Bookman Old Style" w:hAnsi="Bookman Old Style" w:cs="Calibri"/>
                <w:sz w:val="22"/>
                <w:szCs w:val="22"/>
              </w:rPr>
            </w:pPr>
            <w:r w:rsidRPr="009D1367">
              <w:rPr>
                <w:rFonts w:ascii="Bookman Old Style" w:hAnsi="Bookman Old Style" w:cs="Arial"/>
                <w:sz w:val="22"/>
                <w:szCs w:val="22"/>
                <w:lang w:eastAsia="ar-SA"/>
              </w:rPr>
              <w:t>Nov-2025</w:t>
            </w:r>
          </w:p>
        </w:tc>
        <w:tc>
          <w:tcPr>
            <w:tcW w:w="1570" w:type="dxa"/>
          </w:tcPr>
          <w:p w14:paraId="3831CAA4" w14:textId="6EC57E4C" w:rsidR="00535E6C" w:rsidRPr="009D1367" w:rsidRDefault="00DA7837" w:rsidP="00E67B1A">
            <w:pPr>
              <w:ind w:left="0"/>
              <w:jc w:val="center"/>
              <w:rPr>
                <w:rFonts w:ascii="Bookman Old Style" w:hAnsi="Bookman Old Style" w:cs="Calibri"/>
                <w:sz w:val="22"/>
                <w:szCs w:val="22"/>
              </w:rPr>
            </w:pPr>
            <w:r w:rsidRPr="009D1367">
              <w:rPr>
                <w:rFonts w:ascii="Bookman Old Style" w:hAnsi="Bookman Old Style" w:cs="Calibri"/>
                <w:sz w:val="22"/>
                <w:szCs w:val="22"/>
              </w:rPr>
              <w:t>7.137</w:t>
            </w:r>
          </w:p>
        </w:tc>
      </w:tr>
      <w:tr w:rsidR="00535E6C" w:rsidRPr="003C3499" w14:paraId="6850FC7E" w14:textId="6937BEC8" w:rsidTr="009B5364">
        <w:tc>
          <w:tcPr>
            <w:tcW w:w="1984" w:type="dxa"/>
          </w:tcPr>
          <w:p w14:paraId="30EC0056" w14:textId="77777777" w:rsidR="00535E6C" w:rsidRPr="009D1367" w:rsidRDefault="00535E6C" w:rsidP="00535E6C">
            <w:pPr>
              <w:jc w:val="center"/>
              <w:rPr>
                <w:rFonts w:ascii="Bookman Old Style" w:hAnsi="Bookman Old Style" w:cs="Arial"/>
                <w:sz w:val="22"/>
                <w:szCs w:val="22"/>
                <w:lang w:eastAsia="ar-SA"/>
              </w:rPr>
            </w:pPr>
            <w:r w:rsidRPr="009D1367">
              <w:rPr>
                <w:rFonts w:ascii="Bookman Old Style" w:hAnsi="Bookman Old Style" w:cs="Arial"/>
                <w:sz w:val="22"/>
                <w:szCs w:val="22"/>
                <w:lang w:eastAsia="ar-SA"/>
              </w:rPr>
              <w:t>Total</w:t>
            </w:r>
          </w:p>
        </w:tc>
        <w:tc>
          <w:tcPr>
            <w:tcW w:w="1670" w:type="dxa"/>
          </w:tcPr>
          <w:p w14:paraId="68D5ACBF" w14:textId="43027641" w:rsidR="00535E6C" w:rsidRPr="009D1367" w:rsidRDefault="00535E6C" w:rsidP="00DA7837">
            <w:pPr>
              <w:ind w:left="0"/>
              <w:jc w:val="center"/>
              <w:rPr>
                <w:rFonts w:ascii="Bookman Old Style" w:hAnsi="Bookman Old Style" w:cs="Arial"/>
                <w:sz w:val="22"/>
                <w:szCs w:val="22"/>
                <w:lang w:eastAsia="ar-SA"/>
              </w:rPr>
            </w:pPr>
            <w:r w:rsidRPr="009D1367">
              <w:rPr>
                <w:rFonts w:ascii="Bookman Old Style" w:hAnsi="Bookman Old Style" w:cs="Arial"/>
                <w:sz w:val="22"/>
                <w:szCs w:val="22"/>
                <w:lang w:eastAsia="ar-SA"/>
              </w:rPr>
              <w:t>82.177</w:t>
            </w:r>
          </w:p>
        </w:tc>
        <w:tc>
          <w:tcPr>
            <w:tcW w:w="2005" w:type="dxa"/>
          </w:tcPr>
          <w:p w14:paraId="49FAF8A0" w14:textId="7A85484A" w:rsidR="00535E6C" w:rsidRPr="009D1367" w:rsidRDefault="00535E6C" w:rsidP="00535E6C">
            <w:pPr>
              <w:jc w:val="center"/>
              <w:rPr>
                <w:rFonts w:ascii="Bookman Old Style" w:hAnsi="Bookman Old Style" w:cs="Arial"/>
                <w:sz w:val="22"/>
                <w:szCs w:val="22"/>
                <w:lang w:eastAsia="ar-SA"/>
              </w:rPr>
            </w:pPr>
            <w:r w:rsidRPr="009D1367">
              <w:rPr>
                <w:rFonts w:ascii="Bookman Old Style" w:hAnsi="Bookman Old Style" w:cs="Arial"/>
                <w:sz w:val="22"/>
                <w:szCs w:val="22"/>
                <w:lang w:eastAsia="ar-SA"/>
              </w:rPr>
              <w:t>Total</w:t>
            </w:r>
          </w:p>
        </w:tc>
        <w:tc>
          <w:tcPr>
            <w:tcW w:w="1570" w:type="dxa"/>
          </w:tcPr>
          <w:p w14:paraId="1A9EEA42" w14:textId="71C01692" w:rsidR="00535E6C" w:rsidRPr="009D1367" w:rsidRDefault="00DA7837" w:rsidP="00E67B1A">
            <w:pPr>
              <w:ind w:left="0"/>
              <w:jc w:val="center"/>
              <w:rPr>
                <w:rFonts w:ascii="Bookman Old Style" w:hAnsi="Bookman Old Style" w:cs="Arial"/>
                <w:sz w:val="22"/>
                <w:szCs w:val="22"/>
                <w:lang w:eastAsia="ar-SA"/>
              </w:rPr>
            </w:pPr>
            <w:r w:rsidRPr="009D1367">
              <w:rPr>
                <w:rFonts w:ascii="Bookman Old Style" w:hAnsi="Bookman Old Style" w:cs="Arial"/>
                <w:sz w:val="22"/>
                <w:szCs w:val="22"/>
                <w:lang w:eastAsia="ar-SA"/>
              </w:rPr>
              <w:t>84.791</w:t>
            </w:r>
          </w:p>
        </w:tc>
      </w:tr>
    </w:tbl>
    <w:p w14:paraId="05F35734" w14:textId="77777777" w:rsidR="00B70782" w:rsidRPr="003C3499" w:rsidRDefault="00B70782" w:rsidP="009D1367">
      <w:pPr>
        <w:spacing w:after="120"/>
        <w:jc w:val="both"/>
        <w:rPr>
          <w:rFonts w:ascii="Bookman Old Style" w:hAnsi="Bookman Old Style" w:cs="Arial"/>
          <w:lang w:eastAsia="ar-SA"/>
        </w:rPr>
      </w:pPr>
    </w:p>
    <w:p w14:paraId="636508CE" w14:textId="4FF11037" w:rsidR="00B70782" w:rsidRPr="00F2180C" w:rsidRDefault="00B70782" w:rsidP="000B4071">
      <w:pPr>
        <w:pStyle w:val="Ttulo1"/>
        <w:tabs>
          <w:tab w:val="left" w:pos="0"/>
        </w:tabs>
        <w:ind w:left="0"/>
        <w:jc w:val="both"/>
        <w:rPr>
          <w:rFonts w:ascii="Bookman Old Style" w:hAnsi="Bookman Old Style"/>
          <w:b w:val="0"/>
        </w:rPr>
      </w:pPr>
      <w:r w:rsidRPr="003C3499">
        <w:rPr>
          <w:rFonts w:ascii="Bookman Old Style" w:hAnsi="Bookman Old Style"/>
        </w:rPr>
        <w:t xml:space="preserve">Artículo </w:t>
      </w:r>
      <w:r w:rsidR="00CC09C8">
        <w:rPr>
          <w:rFonts w:ascii="Bookman Old Style" w:hAnsi="Bookman Old Style"/>
        </w:rPr>
        <w:t>5</w:t>
      </w:r>
      <w:r w:rsidRPr="003C3499">
        <w:rPr>
          <w:rFonts w:ascii="Bookman Old Style" w:hAnsi="Bookman Old Style"/>
        </w:rPr>
        <w:t xml:space="preserve">. Cronograma para la asignación de Obligaciones de Energía Firme. </w:t>
      </w:r>
      <w:r w:rsidRPr="00F2180C">
        <w:rPr>
          <w:rFonts w:ascii="Bookman Old Style" w:hAnsi="Bookman Old Style"/>
          <w:b w:val="0"/>
        </w:rPr>
        <w:t xml:space="preserve">La asignación de Obligaciones de Energía Firme a quienes representen plantas existentes </w:t>
      </w:r>
      <w:r w:rsidR="00EA0D4A">
        <w:rPr>
          <w:rFonts w:ascii="Bookman Old Style" w:hAnsi="Bookman Old Style"/>
          <w:b w:val="0"/>
        </w:rPr>
        <w:t xml:space="preserve">con ENFICC no comprometida </w:t>
      </w:r>
      <w:r w:rsidRPr="00F2180C">
        <w:rPr>
          <w:rFonts w:ascii="Bookman Old Style" w:hAnsi="Bookman Old Style"/>
          <w:b w:val="0"/>
        </w:rPr>
        <w:t xml:space="preserve">para la vigencia comprendida entre diciembre </w:t>
      </w:r>
      <w:r w:rsidR="007243D4">
        <w:rPr>
          <w:rFonts w:ascii="Bookman Old Style" w:hAnsi="Bookman Old Style"/>
          <w:b w:val="0"/>
        </w:rPr>
        <w:t xml:space="preserve">1 </w:t>
      </w:r>
      <w:r w:rsidRPr="00F2180C">
        <w:rPr>
          <w:rFonts w:ascii="Bookman Old Style" w:hAnsi="Bookman Old Style"/>
          <w:b w:val="0"/>
        </w:rPr>
        <w:t>de 20</w:t>
      </w:r>
      <w:r w:rsidR="00B766B9">
        <w:rPr>
          <w:rFonts w:ascii="Bookman Old Style" w:hAnsi="Bookman Old Style"/>
          <w:b w:val="0"/>
        </w:rPr>
        <w:t>23</w:t>
      </w:r>
      <w:r w:rsidRPr="00F2180C">
        <w:rPr>
          <w:rFonts w:ascii="Bookman Old Style" w:hAnsi="Bookman Old Style"/>
          <w:b w:val="0"/>
        </w:rPr>
        <w:t xml:space="preserve"> </w:t>
      </w:r>
      <w:r w:rsidR="007243D4">
        <w:rPr>
          <w:rFonts w:ascii="Bookman Old Style" w:hAnsi="Bookman Old Style"/>
          <w:b w:val="0"/>
        </w:rPr>
        <w:t xml:space="preserve">a </w:t>
      </w:r>
      <w:r w:rsidRPr="00F2180C">
        <w:rPr>
          <w:rFonts w:ascii="Bookman Old Style" w:hAnsi="Bookman Old Style"/>
          <w:b w:val="0"/>
        </w:rPr>
        <w:t xml:space="preserve">noviembre </w:t>
      </w:r>
      <w:r w:rsidR="007243D4">
        <w:rPr>
          <w:rFonts w:ascii="Bookman Old Style" w:hAnsi="Bookman Old Style"/>
          <w:b w:val="0"/>
        </w:rPr>
        <w:t xml:space="preserve">30 </w:t>
      </w:r>
      <w:r w:rsidRPr="00F2180C">
        <w:rPr>
          <w:rFonts w:ascii="Bookman Old Style" w:hAnsi="Bookman Old Style"/>
          <w:b w:val="0"/>
        </w:rPr>
        <w:t>de 20</w:t>
      </w:r>
      <w:r w:rsidR="00B766B9">
        <w:rPr>
          <w:rFonts w:ascii="Bookman Old Style" w:hAnsi="Bookman Old Style"/>
          <w:b w:val="0"/>
        </w:rPr>
        <w:t>24</w:t>
      </w:r>
      <w:r w:rsidR="00BC54CB">
        <w:rPr>
          <w:rFonts w:ascii="Bookman Old Style" w:hAnsi="Bookman Old Style"/>
          <w:b w:val="0"/>
        </w:rPr>
        <w:t>,</w:t>
      </w:r>
      <w:r w:rsidR="007243D4">
        <w:rPr>
          <w:rFonts w:ascii="Bookman Old Style" w:hAnsi="Bookman Old Style"/>
          <w:b w:val="0"/>
        </w:rPr>
        <w:t xml:space="preserve"> y </w:t>
      </w:r>
      <w:r w:rsidR="007243D4" w:rsidRPr="00F2180C">
        <w:rPr>
          <w:rFonts w:ascii="Bookman Old Style" w:hAnsi="Bookman Old Style"/>
          <w:b w:val="0"/>
        </w:rPr>
        <w:t xml:space="preserve">diciembre </w:t>
      </w:r>
      <w:r w:rsidR="007243D4">
        <w:rPr>
          <w:rFonts w:ascii="Bookman Old Style" w:hAnsi="Bookman Old Style"/>
          <w:b w:val="0"/>
        </w:rPr>
        <w:t xml:space="preserve">1 </w:t>
      </w:r>
      <w:r w:rsidR="007243D4" w:rsidRPr="00F2180C">
        <w:rPr>
          <w:rFonts w:ascii="Bookman Old Style" w:hAnsi="Bookman Old Style"/>
          <w:b w:val="0"/>
        </w:rPr>
        <w:t>de 20</w:t>
      </w:r>
      <w:r w:rsidR="007243D4">
        <w:rPr>
          <w:rFonts w:ascii="Bookman Old Style" w:hAnsi="Bookman Old Style"/>
          <w:b w:val="0"/>
        </w:rPr>
        <w:t>24</w:t>
      </w:r>
      <w:r w:rsidR="007243D4" w:rsidRPr="00F2180C">
        <w:rPr>
          <w:rFonts w:ascii="Bookman Old Style" w:hAnsi="Bookman Old Style"/>
          <w:b w:val="0"/>
        </w:rPr>
        <w:t xml:space="preserve"> </w:t>
      </w:r>
      <w:r w:rsidR="007243D4">
        <w:rPr>
          <w:rFonts w:ascii="Bookman Old Style" w:hAnsi="Bookman Old Style"/>
          <w:b w:val="0"/>
        </w:rPr>
        <w:t xml:space="preserve">a </w:t>
      </w:r>
      <w:r w:rsidR="007243D4" w:rsidRPr="00F2180C">
        <w:rPr>
          <w:rFonts w:ascii="Bookman Old Style" w:hAnsi="Bookman Old Style"/>
          <w:b w:val="0"/>
        </w:rPr>
        <w:t xml:space="preserve">noviembre </w:t>
      </w:r>
      <w:r w:rsidR="007243D4">
        <w:rPr>
          <w:rFonts w:ascii="Bookman Old Style" w:hAnsi="Bookman Old Style"/>
          <w:b w:val="0"/>
        </w:rPr>
        <w:t xml:space="preserve">30 </w:t>
      </w:r>
      <w:r w:rsidR="007243D4" w:rsidRPr="00F2180C">
        <w:rPr>
          <w:rFonts w:ascii="Bookman Old Style" w:hAnsi="Bookman Old Style"/>
          <w:b w:val="0"/>
        </w:rPr>
        <w:t>de 20</w:t>
      </w:r>
      <w:r w:rsidR="007243D4">
        <w:rPr>
          <w:rFonts w:ascii="Bookman Old Style" w:hAnsi="Bookman Old Style"/>
          <w:b w:val="0"/>
        </w:rPr>
        <w:t>25</w:t>
      </w:r>
      <w:r w:rsidRPr="00F2180C">
        <w:rPr>
          <w:rFonts w:ascii="Bookman Old Style" w:hAnsi="Bookman Old Style"/>
          <w:b w:val="0"/>
        </w:rPr>
        <w:t>, será de conformidad con el cronograma definido en el Anexo de esta Resolución.</w:t>
      </w:r>
    </w:p>
    <w:p w14:paraId="360FB967" w14:textId="77777777" w:rsidR="00B70782" w:rsidRPr="003C3499" w:rsidRDefault="00B70782" w:rsidP="000B4071">
      <w:pPr>
        <w:jc w:val="both"/>
        <w:rPr>
          <w:rFonts w:ascii="Bookman Old Style" w:hAnsi="Bookman Old Style" w:cs="Arial"/>
          <w:b/>
        </w:rPr>
      </w:pPr>
    </w:p>
    <w:p w14:paraId="4BDE17D9" w14:textId="77777777" w:rsidR="00962039" w:rsidRDefault="00962039" w:rsidP="000B4071">
      <w:pPr>
        <w:ind w:left="0"/>
        <w:jc w:val="both"/>
        <w:rPr>
          <w:rFonts w:ascii="Bookman Old Style" w:hAnsi="Bookman Old Style" w:cs="Arial"/>
          <w:b/>
          <w:bCs/>
        </w:rPr>
      </w:pPr>
    </w:p>
    <w:p w14:paraId="144873D8" w14:textId="1E194E50" w:rsidR="00B70782" w:rsidRDefault="00B70782" w:rsidP="000B4071">
      <w:pPr>
        <w:ind w:left="0"/>
        <w:jc w:val="both"/>
        <w:rPr>
          <w:rFonts w:ascii="Bookman Old Style" w:hAnsi="Bookman Old Style" w:cs="Arial"/>
          <w:lang w:eastAsia="ar-SA"/>
        </w:rPr>
      </w:pPr>
      <w:r w:rsidRPr="003C3499">
        <w:rPr>
          <w:rFonts w:ascii="Bookman Old Style" w:hAnsi="Bookman Old Style" w:cs="Arial"/>
          <w:b/>
          <w:bCs/>
        </w:rPr>
        <w:t xml:space="preserve">Parágrafo. </w:t>
      </w:r>
      <w:r w:rsidRPr="003C3499">
        <w:rPr>
          <w:rFonts w:ascii="Bookman Old Style" w:hAnsi="Bookman Old Style" w:cs="Arial"/>
          <w:lang w:eastAsia="ar-SA"/>
        </w:rPr>
        <w:t>Los plazos establecidos en el Anexo de la presente Resolución vencerán a las 17:00 horas del respectivo día, según la Hora Legal para Colombia. Los agentes que no cumplan los plazos establecidos en estos anexos no serán considerados en la asignación de Obligaciones de Energía Firme.</w:t>
      </w:r>
    </w:p>
    <w:p w14:paraId="118841AC" w14:textId="77777777" w:rsidR="00B70782" w:rsidRDefault="00B70782" w:rsidP="00B11EEE">
      <w:pPr>
        <w:ind w:left="0"/>
        <w:jc w:val="both"/>
        <w:rPr>
          <w:rFonts w:ascii="Bookman Old Style" w:hAnsi="Bookman Old Style"/>
          <w:b/>
        </w:rPr>
      </w:pPr>
    </w:p>
    <w:p w14:paraId="753E8BE3" w14:textId="3F556079" w:rsidR="005E0A23" w:rsidRDefault="00222FA7" w:rsidP="00B11EEE">
      <w:pPr>
        <w:ind w:left="0"/>
        <w:jc w:val="both"/>
        <w:rPr>
          <w:rFonts w:ascii="Bookman Old Style" w:hAnsi="Bookman Old Style"/>
        </w:rPr>
      </w:pPr>
      <w:r w:rsidRPr="002A782A">
        <w:rPr>
          <w:rFonts w:ascii="Bookman Old Style" w:hAnsi="Bookman Old Style"/>
          <w:b/>
        </w:rPr>
        <w:t xml:space="preserve">Artículo </w:t>
      </w:r>
      <w:r w:rsidR="00CC09C8">
        <w:rPr>
          <w:rFonts w:ascii="Bookman Old Style" w:hAnsi="Bookman Old Style"/>
          <w:b/>
        </w:rPr>
        <w:t>6</w:t>
      </w:r>
      <w:r w:rsidRPr="002A782A">
        <w:rPr>
          <w:rFonts w:ascii="Bookman Old Style" w:hAnsi="Bookman Old Style"/>
          <w:b/>
        </w:rPr>
        <w:t xml:space="preserve">. </w:t>
      </w:r>
      <w:r>
        <w:rPr>
          <w:rFonts w:ascii="Bookman Old Style" w:hAnsi="Bookman Old Style"/>
          <w:b/>
        </w:rPr>
        <w:t xml:space="preserve">Vigencia. </w:t>
      </w:r>
      <w:r>
        <w:rPr>
          <w:rFonts w:ascii="Bookman Old Style" w:hAnsi="Bookman Old Style"/>
        </w:rPr>
        <w:t xml:space="preserve">Esta resolución rige a partir de su publicación en el </w:t>
      </w:r>
      <w:r w:rsidRPr="00800C48">
        <w:rPr>
          <w:rFonts w:ascii="Bookman Old Style" w:hAnsi="Bookman Old Style"/>
          <w:i/>
        </w:rPr>
        <w:t>Diario Oficial</w:t>
      </w:r>
      <w:r w:rsidR="008D6D5A">
        <w:rPr>
          <w:rFonts w:ascii="Bookman Old Style" w:hAnsi="Bookman Old Style"/>
        </w:rPr>
        <w:t>.</w:t>
      </w:r>
      <w:r w:rsidR="00B11EEE" w:rsidRPr="00B11EEE">
        <w:rPr>
          <w:rFonts w:ascii="Bookman Old Style" w:hAnsi="Bookman Old Style"/>
        </w:rPr>
        <w:t xml:space="preserve"> </w:t>
      </w:r>
      <w:r w:rsidR="00B11EEE">
        <w:rPr>
          <w:rFonts w:ascii="Bookman Old Style" w:hAnsi="Bookman Old Style"/>
        </w:rPr>
        <w:t xml:space="preserve"> </w:t>
      </w:r>
    </w:p>
    <w:p w14:paraId="7C569D26" w14:textId="7B44DF2D" w:rsidR="00956C7A" w:rsidRDefault="00956C7A" w:rsidP="00D35A92">
      <w:pPr>
        <w:ind w:left="0"/>
        <w:rPr>
          <w:rFonts w:ascii="Bookman Old Style" w:hAnsi="Bookman Old Style"/>
        </w:rPr>
      </w:pPr>
    </w:p>
    <w:p w14:paraId="3996679A" w14:textId="77777777" w:rsidR="00D35A92" w:rsidRPr="00C435C3" w:rsidRDefault="00D35A92" w:rsidP="00D35A92">
      <w:pPr>
        <w:jc w:val="center"/>
        <w:rPr>
          <w:rFonts w:ascii="Bookman Old Style" w:hAnsi="Bookman Old Style"/>
          <w:b/>
        </w:rPr>
      </w:pPr>
      <w:r w:rsidRPr="00C435C3">
        <w:rPr>
          <w:rFonts w:ascii="Bookman Old Style" w:hAnsi="Bookman Old Style"/>
          <w:b/>
        </w:rPr>
        <w:t>PU</w:t>
      </w:r>
      <w:r>
        <w:rPr>
          <w:rFonts w:ascii="Bookman Old Style" w:hAnsi="Bookman Old Style"/>
          <w:b/>
        </w:rPr>
        <w:t>B</w:t>
      </w:r>
      <w:r w:rsidRPr="00C435C3">
        <w:rPr>
          <w:rFonts w:ascii="Bookman Old Style" w:hAnsi="Bookman Old Style"/>
          <w:b/>
        </w:rPr>
        <w:t>LÍQUESE Y CÚMPLASE</w:t>
      </w:r>
    </w:p>
    <w:p w14:paraId="700A4EE5" w14:textId="77777777" w:rsidR="00B142C5" w:rsidRDefault="00B142C5" w:rsidP="00D35A92">
      <w:pPr>
        <w:ind w:left="0"/>
        <w:rPr>
          <w:rFonts w:ascii="Bookman Old Style" w:hAnsi="Bookman Old Style"/>
        </w:rPr>
      </w:pPr>
    </w:p>
    <w:p w14:paraId="25A66939" w14:textId="2245AFEF" w:rsidR="008D4BA7" w:rsidRDefault="00642ECC" w:rsidP="00D35A92">
      <w:pPr>
        <w:ind w:left="0"/>
        <w:rPr>
          <w:rFonts w:ascii="Bookman Old Style" w:hAnsi="Bookman Old Style"/>
        </w:rPr>
      </w:pPr>
      <w:r>
        <w:rPr>
          <w:rFonts w:ascii="Bookman Old Style" w:hAnsi="Bookman Old Style"/>
        </w:rPr>
        <w:t>Firma del Proyecto</w:t>
      </w:r>
      <w:r w:rsidR="00962039">
        <w:rPr>
          <w:rFonts w:ascii="Bookman Old Style" w:hAnsi="Bookman Old Style"/>
        </w:rPr>
        <w:t>,</w:t>
      </w:r>
    </w:p>
    <w:p w14:paraId="276251A2" w14:textId="77777777" w:rsidR="00B83B7B" w:rsidRDefault="00B83B7B" w:rsidP="00D35A92">
      <w:pPr>
        <w:ind w:left="0"/>
        <w:rPr>
          <w:rFonts w:ascii="Bookman Old Style" w:hAnsi="Bookman Old Style"/>
        </w:rPr>
      </w:pPr>
    </w:p>
    <w:p w14:paraId="31215EE6" w14:textId="7242C71E" w:rsidR="00C62653" w:rsidRDefault="00C62653" w:rsidP="00D35A92">
      <w:pPr>
        <w:ind w:left="0"/>
        <w:rPr>
          <w:rFonts w:ascii="Bookman Old Style" w:hAnsi="Bookman Old Style"/>
        </w:rPr>
      </w:pPr>
    </w:p>
    <w:p w14:paraId="06DDB739" w14:textId="2CBAFA13" w:rsidR="00C62653" w:rsidRDefault="00C62653" w:rsidP="00D35A92">
      <w:pPr>
        <w:ind w:left="0"/>
        <w:rPr>
          <w:rFonts w:ascii="Bookman Old Style" w:hAnsi="Bookman Old Style"/>
        </w:rPr>
      </w:pPr>
    </w:p>
    <w:p w14:paraId="49D5D13D" w14:textId="77777777" w:rsidR="00C62653" w:rsidRDefault="00C62653" w:rsidP="00D35A92">
      <w:pPr>
        <w:ind w:left="0"/>
        <w:rPr>
          <w:rFonts w:ascii="Bookman Old Style" w:hAnsi="Bookman Old Style"/>
        </w:rPr>
      </w:pPr>
    </w:p>
    <w:p w14:paraId="0235D46A" w14:textId="762FE22D" w:rsidR="00D35A92" w:rsidRDefault="00D35A92" w:rsidP="00D35A92">
      <w:pPr>
        <w:ind w:left="0"/>
        <w:rPr>
          <w:rFonts w:ascii="Bookman Old Style" w:hAnsi="Bookman Old Style"/>
        </w:rPr>
      </w:pPr>
    </w:p>
    <w:tbl>
      <w:tblPr>
        <w:tblW w:w="9356" w:type="dxa"/>
        <w:tblCellSpacing w:w="0" w:type="dxa"/>
        <w:tblInd w:w="-142" w:type="dxa"/>
        <w:shd w:val="clear" w:color="auto" w:fill="FFFFFF"/>
        <w:tblCellMar>
          <w:left w:w="0" w:type="dxa"/>
          <w:right w:w="0" w:type="dxa"/>
        </w:tblCellMar>
        <w:tblLook w:val="04A0" w:firstRow="1" w:lastRow="0" w:firstColumn="1" w:lastColumn="0" w:noHBand="0" w:noVBand="1"/>
      </w:tblPr>
      <w:tblGrid>
        <w:gridCol w:w="4678"/>
        <w:gridCol w:w="4678"/>
      </w:tblGrid>
      <w:tr w:rsidR="00EC6015" w:rsidRPr="00B64D62" w14:paraId="1CBD52AF" w14:textId="77777777" w:rsidTr="002D64CE">
        <w:trPr>
          <w:tblCellSpacing w:w="0" w:type="dxa"/>
        </w:trPr>
        <w:tc>
          <w:tcPr>
            <w:tcW w:w="4678" w:type="dxa"/>
            <w:shd w:val="clear" w:color="auto" w:fill="FFFFFF" w:themeFill="background1"/>
            <w:hideMark/>
          </w:tcPr>
          <w:p w14:paraId="1A6CAAA1" w14:textId="4760EA39" w:rsidR="00641863" w:rsidRDefault="005F777E" w:rsidP="005D70B8">
            <w:pPr>
              <w:ind w:left="0"/>
              <w:jc w:val="center"/>
              <w:rPr>
                <w:rFonts w:ascii="Bookman Old Style" w:hAnsi="Bookman Old Style"/>
                <w:b/>
              </w:rPr>
            </w:pPr>
            <w:r>
              <w:rPr>
                <w:rFonts w:ascii="Bookman Old Style" w:hAnsi="Bookman Old Style"/>
                <w:b/>
              </w:rPr>
              <w:t>DIEGO MESA PUYO</w:t>
            </w:r>
          </w:p>
          <w:p w14:paraId="29678DA1" w14:textId="1134EEAE" w:rsidR="00EC6015" w:rsidRPr="009B72C4" w:rsidRDefault="00EC6015" w:rsidP="738E1D91">
            <w:pPr>
              <w:ind w:left="0"/>
              <w:jc w:val="center"/>
              <w:rPr>
                <w:rFonts w:ascii="Bookman Old Style" w:hAnsi="Bookman Old Style" w:cs="Arial"/>
                <w:sz w:val="23"/>
                <w:szCs w:val="23"/>
                <w:lang w:val="es-CO" w:eastAsia="es-CO"/>
              </w:rPr>
            </w:pPr>
          </w:p>
        </w:tc>
        <w:tc>
          <w:tcPr>
            <w:tcW w:w="4678" w:type="dxa"/>
            <w:shd w:val="clear" w:color="auto" w:fill="FFFFFF" w:themeFill="background1"/>
            <w:hideMark/>
          </w:tcPr>
          <w:p w14:paraId="04B1314F" w14:textId="57C39845" w:rsidR="00EC6015" w:rsidRPr="00B64D62" w:rsidRDefault="00641863" w:rsidP="005D70B8">
            <w:pPr>
              <w:ind w:left="142"/>
              <w:jc w:val="center"/>
              <w:rPr>
                <w:rFonts w:ascii="Bookman Old Style" w:hAnsi="Bookman Old Style" w:cs="Arial"/>
                <w:sz w:val="23"/>
                <w:szCs w:val="23"/>
                <w:lang w:val="es-CO" w:eastAsia="es-CO"/>
              </w:rPr>
            </w:pPr>
            <w:r>
              <w:rPr>
                <w:rFonts w:ascii="Bookman Old Style" w:hAnsi="Bookman Old Style" w:cs="Arial"/>
                <w:b/>
                <w:bCs/>
                <w:szCs w:val="23"/>
                <w:lang w:val="es-CO" w:eastAsia="es-CO"/>
              </w:rPr>
              <w:t>JORGE ALBERTO VALENCIA MARÍN</w:t>
            </w:r>
          </w:p>
        </w:tc>
      </w:tr>
      <w:tr w:rsidR="00EC6015" w:rsidRPr="00B64D62" w14:paraId="022F4B51" w14:textId="77777777" w:rsidTr="002D64CE">
        <w:trPr>
          <w:tblCellSpacing w:w="0" w:type="dxa"/>
        </w:trPr>
        <w:tc>
          <w:tcPr>
            <w:tcW w:w="4678" w:type="dxa"/>
            <w:shd w:val="clear" w:color="auto" w:fill="FFFFFF" w:themeFill="background1"/>
            <w:hideMark/>
          </w:tcPr>
          <w:p w14:paraId="2619B2C8" w14:textId="56CB67F3" w:rsidR="00EC6015" w:rsidRPr="00B64D62" w:rsidRDefault="00EC6015" w:rsidP="005D70B8">
            <w:pPr>
              <w:ind w:left="0"/>
              <w:jc w:val="center"/>
              <w:rPr>
                <w:rFonts w:ascii="Bookman Old Style" w:hAnsi="Bookman Old Style" w:cs="Arial"/>
                <w:lang w:val="es-CO" w:eastAsia="es-CO"/>
              </w:rPr>
            </w:pPr>
            <w:r w:rsidRPr="00B64D62">
              <w:rPr>
                <w:rFonts w:ascii="Bookman Old Style" w:hAnsi="Bookman Old Style"/>
              </w:rPr>
              <w:t>Ministr</w:t>
            </w:r>
            <w:r w:rsidR="00C84C34">
              <w:rPr>
                <w:rFonts w:ascii="Bookman Old Style" w:hAnsi="Bookman Old Style"/>
              </w:rPr>
              <w:t>o</w:t>
            </w:r>
            <w:r w:rsidRPr="00B64D62">
              <w:rPr>
                <w:rFonts w:ascii="Bookman Old Style" w:hAnsi="Bookman Old Style"/>
              </w:rPr>
              <w:t xml:space="preserve"> de Minas y Energía</w:t>
            </w:r>
          </w:p>
        </w:tc>
        <w:tc>
          <w:tcPr>
            <w:tcW w:w="4678" w:type="dxa"/>
            <w:shd w:val="clear" w:color="auto" w:fill="FFFFFF" w:themeFill="background1"/>
            <w:hideMark/>
          </w:tcPr>
          <w:p w14:paraId="42EC66C4" w14:textId="77777777" w:rsidR="00EC6015" w:rsidRPr="00B64D62" w:rsidRDefault="00EC6015" w:rsidP="005D70B8">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EC6015" w:rsidRPr="00B64D62" w14:paraId="1EA92974" w14:textId="77777777" w:rsidTr="002D64CE">
        <w:trPr>
          <w:tblCellSpacing w:w="0" w:type="dxa"/>
        </w:trPr>
        <w:tc>
          <w:tcPr>
            <w:tcW w:w="4678" w:type="dxa"/>
            <w:shd w:val="clear" w:color="auto" w:fill="FFFFFF" w:themeFill="background1"/>
            <w:hideMark/>
          </w:tcPr>
          <w:p w14:paraId="6B691B4B" w14:textId="77777777" w:rsidR="00EC6015" w:rsidRPr="00B64D62" w:rsidRDefault="00EC6015" w:rsidP="005D70B8">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678" w:type="dxa"/>
            <w:shd w:val="clear" w:color="auto" w:fill="FFFFFF" w:themeFill="background1"/>
            <w:hideMark/>
          </w:tcPr>
          <w:p w14:paraId="3A490748" w14:textId="77777777" w:rsidR="00EC6015" w:rsidRPr="00B64D62" w:rsidRDefault="00EC6015" w:rsidP="005D70B8">
            <w:pPr>
              <w:ind w:left="142"/>
              <w:rPr>
                <w:rFonts w:ascii="Bookman Old Style" w:hAnsi="Bookman Old Style" w:cs="Arial"/>
                <w:lang w:val="es-CO" w:eastAsia="es-CO"/>
              </w:rPr>
            </w:pPr>
            <w:r>
              <w:rPr>
                <w:noProof/>
              </w:rPr>
              <w:drawing>
                <wp:inline distT="0" distB="0" distL="0" distR="0" wp14:anchorId="5AA807E1" wp14:editId="1F81D2B7">
                  <wp:extent cx="9525" cy="9525"/>
                  <wp:effectExtent l="0" t="0" r="0" b="0"/>
                  <wp:docPr id="1461429505" name="Imagen 18"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pic:nvPicPr>
                        <pic:blipFill>
                          <a:blip r:embed="rId14">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tc>
      </w:tr>
    </w:tbl>
    <w:p w14:paraId="3431DB03" w14:textId="2AB37317" w:rsidR="00DC2D65" w:rsidRDefault="00DC2D65" w:rsidP="009868DB">
      <w:pPr>
        <w:ind w:left="0"/>
        <w:rPr>
          <w:rFonts w:ascii="Bookman Old Style" w:hAnsi="Bookman Old Style"/>
          <w:b/>
        </w:rPr>
      </w:pPr>
    </w:p>
    <w:p w14:paraId="41530735" w14:textId="1E4F8B23" w:rsidR="0072764D" w:rsidRDefault="0072764D" w:rsidP="009868DB">
      <w:pPr>
        <w:ind w:left="0"/>
        <w:rPr>
          <w:rFonts w:ascii="Bookman Old Style" w:hAnsi="Bookman Old Style"/>
          <w:b/>
        </w:rPr>
      </w:pPr>
    </w:p>
    <w:p w14:paraId="6C997D7A" w14:textId="2680B22B" w:rsidR="0072764D" w:rsidRDefault="0072764D" w:rsidP="009868DB">
      <w:pPr>
        <w:ind w:left="0"/>
        <w:rPr>
          <w:rFonts w:ascii="Bookman Old Style" w:hAnsi="Bookman Old Style"/>
          <w:b/>
        </w:rPr>
      </w:pPr>
    </w:p>
    <w:p w14:paraId="323FF10A" w14:textId="77777777" w:rsidR="00BC54CB" w:rsidRDefault="00BC54CB" w:rsidP="009868DB">
      <w:pPr>
        <w:ind w:left="0"/>
        <w:rPr>
          <w:rFonts w:ascii="Bookman Old Style" w:hAnsi="Bookman Old Style"/>
          <w:b/>
        </w:rPr>
      </w:pPr>
    </w:p>
    <w:p w14:paraId="37ADD8E2" w14:textId="2366277A" w:rsidR="007243D4" w:rsidRDefault="007243D4" w:rsidP="009868DB">
      <w:pPr>
        <w:ind w:left="0"/>
        <w:rPr>
          <w:rFonts w:ascii="Bookman Old Style" w:hAnsi="Bookman Old Style"/>
          <w:b/>
        </w:rPr>
      </w:pPr>
    </w:p>
    <w:p w14:paraId="210530D7" w14:textId="5F2F6073" w:rsidR="007243D4" w:rsidRDefault="007243D4" w:rsidP="009868DB">
      <w:pPr>
        <w:ind w:left="0"/>
        <w:rPr>
          <w:rFonts w:ascii="Bookman Old Style" w:hAnsi="Bookman Old Style"/>
          <w:b/>
        </w:rPr>
      </w:pPr>
    </w:p>
    <w:p w14:paraId="37940C65" w14:textId="45AC58C1" w:rsidR="007243D4" w:rsidRDefault="007243D4" w:rsidP="009868DB">
      <w:pPr>
        <w:ind w:left="0"/>
        <w:rPr>
          <w:rFonts w:ascii="Bookman Old Style" w:hAnsi="Bookman Old Style"/>
          <w:b/>
        </w:rPr>
      </w:pPr>
    </w:p>
    <w:p w14:paraId="7FD5CAB0" w14:textId="47CDB554" w:rsidR="007243D4" w:rsidRDefault="007243D4" w:rsidP="009868DB">
      <w:pPr>
        <w:ind w:left="0"/>
        <w:rPr>
          <w:rFonts w:ascii="Bookman Old Style" w:hAnsi="Bookman Old Style"/>
          <w:b/>
        </w:rPr>
      </w:pPr>
    </w:p>
    <w:p w14:paraId="39B226DE" w14:textId="0289D3D7" w:rsidR="007243D4" w:rsidRDefault="007243D4" w:rsidP="009868DB">
      <w:pPr>
        <w:ind w:left="0"/>
        <w:rPr>
          <w:rFonts w:ascii="Bookman Old Style" w:hAnsi="Bookman Old Style"/>
          <w:b/>
        </w:rPr>
      </w:pPr>
    </w:p>
    <w:p w14:paraId="7C9093A0" w14:textId="517C6DFE" w:rsidR="007243D4" w:rsidRDefault="007243D4" w:rsidP="009868DB">
      <w:pPr>
        <w:ind w:left="0"/>
        <w:rPr>
          <w:rFonts w:ascii="Bookman Old Style" w:hAnsi="Bookman Old Style"/>
          <w:b/>
        </w:rPr>
      </w:pPr>
    </w:p>
    <w:p w14:paraId="2D948669" w14:textId="35F53B85" w:rsidR="007243D4" w:rsidRDefault="007243D4" w:rsidP="009868DB">
      <w:pPr>
        <w:ind w:left="0"/>
        <w:rPr>
          <w:rFonts w:ascii="Bookman Old Style" w:hAnsi="Bookman Old Style"/>
          <w:b/>
        </w:rPr>
      </w:pPr>
    </w:p>
    <w:p w14:paraId="1BF91AD6" w14:textId="3E873C17" w:rsidR="007243D4" w:rsidRDefault="007243D4" w:rsidP="009868DB">
      <w:pPr>
        <w:ind w:left="0"/>
        <w:rPr>
          <w:rFonts w:ascii="Bookman Old Style" w:hAnsi="Bookman Old Style"/>
          <w:b/>
        </w:rPr>
      </w:pPr>
    </w:p>
    <w:p w14:paraId="6519089C" w14:textId="0C6C22BD" w:rsidR="007243D4" w:rsidRDefault="007243D4" w:rsidP="009868DB">
      <w:pPr>
        <w:ind w:left="0"/>
        <w:rPr>
          <w:rFonts w:ascii="Bookman Old Style" w:hAnsi="Bookman Old Style"/>
          <w:b/>
        </w:rPr>
      </w:pPr>
    </w:p>
    <w:p w14:paraId="2B7D6CE0" w14:textId="05C69A68" w:rsidR="007243D4" w:rsidRDefault="007243D4" w:rsidP="009868DB">
      <w:pPr>
        <w:ind w:left="0"/>
        <w:rPr>
          <w:rFonts w:ascii="Bookman Old Style" w:hAnsi="Bookman Old Style"/>
          <w:b/>
        </w:rPr>
      </w:pPr>
    </w:p>
    <w:p w14:paraId="2F1E30C5" w14:textId="3441B6C1" w:rsidR="007243D4" w:rsidRDefault="007243D4" w:rsidP="009868DB">
      <w:pPr>
        <w:ind w:left="0"/>
        <w:rPr>
          <w:rFonts w:ascii="Bookman Old Style" w:hAnsi="Bookman Old Style"/>
          <w:b/>
        </w:rPr>
      </w:pPr>
    </w:p>
    <w:p w14:paraId="580CE500" w14:textId="01BA1782" w:rsidR="007243D4" w:rsidRDefault="007243D4" w:rsidP="009868DB">
      <w:pPr>
        <w:ind w:left="0"/>
        <w:rPr>
          <w:rFonts w:ascii="Bookman Old Style" w:hAnsi="Bookman Old Style"/>
          <w:b/>
        </w:rPr>
      </w:pPr>
    </w:p>
    <w:p w14:paraId="5B2475EB" w14:textId="20CCB236" w:rsidR="007243D4" w:rsidRDefault="007243D4" w:rsidP="009868DB">
      <w:pPr>
        <w:ind w:left="0"/>
        <w:rPr>
          <w:rFonts w:ascii="Bookman Old Style" w:hAnsi="Bookman Old Style"/>
          <w:b/>
        </w:rPr>
      </w:pPr>
    </w:p>
    <w:p w14:paraId="67DD7311" w14:textId="35944EE2" w:rsidR="007243D4" w:rsidRDefault="007243D4" w:rsidP="009868DB">
      <w:pPr>
        <w:ind w:left="0"/>
        <w:rPr>
          <w:rFonts w:ascii="Bookman Old Style" w:hAnsi="Bookman Old Style"/>
          <w:b/>
        </w:rPr>
      </w:pPr>
    </w:p>
    <w:p w14:paraId="15A309AC" w14:textId="2AB6CF99" w:rsidR="007243D4" w:rsidRDefault="007243D4" w:rsidP="009868DB">
      <w:pPr>
        <w:ind w:left="0"/>
        <w:rPr>
          <w:rFonts w:ascii="Bookman Old Style" w:hAnsi="Bookman Old Style"/>
          <w:b/>
        </w:rPr>
      </w:pPr>
    </w:p>
    <w:p w14:paraId="4246D854" w14:textId="32E5EDC0" w:rsidR="007243D4" w:rsidRDefault="007243D4" w:rsidP="009868DB">
      <w:pPr>
        <w:ind w:left="0"/>
        <w:rPr>
          <w:rFonts w:ascii="Bookman Old Style" w:hAnsi="Bookman Old Style"/>
          <w:b/>
        </w:rPr>
      </w:pPr>
    </w:p>
    <w:p w14:paraId="39DEB36B" w14:textId="2F95F374" w:rsidR="007243D4" w:rsidRDefault="007243D4" w:rsidP="009868DB">
      <w:pPr>
        <w:ind w:left="0"/>
        <w:rPr>
          <w:rFonts w:ascii="Bookman Old Style" w:hAnsi="Bookman Old Style"/>
          <w:b/>
        </w:rPr>
      </w:pPr>
    </w:p>
    <w:p w14:paraId="26A96BFB" w14:textId="44208A38" w:rsidR="007243D4" w:rsidRDefault="007243D4" w:rsidP="009868DB">
      <w:pPr>
        <w:ind w:left="0"/>
        <w:rPr>
          <w:rFonts w:ascii="Bookman Old Style" w:hAnsi="Bookman Old Style"/>
          <w:b/>
        </w:rPr>
      </w:pPr>
    </w:p>
    <w:p w14:paraId="2F6368E0" w14:textId="13BB2DBF" w:rsidR="009D1367" w:rsidRDefault="009D1367" w:rsidP="009868DB">
      <w:pPr>
        <w:ind w:left="0"/>
        <w:rPr>
          <w:rFonts w:ascii="Bookman Old Style" w:hAnsi="Bookman Old Style"/>
          <w:b/>
        </w:rPr>
      </w:pPr>
    </w:p>
    <w:p w14:paraId="0ED6C019" w14:textId="5F942C0A" w:rsidR="009D1367" w:rsidRDefault="009D1367" w:rsidP="009868DB">
      <w:pPr>
        <w:ind w:left="0"/>
        <w:rPr>
          <w:rFonts w:ascii="Bookman Old Style" w:hAnsi="Bookman Old Style"/>
          <w:b/>
        </w:rPr>
      </w:pPr>
    </w:p>
    <w:p w14:paraId="526A54DF" w14:textId="5446D5AA" w:rsidR="009D1367" w:rsidRDefault="009D1367" w:rsidP="009868DB">
      <w:pPr>
        <w:ind w:left="0"/>
        <w:rPr>
          <w:rFonts w:ascii="Bookman Old Style" w:hAnsi="Bookman Old Style"/>
          <w:b/>
        </w:rPr>
      </w:pPr>
    </w:p>
    <w:p w14:paraId="3C7FAEC1" w14:textId="095FED58" w:rsidR="009D1367" w:rsidRDefault="009D1367" w:rsidP="009868DB">
      <w:pPr>
        <w:ind w:left="0"/>
        <w:rPr>
          <w:rFonts w:ascii="Bookman Old Style" w:hAnsi="Bookman Old Style"/>
          <w:b/>
        </w:rPr>
      </w:pPr>
    </w:p>
    <w:p w14:paraId="40210A88" w14:textId="4E9DDAC6" w:rsidR="009D1367" w:rsidRDefault="009D1367" w:rsidP="009868DB">
      <w:pPr>
        <w:ind w:left="0"/>
        <w:rPr>
          <w:rFonts w:ascii="Bookman Old Style" w:hAnsi="Bookman Old Style"/>
          <w:b/>
        </w:rPr>
      </w:pPr>
    </w:p>
    <w:p w14:paraId="18DEAFD4" w14:textId="320C1FF3" w:rsidR="009D1367" w:rsidRDefault="009D1367" w:rsidP="009868DB">
      <w:pPr>
        <w:ind w:left="0"/>
        <w:rPr>
          <w:rFonts w:ascii="Bookman Old Style" w:hAnsi="Bookman Old Style"/>
          <w:b/>
        </w:rPr>
      </w:pPr>
    </w:p>
    <w:p w14:paraId="16326F24" w14:textId="27DE84F5" w:rsidR="009D1367" w:rsidRDefault="009D1367" w:rsidP="009868DB">
      <w:pPr>
        <w:ind w:left="0"/>
        <w:rPr>
          <w:rFonts w:ascii="Bookman Old Style" w:hAnsi="Bookman Old Style"/>
          <w:b/>
        </w:rPr>
      </w:pPr>
    </w:p>
    <w:p w14:paraId="1E9F6C6B" w14:textId="77777777" w:rsidR="009D1367" w:rsidRDefault="009D1367" w:rsidP="009868DB">
      <w:pPr>
        <w:ind w:left="0"/>
        <w:rPr>
          <w:rFonts w:ascii="Bookman Old Style" w:hAnsi="Bookman Old Style"/>
          <w:b/>
        </w:rPr>
      </w:pPr>
    </w:p>
    <w:p w14:paraId="3873B684" w14:textId="4A2DB441" w:rsidR="007243D4" w:rsidRDefault="007243D4" w:rsidP="009868DB">
      <w:pPr>
        <w:ind w:left="0"/>
        <w:rPr>
          <w:rFonts w:ascii="Bookman Old Style" w:hAnsi="Bookman Old Style"/>
          <w:b/>
        </w:rPr>
      </w:pPr>
    </w:p>
    <w:p w14:paraId="708A6F90" w14:textId="09E6DA8E" w:rsidR="0072764D" w:rsidRDefault="0072764D" w:rsidP="009868DB">
      <w:pPr>
        <w:ind w:left="0"/>
        <w:rPr>
          <w:rFonts w:ascii="Bookman Old Style" w:hAnsi="Bookman Old Style"/>
          <w:b/>
        </w:rPr>
      </w:pPr>
    </w:p>
    <w:p w14:paraId="5FFC44C9" w14:textId="2A2E9DE3" w:rsidR="000B09E0" w:rsidRDefault="000B09E0" w:rsidP="000B09E0">
      <w:pPr>
        <w:ind w:left="0"/>
        <w:jc w:val="center"/>
        <w:rPr>
          <w:rFonts w:ascii="Bookman Old Style" w:hAnsi="Bookman Old Style"/>
          <w:b/>
        </w:rPr>
      </w:pPr>
      <w:r>
        <w:rPr>
          <w:rFonts w:ascii="Bookman Old Style" w:hAnsi="Bookman Old Style"/>
          <w:b/>
        </w:rPr>
        <w:t>ANEXO</w:t>
      </w:r>
    </w:p>
    <w:p w14:paraId="328DE5C2" w14:textId="77777777" w:rsidR="000B09E0" w:rsidRDefault="000B09E0" w:rsidP="000B09E0">
      <w:pPr>
        <w:ind w:left="0"/>
        <w:jc w:val="center"/>
        <w:rPr>
          <w:rFonts w:ascii="Bookman Old Style" w:hAnsi="Bookman Old Style"/>
          <w:b/>
        </w:rPr>
      </w:pPr>
    </w:p>
    <w:p w14:paraId="30F11CCB" w14:textId="4D75C105" w:rsidR="00474210" w:rsidRPr="00474210" w:rsidRDefault="00474210" w:rsidP="00474210">
      <w:pPr>
        <w:pStyle w:val="Ttulo1"/>
        <w:rPr>
          <w:rFonts w:ascii="Bookman Old Style" w:hAnsi="Bookman Old Style"/>
          <w:b w:val="0"/>
          <w:sz w:val="22"/>
        </w:rPr>
      </w:pPr>
      <w:r w:rsidRPr="00474210">
        <w:rPr>
          <w:rFonts w:ascii="Bookman Old Style" w:hAnsi="Bookman Old Style"/>
          <w:sz w:val="22"/>
        </w:rPr>
        <w:t xml:space="preserve">CRONOGRAMA PARA EL REPORTE DE INFORMACIÓN POR PARTE </w:t>
      </w:r>
      <w:r w:rsidR="00AF6BC0">
        <w:rPr>
          <w:rFonts w:ascii="Bookman Old Style" w:hAnsi="Bookman Old Style"/>
          <w:sz w:val="22"/>
        </w:rPr>
        <w:br/>
      </w:r>
      <w:r w:rsidRPr="00474210">
        <w:rPr>
          <w:rFonts w:ascii="Bookman Old Style" w:hAnsi="Bookman Old Style"/>
          <w:sz w:val="22"/>
        </w:rPr>
        <w:t xml:space="preserve">DE QUIENES DESEEN SER HABILITADOS PARA PARTICIPAR EN LA ASIGNACIÓN DE OBLIGACIONES DE ENERGÍA FIRME PARA </w:t>
      </w:r>
      <w:r w:rsidR="007243D4">
        <w:rPr>
          <w:rFonts w:ascii="Bookman Old Style" w:hAnsi="Bookman Old Style"/>
          <w:sz w:val="22"/>
        </w:rPr>
        <w:t xml:space="preserve">LOS </w:t>
      </w:r>
      <w:r w:rsidR="00AC38D1" w:rsidRPr="00474210">
        <w:rPr>
          <w:rFonts w:ascii="Bookman Old Style" w:hAnsi="Bookman Old Style"/>
          <w:sz w:val="22"/>
        </w:rPr>
        <w:t>PERÍODO</w:t>
      </w:r>
      <w:r w:rsidR="00AC38D1">
        <w:rPr>
          <w:rFonts w:ascii="Bookman Old Style" w:hAnsi="Bookman Old Style"/>
          <w:sz w:val="22"/>
        </w:rPr>
        <w:t xml:space="preserve">S </w:t>
      </w:r>
      <w:r w:rsidR="00AC38D1" w:rsidRPr="00474210">
        <w:rPr>
          <w:rFonts w:ascii="Bookman Old Style" w:hAnsi="Bookman Old Style"/>
          <w:sz w:val="22"/>
        </w:rPr>
        <w:t>DICIEMBRE</w:t>
      </w:r>
      <w:r w:rsidRPr="00474210">
        <w:rPr>
          <w:rFonts w:ascii="Bookman Old Style" w:hAnsi="Bookman Old Style"/>
          <w:sz w:val="22"/>
        </w:rPr>
        <w:t xml:space="preserve"> </w:t>
      </w:r>
      <w:r w:rsidR="007243D4">
        <w:rPr>
          <w:rFonts w:ascii="Bookman Old Style" w:hAnsi="Bookman Old Style"/>
          <w:sz w:val="22"/>
        </w:rPr>
        <w:t xml:space="preserve">1 </w:t>
      </w:r>
      <w:r w:rsidRPr="00474210">
        <w:rPr>
          <w:rFonts w:ascii="Bookman Old Style" w:hAnsi="Bookman Old Style"/>
          <w:sz w:val="22"/>
        </w:rPr>
        <w:t xml:space="preserve">DE 2023 A NOVIEMBRE </w:t>
      </w:r>
      <w:r w:rsidR="007243D4">
        <w:rPr>
          <w:rFonts w:ascii="Bookman Old Style" w:hAnsi="Bookman Old Style"/>
          <w:sz w:val="22"/>
        </w:rPr>
        <w:t xml:space="preserve">30 </w:t>
      </w:r>
      <w:r w:rsidRPr="00474210">
        <w:rPr>
          <w:rFonts w:ascii="Bookman Old Style" w:hAnsi="Bookman Old Style"/>
          <w:sz w:val="22"/>
        </w:rPr>
        <w:t>DE 2024</w:t>
      </w:r>
      <w:r w:rsidR="007243D4">
        <w:rPr>
          <w:rFonts w:ascii="Bookman Old Style" w:hAnsi="Bookman Old Style"/>
          <w:sz w:val="22"/>
        </w:rPr>
        <w:t xml:space="preserve"> Y </w:t>
      </w:r>
      <w:r w:rsidR="007243D4" w:rsidRPr="00474210">
        <w:rPr>
          <w:rFonts w:ascii="Bookman Old Style" w:hAnsi="Bookman Old Style"/>
          <w:sz w:val="22"/>
        </w:rPr>
        <w:t xml:space="preserve">DICIEMBRE </w:t>
      </w:r>
      <w:r w:rsidR="007243D4">
        <w:rPr>
          <w:rFonts w:ascii="Bookman Old Style" w:hAnsi="Bookman Old Style"/>
          <w:sz w:val="22"/>
        </w:rPr>
        <w:t xml:space="preserve">1 </w:t>
      </w:r>
      <w:r w:rsidR="007243D4" w:rsidRPr="00474210">
        <w:rPr>
          <w:rFonts w:ascii="Bookman Old Style" w:hAnsi="Bookman Old Style"/>
          <w:sz w:val="22"/>
        </w:rPr>
        <w:t>DE 202</w:t>
      </w:r>
      <w:r w:rsidR="007243D4">
        <w:rPr>
          <w:rFonts w:ascii="Bookman Old Style" w:hAnsi="Bookman Old Style"/>
          <w:sz w:val="22"/>
        </w:rPr>
        <w:t>4</w:t>
      </w:r>
      <w:r w:rsidR="007243D4" w:rsidRPr="00474210">
        <w:rPr>
          <w:rFonts w:ascii="Bookman Old Style" w:hAnsi="Bookman Old Style"/>
          <w:sz w:val="22"/>
        </w:rPr>
        <w:t xml:space="preserve"> A NOVIEMBRE </w:t>
      </w:r>
      <w:r w:rsidR="007243D4">
        <w:rPr>
          <w:rFonts w:ascii="Bookman Old Style" w:hAnsi="Bookman Old Style"/>
          <w:sz w:val="22"/>
        </w:rPr>
        <w:t xml:space="preserve">30 </w:t>
      </w:r>
      <w:r w:rsidR="007243D4" w:rsidRPr="00474210">
        <w:rPr>
          <w:rFonts w:ascii="Bookman Old Style" w:hAnsi="Bookman Old Style"/>
          <w:sz w:val="22"/>
        </w:rPr>
        <w:t>DE 202</w:t>
      </w:r>
      <w:r w:rsidR="007243D4">
        <w:rPr>
          <w:rFonts w:ascii="Bookman Old Style" w:hAnsi="Bookman Old Style"/>
          <w:sz w:val="22"/>
        </w:rPr>
        <w:t xml:space="preserve">5 </w:t>
      </w:r>
    </w:p>
    <w:p w14:paraId="7E011EAF" w14:textId="77777777" w:rsidR="000B09E0" w:rsidRDefault="000B09E0" w:rsidP="000B09E0">
      <w:pPr>
        <w:ind w:left="0"/>
        <w:jc w:val="center"/>
        <w:rPr>
          <w:rFonts w:ascii="Bookman Old Style" w:hAnsi="Bookman Old Style"/>
          <w:b/>
        </w:rPr>
      </w:pPr>
    </w:p>
    <w:tbl>
      <w:tblPr>
        <w:tblStyle w:val="Tablaconcuadrcula"/>
        <w:tblW w:w="9512" w:type="dxa"/>
        <w:tblLook w:val="04A0" w:firstRow="1" w:lastRow="0" w:firstColumn="1" w:lastColumn="0" w:noHBand="0" w:noVBand="1"/>
      </w:tblPr>
      <w:tblGrid>
        <w:gridCol w:w="704"/>
        <w:gridCol w:w="2111"/>
        <w:gridCol w:w="3843"/>
        <w:gridCol w:w="1505"/>
        <w:gridCol w:w="1349"/>
      </w:tblGrid>
      <w:tr w:rsidR="004600F7" w14:paraId="2D2A9A4C" w14:textId="77777777" w:rsidTr="00AE5EEC">
        <w:tc>
          <w:tcPr>
            <w:tcW w:w="704" w:type="dxa"/>
          </w:tcPr>
          <w:p w14:paraId="6F3D2328" w14:textId="77777777" w:rsidR="000B09E0" w:rsidRPr="00EA4964" w:rsidRDefault="000B09E0" w:rsidP="0022717B">
            <w:pPr>
              <w:ind w:left="0"/>
              <w:jc w:val="center"/>
              <w:rPr>
                <w:rFonts w:ascii="Bookman Old Style" w:hAnsi="Bookman Old Style"/>
                <w:b/>
                <w:sz w:val="20"/>
                <w:szCs w:val="20"/>
              </w:rPr>
            </w:pPr>
            <w:r>
              <w:rPr>
                <w:rFonts w:ascii="Bookman Old Style" w:hAnsi="Bookman Old Style"/>
                <w:b/>
                <w:sz w:val="20"/>
                <w:szCs w:val="20"/>
              </w:rPr>
              <w:t>Item</w:t>
            </w:r>
          </w:p>
        </w:tc>
        <w:tc>
          <w:tcPr>
            <w:tcW w:w="2111" w:type="dxa"/>
          </w:tcPr>
          <w:p w14:paraId="177AB3B7" w14:textId="77777777" w:rsidR="000B09E0" w:rsidRPr="00EA4964" w:rsidRDefault="000B09E0" w:rsidP="0022717B">
            <w:pPr>
              <w:ind w:left="0"/>
              <w:jc w:val="center"/>
              <w:rPr>
                <w:rFonts w:ascii="Bookman Old Style" w:hAnsi="Bookman Old Style"/>
                <w:b/>
                <w:sz w:val="20"/>
                <w:szCs w:val="20"/>
              </w:rPr>
            </w:pPr>
            <w:r>
              <w:rPr>
                <w:rFonts w:ascii="Bookman Old Style" w:hAnsi="Bookman Old Style"/>
                <w:b/>
                <w:sz w:val="20"/>
                <w:szCs w:val="20"/>
              </w:rPr>
              <w:t>Tipo</w:t>
            </w:r>
          </w:p>
        </w:tc>
        <w:tc>
          <w:tcPr>
            <w:tcW w:w="3843" w:type="dxa"/>
          </w:tcPr>
          <w:p w14:paraId="594D2276" w14:textId="77777777" w:rsidR="000B09E0" w:rsidRPr="00EA4964" w:rsidRDefault="000B09E0" w:rsidP="0022717B">
            <w:pPr>
              <w:ind w:left="0"/>
              <w:jc w:val="center"/>
              <w:rPr>
                <w:rFonts w:ascii="Bookman Old Style" w:hAnsi="Bookman Old Style"/>
                <w:b/>
                <w:sz w:val="20"/>
                <w:szCs w:val="20"/>
              </w:rPr>
            </w:pPr>
            <w:r>
              <w:rPr>
                <w:rFonts w:ascii="Bookman Old Style" w:hAnsi="Bookman Old Style"/>
                <w:b/>
                <w:sz w:val="20"/>
                <w:szCs w:val="20"/>
              </w:rPr>
              <w:t>Descripción</w:t>
            </w:r>
          </w:p>
        </w:tc>
        <w:tc>
          <w:tcPr>
            <w:tcW w:w="1505" w:type="dxa"/>
          </w:tcPr>
          <w:p w14:paraId="7F2FDE6F" w14:textId="77777777" w:rsidR="000B09E0" w:rsidRPr="00EA4964" w:rsidRDefault="000B09E0" w:rsidP="0022717B">
            <w:pPr>
              <w:ind w:left="0"/>
              <w:jc w:val="center"/>
              <w:rPr>
                <w:rFonts w:ascii="Bookman Old Style" w:hAnsi="Bookman Old Style"/>
                <w:b/>
                <w:sz w:val="20"/>
                <w:szCs w:val="20"/>
              </w:rPr>
            </w:pPr>
            <w:r>
              <w:rPr>
                <w:rFonts w:ascii="Bookman Old Style" w:hAnsi="Bookman Old Style"/>
                <w:b/>
                <w:sz w:val="20"/>
                <w:szCs w:val="20"/>
              </w:rPr>
              <w:t>Responsable</w:t>
            </w:r>
          </w:p>
        </w:tc>
        <w:tc>
          <w:tcPr>
            <w:tcW w:w="1349" w:type="dxa"/>
          </w:tcPr>
          <w:p w14:paraId="6A7532CC" w14:textId="77777777" w:rsidR="000B09E0" w:rsidRPr="00EA4964" w:rsidRDefault="000B09E0" w:rsidP="0022717B">
            <w:pPr>
              <w:ind w:left="0"/>
              <w:jc w:val="center"/>
              <w:rPr>
                <w:rFonts w:ascii="Bookman Old Style" w:hAnsi="Bookman Old Style"/>
                <w:b/>
                <w:sz w:val="20"/>
                <w:szCs w:val="20"/>
              </w:rPr>
            </w:pPr>
            <w:r>
              <w:rPr>
                <w:rFonts w:ascii="Bookman Old Style" w:hAnsi="Bookman Old Style"/>
                <w:b/>
                <w:sz w:val="20"/>
                <w:szCs w:val="20"/>
              </w:rPr>
              <w:t>Fecha</w:t>
            </w:r>
          </w:p>
        </w:tc>
      </w:tr>
      <w:tr w:rsidR="004600F7" w14:paraId="1CC3A5F0" w14:textId="77777777" w:rsidTr="00AE5EEC">
        <w:tc>
          <w:tcPr>
            <w:tcW w:w="704" w:type="dxa"/>
          </w:tcPr>
          <w:p w14:paraId="566E1572" w14:textId="77777777" w:rsidR="000B09E0" w:rsidRPr="0024545A" w:rsidRDefault="000B09E0" w:rsidP="0022717B">
            <w:pPr>
              <w:ind w:left="0"/>
              <w:jc w:val="center"/>
              <w:rPr>
                <w:rFonts w:ascii="Bookman Old Style" w:hAnsi="Bookman Old Style"/>
                <w:bCs/>
                <w:sz w:val="20"/>
                <w:szCs w:val="20"/>
              </w:rPr>
            </w:pPr>
            <w:r w:rsidRPr="0024545A">
              <w:rPr>
                <w:rFonts w:ascii="Bookman Old Style" w:hAnsi="Bookman Old Style"/>
                <w:bCs/>
                <w:sz w:val="20"/>
                <w:szCs w:val="20"/>
              </w:rPr>
              <w:t>1</w:t>
            </w:r>
          </w:p>
        </w:tc>
        <w:tc>
          <w:tcPr>
            <w:tcW w:w="2111" w:type="dxa"/>
          </w:tcPr>
          <w:p w14:paraId="5839AD53" w14:textId="74031967" w:rsidR="000B09E0" w:rsidRPr="0064537D" w:rsidRDefault="00D8177E" w:rsidP="0022717B">
            <w:pPr>
              <w:ind w:left="0"/>
              <w:rPr>
                <w:rFonts w:ascii="Bookman Old Style" w:hAnsi="Bookman Old Style"/>
                <w:bCs/>
                <w:sz w:val="20"/>
                <w:szCs w:val="20"/>
              </w:rPr>
            </w:pPr>
            <w:r>
              <w:rPr>
                <w:rFonts w:ascii="Bookman Old Style" w:hAnsi="Bookman Old Style"/>
                <w:bCs/>
                <w:sz w:val="20"/>
                <w:szCs w:val="20"/>
              </w:rPr>
              <w:t>Enficc verificada</w:t>
            </w:r>
          </w:p>
        </w:tc>
        <w:tc>
          <w:tcPr>
            <w:tcW w:w="3843" w:type="dxa"/>
          </w:tcPr>
          <w:p w14:paraId="11BABD85" w14:textId="77777777" w:rsidR="000B09E0" w:rsidRDefault="00D8177E" w:rsidP="0022717B">
            <w:pPr>
              <w:ind w:left="0"/>
              <w:rPr>
                <w:rFonts w:ascii="Bookman Old Style" w:hAnsi="Bookman Old Style"/>
                <w:bCs/>
                <w:sz w:val="20"/>
                <w:szCs w:val="20"/>
              </w:rPr>
            </w:pPr>
            <w:r>
              <w:rPr>
                <w:rFonts w:ascii="Bookman Old Style" w:hAnsi="Bookman Old Style"/>
                <w:bCs/>
                <w:sz w:val="20"/>
                <w:szCs w:val="20"/>
              </w:rPr>
              <w:t>Corresponde a la Enficc verificada por el CND en aplicación de la Resolución CREG 127 de 2020</w:t>
            </w:r>
            <w:r w:rsidR="00687FD2">
              <w:rPr>
                <w:rFonts w:ascii="Bookman Old Style" w:hAnsi="Bookman Old Style"/>
                <w:bCs/>
                <w:sz w:val="20"/>
                <w:szCs w:val="20"/>
              </w:rPr>
              <w:t>, y cuyos parámetros se declararon el diciembre 1 de 2021</w:t>
            </w:r>
          </w:p>
          <w:p w14:paraId="37BB2D1C" w14:textId="05A478CB" w:rsidR="00AF6BC0" w:rsidRPr="0066283E" w:rsidRDefault="00AF6BC0" w:rsidP="0022717B">
            <w:pPr>
              <w:ind w:left="0"/>
              <w:rPr>
                <w:rFonts w:ascii="Bookman Old Style" w:hAnsi="Bookman Old Style"/>
                <w:bCs/>
                <w:sz w:val="20"/>
                <w:szCs w:val="20"/>
              </w:rPr>
            </w:pPr>
          </w:p>
        </w:tc>
        <w:tc>
          <w:tcPr>
            <w:tcW w:w="1505" w:type="dxa"/>
          </w:tcPr>
          <w:p w14:paraId="22BE4A7D" w14:textId="1C3520A4" w:rsidR="000B09E0" w:rsidRPr="0085253E" w:rsidRDefault="00687FD2" w:rsidP="0022717B">
            <w:pPr>
              <w:ind w:left="0"/>
              <w:rPr>
                <w:rFonts w:ascii="Bookman Old Style" w:hAnsi="Bookman Old Style"/>
                <w:bCs/>
                <w:sz w:val="20"/>
                <w:szCs w:val="20"/>
              </w:rPr>
            </w:pPr>
            <w:r>
              <w:rPr>
                <w:rFonts w:ascii="Bookman Old Style" w:hAnsi="Bookman Old Style"/>
                <w:bCs/>
                <w:sz w:val="20"/>
                <w:szCs w:val="20"/>
              </w:rPr>
              <w:t>CND</w:t>
            </w:r>
          </w:p>
        </w:tc>
        <w:tc>
          <w:tcPr>
            <w:tcW w:w="1349" w:type="dxa"/>
          </w:tcPr>
          <w:p w14:paraId="793C638A" w14:textId="055FC3AD" w:rsidR="000B09E0" w:rsidRPr="00131E94" w:rsidRDefault="00687FD2" w:rsidP="0022717B">
            <w:pPr>
              <w:ind w:left="0"/>
              <w:rPr>
                <w:rFonts w:ascii="Bookman Old Style" w:hAnsi="Bookman Old Style"/>
                <w:bCs/>
                <w:sz w:val="20"/>
                <w:szCs w:val="20"/>
              </w:rPr>
            </w:pPr>
            <w:r>
              <w:rPr>
                <w:rFonts w:ascii="Bookman Old Style" w:hAnsi="Bookman Old Style"/>
                <w:bCs/>
                <w:sz w:val="20"/>
                <w:szCs w:val="20"/>
              </w:rPr>
              <w:t>Fecha p</w:t>
            </w:r>
            <w:r w:rsidR="000B09E0">
              <w:rPr>
                <w:rFonts w:ascii="Bookman Old Style" w:hAnsi="Bookman Old Style"/>
                <w:bCs/>
                <w:sz w:val="20"/>
                <w:szCs w:val="20"/>
              </w:rPr>
              <w:t xml:space="preserve">ublicación </w:t>
            </w:r>
            <w:r>
              <w:rPr>
                <w:rFonts w:ascii="Bookman Old Style" w:hAnsi="Bookman Old Style"/>
                <w:bCs/>
                <w:sz w:val="20"/>
                <w:szCs w:val="20"/>
              </w:rPr>
              <w:t>por CND de Enficc verificada</w:t>
            </w:r>
          </w:p>
        </w:tc>
      </w:tr>
      <w:tr w:rsidR="004600F7" w14:paraId="7FFE51DC" w14:textId="77777777" w:rsidTr="00AE5EEC">
        <w:tc>
          <w:tcPr>
            <w:tcW w:w="704" w:type="dxa"/>
          </w:tcPr>
          <w:p w14:paraId="18C1A4F5" w14:textId="77777777" w:rsidR="000B09E0" w:rsidRPr="0024545A" w:rsidRDefault="000B09E0" w:rsidP="0022717B">
            <w:pPr>
              <w:ind w:left="0"/>
              <w:jc w:val="center"/>
              <w:rPr>
                <w:rFonts w:ascii="Bookman Old Style" w:hAnsi="Bookman Old Style"/>
                <w:bCs/>
                <w:sz w:val="20"/>
                <w:szCs w:val="20"/>
              </w:rPr>
            </w:pPr>
            <w:r>
              <w:rPr>
                <w:rFonts w:ascii="Bookman Old Style" w:hAnsi="Bookman Old Style"/>
                <w:bCs/>
                <w:sz w:val="20"/>
                <w:szCs w:val="20"/>
              </w:rPr>
              <w:t>2</w:t>
            </w:r>
          </w:p>
        </w:tc>
        <w:tc>
          <w:tcPr>
            <w:tcW w:w="2111" w:type="dxa"/>
          </w:tcPr>
          <w:p w14:paraId="57E20A64" w14:textId="77777777" w:rsidR="000B09E0" w:rsidRDefault="000B09E0" w:rsidP="0022717B">
            <w:pPr>
              <w:ind w:left="0"/>
              <w:rPr>
                <w:rFonts w:ascii="Bookman Old Style" w:hAnsi="Bookman Old Style"/>
                <w:bCs/>
                <w:sz w:val="20"/>
                <w:szCs w:val="20"/>
              </w:rPr>
            </w:pPr>
            <w:r>
              <w:rPr>
                <w:rFonts w:ascii="Bookman Old Style" w:hAnsi="Bookman Old Style"/>
                <w:bCs/>
                <w:sz w:val="20"/>
                <w:szCs w:val="20"/>
              </w:rPr>
              <w:t>Declaración de no interés de participar en la asignación</w:t>
            </w:r>
          </w:p>
        </w:tc>
        <w:tc>
          <w:tcPr>
            <w:tcW w:w="3843" w:type="dxa"/>
          </w:tcPr>
          <w:p w14:paraId="22653AFA" w14:textId="77777777" w:rsidR="000B09E0" w:rsidRDefault="000B09E0" w:rsidP="0022717B">
            <w:pPr>
              <w:ind w:left="0"/>
              <w:rPr>
                <w:rFonts w:ascii="Bookman Old Style" w:hAnsi="Bookman Old Style"/>
                <w:bCs/>
                <w:sz w:val="20"/>
                <w:szCs w:val="20"/>
              </w:rPr>
            </w:pPr>
            <w:r>
              <w:rPr>
                <w:rFonts w:ascii="Bookman Old Style" w:hAnsi="Bookman Old Style"/>
                <w:bCs/>
                <w:sz w:val="20"/>
                <w:szCs w:val="20"/>
              </w:rPr>
              <w:t>El agente informará mediante comunicación escrita suscrita por el representante legal</w:t>
            </w:r>
            <w:r w:rsidR="00687FD2">
              <w:rPr>
                <w:rFonts w:ascii="Bookman Old Style" w:hAnsi="Bookman Old Style"/>
                <w:bCs/>
                <w:sz w:val="20"/>
                <w:szCs w:val="20"/>
              </w:rPr>
              <w:t xml:space="preserve"> al CND</w:t>
            </w:r>
            <w:r w:rsidR="003E41FA">
              <w:rPr>
                <w:rFonts w:ascii="Bookman Old Style" w:hAnsi="Bookman Old Style"/>
                <w:bCs/>
                <w:sz w:val="20"/>
                <w:szCs w:val="20"/>
              </w:rPr>
              <w:t>, en el medio y formatos que éste defina, informando</w:t>
            </w:r>
            <w:r>
              <w:rPr>
                <w:rFonts w:ascii="Bookman Old Style" w:hAnsi="Bookman Old Style"/>
                <w:bCs/>
                <w:sz w:val="20"/>
                <w:szCs w:val="20"/>
              </w:rPr>
              <w:t xml:space="preserve"> el nombre de la(s) planta(s) que no participaran en el mecanismo de asignación.</w:t>
            </w:r>
            <w:r w:rsidR="00625D0A">
              <w:rPr>
                <w:rFonts w:ascii="Bookman Old Style" w:hAnsi="Bookman Old Style"/>
                <w:bCs/>
                <w:sz w:val="20"/>
                <w:szCs w:val="20"/>
              </w:rPr>
              <w:t xml:space="preserve"> En caso de no hacer declaración se entiende que participa</w:t>
            </w:r>
            <w:r w:rsidR="004138E6">
              <w:rPr>
                <w:rFonts w:ascii="Bookman Old Style" w:hAnsi="Bookman Old Style"/>
                <w:bCs/>
                <w:sz w:val="20"/>
                <w:szCs w:val="20"/>
              </w:rPr>
              <w:t>.</w:t>
            </w:r>
          </w:p>
          <w:p w14:paraId="15B591CC" w14:textId="64E0E2AF" w:rsidR="00AF6BC0" w:rsidRPr="0066283E" w:rsidRDefault="00AF6BC0" w:rsidP="0022717B">
            <w:pPr>
              <w:ind w:left="0"/>
              <w:rPr>
                <w:rFonts w:ascii="Bookman Old Style" w:hAnsi="Bookman Old Style"/>
                <w:bCs/>
                <w:sz w:val="20"/>
                <w:szCs w:val="20"/>
              </w:rPr>
            </w:pPr>
          </w:p>
        </w:tc>
        <w:tc>
          <w:tcPr>
            <w:tcW w:w="1505" w:type="dxa"/>
          </w:tcPr>
          <w:p w14:paraId="71A6EF10" w14:textId="77777777" w:rsidR="000B09E0" w:rsidRPr="0085253E" w:rsidRDefault="000B09E0" w:rsidP="0022717B">
            <w:pPr>
              <w:ind w:left="0"/>
              <w:rPr>
                <w:rFonts w:ascii="Bookman Old Style" w:hAnsi="Bookman Old Style"/>
                <w:bCs/>
                <w:sz w:val="20"/>
                <w:szCs w:val="20"/>
              </w:rPr>
            </w:pPr>
            <w:r>
              <w:rPr>
                <w:rFonts w:ascii="Bookman Old Style" w:hAnsi="Bookman Old Style"/>
                <w:bCs/>
                <w:sz w:val="20"/>
                <w:szCs w:val="20"/>
              </w:rPr>
              <w:t>Agentes</w:t>
            </w:r>
          </w:p>
        </w:tc>
        <w:tc>
          <w:tcPr>
            <w:tcW w:w="1349" w:type="dxa"/>
          </w:tcPr>
          <w:p w14:paraId="2C2E1C3E" w14:textId="7472F16A" w:rsidR="000B09E0" w:rsidRDefault="000B09E0" w:rsidP="0022717B">
            <w:pPr>
              <w:ind w:left="0"/>
              <w:rPr>
                <w:rFonts w:ascii="Bookman Old Style" w:hAnsi="Bookman Old Style"/>
                <w:bCs/>
                <w:sz w:val="20"/>
                <w:szCs w:val="20"/>
              </w:rPr>
            </w:pPr>
            <w:r>
              <w:rPr>
                <w:rFonts w:ascii="Bookman Old Style" w:hAnsi="Bookman Old Style"/>
                <w:bCs/>
                <w:sz w:val="20"/>
                <w:szCs w:val="20"/>
              </w:rPr>
              <w:t xml:space="preserve">Dentro de </w:t>
            </w:r>
            <w:r w:rsidR="00AE5EEC">
              <w:rPr>
                <w:rFonts w:ascii="Bookman Old Style" w:hAnsi="Bookman Old Style"/>
                <w:bCs/>
                <w:sz w:val="20"/>
                <w:szCs w:val="20"/>
              </w:rPr>
              <w:t xml:space="preserve">los </w:t>
            </w:r>
            <w:r w:rsidR="00687FD2">
              <w:rPr>
                <w:rFonts w:ascii="Bookman Old Style" w:hAnsi="Bookman Old Style"/>
                <w:bCs/>
                <w:sz w:val="20"/>
                <w:szCs w:val="20"/>
              </w:rPr>
              <w:t>5</w:t>
            </w:r>
            <w:r>
              <w:rPr>
                <w:rFonts w:ascii="Bookman Old Style" w:hAnsi="Bookman Old Style"/>
                <w:bCs/>
                <w:sz w:val="20"/>
                <w:szCs w:val="20"/>
              </w:rPr>
              <w:t xml:space="preserve"> días hábiles </w:t>
            </w:r>
            <w:r w:rsidR="004600F7">
              <w:rPr>
                <w:rFonts w:ascii="Bookman Old Style" w:hAnsi="Bookman Old Style"/>
                <w:bCs/>
                <w:sz w:val="20"/>
                <w:szCs w:val="20"/>
              </w:rPr>
              <w:t xml:space="preserve">siguientes al </w:t>
            </w:r>
            <w:r>
              <w:rPr>
                <w:rFonts w:ascii="Bookman Old Style" w:hAnsi="Bookman Old Style"/>
                <w:bCs/>
                <w:sz w:val="20"/>
                <w:szCs w:val="20"/>
              </w:rPr>
              <w:t>item 1</w:t>
            </w:r>
          </w:p>
        </w:tc>
      </w:tr>
      <w:tr w:rsidR="004600F7" w14:paraId="1135526F" w14:textId="77777777" w:rsidTr="00AE5EEC">
        <w:tc>
          <w:tcPr>
            <w:tcW w:w="704" w:type="dxa"/>
          </w:tcPr>
          <w:p w14:paraId="0E2CF26E" w14:textId="59352B86" w:rsidR="000B09E0" w:rsidRDefault="00BC1342" w:rsidP="0022717B">
            <w:pPr>
              <w:ind w:left="0"/>
              <w:jc w:val="center"/>
              <w:rPr>
                <w:rFonts w:ascii="Bookman Old Style" w:hAnsi="Bookman Old Style"/>
                <w:bCs/>
                <w:sz w:val="20"/>
                <w:szCs w:val="20"/>
              </w:rPr>
            </w:pPr>
            <w:r>
              <w:rPr>
                <w:rFonts w:ascii="Bookman Old Style" w:hAnsi="Bookman Old Style"/>
                <w:bCs/>
                <w:sz w:val="20"/>
                <w:szCs w:val="20"/>
              </w:rPr>
              <w:t>3</w:t>
            </w:r>
          </w:p>
        </w:tc>
        <w:tc>
          <w:tcPr>
            <w:tcW w:w="2111" w:type="dxa"/>
          </w:tcPr>
          <w:p w14:paraId="6D5D2DAA" w14:textId="77777777" w:rsidR="000B09E0" w:rsidRDefault="000B09E0" w:rsidP="0022717B">
            <w:pPr>
              <w:ind w:left="0"/>
              <w:rPr>
                <w:rFonts w:ascii="Bookman Old Style" w:hAnsi="Bookman Old Style"/>
                <w:bCs/>
                <w:sz w:val="20"/>
                <w:szCs w:val="20"/>
              </w:rPr>
            </w:pPr>
            <w:r>
              <w:rPr>
                <w:rFonts w:ascii="Bookman Old Style" w:hAnsi="Bookman Old Style"/>
                <w:bCs/>
                <w:sz w:val="20"/>
                <w:szCs w:val="20"/>
              </w:rPr>
              <w:t>Declaración de contratos de plantas no despachadas centralmente</w:t>
            </w:r>
          </w:p>
        </w:tc>
        <w:tc>
          <w:tcPr>
            <w:tcW w:w="3843" w:type="dxa"/>
          </w:tcPr>
          <w:p w14:paraId="7A618DE4" w14:textId="77777777" w:rsidR="000B09E0" w:rsidRDefault="000B09E0" w:rsidP="0022717B">
            <w:pPr>
              <w:ind w:left="0"/>
              <w:rPr>
                <w:rFonts w:ascii="Bookman Old Style" w:hAnsi="Bookman Old Style"/>
                <w:bCs/>
                <w:sz w:val="20"/>
                <w:szCs w:val="20"/>
              </w:rPr>
            </w:pPr>
            <w:r w:rsidRPr="00C46D18">
              <w:rPr>
                <w:rFonts w:ascii="Bookman Old Style" w:hAnsi="Bookman Old Style"/>
                <w:bCs/>
                <w:sz w:val="20"/>
                <w:szCs w:val="20"/>
              </w:rPr>
              <w:t xml:space="preserve">Declaración </w:t>
            </w:r>
            <w:r w:rsidR="00BC1342">
              <w:rPr>
                <w:rFonts w:ascii="Bookman Old Style" w:hAnsi="Bookman Old Style"/>
                <w:bCs/>
                <w:sz w:val="20"/>
                <w:szCs w:val="20"/>
              </w:rPr>
              <w:t>al CND</w:t>
            </w:r>
            <w:r w:rsidR="0048542A">
              <w:rPr>
                <w:rFonts w:ascii="Bookman Old Style" w:hAnsi="Bookman Old Style"/>
                <w:bCs/>
                <w:sz w:val="20"/>
                <w:szCs w:val="20"/>
              </w:rPr>
              <w:t xml:space="preserve">, en el medio y formatos que éste defina, </w:t>
            </w:r>
            <w:r w:rsidRPr="00C46D18">
              <w:rPr>
                <w:rFonts w:ascii="Bookman Old Style" w:hAnsi="Bookman Old Style"/>
                <w:bCs/>
                <w:sz w:val="20"/>
                <w:szCs w:val="20"/>
              </w:rPr>
              <w:t xml:space="preserve">en la que los agentes generadores que representan Plantas No Despachadas Centralmente informan si tienen contratos en los que suministren energía para cubrir demanda del período de vigencia a </w:t>
            </w:r>
            <w:r w:rsidR="0014398D">
              <w:rPr>
                <w:rFonts w:ascii="Bookman Old Style" w:hAnsi="Bookman Old Style"/>
                <w:bCs/>
                <w:sz w:val="20"/>
                <w:szCs w:val="20"/>
              </w:rPr>
              <w:t>asignar</w:t>
            </w:r>
            <w:r w:rsidR="003E41FA">
              <w:rPr>
                <w:rFonts w:ascii="Bookman Old Style" w:hAnsi="Bookman Old Style"/>
                <w:bCs/>
                <w:sz w:val="20"/>
                <w:szCs w:val="20"/>
              </w:rPr>
              <w:t>.</w:t>
            </w:r>
          </w:p>
          <w:p w14:paraId="2AADCC71" w14:textId="325ED015" w:rsidR="00AF6BC0" w:rsidRDefault="00AF6BC0" w:rsidP="0022717B">
            <w:pPr>
              <w:ind w:left="0"/>
              <w:rPr>
                <w:rFonts w:ascii="Bookman Old Style" w:hAnsi="Bookman Old Style"/>
                <w:bCs/>
                <w:sz w:val="20"/>
                <w:szCs w:val="20"/>
              </w:rPr>
            </w:pPr>
          </w:p>
        </w:tc>
        <w:tc>
          <w:tcPr>
            <w:tcW w:w="1505" w:type="dxa"/>
          </w:tcPr>
          <w:p w14:paraId="6888E44A" w14:textId="77777777" w:rsidR="000B09E0" w:rsidRDefault="000B09E0" w:rsidP="0022717B">
            <w:pPr>
              <w:ind w:left="0"/>
              <w:rPr>
                <w:rFonts w:ascii="Bookman Old Style" w:hAnsi="Bookman Old Style"/>
                <w:bCs/>
                <w:sz w:val="20"/>
                <w:szCs w:val="20"/>
              </w:rPr>
            </w:pPr>
            <w:r>
              <w:rPr>
                <w:rFonts w:ascii="Bookman Old Style" w:hAnsi="Bookman Old Style"/>
                <w:bCs/>
                <w:sz w:val="20"/>
                <w:szCs w:val="20"/>
              </w:rPr>
              <w:t>Agentes</w:t>
            </w:r>
          </w:p>
          <w:p w14:paraId="66AAD188" w14:textId="77777777" w:rsidR="000B09E0" w:rsidRDefault="000B09E0" w:rsidP="0022717B">
            <w:pPr>
              <w:ind w:left="0"/>
              <w:rPr>
                <w:rFonts w:ascii="Bookman Old Style" w:hAnsi="Bookman Old Style"/>
                <w:bCs/>
                <w:sz w:val="20"/>
                <w:szCs w:val="20"/>
              </w:rPr>
            </w:pPr>
          </w:p>
        </w:tc>
        <w:tc>
          <w:tcPr>
            <w:tcW w:w="1349" w:type="dxa"/>
          </w:tcPr>
          <w:p w14:paraId="423548C4" w14:textId="06063CD7" w:rsidR="000B09E0" w:rsidRDefault="00BC1342" w:rsidP="0022717B">
            <w:pPr>
              <w:ind w:left="0"/>
              <w:rPr>
                <w:rFonts w:ascii="Bookman Old Style" w:hAnsi="Bookman Old Style"/>
                <w:bCs/>
                <w:sz w:val="20"/>
                <w:szCs w:val="20"/>
              </w:rPr>
            </w:pPr>
            <w:r>
              <w:rPr>
                <w:rFonts w:ascii="Bookman Old Style" w:hAnsi="Bookman Old Style"/>
                <w:bCs/>
                <w:sz w:val="20"/>
                <w:szCs w:val="20"/>
              </w:rPr>
              <w:t xml:space="preserve">Dentro de </w:t>
            </w:r>
            <w:r w:rsidR="00AE5EEC">
              <w:rPr>
                <w:rFonts w:ascii="Bookman Old Style" w:hAnsi="Bookman Old Style"/>
                <w:bCs/>
                <w:sz w:val="20"/>
                <w:szCs w:val="20"/>
              </w:rPr>
              <w:t xml:space="preserve">los </w:t>
            </w:r>
            <w:r>
              <w:rPr>
                <w:rFonts w:ascii="Bookman Old Style" w:hAnsi="Bookman Old Style"/>
                <w:bCs/>
                <w:sz w:val="20"/>
                <w:szCs w:val="20"/>
              </w:rPr>
              <w:t xml:space="preserve">5 días hábiles </w:t>
            </w:r>
            <w:r w:rsidR="004600F7">
              <w:rPr>
                <w:rFonts w:ascii="Bookman Old Style" w:hAnsi="Bookman Old Style"/>
                <w:bCs/>
                <w:sz w:val="20"/>
                <w:szCs w:val="20"/>
              </w:rPr>
              <w:t xml:space="preserve">siguientes al </w:t>
            </w:r>
            <w:r>
              <w:rPr>
                <w:rFonts w:ascii="Bookman Old Style" w:hAnsi="Bookman Old Style"/>
                <w:bCs/>
                <w:sz w:val="20"/>
                <w:szCs w:val="20"/>
              </w:rPr>
              <w:t>item 1</w:t>
            </w:r>
          </w:p>
        </w:tc>
      </w:tr>
      <w:tr w:rsidR="004600F7" w14:paraId="1B6DCE4E" w14:textId="77777777" w:rsidTr="00AE5EEC">
        <w:tc>
          <w:tcPr>
            <w:tcW w:w="704" w:type="dxa"/>
          </w:tcPr>
          <w:p w14:paraId="19A1D0A9" w14:textId="5E904845" w:rsidR="00BC1342" w:rsidRDefault="00BC1342" w:rsidP="0022717B">
            <w:pPr>
              <w:ind w:left="0"/>
              <w:jc w:val="center"/>
              <w:rPr>
                <w:rFonts w:ascii="Bookman Old Style" w:hAnsi="Bookman Old Style"/>
                <w:bCs/>
                <w:sz w:val="20"/>
                <w:szCs w:val="20"/>
              </w:rPr>
            </w:pPr>
            <w:r>
              <w:rPr>
                <w:rFonts w:ascii="Bookman Old Style" w:hAnsi="Bookman Old Style"/>
                <w:bCs/>
                <w:sz w:val="20"/>
                <w:szCs w:val="20"/>
              </w:rPr>
              <w:t>4</w:t>
            </w:r>
          </w:p>
        </w:tc>
        <w:tc>
          <w:tcPr>
            <w:tcW w:w="2111" w:type="dxa"/>
          </w:tcPr>
          <w:p w14:paraId="6FCE996A" w14:textId="46DCA9E4" w:rsidR="00BC1342" w:rsidRDefault="00BC1342" w:rsidP="0022717B">
            <w:pPr>
              <w:ind w:left="0"/>
              <w:rPr>
                <w:rFonts w:ascii="Bookman Old Style" w:hAnsi="Bookman Old Style"/>
                <w:bCs/>
                <w:sz w:val="20"/>
                <w:szCs w:val="20"/>
              </w:rPr>
            </w:pPr>
            <w:r>
              <w:rPr>
                <w:rFonts w:ascii="Bookman Old Style" w:hAnsi="Bookman Old Style"/>
                <w:bCs/>
                <w:sz w:val="20"/>
                <w:szCs w:val="20"/>
              </w:rPr>
              <w:t>Declaración de la energía comprometida en anillos de seguridad</w:t>
            </w:r>
            <w:r w:rsidR="003E41FA">
              <w:rPr>
                <w:rFonts w:ascii="Bookman Old Style" w:hAnsi="Bookman Old Style"/>
                <w:bCs/>
                <w:sz w:val="20"/>
                <w:szCs w:val="20"/>
              </w:rPr>
              <w:t xml:space="preserve"> </w:t>
            </w:r>
          </w:p>
        </w:tc>
        <w:tc>
          <w:tcPr>
            <w:tcW w:w="3843" w:type="dxa"/>
          </w:tcPr>
          <w:p w14:paraId="2C658F1B" w14:textId="77777777" w:rsidR="00BC1342" w:rsidRDefault="003E41FA" w:rsidP="0022717B">
            <w:pPr>
              <w:ind w:left="0"/>
              <w:rPr>
                <w:rFonts w:ascii="Bookman Old Style" w:hAnsi="Bookman Old Style"/>
                <w:bCs/>
                <w:sz w:val="20"/>
                <w:szCs w:val="20"/>
              </w:rPr>
            </w:pPr>
            <w:r>
              <w:rPr>
                <w:rFonts w:ascii="Bookman Old Style" w:hAnsi="Bookman Old Style"/>
                <w:bCs/>
                <w:sz w:val="20"/>
                <w:szCs w:val="20"/>
              </w:rPr>
              <w:t>Declaración al CND, en el medio y formatos que éste defina, de la energía comprometida en anillos de seguridad que comprometen Enficc y/o EDA para el período a asignar</w:t>
            </w:r>
          </w:p>
          <w:p w14:paraId="63E07649" w14:textId="01336991" w:rsidR="00AF6BC0" w:rsidRDefault="00AF6BC0" w:rsidP="0022717B">
            <w:pPr>
              <w:ind w:left="0"/>
              <w:rPr>
                <w:rFonts w:ascii="Bookman Old Style" w:hAnsi="Bookman Old Style"/>
                <w:bCs/>
                <w:sz w:val="20"/>
                <w:szCs w:val="20"/>
              </w:rPr>
            </w:pPr>
          </w:p>
        </w:tc>
        <w:tc>
          <w:tcPr>
            <w:tcW w:w="1505" w:type="dxa"/>
          </w:tcPr>
          <w:p w14:paraId="3526B53F" w14:textId="0D97EEB5" w:rsidR="00BC1342" w:rsidRDefault="003E41FA" w:rsidP="0022717B">
            <w:pPr>
              <w:ind w:left="0"/>
              <w:rPr>
                <w:rFonts w:ascii="Bookman Old Style" w:hAnsi="Bookman Old Style"/>
                <w:bCs/>
                <w:sz w:val="20"/>
                <w:szCs w:val="20"/>
              </w:rPr>
            </w:pPr>
            <w:r>
              <w:rPr>
                <w:rFonts w:ascii="Bookman Old Style" w:hAnsi="Bookman Old Style"/>
                <w:bCs/>
                <w:sz w:val="20"/>
                <w:szCs w:val="20"/>
              </w:rPr>
              <w:t>Agentes</w:t>
            </w:r>
          </w:p>
        </w:tc>
        <w:tc>
          <w:tcPr>
            <w:tcW w:w="1349" w:type="dxa"/>
          </w:tcPr>
          <w:p w14:paraId="29040CDA" w14:textId="59A9DD43" w:rsidR="00BC1342" w:rsidRDefault="0048542A" w:rsidP="0022717B">
            <w:pPr>
              <w:ind w:left="0"/>
              <w:rPr>
                <w:rFonts w:ascii="Bookman Old Style" w:hAnsi="Bookman Old Style"/>
                <w:bCs/>
                <w:sz w:val="20"/>
                <w:szCs w:val="20"/>
              </w:rPr>
            </w:pPr>
            <w:r>
              <w:rPr>
                <w:rFonts w:ascii="Bookman Old Style" w:hAnsi="Bookman Old Style"/>
                <w:bCs/>
                <w:sz w:val="20"/>
                <w:szCs w:val="20"/>
              </w:rPr>
              <w:t xml:space="preserve">Dentro de </w:t>
            </w:r>
            <w:r w:rsidR="00AE5EEC">
              <w:rPr>
                <w:rFonts w:ascii="Bookman Old Style" w:hAnsi="Bookman Old Style"/>
                <w:bCs/>
                <w:sz w:val="20"/>
                <w:szCs w:val="20"/>
              </w:rPr>
              <w:t xml:space="preserve">los </w:t>
            </w:r>
            <w:r>
              <w:rPr>
                <w:rFonts w:ascii="Bookman Old Style" w:hAnsi="Bookman Old Style"/>
                <w:bCs/>
                <w:sz w:val="20"/>
                <w:szCs w:val="20"/>
              </w:rPr>
              <w:t xml:space="preserve">5 días hábiles </w:t>
            </w:r>
            <w:r w:rsidR="004600F7">
              <w:rPr>
                <w:rFonts w:ascii="Bookman Old Style" w:hAnsi="Bookman Old Style"/>
                <w:bCs/>
                <w:sz w:val="20"/>
                <w:szCs w:val="20"/>
              </w:rPr>
              <w:t xml:space="preserve">siguientes al </w:t>
            </w:r>
            <w:r>
              <w:rPr>
                <w:rFonts w:ascii="Bookman Old Style" w:hAnsi="Bookman Old Style"/>
                <w:bCs/>
                <w:sz w:val="20"/>
                <w:szCs w:val="20"/>
              </w:rPr>
              <w:t>item 1</w:t>
            </w:r>
          </w:p>
        </w:tc>
      </w:tr>
      <w:tr w:rsidR="004600F7" w14:paraId="26CB1434" w14:textId="77777777" w:rsidTr="00AE5EEC">
        <w:tc>
          <w:tcPr>
            <w:tcW w:w="704" w:type="dxa"/>
          </w:tcPr>
          <w:p w14:paraId="45A82DE3" w14:textId="5B62469E" w:rsidR="000B09E0" w:rsidRDefault="00295B89" w:rsidP="0022717B">
            <w:pPr>
              <w:ind w:left="0"/>
              <w:jc w:val="center"/>
              <w:rPr>
                <w:rFonts w:ascii="Bookman Old Style" w:hAnsi="Bookman Old Style"/>
                <w:bCs/>
                <w:sz w:val="20"/>
                <w:szCs w:val="20"/>
              </w:rPr>
            </w:pPr>
            <w:r>
              <w:rPr>
                <w:rFonts w:ascii="Bookman Old Style" w:hAnsi="Bookman Old Style"/>
                <w:bCs/>
                <w:sz w:val="20"/>
                <w:szCs w:val="20"/>
              </w:rPr>
              <w:t>5</w:t>
            </w:r>
          </w:p>
        </w:tc>
        <w:tc>
          <w:tcPr>
            <w:tcW w:w="2111" w:type="dxa"/>
          </w:tcPr>
          <w:p w14:paraId="5FF534D4" w14:textId="77777777" w:rsidR="000B09E0" w:rsidRDefault="000B09E0" w:rsidP="0022717B">
            <w:pPr>
              <w:ind w:left="0"/>
              <w:rPr>
                <w:rFonts w:ascii="Bookman Old Style" w:hAnsi="Bookman Old Style"/>
                <w:bCs/>
                <w:sz w:val="20"/>
                <w:szCs w:val="20"/>
              </w:rPr>
            </w:pPr>
            <w:r>
              <w:rPr>
                <w:rFonts w:ascii="Bookman Old Style" w:hAnsi="Bookman Old Style"/>
                <w:bCs/>
                <w:sz w:val="20"/>
                <w:szCs w:val="20"/>
              </w:rPr>
              <w:t>Verificación ENFICC no comprometida</w:t>
            </w:r>
          </w:p>
        </w:tc>
        <w:tc>
          <w:tcPr>
            <w:tcW w:w="3843" w:type="dxa"/>
          </w:tcPr>
          <w:p w14:paraId="5CF8A146" w14:textId="77777777" w:rsidR="000B09E0" w:rsidRDefault="000B09E0" w:rsidP="0022717B">
            <w:pPr>
              <w:ind w:left="0"/>
              <w:rPr>
                <w:rFonts w:ascii="Bookman Old Style" w:hAnsi="Bookman Old Style"/>
                <w:bCs/>
                <w:sz w:val="20"/>
                <w:szCs w:val="20"/>
              </w:rPr>
            </w:pPr>
            <w:r>
              <w:rPr>
                <w:rFonts w:ascii="Bookman Old Style" w:hAnsi="Bookman Old Style"/>
                <w:bCs/>
                <w:sz w:val="20"/>
                <w:szCs w:val="20"/>
              </w:rPr>
              <w:t>El CND adelanta la verificación de la ENFICC no comprometida de acuerdo con el artículo 1 de la Resolución CREG 002 de 2019</w:t>
            </w:r>
          </w:p>
        </w:tc>
        <w:tc>
          <w:tcPr>
            <w:tcW w:w="1505" w:type="dxa"/>
          </w:tcPr>
          <w:p w14:paraId="494FE8B9" w14:textId="77777777" w:rsidR="000B09E0" w:rsidRDefault="000B09E0" w:rsidP="0022717B">
            <w:pPr>
              <w:ind w:left="0"/>
              <w:rPr>
                <w:rFonts w:ascii="Bookman Old Style" w:hAnsi="Bookman Old Style"/>
                <w:bCs/>
                <w:sz w:val="20"/>
                <w:szCs w:val="20"/>
              </w:rPr>
            </w:pPr>
            <w:r>
              <w:rPr>
                <w:rFonts w:ascii="Bookman Old Style" w:hAnsi="Bookman Old Style"/>
                <w:bCs/>
                <w:sz w:val="20"/>
                <w:szCs w:val="20"/>
              </w:rPr>
              <w:t>CND</w:t>
            </w:r>
          </w:p>
        </w:tc>
        <w:tc>
          <w:tcPr>
            <w:tcW w:w="1349" w:type="dxa"/>
          </w:tcPr>
          <w:p w14:paraId="617366BF" w14:textId="77777777" w:rsidR="000B09E0" w:rsidRDefault="000B09E0" w:rsidP="0022717B">
            <w:pPr>
              <w:ind w:left="0"/>
              <w:rPr>
                <w:rFonts w:ascii="Bookman Old Style" w:hAnsi="Bookman Old Style"/>
                <w:bCs/>
                <w:sz w:val="20"/>
                <w:szCs w:val="20"/>
              </w:rPr>
            </w:pPr>
            <w:r>
              <w:rPr>
                <w:rFonts w:ascii="Bookman Old Style" w:hAnsi="Bookman Old Style"/>
                <w:bCs/>
                <w:sz w:val="20"/>
                <w:szCs w:val="20"/>
              </w:rPr>
              <w:t xml:space="preserve">Dentro de </w:t>
            </w:r>
            <w:r w:rsidR="00AE5EEC">
              <w:rPr>
                <w:rFonts w:ascii="Bookman Old Style" w:hAnsi="Bookman Old Style"/>
                <w:bCs/>
                <w:sz w:val="20"/>
                <w:szCs w:val="20"/>
              </w:rPr>
              <w:t xml:space="preserve">los </w:t>
            </w:r>
            <w:r w:rsidR="00E37DDE">
              <w:rPr>
                <w:rFonts w:ascii="Bookman Old Style" w:hAnsi="Bookman Old Style"/>
                <w:bCs/>
                <w:sz w:val="20"/>
                <w:szCs w:val="20"/>
              </w:rPr>
              <w:t>3</w:t>
            </w:r>
            <w:r>
              <w:rPr>
                <w:rFonts w:ascii="Bookman Old Style" w:hAnsi="Bookman Old Style"/>
                <w:bCs/>
                <w:sz w:val="20"/>
                <w:szCs w:val="20"/>
              </w:rPr>
              <w:t xml:space="preserve"> días hábiles </w:t>
            </w:r>
            <w:r w:rsidR="004600F7">
              <w:rPr>
                <w:rFonts w:ascii="Bookman Old Style" w:hAnsi="Bookman Old Style"/>
                <w:bCs/>
                <w:sz w:val="20"/>
                <w:szCs w:val="20"/>
              </w:rPr>
              <w:t xml:space="preserve">siguientes al </w:t>
            </w:r>
            <w:r>
              <w:rPr>
                <w:rFonts w:ascii="Bookman Old Style" w:hAnsi="Bookman Old Style"/>
                <w:bCs/>
                <w:sz w:val="20"/>
                <w:szCs w:val="20"/>
              </w:rPr>
              <w:t>item 4</w:t>
            </w:r>
          </w:p>
          <w:p w14:paraId="199FE96F" w14:textId="369A8880" w:rsidR="00AF6BC0" w:rsidRDefault="00AF6BC0" w:rsidP="0022717B">
            <w:pPr>
              <w:ind w:left="0"/>
              <w:rPr>
                <w:rFonts w:ascii="Bookman Old Style" w:hAnsi="Bookman Old Style"/>
                <w:bCs/>
                <w:sz w:val="20"/>
                <w:szCs w:val="20"/>
              </w:rPr>
            </w:pPr>
          </w:p>
        </w:tc>
      </w:tr>
      <w:tr w:rsidR="004600F7" w14:paraId="3B8F99F3" w14:textId="77777777" w:rsidTr="00AE5EEC">
        <w:tc>
          <w:tcPr>
            <w:tcW w:w="704" w:type="dxa"/>
          </w:tcPr>
          <w:p w14:paraId="4D3E0027" w14:textId="303BA8C1" w:rsidR="000B09E0" w:rsidRDefault="0048542A" w:rsidP="0022717B">
            <w:pPr>
              <w:ind w:left="0"/>
              <w:jc w:val="center"/>
              <w:rPr>
                <w:rFonts w:ascii="Bookman Old Style" w:hAnsi="Bookman Old Style"/>
                <w:bCs/>
                <w:sz w:val="20"/>
                <w:szCs w:val="20"/>
              </w:rPr>
            </w:pPr>
            <w:r>
              <w:rPr>
                <w:rFonts w:ascii="Bookman Old Style" w:hAnsi="Bookman Old Style"/>
                <w:bCs/>
                <w:sz w:val="20"/>
                <w:szCs w:val="20"/>
              </w:rPr>
              <w:t>6</w:t>
            </w:r>
          </w:p>
        </w:tc>
        <w:tc>
          <w:tcPr>
            <w:tcW w:w="2111" w:type="dxa"/>
          </w:tcPr>
          <w:p w14:paraId="5E98C4D0" w14:textId="17916596" w:rsidR="000B09E0" w:rsidRDefault="0018041F" w:rsidP="0022717B">
            <w:pPr>
              <w:ind w:left="0"/>
              <w:rPr>
                <w:rFonts w:ascii="Bookman Old Style" w:hAnsi="Bookman Old Style"/>
                <w:bCs/>
                <w:sz w:val="20"/>
                <w:szCs w:val="20"/>
              </w:rPr>
            </w:pPr>
            <w:r>
              <w:rPr>
                <w:rFonts w:ascii="Bookman Old Style" w:hAnsi="Bookman Old Style"/>
                <w:bCs/>
                <w:sz w:val="20"/>
                <w:szCs w:val="20"/>
              </w:rPr>
              <w:t>Asignación y p</w:t>
            </w:r>
            <w:r w:rsidR="00E37DDE" w:rsidRPr="00E37DDE">
              <w:rPr>
                <w:rFonts w:ascii="Bookman Old Style" w:hAnsi="Bookman Old Style"/>
                <w:bCs/>
                <w:sz w:val="20"/>
                <w:szCs w:val="20"/>
              </w:rPr>
              <w:t>ublicación de resultados</w:t>
            </w:r>
          </w:p>
        </w:tc>
        <w:tc>
          <w:tcPr>
            <w:tcW w:w="3843" w:type="dxa"/>
          </w:tcPr>
          <w:p w14:paraId="7DAED5B0" w14:textId="77777777" w:rsidR="000B09E0" w:rsidRDefault="00AC56E3" w:rsidP="0022717B">
            <w:pPr>
              <w:ind w:left="0"/>
              <w:rPr>
                <w:rFonts w:ascii="Bookman Old Style" w:hAnsi="Bookman Old Style"/>
                <w:bCs/>
                <w:sz w:val="20"/>
                <w:szCs w:val="20"/>
              </w:rPr>
            </w:pPr>
            <w:r>
              <w:rPr>
                <w:rFonts w:ascii="Bookman Old Style" w:hAnsi="Bookman Old Style"/>
                <w:bCs/>
                <w:sz w:val="20"/>
                <w:szCs w:val="20"/>
              </w:rPr>
              <w:t>Publicación de la a</w:t>
            </w:r>
            <w:r w:rsidR="00E37DDE">
              <w:rPr>
                <w:rFonts w:ascii="Bookman Old Style" w:hAnsi="Bookman Old Style"/>
                <w:bCs/>
                <w:sz w:val="20"/>
                <w:szCs w:val="20"/>
              </w:rPr>
              <w:t xml:space="preserve">signación de OEF </w:t>
            </w:r>
            <w:r w:rsidR="00E37DDE" w:rsidRPr="00E37DDE">
              <w:rPr>
                <w:rFonts w:ascii="Bookman Old Style" w:hAnsi="Bookman Old Style"/>
                <w:bCs/>
                <w:sz w:val="20"/>
                <w:szCs w:val="20"/>
              </w:rPr>
              <w:t xml:space="preserve">a cada uno de los generadores a prorrata de su Enficc </w:t>
            </w:r>
            <w:r w:rsidR="00E37DDE">
              <w:rPr>
                <w:rFonts w:ascii="Bookman Old Style" w:hAnsi="Bookman Old Style"/>
                <w:bCs/>
                <w:sz w:val="20"/>
                <w:szCs w:val="20"/>
              </w:rPr>
              <w:t>no comprometida</w:t>
            </w:r>
            <w:r>
              <w:rPr>
                <w:rFonts w:ascii="Bookman Old Style" w:hAnsi="Bookman Old Style"/>
                <w:bCs/>
                <w:sz w:val="20"/>
                <w:szCs w:val="20"/>
              </w:rPr>
              <w:t xml:space="preserve">, </w:t>
            </w:r>
            <w:r w:rsidR="00AE5EEC">
              <w:rPr>
                <w:rFonts w:ascii="Bookman Old Style" w:hAnsi="Bookman Old Style"/>
                <w:bCs/>
                <w:sz w:val="20"/>
                <w:szCs w:val="20"/>
              </w:rPr>
              <w:t xml:space="preserve">considerando OEF asignadas y la PNDC con contratos </w:t>
            </w:r>
            <w:r>
              <w:rPr>
                <w:rFonts w:ascii="Bookman Old Style" w:hAnsi="Bookman Old Style"/>
                <w:bCs/>
                <w:sz w:val="20"/>
                <w:szCs w:val="20"/>
              </w:rPr>
              <w:t>de acuerdo con lo definido en el Artículo 25 de la Resolución CREG 071 de 2006.</w:t>
            </w:r>
          </w:p>
          <w:p w14:paraId="25C347F1" w14:textId="209B378D" w:rsidR="00AF6BC0" w:rsidRDefault="00AF6BC0" w:rsidP="0022717B">
            <w:pPr>
              <w:ind w:left="0"/>
              <w:rPr>
                <w:rFonts w:ascii="Bookman Old Style" w:hAnsi="Bookman Old Style"/>
                <w:bCs/>
                <w:sz w:val="20"/>
                <w:szCs w:val="20"/>
              </w:rPr>
            </w:pPr>
          </w:p>
        </w:tc>
        <w:tc>
          <w:tcPr>
            <w:tcW w:w="1505" w:type="dxa"/>
          </w:tcPr>
          <w:p w14:paraId="4FAB9D00" w14:textId="7D507E22" w:rsidR="000B09E0" w:rsidRDefault="00E37DDE" w:rsidP="0022717B">
            <w:pPr>
              <w:ind w:left="0"/>
              <w:rPr>
                <w:rFonts w:ascii="Bookman Old Style" w:hAnsi="Bookman Old Style"/>
                <w:bCs/>
                <w:sz w:val="20"/>
                <w:szCs w:val="20"/>
              </w:rPr>
            </w:pPr>
            <w:r>
              <w:rPr>
                <w:rFonts w:ascii="Bookman Old Style" w:hAnsi="Bookman Old Style"/>
                <w:bCs/>
                <w:sz w:val="20"/>
                <w:szCs w:val="20"/>
              </w:rPr>
              <w:t>ASIC</w:t>
            </w:r>
          </w:p>
        </w:tc>
        <w:tc>
          <w:tcPr>
            <w:tcW w:w="1349" w:type="dxa"/>
          </w:tcPr>
          <w:p w14:paraId="05B2E88A" w14:textId="58613AE2" w:rsidR="000B09E0" w:rsidRDefault="00E37DDE" w:rsidP="0022717B">
            <w:pPr>
              <w:ind w:left="0"/>
              <w:rPr>
                <w:rFonts w:ascii="Bookman Old Style" w:hAnsi="Bookman Old Style"/>
                <w:bCs/>
                <w:sz w:val="20"/>
                <w:szCs w:val="20"/>
              </w:rPr>
            </w:pPr>
            <w:r>
              <w:rPr>
                <w:rFonts w:ascii="Bookman Old Style" w:hAnsi="Bookman Old Style"/>
                <w:bCs/>
                <w:sz w:val="20"/>
                <w:szCs w:val="20"/>
              </w:rPr>
              <w:t xml:space="preserve">Dentro de </w:t>
            </w:r>
            <w:r w:rsidR="00AE5EEC">
              <w:rPr>
                <w:rFonts w:ascii="Bookman Old Style" w:hAnsi="Bookman Old Style"/>
                <w:bCs/>
                <w:sz w:val="20"/>
                <w:szCs w:val="20"/>
              </w:rPr>
              <w:t xml:space="preserve">los </w:t>
            </w:r>
            <w:r>
              <w:rPr>
                <w:rFonts w:ascii="Bookman Old Style" w:hAnsi="Bookman Old Style"/>
                <w:bCs/>
                <w:sz w:val="20"/>
                <w:szCs w:val="20"/>
              </w:rPr>
              <w:t xml:space="preserve">3 días hábiles </w:t>
            </w:r>
            <w:r w:rsidR="004600F7">
              <w:rPr>
                <w:rFonts w:ascii="Bookman Old Style" w:hAnsi="Bookman Old Style"/>
                <w:bCs/>
                <w:sz w:val="20"/>
                <w:szCs w:val="20"/>
              </w:rPr>
              <w:t xml:space="preserve">siguientes al </w:t>
            </w:r>
            <w:r>
              <w:rPr>
                <w:rFonts w:ascii="Bookman Old Style" w:hAnsi="Bookman Old Style"/>
                <w:bCs/>
                <w:sz w:val="20"/>
                <w:szCs w:val="20"/>
              </w:rPr>
              <w:t>item 5</w:t>
            </w:r>
          </w:p>
        </w:tc>
      </w:tr>
      <w:tr w:rsidR="004600F7" w14:paraId="7B4BFBF3" w14:textId="77777777" w:rsidTr="00AE5EEC">
        <w:tc>
          <w:tcPr>
            <w:tcW w:w="704" w:type="dxa"/>
          </w:tcPr>
          <w:p w14:paraId="3361C682" w14:textId="454BC6FE" w:rsidR="004D1D07" w:rsidRDefault="00AC56E3" w:rsidP="0022717B">
            <w:pPr>
              <w:ind w:left="0"/>
              <w:jc w:val="center"/>
              <w:rPr>
                <w:rFonts w:ascii="Bookman Old Style" w:hAnsi="Bookman Old Style"/>
                <w:bCs/>
                <w:sz w:val="20"/>
                <w:szCs w:val="20"/>
              </w:rPr>
            </w:pPr>
            <w:r>
              <w:rPr>
                <w:rFonts w:ascii="Bookman Old Style" w:hAnsi="Bookman Old Style"/>
                <w:bCs/>
                <w:sz w:val="20"/>
                <w:szCs w:val="20"/>
              </w:rPr>
              <w:lastRenderedPageBreak/>
              <w:t>7</w:t>
            </w:r>
          </w:p>
        </w:tc>
        <w:tc>
          <w:tcPr>
            <w:tcW w:w="2111" w:type="dxa"/>
          </w:tcPr>
          <w:p w14:paraId="49092D56" w14:textId="3958AFCA" w:rsidR="004D1D07" w:rsidRDefault="00AC56E3" w:rsidP="0022717B">
            <w:pPr>
              <w:ind w:left="0"/>
              <w:rPr>
                <w:rFonts w:ascii="Bookman Old Style" w:hAnsi="Bookman Old Style"/>
                <w:bCs/>
                <w:sz w:val="20"/>
                <w:szCs w:val="20"/>
              </w:rPr>
            </w:pPr>
            <w:r w:rsidRPr="00AC56E3">
              <w:rPr>
                <w:rFonts w:ascii="Bookman Old Style" w:hAnsi="Bookman Old Style"/>
                <w:bCs/>
                <w:sz w:val="20"/>
                <w:szCs w:val="20"/>
              </w:rPr>
              <w:t>Entrega de contratos o garantías y certificación actividades de operación y mantenimiento</w:t>
            </w:r>
            <w:r w:rsidR="0018041F">
              <w:rPr>
                <w:rFonts w:ascii="Bookman Old Style" w:hAnsi="Bookman Old Style"/>
                <w:bCs/>
                <w:sz w:val="20"/>
                <w:szCs w:val="20"/>
              </w:rPr>
              <w:t xml:space="preserve"> al ASIC</w:t>
            </w:r>
          </w:p>
        </w:tc>
        <w:tc>
          <w:tcPr>
            <w:tcW w:w="3843" w:type="dxa"/>
          </w:tcPr>
          <w:p w14:paraId="55229C87" w14:textId="01F9DA25" w:rsidR="00AC56E3" w:rsidRPr="00AC56E3" w:rsidRDefault="00AC56E3" w:rsidP="00AC56E3">
            <w:pPr>
              <w:ind w:left="0"/>
              <w:rPr>
                <w:rFonts w:ascii="Bookman Old Style" w:hAnsi="Bookman Old Style"/>
                <w:bCs/>
                <w:sz w:val="20"/>
                <w:szCs w:val="20"/>
              </w:rPr>
            </w:pPr>
            <w:r w:rsidRPr="00AC56E3">
              <w:rPr>
                <w:rFonts w:ascii="Bookman Old Style" w:hAnsi="Bookman Old Style"/>
                <w:bCs/>
                <w:sz w:val="20"/>
                <w:szCs w:val="20"/>
              </w:rPr>
              <w:t>Entrega de contratos de combustible o garantías</w:t>
            </w:r>
            <w:r w:rsidR="0018041F">
              <w:rPr>
                <w:rFonts w:ascii="Bookman Old Style" w:hAnsi="Bookman Old Style"/>
                <w:bCs/>
                <w:sz w:val="20"/>
                <w:szCs w:val="20"/>
              </w:rPr>
              <w:t xml:space="preserve"> al ASIC</w:t>
            </w:r>
          </w:p>
          <w:p w14:paraId="2BDBC72D" w14:textId="77777777" w:rsidR="00AC56E3" w:rsidRPr="00AC56E3" w:rsidRDefault="00AC56E3" w:rsidP="00AC56E3">
            <w:pPr>
              <w:ind w:left="0"/>
              <w:rPr>
                <w:rFonts w:ascii="Bookman Old Style" w:hAnsi="Bookman Old Style"/>
                <w:bCs/>
                <w:sz w:val="20"/>
                <w:szCs w:val="20"/>
              </w:rPr>
            </w:pPr>
          </w:p>
          <w:p w14:paraId="2974E4E9" w14:textId="77777777" w:rsidR="00AC56E3" w:rsidRPr="00AC56E3" w:rsidRDefault="00AC56E3" w:rsidP="00AC56E3">
            <w:pPr>
              <w:ind w:left="0"/>
              <w:rPr>
                <w:rFonts w:ascii="Bookman Old Style" w:hAnsi="Bookman Old Style"/>
                <w:bCs/>
                <w:sz w:val="20"/>
                <w:szCs w:val="20"/>
              </w:rPr>
            </w:pPr>
            <w:r w:rsidRPr="00AC56E3">
              <w:rPr>
                <w:rFonts w:ascii="Bookman Old Style" w:hAnsi="Bookman Old Style"/>
                <w:bCs/>
                <w:sz w:val="20"/>
                <w:szCs w:val="20"/>
              </w:rPr>
              <w:t>Para plantas térmicas a carbón las garantías, durante el período de planeación, pueden ser el certificado del Plan de Trabajo y Obras y la carta de intención presentada según el artículo 46 de la Resolución CREG 071 de 2006.</w:t>
            </w:r>
          </w:p>
          <w:p w14:paraId="047E9724" w14:textId="77777777" w:rsidR="00AC56E3" w:rsidRPr="00AC56E3" w:rsidRDefault="00AC56E3" w:rsidP="00AC56E3">
            <w:pPr>
              <w:ind w:left="0"/>
              <w:rPr>
                <w:rFonts w:ascii="Bookman Old Style" w:hAnsi="Bookman Old Style"/>
                <w:bCs/>
                <w:sz w:val="20"/>
                <w:szCs w:val="20"/>
              </w:rPr>
            </w:pPr>
          </w:p>
          <w:p w14:paraId="0778E10D" w14:textId="77777777" w:rsidR="00AC56E3" w:rsidRPr="00AC56E3" w:rsidRDefault="00AC56E3" w:rsidP="00AC56E3">
            <w:pPr>
              <w:ind w:left="0"/>
              <w:rPr>
                <w:rFonts w:ascii="Bookman Old Style" w:hAnsi="Bookman Old Style"/>
                <w:bCs/>
                <w:sz w:val="20"/>
                <w:szCs w:val="20"/>
              </w:rPr>
            </w:pPr>
            <w:r w:rsidRPr="00AC56E3">
              <w:rPr>
                <w:rFonts w:ascii="Bookman Old Style" w:hAnsi="Bookman Old Style"/>
                <w:bCs/>
                <w:sz w:val="20"/>
                <w:szCs w:val="20"/>
              </w:rPr>
              <w:t>Para plantas o unidades que respalden la obligación con combustible líquido pueden aplicar lo definido en el artículo 13 de la Resolución CREG 085 de 2007.</w:t>
            </w:r>
          </w:p>
          <w:p w14:paraId="435E6034" w14:textId="77777777" w:rsidR="00AC56E3" w:rsidRPr="00AC56E3" w:rsidRDefault="00AC56E3" w:rsidP="00AC56E3">
            <w:pPr>
              <w:ind w:left="0"/>
              <w:rPr>
                <w:rFonts w:ascii="Bookman Old Style" w:hAnsi="Bookman Old Style"/>
                <w:bCs/>
                <w:sz w:val="20"/>
                <w:szCs w:val="20"/>
              </w:rPr>
            </w:pPr>
          </w:p>
          <w:p w14:paraId="169D7260" w14:textId="77777777" w:rsidR="00AC56E3" w:rsidRPr="00AC56E3" w:rsidRDefault="00AC56E3" w:rsidP="00AC56E3">
            <w:pPr>
              <w:ind w:left="0"/>
              <w:rPr>
                <w:rFonts w:ascii="Bookman Old Style" w:hAnsi="Bookman Old Style"/>
                <w:bCs/>
                <w:sz w:val="20"/>
                <w:szCs w:val="20"/>
              </w:rPr>
            </w:pPr>
            <w:r w:rsidRPr="00AC56E3">
              <w:rPr>
                <w:rFonts w:ascii="Bookman Old Style" w:hAnsi="Bookman Old Style"/>
                <w:bCs/>
                <w:sz w:val="20"/>
                <w:szCs w:val="20"/>
              </w:rPr>
              <w:t>Para plantas térmicas con gas natural importado aplicarán lo definido en la Resolución CREG 106 de 2011.</w:t>
            </w:r>
          </w:p>
          <w:p w14:paraId="31398B4B" w14:textId="77777777" w:rsidR="00AC56E3" w:rsidRPr="00AC56E3" w:rsidRDefault="00AC56E3" w:rsidP="00AC56E3">
            <w:pPr>
              <w:ind w:left="0"/>
              <w:rPr>
                <w:rFonts w:ascii="Bookman Old Style" w:hAnsi="Bookman Old Style"/>
                <w:bCs/>
                <w:sz w:val="20"/>
                <w:szCs w:val="20"/>
              </w:rPr>
            </w:pPr>
          </w:p>
          <w:p w14:paraId="3219E71C" w14:textId="77777777" w:rsidR="004D1D07" w:rsidRDefault="00AC56E3" w:rsidP="00AC56E3">
            <w:pPr>
              <w:ind w:left="0"/>
              <w:rPr>
                <w:rFonts w:ascii="Bookman Old Style" w:hAnsi="Bookman Old Style"/>
                <w:bCs/>
                <w:sz w:val="20"/>
                <w:szCs w:val="20"/>
              </w:rPr>
            </w:pPr>
            <w:r w:rsidRPr="00AC56E3">
              <w:rPr>
                <w:rFonts w:ascii="Bookman Old Style" w:hAnsi="Bookman Old Style"/>
                <w:bCs/>
                <w:sz w:val="20"/>
                <w:szCs w:val="20"/>
              </w:rPr>
              <w:t>La certificación de operación y mantenimiento será la definida en la Resolución CREG 005 de 2009.</w:t>
            </w:r>
          </w:p>
          <w:p w14:paraId="001D1A5B" w14:textId="3829AE8B" w:rsidR="00AF6BC0" w:rsidRDefault="00AF6BC0" w:rsidP="00AC56E3">
            <w:pPr>
              <w:ind w:left="0"/>
              <w:rPr>
                <w:rFonts w:ascii="Bookman Old Style" w:hAnsi="Bookman Old Style"/>
                <w:bCs/>
                <w:sz w:val="20"/>
                <w:szCs w:val="20"/>
              </w:rPr>
            </w:pPr>
          </w:p>
        </w:tc>
        <w:tc>
          <w:tcPr>
            <w:tcW w:w="1505" w:type="dxa"/>
          </w:tcPr>
          <w:p w14:paraId="7788CDED" w14:textId="51C57B82" w:rsidR="004D1D07" w:rsidRDefault="00AC56E3" w:rsidP="0022717B">
            <w:pPr>
              <w:ind w:left="0"/>
              <w:rPr>
                <w:rFonts w:ascii="Bookman Old Style" w:hAnsi="Bookman Old Style"/>
                <w:bCs/>
                <w:sz w:val="20"/>
                <w:szCs w:val="20"/>
              </w:rPr>
            </w:pPr>
            <w:r>
              <w:rPr>
                <w:rFonts w:ascii="Bookman Old Style" w:hAnsi="Bookman Old Style"/>
                <w:bCs/>
                <w:sz w:val="20"/>
                <w:szCs w:val="20"/>
              </w:rPr>
              <w:t>Agentes</w:t>
            </w:r>
          </w:p>
        </w:tc>
        <w:tc>
          <w:tcPr>
            <w:tcW w:w="1349" w:type="dxa"/>
          </w:tcPr>
          <w:p w14:paraId="5650F821" w14:textId="49ED1BD7" w:rsidR="004D1D07" w:rsidRDefault="00AC56E3" w:rsidP="0022717B">
            <w:pPr>
              <w:ind w:left="0"/>
              <w:rPr>
                <w:rFonts w:ascii="Bookman Old Style" w:hAnsi="Bookman Old Style"/>
                <w:bCs/>
                <w:sz w:val="20"/>
                <w:szCs w:val="20"/>
              </w:rPr>
            </w:pPr>
            <w:r>
              <w:rPr>
                <w:rFonts w:ascii="Bookman Old Style" w:hAnsi="Bookman Old Style"/>
                <w:bCs/>
                <w:sz w:val="20"/>
                <w:szCs w:val="20"/>
              </w:rPr>
              <w:t xml:space="preserve">Dentro de los 20 días hábiles </w:t>
            </w:r>
            <w:r w:rsidR="004600F7">
              <w:rPr>
                <w:rFonts w:ascii="Bookman Old Style" w:hAnsi="Bookman Old Style"/>
                <w:bCs/>
                <w:sz w:val="20"/>
                <w:szCs w:val="20"/>
              </w:rPr>
              <w:t xml:space="preserve">siguientes al </w:t>
            </w:r>
            <w:r>
              <w:rPr>
                <w:rFonts w:ascii="Bookman Old Style" w:hAnsi="Bookman Old Style"/>
                <w:bCs/>
                <w:sz w:val="20"/>
                <w:szCs w:val="20"/>
              </w:rPr>
              <w:t>item 6</w:t>
            </w:r>
          </w:p>
        </w:tc>
      </w:tr>
      <w:tr w:rsidR="004600F7" w14:paraId="35D71989" w14:textId="77777777" w:rsidTr="00AE5EEC">
        <w:tc>
          <w:tcPr>
            <w:tcW w:w="704" w:type="dxa"/>
          </w:tcPr>
          <w:p w14:paraId="7909BA47" w14:textId="17FB60E2" w:rsidR="00AC56E3" w:rsidRDefault="00AC56E3" w:rsidP="0022717B">
            <w:pPr>
              <w:ind w:left="0"/>
              <w:jc w:val="center"/>
              <w:rPr>
                <w:rFonts w:ascii="Bookman Old Style" w:hAnsi="Bookman Old Style"/>
                <w:bCs/>
                <w:sz w:val="20"/>
                <w:szCs w:val="20"/>
              </w:rPr>
            </w:pPr>
            <w:r>
              <w:rPr>
                <w:rFonts w:ascii="Bookman Old Style" w:hAnsi="Bookman Old Style"/>
                <w:bCs/>
                <w:sz w:val="20"/>
                <w:szCs w:val="20"/>
              </w:rPr>
              <w:t>8</w:t>
            </w:r>
          </w:p>
        </w:tc>
        <w:tc>
          <w:tcPr>
            <w:tcW w:w="2111" w:type="dxa"/>
          </w:tcPr>
          <w:p w14:paraId="053C3FE4" w14:textId="25335867" w:rsidR="00AC56E3" w:rsidRPr="00AC56E3" w:rsidRDefault="00AE5EEC" w:rsidP="0022717B">
            <w:pPr>
              <w:ind w:left="0"/>
              <w:rPr>
                <w:rFonts w:ascii="Bookman Old Style" w:hAnsi="Bookman Old Style"/>
                <w:bCs/>
                <w:sz w:val="20"/>
                <w:szCs w:val="20"/>
              </w:rPr>
            </w:pPr>
            <w:r w:rsidRPr="00AE5EEC">
              <w:rPr>
                <w:rFonts w:ascii="Bookman Old Style" w:hAnsi="Bookman Old Style"/>
                <w:bCs/>
                <w:sz w:val="20"/>
                <w:szCs w:val="20"/>
              </w:rPr>
              <w:t>Solicitud de aclaración de garantías que respaldan OEF</w:t>
            </w:r>
          </w:p>
        </w:tc>
        <w:tc>
          <w:tcPr>
            <w:tcW w:w="3843" w:type="dxa"/>
          </w:tcPr>
          <w:p w14:paraId="736BB84F" w14:textId="2D2599B9" w:rsidR="00AC56E3" w:rsidRPr="00AC56E3" w:rsidRDefault="00AE5EEC" w:rsidP="00AC56E3">
            <w:pPr>
              <w:ind w:left="0"/>
              <w:rPr>
                <w:rFonts w:ascii="Bookman Old Style" w:hAnsi="Bookman Old Style"/>
                <w:bCs/>
                <w:sz w:val="20"/>
                <w:szCs w:val="20"/>
              </w:rPr>
            </w:pPr>
            <w:r w:rsidRPr="00AE5EEC">
              <w:rPr>
                <w:rFonts w:ascii="Bookman Old Style" w:hAnsi="Bookman Old Style"/>
                <w:bCs/>
                <w:sz w:val="20"/>
                <w:szCs w:val="20"/>
              </w:rPr>
              <w:t>Solicitud de aclaración a la</w:t>
            </w:r>
            <w:r>
              <w:rPr>
                <w:rFonts w:ascii="Bookman Old Style" w:hAnsi="Bookman Old Style"/>
                <w:bCs/>
                <w:sz w:val="20"/>
                <w:szCs w:val="20"/>
              </w:rPr>
              <w:t>s</w:t>
            </w:r>
            <w:r w:rsidRPr="00AE5EEC">
              <w:rPr>
                <w:rFonts w:ascii="Bookman Old Style" w:hAnsi="Bookman Old Style"/>
                <w:bCs/>
                <w:sz w:val="20"/>
                <w:szCs w:val="20"/>
              </w:rPr>
              <w:t xml:space="preserve"> garantías remitidas</w:t>
            </w:r>
          </w:p>
        </w:tc>
        <w:tc>
          <w:tcPr>
            <w:tcW w:w="1505" w:type="dxa"/>
          </w:tcPr>
          <w:p w14:paraId="068AAE88" w14:textId="7EC38080" w:rsidR="00AC56E3" w:rsidRDefault="00AE5EEC" w:rsidP="0022717B">
            <w:pPr>
              <w:ind w:left="0"/>
              <w:rPr>
                <w:rFonts w:ascii="Bookman Old Style" w:hAnsi="Bookman Old Style"/>
                <w:bCs/>
                <w:sz w:val="20"/>
                <w:szCs w:val="20"/>
              </w:rPr>
            </w:pPr>
            <w:r>
              <w:rPr>
                <w:rFonts w:ascii="Bookman Old Style" w:hAnsi="Bookman Old Style"/>
                <w:bCs/>
                <w:sz w:val="20"/>
                <w:szCs w:val="20"/>
              </w:rPr>
              <w:t>ASIC</w:t>
            </w:r>
          </w:p>
        </w:tc>
        <w:tc>
          <w:tcPr>
            <w:tcW w:w="1349" w:type="dxa"/>
          </w:tcPr>
          <w:p w14:paraId="27CAAD1C" w14:textId="77777777" w:rsidR="00AC56E3" w:rsidRDefault="00AE5EEC" w:rsidP="0022717B">
            <w:pPr>
              <w:ind w:left="0"/>
              <w:rPr>
                <w:rFonts w:ascii="Bookman Old Style" w:hAnsi="Bookman Old Style"/>
                <w:bCs/>
                <w:sz w:val="20"/>
                <w:szCs w:val="20"/>
              </w:rPr>
            </w:pPr>
            <w:r>
              <w:rPr>
                <w:rFonts w:ascii="Bookman Old Style" w:hAnsi="Bookman Old Style"/>
                <w:bCs/>
                <w:sz w:val="20"/>
                <w:szCs w:val="20"/>
              </w:rPr>
              <w:t xml:space="preserve">Dentro de los 5 días hábiles </w:t>
            </w:r>
            <w:r w:rsidR="004600F7">
              <w:rPr>
                <w:rFonts w:ascii="Bookman Old Style" w:hAnsi="Bookman Old Style"/>
                <w:bCs/>
                <w:sz w:val="20"/>
                <w:szCs w:val="20"/>
              </w:rPr>
              <w:t xml:space="preserve">siguientes al </w:t>
            </w:r>
            <w:r>
              <w:rPr>
                <w:rFonts w:ascii="Bookman Old Style" w:hAnsi="Bookman Old Style"/>
                <w:bCs/>
                <w:sz w:val="20"/>
                <w:szCs w:val="20"/>
              </w:rPr>
              <w:t>item 7</w:t>
            </w:r>
          </w:p>
          <w:p w14:paraId="11564664" w14:textId="4C9FC162" w:rsidR="00AF6BC0" w:rsidRDefault="00AF6BC0" w:rsidP="0022717B">
            <w:pPr>
              <w:ind w:left="0"/>
              <w:rPr>
                <w:rFonts w:ascii="Bookman Old Style" w:hAnsi="Bookman Old Style"/>
                <w:bCs/>
                <w:sz w:val="20"/>
                <w:szCs w:val="20"/>
              </w:rPr>
            </w:pPr>
          </w:p>
        </w:tc>
      </w:tr>
      <w:tr w:rsidR="004600F7" w14:paraId="421A4A15" w14:textId="77777777" w:rsidTr="00AE5EEC">
        <w:tc>
          <w:tcPr>
            <w:tcW w:w="704" w:type="dxa"/>
          </w:tcPr>
          <w:p w14:paraId="0EE8E296" w14:textId="0598DB7A" w:rsidR="00AE5EEC" w:rsidRDefault="00AE5EEC" w:rsidP="0022717B">
            <w:pPr>
              <w:ind w:left="0"/>
              <w:jc w:val="center"/>
              <w:rPr>
                <w:rFonts w:ascii="Bookman Old Style" w:hAnsi="Bookman Old Style"/>
                <w:bCs/>
                <w:sz w:val="20"/>
                <w:szCs w:val="20"/>
              </w:rPr>
            </w:pPr>
            <w:r>
              <w:rPr>
                <w:rFonts w:ascii="Bookman Old Style" w:hAnsi="Bookman Old Style"/>
                <w:bCs/>
                <w:sz w:val="20"/>
                <w:szCs w:val="20"/>
              </w:rPr>
              <w:t>9</w:t>
            </w:r>
          </w:p>
        </w:tc>
        <w:tc>
          <w:tcPr>
            <w:tcW w:w="2111" w:type="dxa"/>
          </w:tcPr>
          <w:p w14:paraId="17494A98" w14:textId="2D7020DA" w:rsidR="00AE5EEC" w:rsidRPr="00AE5EEC" w:rsidRDefault="00AE5EEC" w:rsidP="0022717B">
            <w:pPr>
              <w:ind w:left="0"/>
              <w:rPr>
                <w:rFonts w:ascii="Bookman Old Style" w:hAnsi="Bookman Old Style"/>
                <w:bCs/>
                <w:sz w:val="20"/>
                <w:szCs w:val="20"/>
              </w:rPr>
            </w:pPr>
            <w:r w:rsidRPr="00AE5EEC">
              <w:rPr>
                <w:rFonts w:ascii="Bookman Old Style" w:hAnsi="Bookman Old Style"/>
                <w:bCs/>
                <w:sz w:val="20"/>
                <w:szCs w:val="20"/>
              </w:rPr>
              <w:t>Expedición de certificado de asignación de Obligaciones de Energía Firme</w:t>
            </w:r>
          </w:p>
        </w:tc>
        <w:tc>
          <w:tcPr>
            <w:tcW w:w="3843" w:type="dxa"/>
          </w:tcPr>
          <w:p w14:paraId="71BF623D" w14:textId="6807134F" w:rsidR="00AE5EEC" w:rsidRPr="00AE5EEC" w:rsidRDefault="00AE5EEC" w:rsidP="00AC56E3">
            <w:pPr>
              <w:ind w:left="0"/>
              <w:rPr>
                <w:rFonts w:ascii="Bookman Old Style" w:hAnsi="Bookman Old Style"/>
                <w:bCs/>
                <w:sz w:val="20"/>
                <w:szCs w:val="20"/>
              </w:rPr>
            </w:pPr>
            <w:r w:rsidRPr="00AE5EEC">
              <w:rPr>
                <w:rFonts w:ascii="Bookman Old Style" w:hAnsi="Bookman Old Style"/>
                <w:bCs/>
                <w:sz w:val="20"/>
                <w:szCs w:val="20"/>
              </w:rPr>
              <w:t>Certificado expedido por el ASIC de conformidad con la regulación vigente</w:t>
            </w:r>
          </w:p>
        </w:tc>
        <w:tc>
          <w:tcPr>
            <w:tcW w:w="1505" w:type="dxa"/>
          </w:tcPr>
          <w:p w14:paraId="5628A0C4" w14:textId="672801EC" w:rsidR="00AE5EEC" w:rsidRDefault="00AE5EEC" w:rsidP="0022717B">
            <w:pPr>
              <w:ind w:left="0"/>
              <w:rPr>
                <w:rFonts w:ascii="Bookman Old Style" w:hAnsi="Bookman Old Style"/>
                <w:bCs/>
                <w:sz w:val="20"/>
                <w:szCs w:val="20"/>
              </w:rPr>
            </w:pPr>
            <w:r>
              <w:rPr>
                <w:rFonts w:ascii="Bookman Old Style" w:hAnsi="Bookman Old Style"/>
                <w:bCs/>
                <w:sz w:val="20"/>
                <w:szCs w:val="20"/>
              </w:rPr>
              <w:t>ASIC</w:t>
            </w:r>
          </w:p>
        </w:tc>
        <w:tc>
          <w:tcPr>
            <w:tcW w:w="1349" w:type="dxa"/>
          </w:tcPr>
          <w:p w14:paraId="0135E61F" w14:textId="77777777" w:rsidR="00AE5EEC" w:rsidRDefault="004600F7" w:rsidP="0022717B">
            <w:pPr>
              <w:ind w:left="0"/>
              <w:rPr>
                <w:rFonts w:ascii="Bookman Old Style" w:hAnsi="Bookman Old Style"/>
                <w:bCs/>
                <w:sz w:val="20"/>
                <w:szCs w:val="20"/>
              </w:rPr>
            </w:pPr>
            <w:r>
              <w:rPr>
                <w:rFonts w:ascii="Bookman Old Style" w:hAnsi="Bookman Old Style"/>
                <w:bCs/>
                <w:sz w:val="20"/>
                <w:szCs w:val="20"/>
              </w:rPr>
              <w:t>Dentro de los 2 días hábiles siguientes al item 8</w:t>
            </w:r>
          </w:p>
          <w:p w14:paraId="6FAC5A8A" w14:textId="13D58401" w:rsidR="00AF6BC0" w:rsidRDefault="00AF6BC0" w:rsidP="0022717B">
            <w:pPr>
              <w:ind w:left="0"/>
              <w:rPr>
                <w:rFonts w:ascii="Bookman Old Style" w:hAnsi="Bookman Old Style"/>
                <w:bCs/>
                <w:sz w:val="20"/>
                <w:szCs w:val="20"/>
              </w:rPr>
            </w:pPr>
          </w:p>
        </w:tc>
      </w:tr>
    </w:tbl>
    <w:p w14:paraId="785B3B25" w14:textId="5018A6CC" w:rsidR="0072764D" w:rsidRDefault="0072764D" w:rsidP="009868DB">
      <w:pPr>
        <w:ind w:left="0"/>
        <w:rPr>
          <w:rFonts w:ascii="Bookman Old Style" w:hAnsi="Bookman Old Style"/>
          <w:b/>
        </w:rPr>
      </w:pPr>
    </w:p>
    <w:p w14:paraId="5CC3AE42" w14:textId="5A01051F" w:rsidR="004138E6" w:rsidRDefault="004138E6" w:rsidP="009868DB">
      <w:pPr>
        <w:ind w:left="0"/>
        <w:rPr>
          <w:rFonts w:ascii="Bookman Old Style" w:hAnsi="Bookman Old Style"/>
          <w:b/>
        </w:rPr>
      </w:pPr>
    </w:p>
    <w:p w14:paraId="742E6CB8" w14:textId="340DD5B7" w:rsidR="004138E6" w:rsidRDefault="004138E6" w:rsidP="009868DB">
      <w:pPr>
        <w:ind w:left="0"/>
        <w:rPr>
          <w:rFonts w:ascii="Bookman Old Style" w:hAnsi="Bookman Old Style"/>
          <w:b/>
        </w:rPr>
      </w:pPr>
    </w:p>
    <w:p w14:paraId="11CCA586" w14:textId="72F6C990" w:rsidR="004138E6" w:rsidRDefault="004138E6" w:rsidP="009868DB">
      <w:pPr>
        <w:ind w:left="0"/>
        <w:rPr>
          <w:rFonts w:ascii="Bookman Old Style" w:hAnsi="Bookman Old Style"/>
          <w:b/>
        </w:rPr>
      </w:pPr>
    </w:p>
    <w:p w14:paraId="009F88E3" w14:textId="77777777" w:rsidR="004138E6" w:rsidRDefault="004138E6" w:rsidP="009868DB">
      <w:pPr>
        <w:ind w:left="0"/>
        <w:rPr>
          <w:rFonts w:ascii="Bookman Old Style" w:hAnsi="Bookman Old Style"/>
          <w:b/>
        </w:rPr>
      </w:pPr>
    </w:p>
    <w:p w14:paraId="10558209" w14:textId="3B6A42C6" w:rsidR="0072764D" w:rsidRDefault="0072764D" w:rsidP="009868DB">
      <w:pPr>
        <w:ind w:left="0"/>
        <w:rPr>
          <w:rFonts w:ascii="Bookman Old Style" w:hAnsi="Bookman Old Style"/>
          <w:b/>
        </w:rPr>
      </w:pPr>
    </w:p>
    <w:tbl>
      <w:tblPr>
        <w:tblW w:w="9356" w:type="dxa"/>
        <w:tblCellSpacing w:w="0" w:type="dxa"/>
        <w:tblInd w:w="-142" w:type="dxa"/>
        <w:shd w:val="clear" w:color="auto" w:fill="FFFFFF"/>
        <w:tblCellMar>
          <w:left w:w="0" w:type="dxa"/>
          <w:right w:w="0" w:type="dxa"/>
        </w:tblCellMar>
        <w:tblLook w:val="04A0" w:firstRow="1" w:lastRow="0" w:firstColumn="1" w:lastColumn="0" w:noHBand="0" w:noVBand="1"/>
      </w:tblPr>
      <w:tblGrid>
        <w:gridCol w:w="4678"/>
        <w:gridCol w:w="4678"/>
      </w:tblGrid>
      <w:tr w:rsidR="004138E6" w:rsidRPr="00B64D62" w14:paraId="1B215201" w14:textId="77777777" w:rsidTr="0022717B">
        <w:trPr>
          <w:tblCellSpacing w:w="0" w:type="dxa"/>
        </w:trPr>
        <w:tc>
          <w:tcPr>
            <w:tcW w:w="4678" w:type="dxa"/>
            <w:shd w:val="clear" w:color="auto" w:fill="FFFFFF" w:themeFill="background1"/>
            <w:hideMark/>
          </w:tcPr>
          <w:p w14:paraId="5CE51421" w14:textId="77777777" w:rsidR="004138E6" w:rsidRDefault="004138E6" w:rsidP="0022717B">
            <w:pPr>
              <w:ind w:left="0"/>
              <w:jc w:val="center"/>
              <w:rPr>
                <w:rFonts w:ascii="Bookman Old Style" w:hAnsi="Bookman Old Style"/>
                <w:b/>
              </w:rPr>
            </w:pPr>
            <w:r>
              <w:rPr>
                <w:rFonts w:ascii="Bookman Old Style" w:hAnsi="Bookman Old Style"/>
                <w:b/>
              </w:rPr>
              <w:t>DIEGO MESA PUYO</w:t>
            </w:r>
          </w:p>
          <w:p w14:paraId="5B4230F2" w14:textId="77777777" w:rsidR="004138E6" w:rsidRPr="009B72C4" w:rsidRDefault="004138E6" w:rsidP="0022717B">
            <w:pPr>
              <w:ind w:left="0"/>
              <w:jc w:val="center"/>
              <w:rPr>
                <w:rFonts w:ascii="Bookman Old Style" w:hAnsi="Bookman Old Style" w:cs="Arial"/>
                <w:sz w:val="23"/>
                <w:szCs w:val="23"/>
                <w:lang w:val="es-CO" w:eastAsia="es-CO"/>
              </w:rPr>
            </w:pPr>
          </w:p>
        </w:tc>
        <w:tc>
          <w:tcPr>
            <w:tcW w:w="4678" w:type="dxa"/>
            <w:shd w:val="clear" w:color="auto" w:fill="FFFFFF" w:themeFill="background1"/>
            <w:hideMark/>
          </w:tcPr>
          <w:p w14:paraId="155C9087" w14:textId="77777777" w:rsidR="004138E6" w:rsidRPr="00B64D62" w:rsidRDefault="004138E6" w:rsidP="0022717B">
            <w:pPr>
              <w:ind w:left="142"/>
              <w:jc w:val="center"/>
              <w:rPr>
                <w:rFonts w:ascii="Bookman Old Style" w:hAnsi="Bookman Old Style" w:cs="Arial"/>
                <w:sz w:val="23"/>
                <w:szCs w:val="23"/>
                <w:lang w:val="es-CO" w:eastAsia="es-CO"/>
              </w:rPr>
            </w:pPr>
            <w:r>
              <w:rPr>
                <w:rFonts w:ascii="Bookman Old Style" w:hAnsi="Bookman Old Style" w:cs="Arial"/>
                <w:b/>
                <w:bCs/>
                <w:szCs w:val="23"/>
                <w:lang w:val="es-CO" w:eastAsia="es-CO"/>
              </w:rPr>
              <w:t>JORGE ALBERTO VALENCIA MARÍN</w:t>
            </w:r>
          </w:p>
        </w:tc>
      </w:tr>
      <w:tr w:rsidR="004138E6" w:rsidRPr="00B64D62" w14:paraId="73CBD0EA" w14:textId="77777777" w:rsidTr="0022717B">
        <w:trPr>
          <w:tblCellSpacing w:w="0" w:type="dxa"/>
        </w:trPr>
        <w:tc>
          <w:tcPr>
            <w:tcW w:w="4678" w:type="dxa"/>
            <w:shd w:val="clear" w:color="auto" w:fill="FFFFFF" w:themeFill="background1"/>
            <w:hideMark/>
          </w:tcPr>
          <w:p w14:paraId="6853A45D" w14:textId="77777777" w:rsidR="004138E6" w:rsidRPr="00B64D62" w:rsidRDefault="004138E6" w:rsidP="0022717B">
            <w:pPr>
              <w:ind w:left="0"/>
              <w:jc w:val="center"/>
              <w:rPr>
                <w:rFonts w:ascii="Bookman Old Style" w:hAnsi="Bookman Old Style" w:cs="Arial"/>
                <w:lang w:val="es-CO" w:eastAsia="es-CO"/>
              </w:rPr>
            </w:pPr>
            <w:r w:rsidRPr="00B64D62">
              <w:rPr>
                <w:rFonts w:ascii="Bookman Old Style" w:hAnsi="Bookman Old Style"/>
              </w:rPr>
              <w:t>Ministr</w:t>
            </w:r>
            <w:r>
              <w:rPr>
                <w:rFonts w:ascii="Bookman Old Style" w:hAnsi="Bookman Old Style"/>
              </w:rPr>
              <w:t>o</w:t>
            </w:r>
            <w:r w:rsidRPr="00B64D62">
              <w:rPr>
                <w:rFonts w:ascii="Bookman Old Style" w:hAnsi="Bookman Old Style"/>
              </w:rPr>
              <w:t xml:space="preserve"> de Minas y Energía</w:t>
            </w:r>
          </w:p>
        </w:tc>
        <w:tc>
          <w:tcPr>
            <w:tcW w:w="4678" w:type="dxa"/>
            <w:shd w:val="clear" w:color="auto" w:fill="FFFFFF" w:themeFill="background1"/>
            <w:hideMark/>
          </w:tcPr>
          <w:p w14:paraId="6BD55FDF" w14:textId="77777777" w:rsidR="004138E6" w:rsidRPr="00B64D62" w:rsidRDefault="004138E6" w:rsidP="0022717B">
            <w:pPr>
              <w:ind w:left="142"/>
              <w:jc w:val="center"/>
              <w:rPr>
                <w:rFonts w:ascii="Bookman Old Style" w:hAnsi="Bookman Old Style" w:cs="Arial"/>
                <w:lang w:val="es-CO" w:eastAsia="es-CO"/>
              </w:rPr>
            </w:pPr>
            <w:r w:rsidRPr="00B64D62">
              <w:rPr>
                <w:rFonts w:ascii="Bookman Old Style" w:hAnsi="Bookman Old Style" w:cs="Arial"/>
                <w:lang w:val="es-CO" w:eastAsia="es-CO"/>
              </w:rPr>
              <w:t>Director Ejecutivo</w:t>
            </w:r>
          </w:p>
        </w:tc>
      </w:tr>
      <w:tr w:rsidR="004138E6" w:rsidRPr="00B64D62" w14:paraId="4D0D3B56" w14:textId="77777777" w:rsidTr="0022717B">
        <w:trPr>
          <w:tblCellSpacing w:w="0" w:type="dxa"/>
        </w:trPr>
        <w:tc>
          <w:tcPr>
            <w:tcW w:w="4678" w:type="dxa"/>
            <w:shd w:val="clear" w:color="auto" w:fill="FFFFFF" w:themeFill="background1"/>
            <w:hideMark/>
          </w:tcPr>
          <w:p w14:paraId="6D1A9837" w14:textId="77777777" w:rsidR="004138E6" w:rsidRPr="00B64D62" w:rsidRDefault="004138E6" w:rsidP="0022717B">
            <w:pPr>
              <w:ind w:left="0"/>
              <w:jc w:val="center"/>
              <w:rPr>
                <w:rFonts w:ascii="Bookman Old Style" w:hAnsi="Bookman Old Style" w:cs="Arial"/>
                <w:lang w:val="es-CO" w:eastAsia="es-CO"/>
              </w:rPr>
            </w:pPr>
            <w:r w:rsidRPr="00B64D62">
              <w:rPr>
                <w:rFonts w:ascii="Bookman Old Style" w:hAnsi="Bookman Old Style" w:cs="Arial"/>
                <w:lang w:val="es-CO" w:eastAsia="es-CO"/>
              </w:rPr>
              <w:t>Presidente</w:t>
            </w:r>
          </w:p>
        </w:tc>
        <w:tc>
          <w:tcPr>
            <w:tcW w:w="4678" w:type="dxa"/>
            <w:shd w:val="clear" w:color="auto" w:fill="FFFFFF" w:themeFill="background1"/>
            <w:hideMark/>
          </w:tcPr>
          <w:p w14:paraId="304E75E2" w14:textId="77777777" w:rsidR="004138E6" w:rsidRPr="00B64D62" w:rsidRDefault="004138E6" w:rsidP="0022717B">
            <w:pPr>
              <w:ind w:left="142"/>
              <w:rPr>
                <w:rFonts w:ascii="Bookman Old Style" w:hAnsi="Bookman Old Style" w:cs="Arial"/>
                <w:lang w:val="es-CO" w:eastAsia="es-CO"/>
              </w:rPr>
            </w:pPr>
            <w:r>
              <w:rPr>
                <w:noProof/>
              </w:rPr>
              <w:drawing>
                <wp:inline distT="0" distB="0" distL="0" distR="0" wp14:anchorId="0FAA4316" wp14:editId="11DC6B9A">
                  <wp:extent cx="9525" cy="9525"/>
                  <wp:effectExtent l="0" t="0" r="0" b="0"/>
                  <wp:docPr id="5" name="Imagen 18" descr="http://apolo.creg.gov.co/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pic:nvPicPr>
                        <pic:blipFill>
                          <a:blip r:embed="rId14">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tc>
      </w:tr>
    </w:tbl>
    <w:p w14:paraId="026A6B1E" w14:textId="479C0B28" w:rsidR="0072764D" w:rsidRDefault="0072764D" w:rsidP="009868DB">
      <w:pPr>
        <w:ind w:left="0"/>
        <w:rPr>
          <w:rFonts w:ascii="Bookman Old Style" w:hAnsi="Bookman Old Style"/>
          <w:b/>
        </w:rPr>
      </w:pPr>
    </w:p>
    <w:sectPr w:rsidR="0072764D" w:rsidSect="008A254E">
      <w:headerReference w:type="default" r:id="rId16"/>
      <w:headerReference w:type="first" r:id="rId17"/>
      <w:type w:val="continuous"/>
      <w:pgSz w:w="12242" w:h="18722" w:code="119"/>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6CE94" w14:textId="77777777" w:rsidR="00181F3E" w:rsidRDefault="00181F3E">
      <w:r>
        <w:separator/>
      </w:r>
    </w:p>
  </w:endnote>
  <w:endnote w:type="continuationSeparator" w:id="0">
    <w:p w14:paraId="407EED5A" w14:textId="77777777" w:rsidR="00181F3E" w:rsidRDefault="0018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2FDFD" w14:textId="77777777" w:rsidR="00181F3E" w:rsidRDefault="00181F3E">
      <w:r>
        <w:separator/>
      </w:r>
    </w:p>
  </w:footnote>
  <w:footnote w:type="continuationSeparator" w:id="0">
    <w:p w14:paraId="6BFF5D0C" w14:textId="77777777" w:rsidR="00181F3E" w:rsidRDefault="00181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F9C9" w14:textId="77777777" w:rsidR="00CC51D4" w:rsidRDefault="00CC51D4" w:rsidP="00951F79">
    <w:pPr>
      <w:pStyle w:val="Ttulo1"/>
      <w:ind w:right="6"/>
      <w:jc w:val="left"/>
      <w:rPr>
        <w:rFonts w:ascii="Bookman Old Style" w:hAnsi="Bookman Old Style" w:cs="Arial"/>
        <w:b w:val="0"/>
        <w:sz w:val="22"/>
        <w:szCs w:val="22"/>
      </w:rPr>
    </w:pPr>
  </w:p>
  <w:p w14:paraId="0D8D6D0A" w14:textId="01621DA1"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951F79">
      <w:rPr>
        <w:rFonts w:ascii="Bookman Old Style" w:hAnsi="Bookman Old Style" w:cs="Arial"/>
        <w:b w:val="0"/>
        <w:sz w:val="22"/>
        <w:szCs w:val="22"/>
      </w:rPr>
      <w:t xml:space="preserve">  _</w:t>
    </w:r>
    <w:r w:rsidR="009D1367" w:rsidRPr="009D1367">
      <w:rPr>
        <w:rFonts w:ascii="Bookman Old Style" w:hAnsi="Bookman Old Style" w:cs="Arial"/>
        <w:bCs/>
        <w:szCs w:val="24"/>
        <w:u w:val="single"/>
      </w:rPr>
      <w:t>223</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9D1367" w:rsidRPr="009D1367">
      <w:rPr>
        <w:rFonts w:ascii="Bookman Old Style" w:hAnsi="Bookman Old Style" w:cs="Arial"/>
        <w:bCs/>
        <w:szCs w:val="24"/>
        <w:u w:val="single"/>
      </w:rPr>
      <w:t>17 DIC. 2021</w:t>
    </w:r>
    <w:r w:rsidR="009D1367">
      <w:rPr>
        <w:rFonts w:ascii="Bookman Old Style" w:hAnsi="Bookman Old Style" w:cs="Arial"/>
        <w:b w:val="0"/>
        <w:sz w:val="22"/>
        <w:szCs w:val="22"/>
      </w:rPr>
      <w:t xml:space="preserve">        H</w:t>
    </w:r>
    <w:r w:rsidRPr="00654384">
      <w:rPr>
        <w:rFonts w:ascii="Bookman Old Style" w:hAnsi="Bookman Old Style" w:cs="Arial"/>
        <w:b w:val="0"/>
        <w:sz w:val="22"/>
        <w:szCs w:val="22"/>
      </w:rPr>
      <w:t>OJA No.</w:t>
    </w:r>
    <w:r w:rsidR="00593C4F" w:rsidRPr="00654384">
      <w:rPr>
        <w:rFonts w:ascii="Bookman Old Style" w:hAnsi="Bookman Old Style" w:cs="Arial"/>
        <w:b w:val="0"/>
        <w:sz w:val="22"/>
        <w:szCs w:val="22"/>
      </w:rPr>
      <w:t xml:space="preserve"> </w:t>
    </w:r>
    <w:r w:rsidR="000E24BB"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0E24BB" w:rsidRPr="00654384">
      <w:rPr>
        <w:rFonts w:ascii="Bookman Old Style" w:hAnsi="Bookman Old Style" w:cs="Arial"/>
        <w:b w:val="0"/>
        <w:sz w:val="22"/>
        <w:szCs w:val="22"/>
      </w:rPr>
      <w:fldChar w:fldCharType="separate"/>
    </w:r>
    <w:r w:rsidR="00F651F7">
      <w:rPr>
        <w:rFonts w:ascii="Bookman Old Style" w:hAnsi="Bookman Old Style" w:cs="Arial"/>
        <w:b w:val="0"/>
        <w:noProof/>
        <w:sz w:val="22"/>
        <w:szCs w:val="22"/>
      </w:rPr>
      <w:t>11</w:t>
    </w:r>
    <w:r w:rsidR="000E24BB"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8C34B8">
      <w:fldChar w:fldCharType="begin"/>
    </w:r>
    <w:r w:rsidR="008C34B8">
      <w:instrText>NUMPAGES  \* MERGEFORMAT</w:instrText>
    </w:r>
    <w:r w:rsidR="008C34B8">
      <w:fldChar w:fldCharType="separate"/>
    </w:r>
    <w:r w:rsidR="00F651F7" w:rsidRPr="00F651F7">
      <w:rPr>
        <w:rFonts w:ascii="Bookman Old Style" w:hAnsi="Bookman Old Style" w:cs="Arial"/>
        <w:b w:val="0"/>
        <w:noProof/>
        <w:sz w:val="22"/>
        <w:szCs w:val="22"/>
      </w:rPr>
      <w:t>11</w:t>
    </w:r>
    <w:r w:rsidR="008C34B8">
      <w:rPr>
        <w:rFonts w:ascii="Bookman Old Style" w:hAnsi="Bookman Old Style" w:cs="Arial"/>
        <w:b w:val="0"/>
        <w:noProof/>
        <w:sz w:val="22"/>
        <w:szCs w:val="22"/>
      </w:rPr>
      <w:fldChar w:fldCharType="end"/>
    </w:r>
  </w:p>
  <w:p w14:paraId="059CC405" w14:textId="77777777" w:rsidR="006F6D95" w:rsidRDefault="0000172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C119726" wp14:editId="49E087D6">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6F1FF"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37FDEBE3" w14:textId="77777777" w:rsidR="009D1367" w:rsidRPr="009D1367" w:rsidRDefault="009D1367" w:rsidP="009D1367">
    <w:pPr>
      <w:ind w:left="0"/>
      <w:jc w:val="both"/>
      <w:rPr>
        <w:rFonts w:ascii="Bookman Old Style" w:hAnsi="Bookman Old Style"/>
        <w:sz w:val="22"/>
        <w:szCs w:val="22"/>
      </w:rPr>
    </w:pPr>
    <w:r w:rsidRPr="009D1367">
      <w:rPr>
        <w:rFonts w:ascii="Bookman Old Style" w:hAnsi="Bookman Old Style" w:cs="Arial"/>
        <w:sz w:val="22"/>
        <w:szCs w:val="22"/>
      </w:rPr>
      <w:t>Por la cual se ordena hacer público un proyecto de resolución de carácter general, “</w:t>
    </w:r>
    <w:r w:rsidRPr="009D1367">
      <w:rPr>
        <w:rFonts w:ascii="Bookman Old Style" w:hAnsi="Bookman Old Style" w:cs="Arial"/>
        <w:i/>
        <w:iCs/>
        <w:sz w:val="22"/>
        <w:szCs w:val="22"/>
      </w:rPr>
      <w:t>Por la cual se establece la oportunidad en que se asignarán las Obligaciones de Energía Firme del Cargo por Confiabilidad para los períodos comprendidos entre diciembre 1 de 2023 a noviembre 30 de 2024, y diciembre 1 de 2024 a noviembre 30 de 2025</w:t>
    </w:r>
    <w:r w:rsidRPr="009D1367">
      <w:rPr>
        <w:rFonts w:ascii="Bookman Old Style" w:hAnsi="Bookman Old Style" w:cs="Arial"/>
        <w:sz w:val="22"/>
        <w:szCs w:val="22"/>
      </w:rPr>
      <w:t>”</w:t>
    </w:r>
  </w:p>
  <w:p w14:paraId="4FD0CEAA" w14:textId="77777777" w:rsidR="0044318E" w:rsidRPr="00045D3D" w:rsidRDefault="0044318E" w:rsidP="00726540">
    <w:pPr>
      <w:pBdr>
        <w:bottom w:val="single" w:sz="4" w:space="1" w:color="auto"/>
      </w:pBdr>
      <w:ind w:left="0" w:right="14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59B5"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014D4109" w14:textId="77777777" w:rsidR="00725FA4" w:rsidRDefault="00725FA4">
    <w:pPr>
      <w:pStyle w:val="Encabezado"/>
      <w:jc w:val="center"/>
      <w:rPr>
        <w:rFonts w:ascii="Arial" w:hAnsi="Arial" w:cs="Arial"/>
        <w:spacing w:val="20"/>
        <w:sz w:val="20"/>
      </w:rPr>
    </w:pPr>
  </w:p>
  <w:p w14:paraId="0BC4A64D" w14:textId="77777777" w:rsidR="00725FA4" w:rsidRDefault="0000172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5C80079" wp14:editId="24C6F2BB">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06658C"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CCD4F9B"/>
    <w:multiLevelType w:val="hybridMultilevel"/>
    <w:tmpl w:val="DF6E0096"/>
    <w:lvl w:ilvl="0" w:tplc="D1FEA552">
      <w:numFmt w:val="bullet"/>
      <w:lvlText w:val="-"/>
      <w:lvlJc w:val="left"/>
      <w:pPr>
        <w:ind w:left="360" w:hanging="360"/>
      </w:pPr>
      <w:rPr>
        <w:rFonts w:ascii="Bookman Old Style" w:eastAsia="Times New Roman" w:hAnsi="Bookman Old Style"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254A3391"/>
    <w:multiLevelType w:val="hybridMultilevel"/>
    <w:tmpl w:val="3D22B9EA"/>
    <w:lvl w:ilvl="0" w:tplc="240A001B">
      <w:start w:val="1"/>
      <w:numFmt w:val="lowerRoman"/>
      <w:lvlText w:val="%1."/>
      <w:lvlJc w:val="right"/>
      <w:pPr>
        <w:ind w:left="720" w:hanging="360"/>
      </w:pPr>
      <w:rPr>
        <w:rFonts w:ascii="Times New Roman" w:hAnsi="Times New Roman"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9654E2D"/>
    <w:multiLevelType w:val="hybridMultilevel"/>
    <w:tmpl w:val="D69A80EE"/>
    <w:lvl w:ilvl="0" w:tplc="240A001B">
      <w:start w:val="1"/>
      <w:numFmt w:val="lowerRoman"/>
      <w:lvlText w:val="%1."/>
      <w:lvlJc w:val="right"/>
      <w:pPr>
        <w:ind w:left="1004" w:hanging="360"/>
      </w:pPr>
    </w:lvl>
    <w:lvl w:ilvl="1" w:tplc="240A0019">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5" w15:restartNumberingAfterBreak="0">
    <w:nsid w:val="5CD10FAF"/>
    <w:multiLevelType w:val="hybridMultilevel"/>
    <w:tmpl w:val="AA6EE24C"/>
    <w:lvl w:ilvl="0" w:tplc="240A001B">
      <w:start w:val="1"/>
      <w:numFmt w:val="lowerRoman"/>
      <w:lvlText w:val="%1."/>
      <w:lvlJc w:val="right"/>
      <w:pPr>
        <w:ind w:left="792" w:hanging="360"/>
      </w:pPr>
    </w:lvl>
    <w:lvl w:ilvl="1" w:tplc="240A0019" w:tentative="1">
      <w:start w:val="1"/>
      <w:numFmt w:val="lowerLetter"/>
      <w:lvlText w:val="%2."/>
      <w:lvlJc w:val="left"/>
      <w:pPr>
        <w:ind w:left="1512" w:hanging="360"/>
      </w:pPr>
    </w:lvl>
    <w:lvl w:ilvl="2" w:tplc="240A001B" w:tentative="1">
      <w:start w:val="1"/>
      <w:numFmt w:val="lowerRoman"/>
      <w:lvlText w:val="%3."/>
      <w:lvlJc w:val="right"/>
      <w:pPr>
        <w:ind w:left="2232" w:hanging="180"/>
      </w:pPr>
    </w:lvl>
    <w:lvl w:ilvl="3" w:tplc="240A000F" w:tentative="1">
      <w:start w:val="1"/>
      <w:numFmt w:val="decimal"/>
      <w:lvlText w:val="%4."/>
      <w:lvlJc w:val="left"/>
      <w:pPr>
        <w:ind w:left="2952" w:hanging="360"/>
      </w:pPr>
    </w:lvl>
    <w:lvl w:ilvl="4" w:tplc="240A0019" w:tentative="1">
      <w:start w:val="1"/>
      <w:numFmt w:val="lowerLetter"/>
      <w:lvlText w:val="%5."/>
      <w:lvlJc w:val="left"/>
      <w:pPr>
        <w:ind w:left="3672" w:hanging="360"/>
      </w:pPr>
    </w:lvl>
    <w:lvl w:ilvl="5" w:tplc="240A001B" w:tentative="1">
      <w:start w:val="1"/>
      <w:numFmt w:val="lowerRoman"/>
      <w:lvlText w:val="%6."/>
      <w:lvlJc w:val="right"/>
      <w:pPr>
        <w:ind w:left="4392" w:hanging="180"/>
      </w:pPr>
    </w:lvl>
    <w:lvl w:ilvl="6" w:tplc="240A000F" w:tentative="1">
      <w:start w:val="1"/>
      <w:numFmt w:val="decimal"/>
      <w:lvlText w:val="%7."/>
      <w:lvlJc w:val="left"/>
      <w:pPr>
        <w:ind w:left="5112" w:hanging="360"/>
      </w:pPr>
    </w:lvl>
    <w:lvl w:ilvl="7" w:tplc="240A0019" w:tentative="1">
      <w:start w:val="1"/>
      <w:numFmt w:val="lowerLetter"/>
      <w:lvlText w:val="%8."/>
      <w:lvlJc w:val="left"/>
      <w:pPr>
        <w:ind w:left="5832" w:hanging="360"/>
      </w:pPr>
    </w:lvl>
    <w:lvl w:ilvl="8" w:tplc="240A001B" w:tentative="1">
      <w:start w:val="1"/>
      <w:numFmt w:val="lowerRoman"/>
      <w:lvlText w:val="%9."/>
      <w:lvlJc w:val="right"/>
      <w:pPr>
        <w:ind w:left="6552" w:hanging="180"/>
      </w:pPr>
    </w:lvl>
  </w:abstractNum>
  <w:abstractNum w:abstractNumId="6" w15:restartNumberingAfterBreak="0">
    <w:nsid w:val="628255D3"/>
    <w:multiLevelType w:val="hybridMultilevel"/>
    <w:tmpl w:val="6E820256"/>
    <w:lvl w:ilvl="0" w:tplc="BEE02D62">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93A282A"/>
    <w:multiLevelType w:val="hybridMultilevel"/>
    <w:tmpl w:val="0F860804"/>
    <w:lvl w:ilvl="0" w:tplc="240A001B">
      <w:start w:val="1"/>
      <w:numFmt w:val="lowerRoman"/>
      <w:lvlText w:val="%1."/>
      <w:lvlJc w:val="right"/>
      <w:pPr>
        <w:ind w:left="720" w:hanging="360"/>
      </w:pPr>
      <w:rPr>
        <w:rFonts w:ascii="Times New Roman" w:hAnsi="Times New Roman" w:cs="Times New Roman"/>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6"/>
  </w:num>
  <w:num w:numId="3">
    <w:abstractNumId w:val="4"/>
  </w:num>
  <w:num w:numId="4">
    <w:abstractNumId w:val="3"/>
  </w:num>
  <w:num w:numId="5">
    <w:abstractNumId w:val="7"/>
  </w:num>
  <w:num w:numId="6">
    <w:abstractNumId w:val="5"/>
  </w:num>
  <w:num w:numId="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186"/>
    <w:rsid w:val="0000172A"/>
    <w:rsid w:val="00002C80"/>
    <w:rsid w:val="00003B8F"/>
    <w:rsid w:val="000044C4"/>
    <w:rsid w:val="00006AE2"/>
    <w:rsid w:val="00006B49"/>
    <w:rsid w:val="000076A1"/>
    <w:rsid w:val="00011FEC"/>
    <w:rsid w:val="000121F8"/>
    <w:rsid w:val="00012259"/>
    <w:rsid w:val="00012456"/>
    <w:rsid w:val="00013173"/>
    <w:rsid w:val="00013BFC"/>
    <w:rsid w:val="000141C4"/>
    <w:rsid w:val="0001431B"/>
    <w:rsid w:val="00016A41"/>
    <w:rsid w:val="00022439"/>
    <w:rsid w:val="00022857"/>
    <w:rsid w:val="00022E88"/>
    <w:rsid w:val="0002448D"/>
    <w:rsid w:val="00024B09"/>
    <w:rsid w:val="00025383"/>
    <w:rsid w:val="00025F99"/>
    <w:rsid w:val="00026B28"/>
    <w:rsid w:val="000319C0"/>
    <w:rsid w:val="00031FBB"/>
    <w:rsid w:val="00034876"/>
    <w:rsid w:val="00034EF2"/>
    <w:rsid w:val="000356FD"/>
    <w:rsid w:val="00036B92"/>
    <w:rsid w:val="000371EF"/>
    <w:rsid w:val="0004274D"/>
    <w:rsid w:val="00045633"/>
    <w:rsid w:val="00045D3D"/>
    <w:rsid w:val="00046141"/>
    <w:rsid w:val="00046290"/>
    <w:rsid w:val="0005470D"/>
    <w:rsid w:val="0005559C"/>
    <w:rsid w:val="00055E67"/>
    <w:rsid w:val="0005675C"/>
    <w:rsid w:val="00056DB9"/>
    <w:rsid w:val="00060BD0"/>
    <w:rsid w:val="00063657"/>
    <w:rsid w:val="0006683F"/>
    <w:rsid w:val="00066F05"/>
    <w:rsid w:val="000674A0"/>
    <w:rsid w:val="0006770B"/>
    <w:rsid w:val="00067F34"/>
    <w:rsid w:val="00071869"/>
    <w:rsid w:val="0007285D"/>
    <w:rsid w:val="00073ABB"/>
    <w:rsid w:val="00075212"/>
    <w:rsid w:val="000754AB"/>
    <w:rsid w:val="00076680"/>
    <w:rsid w:val="00076A1D"/>
    <w:rsid w:val="0007759C"/>
    <w:rsid w:val="00077A35"/>
    <w:rsid w:val="00077B41"/>
    <w:rsid w:val="0008073E"/>
    <w:rsid w:val="0008143E"/>
    <w:rsid w:val="000818B6"/>
    <w:rsid w:val="00081AA4"/>
    <w:rsid w:val="00085126"/>
    <w:rsid w:val="00086642"/>
    <w:rsid w:val="00087362"/>
    <w:rsid w:val="00091CDB"/>
    <w:rsid w:val="00091F1F"/>
    <w:rsid w:val="0009230E"/>
    <w:rsid w:val="00093247"/>
    <w:rsid w:val="000933DE"/>
    <w:rsid w:val="000934D2"/>
    <w:rsid w:val="00094573"/>
    <w:rsid w:val="00094B06"/>
    <w:rsid w:val="000953E3"/>
    <w:rsid w:val="000956D8"/>
    <w:rsid w:val="00097978"/>
    <w:rsid w:val="000A156F"/>
    <w:rsid w:val="000A19AC"/>
    <w:rsid w:val="000A403F"/>
    <w:rsid w:val="000B09E0"/>
    <w:rsid w:val="000B1B7A"/>
    <w:rsid w:val="000B2D30"/>
    <w:rsid w:val="000B2EC9"/>
    <w:rsid w:val="000B3969"/>
    <w:rsid w:val="000B4071"/>
    <w:rsid w:val="000B77D0"/>
    <w:rsid w:val="000B7A3C"/>
    <w:rsid w:val="000C0700"/>
    <w:rsid w:val="000C1911"/>
    <w:rsid w:val="000C1D3E"/>
    <w:rsid w:val="000C28FB"/>
    <w:rsid w:val="000C4B83"/>
    <w:rsid w:val="000C687E"/>
    <w:rsid w:val="000C74C2"/>
    <w:rsid w:val="000D0F0F"/>
    <w:rsid w:val="000D113F"/>
    <w:rsid w:val="000D13D1"/>
    <w:rsid w:val="000D26F8"/>
    <w:rsid w:val="000D3E20"/>
    <w:rsid w:val="000D42DF"/>
    <w:rsid w:val="000D5294"/>
    <w:rsid w:val="000D52EF"/>
    <w:rsid w:val="000D55C2"/>
    <w:rsid w:val="000D6838"/>
    <w:rsid w:val="000D7EAE"/>
    <w:rsid w:val="000E24BB"/>
    <w:rsid w:val="000E2D07"/>
    <w:rsid w:val="000E3EDE"/>
    <w:rsid w:val="000E4B55"/>
    <w:rsid w:val="000E4CF3"/>
    <w:rsid w:val="000E654E"/>
    <w:rsid w:val="000E7111"/>
    <w:rsid w:val="000F020D"/>
    <w:rsid w:val="000F6462"/>
    <w:rsid w:val="000F7651"/>
    <w:rsid w:val="0010022B"/>
    <w:rsid w:val="0010057F"/>
    <w:rsid w:val="001011C0"/>
    <w:rsid w:val="001023D1"/>
    <w:rsid w:val="00106654"/>
    <w:rsid w:val="00106BBA"/>
    <w:rsid w:val="0011048E"/>
    <w:rsid w:val="00110C12"/>
    <w:rsid w:val="00111333"/>
    <w:rsid w:val="00111F20"/>
    <w:rsid w:val="001128D9"/>
    <w:rsid w:val="00112D48"/>
    <w:rsid w:val="001144A0"/>
    <w:rsid w:val="001153AB"/>
    <w:rsid w:val="001173F5"/>
    <w:rsid w:val="00123185"/>
    <w:rsid w:val="00123AD6"/>
    <w:rsid w:val="00124331"/>
    <w:rsid w:val="00124336"/>
    <w:rsid w:val="00125978"/>
    <w:rsid w:val="0012717F"/>
    <w:rsid w:val="001273A6"/>
    <w:rsid w:val="00131E94"/>
    <w:rsid w:val="00132F8E"/>
    <w:rsid w:val="00133BDF"/>
    <w:rsid w:val="0013526C"/>
    <w:rsid w:val="00136B9E"/>
    <w:rsid w:val="001405C6"/>
    <w:rsid w:val="00141013"/>
    <w:rsid w:val="00141770"/>
    <w:rsid w:val="001425B5"/>
    <w:rsid w:val="0014398D"/>
    <w:rsid w:val="00143F78"/>
    <w:rsid w:val="00144D4B"/>
    <w:rsid w:val="00145EF6"/>
    <w:rsid w:val="00147F08"/>
    <w:rsid w:val="001503FE"/>
    <w:rsid w:val="00153D37"/>
    <w:rsid w:val="00154248"/>
    <w:rsid w:val="00155496"/>
    <w:rsid w:val="00162D1E"/>
    <w:rsid w:val="00162EB7"/>
    <w:rsid w:val="001635F1"/>
    <w:rsid w:val="00166341"/>
    <w:rsid w:val="00166E86"/>
    <w:rsid w:val="00166F2A"/>
    <w:rsid w:val="001678F4"/>
    <w:rsid w:val="00170016"/>
    <w:rsid w:val="0017352D"/>
    <w:rsid w:val="00176803"/>
    <w:rsid w:val="00177CF6"/>
    <w:rsid w:val="00177F18"/>
    <w:rsid w:val="0018041F"/>
    <w:rsid w:val="00181CEE"/>
    <w:rsid w:val="00181D04"/>
    <w:rsid w:val="00181F3E"/>
    <w:rsid w:val="00192CBF"/>
    <w:rsid w:val="00192FF1"/>
    <w:rsid w:val="00195C81"/>
    <w:rsid w:val="001961AD"/>
    <w:rsid w:val="00196296"/>
    <w:rsid w:val="001A0397"/>
    <w:rsid w:val="001A5F1B"/>
    <w:rsid w:val="001A6184"/>
    <w:rsid w:val="001B09CE"/>
    <w:rsid w:val="001B0B64"/>
    <w:rsid w:val="001B1C22"/>
    <w:rsid w:val="001B34C6"/>
    <w:rsid w:val="001B3E43"/>
    <w:rsid w:val="001B40D1"/>
    <w:rsid w:val="001B43EF"/>
    <w:rsid w:val="001B480F"/>
    <w:rsid w:val="001C118A"/>
    <w:rsid w:val="001C5C2F"/>
    <w:rsid w:val="001D14B6"/>
    <w:rsid w:val="001D57D4"/>
    <w:rsid w:val="001D5C41"/>
    <w:rsid w:val="001D5EF1"/>
    <w:rsid w:val="001D638E"/>
    <w:rsid w:val="001D6F9E"/>
    <w:rsid w:val="001D7275"/>
    <w:rsid w:val="001D7832"/>
    <w:rsid w:val="001E13E4"/>
    <w:rsid w:val="001E144B"/>
    <w:rsid w:val="001E2402"/>
    <w:rsid w:val="001E37EA"/>
    <w:rsid w:val="001E39E7"/>
    <w:rsid w:val="001E720F"/>
    <w:rsid w:val="001E739B"/>
    <w:rsid w:val="001F2F5A"/>
    <w:rsid w:val="001F4D7B"/>
    <w:rsid w:val="001F5874"/>
    <w:rsid w:val="001F6573"/>
    <w:rsid w:val="001F6A2F"/>
    <w:rsid w:val="001F7653"/>
    <w:rsid w:val="001F793B"/>
    <w:rsid w:val="002000C0"/>
    <w:rsid w:val="00201DE3"/>
    <w:rsid w:val="002020E7"/>
    <w:rsid w:val="002024C0"/>
    <w:rsid w:val="00204A7D"/>
    <w:rsid w:val="00206E63"/>
    <w:rsid w:val="00207001"/>
    <w:rsid w:val="00210DC1"/>
    <w:rsid w:val="00211D34"/>
    <w:rsid w:val="002140BA"/>
    <w:rsid w:val="002140EB"/>
    <w:rsid w:val="00214F04"/>
    <w:rsid w:val="00222FA7"/>
    <w:rsid w:val="00224582"/>
    <w:rsid w:val="00224C8B"/>
    <w:rsid w:val="00224D40"/>
    <w:rsid w:val="0022650F"/>
    <w:rsid w:val="00226BDB"/>
    <w:rsid w:val="00226C08"/>
    <w:rsid w:val="002302E1"/>
    <w:rsid w:val="002324EF"/>
    <w:rsid w:val="002331D5"/>
    <w:rsid w:val="00233299"/>
    <w:rsid w:val="002347A7"/>
    <w:rsid w:val="00234C27"/>
    <w:rsid w:val="002352B9"/>
    <w:rsid w:val="00237DF1"/>
    <w:rsid w:val="0024018F"/>
    <w:rsid w:val="00244689"/>
    <w:rsid w:val="00244C93"/>
    <w:rsid w:val="0024545A"/>
    <w:rsid w:val="00245A62"/>
    <w:rsid w:val="002475BA"/>
    <w:rsid w:val="00251017"/>
    <w:rsid w:val="00251F98"/>
    <w:rsid w:val="00253D8E"/>
    <w:rsid w:val="002540AE"/>
    <w:rsid w:val="00256229"/>
    <w:rsid w:val="00257699"/>
    <w:rsid w:val="002605E7"/>
    <w:rsid w:val="00262216"/>
    <w:rsid w:val="0026363F"/>
    <w:rsid w:val="00263E54"/>
    <w:rsid w:val="00263FE7"/>
    <w:rsid w:val="00266CD6"/>
    <w:rsid w:val="002673AC"/>
    <w:rsid w:val="00267D67"/>
    <w:rsid w:val="00267FB0"/>
    <w:rsid w:val="002722F3"/>
    <w:rsid w:val="00275DAB"/>
    <w:rsid w:val="0028035B"/>
    <w:rsid w:val="002810E5"/>
    <w:rsid w:val="00283662"/>
    <w:rsid w:val="00283E29"/>
    <w:rsid w:val="002845D2"/>
    <w:rsid w:val="0028757D"/>
    <w:rsid w:val="00287D25"/>
    <w:rsid w:val="002903C0"/>
    <w:rsid w:val="00290AB4"/>
    <w:rsid w:val="00290F1C"/>
    <w:rsid w:val="00291B13"/>
    <w:rsid w:val="00293289"/>
    <w:rsid w:val="002959A2"/>
    <w:rsid w:val="00295B89"/>
    <w:rsid w:val="002975C5"/>
    <w:rsid w:val="002A0CE4"/>
    <w:rsid w:val="002A2999"/>
    <w:rsid w:val="002A3539"/>
    <w:rsid w:val="002A4999"/>
    <w:rsid w:val="002A782A"/>
    <w:rsid w:val="002B11E2"/>
    <w:rsid w:val="002B24B8"/>
    <w:rsid w:val="002B3197"/>
    <w:rsid w:val="002B4952"/>
    <w:rsid w:val="002B573C"/>
    <w:rsid w:val="002B6148"/>
    <w:rsid w:val="002B7927"/>
    <w:rsid w:val="002C05C1"/>
    <w:rsid w:val="002C133D"/>
    <w:rsid w:val="002C1D7A"/>
    <w:rsid w:val="002C2293"/>
    <w:rsid w:val="002C5BB2"/>
    <w:rsid w:val="002D0DC9"/>
    <w:rsid w:val="002D1C38"/>
    <w:rsid w:val="002D27C3"/>
    <w:rsid w:val="002D3AE9"/>
    <w:rsid w:val="002D441B"/>
    <w:rsid w:val="002D4510"/>
    <w:rsid w:val="002D64CE"/>
    <w:rsid w:val="002E24A5"/>
    <w:rsid w:val="002E2D24"/>
    <w:rsid w:val="002E2D9E"/>
    <w:rsid w:val="002E3A4C"/>
    <w:rsid w:val="002E519B"/>
    <w:rsid w:val="002E61BC"/>
    <w:rsid w:val="002E627B"/>
    <w:rsid w:val="002E6509"/>
    <w:rsid w:val="002E70FB"/>
    <w:rsid w:val="002E73EA"/>
    <w:rsid w:val="002E77F0"/>
    <w:rsid w:val="002F0331"/>
    <w:rsid w:val="002F0734"/>
    <w:rsid w:val="002F4127"/>
    <w:rsid w:val="002F46E7"/>
    <w:rsid w:val="002F56A8"/>
    <w:rsid w:val="002F5772"/>
    <w:rsid w:val="002F6860"/>
    <w:rsid w:val="002F7DF6"/>
    <w:rsid w:val="003007AC"/>
    <w:rsid w:val="003011BC"/>
    <w:rsid w:val="00303C43"/>
    <w:rsid w:val="00305310"/>
    <w:rsid w:val="003067F4"/>
    <w:rsid w:val="003101DA"/>
    <w:rsid w:val="003106D8"/>
    <w:rsid w:val="003111C3"/>
    <w:rsid w:val="00311F98"/>
    <w:rsid w:val="00312FFA"/>
    <w:rsid w:val="00314431"/>
    <w:rsid w:val="00314638"/>
    <w:rsid w:val="00314757"/>
    <w:rsid w:val="003163BC"/>
    <w:rsid w:val="003165A2"/>
    <w:rsid w:val="00316A7A"/>
    <w:rsid w:val="00316BAA"/>
    <w:rsid w:val="00320422"/>
    <w:rsid w:val="003211CE"/>
    <w:rsid w:val="003224DA"/>
    <w:rsid w:val="00322556"/>
    <w:rsid w:val="0032360E"/>
    <w:rsid w:val="00324214"/>
    <w:rsid w:val="003258AE"/>
    <w:rsid w:val="003267B9"/>
    <w:rsid w:val="003279C7"/>
    <w:rsid w:val="00330E41"/>
    <w:rsid w:val="00330EC1"/>
    <w:rsid w:val="00331096"/>
    <w:rsid w:val="0033527A"/>
    <w:rsid w:val="00336287"/>
    <w:rsid w:val="00340D16"/>
    <w:rsid w:val="0034122F"/>
    <w:rsid w:val="00341287"/>
    <w:rsid w:val="00350029"/>
    <w:rsid w:val="0035054F"/>
    <w:rsid w:val="00351490"/>
    <w:rsid w:val="00353DB1"/>
    <w:rsid w:val="0035403A"/>
    <w:rsid w:val="0035568E"/>
    <w:rsid w:val="00356469"/>
    <w:rsid w:val="003606D0"/>
    <w:rsid w:val="00360FE6"/>
    <w:rsid w:val="00361FD9"/>
    <w:rsid w:val="0036394B"/>
    <w:rsid w:val="00364278"/>
    <w:rsid w:val="00366DB6"/>
    <w:rsid w:val="00367599"/>
    <w:rsid w:val="003709B5"/>
    <w:rsid w:val="00370CF2"/>
    <w:rsid w:val="003753BF"/>
    <w:rsid w:val="003759C2"/>
    <w:rsid w:val="00375C86"/>
    <w:rsid w:val="00377239"/>
    <w:rsid w:val="0037788D"/>
    <w:rsid w:val="003805BA"/>
    <w:rsid w:val="003809AB"/>
    <w:rsid w:val="00381302"/>
    <w:rsid w:val="00382B89"/>
    <w:rsid w:val="00382D2B"/>
    <w:rsid w:val="00386051"/>
    <w:rsid w:val="003864A6"/>
    <w:rsid w:val="00386E3F"/>
    <w:rsid w:val="0038704A"/>
    <w:rsid w:val="003879A0"/>
    <w:rsid w:val="00390069"/>
    <w:rsid w:val="00392029"/>
    <w:rsid w:val="00395245"/>
    <w:rsid w:val="00397365"/>
    <w:rsid w:val="00397380"/>
    <w:rsid w:val="00397792"/>
    <w:rsid w:val="003A31F6"/>
    <w:rsid w:val="003A62FA"/>
    <w:rsid w:val="003B2D68"/>
    <w:rsid w:val="003B4968"/>
    <w:rsid w:val="003B59E3"/>
    <w:rsid w:val="003B69B5"/>
    <w:rsid w:val="003B6EEC"/>
    <w:rsid w:val="003C19CA"/>
    <w:rsid w:val="003C3282"/>
    <w:rsid w:val="003C3447"/>
    <w:rsid w:val="003C7890"/>
    <w:rsid w:val="003D076C"/>
    <w:rsid w:val="003D1212"/>
    <w:rsid w:val="003D3233"/>
    <w:rsid w:val="003D3461"/>
    <w:rsid w:val="003D3506"/>
    <w:rsid w:val="003D3580"/>
    <w:rsid w:val="003D5736"/>
    <w:rsid w:val="003D582C"/>
    <w:rsid w:val="003D630F"/>
    <w:rsid w:val="003E0B1B"/>
    <w:rsid w:val="003E1663"/>
    <w:rsid w:val="003E2034"/>
    <w:rsid w:val="003E4017"/>
    <w:rsid w:val="003E41FA"/>
    <w:rsid w:val="003E56A1"/>
    <w:rsid w:val="003E6769"/>
    <w:rsid w:val="003E71DD"/>
    <w:rsid w:val="003E78B5"/>
    <w:rsid w:val="003F07CD"/>
    <w:rsid w:val="003F136D"/>
    <w:rsid w:val="003F18FE"/>
    <w:rsid w:val="003F2BD5"/>
    <w:rsid w:val="003F2FCE"/>
    <w:rsid w:val="003F373E"/>
    <w:rsid w:val="0040163C"/>
    <w:rsid w:val="00404982"/>
    <w:rsid w:val="00406E1B"/>
    <w:rsid w:val="00410671"/>
    <w:rsid w:val="004138E6"/>
    <w:rsid w:val="00413AA3"/>
    <w:rsid w:val="00414F51"/>
    <w:rsid w:val="00415A18"/>
    <w:rsid w:val="00415BAB"/>
    <w:rsid w:val="00415ED2"/>
    <w:rsid w:val="00417BE2"/>
    <w:rsid w:val="00417E8B"/>
    <w:rsid w:val="0042068C"/>
    <w:rsid w:val="0042202C"/>
    <w:rsid w:val="00422AF4"/>
    <w:rsid w:val="004235AF"/>
    <w:rsid w:val="004237FD"/>
    <w:rsid w:val="00431E45"/>
    <w:rsid w:val="00434056"/>
    <w:rsid w:val="00435339"/>
    <w:rsid w:val="00435B04"/>
    <w:rsid w:val="00436B32"/>
    <w:rsid w:val="0043744F"/>
    <w:rsid w:val="00440118"/>
    <w:rsid w:val="00441D45"/>
    <w:rsid w:val="00442BCF"/>
    <w:rsid w:val="00442BF8"/>
    <w:rsid w:val="0044318E"/>
    <w:rsid w:val="004437B0"/>
    <w:rsid w:val="00443AE9"/>
    <w:rsid w:val="00443B35"/>
    <w:rsid w:val="00444649"/>
    <w:rsid w:val="0044494C"/>
    <w:rsid w:val="00445558"/>
    <w:rsid w:val="0044614F"/>
    <w:rsid w:val="004462AA"/>
    <w:rsid w:val="004478DE"/>
    <w:rsid w:val="004522CC"/>
    <w:rsid w:val="004533F0"/>
    <w:rsid w:val="0045486F"/>
    <w:rsid w:val="004549C1"/>
    <w:rsid w:val="0045503A"/>
    <w:rsid w:val="004567CA"/>
    <w:rsid w:val="004600F7"/>
    <w:rsid w:val="004601C0"/>
    <w:rsid w:val="00461757"/>
    <w:rsid w:val="00462DA8"/>
    <w:rsid w:val="00464630"/>
    <w:rsid w:val="00464D1F"/>
    <w:rsid w:val="00466486"/>
    <w:rsid w:val="00466B37"/>
    <w:rsid w:val="00466C07"/>
    <w:rsid w:val="00467965"/>
    <w:rsid w:val="0047027A"/>
    <w:rsid w:val="0047122B"/>
    <w:rsid w:val="0047127F"/>
    <w:rsid w:val="00471C1B"/>
    <w:rsid w:val="004736F4"/>
    <w:rsid w:val="00473B7A"/>
    <w:rsid w:val="00473BA3"/>
    <w:rsid w:val="00473E47"/>
    <w:rsid w:val="00474210"/>
    <w:rsid w:val="00474309"/>
    <w:rsid w:val="0047772F"/>
    <w:rsid w:val="0048056C"/>
    <w:rsid w:val="00480848"/>
    <w:rsid w:val="004811A7"/>
    <w:rsid w:val="00482861"/>
    <w:rsid w:val="004851C6"/>
    <w:rsid w:val="0048542A"/>
    <w:rsid w:val="00487358"/>
    <w:rsid w:val="00487FB8"/>
    <w:rsid w:val="004910D0"/>
    <w:rsid w:val="0049165F"/>
    <w:rsid w:val="00491C02"/>
    <w:rsid w:val="0049455F"/>
    <w:rsid w:val="004960E9"/>
    <w:rsid w:val="004A1517"/>
    <w:rsid w:val="004A16FA"/>
    <w:rsid w:val="004A1A38"/>
    <w:rsid w:val="004A2377"/>
    <w:rsid w:val="004A2E88"/>
    <w:rsid w:val="004A32CA"/>
    <w:rsid w:val="004A5305"/>
    <w:rsid w:val="004A6867"/>
    <w:rsid w:val="004A7B89"/>
    <w:rsid w:val="004B043E"/>
    <w:rsid w:val="004B3331"/>
    <w:rsid w:val="004B35F1"/>
    <w:rsid w:val="004B5875"/>
    <w:rsid w:val="004B724B"/>
    <w:rsid w:val="004C2334"/>
    <w:rsid w:val="004C3874"/>
    <w:rsid w:val="004C42DB"/>
    <w:rsid w:val="004C6E7B"/>
    <w:rsid w:val="004C770B"/>
    <w:rsid w:val="004C7E5C"/>
    <w:rsid w:val="004D01EE"/>
    <w:rsid w:val="004D037D"/>
    <w:rsid w:val="004D0880"/>
    <w:rsid w:val="004D1A82"/>
    <w:rsid w:val="004D1D07"/>
    <w:rsid w:val="004D2BA4"/>
    <w:rsid w:val="004D44AA"/>
    <w:rsid w:val="004D471F"/>
    <w:rsid w:val="004D51E3"/>
    <w:rsid w:val="004D7634"/>
    <w:rsid w:val="004D7F1D"/>
    <w:rsid w:val="004E0517"/>
    <w:rsid w:val="004E0731"/>
    <w:rsid w:val="004E18E1"/>
    <w:rsid w:val="004E3642"/>
    <w:rsid w:val="004E3C9F"/>
    <w:rsid w:val="004E4ED7"/>
    <w:rsid w:val="004E4FF4"/>
    <w:rsid w:val="004E511B"/>
    <w:rsid w:val="004E52D0"/>
    <w:rsid w:val="004E58D5"/>
    <w:rsid w:val="004E611A"/>
    <w:rsid w:val="004F018B"/>
    <w:rsid w:val="004F1374"/>
    <w:rsid w:val="004F1A06"/>
    <w:rsid w:val="004F2A28"/>
    <w:rsid w:val="004F32E5"/>
    <w:rsid w:val="004F3B28"/>
    <w:rsid w:val="004F6460"/>
    <w:rsid w:val="004F64E6"/>
    <w:rsid w:val="004F788F"/>
    <w:rsid w:val="00500D21"/>
    <w:rsid w:val="0050199B"/>
    <w:rsid w:val="00501F1D"/>
    <w:rsid w:val="00503A68"/>
    <w:rsid w:val="00504627"/>
    <w:rsid w:val="005054C8"/>
    <w:rsid w:val="00506775"/>
    <w:rsid w:val="00510A5A"/>
    <w:rsid w:val="00511813"/>
    <w:rsid w:val="00512DEC"/>
    <w:rsid w:val="00514534"/>
    <w:rsid w:val="005146C6"/>
    <w:rsid w:val="005213D1"/>
    <w:rsid w:val="0052183B"/>
    <w:rsid w:val="00525F79"/>
    <w:rsid w:val="00526415"/>
    <w:rsid w:val="005300D3"/>
    <w:rsid w:val="00532BE8"/>
    <w:rsid w:val="00533034"/>
    <w:rsid w:val="00534406"/>
    <w:rsid w:val="00535C84"/>
    <w:rsid w:val="00535E6C"/>
    <w:rsid w:val="005363BC"/>
    <w:rsid w:val="005364CA"/>
    <w:rsid w:val="0054066E"/>
    <w:rsid w:val="00540D79"/>
    <w:rsid w:val="0054144C"/>
    <w:rsid w:val="00541530"/>
    <w:rsid w:val="00542A10"/>
    <w:rsid w:val="00543861"/>
    <w:rsid w:val="00544F82"/>
    <w:rsid w:val="0054501B"/>
    <w:rsid w:val="005462C0"/>
    <w:rsid w:val="005509D2"/>
    <w:rsid w:val="00551497"/>
    <w:rsid w:val="00551597"/>
    <w:rsid w:val="00552663"/>
    <w:rsid w:val="005529AB"/>
    <w:rsid w:val="00553895"/>
    <w:rsid w:val="00553A17"/>
    <w:rsid w:val="005559D0"/>
    <w:rsid w:val="00556352"/>
    <w:rsid w:val="00557412"/>
    <w:rsid w:val="005577B2"/>
    <w:rsid w:val="00561138"/>
    <w:rsid w:val="00565190"/>
    <w:rsid w:val="0056692A"/>
    <w:rsid w:val="005672A5"/>
    <w:rsid w:val="00567D5D"/>
    <w:rsid w:val="00570F3C"/>
    <w:rsid w:val="00571C2F"/>
    <w:rsid w:val="005742C4"/>
    <w:rsid w:val="00574A05"/>
    <w:rsid w:val="00580326"/>
    <w:rsid w:val="0058205F"/>
    <w:rsid w:val="005824E2"/>
    <w:rsid w:val="005827E9"/>
    <w:rsid w:val="00584945"/>
    <w:rsid w:val="00584AE2"/>
    <w:rsid w:val="00584DC1"/>
    <w:rsid w:val="005932B2"/>
    <w:rsid w:val="00593C4F"/>
    <w:rsid w:val="00594482"/>
    <w:rsid w:val="005946A8"/>
    <w:rsid w:val="00594B85"/>
    <w:rsid w:val="00596C59"/>
    <w:rsid w:val="005A067A"/>
    <w:rsid w:val="005A10D9"/>
    <w:rsid w:val="005A3544"/>
    <w:rsid w:val="005A3761"/>
    <w:rsid w:val="005A37D6"/>
    <w:rsid w:val="005A418A"/>
    <w:rsid w:val="005A4407"/>
    <w:rsid w:val="005A59EF"/>
    <w:rsid w:val="005A7896"/>
    <w:rsid w:val="005B17FB"/>
    <w:rsid w:val="005B1C7E"/>
    <w:rsid w:val="005B26C0"/>
    <w:rsid w:val="005B27C6"/>
    <w:rsid w:val="005B470D"/>
    <w:rsid w:val="005B47C8"/>
    <w:rsid w:val="005C31F7"/>
    <w:rsid w:val="005C4C4B"/>
    <w:rsid w:val="005C570E"/>
    <w:rsid w:val="005C6976"/>
    <w:rsid w:val="005C6A0C"/>
    <w:rsid w:val="005E0A23"/>
    <w:rsid w:val="005E185D"/>
    <w:rsid w:val="005E225B"/>
    <w:rsid w:val="005E49B4"/>
    <w:rsid w:val="005E594E"/>
    <w:rsid w:val="005E6CA3"/>
    <w:rsid w:val="005E7237"/>
    <w:rsid w:val="005E7740"/>
    <w:rsid w:val="005F2518"/>
    <w:rsid w:val="005F2591"/>
    <w:rsid w:val="005F6973"/>
    <w:rsid w:val="005F6F41"/>
    <w:rsid w:val="005F777E"/>
    <w:rsid w:val="00602147"/>
    <w:rsid w:val="00606C48"/>
    <w:rsid w:val="00613386"/>
    <w:rsid w:val="0061545E"/>
    <w:rsid w:val="00623867"/>
    <w:rsid w:val="00624061"/>
    <w:rsid w:val="00625466"/>
    <w:rsid w:val="00625642"/>
    <w:rsid w:val="00625D0A"/>
    <w:rsid w:val="00625D1A"/>
    <w:rsid w:val="00625DC6"/>
    <w:rsid w:val="00626F4F"/>
    <w:rsid w:val="006279A9"/>
    <w:rsid w:val="006327AC"/>
    <w:rsid w:val="0063551D"/>
    <w:rsid w:val="0063674D"/>
    <w:rsid w:val="006368B3"/>
    <w:rsid w:val="006368FD"/>
    <w:rsid w:val="00636BD7"/>
    <w:rsid w:val="00640689"/>
    <w:rsid w:val="00640BBC"/>
    <w:rsid w:val="00641863"/>
    <w:rsid w:val="00641CF1"/>
    <w:rsid w:val="00641E46"/>
    <w:rsid w:val="00642ECC"/>
    <w:rsid w:val="0064304C"/>
    <w:rsid w:val="0064391D"/>
    <w:rsid w:val="0064537D"/>
    <w:rsid w:val="00647497"/>
    <w:rsid w:val="0065142A"/>
    <w:rsid w:val="00651821"/>
    <w:rsid w:val="006524FA"/>
    <w:rsid w:val="00654384"/>
    <w:rsid w:val="00656042"/>
    <w:rsid w:val="0065645C"/>
    <w:rsid w:val="006571DD"/>
    <w:rsid w:val="00657A23"/>
    <w:rsid w:val="0066283E"/>
    <w:rsid w:val="006641CB"/>
    <w:rsid w:val="006675CD"/>
    <w:rsid w:val="00672971"/>
    <w:rsid w:val="006740BA"/>
    <w:rsid w:val="00676752"/>
    <w:rsid w:val="00677327"/>
    <w:rsid w:val="00681C5A"/>
    <w:rsid w:val="00682862"/>
    <w:rsid w:val="00684D9B"/>
    <w:rsid w:val="0068510A"/>
    <w:rsid w:val="006864B4"/>
    <w:rsid w:val="00687C78"/>
    <w:rsid w:val="00687FD2"/>
    <w:rsid w:val="00691658"/>
    <w:rsid w:val="006952C3"/>
    <w:rsid w:val="00695CA6"/>
    <w:rsid w:val="00695E81"/>
    <w:rsid w:val="00697556"/>
    <w:rsid w:val="006A0B2C"/>
    <w:rsid w:val="006A76E1"/>
    <w:rsid w:val="006A7D96"/>
    <w:rsid w:val="006B0958"/>
    <w:rsid w:val="006B0E2F"/>
    <w:rsid w:val="006B26E5"/>
    <w:rsid w:val="006B3A3E"/>
    <w:rsid w:val="006B45BA"/>
    <w:rsid w:val="006B4647"/>
    <w:rsid w:val="006B4C2B"/>
    <w:rsid w:val="006B5B0A"/>
    <w:rsid w:val="006B6194"/>
    <w:rsid w:val="006B6D47"/>
    <w:rsid w:val="006B6D4E"/>
    <w:rsid w:val="006B6F87"/>
    <w:rsid w:val="006C0B6A"/>
    <w:rsid w:val="006C0DEC"/>
    <w:rsid w:val="006C2E78"/>
    <w:rsid w:val="006C3D07"/>
    <w:rsid w:val="006C3FDE"/>
    <w:rsid w:val="006C5AFE"/>
    <w:rsid w:val="006D0BBB"/>
    <w:rsid w:val="006D0BC5"/>
    <w:rsid w:val="006D1304"/>
    <w:rsid w:val="006D16F6"/>
    <w:rsid w:val="006D3473"/>
    <w:rsid w:val="006D3E12"/>
    <w:rsid w:val="006D5348"/>
    <w:rsid w:val="006D567C"/>
    <w:rsid w:val="006E040A"/>
    <w:rsid w:val="006E2283"/>
    <w:rsid w:val="006F0F67"/>
    <w:rsid w:val="006F27AC"/>
    <w:rsid w:val="006F2EC8"/>
    <w:rsid w:val="006F396C"/>
    <w:rsid w:val="006F5528"/>
    <w:rsid w:val="006F68C2"/>
    <w:rsid w:val="006F6D95"/>
    <w:rsid w:val="0070197A"/>
    <w:rsid w:val="00701E1C"/>
    <w:rsid w:val="00701FAA"/>
    <w:rsid w:val="00703213"/>
    <w:rsid w:val="007048F1"/>
    <w:rsid w:val="00705C82"/>
    <w:rsid w:val="00706EA3"/>
    <w:rsid w:val="00706F13"/>
    <w:rsid w:val="0070721D"/>
    <w:rsid w:val="007072E8"/>
    <w:rsid w:val="00711886"/>
    <w:rsid w:val="00712D2C"/>
    <w:rsid w:val="00712FD8"/>
    <w:rsid w:val="0071618D"/>
    <w:rsid w:val="00717ED1"/>
    <w:rsid w:val="007231E1"/>
    <w:rsid w:val="00723ED7"/>
    <w:rsid w:val="007243D4"/>
    <w:rsid w:val="007255F1"/>
    <w:rsid w:val="00725FA4"/>
    <w:rsid w:val="00726540"/>
    <w:rsid w:val="007268C4"/>
    <w:rsid w:val="00726C7B"/>
    <w:rsid w:val="0072718C"/>
    <w:rsid w:val="0072764D"/>
    <w:rsid w:val="00732FED"/>
    <w:rsid w:val="00733CD4"/>
    <w:rsid w:val="00733DEF"/>
    <w:rsid w:val="00734174"/>
    <w:rsid w:val="007344AC"/>
    <w:rsid w:val="00735F98"/>
    <w:rsid w:val="00736C9D"/>
    <w:rsid w:val="00740446"/>
    <w:rsid w:val="0074238B"/>
    <w:rsid w:val="007438A9"/>
    <w:rsid w:val="00744505"/>
    <w:rsid w:val="0074491E"/>
    <w:rsid w:val="0074708D"/>
    <w:rsid w:val="00747E02"/>
    <w:rsid w:val="00750328"/>
    <w:rsid w:val="0075068F"/>
    <w:rsid w:val="00750AA2"/>
    <w:rsid w:val="0075162D"/>
    <w:rsid w:val="007526CB"/>
    <w:rsid w:val="00752CB3"/>
    <w:rsid w:val="007535E5"/>
    <w:rsid w:val="00754623"/>
    <w:rsid w:val="00754A3A"/>
    <w:rsid w:val="007554BB"/>
    <w:rsid w:val="0075617C"/>
    <w:rsid w:val="007577BA"/>
    <w:rsid w:val="00760595"/>
    <w:rsid w:val="0076247A"/>
    <w:rsid w:val="00762B4E"/>
    <w:rsid w:val="00763970"/>
    <w:rsid w:val="007649B6"/>
    <w:rsid w:val="00765A05"/>
    <w:rsid w:val="00766870"/>
    <w:rsid w:val="00771029"/>
    <w:rsid w:val="00771974"/>
    <w:rsid w:val="00771A6B"/>
    <w:rsid w:val="00771C02"/>
    <w:rsid w:val="00771DB0"/>
    <w:rsid w:val="007728E7"/>
    <w:rsid w:val="00772E78"/>
    <w:rsid w:val="00773E76"/>
    <w:rsid w:val="007744C1"/>
    <w:rsid w:val="00775964"/>
    <w:rsid w:val="007765FE"/>
    <w:rsid w:val="00776EA6"/>
    <w:rsid w:val="0078081D"/>
    <w:rsid w:val="0078307F"/>
    <w:rsid w:val="007843D2"/>
    <w:rsid w:val="0078457B"/>
    <w:rsid w:val="007853C9"/>
    <w:rsid w:val="00787008"/>
    <w:rsid w:val="00787EDB"/>
    <w:rsid w:val="007942FD"/>
    <w:rsid w:val="00794E2E"/>
    <w:rsid w:val="00795BFB"/>
    <w:rsid w:val="007964C6"/>
    <w:rsid w:val="00796A64"/>
    <w:rsid w:val="007A0C21"/>
    <w:rsid w:val="007A1231"/>
    <w:rsid w:val="007A440E"/>
    <w:rsid w:val="007A4F22"/>
    <w:rsid w:val="007A6B3C"/>
    <w:rsid w:val="007B18EA"/>
    <w:rsid w:val="007B1D17"/>
    <w:rsid w:val="007B2760"/>
    <w:rsid w:val="007B3207"/>
    <w:rsid w:val="007B45A5"/>
    <w:rsid w:val="007B6AD0"/>
    <w:rsid w:val="007C1069"/>
    <w:rsid w:val="007C1E93"/>
    <w:rsid w:val="007C6291"/>
    <w:rsid w:val="007C7759"/>
    <w:rsid w:val="007D3F94"/>
    <w:rsid w:val="007D4E7E"/>
    <w:rsid w:val="007E344C"/>
    <w:rsid w:val="007E4D9F"/>
    <w:rsid w:val="007E60FF"/>
    <w:rsid w:val="007E6428"/>
    <w:rsid w:val="007E7290"/>
    <w:rsid w:val="007E7E38"/>
    <w:rsid w:val="007F1427"/>
    <w:rsid w:val="007F14A0"/>
    <w:rsid w:val="007F2913"/>
    <w:rsid w:val="007F2952"/>
    <w:rsid w:val="007F34E6"/>
    <w:rsid w:val="007F504F"/>
    <w:rsid w:val="007F53DC"/>
    <w:rsid w:val="007F64D1"/>
    <w:rsid w:val="007F74ED"/>
    <w:rsid w:val="007F782A"/>
    <w:rsid w:val="00801D2F"/>
    <w:rsid w:val="00804D08"/>
    <w:rsid w:val="00804E1C"/>
    <w:rsid w:val="008051D4"/>
    <w:rsid w:val="008056E6"/>
    <w:rsid w:val="00806C01"/>
    <w:rsid w:val="00806D26"/>
    <w:rsid w:val="00806D59"/>
    <w:rsid w:val="008074D3"/>
    <w:rsid w:val="00811769"/>
    <w:rsid w:val="00812CDF"/>
    <w:rsid w:val="008148CC"/>
    <w:rsid w:val="008160D6"/>
    <w:rsid w:val="008205C1"/>
    <w:rsid w:val="00820DCD"/>
    <w:rsid w:val="008211A4"/>
    <w:rsid w:val="0082634F"/>
    <w:rsid w:val="00833065"/>
    <w:rsid w:val="0083787A"/>
    <w:rsid w:val="00840558"/>
    <w:rsid w:val="00840D7C"/>
    <w:rsid w:val="00840F76"/>
    <w:rsid w:val="00841EB0"/>
    <w:rsid w:val="00842ABB"/>
    <w:rsid w:val="00843BE2"/>
    <w:rsid w:val="0084469A"/>
    <w:rsid w:val="00846498"/>
    <w:rsid w:val="008465FF"/>
    <w:rsid w:val="0084693A"/>
    <w:rsid w:val="008477F7"/>
    <w:rsid w:val="008512C7"/>
    <w:rsid w:val="0085253E"/>
    <w:rsid w:val="008530ED"/>
    <w:rsid w:val="008562C6"/>
    <w:rsid w:val="0086056C"/>
    <w:rsid w:val="00860AC7"/>
    <w:rsid w:val="00860C22"/>
    <w:rsid w:val="00862F0A"/>
    <w:rsid w:val="008658C6"/>
    <w:rsid w:val="0087184F"/>
    <w:rsid w:val="008718F7"/>
    <w:rsid w:val="00872A6C"/>
    <w:rsid w:val="00873150"/>
    <w:rsid w:val="00875166"/>
    <w:rsid w:val="0087657D"/>
    <w:rsid w:val="008769BE"/>
    <w:rsid w:val="00876A69"/>
    <w:rsid w:val="008807D5"/>
    <w:rsid w:val="00880832"/>
    <w:rsid w:val="0088101D"/>
    <w:rsid w:val="00881B58"/>
    <w:rsid w:val="00881E3E"/>
    <w:rsid w:val="00882273"/>
    <w:rsid w:val="008828AF"/>
    <w:rsid w:val="0088399C"/>
    <w:rsid w:val="00886EE1"/>
    <w:rsid w:val="0088727D"/>
    <w:rsid w:val="00892360"/>
    <w:rsid w:val="00892629"/>
    <w:rsid w:val="0089483B"/>
    <w:rsid w:val="008977B8"/>
    <w:rsid w:val="00897C75"/>
    <w:rsid w:val="008A08EB"/>
    <w:rsid w:val="008A1FE7"/>
    <w:rsid w:val="008A21E1"/>
    <w:rsid w:val="008A254E"/>
    <w:rsid w:val="008A448B"/>
    <w:rsid w:val="008A4EFB"/>
    <w:rsid w:val="008A667F"/>
    <w:rsid w:val="008A73F9"/>
    <w:rsid w:val="008A7880"/>
    <w:rsid w:val="008B1754"/>
    <w:rsid w:val="008B17F8"/>
    <w:rsid w:val="008B42C6"/>
    <w:rsid w:val="008B5908"/>
    <w:rsid w:val="008B746C"/>
    <w:rsid w:val="008C1130"/>
    <w:rsid w:val="008C34B8"/>
    <w:rsid w:val="008C493C"/>
    <w:rsid w:val="008D079D"/>
    <w:rsid w:val="008D18E6"/>
    <w:rsid w:val="008D1DA7"/>
    <w:rsid w:val="008D2774"/>
    <w:rsid w:val="008D28B1"/>
    <w:rsid w:val="008D2A19"/>
    <w:rsid w:val="008D30D1"/>
    <w:rsid w:val="008D3690"/>
    <w:rsid w:val="008D4BA7"/>
    <w:rsid w:val="008D4F36"/>
    <w:rsid w:val="008D6D5A"/>
    <w:rsid w:val="008D7A9B"/>
    <w:rsid w:val="008E0060"/>
    <w:rsid w:val="008E3DCE"/>
    <w:rsid w:val="008E5758"/>
    <w:rsid w:val="008E5778"/>
    <w:rsid w:val="008E6170"/>
    <w:rsid w:val="008E61E5"/>
    <w:rsid w:val="008E7050"/>
    <w:rsid w:val="008E7091"/>
    <w:rsid w:val="008E76AC"/>
    <w:rsid w:val="008F0CD4"/>
    <w:rsid w:val="008F1A29"/>
    <w:rsid w:val="008F21F6"/>
    <w:rsid w:val="008F27C1"/>
    <w:rsid w:val="008F2E10"/>
    <w:rsid w:val="008F45AC"/>
    <w:rsid w:val="008F6918"/>
    <w:rsid w:val="00902467"/>
    <w:rsid w:val="009028B5"/>
    <w:rsid w:val="00906746"/>
    <w:rsid w:val="00911647"/>
    <w:rsid w:val="009153DC"/>
    <w:rsid w:val="0091549D"/>
    <w:rsid w:val="00915AB2"/>
    <w:rsid w:val="00920787"/>
    <w:rsid w:val="009248E1"/>
    <w:rsid w:val="00925687"/>
    <w:rsid w:val="0092613A"/>
    <w:rsid w:val="00926675"/>
    <w:rsid w:val="0093028B"/>
    <w:rsid w:val="00930406"/>
    <w:rsid w:val="00930C89"/>
    <w:rsid w:val="00932165"/>
    <w:rsid w:val="009331B2"/>
    <w:rsid w:val="0093366E"/>
    <w:rsid w:val="0093638C"/>
    <w:rsid w:val="00936830"/>
    <w:rsid w:val="00937097"/>
    <w:rsid w:val="0093735F"/>
    <w:rsid w:val="00942CC9"/>
    <w:rsid w:val="0094370D"/>
    <w:rsid w:val="0094467F"/>
    <w:rsid w:val="00946243"/>
    <w:rsid w:val="00946935"/>
    <w:rsid w:val="00947219"/>
    <w:rsid w:val="009504CD"/>
    <w:rsid w:val="00950994"/>
    <w:rsid w:val="00950C05"/>
    <w:rsid w:val="00951F79"/>
    <w:rsid w:val="0095230E"/>
    <w:rsid w:val="00953101"/>
    <w:rsid w:val="0095375D"/>
    <w:rsid w:val="009537CD"/>
    <w:rsid w:val="00953BD0"/>
    <w:rsid w:val="0095620A"/>
    <w:rsid w:val="00956C7A"/>
    <w:rsid w:val="0095705D"/>
    <w:rsid w:val="009574A3"/>
    <w:rsid w:val="00957E53"/>
    <w:rsid w:val="00960027"/>
    <w:rsid w:val="00961006"/>
    <w:rsid w:val="00962039"/>
    <w:rsid w:val="00962509"/>
    <w:rsid w:val="00965EAE"/>
    <w:rsid w:val="0097112D"/>
    <w:rsid w:val="00971750"/>
    <w:rsid w:val="00974AB5"/>
    <w:rsid w:val="00977BA4"/>
    <w:rsid w:val="0098229E"/>
    <w:rsid w:val="00983BC7"/>
    <w:rsid w:val="009868DB"/>
    <w:rsid w:val="0098706D"/>
    <w:rsid w:val="00987AC1"/>
    <w:rsid w:val="00990A80"/>
    <w:rsid w:val="009910E4"/>
    <w:rsid w:val="009935FB"/>
    <w:rsid w:val="00993E7F"/>
    <w:rsid w:val="00996CD7"/>
    <w:rsid w:val="00997B26"/>
    <w:rsid w:val="00997BD5"/>
    <w:rsid w:val="009A154B"/>
    <w:rsid w:val="009A1ADB"/>
    <w:rsid w:val="009A25E2"/>
    <w:rsid w:val="009A3038"/>
    <w:rsid w:val="009A3CF6"/>
    <w:rsid w:val="009A4D2B"/>
    <w:rsid w:val="009A5E1E"/>
    <w:rsid w:val="009A6C35"/>
    <w:rsid w:val="009A7B77"/>
    <w:rsid w:val="009B10A5"/>
    <w:rsid w:val="009B210A"/>
    <w:rsid w:val="009B26AA"/>
    <w:rsid w:val="009B39B2"/>
    <w:rsid w:val="009B3AC5"/>
    <w:rsid w:val="009B4900"/>
    <w:rsid w:val="009B5364"/>
    <w:rsid w:val="009B649C"/>
    <w:rsid w:val="009B72C4"/>
    <w:rsid w:val="009B792C"/>
    <w:rsid w:val="009C2630"/>
    <w:rsid w:val="009C42B5"/>
    <w:rsid w:val="009C5924"/>
    <w:rsid w:val="009C7678"/>
    <w:rsid w:val="009D0261"/>
    <w:rsid w:val="009D12C5"/>
    <w:rsid w:val="009D1367"/>
    <w:rsid w:val="009D294D"/>
    <w:rsid w:val="009D55B9"/>
    <w:rsid w:val="009E0BB8"/>
    <w:rsid w:val="009E0FAC"/>
    <w:rsid w:val="009E171B"/>
    <w:rsid w:val="009E3844"/>
    <w:rsid w:val="009E4124"/>
    <w:rsid w:val="009E42C7"/>
    <w:rsid w:val="009E42E3"/>
    <w:rsid w:val="009F1351"/>
    <w:rsid w:val="009F1A0D"/>
    <w:rsid w:val="009F3785"/>
    <w:rsid w:val="009F3BA3"/>
    <w:rsid w:val="009F4A54"/>
    <w:rsid w:val="009F4BEC"/>
    <w:rsid w:val="009F5874"/>
    <w:rsid w:val="009F768E"/>
    <w:rsid w:val="00A0114D"/>
    <w:rsid w:val="00A0162B"/>
    <w:rsid w:val="00A01E6D"/>
    <w:rsid w:val="00A021EC"/>
    <w:rsid w:val="00A0332C"/>
    <w:rsid w:val="00A03496"/>
    <w:rsid w:val="00A03B73"/>
    <w:rsid w:val="00A05235"/>
    <w:rsid w:val="00A06108"/>
    <w:rsid w:val="00A06E46"/>
    <w:rsid w:val="00A100AD"/>
    <w:rsid w:val="00A10170"/>
    <w:rsid w:val="00A11A7E"/>
    <w:rsid w:val="00A11FA6"/>
    <w:rsid w:val="00A213E3"/>
    <w:rsid w:val="00A22477"/>
    <w:rsid w:val="00A22C0A"/>
    <w:rsid w:val="00A2337A"/>
    <w:rsid w:val="00A23627"/>
    <w:rsid w:val="00A25C85"/>
    <w:rsid w:val="00A25F71"/>
    <w:rsid w:val="00A25FD7"/>
    <w:rsid w:val="00A272E5"/>
    <w:rsid w:val="00A32ACE"/>
    <w:rsid w:val="00A32D8C"/>
    <w:rsid w:val="00A330BB"/>
    <w:rsid w:val="00A336D6"/>
    <w:rsid w:val="00A33DAA"/>
    <w:rsid w:val="00A34C39"/>
    <w:rsid w:val="00A365F7"/>
    <w:rsid w:val="00A43AFF"/>
    <w:rsid w:val="00A43C62"/>
    <w:rsid w:val="00A450DD"/>
    <w:rsid w:val="00A51EE5"/>
    <w:rsid w:val="00A54F82"/>
    <w:rsid w:val="00A553EA"/>
    <w:rsid w:val="00A5574E"/>
    <w:rsid w:val="00A5778C"/>
    <w:rsid w:val="00A60B09"/>
    <w:rsid w:val="00A6188F"/>
    <w:rsid w:val="00A6271B"/>
    <w:rsid w:val="00A634A8"/>
    <w:rsid w:val="00A66A35"/>
    <w:rsid w:val="00A70632"/>
    <w:rsid w:val="00A70C4D"/>
    <w:rsid w:val="00A71939"/>
    <w:rsid w:val="00A720AC"/>
    <w:rsid w:val="00A73FFC"/>
    <w:rsid w:val="00A76152"/>
    <w:rsid w:val="00A77606"/>
    <w:rsid w:val="00A7793A"/>
    <w:rsid w:val="00A81053"/>
    <w:rsid w:val="00A82BA5"/>
    <w:rsid w:val="00A84443"/>
    <w:rsid w:val="00A93322"/>
    <w:rsid w:val="00A947DA"/>
    <w:rsid w:val="00A94C3A"/>
    <w:rsid w:val="00A95482"/>
    <w:rsid w:val="00A95ED3"/>
    <w:rsid w:val="00A97099"/>
    <w:rsid w:val="00A97B83"/>
    <w:rsid w:val="00A97B96"/>
    <w:rsid w:val="00AA196D"/>
    <w:rsid w:val="00AA1E1D"/>
    <w:rsid w:val="00AA2E76"/>
    <w:rsid w:val="00AA4CC7"/>
    <w:rsid w:val="00AA5E8E"/>
    <w:rsid w:val="00AA647B"/>
    <w:rsid w:val="00AB2BAD"/>
    <w:rsid w:val="00AB3304"/>
    <w:rsid w:val="00AB47E9"/>
    <w:rsid w:val="00AB6CA7"/>
    <w:rsid w:val="00AC0DBC"/>
    <w:rsid w:val="00AC38D1"/>
    <w:rsid w:val="00AC39E1"/>
    <w:rsid w:val="00AC40B8"/>
    <w:rsid w:val="00AC56E3"/>
    <w:rsid w:val="00AD01E4"/>
    <w:rsid w:val="00AD0858"/>
    <w:rsid w:val="00AD19D2"/>
    <w:rsid w:val="00AD396B"/>
    <w:rsid w:val="00AD482A"/>
    <w:rsid w:val="00AD4CA0"/>
    <w:rsid w:val="00AD67D5"/>
    <w:rsid w:val="00AD6CBF"/>
    <w:rsid w:val="00AE02E3"/>
    <w:rsid w:val="00AE0497"/>
    <w:rsid w:val="00AE04DB"/>
    <w:rsid w:val="00AE0827"/>
    <w:rsid w:val="00AE28FA"/>
    <w:rsid w:val="00AE34F1"/>
    <w:rsid w:val="00AE35FF"/>
    <w:rsid w:val="00AE56D6"/>
    <w:rsid w:val="00AE5839"/>
    <w:rsid w:val="00AE5EEC"/>
    <w:rsid w:val="00AE68F2"/>
    <w:rsid w:val="00AE6E03"/>
    <w:rsid w:val="00AE7340"/>
    <w:rsid w:val="00AE77B5"/>
    <w:rsid w:val="00AE77D8"/>
    <w:rsid w:val="00AF1BBD"/>
    <w:rsid w:val="00AF4CEA"/>
    <w:rsid w:val="00AF4F89"/>
    <w:rsid w:val="00AF501A"/>
    <w:rsid w:val="00AF6BC0"/>
    <w:rsid w:val="00AF6D3C"/>
    <w:rsid w:val="00AF7C21"/>
    <w:rsid w:val="00B00410"/>
    <w:rsid w:val="00B05C07"/>
    <w:rsid w:val="00B07AD5"/>
    <w:rsid w:val="00B10207"/>
    <w:rsid w:val="00B1113C"/>
    <w:rsid w:val="00B11EEE"/>
    <w:rsid w:val="00B12600"/>
    <w:rsid w:val="00B129D9"/>
    <w:rsid w:val="00B13D6C"/>
    <w:rsid w:val="00B13F2F"/>
    <w:rsid w:val="00B141E7"/>
    <w:rsid w:val="00B142C5"/>
    <w:rsid w:val="00B150F3"/>
    <w:rsid w:val="00B152BB"/>
    <w:rsid w:val="00B25190"/>
    <w:rsid w:val="00B257DE"/>
    <w:rsid w:val="00B27555"/>
    <w:rsid w:val="00B31275"/>
    <w:rsid w:val="00B31834"/>
    <w:rsid w:val="00B3352A"/>
    <w:rsid w:val="00B351B4"/>
    <w:rsid w:val="00B35D62"/>
    <w:rsid w:val="00B379AE"/>
    <w:rsid w:val="00B41A05"/>
    <w:rsid w:val="00B42004"/>
    <w:rsid w:val="00B44B8C"/>
    <w:rsid w:val="00B44C9F"/>
    <w:rsid w:val="00B46047"/>
    <w:rsid w:val="00B46BCA"/>
    <w:rsid w:val="00B478AA"/>
    <w:rsid w:val="00B51D83"/>
    <w:rsid w:val="00B52504"/>
    <w:rsid w:val="00B5257A"/>
    <w:rsid w:val="00B52915"/>
    <w:rsid w:val="00B541F1"/>
    <w:rsid w:val="00B548D2"/>
    <w:rsid w:val="00B57390"/>
    <w:rsid w:val="00B57EA2"/>
    <w:rsid w:val="00B61266"/>
    <w:rsid w:val="00B61FDA"/>
    <w:rsid w:val="00B6337A"/>
    <w:rsid w:val="00B64D1D"/>
    <w:rsid w:val="00B66CE3"/>
    <w:rsid w:val="00B67B87"/>
    <w:rsid w:val="00B67D58"/>
    <w:rsid w:val="00B70782"/>
    <w:rsid w:val="00B73E29"/>
    <w:rsid w:val="00B73F74"/>
    <w:rsid w:val="00B755D4"/>
    <w:rsid w:val="00B7607F"/>
    <w:rsid w:val="00B766B9"/>
    <w:rsid w:val="00B77E41"/>
    <w:rsid w:val="00B80415"/>
    <w:rsid w:val="00B8140A"/>
    <w:rsid w:val="00B82A85"/>
    <w:rsid w:val="00B83B7B"/>
    <w:rsid w:val="00B844ED"/>
    <w:rsid w:val="00B87806"/>
    <w:rsid w:val="00B87DD6"/>
    <w:rsid w:val="00B87EC9"/>
    <w:rsid w:val="00B90647"/>
    <w:rsid w:val="00B92407"/>
    <w:rsid w:val="00B935B4"/>
    <w:rsid w:val="00B97048"/>
    <w:rsid w:val="00BA15F8"/>
    <w:rsid w:val="00BA1EA5"/>
    <w:rsid w:val="00BA2637"/>
    <w:rsid w:val="00BA31B8"/>
    <w:rsid w:val="00BA75B3"/>
    <w:rsid w:val="00BB0655"/>
    <w:rsid w:val="00BB09CE"/>
    <w:rsid w:val="00BB15B5"/>
    <w:rsid w:val="00BB1657"/>
    <w:rsid w:val="00BB373B"/>
    <w:rsid w:val="00BB6FD1"/>
    <w:rsid w:val="00BB745A"/>
    <w:rsid w:val="00BC1342"/>
    <w:rsid w:val="00BC2D4F"/>
    <w:rsid w:val="00BC382C"/>
    <w:rsid w:val="00BC38FD"/>
    <w:rsid w:val="00BC3CBF"/>
    <w:rsid w:val="00BC4387"/>
    <w:rsid w:val="00BC54CB"/>
    <w:rsid w:val="00BC6313"/>
    <w:rsid w:val="00BC6C44"/>
    <w:rsid w:val="00BC6F62"/>
    <w:rsid w:val="00BC6FE6"/>
    <w:rsid w:val="00BC73EE"/>
    <w:rsid w:val="00BD34BC"/>
    <w:rsid w:val="00BD397F"/>
    <w:rsid w:val="00BD3CEA"/>
    <w:rsid w:val="00BD639E"/>
    <w:rsid w:val="00BE0D04"/>
    <w:rsid w:val="00BE24DF"/>
    <w:rsid w:val="00BE2558"/>
    <w:rsid w:val="00BE25B1"/>
    <w:rsid w:val="00BE34DF"/>
    <w:rsid w:val="00BF32E3"/>
    <w:rsid w:val="00BF42E0"/>
    <w:rsid w:val="00BF7036"/>
    <w:rsid w:val="00C02CB9"/>
    <w:rsid w:val="00C02D52"/>
    <w:rsid w:val="00C034CB"/>
    <w:rsid w:val="00C03D04"/>
    <w:rsid w:val="00C04FB7"/>
    <w:rsid w:val="00C051A8"/>
    <w:rsid w:val="00C054BC"/>
    <w:rsid w:val="00C06058"/>
    <w:rsid w:val="00C0797B"/>
    <w:rsid w:val="00C161E4"/>
    <w:rsid w:val="00C17897"/>
    <w:rsid w:val="00C17990"/>
    <w:rsid w:val="00C2064D"/>
    <w:rsid w:val="00C20D63"/>
    <w:rsid w:val="00C2108E"/>
    <w:rsid w:val="00C214D9"/>
    <w:rsid w:val="00C21ACA"/>
    <w:rsid w:val="00C2270C"/>
    <w:rsid w:val="00C233F6"/>
    <w:rsid w:val="00C240CA"/>
    <w:rsid w:val="00C25019"/>
    <w:rsid w:val="00C2789A"/>
    <w:rsid w:val="00C30BF8"/>
    <w:rsid w:val="00C3188D"/>
    <w:rsid w:val="00C31C0A"/>
    <w:rsid w:val="00C32245"/>
    <w:rsid w:val="00C333A0"/>
    <w:rsid w:val="00C3362F"/>
    <w:rsid w:val="00C34C00"/>
    <w:rsid w:val="00C364E5"/>
    <w:rsid w:val="00C409D5"/>
    <w:rsid w:val="00C4113C"/>
    <w:rsid w:val="00C430D4"/>
    <w:rsid w:val="00C435C3"/>
    <w:rsid w:val="00C4493F"/>
    <w:rsid w:val="00C44E5F"/>
    <w:rsid w:val="00C45A00"/>
    <w:rsid w:val="00C46D18"/>
    <w:rsid w:val="00C471D7"/>
    <w:rsid w:val="00C51B7C"/>
    <w:rsid w:val="00C5271E"/>
    <w:rsid w:val="00C5431C"/>
    <w:rsid w:val="00C5607C"/>
    <w:rsid w:val="00C567E4"/>
    <w:rsid w:val="00C5797A"/>
    <w:rsid w:val="00C57B40"/>
    <w:rsid w:val="00C609E5"/>
    <w:rsid w:val="00C60FF0"/>
    <w:rsid w:val="00C6159A"/>
    <w:rsid w:val="00C6234B"/>
    <w:rsid w:val="00C62653"/>
    <w:rsid w:val="00C63532"/>
    <w:rsid w:val="00C639F9"/>
    <w:rsid w:val="00C63EAE"/>
    <w:rsid w:val="00C678D2"/>
    <w:rsid w:val="00C715AB"/>
    <w:rsid w:val="00C717D4"/>
    <w:rsid w:val="00C71D42"/>
    <w:rsid w:val="00C73260"/>
    <w:rsid w:val="00C7629F"/>
    <w:rsid w:val="00C76F00"/>
    <w:rsid w:val="00C80926"/>
    <w:rsid w:val="00C823E7"/>
    <w:rsid w:val="00C82702"/>
    <w:rsid w:val="00C84C34"/>
    <w:rsid w:val="00C85076"/>
    <w:rsid w:val="00C85717"/>
    <w:rsid w:val="00C857EC"/>
    <w:rsid w:val="00C8661B"/>
    <w:rsid w:val="00C86A59"/>
    <w:rsid w:val="00C93B01"/>
    <w:rsid w:val="00C9429C"/>
    <w:rsid w:val="00C94BC8"/>
    <w:rsid w:val="00C9618D"/>
    <w:rsid w:val="00C96428"/>
    <w:rsid w:val="00C96946"/>
    <w:rsid w:val="00CA03C8"/>
    <w:rsid w:val="00CA06F3"/>
    <w:rsid w:val="00CA139A"/>
    <w:rsid w:val="00CA150C"/>
    <w:rsid w:val="00CA2899"/>
    <w:rsid w:val="00CA3692"/>
    <w:rsid w:val="00CA3A3D"/>
    <w:rsid w:val="00CA3AA6"/>
    <w:rsid w:val="00CA5344"/>
    <w:rsid w:val="00CA698A"/>
    <w:rsid w:val="00CA6E29"/>
    <w:rsid w:val="00CA77FB"/>
    <w:rsid w:val="00CB0650"/>
    <w:rsid w:val="00CB1AA7"/>
    <w:rsid w:val="00CB1DAD"/>
    <w:rsid w:val="00CB379B"/>
    <w:rsid w:val="00CB5DD0"/>
    <w:rsid w:val="00CB79A1"/>
    <w:rsid w:val="00CC09C8"/>
    <w:rsid w:val="00CC14FE"/>
    <w:rsid w:val="00CC282C"/>
    <w:rsid w:val="00CC349B"/>
    <w:rsid w:val="00CC3958"/>
    <w:rsid w:val="00CC4E54"/>
    <w:rsid w:val="00CC51D4"/>
    <w:rsid w:val="00CC532E"/>
    <w:rsid w:val="00CC5568"/>
    <w:rsid w:val="00CC5BA5"/>
    <w:rsid w:val="00CC65DA"/>
    <w:rsid w:val="00CC6E3B"/>
    <w:rsid w:val="00CC6FB9"/>
    <w:rsid w:val="00CD004A"/>
    <w:rsid w:val="00CD0626"/>
    <w:rsid w:val="00CD1B6D"/>
    <w:rsid w:val="00CD3222"/>
    <w:rsid w:val="00CD4D0A"/>
    <w:rsid w:val="00CD737B"/>
    <w:rsid w:val="00CD74F7"/>
    <w:rsid w:val="00CE6669"/>
    <w:rsid w:val="00CE6954"/>
    <w:rsid w:val="00CF0C6E"/>
    <w:rsid w:val="00CF1346"/>
    <w:rsid w:val="00CF21B9"/>
    <w:rsid w:val="00CF23DD"/>
    <w:rsid w:val="00CF3D66"/>
    <w:rsid w:val="00CF4645"/>
    <w:rsid w:val="00CF6BF9"/>
    <w:rsid w:val="00CF6C71"/>
    <w:rsid w:val="00CF7735"/>
    <w:rsid w:val="00D00887"/>
    <w:rsid w:val="00D01527"/>
    <w:rsid w:val="00D01D84"/>
    <w:rsid w:val="00D031A2"/>
    <w:rsid w:val="00D03800"/>
    <w:rsid w:val="00D04E1E"/>
    <w:rsid w:val="00D065D3"/>
    <w:rsid w:val="00D06827"/>
    <w:rsid w:val="00D06B3B"/>
    <w:rsid w:val="00D06C02"/>
    <w:rsid w:val="00D14C94"/>
    <w:rsid w:val="00D15CA3"/>
    <w:rsid w:val="00D167AF"/>
    <w:rsid w:val="00D1684E"/>
    <w:rsid w:val="00D178D4"/>
    <w:rsid w:val="00D216A5"/>
    <w:rsid w:val="00D21FBB"/>
    <w:rsid w:val="00D23A5F"/>
    <w:rsid w:val="00D26D7F"/>
    <w:rsid w:val="00D27538"/>
    <w:rsid w:val="00D27EE6"/>
    <w:rsid w:val="00D31795"/>
    <w:rsid w:val="00D33239"/>
    <w:rsid w:val="00D342A6"/>
    <w:rsid w:val="00D3468F"/>
    <w:rsid w:val="00D3596D"/>
    <w:rsid w:val="00D35A92"/>
    <w:rsid w:val="00D35ED4"/>
    <w:rsid w:val="00D36443"/>
    <w:rsid w:val="00D366D0"/>
    <w:rsid w:val="00D37D6C"/>
    <w:rsid w:val="00D37DEC"/>
    <w:rsid w:val="00D40ED0"/>
    <w:rsid w:val="00D41492"/>
    <w:rsid w:val="00D41AD8"/>
    <w:rsid w:val="00D45CA6"/>
    <w:rsid w:val="00D464BF"/>
    <w:rsid w:val="00D46A14"/>
    <w:rsid w:val="00D52369"/>
    <w:rsid w:val="00D5285A"/>
    <w:rsid w:val="00D52AE0"/>
    <w:rsid w:val="00D52CF7"/>
    <w:rsid w:val="00D539A1"/>
    <w:rsid w:val="00D53E26"/>
    <w:rsid w:val="00D563DA"/>
    <w:rsid w:val="00D57237"/>
    <w:rsid w:val="00D600AD"/>
    <w:rsid w:val="00D608BF"/>
    <w:rsid w:val="00D615C5"/>
    <w:rsid w:val="00D6236E"/>
    <w:rsid w:val="00D67CC4"/>
    <w:rsid w:val="00D70A48"/>
    <w:rsid w:val="00D71FC2"/>
    <w:rsid w:val="00D72E95"/>
    <w:rsid w:val="00D74DCF"/>
    <w:rsid w:val="00D754CF"/>
    <w:rsid w:val="00D775AB"/>
    <w:rsid w:val="00D80E57"/>
    <w:rsid w:val="00D80F4B"/>
    <w:rsid w:val="00D8177E"/>
    <w:rsid w:val="00D84372"/>
    <w:rsid w:val="00D867DB"/>
    <w:rsid w:val="00D876E2"/>
    <w:rsid w:val="00D924C6"/>
    <w:rsid w:val="00D92E55"/>
    <w:rsid w:val="00D95D73"/>
    <w:rsid w:val="00DA1840"/>
    <w:rsid w:val="00DA1B97"/>
    <w:rsid w:val="00DA1C98"/>
    <w:rsid w:val="00DA6B69"/>
    <w:rsid w:val="00DA7837"/>
    <w:rsid w:val="00DB03E3"/>
    <w:rsid w:val="00DB0B70"/>
    <w:rsid w:val="00DB13E6"/>
    <w:rsid w:val="00DB177D"/>
    <w:rsid w:val="00DB182C"/>
    <w:rsid w:val="00DB1B52"/>
    <w:rsid w:val="00DB41BD"/>
    <w:rsid w:val="00DB4419"/>
    <w:rsid w:val="00DB4DF2"/>
    <w:rsid w:val="00DB7D7A"/>
    <w:rsid w:val="00DC1ADD"/>
    <w:rsid w:val="00DC2D65"/>
    <w:rsid w:val="00DC5899"/>
    <w:rsid w:val="00DC64AA"/>
    <w:rsid w:val="00DC7155"/>
    <w:rsid w:val="00DD2504"/>
    <w:rsid w:val="00DD2597"/>
    <w:rsid w:val="00DD2E80"/>
    <w:rsid w:val="00DD438D"/>
    <w:rsid w:val="00DD4F0E"/>
    <w:rsid w:val="00DD58E1"/>
    <w:rsid w:val="00DE2D79"/>
    <w:rsid w:val="00DE4762"/>
    <w:rsid w:val="00DE59CC"/>
    <w:rsid w:val="00DE6730"/>
    <w:rsid w:val="00DE6EB0"/>
    <w:rsid w:val="00DE7E37"/>
    <w:rsid w:val="00DE7F64"/>
    <w:rsid w:val="00DF0BF0"/>
    <w:rsid w:val="00DF3CA2"/>
    <w:rsid w:val="00DF5C0B"/>
    <w:rsid w:val="00DF778B"/>
    <w:rsid w:val="00DF7954"/>
    <w:rsid w:val="00E00345"/>
    <w:rsid w:val="00E01463"/>
    <w:rsid w:val="00E01799"/>
    <w:rsid w:val="00E02FC2"/>
    <w:rsid w:val="00E047C9"/>
    <w:rsid w:val="00E05870"/>
    <w:rsid w:val="00E05C99"/>
    <w:rsid w:val="00E05E0A"/>
    <w:rsid w:val="00E060BE"/>
    <w:rsid w:val="00E06196"/>
    <w:rsid w:val="00E07F64"/>
    <w:rsid w:val="00E109EA"/>
    <w:rsid w:val="00E1190F"/>
    <w:rsid w:val="00E12F9C"/>
    <w:rsid w:val="00E1504F"/>
    <w:rsid w:val="00E169A9"/>
    <w:rsid w:val="00E17134"/>
    <w:rsid w:val="00E20584"/>
    <w:rsid w:val="00E2633F"/>
    <w:rsid w:val="00E33D65"/>
    <w:rsid w:val="00E3748D"/>
    <w:rsid w:val="00E37DDE"/>
    <w:rsid w:val="00E403CB"/>
    <w:rsid w:val="00E40432"/>
    <w:rsid w:val="00E41E23"/>
    <w:rsid w:val="00E42188"/>
    <w:rsid w:val="00E454A0"/>
    <w:rsid w:val="00E50B3D"/>
    <w:rsid w:val="00E518D6"/>
    <w:rsid w:val="00E51A2D"/>
    <w:rsid w:val="00E534CF"/>
    <w:rsid w:val="00E545B8"/>
    <w:rsid w:val="00E56E67"/>
    <w:rsid w:val="00E605DA"/>
    <w:rsid w:val="00E6083C"/>
    <w:rsid w:val="00E610F6"/>
    <w:rsid w:val="00E615CA"/>
    <w:rsid w:val="00E62D87"/>
    <w:rsid w:val="00E6580B"/>
    <w:rsid w:val="00E6735F"/>
    <w:rsid w:val="00E67B1A"/>
    <w:rsid w:val="00E722BF"/>
    <w:rsid w:val="00E727DE"/>
    <w:rsid w:val="00E75F40"/>
    <w:rsid w:val="00E7657E"/>
    <w:rsid w:val="00E76C27"/>
    <w:rsid w:val="00E77684"/>
    <w:rsid w:val="00E77A2A"/>
    <w:rsid w:val="00E80488"/>
    <w:rsid w:val="00E80EE7"/>
    <w:rsid w:val="00E81532"/>
    <w:rsid w:val="00E81CB4"/>
    <w:rsid w:val="00E81E03"/>
    <w:rsid w:val="00E84028"/>
    <w:rsid w:val="00E8544C"/>
    <w:rsid w:val="00E85503"/>
    <w:rsid w:val="00E8585B"/>
    <w:rsid w:val="00E85E23"/>
    <w:rsid w:val="00E85F7E"/>
    <w:rsid w:val="00E87F41"/>
    <w:rsid w:val="00E905B5"/>
    <w:rsid w:val="00E91E9C"/>
    <w:rsid w:val="00E92DF5"/>
    <w:rsid w:val="00E936A5"/>
    <w:rsid w:val="00E93CC4"/>
    <w:rsid w:val="00E9743B"/>
    <w:rsid w:val="00EA0973"/>
    <w:rsid w:val="00EA0D4A"/>
    <w:rsid w:val="00EA1502"/>
    <w:rsid w:val="00EA3F15"/>
    <w:rsid w:val="00EA45CE"/>
    <w:rsid w:val="00EA4964"/>
    <w:rsid w:val="00EA694A"/>
    <w:rsid w:val="00EA6BF8"/>
    <w:rsid w:val="00EA7847"/>
    <w:rsid w:val="00EB095A"/>
    <w:rsid w:val="00EB1AAF"/>
    <w:rsid w:val="00EB322C"/>
    <w:rsid w:val="00EB410A"/>
    <w:rsid w:val="00EB4B0F"/>
    <w:rsid w:val="00EB4C2F"/>
    <w:rsid w:val="00EB7215"/>
    <w:rsid w:val="00EB7D70"/>
    <w:rsid w:val="00EC138F"/>
    <w:rsid w:val="00EC1503"/>
    <w:rsid w:val="00EC287C"/>
    <w:rsid w:val="00EC6015"/>
    <w:rsid w:val="00EC779A"/>
    <w:rsid w:val="00ED1568"/>
    <w:rsid w:val="00ED1F12"/>
    <w:rsid w:val="00ED2800"/>
    <w:rsid w:val="00ED3DB8"/>
    <w:rsid w:val="00EE1187"/>
    <w:rsid w:val="00EE1BB2"/>
    <w:rsid w:val="00EE2E6E"/>
    <w:rsid w:val="00EE315E"/>
    <w:rsid w:val="00EE343E"/>
    <w:rsid w:val="00EE3E4E"/>
    <w:rsid w:val="00EE3E67"/>
    <w:rsid w:val="00EE47F6"/>
    <w:rsid w:val="00EE60FB"/>
    <w:rsid w:val="00EE7782"/>
    <w:rsid w:val="00EF25A4"/>
    <w:rsid w:val="00EF5A00"/>
    <w:rsid w:val="00EF5B01"/>
    <w:rsid w:val="00F00333"/>
    <w:rsid w:val="00F005B9"/>
    <w:rsid w:val="00F008FC"/>
    <w:rsid w:val="00F01759"/>
    <w:rsid w:val="00F02A72"/>
    <w:rsid w:val="00F0366C"/>
    <w:rsid w:val="00F045C6"/>
    <w:rsid w:val="00F04D8D"/>
    <w:rsid w:val="00F0759E"/>
    <w:rsid w:val="00F10412"/>
    <w:rsid w:val="00F113EF"/>
    <w:rsid w:val="00F121F9"/>
    <w:rsid w:val="00F12A51"/>
    <w:rsid w:val="00F1323D"/>
    <w:rsid w:val="00F14113"/>
    <w:rsid w:val="00F14FB2"/>
    <w:rsid w:val="00F16A43"/>
    <w:rsid w:val="00F16E8E"/>
    <w:rsid w:val="00F17D67"/>
    <w:rsid w:val="00F17DA2"/>
    <w:rsid w:val="00F22807"/>
    <w:rsid w:val="00F23026"/>
    <w:rsid w:val="00F255E4"/>
    <w:rsid w:val="00F25713"/>
    <w:rsid w:val="00F25787"/>
    <w:rsid w:val="00F27CD4"/>
    <w:rsid w:val="00F302FF"/>
    <w:rsid w:val="00F36275"/>
    <w:rsid w:val="00F3659C"/>
    <w:rsid w:val="00F4104B"/>
    <w:rsid w:val="00F41122"/>
    <w:rsid w:val="00F44117"/>
    <w:rsid w:val="00F44458"/>
    <w:rsid w:val="00F44ED7"/>
    <w:rsid w:val="00F45B01"/>
    <w:rsid w:val="00F46780"/>
    <w:rsid w:val="00F46A25"/>
    <w:rsid w:val="00F4782A"/>
    <w:rsid w:val="00F5013D"/>
    <w:rsid w:val="00F5031C"/>
    <w:rsid w:val="00F50BDD"/>
    <w:rsid w:val="00F52897"/>
    <w:rsid w:val="00F529E3"/>
    <w:rsid w:val="00F53435"/>
    <w:rsid w:val="00F56374"/>
    <w:rsid w:val="00F600D4"/>
    <w:rsid w:val="00F64407"/>
    <w:rsid w:val="00F651E9"/>
    <w:rsid w:val="00F651F7"/>
    <w:rsid w:val="00F65C10"/>
    <w:rsid w:val="00F663B0"/>
    <w:rsid w:val="00F701F0"/>
    <w:rsid w:val="00F720E4"/>
    <w:rsid w:val="00F762DB"/>
    <w:rsid w:val="00F77D2D"/>
    <w:rsid w:val="00F77D4E"/>
    <w:rsid w:val="00F80689"/>
    <w:rsid w:val="00F80B58"/>
    <w:rsid w:val="00F821A3"/>
    <w:rsid w:val="00F8384B"/>
    <w:rsid w:val="00F907C0"/>
    <w:rsid w:val="00F90B93"/>
    <w:rsid w:val="00F922BE"/>
    <w:rsid w:val="00F9314A"/>
    <w:rsid w:val="00F940B2"/>
    <w:rsid w:val="00F948C1"/>
    <w:rsid w:val="00F9687C"/>
    <w:rsid w:val="00FA0477"/>
    <w:rsid w:val="00FA494C"/>
    <w:rsid w:val="00FA66B2"/>
    <w:rsid w:val="00FA66D4"/>
    <w:rsid w:val="00FA6D6E"/>
    <w:rsid w:val="00FB01D4"/>
    <w:rsid w:val="00FB0439"/>
    <w:rsid w:val="00FB2444"/>
    <w:rsid w:val="00FB27F7"/>
    <w:rsid w:val="00FB3117"/>
    <w:rsid w:val="00FB613E"/>
    <w:rsid w:val="00FC0EBF"/>
    <w:rsid w:val="00FC3864"/>
    <w:rsid w:val="00FC3C88"/>
    <w:rsid w:val="00FC58EF"/>
    <w:rsid w:val="00FC5999"/>
    <w:rsid w:val="00FC734D"/>
    <w:rsid w:val="00FD252B"/>
    <w:rsid w:val="00FD2BFE"/>
    <w:rsid w:val="00FD2C66"/>
    <w:rsid w:val="00FD33DF"/>
    <w:rsid w:val="00FD3765"/>
    <w:rsid w:val="00FD428D"/>
    <w:rsid w:val="00FD6095"/>
    <w:rsid w:val="00FD666D"/>
    <w:rsid w:val="00FD7259"/>
    <w:rsid w:val="00FD796D"/>
    <w:rsid w:val="00FE055D"/>
    <w:rsid w:val="00FE2AD8"/>
    <w:rsid w:val="00FE39D7"/>
    <w:rsid w:val="00FE3DD5"/>
    <w:rsid w:val="00FE5555"/>
    <w:rsid w:val="00FE6273"/>
    <w:rsid w:val="00FF0919"/>
    <w:rsid w:val="00FF214F"/>
    <w:rsid w:val="00FF4EC2"/>
    <w:rsid w:val="00FF5EC1"/>
    <w:rsid w:val="02EACB5C"/>
    <w:rsid w:val="0425F03B"/>
    <w:rsid w:val="05D438F1"/>
    <w:rsid w:val="0A345B15"/>
    <w:rsid w:val="0A704445"/>
    <w:rsid w:val="0C50B4C7"/>
    <w:rsid w:val="0DB39563"/>
    <w:rsid w:val="0E2F8DD4"/>
    <w:rsid w:val="0E85493E"/>
    <w:rsid w:val="0F24F547"/>
    <w:rsid w:val="0F476764"/>
    <w:rsid w:val="126E44D8"/>
    <w:rsid w:val="12FC3428"/>
    <w:rsid w:val="1398B2D5"/>
    <w:rsid w:val="14111E4A"/>
    <w:rsid w:val="157444FD"/>
    <w:rsid w:val="16E265EF"/>
    <w:rsid w:val="1725A9F3"/>
    <w:rsid w:val="18C314E3"/>
    <w:rsid w:val="19327F39"/>
    <w:rsid w:val="1B690CD1"/>
    <w:rsid w:val="1D67D2D8"/>
    <w:rsid w:val="20F08B36"/>
    <w:rsid w:val="21714E99"/>
    <w:rsid w:val="239EC362"/>
    <w:rsid w:val="25016F37"/>
    <w:rsid w:val="29657FEF"/>
    <w:rsid w:val="2A9DD67F"/>
    <w:rsid w:val="2B66332C"/>
    <w:rsid w:val="2C9F0CDB"/>
    <w:rsid w:val="2D454984"/>
    <w:rsid w:val="2DDB713A"/>
    <w:rsid w:val="2E1CF911"/>
    <w:rsid w:val="2EE7A357"/>
    <w:rsid w:val="30751FFC"/>
    <w:rsid w:val="31176F32"/>
    <w:rsid w:val="31773516"/>
    <w:rsid w:val="32ACB3CE"/>
    <w:rsid w:val="34BD3EA7"/>
    <w:rsid w:val="351519D3"/>
    <w:rsid w:val="3745D89D"/>
    <w:rsid w:val="37C03300"/>
    <w:rsid w:val="39A35ED1"/>
    <w:rsid w:val="3AFCD8E8"/>
    <w:rsid w:val="3F26EBBD"/>
    <w:rsid w:val="3F7B6E8B"/>
    <w:rsid w:val="3F992738"/>
    <w:rsid w:val="3FCCA3C5"/>
    <w:rsid w:val="400FC257"/>
    <w:rsid w:val="405F8A51"/>
    <w:rsid w:val="4253BFFC"/>
    <w:rsid w:val="44C15B49"/>
    <w:rsid w:val="45567D4D"/>
    <w:rsid w:val="472E6A98"/>
    <w:rsid w:val="494150BC"/>
    <w:rsid w:val="4BFCB1D1"/>
    <w:rsid w:val="4CADB4AE"/>
    <w:rsid w:val="4D1388B7"/>
    <w:rsid w:val="4F008A99"/>
    <w:rsid w:val="4F631458"/>
    <w:rsid w:val="5153E78F"/>
    <w:rsid w:val="561579DD"/>
    <w:rsid w:val="582898FC"/>
    <w:rsid w:val="58B8EEF8"/>
    <w:rsid w:val="5B07FCC9"/>
    <w:rsid w:val="5C962D69"/>
    <w:rsid w:val="5E28C457"/>
    <w:rsid w:val="5E96ED0F"/>
    <w:rsid w:val="61F1F8ED"/>
    <w:rsid w:val="64B3584C"/>
    <w:rsid w:val="660AE599"/>
    <w:rsid w:val="6670ACAA"/>
    <w:rsid w:val="6B465682"/>
    <w:rsid w:val="6C194495"/>
    <w:rsid w:val="6C290AB1"/>
    <w:rsid w:val="6D65E069"/>
    <w:rsid w:val="6EA3530F"/>
    <w:rsid w:val="7198912A"/>
    <w:rsid w:val="724E8A64"/>
    <w:rsid w:val="738E1D91"/>
    <w:rsid w:val="74888CC9"/>
    <w:rsid w:val="74963B4A"/>
    <w:rsid w:val="7BA243F1"/>
    <w:rsid w:val="7D9453C0"/>
    <w:rsid w:val="7F0EB9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4048C7B"/>
  <w15:docId w15:val="{9CDF6702-F7DC-4B61-81A0-7078DEB9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1">
    <w:name w:val="Epígrafe1"/>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Textodelmarcadordeposicin">
    <w:name w:val="Placeholder Text"/>
    <w:basedOn w:val="Fuentedeprrafopredeter"/>
    <w:uiPriority w:val="99"/>
    <w:semiHidden/>
    <w:rsid w:val="00176803"/>
    <w:rPr>
      <w:color w:val="808080"/>
    </w:rPr>
  </w:style>
  <w:style w:type="character" w:styleId="Refdecomentario">
    <w:name w:val="annotation reference"/>
    <w:basedOn w:val="Fuentedeprrafopredeter"/>
    <w:uiPriority w:val="99"/>
    <w:semiHidden/>
    <w:unhideWhenUsed/>
    <w:rsid w:val="001B480F"/>
    <w:rPr>
      <w:sz w:val="16"/>
      <w:szCs w:val="16"/>
    </w:rPr>
  </w:style>
  <w:style w:type="paragraph" w:styleId="Textocomentario">
    <w:name w:val="annotation text"/>
    <w:basedOn w:val="Normal"/>
    <w:link w:val="TextocomentarioCar"/>
    <w:uiPriority w:val="99"/>
    <w:semiHidden/>
    <w:unhideWhenUsed/>
    <w:rsid w:val="001B480F"/>
    <w:rPr>
      <w:sz w:val="20"/>
      <w:szCs w:val="20"/>
    </w:rPr>
  </w:style>
  <w:style w:type="character" w:customStyle="1" w:styleId="TextocomentarioCar">
    <w:name w:val="Texto comentario Car"/>
    <w:basedOn w:val="Fuentedeprrafopredeter"/>
    <w:link w:val="Textocomentario"/>
    <w:uiPriority w:val="99"/>
    <w:semiHidden/>
    <w:rsid w:val="001B480F"/>
    <w:rPr>
      <w:lang w:val="es-ES" w:eastAsia="es-ES"/>
    </w:rPr>
  </w:style>
  <w:style w:type="paragraph" w:styleId="Asuntodelcomentario">
    <w:name w:val="annotation subject"/>
    <w:basedOn w:val="Textocomentario"/>
    <w:next w:val="Textocomentario"/>
    <w:link w:val="AsuntodelcomentarioCar"/>
    <w:uiPriority w:val="99"/>
    <w:semiHidden/>
    <w:unhideWhenUsed/>
    <w:rsid w:val="001B480F"/>
    <w:rPr>
      <w:b/>
      <w:bCs/>
    </w:rPr>
  </w:style>
  <w:style w:type="character" w:customStyle="1" w:styleId="AsuntodelcomentarioCar">
    <w:name w:val="Asunto del comentario Car"/>
    <w:basedOn w:val="TextocomentarioCar"/>
    <w:link w:val="Asuntodelcomentario"/>
    <w:uiPriority w:val="99"/>
    <w:semiHidden/>
    <w:rsid w:val="001B480F"/>
    <w:rPr>
      <w:b/>
      <w:bCs/>
      <w:lang w:val="es-ES" w:eastAsia="es-ES"/>
    </w:rPr>
  </w:style>
  <w:style w:type="character" w:styleId="Hipervnculo">
    <w:name w:val="Hyperlink"/>
    <w:basedOn w:val="Fuentedeprrafopredeter"/>
    <w:uiPriority w:val="99"/>
    <w:unhideWhenUsed/>
    <w:rPr>
      <w:color w:val="0563C1" w:themeColor="hyperlink"/>
      <w:u w:val="single"/>
    </w:rPr>
  </w:style>
  <w:style w:type="character" w:styleId="Mencinsinresolver">
    <w:name w:val="Unresolved Mention"/>
    <w:basedOn w:val="Fuentedeprrafopredeter"/>
    <w:uiPriority w:val="99"/>
    <w:semiHidden/>
    <w:unhideWhenUsed/>
    <w:rsid w:val="00245A62"/>
    <w:rPr>
      <w:color w:val="605E5C"/>
      <w:shd w:val="clear" w:color="auto" w:fill="E1DFDD"/>
    </w:rPr>
  </w:style>
  <w:style w:type="paragraph" w:styleId="Revisin">
    <w:name w:val="Revision"/>
    <w:hidden/>
    <w:uiPriority w:val="99"/>
    <w:semiHidden/>
    <w:rsid w:val="00FD2C66"/>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63906">
      <w:bodyDiv w:val="1"/>
      <w:marLeft w:val="0"/>
      <w:marRight w:val="0"/>
      <w:marTop w:val="0"/>
      <w:marBottom w:val="0"/>
      <w:divBdr>
        <w:top w:val="none" w:sz="0" w:space="0" w:color="auto"/>
        <w:left w:val="none" w:sz="0" w:space="0" w:color="auto"/>
        <w:bottom w:val="none" w:sz="0" w:space="0" w:color="auto"/>
        <w:right w:val="none" w:sz="0" w:space="0" w:color="auto"/>
      </w:divBdr>
    </w:div>
    <w:div w:id="301154534">
      <w:bodyDiv w:val="1"/>
      <w:marLeft w:val="0"/>
      <w:marRight w:val="0"/>
      <w:marTop w:val="0"/>
      <w:marBottom w:val="0"/>
      <w:divBdr>
        <w:top w:val="none" w:sz="0" w:space="0" w:color="auto"/>
        <w:left w:val="none" w:sz="0" w:space="0" w:color="auto"/>
        <w:bottom w:val="none" w:sz="0" w:space="0" w:color="auto"/>
        <w:right w:val="none" w:sz="0" w:space="0" w:color="auto"/>
      </w:divBdr>
    </w:div>
    <w:div w:id="859010878">
      <w:bodyDiv w:val="1"/>
      <w:marLeft w:val="0"/>
      <w:marRight w:val="0"/>
      <w:marTop w:val="0"/>
      <w:marBottom w:val="0"/>
      <w:divBdr>
        <w:top w:val="none" w:sz="0" w:space="0" w:color="auto"/>
        <w:left w:val="none" w:sz="0" w:space="0" w:color="auto"/>
        <w:bottom w:val="none" w:sz="0" w:space="0" w:color="auto"/>
        <w:right w:val="none" w:sz="0" w:space="0" w:color="auto"/>
      </w:divBdr>
    </w:div>
    <w:div w:id="1048265978">
      <w:bodyDiv w:val="1"/>
      <w:marLeft w:val="0"/>
      <w:marRight w:val="0"/>
      <w:marTop w:val="0"/>
      <w:marBottom w:val="0"/>
      <w:divBdr>
        <w:top w:val="none" w:sz="0" w:space="0" w:color="auto"/>
        <w:left w:val="none" w:sz="0" w:space="0" w:color="auto"/>
        <w:bottom w:val="none" w:sz="0" w:space="0" w:color="auto"/>
        <w:right w:val="none" w:sz="0" w:space="0" w:color="auto"/>
      </w:divBdr>
    </w:div>
    <w:div w:id="1101219017">
      <w:bodyDiv w:val="1"/>
      <w:marLeft w:val="0"/>
      <w:marRight w:val="0"/>
      <w:marTop w:val="0"/>
      <w:marBottom w:val="0"/>
      <w:divBdr>
        <w:top w:val="none" w:sz="0" w:space="0" w:color="auto"/>
        <w:left w:val="none" w:sz="0" w:space="0" w:color="auto"/>
        <w:bottom w:val="none" w:sz="0" w:space="0" w:color="auto"/>
        <w:right w:val="none" w:sz="0" w:space="0" w:color="auto"/>
      </w:divBdr>
    </w:div>
    <w:div w:id="1476485084">
      <w:bodyDiv w:val="1"/>
      <w:marLeft w:val="0"/>
      <w:marRight w:val="0"/>
      <w:marTop w:val="0"/>
      <w:marBottom w:val="0"/>
      <w:divBdr>
        <w:top w:val="none" w:sz="0" w:space="0" w:color="auto"/>
        <w:left w:val="none" w:sz="0" w:space="0" w:color="auto"/>
        <w:bottom w:val="none" w:sz="0" w:space="0" w:color="auto"/>
        <w:right w:val="none" w:sz="0" w:space="0" w:color="auto"/>
      </w:divBdr>
    </w:div>
    <w:div w:id="165283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reg@creg.gov.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upme.gov.co"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7D4FDF199FE64438732850D4FBE260F" ma:contentTypeVersion="4" ma:contentTypeDescription="Crear nuevo documento." ma:contentTypeScope="" ma:versionID="1685e5b21b379e7546a9d40aa974ae90">
  <xsd:schema xmlns:xsd="http://www.w3.org/2001/XMLSchema" xmlns:xs="http://www.w3.org/2001/XMLSchema" xmlns:p="http://schemas.microsoft.com/office/2006/metadata/properties" xmlns:ns2="0f90cc45-9d06-4234-8034-eeec6c0c7cc1" xmlns:ns3="309f6219-a73f-4366-a00d-6bacb1e9f8e0" targetNamespace="http://schemas.microsoft.com/office/2006/metadata/properties" ma:root="true" ma:fieldsID="60abbc5b55a6ff46217fa93181a3a83f" ns2:_="" ns3:_="">
    <xsd:import namespace="0f90cc45-9d06-4234-8034-eeec6c0c7cc1"/>
    <xsd:import namespace="309f6219-a73f-4366-a00d-6bacb1e9f8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0cc45-9d06-4234-8034-eeec6c0c7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9f6219-a73f-4366-a00d-6bacb1e9f8e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CBB248-E4C9-4F4F-A4DA-F02B807B792A}">
  <ds:schemaRefs>
    <ds:schemaRef ds:uri="http://schemas.openxmlformats.org/officeDocument/2006/bibliography"/>
  </ds:schemaRefs>
</ds:datastoreItem>
</file>

<file path=customXml/itemProps2.xml><?xml version="1.0" encoding="utf-8"?>
<ds:datastoreItem xmlns:ds="http://schemas.openxmlformats.org/officeDocument/2006/customXml" ds:itemID="{8AD286BF-6730-46B4-BA77-506B770320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0cc45-9d06-4234-8034-eeec6c0c7cc1"/>
    <ds:schemaRef ds:uri="309f6219-a73f-4366-a00d-6bacb1e9f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E40AA3-C1FD-42F3-A210-B469F171E0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642630-7DFF-4534-927E-31D703BD13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8</Pages>
  <Words>2343</Words>
  <Characters>12054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2021-12-23T19:17:00Z</cp:lastPrinted>
  <dcterms:created xsi:type="dcterms:W3CDTF">2021-12-23T22:37:00Z</dcterms:created>
  <dcterms:modified xsi:type="dcterms:W3CDTF">2021-12-23T22:37:00Z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0x010100A7D4FDF199FE64438732850D4FBE260F</vt:lpwstr>
  </property>
</Properties>
</file>