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0A7A" w14:textId="60747142" w:rsidR="00445D79" w:rsidRPr="00D351A9" w:rsidRDefault="00B630C5" w:rsidP="007A4B89">
      <w:pPr>
        <w:pStyle w:val="Encabezado"/>
        <w:tabs>
          <w:tab w:val="clear" w:pos="8504"/>
          <w:tab w:val="left" w:pos="0"/>
          <w:tab w:val="right" w:pos="9356"/>
        </w:tabs>
        <w:ind w:left="0"/>
        <w:jc w:val="center"/>
        <w:rPr>
          <w:rFonts w:ascii="Bookman Old Style" w:hAnsi="Bookman Old Style"/>
          <w:b/>
          <w:bCs/>
          <w:noProof/>
        </w:rPr>
      </w:pPr>
      <w:bookmarkStart w:id="0" w:name="_GoBack"/>
      <w:bookmarkEnd w:id="0"/>
      <w:r>
        <w:rPr>
          <w:rFonts w:ascii="Bookman Old Style" w:hAnsi="Bookman Old Style"/>
          <w:szCs w:val="24"/>
        </w:rPr>
        <w:object w:dxaOrig="1440" w:dyaOrig="1440" w14:anchorId="34077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0.7pt;width:52.5pt;height:48.75pt;z-index:251657728" fillcolor="#0c9">
            <v:imagedata r:id="rId8" o:title=""/>
          </v:shape>
          <o:OLEObject Type="Embed" ProgID="PBrush" ShapeID="_x0000_s1026" DrawAspect="Content" ObjectID="_1617712162" r:id="rId9"/>
        </w:object>
      </w:r>
      <w:r w:rsidR="00445D79" w:rsidRPr="00D351A9">
        <w:rPr>
          <w:rFonts w:ascii="Bookman Old Style" w:hAnsi="Bookman Old Style"/>
          <w:bCs/>
        </w:rPr>
        <w:t>Ministerio de Minas y Energía</w:t>
      </w:r>
    </w:p>
    <w:p w14:paraId="6394C8F4" w14:textId="77777777" w:rsidR="00445D79" w:rsidRPr="00D351A9" w:rsidRDefault="00445D79" w:rsidP="00D351A9">
      <w:pPr>
        <w:ind w:left="0"/>
        <w:jc w:val="center"/>
        <w:rPr>
          <w:rFonts w:ascii="Bookman Old Style" w:hAnsi="Bookman Old Style"/>
          <w:b/>
          <w:bCs/>
        </w:rPr>
      </w:pPr>
    </w:p>
    <w:p w14:paraId="5DEE224A" w14:textId="77777777" w:rsidR="00445D79" w:rsidRPr="00D351A9" w:rsidRDefault="00445D79" w:rsidP="00D351A9">
      <w:pPr>
        <w:ind w:left="0"/>
        <w:jc w:val="center"/>
        <w:rPr>
          <w:rFonts w:ascii="Bookman Old Style" w:hAnsi="Bookman Old Style" w:cs="Arial"/>
          <w:b/>
          <w:spacing w:val="20"/>
        </w:rPr>
      </w:pPr>
      <w:r w:rsidRPr="00D351A9">
        <w:rPr>
          <w:rFonts w:ascii="Bookman Old Style" w:hAnsi="Bookman Old Style" w:cs="Arial"/>
          <w:b/>
          <w:spacing w:val="20"/>
        </w:rPr>
        <w:t>COMISIÓN DE REGULACIÓN DE ENERGÍA Y GAS</w:t>
      </w:r>
    </w:p>
    <w:p w14:paraId="13A64F12" w14:textId="77777777" w:rsidR="00445D79" w:rsidRPr="00D351A9" w:rsidRDefault="00445D79" w:rsidP="00D351A9">
      <w:pPr>
        <w:rPr>
          <w:rFonts w:ascii="Bookman Old Style" w:hAnsi="Bookman Old Style"/>
        </w:rPr>
      </w:pPr>
    </w:p>
    <w:p w14:paraId="6E342560" w14:textId="77777777" w:rsidR="00445D79" w:rsidRPr="00D351A9" w:rsidRDefault="00445D79" w:rsidP="00D351A9">
      <w:pPr>
        <w:rPr>
          <w:rFonts w:ascii="Bookman Old Style" w:hAnsi="Bookman Old Style"/>
        </w:rPr>
      </w:pPr>
    </w:p>
    <w:p w14:paraId="618ACAC9" w14:textId="67E9BB1A" w:rsidR="00445D79" w:rsidRPr="00D351A9" w:rsidRDefault="00445D79" w:rsidP="00D351A9">
      <w:pPr>
        <w:ind w:left="0"/>
        <w:jc w:val="center"/>
        <w:rPr>
          <w:rFonts w:ascii="Bookman Old Style" w:hAnsi="Bookman Old Style"/>
          <w:b/>
        </w:rPr>
      </w:pPr>
      <w:r w:rsidRPr="00D351A9">
        <w:rPr>
          <w:rFonts w:ascii="Bookman Old Style" w:hAnsi="Bookman Old Style"/>
          <w:b/>
        </w:rPr>
        <w:t xml:space="preserve">RESOLUCIÓN No.    </w:t>
      </w:r>
      <w:r w:rsidR="007A4B89">
        <w:rPr>
          <w:rFonts w:ascii="Bookman Old Style" w:hAnsi="Bookman Old Style"/>
          <w:b/>
        </w:rPr>
        <w:t xml:space="preserve">  </w:t>
      </w:r>
      <w:r w:rsidRPr="00D351A9">
        <w:rPr>
          <w:rFonts w:ascii="Bookman Old Style" w:hAnsi="Bookman Old Style"/>
          <w:b/>
        </w:rPr>
        <w:t xml:space="preserve">               </w:t>
      </w:r>
      <w:r w:rsidR="00DD23BE" w:rsidRPr="00D351A9">
        <w:rPr>
          <w:rFonts w:ascii="Bookman Old Style" w:hAnsi="Bookman Old Style"/>
          <w:b/>
        </w:rPr>
        <w:t xml:space="preserve">DE </w:t>
      </w:r>
      <w:r w:rsidR="009B011F" w:rsidRPr="00D351A9">
        <w:rPr>
          <w:rFonts w:ascii="Bookman Old Style" w:hAnsi="Bookman Old Style"/>
          <w:b/>
        </w:rPr>
        <w:t>201</w:t>
      </w:r>
      <w:r w:rsidR="000575B1" w:rsidRPr="00D351A9">
        <w:rPr>
          <w:rFonts w:ascii="Bookman Old Style" w:hAnsi="Bookman Old Style"/>
          <w:b/>
        </w:rPr>
        <w:t>9</w:t>
      </w:r>
    </w:p>
    <w:p w14:paraId="2492650D" w14:textId="77777777" w:rsidR="00445D79" w:rsidRPr="00D351A9" w:rsidRDefault="00445D79" w:rsidP="00D351A9">
      <w:pPr>
        <w:tabs>
          <w:tab w:val="left" w:pos="0"/>
          <w:tab w:val="right" w:pos="9356"/>
        </w:tabs>
        <w:ind w:left="0"/>
        <w:jc w:val="center"/>
        <w:rPr>
          <w:rFonts w:ascii="Bookman Old Style" w:hAnsi="Bookman Old Style" w:cs="Arial"/>
          <w:b/>
          <w:snapToGrid w:val="0"/>
          <w:color w:val="000000"/>
          <w:lang w:val="es-ES_tradnl"/>
        </w:rPr>
      </w:pPr>
    </w:p>
    <w:p w14:paraId="1F3B6A02" w14:textId="77777777" w:rsidR="00445D79" w:rsidRPr="00D351A9" w:rsidRDefault="00445D79" w:rsidP="00D351A9">
      <w:pPr>
        <w:ind w:left="0"/>
        <w:jc w:val="center"/>
        <w:rPr>
          <w:rFonts w:ascii="Bookman Old Style" w:hAnsi="Bookman Old Style"/>
        </w:rPr>
      </w:pPr>
      <w:r w:rsidRPr="00D351A9">
        <w:rPr>
          <w:rFonts w:ascii="Bookman Old Style" w:hAnsi="Bookman Old Style"/>
        </w:rPr>
        <w:t xml:space="preserve">(          </w:t>
      </w:r>
      <w:r w:rsidR="00E33113" w:rsidRPr="00D351A9">
        <w:rPr>
          <w:rFonts w:ascii="Bookman Old Style" w:hAnsi="Bookman Old Style"/>
        </w:rPr>
        <w:t xml:space="preserve">  </w:t>
      </w:r>
      <w:r w:rsidRPr="00D351A9">
        <w:rPr>
          <w:rFonts w:ascii="Bookman Old Style" w:hAnsi="Bookman Old Style"/>
        </w:rPr>
        <w:t xml:space="preserve">                        )</w:t>
      </w:r>
    </w:p>
    <w:p w14:paraId="455E90BD" w14:textId="77777777" w:rsidR="00445D79" w:rsidRPr="00D351A9" w:rsidRDefault="00445D79" w:rsidP="00EC2ABD">
      <w:pPr>
        <w:ind w:left="0"/>
        <w:rPr>
          <w:rFonts w:ascii="Bookman Old Style" w:hAnsi="Bookman Old Style"/>
          <w:bCs/>
          <w:lang w:val="es-CO"/>
        </w:rPr>
      </w:pPr>
    </w:p>
    <w:p w14:paraId="4D516A7D" w14:textId="77777777" w:rsidR="0024083A" w:rsidRPr="00D351A9" w:rsidRDefault="0024083A" w:rsidP="000074D5">
      <w:pPr>
        <w:ind w:left="0"/>
        <w:jc w:val="both"/>
        <w:rPr>
          <w:rFonts w:ascii="Bookman Old Style" w:hAnsi="Bookman Old Style" w:cs="Arial"/>
          <w:b/>
          <w:lang w:eastAsia="en-US"/>
        </w:rPr>
      </w:pPr>
    </w:p>
    <w:p w14:paraId="476F2DF4" w14:textId="6D0C82A3" w:rsidR="001A6196" w:rsidRPr="00D351A9" w:rsidRDefault="00DB3093" w:rsidP="007A4B89">
      <w:pPr>
        <w:ind w:left="0"/>
        <w:jc w:val="both"/>
        <w:rPr>
          <w:rFonts w:ascii="Bookman Old Style" w:hAnsi="Bookman Old Style" w:cs="Arial"/>
          <w:b/>
          <w:lang w:eastAsia="en-US"/>
        </w:rPr>
      </w:pPr>
      <w:r w:rsidRPr="00D351A9">
        <w:rPr>
          <w:rFonts w:ascii="Bookman Old Style" w:hAnsi="Bookman Old Style" w:cs="Arial"/>
          <w:color w:val="000000"/>
          <w:lang w:eastAsia="es-CO"/>
        </w:rPr>
        <w:t xml:space="preserve">Por la cual se resuelve el recurso de reposición interpuesto por la empresa </w:t>
      </w:r>
      <w:r w:rsidR="004106E6" w:rsidRPr="00D351A9">
        <w:rPr>
          <w:rFonts w:ascii="Bookman Old Style" w:hAnsi="Bookman Old Style"/>
        </w:rPr>
        <w:t xml:space="preserve">Intercolombia S.A. E.S.P. </w:t>
      </w:r>
      <w:r w:rsidRPr="00D351A9">
        <w:rPr>
          <w:rFonts w:ascii="Bookman Old Style" w:hAnsi="Bookman Old Style" w:cs="Arial"/>
          <w:color w:val="000000"/>
          <w:lang w:eastAsia="es-CO"/>
        </w:rPr>
        <w:t xml:space="preserve">contra la Resolución CREG </w:t>
      </w:r>
      <w:r w:rsidR="000575B1" w:rsidRPr="00D351A9">
        <w:rPr>
          <w:rFonts w:ascii="Bookman Old Style" w:hAnsi="Bookman Old Style" w:cs="Arial"/>
          <w:color w:val="000000"/>
          <w:lang w:eastAsia="es-CO"/>
        </w:rPr>
        <w:t>023 de 2019</w:t>
      </w:r>
      <w:r w:rsidRPr="00D351A9">
        <w:rPr>
          <w:rFonts w:ascii="Bookman Old Style" w:hAnsi="Bookman Old Style" w:cs="Arial"/>
          <w:color w:val="000000"/>
          <w:lang w:eastAsia="es-CO"/>
        </w:rPr>
        <w:t xml:space="preserve"> “</w:t>
      </w:r>
      <w:r w:rsidR="004106E6" w:rsidRPr="00D351A9">
        <w:rPr>
          <w:rFonts w:ascii="Bookman Old Style" w:hAnsi="Bookman Old Style"/>
        </w:rPr>
        <w:t>Por la cual se actualiza la base de activos de Intercolombia S.A. E.S.P. y se modifican los parámetros necesarios para considerar su remuneración en el Sistema de Transmisión Nacional</w:t>
      </w:r>
      <w:r w:rsidRPr="00D351A9">
        <w:rPr>
          <w:rFonts w:ascii="Bookman Old Style" w:hAnsi="Bookman Old Style" w:cs="Arial"/>
          <w:color w:val="000000"/>
          <w:lang w:eastAsia="es-CO"/>
        </w:rPr>
        <w:t>”</w:t>
      </w:r>
      <w:r w:rsidR="00FB74EC" w:rsidRPr="00D351A9">
        <w:rPr>
          <w:rFonts w:ascii="Bookman Old Style" w:hAnsi="Bookman Old Style" w:cs="Arial"/>
          <w:color w:val="000000"/>
          <w:lang w:eastAsia="es-CO"/>
        </w:rPr>
        <w:t>.</w:t>
      </w:r>
      <w:r w:rsidR="00655321" w:rsidRPr="00D351A9">
        <w:rPr>
          <w:rFonts w:ascii="Bookman Old Style" w:hAnsi="Bookman Old Style" w:cs="Arial"/>
          <w:color w:val="000000"/>
          <w:lang w:eastAsia="es-CO"/>
        </w:rPr>
        <w:t xml:space="preserve"> </w:t>
      </w:r>
    </w:p>
    <w:p w14:paraId="0F42BCBD" w14:textId="77777777" w:rsidR="0042164B" w:rsidRPr="007A4B89" w:rsidRDefault="0042164B" w:rsidP="009C777D">
      <w:pPr>
        <w:ind w:left="0"/>
        <w:jc w:val="center"/>
        <w:rPr>
          <w:rFonts w:ascii="Bookman Old Style" w:hAnsi="Bookman Old Style" w:cs="Arial"/>
          <w:b/>
          <w:sz w:val="12"/>
        </w:rPr>
      </w:pPr>
    </w:p>
    <w:p w14:paraId="0E4F6300" w14:textId="77777777" w:rsidR="00DB3093" w:rsidRPr="00D351A9" w:rsidRDefault="00DB3093" w:rsidP="009C777D">
      <w:pPr>
        <w:ind w:left="0"/>
        <w:jc w:val="center"/>
        <w:rPr>
          <w:rFonts w:ascii="Bookman Old Style" w:hAnsi="Bookman Old Style" w:cs="Arial"/>
          <w:b/>
        </w:rPr>
      </w:pPr>
    </w:p>
    <w:p w14:paraId="16959D4B" w14:textId="77777777" w:rsidR="009C777D" w:rsidRPr="00D351A9" w:rsidRDefault="009C777D" w:rsidP="009C777D">
      <w:pPr>
        <w:ind w:left="0"/>
        <w:jc w:val="center"/>
        <w:rPr>
          <w:rFonts w:ascii="Bookman Old Style" w:hAnsi="Bookman Old Style" w:cs="Arial"/>
          <w:b/>
        </w:rPr>
      </w:pPr>
      <w:r w:rsidRPr="00D351A9">
        <w:rPr>
          <w:rFonts w:ascii="Bookman Old Style" w:hAnsi="Bookman Old Style" w:cs="Arial"/>
          <w:b/>
        </w:rPr>
        <w:t>LA COMISIÓN DE REGULACIÓN DE ENERGÍA Y GAS</w:t>
      </w:r>
    </w:p>
    <w:p w14:paraId="04BFF2C2" w14:textId="77777777" w:rsidR="009C777D" w:rsidRPr="00D351A9" w:rsidRDefault="009C777D" w:rsidP="009C777D">
      <w:pPr>
        <w:ind w:left="0"/>
        <w:jc w:val="center"/>
        <w:rPr>
          <w:rFonts w:ascii="Bookman Old Style" w:hAnsi="Bookman Old Style" w:cs="Arial"/>
        </w:rPr>
      </w:pPr>
    </w:p>
    <w:p w14:paraId="52D0ABE8" w14:textId="77777777" w:rsidR="0042164B" w:rsidRPr="007A4B89" w:rsidRDefault="0042164B" w:rsidP="009C777D">
      <w:pPr>
        <w:ind w:left="0"/>
        <w:jc w:val="center"/>
        <w:rPr>
          <w:rFonts w:ascii="Bookman Old Style" w:hAnsi="Bookman Old Style" w:cs="Arial"/>
          <w:sz w:val="10"/>
        </w:rPr>
      </w:pPr>
    </w:p>
    <w:p w14:paraId="2A5FBC4C" w14:textId="2BDCA48B" w:rsidR="009C777D" w:rsidRPr="00D351A9" w:rsidRDefault="009C777D" w:rsidP="009C777D">
      <w:pPr>
        <w:ind w:left="0"/>
        <w:jc w:val="center"/>
        <w:rPr>
          <w:rFonts w:ascii="Bookman Old Style" w:hAnsi="Bookman Old Style" w:cs="Arial"/>
        </w:rPr>
      </w:pPr>
      <w:r w:rsidRPr="00D351A9">
        <w:rPr>
          <w:rFonts w:ascii="Bookman Old Style" w:hAnsi="Bookman Old Style" w:cs="Arial"/>
        </w:rPr>
        <w:t xml:space="preserve">En ejercicio de las atribuciones </w:t>
      </w:r>
      <w:r w:rsidR="00940006" w:rsidRPr="00D351A9">
        <w:rPr>
          <w:rFonts w:ascii="Bookman Old Style" w:hAnsi="Bookman Old Style"/>
        </w:rPr>
        <w:t xml:space="preserve">constitucionales y </w:t>
      </w:r>
      <w:r w:rsidRPr="00D351A9">
        <w:rPr>
          <w:rFonts w:ascii="Bookman Old Style" w:hAnsi="Bookman Old Style" w:cs="Arial"/>
        </w:rPr>
        <w:t xml:space="preserve">legales, en especial las conferidas por las </w:t>
      </w:r>
      <w:r w:rsidR="00940006" w:rsidRPr="00D351A9">
        <w:rPr>
          <w:rFonts w:ascii="Bookman Old Style" w:hAnsi="Bookman Old Style" w:cs="Arial"/>
        </w:rPr>
        <w:t>l</w:t>
      </w:r>
      <w:r w:rsidRPr="00D351A9">
        <w:rPr>
          <w:rFonts w:ascii="Bookman Old Style" w:hAnsi="Bookman Old Style" w:cs="Arial"/>
        </w:rPr>
        <w:t>eyes 142 y 143 d</w:t>
      </w:r>
      <w:r w:rsidR="0069665E" w:rsidRPr="00D351A9">
        <w:rPr>
          <w:rFonts w:ascii="Bookman Old Style" w:hAnsi="Bookman Old Style" w:cs="Arial"/>
        </w:rPr>
        <w:t>e 1994, y en desarrollo de los d</w:t>
      </w:r>
      <w:r w:rsidRPr="00D351A9">
        <w:rPr>
          <w:rFonts w:ascii="Bookman Old Style" w:hAnsi="Bookman Old Style" w:cs="Arial"/>
        </w:rPr>
        <w:t>ecretos 1524 y 2253 de 1994 y 1260 de 2013</w:t>
      </w:r>
      <w:r w:rsidR="00174538" w:rsidRPr="00D351A9">
        <w:rPr>
          <w:rFonts w:ascii="Bookman Old Style" w:hAnsi="Bookman Old Style" w:cs="Arial"/>
        </w:rPr>
        <w:t xml:space="preserve">, y </w:t>
      </w:r>
    </w:p>
    <w:p w14:paraId="35C7815B" w14:textId="77777777" w:rsidR="009C777D" w:rsidRPr="00D351A9" w:rsidRDefault="009C777D" w:rsidP="009C777D">
      <w:pPr>
        <w:ind w:left="0"/>
        <w:jc w:val="center"/>
        <w:rPr>
          <w:rFonts w:ascii="Bookman Old Style" w:hAnsi="Bookman Old Style" w:cs="Arial"/>
        </w:rPr>
      </w:pPr>
    </w:p>
    <w:p w14:paraId="41BA606B" w14:textId="77777777" w:rsidR="0042164B" w:rsidRPr="007A4B89" w:rsidRDefault="0042164B" w:rsidP="009C777D">
      <w:pPr>
        <w:ind w:left="0"/>
        <w:jc w:val="center"/>
        <w:rPr>
          <w:rFonts w:ascii="Bookman Old Style" w:hAnsi="Bookman Old Style" w:cs="Arial"/>
          <w:sz w:val="14"/>
        </w:rPr>
      </w:pPr>
    </w:p>
    <w:p w14:paraId="2611B2FA" w14:textId="77777777" w:rsidR="009C777D" w:rsidRPr="00D351A9" w:rsidRDefault="009C777D" w:rsidP="009C777D">
      <w:pPr>
        <w:ind w:left="0"/>
        <w:jc w:val="center"/>
        <w:rPr>
          <w:rFonts w:ascii="Bookman Old Style" w:hAnsi="Bookman Old Style" w:cs="Arial"/>
          <w:b/>
          <w:spacing w:val="84"/>
        </w:rPr>
      </w:pPr>
      <w:r w:rsidRPr="00D351A9">
        <w:rPr>
          <w:rFonts w:ascii="Bookman Old Style" w:hAnsi="Bookman Old Style" w:cs="Arial"/>
          <w:b/>
          <w:spacing w:val="84"/>
        </w:rPr>
        <w:t>CONSIDERANDO</w:t>
      </w:r>
      <w:r w:rsidR="002A44AE" w:rsidRPr="00D351A9">
        <w:rPr>
          <w:rFonts w:ascii="Bookman Old Style" w:hAnsi="Bookman Old Style" w:cs="Arial"/>
          <w:b/>
          <w:spacing w:val="84"/>
        </w:rPr>
        <w:t xml:space="preserve"> QUE:</w:t>
      </w:r>
    </w:p>
    <w:p w14:paraId="100BECF3" w14:textId="77777777" w:rsidR="009C777D" w:rsidRPr="00D351A9" w:rsidRDefault="009C777D" w:rsidP="009C777D">
      <w:pPr>
        <w:ind w:left="0"/>
        <w:jc w:val="center"/>
        <w:rPr>
          <w:rFonts w:ascii="Bookman Old Style" w:hAnsi="Bookman Old Style" w:cs="Arial"/>
        </w:rPr>
      </w:pPr>
    </w:p>
    <w:p w14:paraId="348DEEBC" w14:textId="35DB884A" w:rsidR="00DB3093" w:rsidRPr="00D351A9" w:rsidRDefault="00DB3093" w:rsidP="00E76F1F">
      <w:pPr>
        <w:spacing w:after="240"/>
        <w:ind w:left="0"/>
        <w:jc w:val="both"/>
        <w:rPr>
          <w:rFonts w:ascii="Bookman Old Style" w:hAnsi="Bookman Old Style" w:cs="Arial"/>
        </w:rPr>
      </w:pPr>
      <w:r w:rsidRPr="00D351A9">
        <w:rPr>
          <w:rFonts w:ascii="Bookman Old Style" w:hAnsi="Bookman Old Style" w:cs="Arial"/>
        </w:rPr>
        <w:t>Mediante la Resolución 011 de 2009 la Comisión de Regulación de Energía y Gas</w:t>
      </w:r>
      <w:r w:rsidR="00481435" w:rsidRPr="00D351A9">
        <w:rPr>
          <w:rFonts w:ascii="Bookman Old Style" w:hAnsi="Bookman Old Style" w:cs="Arial"/>
        </w:rPr>
        <w:t xml:space="preserve">, CREG, </w:t>
      </w:r>
      <w:r w:rsidRPr="00D351A9">
        <w:rPr>
          <w:rFonts w:ascii="Bookman Old Style" w:hAnsi="Bookman Old Style" w:cs="Arial"/>
        </w:rPr>
        <w:t xml:space="preserve">definió la metodología y las fórmulas tarifarias para la remuneración de la actividad de transmisión de energía eléctrica en el STN. </w:t>
      </w:r>
    </w:p>
    <w:p w14:paraId="5E99030D" w14:textId="77777777" w:rsidR="00481435" w:rsidRPr="00D351A9" w:rsidRDefault="00481435" w:rsidP="00481435">
      <w:pPr>
        <w:spacing w:after="240"/>
        <w:ind w:left="0"/>
        <w:jc w:val="both"/>
        <w:rPr>
          <w:rFonts w:ascii="Bookman Old Style" w:hAnsi="Bookman Old Style" w:cs="Arial"/>
          <w:spacing w:val="-3"/>
        </w:rPr>
      </w:pPr>
      <w:r w:rsidRPr="00D351A9">
        <w:rPr>
          <w:rFonts w:ascii="Bookman Old Style" w:hAnsi="Bookman Old Style" w:cs="Arial"/>
          <w:spacing w:val="-3"/>
        </w:rPr>
        <w:t>De la metodología general de remuneración de la actividad de transmisión también hacen parte otras resoluciones, como las relacionadas con el ajuste periódico del valor de los gastos de AOM y las disposiciones que tienen que ver con la calidad del servicio. En este último caso, la vigente es la Resolución CREG 093 de 2012.</w:t>
      </w:r>
    </w:p>
    <w:p w14:paraId="440C6E93" w14:textId="74E73FA1" w:rsidR="004106E6" w:rsidRPr="00D351A9" w:rsidRDefault="004106E6" w:rsidP="00E76F1F">
      <w:pPr>
        <w:spacing w:after="240"/>
        <w:ind w:left="0"/>
        <w:jc w:val="both"/>
        <w:rPr>
          <w:rFonts w:ascii="Bookman Old Style" w:hAnsi="Bookman Old Style" w:cs="Arial"/>
          <w:spacing w:val="-3"/>
        </w:rPr>
      </w:pPr>
      <w:r w:rsidRPr="00D351A9">
        <w:rPr>
          <w:rFonts w:ascii="Bookman Old Style" w:hAnsi="Bookman Old Style" w:cs="Arial"/>
          <w:spacing w:val="-3"/>
        </w:rPr>
        <w:t>La Comisión aprobó la base de activos y los parámetros necesarios para determinar la remuneración de Intercolombia S.A. E.S.P. en el Sistema de Transmisión Nacional con la Resolución CREG 177 de 2013</w:t>
      </w:r>
      <w:r w:rsidR="00F96F5E" w:rsidRPr="00D351A9">
        <w:rPr>
          <w:rFonts w:ascii="Bookman Old Style" w:hAnsi="Bookman Old Style" w:cs="Arial"/>
          <w:spacing w:val="-3"/>
        </w:rPr>
        <w:t>.</w:t>
      </w:r>
      <w:r w:rsidRPr="00D351A9">
        <w:rPr>
          <w:rFonts w:ascii="Bookman Old Style" w:hAnsi="Bookman Old Style" w:cs="Arial"/>
          <w:spacing w:val="-3"/>
        </w:rPr>
        <w:t xml:space="preserve"> </w:t>
      </w:r>
      <w:r w:rsidR="00F96F5E" w:rsidRPr="00D351A9">
        <w:rPr>
          <w:rFonts w:ascii="Bookman Old Style" w:hAnsi="Bookman Old Style" w:cs="Arial"/>
          <w:spacing w:val="-3"/>
        </w:rPr>
        <w:t>L</w:t>
      </w:r>
      <w:r w:rsidRPr="00D351A9">
        <w:rPr>
          <w:rFonts w:ascii="Bookman Old Style" w:hAnsi="Bookman Old Style" w:cs="Arial"/>
          <w:spacing w:val="-3"/>
        </w:rPr>
        <w:t xml:space="preserve">a </w:t>
      </w:r>
      <w:r w:rsidR="004216D9" w:rsidRPr="00D351A9">
        <w:rPr>
          <w:rFonts w:ascii="Bookman Old Style" w:hAnsi="Bookman Old Style" w:cs="Arial"/>
          <w:spacing w:val="-3"/>
        </w:rPr>
        <w:t>base de activos</w:t>
      </w:r>
      <w:r w:rsidRPr="00D351A9">
        <w:rPr>
          <w:rFonts w:ascii="Bookman Old Style" w:hAnsi="Bookman Old Style" w:cs="Arial"/>
          <w:spacing w:val="-3"/>
        </w:rPr>
        <w:t xml:space="preserve"> ha sido modificada por las resoluciones CREG 167 de 2014</w:t>
      </w:r>
      <w:r w:rsidR="0069665E" w:rsidRPr="00D351A9">
        <w:rPr>
          <w:rFonts w:ascii="Bookman Old Style" w:hAnsi="Bookman Old Style" w:cs="Arial"/>
          <w:spacing w:val="-3"/>
        </w:rPr>
        <w:t>,</w:t>
      </w:r>
      <w:r w:rsidRPr="00D351A9">
        <w:rPr>
          <w:rFonts w:ascii="Bookman Old Style" w:hAnsi="Bookman Old Style" w:cs="Arial"/>
          <w:spacing w:val="-3"/>
        </w:rPr>
        <w:t xml:space="preserve"> 086, 169 y 233 de 2015</w:t>
      </w:r>
      <w:r w:rsidR="00005CA6" w:rsidRPr="00D351A9">
        <w:rPr>
          <w:rFonts w:ascii="Bookman Old Style" w:hAnsi="Bookman Old Style" w:cs="Arial"/>
          <w:spacing w:val="-3"/>
        </w:rPr>
        <w:t>,</w:t>
      </w:r>
      <w:r w:rsidR="0069665E" w:rsidRPr="00D351A9">
        <w:rPr>
          <w:rFonts w:ascii="Bookman Old Style" w:hAnsi="Bookman Old Style" w:cs="Arial"/>
          <w:spacing w:val="-3"/>
        </w:rPr>
        <w:t xml:space="preserve"> 059 </w:t>
      </w:r>
      <w:r w:rsidR="00005CA6" w:rsidRPr="00D351A9">
        <w:rPr>
          <w:rFonts w:ascii="Bookman Old Style" w:hAnsi="Bookman Old Style" w:cs="Arial"/>
          <w:spacing w:val="-3"/>
        </w:rPr>
        <w:t xml:space="preserve">y 065 </w:t>
      </w:r>
      <w:r w:rsidR="0069665E" w:rsidRPr="00D351A9">
        <w:rPr>
          <w:rFonts w:ascii="Bookman Old Style" w:hAnsi="Bookman Old Style" w:cs="Arial"/>
          <w:spacing w:val="-3"/>
        </w:rPr>
        <w:t>de 2017</w:t>
      </w:r>
      <w:r w:rsidR="00005CA6" w:rsidRPr="00D351A9">
        <w:rPr>
          <w:rFonts w:ascii="Bookman Old Style" w:hAnsi="Bookman Old Style" w:cs="Arial"/>
          <w:spacing w:val="-3"/>
        </w:rPr>
        <w:t xml:space="preserve"> y 032 de 2018</w:t>
      </w:r>
      <w:r w:rsidR="004216D9" w:rsidRPr="00D351A9">
        <w:rPr>
          <w:rFonts w:ascii="Bookman Old Style" w:hAnsi="Bookman Old Style" w:cs="Arial"/>
          <w:spacing w:val="-3"/>
        </w:rPr>
        <w:t>.</w:t>
      </w:r>
    </w:p>
    <w:p w14:paraId="29F37C12" w14:textId="539493FC" w:rsidR="002C0602" w:rsidRPr="00D351A9" w:rsidRDefault="002C0602" w:rsidP="00BC0EE6">
      <w:pPr>
        <w:spacing w:after="240"/>
        <w:ind w:left="0"/>
        <w:jc w:val="both"/>
        <w:rPr>
          <w:rFonts w:ascii="Bookman Old Style" w:hAnsi="Bookman Old Style" w:cs="Arial"/>
          <w:spacing w:val="-3"/>
        </w:rPr>
      </w:pPr>
      <w:r w:rsidRPr="00D351A9">
        <w:rPr>
          <w:rFonts w:ascii="Bookman Old Style" w:hAnsi="Bookman Old Style" w:cs="Arial"/>
          <w:spacing w:val="-3"/>
        </w:rPr>
        <w:t>Intercolombia S.A. E.S.P., mediante la comunicación con radicado CREG E</w:t>
      </w:r>
      <w:r w:rsidRPr="00D351A9">
        <w:rPr>
          <w:rFonts w:ascii="Bookman Old Style" w:hAnsi="Bookman Old Style" w:cs="Arial"/>
          <w:spacing w:val="-3"/>
        </w:rPr>
        <w:noBreakHyphen/>
        <w:t>2018-010495, solicitó a la Comisión la actualización del ingreso anual de la actividad de transmisión, por la puesta en operación del segundo circuito Esmeralda - La Hermosa, 230 kV, las respectivas bahías en las subestaciones mencionadas y el cambio de unidades constructivas en la subestación La Hermosa. El proyecto consistía en el cambio de nivel de tensión, de 115 kV a 230 kV, de un circuito que conecta las mismas subestaciones.</w:t>
      </w:r>
    </w:p>
    <w:p w14:paraId="6678E8E6" w14:textId="29ACC59F" w:rsidR="002C0602" w:rsidRPr="00D351A9" w:rsidRDefault="00BC0EE6" w:rsidP="00BC0EE6">
      <w:pPr>
        <w:spacing w:after="240"/>
        <w:ind w:left="0"/>
        <w:jc w:val="both"/>
        <w:rPr>
          <w:rFonts w:ascii="Bookman Old Style" w:hAnsi="Bookman Old Style" w:cs="Arial"/>
          <w:spacing w:val="-3"/>
        </w:rPr>
      </w:pPr>
      <w:r w:rsidRPr="00D351A9">
        <w:rPr>
          <w:rFonts w:ascii="Bookman Old Style" w:hAnsi="Bookman Old Style" w:cs="Arial"/>
          <w:spacing w:val="-3"/>
        </w:rPr>
        <w:t>A partir de</w:t>
      </w:r>
      <w:r w:rsidR="002C0602" w:rsidRPr="00D351A9">
        <w:rPr>
          <w:rFonts w:ascii="Bookman Old Style" w:hAnsi="Bookman Old Style" w:cs="Arial"/>
          <w:spacing w:val="-3"/>
        </w:rPr>
        <w:t xml:space="preserve"> la información que reposa en la CREG, se determinó que el circuito de 115 kV</w:t>
      </w:r>
      <w:r w:rsidRPr="00D351A9">
        <w:rPr>
          <w:rFonts w:ascii="Bookman Old Style" w:hAnsi="Bookman Old Style" w:cs="Arial"/>
          <w:spacing w:val="-3"/>
        </w:rPr>
        <w:t>, que se cambia de nivel de tensión,</w:t>
      </w:r>
      <w:r w:rsidR="002C0602" w:rsidRPr="00D351A9">
        <w:rPr>
          <w:rFonts w:ascii="Bookman Old Style" w:hAnsi="Bookman Old Style" w:cs="Arial"/>
          <w:spacing w:val="-3"/>
        </w:rPr>
        <w:t xml:space="preserve"> hacia parte del inventario de activos reconocido en el Sistema de Transmisión Regional, STR, que se está remunerando </w:t>
      </w:r>
      <w:r w:rsidR="002C0602" w:rsidRPr="00D351A9">
        <w:rPr>
          <w:rFonts w:ascii="Bookman Old Style" w:hAnsi="Bookman Old Style" w:cs="Arial"/>
          <w:spacing w:val="-3"/>
        </w:rPr>
        <w:lastRenderedPageBreak/>
        <w:t xml:space="preserve">a la Central Hidroeléctrica de Caldas S.A. E.S.P.; por lo que, en el auto de inicio de la actuación administrativa, se ordenó “hacer parte de esta actuación a la Central Hidroeléctrica de Caldas S.A. E.S.P.”, con el propósito de </w:t>
      </w:r>
      <w:r w:rsidRPr="00D351A9">
        <w:rPr>
          <w:rFonts w:ascii="Bookman Old Style" w:hAnsi="Bookman Old Style" w:cs="Arial"/>
          <w:spacing w:val="-3"/>
        </w:rPr>
        <w:t xml:space="preserve">determinar los posibles ajustes a </w:t>
      </w:r>
      <w:r w:rsidR="002C0602" w:rsidRPr="00D351A9">
        <w:rPr>
          <w:rFonts w:ascii="Bookman Old Style" w:hAnsi="Bookman Old Style" w:cs="Arial"/>
          <w:spacing w:val="-3"/>
        </w:rPr>
        <w:t>los ingresos y costos aprobados a esta empresa</w:t>
      </w:r>
      <w:r w:rsidRPr="00D351A9">
        <w:rPr>
          <w:rFonts w:ascii="Bookman Old Style" w:hAnsi="Bookman Old Style" w:cs="Arial"/>
          <w:spacing w:val="-3"/>
        </w:rPr>
        <w:t xml:space="preserve"> por la salida de su inventario de los activos en mención.</w:t>
      </w:r>
    </w:p>
    <w:p w14:paraId="509BFD25" w14:textId="4CEFD9E5" w:rsidR="001A6196" w:rsidRPr="00D351A9" w:rsidRDefault="00F66310" w:rsidP="00BC0EE6">
      <w:pPr>
        <w:spacing w:after="240"/>
        <w:ind w:left="0"/>
        <w:jc w:val="both"/>
        <w:rPr>
          <w:rFonts w:ascii="Bookman Old Style" w:hAnsi="Bookman Old Style" w:cs="Arial"/>
          <w:spacing w:val="-3"/>
        </w:rPr>
      </w:pPr>
      <w:r w:rsidRPr="00D351A9">
        <w:rPr>
          <w:rFonts w:ascii="Bookman Old Style" w:hAnsi="Bookman Old Style" w:cs="Arial"/>
          <w:spacing w:val="-3"/>
        </w:rPr>
        <w:t>Con base en las solicitudes recibidas y los análisis de la</w:t>
      </w:r>
      <w:r w:rsidR="004216D9" w:rsidRPr="00D351A9">
        <w:rPr>
          <w:rFonts w:ascii="Bookman Old Style" w:hAnsi="Bookman Old Style" w:cs="Arial"/>
          <w:spacing w:val="-3"/>
        </w:rPr>
        <w:t xml:space="preserve"> Comisión, mediante la Resolución CREG </w:t>
      </w:r>
      <w:r w:rsidR="000575B1" w:rsidRPr="00D351A9">
        <w:rPr>
          <w:rFonts w:ascii="Bookman Old Style" w:hAnsi="Bookman Old Style" w:cs="Arial"/>
          <w:spacing w:val="-3"/>
        </w:rPr>
        <w:t>023 de 2019</w:t>
      </w:r>
      <w:r w:rsidR="004216D9" w:rsidRPr="00D351A9">
        <w:rPr>
          <w:rFonts w:ascii="Bookman Old Style" w:hAnsi="Bookman Old Style" w:cs="Arial"/>
          <w:spacing w:val="-3"/>
        </w:rPr>
        <w:t xml:space="preserve"> </w:t>
      </w:r>
      <w:r w:rsidRPr="00D351A9">
        <w:rPr>
          <w:rFonts w:ascii="Bookman Old Style" w:hAnsi="Bookman Old Style" w:cs="Arial"/>
          <w:spacing w:val="-3"/>
        </w:rPr>
        <w:t xml:space="preserve">se </w:t>
      </w:r>
      <w:r w:rsidR="004216D9" w:rsidRPr="00D351A9">
        <w:rPr>
          <w:rFonts w:ascii="Bookman Old Style" w:hAnsi="Bookman Old Style" w:cs="Arial"/>
          <w:spacing w:val="-3"/>
        </w:rPr>
        <w:t>aprobó la modificación de la base de activos</w:t>
      </w:r>
      <w:r w:rsidR="00E76F1F" w:rsidRPr="00D351A9">
        <w:rPr>
          <w:rFonts w:ascii="Bookman Old Style" w:hAnsi="Bookman Old Style" w:cs="Arial"/>
          <w:spacing w:val="-3"/>
        </w:rPr>
        <w:t xml:space="preserve"> de Intercolombia</w:t>
      </w:r>
      <w:r w:rsidR="0034312A" w:rsidRPr="00D351A9">
        <w:rPr>
          <w:rFonts w:ascii="Bookman Old Style" w:hAnsi="Bookman Old Style" w:cs="Arial"/>
          <w:spacing w:val="-3"/>
        </w:rPr>
        <w:t xml:space="preserve"> S.A. E.S.P</w:t>
      </w:r>
      <w:r w:rsidR="004216D9" w:rsidRPr="00D351A9">
        <w:rPr>
          <w:rFonts w:ascii="Bookman Old Style" w:hAnsi="Bookman Old Style" w:cs="Arial"/>
          <w:spacing w:val="-3"/>
        </w:rPr>
        <w:t>.</w:t>
      </w:r>
      <w:r w:rsidR="00BC0EE6" w:rsidRPr="00D351A9">
        <w:rPr>
          <w:rFonts w:ascii="Bookman Old Style" w:hAnsi="Bookman Old Style" w:cs="Arial"/>
          <w:spacing w:val="-3"/>
        </w:rPr>
        <w:t xml:space="preserve"> y, mediante la Resolución CREG 024 de 2019 se aprobó la modificación de los ingresos y costos aprobados a la Central Hidroeléctrica de Caldas S.A. E.S.P.</w:t>
      </w:r>
    </w:p>
    <w:p w14:paraId="629F767B" w14:textId="31BAA103" w:rsidR="004216D9" w:rsidRPr="00D351A9" w:rsidRDefault="004216D9" w:rsidP="00E76F1F">
      <w:pPr>
        <w:spacing w:after="240"/>
        <w:ind w:left="0"/>
        <w:jc w:val="both"/>
        <w:rPr>
          <w:rFonts w:ascii="Bookman Old Style" w:hAnsi="Bookman Old Style" w:cs="Arial"/>
        </w:rPr>
      </w:pPr>
      <w:r w:rsidRPr="00D351A9">
        <w:rPr>
          <w:rFonts w:ascii="Bookman Old Style" w:hAnsi="Bookman Old Style" w:cs="Arial"/>
        </w:rPr>
        <w:t>Mediante comunicaci</w:t>
      </w:r>
      <w:r w:rsidR="00BC0EE6" w:rsidRPr="00D351A9">
        <w:rPr>
          <w:rFonts w:ascii="Bookman Old Style" w:hAnsi="Bookman Old Style" w:cs="Arial"/>
        </w:rPr>
        <w:t>ón</w:t>
      </w:r>
      <w:r w:rsidRPr="00D351A9">
        <w:rPr>
          <w:rFonts w:ascii="Bookman Old Style" w:hAnsi="Bookman Old Style" w:cs="Arial"/>
        </w:rPr>
        <w:t xml:space="preserve"> </w:t>
      </w:r>
      <w:r w:rsidR="003E67B4" w:rsidRPr="00D351A9">
        <w:rPr>
          <w:rFonts w:ascii="Bookman Old Style" w:hAnsi="Bookman Old Style" w:cs="Arial"/>
        </w:rPr>
        <w:t>E-201</w:t>
      </w:r>
      <w:r w:rsidR="00BC0EE6" w:rsidRPr="00D351A9">
        <w:rPr>
          <w:rFonts w:ascii="Bookman Old Style" w:hAnsi="Bookman Old Style" w:cs="Arial"/>
        </w:rPr>
        <w:t>9</w:t>
      </w:r>
      <w:r w:rsidR="003E67B4" w:rsidRPr="00D351A9">
        <w:rPr>
          <w:rFonts w:ascii="Bookman Old Style" w:hAnsi="Bookman Old Style" w:cs="Arial"/>
        </w:rPr>
        <w:t>-00</w:t>
      </w:r>
      <w:r w:rsidR="00BC0EE6" w:rsidRPr="00D351A9">
        <w:rPr>
          <w:rFonts w:ascii="Bookman Old Style" w:hAnsi="Bookman Old Style" w:cs="Arial"/>
        </w:rPr>
        <w:t xml:space="preserve">2739 </w:t>
      </w:r>
      <w:r w:rsidR="00E76F1F" w:rsidRPr="00D351A9">
        <w:rPr>
          <w:rFonts w:ascii="Bookman Old Style" w:hAnsi="Bookman Old Style" w:cs="Arial"/>
        </w:rPr>
        <w:t>Intercolombia</w:t>
      </w:r>
      <w:r w:rsidR="0034312A" w:rsidRPr="00D351A9">
        <w:rPr>
          <w:rFonts w:ascii="Bookman Old Style" w:hAnsi="Bookman Old Style" w:cs="Arial"/>
        </w:rPr>
        <w:t xml:space="preserve"> S.A. E.S.P.</w:t>
      </w:r>
      <w:r w:rsidR="00E76F1F" w:rsidRPr="00D351A9">
        <w:rPr>
          <w:rFonts w:ascii="Bookman Old Style" w:hAnsi="Bookman Old Style" w:cs="Arial"/>
        </w:rPr>
        <w:t xml:space="preserve">, dentro del término establecido para ello, presentó recurso de reposición contra la Resolución CREG </w:t>
      </w:r>
      <w:r w:rsidR="000575B1" w:rsidRPr="00D351A9">
        <w:rPr>
          <w:rFonts w:ascii="Bookman Old Style" w:hAnsi="Bookman Old Style" w:cs="Arial"/>
        </w:rPr>
        <w:t>023 de 2019</w:t>
      </w:r>
      <w:r w:rsidR="00E76F1F" w:rsidRPr="00D351A9">
        <w:rPr>
          <w:rFonts w:ascii="Bookman Old Style" w:hAnsi="Bookman Old Style" w:cs="Arial"/>
        </w:rPr>
        <w:t>.</w:t>
      </w:r>
    </w:p>
    <w:p w14:paraId="1A914758" w14:textId="7A6EB6F6" w:rsidR="009C777D" w:rsidRPr="00D351A9" w:rsidRDefault="00481435" w:rsidP="009C777D">
      <w:pPr>
        <w:ind w:left="0"/>
        <w:jc w:val="both"/>
        <w:rPr>
          <w:rFonts w:ascii="Bookman Old Style" w:hAnsi="Bookman Old Style" w:cs="Arial"/>
        </w:rPr>
      </w:pPr>
      <w:r w:rsidRPr="00D351A9">
        <w:rPr>
          <w:rFonts w:ascii="Bookman Old Style" w:hAnsi="Bookman Old Style" w:cs="Arial"/>
        </w:rPr>
        <w:t>L</w:t>
      </w:r>
      <w:r w:rsidR="009C777D" w:rsidRPr="00D351A9">
        <w:rPr>
          <w:rFonts w:ascii="Bookman Old Style" w:hAnsi="Bookman Old Style" w:cs="Arial"/>
        </w:rPr>
        <w:t xml:space="preserve">a Comisión de Regulación de Energía y Gas procede a </w:t>
      </w:r>
      <w:r w:rsidRPr="00D351A9">
        <w:rPr>
          <w:rFonts w:ascii="Bookman Old Style" w:hAnsi="Bookman Old Style" w:cs="Arial"/>
        </w:rPr>
        <w:t xml:space="preserve">analizar y </w:t>
      </w:r>
      <w:r w:rsidR="009C777D" w:rsidRPr="00D351A9">
        <w:rPr>
          <w:rFonts w:ascii="Bookman Old Style" w:hAnsi="Bookman Old Style" w:cs="Arial"/>
        </w:rPr>
        <w:t>resolver la solicitud en los siguientes términos:</w:t>
      </w:r>
    </w:p>
    <w:p w14:paraId="63AFE632" w14:textId="77777777" w:rsidR="009C777D" w:rsidRPr="00D351A9" w:rsidRDefault="00E3711C" w:rsidP="00D351A9">
      <w:pPr>
        <w:pStyle w:val="Titulo1"/>
        <w:outlineLvl w:val="0"/>
      </w:pPr>
      <w:r w:rsidRPr="00D351A9">
        <w:t>ARGUMENTOS DEL</w:t>
      </w:r>
      <w:r w:rsidR="00E76F1F" w:rsidRPr="00D351A9">
        <w:t xml:space="preserve"> RECURRENTE</w:t>
      </w:r>
    </w:p>
    <w:p w14:paraId="324527B8" w14:textId="77777777" w:rsidR="00837E14" w:rsidRPr="00D351A9" w:rsidRDefault="00837E14" w:rsidP="00D351A9">
      <w:pPr>
        <w:pStyle w:val="Ttulo2"/>
      </w:pPr>
      <w:r w:rsidRPr="00D351A9">
        <w:t>A.</w:t>
      </w:r>
      <w:r w:rsidRPr="00D351A9">
        <w:tab/>
        <w:t>SOLICITUD</w:t>
      </w:r>
    </w:p>
    <w:p w14:paraId="146E4EDB" w14:textId="77777777" w:rsidR="009C777D" w:rsidRPr="00D351A9" w:rsidRDefault="0045578B" w:rsidP="009C777D">
      <w:pPr>
        <w:ind w:left="0"/>
        <w:jc w:val="both"/>
        <w:rPr>
          <w:rFonts w:ascii="Bookman Old Style" w:hAnsi="Bookman Old Style" w:cs="Arial"/>
        </w:rPr>
      </w:pPr>
      <w:r w:rsidRPr="00D351A9">
        <w:rPr>
          <w:rFonts w:ascii="Bookman Old Style" w:hAnsi="Bookman Old Style" w:cs="Arial"/>
        </w:rPr>
        <w:t>En el texto del recurso se presenta la siguiente solicitud</w:t>
      </w:r>
      <w:r w:rsidR="005167B0" w:rsidRPr="00D351A9">
        <w:rPr>
          <w:rFonts w:ascii="Bookman Old Style" w:hAnsi="Bookman Old Style" w:cs="Arial"/>
        </w:rPr>
        <w:t>:</w:t>
      </w:r>
    </w:p>
    <w:p w14:paraId="6BB44036" w14:textId="5258B977" w:rsidR="005835B9" w:rsidRPr="00D351A9" w:rsidRDefault="005835B9" w:rsidP="007C03F4">
      <w:pPr>
        <w:spacing w:before="120"/>
        <w:ind w:left="284" w:right="284"/>
        <w:jc w:val="both"/>
        <w:rPr>
          <w:rFonts w:ascii="Bookman Old Style" w:hAnsi="Bookman Old Style"/>
          <w:i/>
          <w:sz w:val="22"/>
          <w:szCs w:val="22"/>
        </w:rPr>
      </w:pPr>
      <w:r w:rsidRPr="00D351A9">
        <w:rPr>
          <w:rFonts w:ascii="Bookman Old Style" w:hAnsi="Bookman Old Style"/>
          <w:i/>
          <w:sz w:val="22"/>
          <w:szCs w:val="22"/>
        </w:rPr>
        <w:t xml:space="preserve">INTERCOLOMBIA en ejercicio de este Recurso de Reposición Parcial y en atención a lo ordenado por el numeral 2° del artículo 77 del CPACA, busca que se reponga, aclare y adicione la Resolución CREG </w:t>
      </w:r>
      <w:r w:rsidR="000575B1" w:rsidRPr="00D351A9">
        <w:rPr>
          <w:rFonts w:ascii="Bookman Old Style" w:hAnsi="Bookman Old Style"/>
          <w:i/>
          <w:sz w:val="22"/>
          <w:szCs w:val="22"/>
        </w:rPr>
        <w:t>023 de 2019</w:t>
      </w:r>
      <w:r w:rsidRPr="00D351A9">
        <w:rPr>
          <w:rFonts w:ascii="Bookman Old Style" w:hAnsi="Bookman Old Style"/>
          <w:i/>
          <w:sz w:val="22"/>
          <w:szCs w:val="22"/>
        </w:rPr>
        <w:t>, en lo siguiente:</w:t>
      </w:r>
    </w:p>
    <w:p w14:paraId="7D104648" w14:textId="54E6C4B6" w:rsidR="005835B9" w:rsidRPr="00D351A9" w:rsidRDefault="005835B9" w:rsidP="007C03F4">
      <w:pPr>
        <w:spacing w:before="120"/>
        <w:ind w:right="284" w:hanging="283"/>
        <w:jc w:val="both"/>
        <w:rPr>
          <w:rFonts w:ascii="Bookman Old Style" w:hAnsi="Bookman Old Style"/>
          <w:i/>
          <w:sz w:val="22"/>
          <w:szCs w:val="22"/>
        </w:rPr>
      </w:pPr>
      <w:r w:rsidRPr="00D351A9">
        <w:rPr>
          <w:rFonts w:ascii="Bookman Old Style" w:hAnsi="Bookman Old Style"/>
          <w:i/>
          <w:sz w:val="22"/>
          <w:szCs w:val="22"/>
        </w:rPr>
        <w:t>1. Con relación a l</w:t>
      </w:r>
      <w:r w:rsidR="005D547F" w:rsidRPr="00D351A9">
        <w:rPr>
          <w:rFonts w:ascii="Bookman Old Style" w:hAnsi="Bookman Old Style"/>
          <w:i/>
          <w:sz w:val="22"/>
          <w:szCs w:val="22"/>
        </w:rPr>
        <w:t>a</w:t>
      </w:r>
      <w:r w:rsidRPr="00D351A9">
        <w:rPr>
          <w:rFonts w:ascii="Bookman Old Style" w:hAnsi="Bookman Old Style"/>
          <w:i/>
          <w:sz w:val="22"/>
          <w:szCs w:val="22"/>
        </w:rPr>
        <w:t xml:space="preserve">s </w:t>
      </w:r>
      <w:r w:rsidR="005D547F" w:rsidRPr="00D351A9">
        <w:rPr>
          <w:rFonts w:ascii="Bookman Old Style" w:hAnsi="Bookman Old Style"/>
          <w:i/>
          <w:sz w:val="22"/>
          <w:szCs w:val="22"/>
        </w:rPr>
        <w:t>unidades constructivas que conforman el proyecto de Ampliación de la línea Esmeralda – La Hermosa 230 kV, que se reconozca el ingreso correspondiente a dichos activos, desde el primer día del mes siguiente a la fecha de entrada en operación comercial del proyecto, es decir, desde el 1 de diciembre de 2018. Así las cosas, la CREG deberá aprobar el reconocimiento de ingresos por los servicios prestados, en los meses de diciembre de 2018, enero de 2019 y febrero de 2019</w:t>
      </w:r>
      <w:r w:rsidRPr="00D351A9">
        <w:rPr>
          <w:rFonts w:ascii="Bookman Old Style" w:hAnsi="Bookman Old Style"/>
          <w:i/>
          <w:sz w:val="22"/>
          <w:szCs w:val="22"/>
        </w:rPr>
        <w:t>.</w:t>
      </w:r>
    </w:p>
    <w:p w14:paraId="6CA88A59" w14:textId="49E1F8C6" w:rsidR="0045578B" w:rsidRPr="00D351A9" w:rsidRDefault="005835B9" w:rsidP="007C03F4">
      <w:pPr>
        <w:spacing w:before="120"/>
        <w:ind w:right="284" w:hanging="283"/>
        <w:jc w:val="both"/>
        <w:rPr>
          <w:rFonts w:ascii="Bookman Old Style" w:hAnsi="Bookman Old Style"/>
          <w:i/>
          <w:sz w:val="22"/>
          <w:szCs w:val="22"/>
        </w:rPr>
      </w:pPr>
      <w:r w:rsidRPr="00D351A9">
        <w:rPr>
          <w:rFonts w:ascii="Bookman Old Style" w:hAnsi="Bookman Old Style"/>
          <w:i/>
          <w:sz w:val="22"/>
          <w:szCs w:val="22"/>
        </w:rPr>
        <w:t xml:space="preserve">2. </w:t>
      </w:r>
      <w:r w:rsidR="005D547F" w:rsidRPr="00D351A9">
        <w:rPr>
          <w:rFonts w:ascii="Bookman Old Style" w:hAnsi="Bookman Old Style"/>
          <w:i/>
          <w:sz w:val="22"/>
          <w:szCs w:val="22"/>
        </w:rPr>
        <w:t>Que se revoque el artículo 4° de la Resolución CREG 023 de 2019, en el sentido de no condicionar el reconocimiento de ingresos correspondientes al proyecto de Ampliación del circuito Esmeralda – La Hermosa 230 kV, a la firmeza de la resolución que modifica el inventario reconocido a la Central Hidroeléctrica de Caldas S.A. E.S.P. Lo anterior, considerando que con la expedición de la Resolución CREG 023 de 2019, se está reconociendo la existencia del segundo circuito Esmeralda – La Hermosa 230 kV y, por ende, la inexistencia del circuito Esmeralda – La Hermosa 115 kV, que fue reemplazada por el circuito ya energizado a 230 kV</w:t>
      </w:r>
      <w:r w:rsidRPr="00D351A9">
        <w:rPr>
          <w:rFonts w:ascii="Bookman Old Style" w:hAnsi="Bookman Old Style"/>
          <w:i/>
          <w:sz w:val="22"/>
          <w:szCs w:val="22"/>
        </w:rPr>
        <w:t>.</w:t>
      </w:r>
    </w:p>
    <w:p w14:paraId="3D1345CF" w14:textId="77777777" w:rsidR="005D547F" w:rsidRPr="00D351A9" w:rsidRDefault="005D547F" w:rsidP="007C03F4">
      <w:pPr>
        <w:pStyle w:val="Cita"/>
      </w:pPr>
      <w:r w:rsidRPr="00D351A9">
        <w:t>Es de aclarar, que INTERCOLOMBIA no discute los ingresos que serán reconocidos después de que esté en firme la Resolución CREG 023 de 2019, y por tanto, esta</w:t>
      </w:r>
      <w:r w:rsidR="005835B9" w:rsidRPr="00D351A9">
        <w:t xml:space="preserve"> </w:t>
      </w:r>
      <w:r w:rsidRPr="00D351A9">
        <w:t>resolución debe seguirse aplicando en tal materia, de manera que debe ser un hecho el reconocimiento de los ingresos por la Ampliación del circuito Esmeralda – La Hermosa 230 kV para los meses de marzo de 2019 y siguientes, y el estudio de este recurso debe circunscribirse al reconocimiento de los ingresos desde la entrada en operación comercial del proyecto, es decir, para los meses de diciembre 2018, enero 2019 y febrero 2019.</w:t>
      </w:r>
    </w:p>
    <w:p w14:paraId="0BA7D67D" w14:textId="77777777" w:rsidR="005D547F" w:rsidRPr="00D351A9" w:rsidRDefault="005D547F" w:rsidP="005D547F">
      <w:pPr>
        <w:pStyle w:val="Cita"/>
      </w:pPr>
      <w:r w:rsidRPr="00D351A9">
        <w:lastRenderedPageBreak/>
        <w:t>De igual forma, se insiste que el reconocimiento de ingresos, no puede estar condicionado a la firmeza de la resolución que modifique el inventario a la Central Hidroeléctrica de Caldas S.A. E.S.P.</w:t>
      </w:r>
    </w:p>
    <w:p w14:paraId="0D8DD579" w14:textId="40DC204D" w:rsidR="0045578B" w:rsidRPr="00D351A9" w:rsidRDefault="005D547F" w:rsidP="005D547F">
      <w:pPr>
        <w:pStyle w:val="Cita"/>
      </w:pPr>
      <w:r w:rsidRPr="00D351A9">
        <w:t>Por lo anterior, todos los aspectos no incluidos como motivos de inconformidad en este recurso, han tomado firmeza y por tanto, gozan de los efectos ejecutorios y ejecutivos de los actos administrativos</w:t>
      </w:r>
      <w:r w:rsidR="0045578B" w:rsidRPr="00D351A9">
        <w:t>.</w:t>
      </w:r>
    </w:p>
    <w:p w14:paraId="4EBCEFCC" w14:textId="7923FC30" w:rsidR="00F96F5E" w:rsidRPr="00D351A9" w:rsidRDefault="00837E14" w:rsidP="00D351A9">
      <w:pPr>
        <w:pStyle w:val="Ttulo2"/>
      </w:pPr>
      <w:r w:rsidRPr="00D351A9">
        <w:t>B</w:t>
      </w:r>
      <w:r w:rsidR="00F96F5E" w:rsidRPr="00D351A9">
        <w:t>.</w:t>
      </w:r>
      <w:r w:rsidR="00F96F5E" w:rsidRPr="00D351A9">
        <w:tab/>
      </w:r>
      <w:r w:rsidR="00B96C4C" w:rsidRPr="00D351A9">
        <w:t>FUNDAMENTOS DEL RECURSO</w:t>
      </w:r>
    </w:p>
    <w:p w14:paraId="0C925738" w14:textId="4DC3C406" w:rsidR="00D9061B" w:rsidRPr="00D351A9" w:rsidRDefault="00D9061B" w:rsidP="009C777D">
      <w:pPr>
        <w:ind w:left="0"/>
        <w:jc w:val="both"/>
        <w:rPr>
          <w:rFonts w:ascii="Bookman Old Style" w:hAnsi="Bookman Old Style" w:cs="Arial"/>
        </w:rPr>
      </w:pPr>
      <w:r w:rsidRPr="00D351A9">
        <w:rPr>
          <w:rFonts w:ascii="Bookman Old Style" w:hAnsi="Bookman Old Style" w:cs="Arial"/>
        </w:rPr>
        <w:t xml:space="preserve">Además de algunos antecedentes relacionados con leyes, resoluciones de la CREG y comunicaciones relacionadas con </w:t>
      </w:r>
      <w:r w:rsidR="00AF49E4" w:rsidRPr="00D351A9">
        <w:rPr>
          <w:rFonts w:ascii="Bookman Old Style" w:hAnsi="Bookman Old Style" w:cs="Arial"/>
        </w:rPr>
        <w:t xml:space="preserve">los proyectos ejecutados y con </w:t>
      </w:r>
      <w:r w:rsidRPr="00D351A9">
        <w:rPr>
          <w:rFonts w:ascii="Bookman Old Style" w:hAnsi="Bookman Old Style" w:cs="Arial"/>
        </w:rPr>
        <w:t xml:space="preserve">la actuación administrativa surtida para la expedición de la Resolución CREG </w:t>
      </w:r>
      <w:r w:rsidR="000575B1" w:rsidRPr="00D351A9">
        <w:rPr>
          <w:rFonts w:ascii="Bookman Old Style" w:hAnsi="Bookman Old Style" w:cs="Arial"/>
        </w:rPr>
        <w:t>023 de 2019</w:t>
      </w:r>
      <w:r w:rsidRPr="00D351A9">
        <w:rPr>
          <w:rFonts w:ascii="Bookman Old Style" w:hAnsi="Bookman Old Style" w:cs="Arial"/>
        </w:rPr>
        <w:t>, Intercolombia</w:t>
      </w:r>
      <w:r w:rsidR="005E32B3" w:rsidRPr="00D351A9">
        <w:rPr>
          <w:rFonts w:ascii="Bookman Old Style" w:hAnsi="Bookman Old Style" w:cs="Arial"/>
        </w:rPr>
        <w:t xml:space="preserve"> S.A. E.S.P.</w:t>
      </w:r>
      <w:r w:rsidRPr="00D351A9">
        <w:rPr>
          <w:rFonts w:ascii="Bookman Old Style" w:hAnsi="Bookman Old Style" w:cs="Arial"/>
        </w:rPr>
        <w:t xml:space="preserve"> enumera </w:t>
      </w:r>
      <w:r w:rsidR="003B3AEF" w:rsidRPr="00D351A9">
        <w:rPr>
          <w:rFonts w:ascii="Bookman Old Style" w:hAnsi="Bookman Old Style" w:cs="Arial"/>
        </w:rPr>
        <w:t>algunos</w:t>
      </w:r>
      <w:r w:rsidR="007C03F4" w:rsidRPr="00D351A9">
        <w:rPr>
          <w:rFonts w:ascii="Bookman Old Style" w:hAnsi="Bookman Old Style" w:cs="Arial"/>
        </w:rPr>
        <w:t>, así denominados en el recurso,</w:t>
      </w:r>
      <w:r w:rsidR="003B3AEF" w:rsidRPr="00D351A9">
        <w:rPr>
          <w:rFonts w:ascii="Bookman Old Style" w:hAnsi="Bookman Old Style" w:cs="Arial"/>
        </w:rPr>
        <w:t xml:space="preserve"> </w:t>
      </w:r>
      <w:r w:rsidR="005A7362" w:rsidRPr="00D351A9">
        <w:rPr>
          <w:rFonts w:ascii="Bookman Old Style" w:hAnsi="Bookman Old Style" w:cs="Arial"/>
        </w:rPr>
        <w:t>fundamentos jurídicos</w:t>
      </w:r>
      <w:r w:rsidR="007C03F4" w:rsidRPr="00D351A9">
        <w:rPr>
          <w:rFonts w:ascii="Bookman Old Style" w:hAnsi="Bookman Old Style" w:cs="Arial"/>
        </w:rPr>
        <w:t>,</w:t>
      </w:r>
      <w:r w:rsidR="005A7362" w:rsidRPr="00D351A9">
        <w:rPr>
          <w:rFonts w:ascii="Bookman Old Style" w:hAnsi="Bookman Old Style" w:cs="Arial"/>
        </w:rPr>
        <w:t xml:space="preserve"> </w:t>
      </w:r>
      <w:r w:rsidR="003B3AEF" w:rsidRPr="00D351A9">
        <w:rPr>
          <w:rFonts w:ascii="Bookman Old Style" w:hAnsi="Bookman Old Style" w:cs="Arial"/>
        </w:rPr>
        <w:t>que se trascriben a continuación</w:t>
      </w:r>
      <w:r w:rsidRPr="00D351A9">
        <w:rPr>
          <w:rFonts w:ascii="Bookman Old Style" w:hAnsi="Bookman Old Style" w:cs="Arial"/>
        </w:rPr>
        <w:t>:</w:t>
      </w:r>
    </w:p>
    <w:p w14:paraId="1A4BE4F0" w14:textId="77777777" w:rsidR="007E6EF3" w:rsidRPr="00A44B91" w:rsidRDefault="007E6EF3" w:rsidP="00A44B91">
      <w:pPr>
        <w:pStyle w:val="Ttulo3"/>
        <w:ind w:left="714" w:hanging="357"/>
      </w:pPr>
      <w:r w:rsidRPr="00D351A9">
        <w:t xml:space="preserve">Indebida interpretación de la metodología de remuneración para las ampliaciones </w:t>
      </w:r>
    </w:p>
    <w:p w14:paraId="00139940" w14:textId="358AF492" w:rsidR="007E6EF3" w:rsidRPr="00D351A9" w:rsidRDefault="007E6EF3" w:rsidP="007E6EF3">
      <w:pPr>
        <w:ind w:left="0"/>
        <w:jc w:val="both"/>
        <w:rPr>
          <w:rFonts w:ascii="Bookman Old Style" w:hAnsi="Bookman Old Style"/>
        </w:rPr>
      </w:pPr>
      <w:r w:rsidRPr="00D351A9">
        <w:rPr>
          <w:rFonts w:ascii="Bookman Old Style" w:hAnsi="Bookman Old Style"/>
        </w:rPr>
        <w:t>En este punto, el recurrente cita algunas definiciones de la Resolución CREG 011 de 2009, algunos artículos de esta misma norma y también apartes del anexo general de la resolución en mención.</w:t>
      </w:r>
    </w:p>
    <w:p w14:paraId="0AEADBFC" w14:textId="77777777" w:rsidR="007E6EF3" w:rsidRPr="00D351A9" w:rsidRDefault="007E6EF3" w:rsidP="007E6EF3">
      <w:pPr>
        <w:ind w:left="0"/>
        <w:jc w:val="both"/>
        <w:rPr>
          <w:rFonts w:ascii="Bookman Old Style" w:hAnsi="Bookman Old Style"/>
        </w:rPr>
      </w:pPr>
    </w:p>
    <w:p w14:paraId="3ADF64F5" w14:textId="7B24DB02" w:rsidR="004F3924" w:rsidRDefault="004F3924" w:rsidP="00291D06">
      <w:pPr>
        <w:ind w:left="0"/>
        <w:jc w:val="both"/>
        <w:rPr>
          <w:rFonts w:ascii="Bookman Old Style" w:hAnsi="Bookman Old Style"/>
        </w:rPr>
      </w:pPr>
      <w:r w:rsidRPr="00D351A9">
        <w:rPr>
          <w:rFonts w:ascii="Bookman Old Style" w:hAnsi="Bookman Old Style"/>
        </w:rPr>
        <w:t xml:space="preserve">Con base </w:t>
      </w:r>
      <w:r w:rsidR="00837E14" w:rsidRPr="00D351A9">
        <w:rPr>
          <w:rFonts w:ascii="Bookman Old Style" w:hAnsi="Bookman Old Style"/>
        </w:rPr>
        <w:t>en</w:t>
      </w:r>
      <w:r w:rsidRPr="00D351A9">
        <w:rPr>
          <w:rFonts w:ascii="Bookman Old Style" w:hAnsi="Bookman Old Style"/>
        </w:rPr>
        <w:t xml:space="preserve"> los textos citados afirma:</w:t>
      </w:r>
    </w:p>
    <w:p w14:paraId="4FF2C73F" w14:textId="77777777" w:rsidR="007A4B89" w:rsidRPr="00D351A9" w:rsidRDefault="007A4B89" w:rsidP="00291D06">
      <w:pPr>
        <w:ind w:left="0"/>
        <w:jc w:val="both"/>
        <w:rPr>
          <w:rFonts w:ascii="Bookman Old Style" w:hAnsi="Bookman Old Style"/>
        </w:rPr>
      </w:pPr>
    </w:p>
    <w:p w14:paraId="5837C980" w14:textId="77777777" w:rsidR="008B254A" w:rsidRPr="00D351A9" w:rsidRDefault="008B254A" w:rsidP="007A4B89">
      <w:pPr>
        <w:ind w:left="284" w:right="284"/>
        <w:jc w:val="both"/>
        <w:rPr>
          <w:rFonts w:ascii="Bookman Old Style" w:hAnsi="Bookman Old Style"/>
          <w:i/>
          <w:sz w:val="22"/>
          <w:szCs w:val="20"/>
        </w:rPr>
      </w:pPr>
      <w:r w:rsidRPr="00D351A9">
        <w:rPr>
          <w:rFonts w:ascii="Bookman Old Style" w:hAnsi="Bookman Old Style"/>
          <w:i/>
          <w:sz w:val="22"/>
          <w:szCs w:val="20"/>
        </w:rPr>
        <w:t>Como se puede observar, la CREG interpreta y aplica de manera errada el artículo 21 de la Resolución CREG 011 de 2009. En efecto, de una lectura detenida del Artículo 21, se puede evidenciar que a partir de la expedición del acto administrativo que reconoce los ingresos se empieza a aplicar (verbo rector) la formula a través de la cual se reconocerá los nuevos cargos por uso.</w:t>
      </w:r>
    </w:p>
    <w:p w14:paraId="2730E48C" w14:textId="32BAFE80" w:rsidR="004F3924"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Ello no quiere decir que los servicios prestados entre la fecha de Puesta en Operación del Proyecto y la expedición del acto administrativo que reconoce los ingresos, no sean remunerados, pues el numeral 1.4. del Anexo General de la Resolución CREG 011 de 2009, es claro en señalar que estos se remuneran (verbo rector) a partir del día (1) del primer mes completo en que dichas Unidades se hayan encontrado en operación comercial como Activos de Uso. En este punto, es importante recordar la definición que la propia regulación de la CREG</w:t>
      </w:r>
      <w:r w:rsidRPr="00D351A9">
        <w:rPr>
          <w:rStyle w:val="Refdenotaalpie"/>
          <w:rFonts w:ascii="Bookman Old Style" w:hAnsi="Bookman Old Style"/>
          <w:i/>
          <w:sz w:val="22"/>
          <w:szCs w:val="20"/>
        </w:rPr>
        <w:footnoteReference w:id="1"/>
      </w:r>
      <w:r w:rsidRPr="00D351A9">
        <w:rPr>
          <w:rFonts w:ascii="Bookman Old Style" w:hAnsi="Bookman Old Style"/>
          <w:i/>
          <w:sz w:val="22"/>
          <w:szCs w:val="20"/>
        </w:rPr>
        <w:t xml:space="preserve"> señala como “Activos de Uso”, es:</w:t>
      </w:r>
    </w:p>
    <w:p w14:paraId="04415BEC" w14:textId="77777777"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“Activos de Uso: son los activos de transporte de electricidad que operan a tensiones iguales o superiores a 220 kV, son remunerados mediante Cargos por Uso del STN y pueden estar constituidos por una o varias UC.”</w:t>
      </w:r>
    </w:p>
    <w:p w14:paraId="109B59E3" w14:textId="5729E4B8"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Nótese que la condición para que un activo sea de uso, es que éste transporte electricidad y opere a tensiones iguales o superiores a 220kV, tal como se desprende del aparte resaltado. La continuación del precepto normativo, describe la forma como se remuneran (mediante Cargos por Uso del STN), más no impone la condición de remuneración para que el activo sea considerado de Uso. Lo anterior es apenas lógico, pues la misma acepción de la palabra Uso hace referencia a que el activo esté en operación.</w:t>
      </w:r>
    </w:p>
    <w:p w14:paraId="16F62F7B" w14:textId="77777777" w:rsidR="008B254A" w:rsidRPr="00D351A9" w:rsidRDefault="008B254A" w:rsidP="007A4B89">
      <w:pPr>
        <w:ind w:left="284" w:right="284"/>
        <w:jc w:val="both"/>
        <w:rPr>
          <w:rFonts w:ascii="Bookman Old Style" w:hAnsi="Bookman Old Style"/>
          <w:i/>
          <w:sz w:val="22"/>
          <w:szCs w:val="20"/>
        </w:rPr>
      </w:pPr>
      <w:r w:rsidRPr="00D351A9">
        <w:rPr>
          <w:rFonts w:ascii="Bookman Old Style" w:hAnsi="Bookman Old Style"/>
          <w:i/>
          <w:sz w:val="22"/>
          <w:szCs w:val="20"/>
        </w:rPr>
        <w:t xml:space="preserve">En efecto, no es la remuneración mediante cargos por uso lo que hace que un activo sea un Activo de Uso del STN, sino por el contrario, el hecho de que un Activo sea de Uso del STN es lo que le da el derecho a que sea remunerado mediante Cargos por </w:t>
      </w:r>
      <w:r w:rsidRPr="00D351A9">
        <w:rPr>
          <w:rFonts w:ascii="Bookman Old Style" w:hAnsi="Bookman Old Style"/>
          <w:i/>
          <w:sz w:val="22"/>
          <w:szCs w:val="20"/>
        </w:rPr>
        <w:lastRenderedPageBreak/>
        <w:t>Uso del STN. Es decir, primero se adquiere la categoría de Activo de Uso del STN, una vez el activo entra en operación comercial y comienza a hacer parte del STN, toda vez que desde ese momento los usuarios usan dichos activos, y a partir de dicha entrada en operación, según lo establecido en el Numeral 1.4 de la Resolución CREG 011, debe darse su remuneración, mediante Cargos por Uso del STN.</w:t>
      </w:r>
    </w:p>
    <w:p w14:paraId="7D883CE0" w14:textId="7025F594"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Es así como el Artículo 3 de la Resolución CREG 011 de 2009 define: “Usuario o Usuario del STN. Son los Usuarios Finales del servicio de energía eléctrica, los Operadores de Red y los Generadores conectados directamente al Sistema de Transmisión Nacional”. Es decir, los Usuarios del STN son aquellos que están conectados directamente al Sistema de Transmisión Nacional - STN, de tal suerte que, una vez el proyecto entra en operación comercial, los usuarios finales, operadores de red y generadores que estén conectados al STN comienzan a usar dichos activos, los cuales hacen parte del STN, y</w:t>
      </w:r>
      <w:r w:rsidR="00EB30EC" w:rsidRPr="00D351A9">
        <w:rPr>
          <w:rFonts w:ascii="Bookman Old Style" w:hAnsi="Bookman Old Style"/>
          <w:i/>
          <w:sz w:val="22"/>
          <w:szCs w:val="20"/>
        </w:rPr>
        <w:t>,</w:t>
      </w:r>
      <w:r w:rsidRPr="00D351A9">
        <w:rPr>
          <w:rFonts w:ascii="Bookman Old Style" w:hAnsi="Bookman Old Style"/>
          <w:i/>
          <w:sz w:val="22"/>
          <w:szCs w:val="20"/>
        </w:rPr>
        <w:t xml:space="preserve"> por tanto, claramente, desde su entrada en operación, dichos activos se vuelven Activos de Uso del STN.</w:t>
      </w:r>
    </w:p>
    <w:p w14:paraId="2C14FD0B" w14:textId="77777777"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Teniendo en cuenta lo anterior, y que el Artículo 3 de la Resolución CREG 011 de 2009 establece que “la remuneración de la actividad de transmisión se liquidará por mes completo y no por fracción de mes”, es que INTERCOLOMBIA reclama la remuneración desde el mes siguiente a que los proyectos entraron en operación comercial.</w:t>
      </w:r>
    </w:p>
    <w:p w14:paraId="3C3C6B15" w14:textId="52874C52"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Desconocer que los activos de INTERCOLOMBIA</w:t>
      </w:r>
      <w:r w:rsidR="00424412" w:rsidRPr="00D351A9">
        <w:rPr>
          <w:rFonts w:ascii="Bookman Old Style" w:hAnsi="Bookman Old Style"/>
          <w:i/>
          <w:sz w:val="22"/>
          <w:szCs w:val="20"/>
        </w:rPr>
        <w:t>,</w:t>
      </w:r>
      <w:r w:rsidRPr="00D351A9">
        <w:rPr>
          <w:rFonts w:ascii="Bookman Old Style" w:hAnsi="Bookman Old Style"/>
          <w:i/>
          <w:sz w:val="22"/>
          <w:szCs w:val="20"/>
        </w:rPr>
        <w:t xml:space="preserve"> </w:t>
      </w:r>
      <w:r w:rsidR="00424412" w:rsidRPr="00D351A9">
        <w:rPr>
          <w:rFonts w:ascii="Bookman Old Style" w:hAnsi="Bookman Old Style"/>
          <w:i/>
          <w:sz w:val="22"/>
          <w:szCs w:val="20"/>
        </w:rPr>
        <w:t>relacionados con el proyecto de Ampliación del circuito Esmeralda – La Hermosa 230 kV,</w:t>
      </w:r>
      <w:r w:rsidR="00424412" w:rsidRPr="00D351A9">
        <w:rPr>
          <w:rFonts w:ascii="Bookman Old Style" w:hAnsi="Bookman Old Style"/>
        </w:rPr>
        <w:t xml:space="preserve"> </w:t>
      </w:r>
      <w:r w:rsidR="00424412" w:rsidRPr="00D351A9">
        <w:rPr>
          <w:rFonts w:ascii="Bookman Old Style" w:hAnsi="Bookman Old Style"/>
          <w:i/>
          <w:sz w:val="22"/>
          <w:szCs w:val="20"/>
        </w:rPr>
        <w:t>sean de uso</w:t>
      </w:r>
      <w:r w:rsidRPr="00D351A9">
        <w:rPr>
          <w:rFonts w:ascii="Bookman Old Style" w:hAnsi="Bookman Old Style"/>
          <w:i/>
          <w:sz w:val="22"/>
          <w:szCs w:val="20"/>
        </w:rPr>
        <w:t>, es desconocer la energía que se ha transportado todo este tiempo gracias a ellos. Insisto, el trámite que debe realizar la CREG para la actualización de la base de activos del TN, no quiere decir que dichos activos no estén en uso y no estén operando, y</w:t>
      </w:r>
      <w:r w:rsidR="00424412" w:rsidRPr="00D351A9">
        <w:rPr>
          <w:rFonts w:ascii="Bookman Old Style" w:hAnsi="Bookman Old Style"/>
          <w:i/>
          <w:sz w:val="22"/>
          <w:szCs w:val="20"/>
        </w:rPr>
        <w:t>,</w:t>
      </w:r>
      <w:r w:rsidRPr="00D351A9">
        <w:rPr>
          <w:rFonts w:ascii="Bookman Old Style" w:hAnsi="Bookman Old Style"/>
          <w:i/>
          <w:sz w:val="22"/>
          <w:szCs w:val="20"/>
        </w:rPr>
        <w:t xml:space="preserve"> por tanto, los servicios que éstos prestan deben ser reconocidos.</w:t>
      </w:r>
    </w:p>
    <w:p w14:paraId="74E4E788" w14:textId="308BFE27"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En ese orden de ideas, una interpretación armónica entre estos dos artículos (Artículo 21 y el numeral 1.4. del Anexo General de la Resolución CREG 011 de 2009) y el art 23 de la Ley 143 de 1994 en especial los literales c y d, llevará a la forzosa conclusión que la remuneración por los nuevos activos </w:t>
      </w:r>
      <w:r w:rsidR="008E0E04" w:rsidRPr="00D351A9">
        <w:rPr>
          <w:rFonts w:ascii="Bookman Old Style" w:hAnsi="Bookman Old Style"/>
          <w:i/>
          <w:sz w:val="22"/>
          <w:szCs w:val="20"/>
        </w:rPr>
        <w:t>relacionados con el proyecto de ampliación de la línea Esmeralda – La Hermosa 230 kV</w:t>
      </w:r>
      <w:r w:rsidRPr="00D351A9">
        <w:rPr>
          <w:rFonts w:ascii="Bookman Old Style" w:hAnsi="Bookman Old Style"/>
          <w:i/>
          <w:sz w:val="22"/>
          <w:szCs w:val="20"/>
        </w:rPr>
        <w:t xml:space="preserve"> debe reconocerse desde el día (1) del primer mes completo en que dichas Unidades se hayan encontrado en operación comercial como Activos de Uso, que para el caso del Proyecto es el 1 de </w:t>
      </w:r>
      <w:r w:rsidR="008E0E04" w:rsidRPr="00D351A9">
        <w:rPr>
          <w:rFonts w:ascii="Bookman Old Style" w:hAnsi="Bookman Old Style"/>
          <w:i/>
          <w:sz w:val="22"/>
          <w:szCs w:val="20"/>
        </w:rPr>
        <w:t>dic</w:t>
      </w:r>
      <w:r w:rsidRPr="00D351A9">
        <w:rPr>
          <w:rFonts w:ascii="Bookman Old Style" w:hAnsi="Bookman Old Style"/>
          <w:i/>
          <w:sz w:val="22"/>
          <w:szCs w:val="20"/>
        </w:rPr>
        <w:t>iembre de 201</w:t>
      </w:r>
      <w:r w:rsidR="008E0E04" w:rsidRPr="00D351A9">
        <w:rPr>
          <w:rFonts w:ascii="Bookman Old Style" w:hAnsi="Bookman Old Style"/>
          <w:i/>
          <w:sz w:val="22"/>
          <w:szCs w:val="20"/>
        </w:rPr>
        <w:t>8</w:t>
      </w:r>
      <w:r w:rsidRPr="00D351A9">
        <w:rPr>
          <w:rFonts w:ascii="Bookman Old Style" w:hAnsi="Bookman Old Style"/>
          <w:i/>
          <w:sz w:val="22"/>
          <w:szCs w:val="20"/>
        </w:rPr>
        <w:t>.</w:t>
      </w:r>
    </w:p>
    <w:p w14:paraId="5A700DDA" w14:textId="6F71AD6C" w:rsidR="008B254A" w:rsidRPr="00D351A9"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Una interpretación diferente, conllevaría el contrasentido de reconocer que el TN debe asumir como costo, las posibles demoras del regulador en expedir la resolución de reconocimiento de su remuneración, como en este caso, en el que se vería afectado económicamente, con la pérdida de su contraprestación por </w:t>
      </w:r>
      <w:r w:rsidR="008E0E04" w:rsidRPr="00D351A9">
        <w:rPr>
          <w:rFonts w:ascii="Bookman Old Style" w:hAnsi="Bookman Old Style"/>
          <w:i/>
          <w:sz w:val="22"/>
          <w:szCs w:val="20"/>
        </w:rPr>
        <w:t xml:space="preserve">tres </w:t>
      </w:r>
      <w:r w:rsidRPr="00D351A9">
        <w:rPr>
          <w:rFonts w:ascii="Bookman Old Style" w:hAnsi="Bookman Old Style"/>
          <w:i/>
          <w:sz w:val="22"/>
          <w:szCs w:val="20"/>
        </w:rPr>
        <w:t>(</w:t>
      </w:r>
      <w:r w:rsidR="008E0E04" w:rsidRPr="00D351A9">
        <w:rPr>
          <w:rFonts w:ascii="Bookman Old Style" w:hAnsi="Bookman Old Style"/>
          <w:i/>
          <w:sz w:val="22"/>
          <w:szCs w:val="20"/>
        </w:rPr>
        <w:t>3</w:t>
      </w:r>
      <w:r w:rsidRPr="00D351A9">
        <w:rPr>
          <w:rFonts w:ascii="Bookman Old Style" w:hAnsi="Bookman Old Style"/>
          <w:i/>
          <w:sz w:val="22"/>
          <w:szCs w:val="20"/>
        </w:rPr>
        <w:t>) meses</w:t>
      </w:r>
      <w:r w:rsidR="008E0E04" w:rsidRPr="00D351A9">
        <w:rPr>
          <w:rFonts w:ascii="Bookman Old Style" w:hAnsi="Bookman Old Style"/>
          <w:i/>
          <w:sz w:val="22"/>
          <w:szCs w:val="20"/>
        </w:rPr>
        <w:t xml:space="preserve">, </w:t>
      </w:r>
      <w:r w:rsidRPr="00D351A9">
        <w:rPr>
          <w:rFonts w:ascii="Bookman Old Style" w:hAnsi="Bookman Old Style"/>
          <w:i/>
          <w:sz w:val="22"/>
          <w:szCs w:val="20"/>
        </w:rPr>
        <w:t>desde la entrada en operación de</w:t>
      </w:r>
      <w:r w:rsidR="00C21767" w:rsidRPr="00D351A9">
        <w:rPr>
          <w:rFonts w:ascii="Bookman Old Style" w:hAnsi="Bookman Old Style"/>
          <w:i/>
          <w:sz w:val="22"/>
          <w:szCs w:val="20"/>
        </w:rPr>
        <w:t>l</w:t>
      </w:r>
      <w:r w:rsidRPr="00D351A9">
        <w:rPr>
          <w:rFonts w:ascii="Bookman Old Style" w:hAnsi="Bookman Old Style"/>
          <w:i/>
          <w:sz w:val="22"/>
          <w:szCs w:val="20"/>
        </w:rPr>
        <w:t xml:space="preserve"> proyecto hasta el mes completo siguiente a la fecha de expedición y notificación del acto administrativo por la CREG.</w:t>
      </w:r>
    </w:p>
    <w:p w14:paraId="1A0A2472" w14:textId="67972C65" w:rsidR="008B254A" w:rsidRDefault="008B254A" w:rsidP="008B254A">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Así las cosas, por medio de este recurso, se solicita de manera respetuosa a la CREG que proceda a reconocer, expresamente, la remuneración por los servicios prestados por </w:t>
      </w:r>
      <w:r w:rsidR="00C21767" w:rsidRPr="00D351A9">
        <w:rPr>
          <w:rFonts w:ascii="Bookman Old Style" w:hAnsi="Bookman Old Style"/>
          <w:i/>
          <w:sz w:val="22"/>
          <w:szCs w:val="20"/>
        </w:rPr>
        <w:t>el proyecto de Ampliación del circuito Esmeralda – La Hermosa 230 kV desde la fecha de entrada en operación</w:t>
      </w:r>
      <w:r w:rsidRPr="00D351A9">
        <w:rPr>
          <w:rFonts w:ascii="Bookman Old Style" w:hAnsi="Bookman Old Style"/>
          <w:i/>
          <w:sz w:val="22"/>
          <w:szCs w:val="20"/>
        </w:rPr>
        <w:t>.</w:t>
      </w:r>
    </w:p>
    <w:p w14:paraId="4EE5656C" w14:textId="241680C5" w:rsidR="004F3924" w:rsidRDefault="004F3924" w:rsidP="007A4B89">
      <w:pPr>
        <w:pStyle w:val="Ttulo3"/>
        <w:spacing w:after="0"/>
        <w:ind w:left="714" w:hanging="357"/>
      </w:pPr>
      <w:r w:rsidRPr="00D351A9">
        <w:t>Violación de normas superiores</w:t>
      </w:r>
    </w:p>
    <w:p w14:paraId="0E56DB70" w14:textId="77777777" w:rsidR="007A4B89" w:rsidRPr="007A4B89" w:rsidRDefault="007A4B89" w:rsidP="007A4B89"/>
    <w:p w14:paraId="6D9C3131" w14:textId="77777777" w:rsidR="004F3924" w:rsidRPr="00D351A9" w:rsidRDefault="00177E6E" w:rsidP="004F3924">
      <w:pPr>
        <w:ind w:left="0"/>
        <w:jc w:val="both"/>
        <w:rPr>
          <w:rFonts w:ascii="Bookman Old Style" w:hAnsi="Bookman Old Style"/>
        </w:rPr>
      </w:pPr>
      <w:r w:rsidRPr="00D351A9">
        <w:rPr>
          <w:rFonts w:ascii="Bookman Old Style" w:hAnsi="Bookman Old Style"/>
        </w:rPr>
        <w:t xml:space="preserve">Después de citar el artículo 365 de la Constitución Política de Colombia, y algunos </w:t>
      </w:r>
      <w:r w:rsidR="00713A97" w:rsidRPr="00D351A9">
        <w:rPr>
          <w:rFonts w:ascii="Bookman Old Style" w:hAnsi="Bookman Old Style"/>
        </w:rPr>
        <w:t>a</w:t>
      </w:r>
      <w:r w:rsidRPr="00D351A9">
        <w:rPr>
          <w:rFonts w:ascii="Bookman Old Style" w:hAnsi="Bookman Old Style"/>
        </w:rPr>
        <w:t>partes de la Ley 142 de 1994, el recurso continúa en los siguientes términos:</w:t>
      </w:r>
    </w:p>
    <w:p w14:paraId="5A6487F5" w14:textId="7AB4CE4C" w:rsidR="00FD2013" w:rsidRPr="00D351A9" w:rsidRDefault="00C21767"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La falta de ingresos a partir de la Fecha de Puesta en Operación de las unidades constructivas asociadas al proyecto de Ampliación del circuito Esmeralda – La </w:t>
      </w:r>
      <w:r w:rsidRPr="00D351A9">
        <w:rPr>
          <w:rFonts w:ascii="Bookman Old Style" w:hAnsi="Bookman Old Style"/>
          <w:i/>
          <w:sz w:val="22"/>
          <w:szCs w:val="20"/>
        </w:rPr>
        <w:lastRenderedPageBreak/>
        <w:t>Hermosa 230 kV, por hechos imputables a la CREG en el cumplimiento de sus funciones, desestimularía claramente a los TN para emprender dichos proyectos de expansión del STN y los obligaría a prestar un servicio en forma gratuita, con los efectos en su sostenibilidad y suficiencia financiera</w:t>
      </w:r>
      <w:r w:rsidR="00FD2013" w:rsidRPr="00D351A9">
        <w:rPr>
          <w:rFonts w:ascii="Bookman Old Style" w:hAnsi="Bookman Old Style"/>
          <w:i/>
          <w:sz w:val="22"/>
          <w:szCs w:val="20"/>
        </w:rPr>
        <w:t>.</w:t>
      </w:r>
    </w:p>
    <w:p w14:paraId="5DC0AA87"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Además de las anteriores normas, la facultad de la CREG para definir la metodología de cálculo y fijar las tarifas, está enmarcada dentro del objeto básico establecido en el artículo 20 de la Ley 143 de 1994, consistente en “(…) una adecuada prestación del servicio mediante el aprovechamiento eficiente de los diferentes recursos energéticos, en beneficio del usuario en términos de calidad, oportunidad y costo del servicio.”; y la misma está determinada por el acceso y uso de las redes eléctricas. (Negrilla fuera de texto)</w:t>
      </w:r>
    </w:p>
    <w:p w14:paraId="435AE5CB"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Así las cosas, la CREG está obligada a establecer una metodología de cálculo y a aprobar tarifas por el acceso y uso de las redes eléctricas, así como los procedimientos para hacer efectivo su pago. (Arts. 23 y 24 de la Ley 143/1994).</w:t>
      </w:r>
    </w:p>
    <w:p w14:paraId="112E740A"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El Artículo 39 ibídem, señala que los cargos asociados con el acceso y uso del STN, deben cubrir los costos de inversión de las redes, incluido el costo de oportunidad del capital y los costos de administración, operación y mantenimiento, en condiciones adecuadas de calidad y confiabilidad y en condiciones óptimas de gestión teniendo en cuenta criterios de viabilidad financiera.</w:t>
      </w:r>
    </w:p>
    <w:p w14:paraId="78E11797" w14:textId="3E266E90"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El literal c. del artículo 23 de la Ley 143 de 1994, faculta a la Comisión para “Definir la metodología para el cálculo de las tarifas por el acceso y uso de las redes eléctricas, y los cargos por los servicios de despacho y coordinación prestados por los centros regionales de despacho y el centro nacional de despacho”. (Negrilla fuera de texto)</w:t>
      </w:r>
    </w:p>
    <w:p w14:paraId="0C729329"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El literal d), faculta al regulador para:</w:t>
      </w:r>
    </w:p>
    <w:p w14:paraId="228451CE"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“d. Aprobar las tarifas que deban sufragarse por el acceso y uso de las redes eléctricas, y los cargos por los servicios de despacho y coordinación prestados por los centros regionales de despacho y por el centro nacional de despacho.” (Negrilla fuera de texto)</w:t>
      </w:r>
    </w:p>
    <w:p w14:paraId="4943115F"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Es decir, que una vez la CREG determinó la metodología de cálculo, sólo le queda aprobar la tarifa que resulta de aplicar dicha metodología, mediante la expedición de un acto administrativo.</w:t>
      </w:r>
    </w:p>
    <w:p w14:paraId="2CFE3291"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Esto debe hacerlo bajo los parámetros establecidos en el literal a) de la citada norma, el cual dispone:</w:t>
      </w:r>
    </w:p>
    <w:p w14:paraId="2EE6C256"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“a. Crear las condiciones para asegurar la disponibilidad de una oferta energética eficiente capaz de abastecer la demanda bajo criterios sociales, económicos, ambientales y de viabilidad financiera, promover y preservar la competencia.”</w:t>
      </w:r>
    </w:p>
    <w:p w14:paraId="65BA3907"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Nótese que las normas señaladas anteriormente, determinan la finalidad y la proporcionalidad a la que está sujeta la CREG al momento de expedir los actos administrativos por medio de los cuales aprueba la remuneración del servicio de transmisión en el STN.</w:t>
      </w:r>
    </w:p>
    <w:p w14:paraId="65291E7D"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Sin embargo, el regulador, parece confundir sus funciones, pues como se dijo anteriormente, interpreta y aplica de manera errada que el derecho del TN a recibir el ingreso nace a partir de la expedición de sus actos administrativos, cuando la normatividad es clara en señalar que este derecho nace cuando el Proyecto entra en operación.</w:t>
      </w:r>
    </w:p>
    <w:p w14:paraId="758387D6" w14:textId="4F30FFC7" w:rsidR="00FD2013" w:rsidRPr="00D351A9" w:rsidRDefault="00C21767"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Esta errada interpretación de la CREG vulnera los principios de adecuación normativa y de proporcionalidad que se exige, toda vez que, al no reconocer expresamente en su Resolución CREG 23 de 2019, el pago de los ingresos por los </w:t>
      </w:r>
      <w:r w:rsidRPr="00D351A9">
        <w:rPr>
          <w:rFonts w:ascii="Bookman Old Style" w:hAnsi="Bookman Old Style"/>
          <w:i/>
          <w:sz w:val="22"/>
          <w:szCs w:val="20"/>
        </w:rPr>
        <w:lastRenderedPageBreak/>
        <w:t>servicios prestados por la Ampliación del circuito Esmeralda – La Hermosa 230 kV, desde su fecha de entrada en operación, desconoce la finalidad de las normas anteriormente citadas</w:t>
      </w:r>
      <w:r w:rsidR="00FD2013" w:rsidRPr="00D351A9">
        <w:rPr>
          <w:rFonts w:ascii="Bookman Old Style" w:hAnsi="Bookman Old Style"/>
          <w:i/>
          <w:sz w:val="22"/>
          <w:szCs w:val="20"/>
        </w:rPr>
        <w:t>.</w:t>
      </w:r>
    </w:p>
    <w:p w14:paraId="51FF0232" w14:textId="1BB6370C" w:rsidR="00FD2013" w:rsidRPr="00D351A9" w:rsidRDefault="00C21767"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En efecto, la Resolución CREG 023 de 2019, vulnera lo dispuesto en la Constitución y las Leyes 142 y 143 de 1994, puesto que al no reconocer explícitamente los ingresos desde el primer día del mes completo siguiente a la fecha de entrada en operación comercial –que para el proyecto es el 1 de diciembre de 2018-, de acuerdo con el numeral 1.4. del Anexo General de la Resolución CREG 011 de 2009, no se respeta la viabilidad financiera y económica señalada por la normatividad y pone en peligro la prestación continua e ininterrumpida del servicio público de energía eléctrica</w:t>
      </w:r>
      <w:r w:rsidR="00FD2013" w:rsidRPr="00D351A9">
        <w:rPr>
          <w:rFonts w:ascii="Bookman Old Style" w:hAnsi="Bookman Old Style"/>
          <w:i/>
          <w:sz w:val="22"/>
          <w:szCs w:val="20"/>
        </w:rPr>
        <w:t>.</w:t>
      </w:r>
    </w:p>
    <w:p w14:paraId="50D83793" w14:textId="6E47A364" w:rsidR="00FD2013" w:rsidRPr="00D351A9" w:rsidRDefault="00C21767"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De igual forma, tampoco puede entenderse como legal la Resolución CREG 023 de 2019, en la medida que no reconoce la remuneración por los servicios prestados por las unidades constructivas incorporadas en el proyecto de Ampliación del circuito Esmeralda – La Hermosa 230 kV en los meses anteriores a su expedición. Tan no es legal, que en el supuesto en que se presente una indisponibilidad en alguno de los activos que constituyen el Proyecto, y éste ocasione una energía no suministrada cuyo porcentaje supere el 2%, dentro de los meses anteriores a la expedición del acto administrativo, INTERCOLOMBIA podría verse afectada con una compensación o una sanción. Así las cosas, debe preguntarse ¿es legal que se pueda incurrir en compensaciones o sanciones por eventos ocurridos en los meses anteriores a la expedición de la Resolución CREG 023 de 2019, pero que no se reconozcan ingresos por los servicios prestados en esos mismos meses?</w:t>
      </w:r>
    </w:p>
    <w:p w14:paraId="11D8E83C" w14:textId="0733BB0B" w:rsidR="00FD2013" w:rsidRPr="00D351A9" w:rsidRDefault="00C21767"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Adicionalmente, es importante tener en cuenta que durante esos meses no reconocidos, INTERCOLOMBIA incurrió en gastos de Administración, Operación y Mantenimiento de las unidades constructivas asociadas con la Ampliación del circuito Esmeralda - La Hermosa 230 kV, y además tuvo que asumir el servicio de la deuda por la inversión ejecutada para poner en operación en las unidades constructivas incorporadas al proyecto</w:t>
      </w:r>
      <w:r w:rsidR="00FD2013" w:rsidRPr="00D351A9">
        <w:rPr>
          <w:rFonts w:ascii="Bookman Old Style" w:hAnsi="Bookman Old Style"/>
          <w:i/>
          <w:sz w:val="22"/>
          <w:szCs w:val="20"/>
        </w:rPr>
        <w:t>.</w:t>
      </w:r>
    </w:p>
    <w:p w14:paraId="4951F381"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Cabe la pena mencionar que acá no se discute la ilegalidad de este hecho en cuanto a que no esté establecido en la regulación, pues conocemos que la regulación es clara en que un activo que no esté siendo remunerado puede llegar a pagar compensaciones por ENS durante su operación, de acuerdo con lo establecido en el Artículo 6 de la Resolución CREG 011 de 2009: “Artículo 6. Activos que entran en operación comercial. A partir de la fecha de entrada en operación comercial de activos del STN, y hasta que se inicie su remuneración a través de cargos por uso, el agente que los represente ante el LAC será responsable por la ocurrencia de Eventos en estos activos que ocasionen ENS”.</w:t>
      </w:r>
    </w:p>
    <w:p w14:paraId="1E1FCC6D" w14:textId="77777777" w:rsidR="00FD2013" w:rsidRPr="00D351A9" w:rsidRDefault="00FD2013" w:rsidP="00FD2013">
      <w:pPr>
        <w:spacing w:before="120"/>
        <w:ind w:left="284" w:right="284"/>
        <w:jc w:val="both"/>
        <w:rPr>
          <w:rFonts w:ascii="Bookman Old Style" w:hAnsi="Bookman Old Style"/>
          <w:i/>
          <w:sz w:val="22"/>
          <w:szCs w:val="20"/>
        </w:rPr>
      </w:pPr>
      <w:r w:rsidRPr="00D351A9">
        <w:rPr>
          <w:rFonts w:ascii="Bookman Old Style" w:hAnsi="Bookman Old Style"/>
          <w:i/>
          <w:sz w:val="22"/>
          <w:szCs w:val="20"/>
        </w:rPr>
        <w:t>A lo que nos referimos es a que el período en el cual el activo no percibe remuneración debe ser únicamente el correspondiente a los días transcurridos entre la entrada en operación comercial y el primer día del mes siguiente, con el fin de atender el lineamiento de que “Para la liquidación del Ingreso Mensual de cada TN se tendrá en cuenta: que las UC no construidas en desarrollo de los procesos de selección regulados por la CREG, se remunerarán a partir del día (1) del primer mes completo en que dichas Unidades se hayan encontrado en operación comercial como Activos de Uso”. Esto es así, porque ante dicho lineamiento podría INTERCOLOMBIA podría gestionar el riesgo entre la entrada en operación del proyecto y el primer día del mes siguiente.</w:t>
      </w:r>
    </w:p>
    <w:p w14:paraId="00390DE8" w14:textId="17460371" w:rsidR="00177E6E" w:rsidRPr="00295D8B" w:rsidRDefault="00FD2013" w:rsidP="00295D8B">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Una aplicación contraria, que incluya en el “período de no remuneración” los meses que demora la CREG para adelantar su actuación administrativa, expedir la resolución y notificarla a la empresa de transmisión, dejaría en esta última un riesgo </w:t>
      </w:r>
      <w:r w:rsidRPr="00D351A9">
        <w:rPr>
          <w:rFonts w:ascii="Bookman Old Style" w:hAnsi="Bookman Old Style"/>
          <w:i/>
          <w:sz w:val="22"/>
          <w:szCs w:val="20"/>
        </w:rPr>
        <w:lastRenderedPageBreak/>
        <w:t>no gestionable por ella, traduciéndose por tanto en una falta de proporcionalidad entre el ingreso que recibe la empresa y los pagos de compensaciones por ENS o pagos de sanciones que pueda llegar a imponerle la SSPD ante algún evento importante en los activos en mención.</w:t>
      </w:r>
    </w:p>
    <w:p w14:paraId="27D73927" w14:textId="01FC58BD" w:rsidR="004F3924" w:rsidRPr="00A44B91" w:rsidRDefault="00C21767" w:rsidP="00A44B91">
      <w:pPr>
        <w:pStyle w:val="Ttulo3"/>
        <w:ind w:left="714" w:hanging="357"/>
      </w:pPr>
      <w:r w:rsidRPr="00D351A9">
        <w:t xml:space="preserve">El reconocimiento y remuneración de las unidades constructivas incorporadas desde su entrada en operación es un derecho de </w:t>
      </w:r>
      <w:r w:rsidR="004F3924" w:rsidRPr="00D351A9">
        <w:t>Intercolombia</w:t>
      </w:r>
    </w:p>
    <w:p w14:paraId="4676930E" w14:textId="44D12AA1" w:rsidR="006B7082" w:rsidRPr="00D351A9" w:rsidRDefault="006B7082" w:rsidP="00397EBB">
      <w:pPr>
        <w:ind w:left="0"/>
        <w:jc w:val="both"/>
        <w:rPr>
          <w:rFonts w:ascii="Bookman Old Style" w:hAnsi="Bookman Old Style"/>
        </w:rPr>
      </w:pPr>
      <w:r w:rsidRPr="00D351A9">
        <w:rPr>
          <w:rFonts w:ascii="Bookman Old Style" w:hAnsi="Bookman Old Style"/>
        </w:rPr>
        <w:t>Con referencia a algunos apartes de la Resolución</w:t>
      </w:r>
      <w:r w:rsidR="00397EBB" w:rsidRPr="00D351A9">
        <w:rPr>
          <w:rFonts w:ascii="Bookman Old Style" w:hAnsi="Bookman Old Style"/>
        </w:rPr>
        <w:t xml:space="preserve"> CREG 011 de 2009, citados en el recurso, se afirma lo siguiente:</w:t>
      </w:r>
    </w:p>
    <w:p w14:paraId="312D367E" w14:textId="6830AFD7" w:rsidR="00397EBB" w:rsidRPr="00D351A9" w:rsidRDefault="000315AA"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Lo anterior nos permite concluir que la Fecha de Entrada en Operación Comercial de las unidades constructivas de la Ampliación del circuito Esmeralda – La Hermosa 230 kV, no sólo es una fecha que la CREG pueda tener en cuenta para efectos de compensación o una fecha en la que la empresa puede verse expuesta a pagos sancionatorios, sino qué además, es la fecha a partir de la cual el regulador debe reconocer la remuneración por los servicios que prestan dichos activos</w:t>
      </w:r>
      <w:r w:rsidR="00397EBB" w:rsidRPr="00D351A9">
        <w:rPr>
          <w:rFonts w:ascii="Bookman Old Style" w:hAnsi="Bookman Old Style"/>
          <w:i/>
          <w:sz w:val="22"/>
          <w:szCs w:val="20"/>
        </w:rPr>
        <w:t>.</w:t>
      </w:r>
    </w:p>
    <w:p w14:paraId="2E904010" w14:textId="77777777" w:rsidR="00397EBB" w:rsidRPr="00D351A9" w:rsidRDefault="00397EBB"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El reconocimiento de la remuneración a partir de la fecha de entrada en operación es un derecho de INTERCOLOMBIA.</w:t>
      </w:r>
    </w:p>
    <w:p w14:paraId="3B88BEE5" w14:textId="77777777" w:rsidR="00397EBB" w:rsidRPr="00D351A9" w:rsidRDefault="00397EBB"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Sin perjuicio de lo expuesto sobre la correcta lectura de la norma regulatoria expresada en acápite anterior, en el caso de que se considerará que bajo la normatividad vigente para los proyectos construidos en modalidad de Ampliación no existe normatividad alguna que señale expresamente lo anterior, dicho vacío legal debe ser suplido por la Autoridad con las normas que regulen casos similares, en atención a la interpretación analógica establecida en el artículo 8° de la Ley 153 de 1887, que dispone:</w:t>
      </w:r>
    </w:p>
    <w:p w14:paraId="08101FF3" w14:textId="77777777" w:rsidR="00397EBB" w:rsidRPr="00D351A9" w:rsidRDefault="00397EBB"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“Cuando no hay ley exactamente aplicable al caso controvertido, se aplicarán las leyes que regulen casos o materias semejantes, y en su defecto, la doctrina constitucional y las reglas generales de derecho”</w:t>
      </w:r>
    </w:p>
    <w:p w14:paraId="6DA66F10" w14:textId="77777777" w:rsidR="00397EBB" w:rsidRPr="00D351A9" w:rsidRDefault="00397EBB"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Pues bien, para este caso, en atención a la interpretación analógica anunciada, debemos acudir a lo regulado en los proyectos de libre concurrencia. En dichos casos, de conformidad con el numeral II del literal a) del artículo 4° de la Resolución CREG 022 de 2001, la remuneración se tomará en cuenta desde el primer mes calendario de puesta en servicio o de entrada en operación del proyecto. Veamos:</w:t>
      </w:r>
    </w:p>
    <w:p w14:paraId="2529022A" w14:textId="15AAE8B5" w:rsidR="00114836" w:rsidRPr="00D351A9" w:rsidRDefault="00397EBB"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“El Ingreso Anual que percibirá el proponente seleccionado para el proyecto, durante los primeros veinticinco (25) años de su puesta en operación, será igual al Ingreso Anual Esperado propuesto. La liquidación y pago mensual del Ingreso correspondiente se actualizará anualmente con el Producer Price Index, y se efectuará en pesos colombianos sobre una base mensual calendario, dividiendo por doce (12) dicho Ingreso y actualizándolo con la Tasa de Cambio Representativa del Mercado del último día hábil del mes a facturar, publicada por el Banco de la República. Para la facturación, liquidación y pago del primer mes de Ingresos, se tomará en cuenta el primer mes calendario completo de puesta en servicio. En consecuencia no se reconocerá facturación por fracción de mes.”</w:t>
      </w:r>
    </w:p>
    <w:p w14:paraId="58AE11DD" w14:textId="3D01CC9C" w:rsidR="00397EBB" w:rsidRPr="00D351A9" w:rsidRDefault="00397EBB" w:rsidP="00397EBB">
      <w:pPr>
        <w:spacing w:before="120"/>
        <w:ind w:left="284" w:right="284"/>
        <w:jc w:val="both"/>
        <w:rPr>
          <w:rFonts w:ascii="Bookman Old Style" w:hAnsi="Bookman Old Style"/>
          <w:i/>
          <w:sz w:val="22"/>
          <w:szCs w:val="20"/>
        </w:rPr>
      </w:pPr>
      <w:r w:rsidRPr="00D351A9">
        <w:rPr>
          <w:rFonts w:ascii="Bookman Old Style" w:hAnsi="Bookman Old Style"/>
          <w:i/>
          <w:sz w:val="22"/>
          <w:szCs w:val="20"/>
        </w:rPr>
        <w:t>Lo anterior constituye otro argumento por el cual el acto administrativo debe reponerse, en el sentido de adicionar que la remuneración por el Proyecto debe reconocerse desde la fecha de puesta en operación del mismo, toda vez que ello es un derecho de INTERCOLOMBIA.</w:t>
      </w:r>
    </w:p>
    <w:p w14:paraId="3144D163" w14:textId="77777777" w:rsidR="00114836" w:rsidRPr="00A44B91" w:rsidRDefault="00114836" w:rsidP="00A44B91">
      <w:pPr>
        <w:pStyle w:val="Ttulo3"/>
        <w:ind w:left="714" w:hanging="357"/>
      </w:pPr>
      <w:r w:rsidRPr="00D351A9">
        <w:lastRenderedPageBreak/>
        <w:t>Enriquecimiento sin causa.</w:t>
      </w:r>
    </w:p>
    <w:p w14:paraId="4EC7BE75" w14:textId="4BB9D13E" w:rsidR="00637F85" w:rsidRPr="00D351A9" w:rsidRDefault="00637F85" w:rsidP="00637F85">
      <w:pPr>
        <w:ind w:left="0"/>
        <w:jc w:val="both"/>
        <w:rPr>
          <w:rFonts w:ascii="Bookman Old Style" w:hAnsi="Bookman Old Style"/>
        </w:rPr>
      </w:pPr>
      <w:r w:rsidRPr="00D351A9">
        <w:rPr>
          <w:rFonts w:ascii="Bookman Old Style" w:hAnsi="Bookman Old Style"/>
        </w:rPr>
        <w:t>En este aparte el recurrente afirma lo siguiente:</w:t>
      </w:r>
    </w:p>
    <w:p w14:paraId="70F46683" w14:textId="7B0A2203" w:rsidR="00397EBB" w:rsidRPr="00D351A9" w:rsidRDefault="00397EBB" w:rsidP="00397EBB">
      <w:pPr>
        <w:pStyle w:val="Cita"/>
      </w:pPr>
      <w:r w:rsidRPr="00D351A9">
        <w:t>El artículo 831 del Código de Comercio señala:</w:t>
      </w:r>
    </w:p>
    <w:p w14:paraId="6B0DAB4B" w14:textId="77777777" w:rsidR="00397EBB" w:rsidRPr="00D351A9" w:rsidRDefault="00397EBB" w:rsidP="00397EBB">
      <w:pPr>
        <w:pStyle w:val="Cita"/>
      </w:pPr>
      <w:r w:rsidRPr="00D351A9">
        <w:t>“Nadie podrá enriquecerse sin justa causa a expensas de otro”</w:t>
      </w:r>
    </w:p>
    <w:p w14:paraId="06715842" w14:textId="30530BFA" w:rsidR="00397EBB" w:rsidRPr="00D351A9" w:rsidRDefault="00637F85" w:rsidP="00397EBB">
      <w:pPr>
        <w:pStyle w:val="Cita"/>
      </w:pPr>
      <w:r w:rsidRPr="00D351A9">
        <w:t>Para el caso en concreto, significa que es contrario a Derecho que el Sistema de Transmisión Nacional tenga en servicio las unidades constructivas incorporadas relativas a la Ampliación del circuito Esmeralda – La Hermosa 230 kV desde las 00:00 horas del 29 de noviembre de 2018, sin que INTERCOLOMBIA sea remunerado por ello, empobreciendo consecuentemente el patrimonio de INTERCOLOMBIA, al no recibir los ingresos correspondientes a los meses de diciembre de 2018, enero y febrero 2019, teniendo que asumir los costos y gastos que conlleva la ejecución, puesta en operación, administración, funcionamiento y mantenimiento de tales activos</w:t>
      </w:r>
      <w:r w:rsidR="00397EBB" w:rsidRPr="00D351A9">
        <w:t>.</w:t>
      </w:r>
    </w:p>
    <w:p w14:paraId="6A64CEA8" w14:textId="5E8ADED0" w:rsidR="00397EBB" w:rsidRPr="00D351A9" w:rsidRDefault="00637F85" w:rsidP="00397EBB">
      <w:pPr>
        <w:pStyle w:val="Cita"/>
      </w:pPr>
      <w:r w:rsidRPr="00D351A9">
        <w:t>La aplicación del principio de no enriquecimiento injusto o sin causa, cobra sentido para el presente caso si se considera que por disposición legal la CREG tiene como función fijar las tarifas por el acceso y uso de las redes eléctricas de acuerdo con lo previsto en el artículo 23, literal d), y 41 de la Ley 143 de 1994. En este sentido, la tardanza de la CREG en proferir el acto administrativo por medio del cual actualizó la base de activos de INTERCOLOMBIA, y en el que además, omitió reconocer en forma expresa la remuneración por los servicios prestados por las unidades constructivas incorporadas a la Ampliación del circuito Esmeralda – La Hermosa 230 kV desde el primer día del mes siguiente a la fecha de entrada en operación de cada proyecto y hasta la notificación del acto administrativo que hoy se recurre, genera un daño patrimonial para INTERCOLOMBIA, tal como se señaló en el capítulo de antecedentes</w:t>
      </w:r>
      <w:r w:rsidR="00397EBB" w:rsidRPr="00D351A9">
        <w:t>.</w:t>
      </w:r>
    </w:p>
    <w:p w14:paraId="1E348DC5" w14:textId="0EA10367" w:rsidR="00BA36C5" w:rsidRPr="00A44B91" w:rsidRDefault="00BA36C5" w:rsidP="00A44B91">
      <w:pPr>
        <w:pStyle w:val="Ttulo3"/>
        <w:ind w:left="714" w:hanging="357"/>
      </w:pPr>
      <w:r w:rsidRPr="00D351A9">
        <w:t>Imposibilidad de condicionar los efectos y aplicación de la Resolución CREG 023 de 2019 a la ejecutoria de la resolución que modifique el inventario reconocido a la Central Hidroeléctrica de Caldas.</w:t>
      </w:r>
    </w:p>
    <w:p w14:paraId="612F85E5" w14:textId="40A52B08" w:rsidR="00BA36C5" w:rsidRPr="00D351A9" w:rsidRDefault="00BA36C5" w:rsidP="00BA36C5">
      <w:pPr>
        <w:ind w:left="0"/>
        <w:jc w:val="both"/>
        <w:rPr>
          <w:rFonts w:ascii="Bookman Old Style" w:hAnsi="Bookman Old Style"/>
        </w:rPr>
      </w:pPr>
      <w:r w:rsidRPr="00D351A9">
        <w:rPr>
          <w:rFonts w:ascii="Bookman Old Style" w:hAnsi="Bookman Old Style"/>
        </w:rPr>
        <w:t>Al respecto del artículo 4 de la Resolución CREG 023 de 2019 donde se condiciona la aplicación de esta resolución, el recurrente afirma lo siguiente:</w:t>
      </w:r>
    </w:p>
    <w:p w14:paraId="2484F19A" w14:textId="77777777" w:rsidR="00A01E3D" w:rsidRPr="00D351A9" w:rsidRDefault="00A01E3D" w:rsidP="00A01E3D">
      <w:pPr>
        <w:pStyle w:val="Cita"/>
      </w:pPr>
      <w:r w:rsidRPr="00D351A9">
        <w:t>Tal como se anunció previamente, este recurso también tiene como finalidad la revocación del artículo 4° del acto administrativo impugnado.</w:t>
      </w:r>
    </w:p>
    <w:p w14:paraId="1B356A61" w14:textId="77777777" w:rsidR="00A01E3D" w:rsidRPr="00D351A9" w:rsidRDefault="00A01E3D" w:rsidP="00A01E3D">
      <w:pPr>
        <w:pStyle w:val="Cita"/>
      </w:pPr>
      <w:r w:rsidRPr="00D351A9">
        <w:t>Lo anterior, por cuanto no es posible que el regulador condicione la aplicación de un acto administrativo a situaciones que no están en manos de mi representada.</w:t>
      </w:r>
    </w:p>
    <w:p w14:paraId="545AFDDE" w14:textId="77777777" w:rsidR="00A01E3D" w:rsidRPr="00D351A9" w:rsidRDefault="00A01E3D" w:rsidP="00A01E3D">
      <w:pPr>
        <w:pStyle w:val="Cita"/>
      </w:pPr>
      <w:r w:rsidRPr="00D351A9">
        <w:t>Además de lo anterior, como se ha mencionado a lo largo de este escrito, desde la entrada en operación del Proyecto, INTERCOLOMBIA ha prestado el servicio de trasmisión de energía comercial y, así las cosas, el condicionamiento impuesto en el artículo 4° de la Resolución CREG 023 de 2019 genera un enriquecimiento sin causa del STN que percibe los servicios que se prestan desde la entrada en operación comercial de la Ampliación del circuito Esmeralda – La Hermosa 230 kV; sin reconocer a mi representada ingreso alguno por esos servicio, lo cual, además significa un correlativo empobrecimiento sin causa de INTERCOLOMBIA.</w:t>
      </w:r>
    </w:p>
    <w:p w14:paraId="41CA1187" w14:textId="77777777" w:rsidR="00A01E3D" w:rsidRPr="00D351A9" w:rsidRDefault="00A01E3D" w:rsidP="00A01E3D">
      <w:pPr>
        <w:pStyle w:val="Cita"/>
      </w:pPr>
      <w:r w:rsidRPr="00D351A9">
        <w:t xml:space="preserve">Además de lo anterior, desde el punto de vista técnico es importante advertir, que al entrar en operación la Ampliación segundo circuito Esmeralda – La Hermosa 230 kV, ya ha dejado de existir el circuito Esmeralda – La Hermosa 115 kV, de tal forma que al ser reconocido en la base de datos de INTERCOLOMBIA el segundo circuito </w:t>
      </w:r>
      <w:r w:rsidRPr="00D351A9">
        <w:lastRenderedPageBreak/>
        <w:t>Esmeralda – La Hermosa 230 kV, el cual remplaza al circuito Esmeralda – La Hermosa 115 kV, éste último debería desaparecer.</w:t>
      </w:r>
    </w:p>
    <w:p w14:paraId="000F46C2" w14:textId="77777777" w:rsidR="00A01E3D" w:rsidRPr="00D351A9" w:rsidRDefault="00A01E3D" w:rsidP="00A01E3D">
      <w:pPr>
        <w:pStyle w:val="Cita"/>
      </w:pPr>
      <w:r w:rsidRPr="00D351A9">
        <w:t>Finalmente, se debe señalar, de manera respetuosa, que, en atención a los efectos relativos de las relaciones jurídicas, no debería el regulador, trasladar los efectos de las relaciones jurídicas que tiene con la Central Hidroeléctrica de Caldas a la relación jurídica que tiene con INTERCOLOMBIA.</w:t>
      </w:r>
    </w:p>
    <w:p w14:paraId="67D1207D" w14:textId="651A245E" w:rsidR="00BA36C5" w:rsidRPr="00D351A9" w:rsidRDefault="00A01E3D" w:rsidP="00A01E3D">
      <w:pPr>
        <w:pStyle w:val="Cita"/>
      </w:pPr>
      <w:r w:rsidRPr="00D351A9">
        <w:t>Por lo anterior, reitero, de manera respetuosa, se debería revocar el numeral 4° de la Resolución CREG 023 de 2019.</w:t>
      </w:r>
    </w:p>
    <w:p w14:paraId="0E06E4BC" w14:textId="324C353D" w:rsidR="004F3924" w:rsidRPr="00D351A9" w:rsidRDefault="007E6EF3" w:rsidP="00D351A9">
      <w:pPr>
        <w:pStyle w:val="Ttulo2"/>
      </w:pPr>
      <w:r w:rsidRPr="00D351A9">
        <w:t xml:space="preserve">C. </w:t>
      </w:r>
      <w:r w:rsidR="007C03F4" w:rsidRPr="00D351A9">
        <w:t>CONCLUSIONES</w:t>
      </w:r>
    </w:p>
    <w:p w14:paraId="3981BD84" w14:textId="77777777" w:rsidR="00114836" w:rsidRPr="00D351A9" w:rsidRDefault="00114836" w:rsidP="00114836">
      <w:pPr>
        <w:spacing w:before="120"/>
        <w:ind w:left="284" w:right="284"/>
        <w:jc w:val="both"/>
        <w:rPr>
          <w:rFonts w:ascii="Bookman Old Style" w:hAnsi="Bookman Old Style"/>
          <w:i/>
          <w:sz w:val="22"/>
          <w:szCs w:val="20"/>
        </w:rPr>
      </w:pPr>
      <w:r w:rsidRPr="00D351A9">
        <w:rPr>
          <w:rFonts w:ascii="Bookman Old Style" w:hAnsi="Bookman Old Style"/>
          <w:i/>
          <w:sz w:val="22"/>
          <w:szCs w:val="20"/>
        </w:rPr>
        <w:t>De lo anteriormente expuesto se puede concluir:</w:t>
      </w:r>
    </w:p>
    <w:p w14:paraId="415033CA" w14:textId="2BD031D3" w:rsidR="00114836" w:rsidRPr="00D351A9" w:rsidRDefault="00310E0A" w:rsidP="00310E0A">
      <w:pPr>
        <w:pStyle w:val="Prrafodelista"/>
        <w:numPr>
          <w:ilvl w:val="0"/>
          <w:numId w:val="23"/>
        </w:numPr>
        <w:spacing w:before="120"/>
        <w:ind w:right="284"/>
        <w:jc w:val="both"/>
        <w:rPr>
          <w:rFonts w:ascii="Bookman Old Style" w:hAnsi="Bookman Old Style"/>
          <w:i/>
          <w:sz w:val="22"/>
        </w:rPr>
      </w:pPr>
      <w:r w:rsidRPr="00D351A9">
        <w:rPr>
          <w:rFonts w:ascii="Bookman Old Style" w:hAnsi="Bookman Old Style"/>
          <w:i/>
          <w:sz w:val="22"/>
        </w:rPr>
        <w:t>De la lectura de la Resolución CREG 011 del 2009, es evidente que se debe reconocer la remuneración desde el primer día del mes siguiente a la entrada en funcionamiento de las unidades constructivas incorporadas a la Ampliación del circuito Esmeralda – La Hermosa 230 kV, esto es diciembre 1</w:t>
      </w:r>
      <w:r w:rsidRPr="00D351A9">
        <w:rPr>
          <w:rFonts w:ascii="Bookman Old Style" w:hAnsi="Bookman Old Style"/>
        </w:rPr>
        <w:t xml:space="preserve"> </w:t>
      </w:r>
      <w:r w:rsidRPr="00D351A9">
        <w:rPr>
          <w:rFonts w:ascii="Bookman Old Style" w:hAnsi="Bookman Old Style"/>
          <w:i/>
          <w:sz w:val="22"/>
        </w:rPr>
        <w:t>de 2018, tal como se desprende del numeral 1.4. del Anexo General del mencionado acto administrativo</w:t>
      </w:r>
      <w:r w:rsidR="001A6C1B" w:rsidRPr="00D351A9">
        <w:rPr>
          <w:rFonts w:ascii="Bookman Old Style" w:hAnsi="Bookman Old Style"/>
          <w:i/>
          <w:sz w:val="22"/>
        </w:rPr>
        <w:t>.</w:t>
      </w:r>
    </w:p>
    <w:p w14:paraId="6B1B28D3" w14:textId="2A4230F9" w:rsidR="001A6C1B" w:rsidRPr="00D351A9" w:rsidRDefault="00310E0A" w:rsidP="00310E0A">
      <w:pPr>
        <w:pStyle w:val="Prrafodelista"/>
        <w:numPr>
          <w:ilvl w:val="0"/>
          <w:numId w:val="23"/>
        </w:numPr>
        <w:spacing w:before="120"/>
        <w:ind w:right="284"/>
        <w:jc w:val="both"/>
        <w:rPr>
          <w:rFonts w:ascii="Bookman Old Style" w:hAnsi="Bookman Old Style"/>
          <w:i/>
          <w:sz w:val="22"/>
        </w:rPr>
      </w:pPr>
      <w:r w:rsidRPr="00D351A9">
        <w:rPr>
          <w:rFonts w:ascii="Bookman Old Style" w:hAnsi="Bookman Old Style"/>
          <w:i/>
          <w:sz w:val="22"/>
        </w:rPr>
        <w:t>Tal como se expuso, no es proporcional que INTERCOLOMBIA podría ser objeto de sanciones o de compensaciones en los meses anteriores a la expedición de la Resolución CREG 023 de 2019, los cuales no están bajo el control de INTERCOLOMBIA, y que no se le reconozca remuneración por los servicios prestados por las unidades constructivas asociadas a la ampliación de la línea Esmeralda – La Hermosa 230 kV, en esos mismos meses</w:t>
      </w:r>
      <w:r w:rsidR="001A6C1B" w:rsidRPr="00D351A9">
        <w:rPr>
          <w:rFonts w:ascii="Bookman Old Style" w:hAnsi="Bookman Old Style"/>
          <w:i/>
          <w:sz w:val="22"/>
        </w:rPr>
        <w:t>.</w:t>
      </w:r>
    </w:p>
    <w:p w14:paraId="0BFA1B52" w14:textId="16901FD5" w:rsidR="001A6C1B" w:rsidRPr="00D351A9" w:rsidRDefault="00310E0A" w:rsidP="00310E0A">
      <w:pPr>
        <w:pStyle w:val="Prrafodelista"/>
        <w:numPr>
          <w:ilvl w:val="0"/>
          <w:numId w:val="23"/>
        </w:numPr>
        <w:spacing w:before="120"/>
        <w:ind w:right="284"/>
        <w:jc w:val="both"/>
        <w:rPr>
          <w:rFonts w:ascii="Bookman Old Style" w:hAnsi="Bookman Old Style"/>
          <w:i/>
          <w:sz w:val="22"/>
        </w:rPr>
      </w:pPr>
      <w:r w:rsidRPr="00D351A9">
        <w:rPr>
          <w:rFonts w:ascii="Bookman Old Style" w:hAnsi="Bookman Old Style"/>
          <w:i/>
          <w:sz w:val="22"/>
        </w:rPr>
        <w:t>Con el no reconocimiento de dicha remuneración desde la fecha de entrada en operación comercial de cada una de las unidades constructivas de la Ampliación Esmeralda – La Hermosa 230 kV, se está causando un detrimento patrimonial injustificado a INTERCOLOMBIA y un enriquecimiento sin causa de los agentes del sistema</w:t>
      </w:r>
      <w:r w:rsidR="001A6C1B" w:rsidRPr="00D351A9">
        <w:rPr>
          <w:rFonts w:ascii="Bookman Old Style" w:hAnsi="Bookman Old Style"/>
          <w:i/>
          <w:sz w:val="22"/>
        </w:rPr>
        <w:t xml:space="preserve">.  </w:t>
      </w:r>
    </w:p>
    <w:p w14:paraId="14F6C539" w14:textId="77777777" w:rsidR="00114836" w:rsidRPr="00D351A9" w:rsidRDefault="00114836" w:rsidP="00E71A24">
      <w:pPr>
        <w:ind w:left="0"/>
        <w:jc w:val="both"/>
        <w:rPr>
          <w:rFonts w:ascii="Bookman Old Style" w:hAnsi="Bookman Old Style"/>
        </w:rPr>
      </w:pPr>
    </w:p>
    <w:p w14:paraId="59F8EA88" w14:textId="77777777" w:rsidR="00E71A24" w:rsidRPr="00D351A9" w:rsidRDefault="00E71A24" w:rsidP="00E71A24">
      <w:pPr>
        <w:ind w:left="0"/>
        <w:jc w:val="both"/>
        <w:rPr>
          <w:rFonts w:ascii="Bookman Old Style" w:hAnsi="Bookman Old Style"/>
        </w:rPr>
      </w:pPr>
      <w:r w:rsidRPr="00D351A9">
        <w:rPr>
          <w:rFonts w:ascii="Bookman Old Style" w:hAnsi="Bookman Old Style"/>
        </w:rPr>
        <w:t>Finalmente solicita:</w:t>
      </w:r>
    </w:p>
    <w:p w14:paraId="3D4A408B" w14:textId="3C3BD577" w:rsidR="00A92D12" w:rsidRPr="00D351A9" w:rsidRDefault="00C8017F" w:rsidP="0055410D">
      <w:pPr>
        <w:spacing w:before="120"/>
        <w:ind w:left="284" w:right="284"/>
        <w:jc w:val="both"/>
        <w:rPr>
          <w:rFonts w:ascii="Bookman Old Style" w:hAnsi="Bookman Old Style"/>
          <w:i/>
          <w:sz w:val="22"/>
          <w:szCs w:val="20"/>
        </w:rPr>
      </w:pPr>
      <w:r w:rsidRPr="00D351A9">
        <w:rPr>
          <w:rFonts w:ascii="Bookman Old Style" w:hAnsi="Bookman Old Style"/>
          <w:i/>
          <w:sz w:val="22"/>
          <w:szCs w:val="20"/>
        </w:rPr>
        <w:t>De conformidad con lo anteriormente expuesto, de manera respetuosa se solicita a la CREG, que reponga la Resolución CREG 023 del 15 de febrero de 2019, en el sentido de reponer, modificar y adicionar dicho acto administrativo, en lo siguiente:</w:t>
      </w:r>
    </w:p>
    <w:p w14:paraId="2628149D" w14:textId="450CACE2" w:rsidR="00375E7C" w:rsidRPr="00D351A9" w:rsidRDefault="00375E7C" w:rsidP="00375E7C">
      <w:pPr>
        <w:spacing w:before="120"/>
        <w:ind w:right="284" w:hanging="283"/>
        <w:jc w:val="both"/>
        <w:rPr>
          <w:rFonts w:ascii="Bookman Old Style" w:hAnsi="Bookman Old Style"/>
          <w:i/>
          <w:sz w:val="22"/>
          <w:szCs w:val="20"/>
          <w:lang w:val="es-CO"/>
        </w:rPr>
      </w:pPr>
      <w:r w:rsidRPr="00D351A9">
        <w:rPr>
          <w:rFonts w:ascii="Bookman Old Style" w:hAnsi="Bookman Old Style"/>
          <w:i/>
          <w:sz w:val="22"/>
          <w:szCs w:val="20"/>
          <w:lang w:val="es-CO"/>
        </w:rPr>
        <w:t xml:space="preserve">1. </w:t>
      </w:r>
      <w:r w:rsidR="00C8017F" w:rsidRPr="00D351A9">
        <w:rPr>
          <w:rFonts w:ascii="Bookman Old Style" w:hAnsi="Bookman Old Style"/>
          <w:i/>
          <w:sz w:val="22"/>
          <w:szCs w:val="20"/>
          <w:lang w:val="es-CO"/>
        </w:rPr>
        <w:t>Con relación a las unidades constructivas que conforman el proyecto de Ampliación de la línea Esmeralda – La Hermosa 230 kV, que se reconozca el ingreso correspondiente a dichos activos, desde el primer día del mes siguiente a la fecha de entrada en operación comercial del proyecto, es decir, desde el 1 de diciembre de 2018. Así las cosas, la CREG deberá aprobar el reconocimiento de ingresos por los servicios prestados, en los meses de diciembre de 2018, enero de 2019 y febrero de 2019</w:t>
      </w:r>
      <w:r w:rsidRPr="00D351A9">
        <w:rPr>
          <w:rFonts w:ascii="Bookman Old Style" w:hAnsi="Bookman Old Style"/>
          <w:i/>
          <w:sz w:val="22"/>
          <w:szCs w:val="20"/>
          <w:lang w:val="es-CO"/>
        </w:rPr>
        <w:t>.</w:t>
      </w:r>
    </w:p>
    <w:p w14:paraId="47FB6D83" w14:textId="612422A1" w:rsidR="00375E7C" w:rsidRDefault="00375E7C" w:rsidP="00375E7C">
      <w:pPr>
        <w:spacing w:before="120"/>
        <w:ind w:right="284" w:hanging="283"/>
        <w:jc w:val="both"/>
        <w:rPr>
          <w:rFonts w:ascii="Bookman Old Style" w:hAnsi="Bookman Old Style"/>
          <w:i/>
          <w:sz w:val="22"/>
          <w:szCs w:val="20"/>
          <w:lang w:val="es-CO"/>
        </w:rPr>
      </w:pPr>
      <w:r w:rsidRPr="00D351A9">
        <w:rPr>
          <w:rFonts w:ascii="Bookman Old Style" w:hAnsi="Bookman Old Style"/>
          <w:i/>
          <w:sz w:val="22"/>
          <w:szCs w:val="20"/>
          <w:lang w:val="es-CO"/>
        </w:rPr>
        <w:t xml:space="preserve">2. </w:t>
      </w:r>
      <w:r w:rsidR="00C8017F" w:rsidRPr="00D351A9">
        <w:rPr>
          <w:rFonts w:ascii="Bookman Old Style" w:hAnsi="Bookman Old Style"/>
          <w:i/>
          <w:sz w:val="22"/>
          <w:szCs w:val="20"/>
          <w:lang w:val="es-CO"/>
        </w:rPr>
        <w:t xml:space="preserve">Con relación a la aplicación de esta Resolución, que se reconozcan los ingresos correspondientes al proyecto de Ampliación del circuito Esmeralda - La Hermosa 230 kV, sin estar condicionados a la firmeza de la resolución que modifica el inventario reconocido a la Central Hidroeléctrica de Caldas S.A. E.S.P. Lo anterior, considerando que con la expedición </w:t>
      </w:r>
      <w:r w:rsidR="00351B8B" w:rsidRPr="00D351A9">
        <w:rPr>
          <w:rFonts w:ascii="Bookman Old Style" w:hAnsi="Bookman Old Style"/>
          <w:i/>
          <w:sz w:val="22"/>
          <w:szCs w:val="20"/>
          <w:lang w:val="es-CO"/>
        </w:rPr>
        <w:t>de la Resolución CREG 023 de 2019 se está reconociendo la existencia del segundo circuito</w:t>
      </w:r>
      <w:r w:rsidR="00C8017F" w:rsidRPr="00D351A9">
        <w:rPr>
          <w:rFonts w:ascii="Bookman Old Style" w:hAnsi="Bookman Old Style"/>
          <w:i/>
          <w:sz w:val="22"/>
          <w:szCs w:val="20"/>
          <w:lang w:val="es-CO"/>
        </w:rPr>
        <w:t xml:space="preserve"> </w:t>
      </w:r>
      <w:r w:rsidR="00351B8B" w:rsidRPr="00D351A9">
        <w:rPr>
          <w:rFonts w:ascii="Bookman Old Style" w:hAnsi="Bookman Old Style"/>
          <w:i/>
          <w:sz w:val="22"/>
          <w:szCs w:val="20"/>
          <w:lang w:val="es-CO"/>
        </w:rPr>
        <w:t>Esmeralda - La Hermosa 230 kV y, por ende, la inexistencia del circuito Esmeralda - La Hermosa 115 kV</w:t>
      </w:r>
      <w:r w:rsidRPr="00D351A9">
        <w:rPr>
          <w:rFonts w:ascii="Bookman Old Style" w:hAnsi="Bookman Old Style"/>
          <w:i/>
          <w:sz w:val="22"/>
          <w:szCs w:val="20"/>
          <w:lang w:val="es-CO"/>
        </w:rPr>
        <w:t>.</w:t>
      </w:r>
    </w:p>
    <w:p w14:paraId="42515E7B" w14:textId="77777777" w:rsidR="00154998" w:rsidRPr="00D351A9" w:rsidRDefault="00154998" w:rsidP="00375E7C">
      <w:pPr>
        <w:spacing w:before="120"/>
        <w:ind w:right="284" w:hanging="283"/>
        <w:jc w:val="both"/>
        <w:rPr>
          <w:rFonts w:ascii="Bookman Old Style" w:hAnsi="Bookman Old Style"/>
          <w:i/>
          <w:sz w:val="22"/>
          <w:szCs w:val="20"/>
          <w:lang w:val="es-CO"/>
        </w:rPr>
      </w:pPr>
    </w:p>
    <w:p w14:paraId="25715988" w14:textId="77777777" w:rsidR="00D04B25" w:rsidRPr="00D351A9" w:rsidRDefault="00D04B25" w:rsidP="00D351A9">
      <w:pPr>
        <w:pStyle w:val="Titulo1"/>
        <w:ind w:left="0" w:firstLine="0"/>
        <w:outlineLvl w:val="0"/>
      </w:pPr>
      <w:r w:rsidRPr="00D351A9">
        <w:lastRenderedPageBreak/>
        <w:t>ANÁLISIS DE LA SOLICITUD</w:t>
      </w:r>
    </w:p>
    <w:p w14:paraId="5B99AC5E" w14:textId="77777777" w:rsidR="009C777D" w:rsidRPr="00D351A9" w:rsidRDefault="00E518B9" w:rsidP="00D351A9">
      <w:pPr>
        <w:pStyle w:val="Ttulo2"/>
      </w:pPr>
      <w:r w:rsidRPr="00D351A9">
        <w:t>A</w:t>
      </w:r>
      <w:r w:rsidR="002A2F79" w:rsidRPr="00D351A9">
        <w:t>.</w:t>
      </w:r>
      <w:r w:rsidR="002A2F79" w:rsidRPr="00D351A9">
        <w:tab/>
      </w:r>
      <w:r w:rsidR="009C777D" w:rsidRPr="00D351A9">
        <w:t>SUSTENTO DE LAS MEDIDAS ADOPTADAS</w:t>
      </w:r>
    </w:p>
    <w:p w14:paraId="27223A32" w14:textId="2AA78837" w:rsidR="009C777D" w:rsidRPr="00D351A9" w:rsidRDefault="009C777D" w:rsidP="009C777D">
      <w:pPr>
        <w:ind w:left="0"/>
        <w:jc w:val="both"/>
        <w:rPr>
          <w:rFonts w:ascii="Bookman Old Style" w:hAnsi="Bookman Old Style" w:cs="Arial"/>
          <w:bCs/>
          <w:color w:val="000000"/>
          <w:szCs w:val="27"/>
        </w:rPr>
      </w:pPr>
      <w:r w:rsidRPr="00D351A9">
        <w:rPr>
          <w:rFonts w:ascii="Bookman Old Style" w:hAnsi="Bookman Old Style" w:cs="Arial"/>
          <w:bCs/>
          <w:color w:val="000000"/>
          <w:szCs w:val="27"/>
        </w:rPr>
        <w:t>Las medidas adoptadas</w:t>
      </w:r>
      <w:r w:rsidR="0089449F" w:rsidRPr="00D351A9">
        <w:rPr>
          <w:rFonts w:ascii="Bookman Old Style" w:hAnsi="Bookman Old Style" w:cs="Arial"/>
          <w:bCs/>
          <w:color w:val="000000"/>
          <w:szCs w:val="27"/>
        </w:rPr>
        <w:t>,</w:t>
      </w:r>
      <w:r w:rsidRPr="00D351A9">
        <w:rPr>
          <w:rFonts w:ascii="Bookman Old Style" w:hAnsi="Bookman Old Style" w:cs="Arial"/>
          <w:bCs/>
          <w:color w:val="000000"/>
          <w:szCs w:val="27"/>
        </w:rPr>
        <w:t xml:space="preserve"> </w:t>
      </w:r>
      <w:r w:rsidR="002376BE" w:rsidRPr="00D351A9">
        <w:rPr>
          <w:rFonts w:ascii="Bookman Old Style" w:hAnsi="Bookman Old Style" w:cs="Arial"/>
          <w:bCs/>
          <w:color w:val="000000"/>
          <w:szCs w:val="27"/>
        </w:rPr>
        <w:t>y que son objeto del recurso</w:t>
      </w:r>
      <w:r w:rsidRPr="00D351A9">
        <w:rPr>
          <w:rFonts w:ascii="Bookman Old Style" w:hAnsi="Bookman Old Style" w:cs="Arial"/>
          <w:bCs/>
          <w:color w:val="000000"/>
          <w:szCs w:val="27"/>
        </w:rPr>
        <w:t>, se soportaron jurídica</w:t>
      </w:r>
      <w:r w:rsidR="0089449F" w:rsidRPr="00D351A9">
        <w:rPr>
          <w:rFonts w:ascii="Bookman Old Style" w:hAnsi="Bookman Old Style" w:cs="Arial"/>
          <w:bCs/>
          <w:color w:val="000000"/>
          <w:szCs w:val="27"/>
        </w:rPr>
        <w:softHyphen/>
      </w:r>
      <w:r w:rsidRPr="00D351A9">
        <w:rPr>
          <w:rFonts w:ascii="Bookman Old Style" w:hAnsi="Bookman Old Style" w:cs="Arial"/>
          <w:bCs/>
          <w:color w:val="000000"/>
          <w:szCs w:val="27"/>
        </w:rPr>
        <w:t xml:space="preserve">mente en la Constitución Política de Colombia, así como en los principios </w:t>
      </w:r>
      <w:r w:rsidR="00481435" w:rsidRPr="00D351A9">
        <w:rPr>
          <w:rFonts w:ascii="Bookman Old Style" w:hAnsi="Bookman Old Style" w:cs="Arial"/>
          <w:bCs/>
          <w:color w:val="000000"/>
          <w:szCs w:val="27"/>
        </w:rPr>
        <w:t>señalados en</w:t>
      </w:r>
      <w:r w:rsidRPr="00D351A9">
        <w:rPr>
          <w:rFonts w:ascii="Bookman Old Style" w:hAnsi="Bookman Old Style" w:cs="Arial"/>
          <w:bCs/>
          <w:color w:val="000000"/>
          <w:szCs w:val="27"/>
        </w:rPr>
        <w:t xml:space="preserve"> la Ley 142 de 1994</w:t>
      </w:r>
      <w:r w:rsidR="00F447B2" w:rsidRPr="00D351A9">
        <w:rPr>
          <w:rFonts w:ascii="Bookman Old Style" w:hAnsi="Bookman Old Style" w:cs="Arial"/>
          <w:bCs/>
          <w:color w:val="000000"/>
          <w:szCs w:val="27"/>
        </w:rPr>
        <w:t>, la Ley 143 de 1994</w:t>
      </w:r>
      <w:r w:rsidRPr="00D351A9">
        <w:rPr>
          <w:rFonts w:ascii="Bookman Old Style" w:hAnsi="Bookman Old Style" w:cs="Arial"/>
          <w:bCs/>
          <w:color w:val="000000"/>
          <w:szCs w:val="27"/>
        </w:rPr>
        <w:t xml:space="preserve"> y</w:t>
      </w:r>
      <w:r w:rsidR="0089449F" w:rsidRPr="00D351A9">
        <w:rPr>
          <w:rFonts w:ascii="Bookman Old Style" w:hAnsi="Bookman Old Style" w:cs="Arial"/>
          <w:bCs/>
          <w:color w:val="000000"/>
          <w:szCs w:val="27"/>
        </w:rPr>
        <w:t>,</w:t>
      </w:r>
      <w:r w:rsidRPr="00D351A9">
        <w:rPr>
          <w:rFonts w:ascii="Bookman Old Style" w:hAnsi="Bookman Old Style" w:cs="Arial"/>
          <w:bCs/>
          <w:color w:val="000000"/>
          <w:szCs w:val="27"/>
        </w:rPr>
        <w:t xml:space="preserve"> en especial</w:t>
      </w:r>
      <w:r w:rsidR="0089449F" w:rsidRPr="00D351A9">
        <w:rPr>
          <w:rFonts w:ascii="Bookman Old Style" w:hAnsi="Bookman Old Style" w:cs="Arial"/>
          <w:bCs/>
          <w:color w:val="000000"/>
          <w:szCs w:val="27"/>
        </w:rPr>
        <w:t>,</w:t>
      </w:r>
      <w:r w:rsidRPr="00D351A9">
        <w:rPr>
          <w:rFonts w:ascii="Bookman Old Style" w:hAnsi="Bookman Old Style" w:cs="Arial"/>
          <w:bCs/>
          <w:color w:val="000000"/>
          <w:szCs w:val="27"/>
        </w:rPr>
        <w:t xml:space="preserve"> en</w:t>
      </w:r>
      <w:r w:rsidR="0089449F" w:rsidRPr="00D351A9">
        <w:rPr>
          <w:rFonts w:ascii="Bookman Old Style" w:hAnsi="Bookman Old Style" w:cs="Arial"/>
          <w:bCs/>
          <w:color w:val="000000"/>
          <w:szCs w:val="27"/>
        </w:rPr>
        <w:t xml:space="preserve"> lo siguiente.</w:t>
      </w:r>
    </w:p>
    <w:p w14:paraId="671F5D30" w14:textId="77777777" w:rsidR="009C777D" w:rsidRPr="00D351A9" w:rsidRDefault="009C777D" w:rsidP="00DA5C1D">
      <w:pPr>
        <w:ind w:left="0"/>
        <w:jc w:val="both"/>
        <w:rPr>
          <w:rFonts w:ascii="Bookman Old Style" w:hAnsi="Bookman Old Style" w:cs="Arial"/>
          <w:bCs/>
          <w:color w:val="000000"/>
          <w:sz w:val="22"/>
          <w:szCs w:val="22"/>
        </w:rPr>
      </w:pPr>
    </w:p>
    <w:p w14:paraId="3946F027" w14:textId="255C4CFD" w:rsidR="009C777D" w:rsidRPr="00D351A9" w:rsidRDefault="009C777D" w:rsidP="009C777D">
      <w:pPr>
        <w:pStyle w:val="Prrafodelista"/>
        <w:ind w:left="0"/>
        <w:contextualSpacing/>
        <w:jc w:val="both"/>
        <w:rPr>
          <w:rFonts w:ascii="Bookman Old Style" w:hAnsi="Bookman Old Style" w:cs="Arial"/>
          <w:bCs/>
          <w:color w:val="000000"/>
          <w:sz w:val="24"/>
          <w:szCs w:val="27"/>
        </w:rPr>
      </w:pPr>
      <w:r w:rsidRPr="00D351A9">
        <w:rPr>
          <w:rFonts w:ascii="Bookman Old Style" w:hAnsi="Bookman Old Style" w:cs="Arial"/>
          <w:bCs/>
          <w:color w:val="000000"/>
          <w:sz w:val="24"/>
          <w:szCs w:val="27"/>
        </w:rPr>
        <w:t>El artículo 334</w:t>
      </w:r>
      <w:r w:rsidR="0011700C" w:rsidRPr="00D351A9">
        <w:rPr>
          <w:rFonts w:ascii="Bookman Old Style" w:hAnsi="Bookman Old Style" w:cs="Arial"/>
          <w:bCs/>
          <w:color w:val="000000"/>
          <w:sz w:val="24"/>
          <w:szCs w:val="27"/>
        </w:rPr>
        <w:t xml:space="preserve"> de la Constitución Política </w:t>
      </w:r>
      <w:r w:rsidRPr="00D351A9">
        <w:rPr>
          <w:rFonts w:ascii="Bookman Old Style" w:hAnsi="Bookman Old Style" w:cs="Arial"/>
          <w:bCs/>
          <w:color w:val="000000"/>
          <w:sz w:val="24"/>
          <w:szCs w:val="27"/>
        </w:rPr>
        <w:t xml:space="preserve">señala que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 y la preservación de un ambiente sano. </w:t>
      </w:r>
    </w:p>
    <w:p w14:paraId="7177C95A" w14:textId="77777777" w:rsidR="009C777D" w:rsidRPr="00D351A9" w:rsidRDefault="009C777D" w:rsidP="00DA5C1D">
      <w:pPr>
        <w:ind w:left="0"/>
        <w:rPr>
          <w:rFonts w:ascii="Bookman Old Style" w:hAnsi="Bookman Old Style" w:cs="Arial"/>
          <w:bCs/>
          <w:color w:val="000000"/>
          <w:sz w:val="22"/>
          <w:szCs w:val="22"/>
        </w:rPr>
      </w:pPr>
    </w:p>
    <w:p w14:paraId="1B7482F3" w14:textId="77777777" w:rsidR="009C777D" w:rsidRPr="00D351A9" w:rsidRDefault="009C777D" w:rsidP="009C777D">
      <w:pPr>
        <w:pStyle w:val="Prrafodelista"/>
        <w:ind w:left="0"/>
        <w:contextualSpacing/>
        <w:jc w:val="both"/>
        <w:rPr>
          <w:rFonts w:ascii="Bookman Old Style" w:hAnsi="Bookman Old Style" w:cs="Arial"/>
          <w:color w:val="222222"/>
          <w:sz w:val="19"/>
          <w:szCs w:val="19"/>
        </w:rPr>
      </w:pPr>
      <w:r w:rsidRPr="00D351A9">
        <w:rPr>
          <w:rFonts w:ascii="Bookman Old Style" w:hAnsi="Bookman Old Style" w:cs="Arial"/>
          <w:bCs/>
          <w:color w:val="000000"/>
          <w:sz w:val="24"/>
          <w:szCs w:val="27"/>
        </w:rPr>
        <w:t>El artículo 365</w:t>
      </w:r>
      <w:r w:rsidR="0011700C" w:rsidRPr="00D351A9">
        <w:rPr>
          <w:rFonts w:ascii="Bookman Old Style" w:hAnsi="Bookman Old Style" w:cs="Arial"/>
          <w:bCs/>
          <w:color w:val="000000"/>
          <w:sz w:val="24"/>
          <w:szCs w:val="27"/>
        </w:rPr>
        <w:t xml:space="preserve"> de la Constitución Política </w:t>
      </w:r>
      <w:r w:rsidRPr="00D351A9">
        <w:rPr>
          <w:rFonts w:ascii="Bookman Old Style" w:hAnsi="Bookman Old Style" w:cs="Arial"/>
          <w:bCs/>
          <w:color w:val="000000"/>
          <w:sz w:val="24"/>
          <w:szCs w:val="27"/>
        </w:rPr>
        <w:t>establece que los servicios públicos son inherentes a la finalidad social del Estado y es deber de este asegurar su prestación eficiente a todos los habitantes del territorio nacional, toda vez que es un derecho colectivo que se garantiza con el fin de lograr un nivel de vida adecuado para el desarrollo de las personas y de las comunidades.</w:t>
      </w:r>
    </w:p>
    <w:p w14:paraId="5FD0647D" w14:textId="77777777" w:rsidR="009C777D" w:rsidRPr="00D351A9" w:rsidRDefault="009C777D" w:rsidP="00DA5C1D">
      <w:pPr>
        <w:ind w:left="0"/>
        <w:jc w:val="both"/>
        <w:rPr>
          <w:rFonts w:ascii="Bookman Old Style" w:hAnsi="Bookman Old Style" w:cs="Arial"/>
          <w:bCs/>
          <w:color w:val="000000"/>
          <w:sz w:val="22"/>
          <w:szCs w:val="22"/>
        </w:rPr>
      </w:pPr>
    </w:p>
    <w:p w14:paraId="58AC02CC" w14:textId="5D63B451" w:rsidR="002376BE" w:rsidRPr="00D351A9" w:rsidRDefault="002376BE" w:rsidP="002376BE">
      <w:pPr>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Por su parte la Ley 142 de 1994 encargó a la Comisión de Regulación de Energía y Gas</w:t>
      </w:r>
      <w:r w:rsidR="00391ED9" w:rsidRPr="00D351A9">
        <w:rPr>
          <w:rFonts w:ascii="Bookman Old Style" w:hAnsi="Bookman Old Style" w:cs="Arial"/>
          <w:bCs/>
          <w:color w:val="000000"/>
          <w:szCs w:val="27"/>
          <w:lang w:val="es-CO"/>
        </w:rPr>
        <w:t>,</w:t>
      </w:r>
      <w:r w:rsidRPr="00D351A9">
        <w:rPr>
          <w:rFonts w:ascii="Bookman Old Style" w:hAnsi="Bookman Old Style" w:cs="Arial"/>
          <w:bCs/>
          <w:color w:val="000000"/>
          <w:szCs w:val="27"/>
          <w:lang w:val="es-CO"/>
        </w:rPr>
        <w:t xml:space="preserve"> </w:t>
      </w:r>
      <w:r w:rsidR="004923B0" w:rsidRPr="00D351A9">
        <w:rPr>
          <w:rFonts w:ascii="Bookman Old Style" w:hAnsi="Bookman Old Style" w:cs="Arial"/>
          <w:bCs/>
          <w:color w:val="000000"/>
          <w:szCs w:val="27"/>
          <w:lang w:val="es-CO"/>
        </w:rPr>
        <w:t>CREG</w:t>
      </w:r>
      <w:r w:rsidRPr="00D351A9">
        <w:rPr>
          <w:rFonts w:ascii="Bookman Old Style" w:hAnsi="Bookman Old Style" w:cs="Arial"/>
          <w:bCs/>
          <w:color w:val="000000"/>
          <w:szCs w:val="27"/>
          <w:lang w:val="es-CO"/>
        </w:rPr>
        <w:t xml:space="preserve">, la regulación económica de las actividades del servicio público domiciliario de </w:t>
      </w:r>
      <w:r w:rsidR="00B31078" w:rsidRPr="00D351A9">
        <w:rPr>
          <w:rFonts w:ascii="Bookman Old Style" w:hAnsi="Bookman Old Style" w:cs="Arial"/>
          <w:bCs/>
          <w:color w:val="000000"/>
          <w:szCs w:val="27"/>
          <w:lang w:val="es-CO"/>
        </w:rPr>
        <w:t>energía eléctrica</w:t>
      </w:r>
      <w:r w:rsidRPr="00D351A9">
        <w:rPr>
          <w:rFonts w:ascii="Bookman Old Style" w:hAnsi="Bookman Old Style" w:cs="Arial"/>
          <w:bCs/>
          <w:color w:val="000000"/>
          <w:szCs w:val="27"/>
          <w:lang w:val="es-CO"/>
        </w:rPr>
        <w:t xml:space="preserve">, entre las que se consideran la </w:t>
      </w:r>
      <w:r w:rsidR="00B31078" w:rsidRPr="00D351A9">
        <w:rPr>
          <w:rFonts w:ascii="Bookman Old Style" w:hAnsi="Bookman Old Style" w:cs="Arial"/>
          <w:bCs/>
          <w:color w:val="000000"/>
          <w:szCs w:val="27"/>
          <w:lang w:val="es-CO"/>
        </w:rPr>
        <w:t xml:space="preserve">generación, la trasmisión, la </w:t>
      </w:r>
      <w:r w:rsidRPr="00D351A9">
        <w:rPr>
          <w:rFonts w:ascii="Bookman Old Style" w:hAnsi="Bookman Old Style" w:cs="Arial"/>
          <w:bCs/>
          <w:color w:val="000000"/>
          <w:szCs w:val="27"/>
          <w:lang w:val="es-CO"/>
        </w:rPr>
        <w:t>distribución y la comercialización.</w:t>
      </w:r>
    </w:p>
    <w:p w14:paraId="59F441D2" w14:textId="77777777" w:rsidR="00114B34" w:rsidRPr="00D351A9" w:rsidRDefault="00114B34" w:rsidP="002376BE">
      <w:pPr>
        <w:ind w:left="0"/>
        <w:jc w:val="both"/>
        <w:rPr>
          <w:rFonts w:ascii="Bookman Old Style" w:hAnsi="Bookman Old Style" w:cs="Arial"/>
          <w:bCs/>
          <w:color w:val="000000"/>
          <w:sz w:val="22"/>
          <w:szCs w:val="22"/>
          <w:lang w:val="es-CO"/>
        </w:rPr>
      </w:pPr>
    </w:p>
    <w:p w14:paraId="0A8DFCD8" w14:textId="34340F8D" w:rsidR="00114B34" w:rsidRPr="00D351A9" w:rsidRDefault="00114B34" w:rsidP="00114B34">
      <w:pPr>
        <w:pStyle w:val="Prrafodelista"/>
        <w:ind w:left="0"/>
        <w:contextualSpacing/>
        <w:jc w:val="both"/>
        <w:rPr>
          <w:rFonts w:ascii="Bookman Old Style" w:hAnsi="Bookman Old Style" w:cs="Arial"/>
          <w:bCs/>
          <w:color w:val="000000"/>
          <w:sz w:val="24"/>
          <w:szCs w:val="27"/>
        </w:rPr>
      </w:pPr>
      <w:r w:rsidRPr="00D351A9">
        <w:rPr>
          <w:rFonts w:ascii="Bookman Old Style" w:hAnsi="Bookman Old Style" w:cs="Arial"/>
          <w:bCs/>
          <w:color w:val="000000"/>
          <w:sz w:val="24"/>
          <w:szCs w:val="27"/>
        </w:rPr>
        <w:t xml:space="preserve">El numeral 2.4 del artículo 2 </w:t>
      </w:r>
      <w:r w:rsidR="00391ED9" w:rsidRPr="00D351A9">
        <w:rPr>
          <w:rFonts w:ascii="Bookman Old Style" w:hAnsi="Bookman Old Style" w:cs="Arial"/>
          <w:bCs/>
          <w:color w:val="000000"/>
          <w:sz w:val="24"/>
          <w:szCs w:val="27"/>
        </w:rPr>
        <w:t>de</w:t>
      </w:r>
      <w:r w:rsidRPr="00D351A9">
        <w:rPr>
          <w:rFonts w:ascii="Bookman Old Style" w:hAnsi="Bookman Old Style" w:cs="Arial"/>
          <w:bCs/>
          <w:color w:val="000000"/>
          <w:sz w:val="24"/>
          <w:szCs w:val="27"/>
        </w:rPr>
        <w:t xml:space="preserve"> la Ley 142 de 1994 establece que el Estado </w:t>
      </w:r>
      <w:r w:rsidR="001568E5" w:rsidRPr="00D351A9">
        <w:rPr>
          <w:rFonts w:ascii="Bookman Old Style" w:hAnsi="Bookman Old Style" w:cs="Arial"/>
          <w:bCs/>
          <w:color w:val="000000"/>
          <w:sz w:val="24"/>
          <w:szCs w:val="27"/>
        </w:rPr>
        <w:t>i</w:t>
      </w:r>
      <w:r w:rsidRPr="00D351A9">
        <w:rPr>
          <w:rFonts w:ascii="Bookman Old Style" w:hAnsi="Bookman Old Style" w:cs="Arial"/>
          <w:bCs/>
          <w:color w:val="000000"/>
          <w:sz w:val="24"/>
          <w:szCs w:val="27"/>
        </w:rPr>
        <w:t>ntervendrá con el fin de garantizar la prestación continua e ininterrumpida del servicio público de energía eléctrica que</w:t>
      </w:r>
      <w:r w:rsidR="0089449F" w:rsidRPr="00D351A9">
        <w:rPr>
          <w:rFonts w:ascii="Bookman Old Style" w:hAnsi="Bookman Old Style" w:cs="Arial"/>
          <w:bCs/>
          <w:color w:val="000000"/>
          <w:sz w:val="24"/>
          <w:szCs w:val="27"/>
        </w:rPr>
        <w:t>,</w:t>
      </w:r>
      <w:r w:rsidRPr="00D351A9">
        <w:rPr>
          <w:rFonts w:ascii="Bookman Old Style" w:hAnsi="Bookman Old Style" w:cs="Arial"/>
          <w:bCs/>
          <w:color w:val="000000"/>
          <w:sz w:val="24"/>
          <w:szCs w:val="27"/>
        </w:rPr>
        <w:t xml:space="preserve"> junto a sus actividades complemen</w:t>
      </w:r>
      <w:r w:rsidR="00391ED9" w:rsidRPr="00D351A9">
        <w:rPr>
          <w:rFonts w:ascii="Bookman Old Style" w:hAnsi="Bookman Old Style" w:cs="Arial"/>
          <w:bCs/>
          <w:color w:val="000000"/>
          <w:sz w:val="24"/>
          <w:szCs w:val="27"/>
        </w:rPr>
        <w:softHyphen/>
      </w:r>
      <w:r w:rsidRPr="00D351A9">
        <w:rPr>
          <w:rFonts w:ascii="Bookman Old Style" w:hAnsi="Bookman Old Style" w:cs="Arial"/>
          <w:bCs/>
          <w:color w:val="000000"/>
          <w:sz w:val="24"/>
          <w:szCs w:val="27"/>
        </w:rPr>
        <w:t xml:space="preserve">tarias, constituyen servicios públicos esenciales en atención a los artículos 4 y 14 de la </w:t>
      </w:r>
      <w:r w:rsidR="00B31078" w:rsidRPr="00D351A9">
        <w:rPr>
          <w:rFonts w:ascii="Bookman Old Style" w:hAnsi="Bookman Old Style" w:cs="Arial"/>
          <w:bCs/>
          <w:color w:val="000000"/>
          <w:sz w:val="24"/>
          <w:szCs w:val="27"/>
        </w:rPr>
        <w:t>misma ley</w:t>
      </w:r>
      <w:r w:rsidRPr="00D351A9">
        <w:rPr>
          <w:rFonts w:ascii="Bookman Old Style" w:hAnsi="Bookman Old Style" w:cs="Arial"/>
          <w:bCs/>
          <w:color w:val="000000"/>
          <w:sz w:val="24"/>
          <w:szCs w:val="27"/>
        </w:rPr>
        <w:t xml:space="preserve">. </w:t>
      </w:r>
    </w:p>
    <w:p w14:paraId="04299EFF" w14:textId="77777777" w:rsidR="00114B34" w:rsidRPr="00D351A9" w:rsidRDefault="00114B34" w:rsidP="00114B34">
      <w:pPr>
        <w:pStyle w:val="Prrafodelista"/>
        <w:ind w:left="360"/>
        <w:jc w:val="both"/>
        <w:rPr>
          <w:rFonts w:ascii="Bookman Old Style" w:hAnsi="Bookman Old Style" w:cs="Arial"/>
          <w:bCs/>
          <w:color w:val="000000"/>
          <w:sz w:val="22"/>
          <w:szCs w:val="22"/>
        </w:rPr>
      </w:pPr>
    </w:p>
    <w:p w14:paraId="4BC55CC6" w14:textId="77777777" w:rsidR="00114B34" w:rsidRPr="00D351A9" w:rsidRDefault="00114B34" w:rsidP="00114B34">
      <w:pPr>
        <w:pStyle w:val="Prrafodelista"/>
        <w:ind w:left="0"/>
        <w:jc w:val="both"/>
        <w:rPr>
          <w:rFonts w:ascii="Bookman Old Style" w:hAnsi="Bookman Old Style" w:cs="Arial"/>
          <w:bCs/>
          <w:color w:val="000000"/>
          <w:sz w:val="24"/>
          <w:szCs w:val="27"/>
        </w:rPr>
      </w:pPr>
      <w:r w:rsidRPr="00D351A9">
        <w:rPr>
          <w:rFonts w:ascii="Bookman Old Style" w:hAnsi="Bookman Old Style" w:cs="Arial"/>
          <w:bCs/>
          <w:color w:val="000000"/>
          <w:sz w:val="24"/>
          <w:szCs w:val="27"/>
        </w:rPr>
        <w:t xml:space="preserve">Lo anterior, porque </w:t>
      </w:r>
      <w:r w:rsidR="00B31078" w:rsidRPr="00D351A9">
        <w:rPr>
          <w:rFonts w:ascii="Bookman Old Style" w:hAnsi="Bookman Old Style" w:cs="Arial"/>
          <w:bCs/>
          <w:color w:val="000000"/>
          <w:sz w:val="24"/>
          <w:szCs w:val="27"/>
        </w:rPr>
        <w:t xml:space="preserve">los </w:t>
      </w:r>
      <w:r w:rsidRPr="00D351A9">
        <w:rPr>
          <w:rFonts w:ascii="Bookman Old Style" w:hAnsi="Bookman Old Style" w:cs="Arial"/>
          <w:bCs/>
          <w:color w:val="000000"/>
          <w:sz w:val="24"/>
          <w:szCs w:val="27"/>
        </w:rPr>
        <w:t>servicios se orientan a satisfacer necesidades básicas esenciales de las personas, puesto que existe un vínculo inescindible entre la prestación de los mismos y la efectividad de ciertas garantías y derechos constitucionales fundamentales de las personas, como la vida, la integridad personal, la salud, etc. de conformidad con la Sentencia C-265 de 1994, proferida por la Honorable Corte Constitucional.</w:t>
      </w:r>
    </w:p>
    <w:p w14:paraId="6D850459" w14:textId="77777777" w:rsidR="00FB74EC" w:rsidRPr="00D351A9" w:rsidRDefault="00FB74EC" w:rsidP="00114B34">
      <w:pPr>
        <w:pStyle w:val="Prrafodelista"/>
        <w:ind w:left="0"/>
        <w:contextualSpacing/>
        <w:jc w:val="both"/>
        <w:rPr>
          <w:rFonts w:ascii="Bookman Old Style" w:hAnsi="Bookman Old Style" w:cs="Arial"/>
          <w:bCs/>
          <w:color w:val="000000"/>
          <w:sz w:val="24"/>
          <w:szCs w:val="27"/>
        </w:rPr>
      </w:pPr>
    </w:p>
    <w:p w14:paraId="2304C42B" w14:textId="66FBA13D" w:rsidR="00114B34" w:rsidRPr="00D351A9" w:rsidRDefault="00114B34" w:rsidP="00114B34">
      <w:pPr>
        <w:pStyle w:val="Prrafodelista"/>
        <w:ind w:left="0"/>
        <w:contextualSpacing/>
        <w:jc w:val="both"/>
        <w:rPr>
          <w:rFonts w:ascii="Bookman Old Style" w:hAnsi="Bookman Old Style" w:cs="Arial"/>
          <w:bCs/>
          <w:color w:val="000000"/>
          <w:sz w:val="24"/>
          <w:szCs w:val="27"/>
        </w:rPr>
      </w:pPr>
      <w:r w:rsidRPr="00D351A9">
        <w:rPr>
          <w:rFonts w:ascii="Bookman Old Style" w:hAnsi="Bookman Old Style" w:cs="Arial"/>
          <w:bCs/>
          <w:color w:val="000000"/>
          <w:sz w:val="24"/>
          <w:szCs w:val="27"/>
        </w:rPr>
        <w:t>El artículo 3 de la Ley 142 de 1994 dispone que constituyen instrumentos para la intervención estatal en los servicios públicos, todas las atribuciones y funciones asignadas a las entidades, autoridades y organismos de que trata dicha ley, en lo relativo con la gestión y obtención de recursos para su prestación y en la definición del régimen tarifario, así como la regulación de la prestación de los servicios públicos.</w:t>
      </w:r>
    </w:p>
    <w:p w14:paraId="08E66696" w14:textId="7013C333" w:rsidR="00243903" w:rsidRPr="00D351A9" w:rsidRDefault="00243903" w:rsidP="00CE49A2">
      <w:pPr>
        <w:spacing w:before="100" w:beforeAutospacing="1" w:after="100" w:afterAutospacing="1"/>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Por su parte</w:t>
      </w:r>
      <w:r w:rsidR="00391ED9" w:rsidRPr="00D351A9">
        <w:rPr>
          <w:rFonts w:ascii="Bookman Old Style" w:hAnsi="Bookman Old Style" w:cs="Arial"/>
          <w:bCs/>
          <w:color w:val="000000"/>
          <w:szCs w:val="27"/>
          <w:lang w:val="es-CO"/>
        </w:rPr>
        <w:t>,</w:t>
      </w:r>
      <w:r w:rsidRPr="00D351A9">
        <w:rPr>
          <w:rFonts w:ascii="Bookman Old Style" w:hAnsi="Bookman Old Style" w:cs="Arial"/>
          <w:bCs/>
          <w:color w:val="000000"/>
          <w:szCs w:val="27"/>
          <w:lang w:val="es-CO"/>
        </w:rPr>
        <w:t xml:space="preserve"> en la Ley 143 de 1994 se establece </w:t>
      </w:r>
      <w:r w:rsidR="00CE49A2" w:rsidRPr="00D351A9">
        <w:rPr>
          <w:rFonts w:ascii="Bookman Old Style" w:hAnsi="Bookman Old Style" w:cs="Arial"/>
          <w:bCs/>
          <w:color w:val="000000"/>
          <w:szCs w:val="27"/>
          <w:lang w:val="es-CO"/>
        </w:rPr>
        <w:t>que</w:t>
      </w:r>
      <w:r w:rsidR="005E283E" w:rsidRPr="00D351A9">
        <w:rPr>
          <w:rFonts w:ascii="Bookman Old Style" w:hAnsi="Bookman Old Style" w:cs="Arial"/>
          <w:bCs/>
          <w:color w:val="000000"/>
          <w:szCs w:val="27"/>
          <w:lang w:val="es-CO"/>
        </w:rPr>
        <w:t>,</w:t>
      </w:r>
      <w:r w:rsidR="00CE49A2" w:rsidRPr="00D351A9">
        <w:rPr>
          <w:rFonts w:ascii="Bookman Old Style" w:hAnsi="Bookman Old Style" w:cs="Arial"/>
          <w:bCs/>
          <w:color w:val="000000"/>
          <w:szCs w:val="27"/>
          <w:lang w:val="es-CO"/>
        </w:rPr>
        <w:t xml:space="preserve"> en relación con el servicio de electricidad</w:t>
      </w:r>
      <w:r w:rsidR="005E283E" w:rsidRPr="00D351A9">
        <w:rPr>
          <w:rFonts w:ascii="Bookman Old Style" w:hAnsi="Bookman Old Style" w:cs="Arial"/>
          <w:bCs/>
          <w:color w:val="000000"/>
          <w:szCs w:val="27"/>
          <w:lang w:val="es-CO"/>
        </w:rPr>
        <w:t>,</w:t>
      </w:r>
      <w:r w:rsidR="00CE49A2" w:rsidRPr="00D351A9">
        <w:rPr>
          <w:rFonts w:ascii="Bookman Old Style" w:hAnsi="Bookman Old Style" w:cs="Arial"/>
          <w:bCs/>
          <w:color w:val="000000"/>
          <w:szCs w:val="27"/>
          <w:lang w:val="es-CO"/>
        </w:rPr>
        <w:t xml:space="preserve"> </w:t>
      </w:r>
      <w:r w:rsidR="00A13C73" w:rsidRPr="00D351A9">
        <w:rPr>
          <w:rFonts w:ascii="Bookman Old Style" w:hAnsi="Bookman Old Style" w:cs="Arial"/>
          <w:bCs/>
          <w:color w:val="000000"/>
          <w:szCs w:val="27"/>
          <w:lang w:val="es-CO"/>
        </w:rPr>
        <w:t>e</w:t>
      </w:r>
      <w:r w:rsidRPr="00D351A9">
        <w:rPr>
          <w:rFonts w:ascii="Bookman Old Style" w:hAnsi="Bookman Old Style" w:cs="Arial"/>
          <w:bCs/>
          <w:color w:val="000000"/>
          <w:szCs w:val="27"/>
          <w:lang w:val="es-CO"/>
        </w:rPr>
        <w:t xml:space="preserve">l Estado </w:t>
      </w:r>
      <w:r w:rsidR="00CE49A2" w:rsidRPr="00D351A9">
        <w:rPr>
          <w:rFonts w:ascii="Bookman Old Style" w:hAnsi="Bookman Old Style" w:cs="Arial"/>
          <w:bCs/>
          <w:color w:val="000000"/>
          <w:szCs w:val="27"/>
          <w:lang w:val="es-CO"/>
        </w:rPr>
        <w:t xml:space="preserve">deberá </w:t>
      </w:r>
      <w:r w:rsidR="00A13C73" w:rsidRPr="00D351A9">
        <w:rPr>
          <w:rFonts w:ascii="Bookman Old Style" w:hAnsi="Bookman Old Style" w:cs="Arial"/>
          <w:bCs/>
          <w:color w:val="000000"/>
          <w:szCs w:val="27"/>
          <w:lang w:val="es-CO"/>
        </w:rPr>
        <w:t xml:space="preserve">tener objetivos relacionados con </w:t>
      </w:r>
      <w:r w:rsidR="00CE49A2" w:rsidRPr="00D351A9">
        <w:rPr>
          <w:rFonts w:ascii="Bookman Old Style" w:hAnsi="Bookman Old Style" w:cs="Arial"/>
          <w:bCs/>
          <w:color w:val="000000"/>
          <w:szCs w:val="27"/>
          <w:lang w:val="es-CO"/>
        </w:rPr>
        <w:t>abastec</w:t>
      </w:r>
      <w:r w:rsidR="00A13C73" w:rsidRPr="00D351A9">
        <w:rPr>
          <w:rFonts w:ascii="Bookman Old Style" w:hAnsi="Bookman Old Style" w:cs="Arial"/>
          <w:bCs/>
          <w:color w:val="000000"/>
          <w:szCs w:val="27"/>
          <w:lang w:val="es-CO"/>
        </w:rPr>
        <w:t>er</w:t>
      </w:r>
      <w:r w:rsidR="00CE49A2" w:rsidRPr="00D351A9">
        <w:rPr>
          <w:rFonts w:ascii="Bookman Old Style" w:hAnsi="Bookman Old Style" w:cs="Arial"/>
          <w:bCs/>
          <w:color w:val="000000"/>
          <w:szCs w:val="27"/>
          <w:lang w:val="es-CO"/>
        </w:rPr>
        <w:t xml:space="preserve"> la demanda </w:t>
      </w:r>
      <w:r w:rsidRPr="00D351A9">
        <w:rPr>
          <w:rFonts w:ascii="Bookman Old Style" w:hAnsi="Bookman Old Style" w:cs="Arial"/>
          <w:bCs/>
          <w:color w:val="000000"/>
          <w:szCs w:val="27"/>
          <w:lang w:val="es-CO"/>
        </w:rPr>
        <w:t>de electricidad bajo criterios económicos y de viabilidad financiera, asegurando su cubrimiento en un marco de uso racional y eficiente de los diferentes recursos energéticos del país</w:t>
      </w:r>
      <w:r w:rsidR="00A13C73" w:rsidRPr="00D351A9">
        <w:rPr>
          <w:rFonts w:ascii="Bookman Old Style" w:hAnsi="Bookman Old Style" w:cs="Arial"/>
          <w:bCs/>
          <w:color w:val="000000"/>
          <w:szCs w:val="27"/>
          <w:lang w:val="es-CO"/>
        </w:rPr>
        <w:t xml:space="preserve">; </w:t>
      </w:r>
      <w:r w:rsidR="00CE49A2" w:rsidRPr="00D351A9">
        <w:rPr>
          <w:rFonts w:ascii="Bookman Old Style" w:hAnsi="Bookman Old Style" w:cs="Arial"/>
          <w:bCs/>
          <w:color w:val="000000"/>
          <w:szCs w:val="27"/>
          <w:lang w:val="es-CO"/>
        </w:rPr>
        <w:t>a</w:t>
      </w:r>
      <w:r w:rsidRPr="00D351A9">
        <w:rPr>
          <w:rFonts w:ascii="Bookman Old Style" w:hAnsi="Bookman Old Style" w:cs="Arial"/>
          <w:bCs/>
          <w:color w:val="000000"/>
          <w:szCs w:val="27"/>
          <w:lang w:val="es-CO"/>
        </w:rPr>
        <w:t>segurar una operación eficiente, segura y confiable en las actividades del sector</w:t>
      </w:r>
      <w:r w:rsidR="00A13C73" w:rsidRPr="00D351A9">
        <w:rPr>
          <w:rFonts w:ascii="Bookman Old Style" w:hAnsi="Bookman Old Style" w:cs="Arial"/>
          <w:bCs/>
          <w:color w:val="000000"/>
          <w:szCs w:val="27"/>
          <w:lang w:val="es-CO"/>
        </w:rPr>
        <w:t>;</w:t>
      </w:r>
      <w:r w:rsidR="00CE49A2" w:rsidRPr="00D351A9">
        <w:rPr>
          <w:rFonts w:ascii="Bookman Old Style" w:hAnsi="Bookman Old Style" w:cs="Arial"/>
          <w:bCs/>
          <w:color w:val="000000"/>
          <w:szCs w:val="27"/>
          <w:lang w:val="es-CO"/>
        </w:rPr>
        <w:t xml:space="preserve"> y </w:t>
      </w:r>
      <w:r w:rsidR="00A13C73" w:rsidRPr="00D351A9">
        <w:rPr>
          <w:rFonts w:ascii="Bookman Old Style" w:hAnsi="Bookman Old Style" w:cs="Arial"/>
          <w:bCs/>
          <w:color w:val="000000"/>
          <w:szCs w:val="27"/>
          <w:lang w:val="es-CO"/>
        </w:rPr>
        <w:t xml:space="preserve">que el </w:t>
      </w:r>
      <w:r w:rsidR="00CE49A2" w:rsidRPr="00D351A9">
        <w:rPr>
          <w:rFonts w:ascii="Bookman Old Style" w:hAnsi="Bookman Old Style" w:cs="Arial"/>
          <w:bCs/>
          <w:color w:val="000000"/>
          <w:szCs w:val="27"/>
          <w:lang w:val="es-CO"/>
        </w:rPr>
        <w:t xml:space="preserve">mantenimiento y </w:t>
      </w:r>
      <w:r w:rsidR="00A13C73" w:rsidRPr="00D351A9">
        <w:rPr>
          <w:rFonts w:ascii="Bookman Old Style" w:hAnsi="Bookman Old Style" w:cs="Arial"/>
          <w:bCs/>
          <w:color w:val="000000"/>
          <w:szCs w:val="27"/>
          <w:lang w:val="es-CO"/>
        </w:rPr>
        <w:t xml:space="preserve">la </w:t>
      </w:r>
      <w:r w:rsidR="00CE49A2" w:rsidRPr="00D351A9">
        <w:rPr>
          <w:rFonts w:ascii="Bookman Old Style" w:hAnsi="Bookman Old Style" w:cs="Arial"/>
          <w:bCs/>
          <w:color w:val="000000"/>
          <w:szCs w:val="27"/>
          <w:lang w:val="es-CO"/>
        </w:rPr>
        <w:t xml:space="preserve">operación de </w:t>
      </w:r>
      <w:r w:rsidR="00A13C73" w:rsidRPr="00D351A9">
        <w:rPr>
          <w:rFonts w:ascii="Bookman Old Style" w:hAnsi="Bookman Old Style" w:cs="Arial"/>
          <w:bCs/>
          <w:color w:val="000000"/>
          <w:szCs w:val="27"/>
          <w:lang w:val="es-CO"/>
        </w:rPr>
        <w:t xml:space="preserve">las </w:t>
      </w:r>
      <w:r w:rsidRPr="00D351A9">
        <w:rPr>
          <w:rFonts w:ascii="Bookman Old Style" w:hAnsi="Bookman Old Style" w:cs="Arial"/>
          <w:bCs/>
          <w:color w:val="000000"/>
          <w:szCs w:val="27"/>
          <w:lang w:val="es-CO"/>
        </w:rPr>
        <w:t xml:space="preserve">instalaciones </w:t>
      </w:r>
      <w:r w:rsidR="00A13C73" w:rsidRPr="00D351A9">
        <w:rPr>
          <w:rFonts w:ascii="Bookman Old Style" w:hAnsi="Bookman Old Style" w:cs="Arial"/>
          <w:bCs/>
          <w:color w:val="000000"/>
          <w:szCs w:val="27"/>
          <w:lang w:val="es-CO"/>
        </w:rPr>
        <w:t xml:space="preserve">preserven </w:t>
      </w:r>
      <w:r w:rsidRPr="00D351A9">
        <w:rPr>
          <w:rFonts w:ascii="Bookman Old Style" w:hAnsi="Bookman Old Style" w:cs="Arial"/>
          <w:bCs/>
          <w:color w:val="000000"/>
          <w:szCs w:val="27"/>
          <w:lang w:val="es-CO"/>
        </w:rPr>
        <w:t xml:space="preserve">la integridad de las personas, de los bienes y del medio ambiente y </w:t>
      </w:r>
      <w:r w:rsidR="00A13C73" w:rsidRPr="00D351A9">
        <w:rPr>
          <w:rFonts w:ascii="Bookman Old Style" w:hAnsi="Bookman Old Style" w:cs="Arial"/>
          <w:bCs/>
          <w:color w:val="000000"/>
          <w:szCs w:val="27"/>
          <w:lang w:val="es-CO"/>
        </w:rPr>
        <w:t xml:space="preserve">mantengan </w:t>
      </w:r>
      <w:r w:rsidRPr="00D351A9">
        <w:rPr>
          <w:rFonts w:ascii="Bookman Old Style" w:hAnsi="Bookman Old Style" w:cs="Arial"/>
          <w:bCs/>
          <w:color w:val="000000"/>
          <w:szCs w:val="27"/>
          <w:lang w:val="es-CO"/>
        </w:rPr>
        <w:t>los niveles de calidad y seguridad establecidos.</w:t>
      </w:r>
    </w:p>
    <w:p w14:paraId="09FA4E7B" w14:textId="77777777" w:rsidR="00243903" w:rsidRPr="00D351A9" w:rsidRDefault="00CE49A2" w:rsidP="00243903">
      <w:pPr>
        <w:spacing w:before="100" w:beforeAutospacing="1" w:after="100" w:afterAutospacing="1"/>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Así mismo, s</w:t>
      </w:r>
      <w:r w:rsidR="00243903" w:rsidRPr="00D351A9">
        <w:rPr>
          <w:rFonts w:ascii="Bookman Old Style" w:hAnsi="Bookman Old Style" w:cs="Arial"/>
          <w:bCs/>
          <w:color w:val="000000"/>
          <w:szCs w:val="27"/>
          <w:lang w:val="es-CO"/>
        </w:rPr>
        <w:t>i los diversos agentes económicos desean participar en las actividades de electricidad, deben sujetarse al cumplimiento de los anteriores objetivos.</w:t>
      </w:r>
    </w:p>
    <w:p w14:paraId="62A16AD2" w14:textId="77777777" w:rsidR="00243903" w:rsidRPr="00D351A9" w:rsidRDefault="00243903" w:rsidP="00243903">
      <w:pPr>
        <w:spacing w:before="100" w:beforeAutospacing="1" w:after="100" w:afterAutospacing="1"/>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 xml:space="preserve">La generación, interconexión, transmisión, distribución y comercialización de electricidad </w:t>
      </w:r>
      <w:r w:rsidR="00CE49A2" w:rsidRPr="00D351A9">
        <w:rPr>
          <w:rFonts w:ascii="Bookman Old Style" w:hAnsi="Bookman Old Style" w:cs="Arial"/>
          <w:bCs/>
          <w:color w:val="000000"/>
          <w:szCs w:val="27"/>
          <w:lang w:val="es-CO"/>
        </w:rPr>
        <w:t>deben estar d</w:t>
      </w:r>
      <w:r w:rsidRPr="00D351A9">
        <w:rPr>
          <w:rFonts w:ascii="Bookman Old Style" w:hAnsi="Bookman Old Style" w:cs="Arial"/>
          <w:bCs/>
          <w:color w:val="000000"/>
          <w:szCs w:val="27"/>
          <w:lang w:val="es-CO"/>
        </w:rPr>
        <w:t>estinad</w:t>
      </w:r>
      <w:r w:rsidR="00CE49A2" w:rsidRPr="00D351A9">
        <w:rPr>
          <w:rFonts w:ascii="Bookman Old Style" w:hAnsi="Bookman Old Style" w:cs="Arial"/>
          <w:bCs/>
          <w:color w:val="000000"/>
          <w:szCs w:val="27"/>
          <w:lang w:val="es-CO"/>
        </w:rPr>
        <w:t>o</w:t>
      </w:r>
      <w:r w:rsidRPr="00D351A9">
        <w:rPr>
          <w:rFonts w:ascii="Bookman Old Style" w:hAnsi="Bookman Old Style" w:cs="Arial"/>
          <w:bCs/>
          <w:color w:val="000000"/>
          <w:szCs w:val="27"/>
          <w:lang w:val="es-CO"/>
        </w:rPr>
        <w:t>s a satisfacer necesidades colectivas primordiales en forma permanente</w:t>
      </w:r>
      <w:r w:rsidR="00CE49A2" w:rsidRPr="00D351A9">
        <w:rPr>
          <w:rFonts w:ascii="Bookman Old Style" w:hAnsi="Bookman Old Style" w:cs="Arial"/>
          <w:bCs/>
          <w:color w:val="000000"/>
          <w:szCs w:val="27"/>
          <w:lang w:val="es-CO"/>
        </w:rPr>
        <w:t>, al ser considerado</w:t>
      </w:r>
      <w:r w:rsidRPr="00D351A9">
        <w:rPr>
          <w:rFonts w:ascii="Bookman Old Style" w:hAnsi="Bookman Old Style" w:cs="Arial"/>
          <w:bCs/>
          <w:color w:val="000000"/>
          <w:szCs w:val="27"/>
          <w:lang w:val="es-CO"/>
        </w:rPr>
        <w:t>s servicios públicos de carácter esencial, obligatorio y solidario, y de utilidad pública.</w:t>
      </w:r>
    </w:p>
    <w:p w14:paraId="658BE596" w14:textId="77777777" w:rsidR="00243903" w:rsidRPr="00D351A9" w:rsidRDefault="00243903" w:rsidP="00243903">
      <w:pPr>
        <w:spacing w:before="100" w:beforeAutospacing="1" w:after="100" w:afterAutospacing="1"/>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Las actividades relacionadas con el servicio de electricidad se regirán por principios de eficiencia, calidad, continuidad, adaptabilidad, neutralidad, solidaridad y equidad.</w:t>
      </w:r>
    </w:p>
    <w:p w14:paraId="42F38987" w14:textId="77777777" w:rsidR="00243903" w:rsidRPr="00D351A9" w:rsidRDefault="00243903" w:rsidP="00243903">
      <w:pPr>
        <w:spacing w:before="100" w:beforeAutospacing="1" w:after="100" w:afterAutospacing="1"/>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El principio de eficiencia obliga a la correcta asignación y utilización de los recursos de tal forma que se garantice la prestación del servicio al menor costo económico.</w:t>
      </w:r>
    </w:p>
    <w:p w14:paraId="13EFD850" w14:textId="1380E227" w:rsidR="00F447B2" w:rsidRPr="00D351A9" w:rsidRDefault="00243903" w:rsidP="00243903">
      <w:pPr>
        <w:spacing w:before="100" w:beforeAutospacing="1" w:after="100" w:afterAutospacing="1"/>
        <w:ind w:left="0"/>
        <w:jc w:val="both"/>
        <w:rPr>
          <w:rFonts w:ascii="Bookman Old Style" w:hAnsi="Bookman Old Style" w:cs="Arial"/>
          <w:bCs/>
          <w:color w:val="000000"/>
          <w:szCs w:val="27"/>
          <w:lang w:val="es-CO"/>
        </w:rPr>
      </w:pPr>
      <w:r w:rsidRPr="00D351A9">
        <w:rPr>
          <w:rFonts w:ascii="Bookman Old Style" w:hAnsi="Bookman Old Style" w:cs="Arial"/>
          <w:bCs/>
          <w:color w:val="000000"/>
          <w:szCs w:val="27"/>
          <w:lang w:val="es-CO"/>
        </w:rPr>
        <w:t xml:space="preserve">En las actividades del sector podrán participar diferentes agentes económicos, </w:t>
      </w:r>
      <w:r w:rsidR="00CE49A2" w:rsidRPr="00D351A9">
        <w:rPr>
          <w:rFonts w:ascii="Bookman Old Style" w:hAnsi="Bookman Old Style" w:cs="Arial"/>
          <w:bCs/>
          <w:color w:val="000000"/>
          <w:szCs w:val="27"/>
          <w:lang w:val="es-CO"/>
        </w:rPr>
        <w:t xml:space="preserve">los cuales pueden tener el carácter de ser </w:t>
      </w:r>
      <w:r w:rsidRPr="00D351A9">
        <w:rPr>
          <w:rFonts w:ascii="Bookman Old Style" w:hAnsi="Bookman Old Style" w:cs="Arial"/>
          <w:bCs/>
          <w:color w:val="000000"/>
          <w:szCs w:val="27"/>
          <w:lang w:val="es-CO"/>
        </w:rPr>
        <w:t xml:space="preserve">públicos, privados o mixtos, </w:t>
      </w:r>
      <w:r w:rsidR="00CE49A2" w:rsidRPr="00D351A9">
        <w:rPr>
          <w:rFonts w:ascii="Bookman Old Style" w:hAnsi="Bookman Old Style" w:cs="Arial"/>
          <w:bCs/>
          <w:color w:val="000000"/>
          <w:szCs w:val="27"/>
          <w:lang w:val="es-CO"/>
        </w:rPr>
        <w:t xml:space="preserve">quienes </w:t>
      </w:r>
      <w:r w:rsidRPr="00D351A9">
        <w:rPr>
          <w:rFonts w:ascii="Bookman Old Style" w:hAnsi="Bookman Old Style" w:cs="Arial"/>
          <w:bCs/>
          <w:color w:val="000000"/>
          <w:szCs w:val="27"/>
          <w:lang w:val="es-CO"/>
        </w:rPr>
        <w:t>gozarán de libertad para desarrollar sus funciones en un contexto de libre competencia, de conformidad con los artículos 333, 334 y el inciso penúltimo del artículo 336 de la Constitución Nacional, y el artículo 3 de</w:t>
      </w:r>
      <w:r w:rsidR="004D4DE8" w:rsidRPr="00D351A9">
        <w:rPr>
          <w:rFonts w:ascii="Bookman Old Style" w:hAnsi="Bookman Old Style" w:cs="Arial"/>
          <w:bCs/>
          <w:color w:val="000000"/>
          <w:szCs w:val="27"/>
          <w:lang w:val="es-CO"/>
        </w:rPr>
        <w:t xml:space="preserve"> la Ley 143 de 1994. </w:t>
      </w:r>
    </w:p>
    <w:p w14:paraId="734A277D" w14:textId="77777777" w:rsidR="009C777D" w:rsidRPr="00D351A9" w:rsidRDefault="00083156" w:rsidP="00D351A9">
      <w:pPr>
        <w:pStyle w:val="Ttulo2"/>
      </w:pPr>
      <w:r w:rsidRPr="00D351A9">
        <w:t>B</w:t>
      </w:r>
      <w:r w:rsidR="002A2F79" w:rsidRPr="00D351A9">
        <w:t>.</w:t>
      </w:r>
      <w:r w:rsidR="00B10D17" w:rsidRPr="00D351A9">
        <w:tab/>
      </w:r>
      <w:r w:rsidR="009C777D" w:rsidRPr="00D351A9">
        <w:t>FRENTE A LOS CARGOS DEL PETICIONARIO</w:t>
      </w:r>
    </w:p>
    <w:p w14:paraId="7EDCEBD5" w14:textId="08020C54" w:rsidR="009C777D" w:rsidRPr="00D351A9" w:rsidRDefault="00083156" w:rsidP="009C777D">
      <w:pPr>
        <w:ind w:left="0"/>
        <w:jc w:val="both"/>
        <w:rPr>
          <w:rFonts w:ascii="Bookman Old Style" w:hAnsi="Bookman Old Style" w:cs="Arial"/>
          <w:lang w:val="es-CO"/>
        </w:rPr>
      </w:pPr>
      <w:r w:rsidRPr="00D351A9">
        <w:rPr>
          <w:rFonts w:ascii="Bookman Old Style" w:hAnsi="Bookman Old Style" w:cs="Arial"/>
          <w:lang w:val="es-CO"/>
        </w:rPr>
        <w:t>A continuación</w:t>
      </w:r>
      <w:r w:rsidR="00DF6673" w:rsidRPr="00D351A9">
        <w:rPr>
          <w:rFonts w:ascii="Bookman Old Style" w:hAnsi="Bookman Old Style" w:cs="Arial"/>
          <w:lang w:val="es-CO"/>
        </w:rPr>
        <w:t>,</w:t>
      </w:r>
      <w:r w:rsidRPr="00D351A9">
        <w:rPr>
          <w:rFonts w:ascii="Bookman Old Style" w:hAnsi="Bookman Old Style" w:cs="Arial"/>
          <w:lang w:val="es-CO"/>
        </w:rPr>
        <w:t xml:space="preserve"> </w:t>
      </w:r>
      <w:r w:rsidR="00B31078" w:rsidRPr="00D351A9">
        <w:rPr>
          <w:rFonts w:ascii="Bookman Old Style" w:hAnsi="Bookman Old Style" w:cs="Arial"/>
          <w:lang w:val="es-CO"/>
        </w:rPr>
        <w:t>se hace mención</w:t>
      </w:r>
      <w:r w:rsidR="009C777D" w:rsidRPr="00D351A9">
        <w:rPr>
          <w:rFonts w:ascii="Bookman Old Style" w:hAnsi="Bookman Old Style" w:cs="Arial"/>
          <w:lang w:val="es-CO"/>
        </w:rPr>
        <w:t xml:space="preserve"> de forma particular </w:t>
      </w:r>
      <w:r w:rsidR="00E06AFD" w:rsidRPr="00D351A9">
        <w:rPr>
          <w:rFonts w:ascii="Bookman Old Style" w:hAnsi="Bookman Old Style" w:cs="Arial"/>
          <w:lang w:val="es-CO"/>
        </w:rPr>
        <w:t>a</w:t>
      </w:r>
      <w:r w:rsidR="009C777D" w:rsidRPr="00D351A9">
        <w:rPr>
          <w:rFonts w:ascii="Bookman Old Style" w:hAnsi="Bookman Old Style" w:cs="Arial"/>
          <w:lang w:val="es-CO"/>
        </w:rPr>
        <w:t xml:space="preserve"> los cargos en los que el petic</w:t>
      </w:r>
      <w:r w:rsidR="005C5879" w:rsidRPr="00D351A9">
        <w:rPr>
          <w:rFonts w:ascii="Bookman Old Style" w:hAnsi="Bookman Old Style" w:cs="Arial"/>
          <w:lang w:val="es-CO"/>
        </w:rPr>
        <w:t xml:space="preserve">ionario soporta su solicitud </w:t>
      </w:r>
      <w:r w:rsidR="00837E14" w:rsidRPr="00D351A9">
        <w:rPr>
          <w:rFonts w:ascii="Bookman Old Style" w:hAnsi="Bookman Old Style" w:cs="Arial"/>
          <w:lang w:val="es-CO"/>
        </w:rPr>
        <w:t>de recurso contra</w:t>
      </w:r>
      <w:r w:rsidR="005C5879" w:rsidRPr="00D351A9">
        <w:rPr>
          <w:rFonts w:ascii="Bookman Old Style" w:hAnsi="Bookman Old Style" w:cs="Arial"/>
          <w:lang w:val="es-CO"/>
        </w:rPr>
        <w:t xml:space="preserve"> la </w:t>
      </w:r>
      <w:r w:rsidR="009C777D" w:rsidRPr="00D351A9">
        <w:rPr>
          <w:rFonts w:ascii="Bookman Old Style" w:hAnsi="Bookman Old Style" w:cs="Arial"/>
          <w:lang w:val="es-CO"/>
        </w:rPr>
        <w:t xml:space="preserve">Resolución </w:t>
      </w:r>
      <w:r w:rsidR="004923B0" w:rsidRPr="00D351A9">
        <w:rPr>
          <w:rFonts w:ascii="Bookman Old Style" w:hAnsi="Bookman Old Style" w:cs="Arial"/>
          <w:lang w:val="es-CO"/>
        </w:rPr>
        <w:t>CREG</w:t>
      </w:r>
      <w:r w:rsidR="009C777D" w:rsidRPr="00D351A9">
        <w:rPr>
          <w:rFonts w:ascii="Bookman Old Style" w:hAnsi="Bookman Old Style" w:cs="Arial"/>
          <w:lang w:val="es-CO"/>
        </w:rPr>
        <w:t xml:space="preserve"> </w:t>
      </w:r>
      <w:r w:rsidR="000575B1" w:rsidRPr="00D351A9">
        <w:rPr>
          <w:rFonts w:ascii="Bookman Old Style" w:hAnsi="Bookman Old Style" w:cs="Arial"/>
          <w:lang w:val="es-CO"/>
        </w:rPr>
        <w:t>023 de 2019</w:t>
      </w:r>
      <w:r w:rsidR="009C777D" w:rsidRPr="00D351A9">
        <w:rPr>
          <w:rFonts w:ascii="Bookman Old Style" w:hAnsi="Bookman Old Style" w:cs="Arial"/>
          <w:lang w:val="es-CO"/>
        </w:rPr>
        <w:t>, de la siguiente forma:</w:t>
      </w:r>
    </w:p>
    <w:p w14:paraId="3174CED8" w14:textId="77777777" w:rsidR="005C5879" w:rsidRPr="00235A6C" w:rsidRDefault="005C5879" w:rsidP="00A44B91">
      <w:pPr>
        <w:pStyle w:val="Ttulo3"/>
        <w:numPr>
          <w:ilvl w:val="0"/>
          <w:numId w:val="46"/>
        </w:numPr>
      </w:pPr>
      <w:r w:rsidRPr="00235A6C">
        <w:t xml:space="preserve">Indebida interpretación de la metodología de remuneración para las ampliaciones </w:t>
      </w:r>
    </w:p>
    <w:p w14:paraId="692FF1D5" w14:textId="77777777" w:rsidR="0055410D" w:rsidRPr="00D351A9" w:rsidRDefault="0055410D" w:rsidP="00E71A24">
      <w:pPr>
        <w:ind w:left="0"/>
        <w:jc w:val="both"/>
        <w:rPr>
          <w:rFonts w:ascii="Bookman Old Style" w:hAnsi="Bookman Old Style" w:cs="Arial"/>
          <w:lang w:val="es-CO"/>
        </w:rPr>
      </w:pPr>
      <w:r w:rsidRPr="00D351A9">
        <w:rPr>
          <w:rFonts w:ascii="Bookman Old Style" w:hAnsi="Bookman Old Style" w:cs="Arial"/>
          <w:lang w:val="es-CO"/>
        </w:rPr>
        <w:t>En el recurso se cita el artículo 21 de la Resolución CREG 011 de 2009 que establece lo siguiente:</w:t>
      </w:r>
    </w:p>
    <w:p w14:paraId="6F5D6F83" w14:textId="77777777" w:rsidR="0055410D" w:rsidRPr="00D351A9" w:rsidRDefault="0055410D" w:rsidP="0055410D">
      <w:pPr>
        <w:spacing w:before="120"/>
        <w:ind w:left="284" w:right="284"/>
        <w:jc w:val="both"/>
        <w:rPr>
          <w:rFonts w:ascii="Bookman Old Style" w:hAnsi="Bookman Old Style"/>
          <w:i/>
          <w:sz w:val="22"/>
          <w:szCs w:val="20"/>
        </w:rPr>
      </w:pPr>
      <w:r w:rsidRPr="00D351A9">
        <w:rPr>
          <w:rFonts w:ascii="Bookman Old Style" w:hAnsi="Bookman Old Style"/>
          <w:i/>
          <w:sz w:val="22"/>
          <w:szCs w:val="20"/>
        </w:rPr>
        <w:t>Artículo 21. Aplicación de los nuevos cargos. La metodología para calcular los cargos por uso del Sistema de Transmisión Nacional se empezará a aplicar a partir del mes calendario siguiente a la aprobación por parte de la CREG de la base de activos de cada TN.</w:t>
      </w:r>
    </w:p>
    <w:p w14:paraId="6E8BED72" w14:textId="77777777" w:rsidR="0055410D" w:rsidRPr="00D351A9" w:rsidRDefault="0055410D" w:rsidP="00E71A24">
      <w:pPr>
        <w:ind w:left="0"/>
        <w:jc w:val="both"/>
        <w:rPr>
          <w:rFonts w:ascii="Bookman Old Style" w:hAnsi="Bookman Old Style" w:cs="Arial"/>
          <w:lang w:val="es-CO"/>
        </w:rPr>
      </w:pPr>
    </w:p>
    <w:p w14:paraId="09212E2C" w14:textId="386CDA6D" w:rsidR="000144B1" w:rsidRPr="00D351A9" w:rsidRDefault="000144B1" w:rsidP="00E71A24">
      <w:pPr>
        <w:ind w:left="0"/>
        <w:jc w:val="both"/>
        <w:rPr>
          <w:rFonts w:ascii="Bookman Old Style" w:hAnsi="Bookman Old Style" w:cs="Arial"/>
          <w:lang w:val="es-CO"/>
        </w:rPr>
      </w:pPr>
      <w:r w:rsidRPr="00D351A9">
        <w:rPr>
          <w:rFonts w:ascii="Bookman Old Style" w:hAnsi="Bookman Old Style" w:cs="Arial"/>
          <w:lang w:val="es-CO"/>
        </w:rPr>
        <w:t>Con referencia a este artículo se afirma en el recurso que la CREG lo interpreta y aplica de manera errada</w:t>
      </w:r>
      <w:r w:rsidR="00404401" w:rsidRPr="00D351A9">
        <w:rPr>
          <w:rFonts w:ascii="Bookman Old Style" w:hAnsi="Bookman Old Style" w:cs="Arial"/>
          <w:lang w:val="es-CO"/>
        </w:rPr>
        <w:t>,</w:t>
      </w:r>
      <w:r w:rsidRPr="00D351A9">
        <w:rPr>
          <w:rFonts w:ascii="Bookman Old Style" w:hAnsi="Bookman Old Style" w:cs="Arial"/>
          <w:lang w:val="es-CO"/>
        </w:rPr>
        <w:t xml:space="preserve"> afirmando que </w:t>
      </w:r>
      <w:r w:rsidR="00CB6EEE" w:rsidRPr="00D351A9">
        <w:rPr>
          <w:rFonts w:ascii="Bookman Old Style" w:hAnsi="Bookman Old Style" w:cs="Arial"/>
          <w:lang w:val="es-CO"/>
        </w:rPr>
        <w:t xml:space="preserve">no es </w:t>
      </w:r>
      <w:r w:rsidRPr="00D351A9">
        <w:rPr>
          <w:rFonts w:ascii="Bookman Old Style" w:hAnsi="Bookman Old Style" w:cs="Arial"/>
          <w:lang w:val="es-CO"/>
        </w:rPr>
        <w:t xml:space="preserve">la aprobación de la CREG </w:t>
      </w:r>
      <w:r w:rsidR="00CB6EEE" w:rsidRPr="00D351A9">
        <w:rPr>
          <w:rFonts w:ascii="Bookman Old Style" w:hAnsi="Bookman Old Style" w:cs="Arial"/>
          <w:lang w:val="es-CO"/>
        </w:rPr>
        <w:t>la que</w:t>
      </w:r>
      <w:r w:rsidRPr="00D351A9">
        <w:rPr>
          <w:rFonts w:ascii="Bookman Old Style" w:hAnsi="Bookman Old Style" w:cs="Arial"/>
          <w:lang w:val="es-CO"/>
        </w:rPr>
        <w:t xml:space="preserve"> define el inicio de la remuneración de los nuevos activos, sino su entrada en operación.</w:t>
      </w:r>
    </w:p>
    <w:p w14:paraId="58F4F5EC" w14:textId="77777777" w:rsidR="000144B1" w:rsidRPr="00D351A9" w:rsidRDefault="000144B1" w:rsidP="00E71A24">
      <w:pPr>
        <w:ind w:left="0"/>
        <w:jc w:val="both"/>
        <w:rPr>
          <w:rFonts w:ascii="Bookman Old Style" w:hAnsi="Bookman Old Style" w:cs="Arial"/>
          <w:lang w:val="es-CO"/>
        </w:rPr>
      </w:pPr>
    </w:p>
    <w:p w14:paraId="488B3174" w14:textId="6535759D" w:rsidR="000144B1" w:rsidRPr="00D351A9" w:rsidRDefault="000144B1" w:rsidP="00E71A24">
      <w:pPr>
        <w:ind w:left="0"/>
        <w:jc w:val="both"/>
        <w:rPr>
          <w:rFonts w:ascii="Bookman Old Style" w:hAnsi="Bookman Old Style" w:cs="Arial"/>
          <w:lang w:val="es-CO"/>
        </w:rPr>
      </w:pPr>
      <w:r w:rsidRPr="00D351A9">
        <w:rPr>
          <w:rFonts w:ascii="Bookman Old Style" w:hAnsi="Bookman Old Style" w:cs="Arial"/>
          <w:lang w:val="es-CO"/>
        </w:rPr>
        <w:t>La CREG</w:t>
      </w:r>
      <w:r w:rsidR="00404401" w:rsidRPr="00D351A9">
        <w:rPr>
          <w:rFonts w:ascii="Bookman Old Style" w:hAnsi="Bookman Old Style" w:cs="Arial"/>
          <w:lang w:val="es-CO"/>
        </w:rPr>
        <w:t>,</w:t>
      </w:r>
      <w:r w:rsidRPr="00D351A9">
        <w:rPr>
          <w:rFonts w:ascii="Bookman Old Style" w:hAnsi="Bookman Old Style" w:cs="Arial"/>
          <w:lang w:val="es-CO"/>
        </w:rPr>
        <w:t xml:space="preserve"> en este caso y en todas las modificaciones de los ingresos de los transmisores nacionales, TN, ha considerado que la palabra aplicación hace referencia a los efectos que se generan por las modificaciones que se aprueben en cumplimiento de la metodología establecida en la Resolución CREG 011 de 2009. Esto es</w:t>
      </w:r>
      <w:r w:rsidR="00CB6EEE" w:rsidRPr="00D351A9">
        <w:rPr>
          <w:rFonts w:ascii="Bookman Old Style" w:hAnsi="Bookman Old Style" w:cs="Arial"/>
          <w:lang w:val="es-CO"/>
        </w:rPr>
        <w:t>:</w:t>
      </w:r>
      <w:r w:rsidRPr="00D351A9">
        <w:rPr>
          <w:rFonts w:ascii="Bookman Old Style" w:hAnsi="Bookman Old Style" w:cs="Arial"/>
          <w:lang w:val="es-CO"/>
        </w:rPr>
        <w:t xml:space="preserve"> los efectos que puedan generar los cambios en la base de activos, la modificación respectiva del costo de reposición, CRE, y del ingr</w:t>
      </w:r>
      <w:r w:rsidR="000E18BC" w:rsidRPr="00D351A9">
        <w:rPr>
          <w:rFonts w:ascii="Bookman Old Style" w:hAnsi="Bookman Old Style" w:cs="Arial"/>
          <w:lang w:val="es-CO"/>
        </w:rPr>
        <w:t>e</w:t>
      </w:r>
      <w:r w:rsidRPr="00D351A9">
        <w:rPr>
          <w:rFonts w:ascii="Bookman Old Style" w:hAnsi="Bookman Old Style" w:cs="Arial"/>
          <w:lang w:val="es-CO"/>
        </w:rPr>
        <w:t xml:space="preserve">so anual del transmisor, IAT, </w:t>
      </w:r>
      <w:r w:rsidR="00404401" w:rsidRPr="00D351A9">
        <w:rPr>
          <w:rFonts w:ascii="Bookman Old Style" w:hAnsi="Bookman Old Style" w:cs="Arial"/>
          <w:lang w:val="es-CO"/>
        </w:rPr>
        <w:t xml:space="preserve">inician </w:t>
      </w:r>
      <w:r w:rsidRPr="00D351A9">
        <w:rPr>
          <w:rFonts w:ascii="Bookman Old Style" w:hAnsi="Bookman Old Style" w:cs="Arial"/>
          <w:lang w:val="es-CO"/>
        </w:rPr>
        <w:t>una vez quede en firme la resolución que apruebe dichos cambios.</w:t>
      </w:r>
    </w:p>
    <w:p w14:paraId="1EF51D5D" w14:textId="77777777" w:rsidR="000144B1" w:rsidRPr="00D351A9" w:rsidRDefault="000144B1" w:rsidP="00E71A24">
      <w:pPr>
        <w:ind w:left="0"/>
        <w:jc w:val="both"/>
        <w:rPr>
          <w:rFonts w:ascii="Bookman Old Style" w:hAnsi="Bookman Old Style" w:cs="Arial"/>
          <w:lang w:val="es-CO"/>
        </w:rPr>
      </w:pPr>
    </w:p>
    <w:p w14:paraId="3C7433AE" w14:textId="629106B9" w:rsidR="00EB49E1" w:rsidRPr="00D351A9" w:rsidRDefault="00EB49E1" w:rsidP="00E71A24">
      <w:pPr>
        <w:ind w:left="0"/>
        <w:jc w:val="both"/>
        <w:rPr>
          <w:rFonts w:ascii="Bookman Old Style" w:hAnsi="Bookman Old Style" w:cs="Arial"/>
          <w:lang w:val="es-CO"/>
        </w:rPr>
      </w:pPr>
      <w:r w:rsidRPr="00D351A9">
        <w:rPr>
          <w:rFonts w:ascii="Bookman Old Style" w:hAnsi="Bookman Old Style" w:cs="Arial"/>
          <w:lang w:val="es-CO"/>
        </w:rPr>
        <w:t xml:space="preserve">Manifiesta también el recurrente que de no interpretarse la regulación en la forma por él planteada </w:t>
      </w:r>
      <w:r w:rsidR="00B307C4" w:rsidRPr="00D351A9">
        <w:rPr>
          <w:rFonts w:ascii="Bookman Old Style" w:hAnsi="Bookman Old Style" w:cs="Arial"/>
          <w:lang w:val="es-CO"/>
        </w:rPr>
        <w:t xml:space="preserve">se tendría el contrasentido de tener que asumir </w:t>
      </w:r>
      <w:r w:rsidR="00404401" w:rsidRPr="00D351A9">
        <w:rPr>
          <w:rFonts w:ascii="Bookman Old Style" w:hAnsi="Bookman Old Style" w:cs="Arial"/>
          <w:lang w:val="es-CO"/>
        </w:rPr>
        <w:t>el transmisor nacional</w:t>
      </w:r>
      <w:r w:rsidR="00B307C4" w:rsidRPr="00D351A9">
        <w:rPr>
          <w:rFonts w:ascii="Bookman Old Style" w:hAnsi="Bookman Old Style" w:cs="Arial"/>
          <w:lang w:val="es-CO"/>
        </w:rPr>
        <w:t xml:space="preserve"> los gastos ocasionados por el proyecto mientras la CREG aprueba la respectiva modificación.</w:t>
      </w:r>
    </w:p>
    <w:p w14:paraId="50EF6B35" w14:textId="77777777" w:rsidR="00B307C4" w:rsidRPr="00D351A9" w:rsidRDefault="00B307C4" w:rsidP="00E71A24">
      <w:pPr>
        <w:ind w:left="0"/>
        <w:jc w:val="both"/>
        <w:rPr>
          <w:rFonts w:ascii="Bookman Old Style" w:hAnsi="Bookman Old Style" w:cs="Arial"/>
          <w:lang w:val="es-CO"/>
        </w:rPr>
      </w:pPr>
    </w:p>
    <w:p w14:paraId="0BF0B7A9" w14:textId="7277430C" w:rsidR="00C64813" w:rsidRPr="00D351A9" w:rsidRDefault="00B307C4" w:rsidP="00E71A24">
      <w:pPr>
        <w:ind w:left="0"/>
        <w:jc w:val="both"/>
        <w:rPr>
          <w:rFonts w:ascii="Bookman Old Style" w:hAnsi="Bookman Old Style" w:cs="Arial"/>
          <w:lang w:val="es-CO"/>
        </w:rPr>
      </w:pPr>
      <w:r w:rsidRPr="00D351A9">
        <w:rPr>
          <w:rFonts w:ascii="Bookman Old Style" w:hAnsi="Bookman Old Style" w:cs="Arial"/>
          <w:lang w:val="es-CO"/>
        </w:rPr>
        <w:t xml:space="preserve">Sobre el particular, se precisa que </w:t>
      </w:r>
      <w:r w:rsidR="00C64813" w:rsidRPr="00D351A9">
        <w:rPr>
          <w:rFonts w:ascii="Bookman Old Style" w:hAnsi="Bookman Old Style" w:cs="Arial"/>
          <w:lang w:val="es-CO"/>
        </w:rPr>
        <w:t xml:space="preserve">en la metodología general de remuneración de la actividad de transmisión establecida en la </w:t>
      </w:r>
      <w:r w:rsidRPr="00D351A9">
        <w:rPr>
          <w:rFonts w:ascii="Bookman Old Style" w:hAnsi="Bookman Old Style" w:cs="Arial"/>
          <w:lang w:val="es-CO"/>
        </w:rPr>
        <w:t>Resolución CREG 011 de 2009</w:t>
      </w:r>
      <w:r w:rsidR="00C64813" w:rsidRPr="00D351A9">
        <w:rPr>
          <w:rFonts w:ascii="Bookman Old Style" w:hAnsi="Bookman Old Style" w:cs="Arial"/>
          <w:lang w:val="es-CO"/>
        </w:rPr>
        <w:t xml:space="preserve"> se señalan </w:t>
      </w:r>
      <w:r w:rsidRPr="00D351A9">
        <w:rPr>
          <w:rFonts w:ascii="Bookman Old Style" w:hAnsi="Bookman Old Style" w:cs="Arial"/>
          <w:lang w:val="es-CO"/>
        </w:rPr>
        <w:t xml:space="preserve">las circunstancias en las cuales se puede </w:t>
      </w:r>
      <w:r w:rsidR="00C64813" w:rsidRPr="00D351A9">
        <w:rPr>
          <w:rFonts w:ascii="Bookman Old Style" w:hAnsi="Bookman Old Style" w:cs="Arial"/>
          <w:lang w:val="es-CO"/>
        </w:rPr>
        <w:t>modificar el IAT, los efectos que ello ocasiona y, como se mencionó arriba en referencia al artículo 21, que su aplicación se da al mes siguiente de la aprobación por parte de la CREG. Es decir</w:t>
      </w:r>
      <w:r w:rsidR="00404401" w:rsidRPr="00D351A9">
        <w:rPr>
          <w:rFonts w:ascii="Bookman Old Style" w:hAnsi="Bookman Old Style" w:cs="Arial"/>
          <w:lang w:val="es-CO"/>
        </w:rPr>
        <w:t>,</w:t>
      </w:r>
      <w:r w:rsidR="00C64813" w:rsidRPr="00D351A9">
        <w:rPr>
          <w:rFonts w:ascii="Bookman Old Style" w:hAnsi="Bookman Old Style" w:cs="Arial"/>
          <w:lang w:val="es-CO"/>
        </w:rPr>
        <w:t xml:space="preserve"> los requisitos y las actividades que deben cumplirse son de conocimiento público y en esta ocasión también se dio cumplimiento a ell</w:t>
      </w:r>
      <w:r w:rsidR="008210B9" w:rsidRPr="00D351A9">
        <w:rPr>
          <w:rFonts w:ascii="Bookman Old Style" w:hAnsi="Bookman Old Style" w:cs="Arial"/>
          <w:lang w:val="es-CO"/>
        </w:rPr>
        <w:t>o</w:t>
      </w:r>
      <w:r w:rsidR="00C64813" w:rsidRPr="00D351A9">
        <w:rPr>
          <w:rFonts w:ascii="Bookman Old Style" w:hAnsi="Bookman Old Style" w:cs="Arial"/>
          <w:lang w:val="es-CO"/>
        </w:rPr>
        <w:t>s.</w:t>
      </w:r>
    </w:p>
    <w:p w14:paraId="645406DD" w14:textId="07E4A6E1" w:rsidR="008210B9" w:rsidRPr="00D351A9" w:rsidRDefault="008210B9" w:rsidP="00E71A24">
      <w:pPr>
        <w:ind w:left="0"/>
        <w:jc w:val="both"/>
        <w:rPr>
          <w:rFonts w:ascii="Bookman Old Style" w:hAnsi="Bookman Old Style" w:cs="Arial"/>
          <w:lang w:val="es-CO"/>
        </w:rPr>
      </w:pPr>
    </w:p>
    <w:p w14:paraId="69E2B311" w14:textId="03C7A131" w:rsidR="008210B9" w:rsidRPr="00D351A9" w:rsidRDefault="008210B9" w:rsidP="00E71A24">
      <w:pPr>
        <w:ind w:left="0"/>
        <w:jc w:val="both"/>
        <w:rPr>
          <w:rFonts w:ascii="Bookman Old Style" w:hAnsi="Bookman Old Style" w:cs="Arial"/>
          <w:lang w:val="es-CO"/>
        </w:rPr>
      </w:pPr>
      <w:r w:rsidRPr="00D351A9">
        <w:rPr>
          <w:rFonts w:ascii="Bookman Old Style" w:hAnsi="Bookman Old Style" w:cs="Arial"/>
          <w:lang w:val="es-CO"/>
        </w:rPr>
        <w:t xml:space="preserve">No por el hecho de que existan activos del STN que han entrado en operación comercial y estén haciendo las funciones de activos de uso se debe proceder a remunerarlos, para ello se requiere la aprobación de la CREG de la nueva base de activos y del ingreso anual del transmisor para iniciar su remuneración. </w:t>
      </w:r>
      <w:r w:rsidR="00E83501" w:rsidRPr="00D351A9">
        <w:rPr>
          <w:rFonts w:ascii="Bookman Old Style" w:hAnsi="Bookman Old Style" w:cs="Arial"/>
          <w:lang w:val="es-CO"/>
        </w:rPr>
        <w:t>Frente a metodologías anteriores, e</w:t>
      </w:r>
      <w:r w:rsidRPr="00D351A9">
        <w:rPr>
          <w:rFonts w:ascii="Bookman Old Style" w:hAnsi="Bookman Old Style" w:cs="Arial"/>
          <w:lang w:val="es-CO"/>
        </w:rPr>
        <w:t xml:space="preserve">sta es una de las diferencias de la metodología vigente para </w:t>
      </w:r>
      <w:r w:rsidR="00E83501" w:rsidRPr="00D351A9">
        <w:rPr>
          <w:rFonts w:ascii="Bookman Old Style" w:hAnsi="Bookman Old Style" w:cs="Arial"/>
          <w:lang w:val="es-CO"/>
        </w:rPr>
        <w:t xml:space="preserve">la </w:t>
      </w:r>
      <w:r w:rsidRPr="00D351A9">
        <w:rPr>
          <w:rFonts w:ascii="Bookman Old Style" w:hAnsi="Bookman Old Style" w:cs="Arial"/>
          <w:lang w:val="es-CO"/>
        </w:rPr>
        <w:t>remuneración de la actividad</w:t>
      </w:r>
      <w:r w:rsidR="00EE3627" w:rsidRPr="00D351A9">
        <w:rPr>
          <w:rFonts w:ascii="Bookman Old Style" w:hAnsi="Bookman Old Style" w:cs="Arial"/>
          <w:lang w:val="es-CO"/>
        </w:rPr>
        <w:t xml:space="preserve"> de transmisión</w:t>
      </w:r>
      <w:r w:rsidRPr="00D351A9">
        <w:rPr>
          <w:rFonts w:ascii="Bookman Old Style" w:hAnsi="Bookman Old Style" w:cs="Arial"/>
          <w:lang w:val="es-CO"/>
        </w:rPr>
        <w:t xml:space="preserve">. </w:t>
      </w:r>
    </w:p>
    <w:p w14:paraId="3B0EAFEE" w14:textId="77777777" w:rsidR="00C64813" w:rsidRPr="00A44B91" w:rsidRDefault="00C64813" w:rsidP="00A44B91">
      <w:pPr>
        <w:pStyle w:val="Ttulo3"/>
        <w:numPr>
          <w:ilvl w:val="0"/>
          <w:numId w:val="46"/>
        </w:numPr>
      </w:pPr>
      <w:r w:rsidRPr="00D351A9">
        <w:t xml:space="preserve">Violación de normas superiores </w:t>
      </w:r>
    </w:p>
    <w:p w14:paraId="64AB009E" w14:textId="3D19C017" w:rsidR="00C64813"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Sobre la afirmación del</w:t>
      </w:r>
      <w:r w:rsidRPr="00D351A9">
        <w:rPr>
          <w:rFonts w:ascii="Bookman Old Style" w:hAnsi="Bookman Old Style"/>
          <w:lang w:val="es-CO"/>
        </w:rPr>
        <w:t xml:space="preserve"> recurrente </w:t>
      </w:r>
      <w:r w:rsidRPr="00D351A9">
        <w:rPr>
          <w:rFonts w:ascii="Bookman Old Style" w:hAnsi="Bookman Old Style" w:cs="Arial"/>
          <w:lang w:val="es-CO"/>
        </w:rPr>
        <w:t xml:space="preserve">de </w:t>
      </w:r>
      <w:r w:rsidRPr="00D351A9">
        <w:rPr>
          <w:rFonts w:ascii="Bookman Old Style" w:hAnsi="Bookman Old Style"/>
          <w:lang w:val="es-CO"/>
        </w:rPr>
        <w:t xml:space="preserve">que </w:t>
      </w:r>
      <w:r w:rsidRPr="00D351A9">
        <w:rPr>
          <w:rFonts w:ascii="Bookman Old Style" w:hAnsi="Bookman Old Style" w:cs="Arial"/>
          <w:lang w:val="es-CO"/>
        </w:rPr>
        <w:t>“</w:t>
      </w:r>
      <w:r w:rsidR="005E19D4" w:rsidRPr="00D351A9">
        <w:rPr>
          <w:rFonts w:ascii="Bookman Old Style" w:hAnsi="Bookman Old Style" w:cs="Arial"/>
          <w:lang w:val="es-CO"/>
        </w:rPr>
        <w:t xml:space="preserve">la Resolución CREG </w:t>
      </w:r>
      <w:r w:rsidR="000575B1" w:rsidRPr="00D351A9">
        <w:rPr>
          <w:rFonts w:ascii="Bookman Old Style" w:hAnsi="Bookman Old Style" w:cs="Arial"/>
          <w:lang w:val="es-CO"/>
        </w:rPr>
        <w:t>023 de 2019</w:t>
      </w:r>
      <w:r w:rsidR="00CB6EEE" w:rsidRPr="00D351A9">
        <w:rPr>
          <w:rFonts w:ascii="Bookman Old Style" w:hAnsi="Bookman Old Style" w:cs="Arial"/>
          <w:lang w:val="es-CO"/>
        </w:rPr>
        <w:t>,</w:t>
      </w:r>
      <w:r w:rsidR="005E19D4" w:rsidRPr="00D351A9">
        <w:rPr>
          <w:rFonts w:ascii="Bookman Old Style" w:hAnsi="Bookman Old Style" w:cs="Arial"/>
          <w:lang w:val="es-CO"/>
        </w:rPr>
        <w:t xml:space="preserve"> vulnera lo dispuesto en la Constitución y en las Leyes 142 y 143 de 1994</w:t>
      </w:r>
      <w:r w:rsidRPr="00D351A9">
        <w:rPr>
          <w:rFonts w:ascii="Bookman Old Style" w:hAnsi="Bookman Old Style" w:cs="Arial"/>
          <w:lang w:val="es-CO"/>
        </w:rPr>
        <w:t>”</w:t>
      </w:r>
      <w:r w:rsidR="005459FA" w:rsidRPr="00D351A9">
        <w:rPr>
          <w:rFonts w:ascii="Bookman Old Style" w:hAnsi="Bookman Old Style" w:cs="Arial"/>
          <w:lang w:val="es-CO"/>
        </w:rPr>
        <w:t xml:space="preserve">, es importante mencionar que las mismas normas de carácter Constitucional y legal que señala el recurrente como vulneradas por parte de la CREG al expedir la Resolución </w:t>
      </w:r>
      <w:r w:rsidR="000575B1" w:rsidRPr="00D351A9">
        <w:rPr>
          <w:rFonts w:ascii="Bookman Old Style" w:hAnsi="Bookman Old Style" w:cs="Arial"/>
          <w:lang w:val="es-CO"/>
        </w:rPr>
        <w:t>023 de 2019</w:t>
      </w:r>
      <w:r w:rsidR="005459FA" w:rsidRPr="00D351A9">
        <w:rPr>
          <w:rFonts w:ascii="Bookman Old Style" w:hAnsi="Bookman Old Style" w:cs="Arial"/>
          <w:lang w:val="es-CO"/>
        </w:rPr>
        <w:t>, son el fundamento de esta Comisión para ejercer sus actuaciones administrativas, las cuales realiza bajo el estricto cumplimiento de los principios establecidos en el artículo 3 de</w:t>
      </w:r>
      <w:r w:rsidR="00706FF8" w:rsidRPr="00D351A9">
        <w:rPr>
          <w:rFonts w:ascii="Bookman Old Style" w:hAnsi="Bookman Old Style" w:cs="Arial"/>
          <w:lang w:val="es-CO"/>
        </w:rPr>
        <w:t>l Código de Procedimiento Administrativo y de lo Contencioso Administrativo en aras de garantizar el cump</w:t>
      </w:r>
      <w:r w:rsidR="00D65053" w:rsidRPr="00D351A9">
        <w:rPr>
          <w:rFonts w:ascii="Bookman Old Style" w:hAnsi="Bookman Old Style" w:cs="Arial"/>
          <w:lang w:val="es-CO"/>
        </w:rPr>
        <w:t>limiento de los fines estatales.</w:t>
      </w:r>
      <w:r w:rsidR="00706FF8" w:rsidRPr="00D351A9">
        <w:rPr>
          <w:rFonts w:ascii="Bookman Old Style" w:hAnsi="Bookman Old Style" w:cs="Arial"/>
          <w:lang w:val="es-CO"/>
        </w:rPr>
        <w:t xml:space="preserve"> </w:t>
      </w:r>
    </w:p>
    <w:p w14:paraId="649B4E39" w14:textId="77777777" w:rsidR="00451954" w:rsidRPr="00D351A9" w:rsidRDefault="00451954" w:rsidP="00E71A24">
      <w:pPr>
        <w:ind w:left="0"/>
        <w:jc w:val="both"/>
        <w:rPr>
          <w:rFonts w:ascii="Bookman Old Style" w:hAnsi="Bookman Old Style" w:cs="Arial"/>
          <w:lang w:val="es-CO"/>
        </w:rPr>
      </w:pPr>
    </w:p>
    <w:p w14:paraId="41275DF3" w14:textId="10638A3B" w:rsidR="00481435"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No obstante, se contradice el recurrente al afirmar que “</w:t>
      </w:r>
      <w:r w:rsidR="00CB6EEE" w:rsidRPr="00D351A9">
        <w:rPr>
          <w:rFonts w:ascii="Bookman Old Style" w:hAnsi="Bookman Old Style" w:cs="Arial"/>
          <w:lang w:val="es-CO"/>
        </w:rPr>
        <w:t>tampoco puede entenderse como legal la Resolución CREG 023 de 2019, en la medida que no reconoce la remuneración por los servicios prestados por las unidades constructivas incorporadas en el proyecto de Ampliación del circuito Esmeralda – La Hermosa 230 kV en los meses anteriores a su expedición</w:t>
      </w:r>
      <w:r w:rsidRPr="00D351A9">
        <w:rPr>
          <w:rFonts w:ascii="Bookman Old Style" w:hAnsi="Bookman Old Style" w:cs="Arial"/>
          <w:lang w:val="es-CO"/>
        </w:rPr>
        <w:t>”</w:t>
      </w:r>
      <w:r w:rsidRPr="00D351A9">
        <w:rPr>
          <w:rFonts w:ascii="Bookman Old Style" w:hAnsi="Bookman Old Style" w:cs="Arial"/>
          <w:i/>
          <w:lang w:val="es-CO"/>
        </w:rPr>
        <w:t>,</w:t>
      </w:r>
      <w:r w:rsidRPr="00D351A9">
        <w:rPr>
          <w:rFonts w:ascii="Bookman Old Style" w:hAnsi="Bookman Old Style" w:cs="Arial"/>
          <w:lang w:val="es-CO"/>
        </w:rPr>
        <w:t xml:space="preserve"> lo cual, de concebirse en esos términos, significaría que los actos administrativos expedidos por la CREG deberán tener aplicación retroactiva, caso en el cual estaríamos violando el principio de irretroactividad de la ley que nos indica que e</w:t>
      </w:r>
      <w:r w:rsidRPr="00D351A9">
        <w:rPr>
          <w:rFonts w:ascii="Bookman Old Style" w:hAnsi="Bookman Old Style" w:cs="Arial"/>
          <w:iCs/>
        </w:rPr>
        <w:t xml:space="preserve">s principio normativo general que las leyes </w:t>
      </w:r>
      <w:r w:rsidR="004F27DB" w:rsidRPr="00D351A9">
        <w:rPr>
          <w:rFonts w:ascii="Bookman Old Style" w:hAnsi="Bookman Old Style" w:cs="Arial"/>
          <w:iCs/>
        </w:rPr>
        <w:t>-</w:t>
      </w:r>
      <w:r w:rsidRPr="00D351A9">
        <w:rPr>
          <w:rFonts w:ascii="Bookman Old Style" w:hAnsi="Bookman Old Style" w:cs="Arial"/>
          <w:iCs/>
        </w:rPr>
        <w:t xml:space="preserve">en sentido material- rigen a partir de su promulgación, y sólo la ley </w:t>
      </w:r>
      <w:r w:rsidR="00AA68D9" w:rsidRPr="00D351A9">
        <w:rPr>
          <w:rFonts w:ascii="Bookman Old Style" w:hAnsi="Bookman Old Style" w:cs="Arial"/>
          <w:iCs/>
        </w:rPr>
        <w:t>puede</w:t>
      </w:r>
      <w:r w:rsidRPr="00D351A9">
        <w:rPr>
          <w:rFonts w:ascii="Bookman Old Style" w:hAnsi="Bookman Old Style" w:cs="Arial"/>
          <w:iCs/>
        </w:rPr>
        <w:t xml:space="preserve"> señalar efectos distintos respecto de la aplicación de una determinada disposición en el tiempo.</w:t>
      </w:r>
    </w:p>
    <w:p w14:paraId="32499333" w14:textId="30503D57" w:rsidR="00481435" w:rsidRPr="00D351A9" w:rsidRDefault="00481435" w:rsidP="00481435">
      <w:pPr>
        <w:ind w:left="0"/>
        <w:jc w:val="both"/>
        <w:rPr>
          <w:rFonts w:ascii="Bookman Old Style" w:hAnsi="Bookman Old Style" w:cs="Arial"/>
          <w:i/>
          <w:iCs/>
        </w:rPr>
      </w:pPr>
    </w:p>
    <w:p w14:paraId="01897226" w14:textId="77777777" w:rsidR="00481435"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De otra parte, en el recurso se plantea el siguiente interrogante:</w:t>
      </w:r>
    </w:p>
    <w:p w14:paraId="10ECC5FE" w14:textId="7F377173" w:rsidR="00481435" w:rsidRPr="00D351A9" w:rsidRDefault="00481435" w:rsidP="00481435">
      <w:pPr>
        <w:spacing w:before="120"/>
        <w:ind w:left="284" w:right="284"/>
        <w:jc w:val="both"/>
        <w:rPr>
          <w:rFonts w:ascii="Bookman Old Style" w:hAnsi="Bookman Old Style"/>
          <w:i/>
          <w:sz w:val="22"/>
          <w:szCs w:val="20"/>
        </w:rPr>
      </w:pPr>
      <w:r w:rsidRPr="00D351A9">
        <w:rPr>
          <w:rFonts w:ascii="Bookman Old Style" w:hAnsi="Bookman Old Style"/>
          <w:i/>
          <w:sz w:val="22"/>
          <w:szCs w:val="20"/>
        </w:rPr>
        <w:t>… ¿</w:t>
      </w:r>
      <w:r w:rsidR="00707027" w:rsidRPr="00D351A9">
        <w:rPr>
          <w:rFonts w:ascii="Bookman Old Style" w:hAnsi="Bookman Old Style"/>
          <w:i/>
          <w:sz w:val="22"/>
          <w:szCs w:val="20"/>
        </w:rPr>
        <w:t>es legal que se pueda incurrir en compensaciones o sanciones por eventos ocurridos en los meses anteriores a la expedición de la Resolución CREG 023 de 2019, pero que no se reconozcan ingresos por los servicios prestados en esos mismos meses</w:t>
      </w:r>
      <w:r w:rsidRPr="00D351A9">
        <w:rPr>
          <w:rFonts w:ascii="Bookman Old Style" w:hAnsi="Bookman Old Style"/>
          <w:i/>
          <w:sz w:val="22"/>
          <w:szCs w:val="20"/>
        </w:rPr>
        <w:t>?</w:t>
      </w:r>
    </w:p>
    <w:p w14:paraId="66745EDD" w14:textId="77777777" w:rsidR="00481435" w:rsidRPr="00D351A9" w:rsidRDefault="00481435" w:rsidP="00481435">
      <w:pPr>
        <w:ind w:left="0"/>
        <w:jc w:val="both"/>
        <w:rPr>
          <w:rFonts w:ascii="Bookman Old Style" w:hAnsi="Bookman Old Style" w:cs="Arial"/>
          <w:lang w:val="es-CO"/>
        </w:rPr>
      </w:pPr>
    </w:p>
    <w:p w14:paraId="0F43AC55" w14:textId="19683578" w:rsidR="00E90879"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Al respecto debemos referirnos a la metodología general y citar algunos apartes de la Resolución CREG 093 de 2012, por la cual “se establecen el reglamento para el reporte de Eventos y el procedimiento para el cálculo de la Energía No Suministrada, y se precisan otras disposiciones relacionadas con la calidad del servicio en el Sistema de Transmisión Nacional”.</w:t>
      </w:r>
    </w:p>
    <w:p w14:paraId="550A22BF" w14:textId="77777777" w:rsidR="00481435" w:rsidRPr="00D351A9" w:rsidRDefault="00481435" w:rsidP="00481435">
      <w:pPr>
        <w:spacing w:before="120"/>
        <w:ind w:left="284" w:right="284"/>
        <w:jc w:val="both"/>
        <w:rPr>
          <w:rFonts w:ascii="Bookman Old Style" w:hAnsi="Bookman Old Style"/>
          <w:sz w:val="22"/>
        </w:rPr>
      </w:pPr>
      <w:bookmarkStart w:id="1" w:name="_Ref330977534"/>
      <w:r w:rsidRPr="00D351A9">
        <w:rPr>
          <w:rFonts w:ascii="Bookman Old Style" w:hAnsi="Bookman Old Style"/>
          <w:i/>
          <w:sz w:val="22"/>
          <w:szCs w:val="20"/>
        </w:rPr>
        <w:t>Artículo 1. Ámbito de aplicación. Lo dispuesto en esta resolución se aplicará a los agentes que realizan la actividad de transmisión de energía eléctrica y a todos aquellos agentes responsables de la información necesaria para la aplicación del esquema de calidad del servicio en el Sistema de Transmisión Nacional, STN, establecido en el capítulo 4 del anexo general de la Resolución CREG 011 de 2009 o las que la modifiquen o sustituyan.</w:t>
      </w:r>
      <w:bookmarkEnd w:id="1"/>
    </w:p>
    <w:p w14:paraId="00E3E85C" w14:textId="77777777" w:rsidR="00481435" w:rsidRPr="00D351A9" w:rsidRDefault="00481435" w:rsidP="00481435">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Los activos del STN sobre los que aplica el esquema de calidad del servicio son los que: i) hacen parte de la base de activos aprobada a cada Transmisor Nacional, TN, mediante resolución particular, ii) </w:t>
      </w:r>
      <w:r w:rsidRPr="00D351A9">
        <w:rPr>
          <w:rFonts w:ascii="Bookman Old Style" w:hAnsi="Bookman Old Style"/>
          <w:i/>
          <w:sz w:val="22"/>
          <w:szCs w:val="20"/>
          <w:u w:val="single"/>
        </w:rPr>
        <w:t>están en operación comercial y podrán hacer parte de la base de activos de un TN</w:t>
      </w:r>
      <w:r w:rsidRPr="00D351A9">
        <w:rPr>
          <w:rFonts w:ascii="Bookman Old Style" w:hAnsi="Bookman Old Style"/>
          <w:i/>
          <w:sz w:val="22"/>
          <w:szCs w:val="20"/>
        </w:rPr>
        <w:t>, o iii) son construidos como resultado de procesos de libre concurrencia.</w:t>
      </w:r>
    </w:p>
    <w:p w14:paraId="4255C546" w14:textId="77777777" w:rsidR="00481435" w:rsidRPr="00D351A9" w:rsidRDefault="00481435" w:rsidP="00481435">
      <w:pPr>
        <w:spacing w:before="120"/>
        <w:ind w:left="284" w:right="284"/>
        <w:jc w:val="both"/>
        <w:rPr>
          <w:rFonts w:ascii="Bookman Old Style" w:hAnsi="Bookman Old Style"/>
          <w:i/>
          <w:sz w:val="22"/>
          <w:szCs w:val="20"/>
        </w:rPr>
      </w:pPr>
      <w:r w:rsidRPr="00D351A9">
        <w:rPr>
          <w:rFonts w:ascii="Bookman Old Style" w:hAnsi="Bookman Old Style"/>
          <w:i/>
          <w:sz w:val="22"/>
          <w:szCs w:val="20"/>
        </w:rPr>
        <w:t>(…)</w:t>
      </w:r>
    </w:p>
    <w:p w14:paraId="6F7DDC94" w14:textId="77777777" w:rsidR="00481435" w:rsidRPr="00D351A9" w:rsidRDefault="00481435" w:rsidP="00481435">
      <w:pPr>
        <w:spacing w:before="120"/>
        <w:ind w:left="284" w:right="284"/>
        <w:jc w:val="both"/>
        <w:rPr>
          <w:rFonts w:ascii="Bookman Old Style" w:hAnsi="Bookman Old Style"/>
          <w:sz w:val="22"/>
        </w:rPr>
      </w:pPr>
      <w:r w:rsidRPr="00D351A9">
        <w:rPr>
          <w:rFonts w:ascii="Bookman Old Style" w:hAnsi="Bookman Old Style"/>
          <w:i/>
          <w:sz w:val="22"/>
          <w:szCs w:val="20"/>
        </w:rPr>
        <w:t xml:space="preserve">Artículo 6. Activos que entran en operación comercial. A partir de la fecha de entrada en operación comercial de activos del STN, y hasta que se inicie su remuneración a través de cargos por uso, el agente que los represente ante el LAC será responsable por la ocurrencia de Eventos en estos activos que ocasionen ENS. </w:t>
      </w:r>
    </w:p>
    <w:p w14:paraId="4A841060" w14:textId="77777777" w:rsidR="00481435" w:rsidRPr="00D351A9" w:rsidRDefault="00481435" w:rsidP="00481435">
      <w:pPr>
        <w:spacing w:before="120"/>
        <w:ind w:left="284" w:right="284"/>
        <w:jc w:val="both"/>
        <w:rPr>
          <w:rFonts w:ascii="Bookman Old Style" w:hAnsi="Bookman Old Style"/>
          <w:i/>
          <w:sz w:val="22"/>
          <w:szCs w:val="20"/>
        </w:rPr>
      </w:pPr>
      <w:r w:rsidRPr="00D351A9">
        <w:rPr>
          <w:rFonts w:ascii="Bookman Old Style" w:hAnsi="Bookman Old Style"/>
          <w:i/>
          <w:sz w:val="22"/>
          <w:szCs w:val="20"/>
        </w:rPr>
        <w:t>En consecuencia, a partir de la fecha de entrada en operación comercial de los activos se deberán reportar los Eventos en la forma dispuesta en la presente resolución. Cuando se presente ENS, se estimará su magnitud en la forma descrita en el numeral 3.4 del anexo general de la presente resolución y si el porcentaje que representa resulta superior al 2% se enviará el respectivo informe a la SSPD.</w:t>
      </w:r>
    </w:p>
    <w:p w14:paraId="47752165" w14:textId="77777777" w:rsidR="00481435" w:rsidRPr="00D351A9" w:rsidRDefault="00481435" w:rsidP="00481435">
      <w:pPr>
        <w:spacing w:before="120"/>
        <w:ind w:left="284" w:right="284"/>
        <w:jc w:val="both"/>
        <w:rPr>
          <w:rFonts w:ascii="Bookman Old Style" w:hAnsi="Bookman Old Style"/>
          <w:i/>
          <w:sz w:val="22"/>
          <w:szCs w:val="20"/>
        </w:rPr>
      </w:pPr>
      <w:r w:rsidRPr="00D351A9">
        <w:rPr>
          <w:rFonts w:ascii="Bookman Old Style" w:hAnsi="Bookman Old Style"/>
          <w:i/>
          <w:sz w:val="22"/>
          <w:szCs w:val="20"/>
        </w:rPr>
        <w:t xml:space="preserve"> (…)</w:t>
      </w:r>
    </w:p>
    <w:p w14:paraId="738EF675" w14:textId="3ACBB77C" w:rsidR="00481435" w:rsidRPr="00D351A9" w:rsidRDefault="00481435" w:rsidP="00481435">
      <w:pPr>
        <w:spacing w:before="120"/>
        <w:ind w:left="284" w:right="284"/>
        <w:jc w:val="both"/>
        <w:rPr>
          <w:rFonts w:ascii="Bookman Old Style" w:hAnsi="Bookman Old Style"/>
          <w:sz w:val="22"/>
        </w:rPr>
      </w:pPr>
      <w:r w:rsidRPr="00D351A9">
        <w:rPr>
          <w:rFonts w:ascii="Bookman Old Style" w:hAnsi="Bookman Old Style"/>
          <w:i/>
          <w:sz w:val="22"/>
          <w:szCs w:val="20"/>
        </w:rPr>
        <w:t xml:space="preserve">Parágrafo. En todo caso, cuando los activos estén incluidos en la remuneración del STN a través de cargos por uso, el agente que los represente ante el LAC será responsable por el cumplimiento de todos los indicadores de calidad establecidos en el capítulo 4 del anexo general de la Resolución CREG 011 de 2009. </w:t>
      </w:r>
      <w:r w:rsidRPr="00D351A9">
        <w:rPr>
          <w:rFonts w:ascii="Bookman Old Style" w:hAnsi="Bookman Old Style"/>
          <w:i/>
          <w:sz w:val="22"/>
          <w:szCs w:val="20"/>
          <w:u w:val="single"/>
        </w:rPr>
        <w:t>Para el cálculo de las Horas de Indisponibilidad del activo, solo se tendrán en cuenta las reportadas desde el primer mes de remuneración</w:t>
      </w:r>
      <w:r w:rsidRPr="00D351A9">
        <w:rPr>
          <w:rFonts w:ascii="Bookman Old Style" w:hAnsi="Bookman Old Style"/>
          <w:i/>
          <w:sz w:val="22"/>
          <w:szCs w:val="20"/>
        </w:rPr>
        <w:t xml:space="preserve">.  </w:t>
      </w:r>
      <w:r w:rsidRPr="00D351A9">
        <w:rPr>
          <w:rFonts w:ascii="Bookman Old Style" w:hAnsi="Bookman Old Style"/>
          <w:sz w:val="22"/>
          <w:szCs w:val="20"/>
        </w:rPr>
        <w:t>(subrayados fuera de texto)</w:t>
      </w:r>
    </w:p>
    <w:p w14:paraId="4E91CD61" w14:textId="77777777" w:rsidR="00481435" w:rsidRPr="00D351A9" w:rsidRDefault="00481435" w:rsidP="00481435">
      <w:pPr>
        <w:ind w:left="0"/>
        <w:jc w:val="both"/>
        <w:rPr>
          <w:rFonts w:ascii="Bookman Old Style" w:hAnsi="Bookman Old Style" w:cs="Arial"/>
          <w:lang w:val="es-CO"/>
        </w:rPr>
      </w:pPr>
    </w:p>
    <w:p w14:paraId="4A80EB36" w14:textId="75C0D072" w:rsidR="00481435"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De acuerdo con lo anterior, con base en la metodología de remuneración de la actividad de transmisión de energía eléctrica, de la cual hace parte la Resolución CREG 093 de 2012, el esquema de calidad se aplica a los activos del STN desde su entrada en operación comercial, fecha a partir de la cual</w:t>
      </w:r>
      <w:r w:rsidR="00F818F7" w:rsidRPr="00D351A9">
        <w:rPr>
          <w:rFonts w:ascii="Bookman Old Style" w:hAnsi="Bookman Old Style" w:cs="Arial"/>
          <w:lang w:val="es-CO"/>
        </w:rPr>
        <w:t>,</w:t>
      </w:r>
      <w:r w:rsidRPr="00D351A9">
        <w:rPr>
          <w:rFonts w:ascii="Bookman Old Style" w:hAnsi="Bookman Old Style" w:cs="Arial"/>
          <w:lang w:val="es-CO"/>
        </w:rPr>
        <w:t xml:space="preserve"> si ocurren eventos que ocasionen energía no suministrada, ENS, se causan las compensaciones definidas en esta metodología.</w:t>
      </w:r>
    </w:p>
    <w:p w14:paraId="4ECC62D0" w14:textId="77777777" w:rsidR="00481435" w:rsidRPr="00D351A9" w:rsidRDefault="00481435" w:rsidP="00481435">
      <w:pPr>
        <w:ind w:left="0"/>
        <w:jc w:val="both"/>
        <w:rPr>
          <w:rFonts w:ascii="Bookman Old Style" w:hAnsi="Bookman Old Style" w:cs="Arial"/>
          <w:lang w:val="es-CO"/>
        </w:rPr>
      </w:pPr>
    </w:p>
    <w:p w14:paraId="11F7AA7E" w14:textId="77777777" w:rsidR="00481435"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Un tratamiento diferente está establecido para las horas de indisponibilidad, las cuales no se tienen en cuenta para el cálculo de las compensaciones durante el tiempo que trascurre desde la entrada en operación comercial hasta que se inicie el primer mes de remuneración.</w:t>
      </w:r>
    </w:p>
    <w:p w14:paraId="655470F3" w14:textId="77777777" w:rsidR="00481435" w:rsidRPr="00D351A9" w:rsidRDefault="00481435" w:rsidP="00481435">
      <w:pPr>
        <w:ind w:left="0"/>
        <w:jc w:val="both"/>
        <w:rPr>
          <w:rFonts w:ascii="Bookman Old Style" w:hAnsi="Bookman Old Style" w:cs="Arial"/>
          <w:lang w:val="es-CO"/>
        </w:rPr>
      </w:pPr>
    </w:p>
    <w:p w14:paraId="737DF78F" w14:textId="77777777" w:rsidR="00481435" w:rsidRPr="00D351A9" w:rsidRDefault="00481435" w:rsidP="00481435">
      <w:pPr>
        <w:ind w:left="0"/>
        <w:jc w:val="both"/>
        <w:rPr>
          <w:rFonts w:ascii="Bookman Old Style" w:hAnsi="Bookman Old Style" w:cs="Arial"/>
          <w:lang w:val="es-CO"/>
        </w:rPr>
      </w:pPr>
      <w:r w:rsidRPr="00D351A9">
        <w:rPr>
          <w:rFonts w:ascii="Bookman Old Style" w:hAnsi="Bookman Old Style" w:cs="Arial"/>
          <w:lang w:val="es-CO"/>
        </w:rPr>
        <w:t>Es decir, la metodología general de remuneración de la actividad señala clara</w:t>
      </w:r>
      <w:r w:rsidRPr="00D351A9">
        <w:rPr>
          <w:rFonts w:ascii="Bookman Old Style" w:hAnsi="Bookman Old Style" w:cs="Arial"/>
          <w:lang w:val="es-CO"/>
        </w:rPr>
        <w:softHyphen/>
        <w:t>mente cuáles son las compensaciones de las que son objeto los activos desde su entrada en operación comercial y cuáles las compensaciones a partir del inicio de la remuneración de tales activos.</w:t>
      </w:r>
    </w:p>
    <w:p w14:paraId="50FFB23A" w14:textId="3FF53D65" w:rsidR="00C64813" w:rsidRPr="00A44B91" w:rsidRDefault="00C64813" w:rsidP="00A44B91">
      <w:pPr>
        <w:pStyle w:val="Ttulo3"/>
        <w:numPr>
          <w:ilvl w:val="0"/>
          <w:numId w:val="46"/>
        </w:numPr>
      </w:pPr>
      <w:r w:rsidRPr="00D351A9">
        <w:t xml:space="preserve">El reconocimiento y remuneración del proyecto desde </w:t>
      </w:r>
      <w:r w:rsidR="00ED4AB2" w:rsidRPr="00A44B91">
        <w:t>su</w:t>
      </w:r>
      <w:r w:rsidRPr="00D351A9">
        <w:t xml:space="preserve"> entrada en operación es un derecho de Intercolombia</w:t>
      </w:r>
      <w:r w:rsidR="00863338" w:rsidRPr="00D351A9">
        <w:t xml:space="preserve"> </w:t>
      </w:r>
    </w:p>
    <w:p w14:paraId="7C653308" w14:textId="24551909" w:rsidR="00C64813" w:rsidRPr="00D351A9" w:rsidRDefault="00C64813" w:rsidP="00C64813">
      <w:pPr>
        <w:ind w:left="0"/>
        <w:jc w:val="both"/>
        <w:rPr>
          <w:rFonts w:ascii="Bookman Old Style" w:hAnsi="Bookman Old Style" w:cs="Arial"/>
          <w:lang w:val="es-CO"/>
        </w:rPr>
      </w:pPr>
      <w:r w:rsidRPr="00D351A9">
        <w:rPr>
          <w:rFonts w:ascii="Bookman Old Style" w:hAnsi="Bookman Old Style" w:cs="Arial"/>
          <w:lang w:val="es-CO"/>
        </w:rPr>
        <w:t>Intercolombia</w:t>
      </w:r>
      <w:r w:rsidR="00863338" w:rsidRPr="00D351A9">
        <w:rPr>
          <w:rFonts w:ascii="Bookman Old Style" w:hAnsi="Bookman Old Style" w:cs="Arial"/>
          <w:lang w:val="es-CO"/>
        </w:rPr>
        <w:t xml:space="preserve"> S.A. E.S.P.</w:t>
      </w:r>
      <w:r w:rsidRPr="00D351A9">
        <w:rPr>
          <w:rFonts w:ascii="Bookman Old Style" w:hAnsi="Bookman Old Style" w:cs="Arial"/>
          <w:lang w:val="es-CO"/>
        </w:rPr>
        <w:t xml:space="preserve"> </w:t>
      </w:r>
      <w:r w:rsidR="00B469DB" w:rsidRPr="00D351A9">
        <w:rPr>
          <w:rFonts w:ascii="Bookman Old Style" w:hAnsi="Bookman Old Style" w:cs="Arial"/>
          <w:lang w:val="es-CO"/>
        </w:rPr>
        <w:t>en</w:t>
      </w:r>
      <w:r w:rsidRPr="00D351A9">
        <w:rPr>
          <w:rFonts w:ascii="Bookman Old Style" w:hAnsi="Bookman Old Style" w:cs="Arial"/>
          <w:lang w:val="es-CO"/>
        </w:rPr>
        <w:t xml:space="preserve"> el recurso </w:t>
      </w:r>
      <w:r w:rsidR="00B469DB" w:rsidRPr="00D351A9">
        <w:rPr>
          <w:rFonts w:ascii="Bookman Old Style" w:hAnsi="Bookman Old Style" w:cs="Arial"/>
          <w:lang w:val="es-CO"/>
        </w:rPr>
        <w:t xml:space="preserve">cita </w:t>
      </w:r>
      <w:r w:rsidRPr="00D351A9">
        <w:rPr>
          <w:rFonts w:ascii="Bookman Old Style" w:hAnsi="Bookman Old Style" w:cs="Arial"/>
          <w:lang w:val="es-CO"/>
        </w:rPr>
        <w:t>el literal a</w:t>
      </w:r>
      <w:r w:rsidR="00D21853" w:rsidRPr="00D351A9">
        <w:rPr>
          <w:rFonts w:ascii="Bookman Old Style" w:hAnsi="Bookman Old Style" w:cs="Arial"/>
          <w:lang w:val="es-CO"/>
        </w:rPr>
        <w:t>)</w:t>
      </w:r>
      <w:r w:rsidRPr="00D351A9">
        <w:rPr>
          <w:rFonts w:ascii="Bookman Old Style" w:hAnsi="Bookman Old Style" w:cs="Arial"/>
          <w:lang w:val="es-CO"/>
        </w:rPr>
        <w:t xml:space="preserve"> del numeral 1.4 del anexo general de la Resolución CREG 011 de 2009, que establece:</w:t>
      </w:r>
    </w:p>
    <w:p w14:paraId="5163C38C" w14:textId="77777777" w:rsidR="00C64813" w:rsidRPr="00D351A9" w:rsidRDefault="00C64813" w:rsidP="00E403CD">
      <w:pPr>
        <w:keepNext/>
        <w:spacing w:before="120"/>
        <w:ind w:left="284" w:right="284"/>
        <w:jc w:val="both"/>
        <w:rPr>
          <w:rFonts w:ascii="Bookman Old Style" w:hAnsi="Bookman Old Style"/>
          <w:i/>
          <w:sz w:val="22"/>
          <w:szCs w:val="20"/>
        </w:rPr>
      </w:pPr>
      <w:r w:rsidRPr="00D351A9">
        <w:rPr>
          <w:rFonts w:ascii="Bookman Old Style" w:hAnsi="Bookman Old Style"/>
          <w:i/>
          <w:sz w:val="22"/>
          <w:szCs w:val="20"/>
        </w:rPr>
        <w:t>1.4</w:t>
      </w:r>
      <w:r w:rsidRPr="00D351A9">
        <w:rPr>
          <w:rFonts w:ascii="Bookman Old Style" w:hAnsi="Bookman Old Style"/>
          <w:i/>
          <w:sz w:val="22"/>
          <w:szCs w:val="20"/>
        </w:rPr>
        <w:tab/>
        <w:t>Liquidación mensual del Ingreso</w:t>
      </w:r>
    </w:p>
    <w:p w14:paraId="7B51C59F" w14:textId="77777777" w:rsidR="00C64813" w:rsidRPr="00D351A9" w:rsidRDefault="00C64813" w:rsidP="00C64813">
      <w:pPr>
        <w:spacing w:before="120"/>
        <w:ind w:left="284" w:right="284"/>
        <w:jc w:val="both"/>
        <w:rPr>
          <w:rFonts w:ascii="Bookman Old Style" w:hAnsi="Bookman Old Style"/>
          <w:i/>
          <w:sz w:val="22"/>
          <w:szCs w:val="20"/>
        </w:rPr>
      </w:pPr>
      <w:r w:rsidRPr="00D351A9">
        <w:rPr>
          <w:rFonts w:ascii="Bookman Old Style" w:hAnsi="Bookman Old Style"/>
          <w:i/>
          <w:sz w:val="22"/>
          <w:szCs w:val="20"/>
        </w:rPr>
        <w:t>Para la liquidación del Ingreso Mensual de cada TN se tendrá en cuenta:</w:t>
      </w:r>
    </w:p>
    <w:p w14:paraId="0B1756F5" w14:textId="77777777" w:rsidR="00C64813" w:rsidRPr="00D351A9" w:rsidRDefault="00C64813" w:rsidP="00C64813">
      <w:pPr>
        <w:spacing w:before="120"/>
        <w:ind w:left="284" w:right="284"/>
        <w:jc w:val="both"/>
        <w:rPr>
          <w:rFonts w:ascii="Bookman Old Style" w:hAnsi="Bookman Old Style"/>
          <w:i/>
          <w:sz w:val="22"/>
          <w:szCs w:val="20"/>
        </w:rPr>
      </w:pPr>
      <w:r w:rsidRPr="00D351A9">
        <w:rPr>
          <w:rFonts w:ascii="Bookman Old Style" w:hAnsi="Bookman Old Style"/>
          <w:i/>
          <w:sz w:val="22"/>
          <w:szCs w:val="20"/>
        </w:rPr>
        <w:t>a)</w:t>
      </w:r>
      <w:r w:rsidRPr="00D351A9">
        <w:rPr>
          <w:rFonts w:ascii="Bookman Old Style" w:hAnsi="Bookman Old Style"/>
          <w:i/>
          <w:sz w:val="22"/>
          <w:szCs w:val="20"/>
        </w:rPr>
        <w:tab/>
        <w:t>El Ingreso Mensual Causado por Unidades Constructivas no construidas en desarrollo de los procesos de selección regulados por la CREG, el cual se calculará a partir del Ingreso Anual definido en el numeral 1.1 de este Anexo. Estas Unidades Constructivas se remunerarán a partir del día uno (1) del primer mes completo en que dichas Unidades se hayan encontrado en operación comercial como Activos de Uso.</w:t>
      </w:r>
    </w:p>
    <w:p w14:paraId="196FA197" w14:textId="77777777" w:rsidR="00C64813" w:rsidRPr="00D351A9" w:rsidRDefault="00C64813" w:rsidP="00C64813">
      <w:pPr>
        <w:spacing w:before="120"/>
        <w:ind w:left="284" w:right="284"/>
        <w:jc w:val="both"/>
        <w:rPr>
          <w:rFonts w:ascii="Bookman Old Style" w:hAnsi="Bookman Old Style"/>
          <w:i/>
          <w:sz w:val="22"/>
          <w:szCs w:val="20"/>
        </w:rPr>
      </w:pPr>
      <w:r w:rsidRPr="00D351A9">
        <w:rPr>
          <w:rFonts w:ascii="Bookman Old Style" w:hAnsi="Bookman Old Style"/>
          <w:i/>
          <w:sz w:val="22"/>
          <w:szCs w:val="20"/>
        </w:rPr>
        <w:t>Cuando la remuneración de Unidades Constructivas nuevas implique la reclasificación de Unidades Constructivas existentes, estas últimas se remunerarán hasta el mes anterior al de inicio de la remuneración de las nuevas Unidades Constructivas.</w:t>
      </w:r>
    </w:p>
    <w:p w14:paraId="6A96D440" w14:textId="77777777" w:rsidR="00C64813" w:rsidRPr="00D351A9" w:rsidRDefault="00C64813" w:rsidP="00E71A24">
      <w:pPr>
        <w:ind w:left="0"/>
        <w:jc w:val="both"/>
        <w:rPr>
          <w:rFonts w:ascii="Bookman Old Style" w:hAnsi="Bookman Old Style" w:cs="Arial"/>
        </w:rPr>
      </w:pPr>
    </w:p>
    <w:p w14:paraId="37599682" w14:textId="301CF07E" w:rsidR="00E938C5" w:rsidRPr="00D351A9" w:rsidRDefault="00C64813" w:rsidP="00D47F15">
      <w:pPr>
        <w:ind w:left="0"/>
        <w:jc w:val="both"/>
        <w:rPr>
          <w:rFonts w:ascii="Bookman Old Style" w:hAnsi="Bookman Old Style" w:cs="Arial"/>
          <w:lang w:val="es-CO"/>
        </w:rPr>
      </w:pPr>
      <w:r w:rsidRPr="00D351A9">
        <w:rPr>
          <w:rFonts w:ascii="Bookman Old Style" w:hAnsi="Bookman Old Style" w:cs="Arial"/>
          <w:lang w:val="es-CO"/>
        </w:rPr>
        <w:t>En particular centra su argumento sobre la frase “</w:t>
      </w:r>
      <w:r w:rsidRPr="00D351A9">
        <w:rPr>
          <w:rFonts w:ascii="Bookman Old Style" w:hAnsi="Bookman Old Style"/>
        </w:rPr>
        <w:t>se remunerarán a partir del día uno (1) del primer mes completo en que dichas Unidades se hayan encontrado en operación comercial como Activos de Uso</w:t>
      </w:r>
      <w:r w:rsidRPr="00D351A9">
        <w:rPr>
          <w:rFonts w:ascii="Bookman Old Style" w:hAnsi="Bookman Old Style" w:cs="Arial"/>
          <w:lang w:val="es-CO"/>
        </w:rPr>
        <w:t>”.</w:t>
      </w:r>
    </w:p>
    <w:p w14:paraId="02EFCB5A" w14:textId="77777777" w:rsidR="00E938C5" w:rsidRPr="00D351A9" w:rsidRDefault="00E938C5" w:rsidP="00D47F15">
      <w:pPr>
        <w:ind w:left="0"/>
        <w:jc w:val="both"/>
        <w:rPr>
          <w:rFonts w:ascii="Bookman Old Style" w:hAnsi="Bookman Old Style" w:cs="Arial"/>
          <w:lang w:val="es-CO"/>
        </w:rPr>
      </w:pPr>
    </w:p>
    <w:p w14:paraId="7F03C2D2" w14:textId="77777777" w:rsidR="00CA26CB" w:rsidRPr="00D351A9" w:rsidRDefault="00C64813" w:rsidP="00D47F15">
      <w:pPr>
        <w:ind w:left="0"/>
        <w:jc w:val="both"/>
        <w:rPr>
          <w:rFonts w:ascii="Bookman Old Style" w:hAnsi="Bookman Old Style" w:cs="Arial"/>
          <w:lang w:val="es-CO"/>
        </w:rPr>
      </w:pPr>
      <w:r w:rsidRPr="00D351A9">
        <w:rPr>
          <w:rFonts w:ascii="Bookman Old Style" w:hAnsi="Bookman Old Style" w:cs="Arial"/>
          <w:lang w:val="es-CO"/>
        </w:rPr>
        <w:t xml:space="preserve">Aquí se citan dos condiciones: </w:t>
      </w:r>
      <w:r w:rsidR="00D47F15" w:rsidRPr="00D351A9">
        <w:rPr>
          <w:rFonts w:ascii="Bookman Old Style" w:hAnsi="Bookman Old Style" w:cs="Arial"/>
          <w:lang w:val="es-CO"/>
        </w:rPr>
        <w:t>i) que los activos estén en operación comercial, y ii) que sean activos de uso.</w:t>
      </w:r>
    </w:p>
    <w:p w14:paraId="507E71F4" w14:textId="77777777" w:rsidR="00CA26CB" w:rsidRPr="00D351A9" w:rsidRDefault="00CA26CB" w:rsidP="00D47F15">
      <w:pPr>
        <w:ind w:left="0"/>
        <w:jc w:val="both"/>
        <w:rPr>
          <w:rFonts w:ascii="Bookman Old Style" w:hAnsi="Bookman Old Style" w:cs="Arial"/>
          <w:lang w:val="es-CO"/>
        </w:rPr>
      </w:pPr>
    </w:p>
    <w:p w14:paraId="1DE67CF4" w14:textId="4F0EE882" w:rsidR="00CA26CB" w:rsidRPr="00D351A9" w:rsidRDefault="00CA26CB" w:rsidP="00CA26CB">
      <w:pPr>
        <w:ind w:left="0"/>
        <w:jc w:val="both"/>
        <w:rPr>
          <w:rFonts w:ascii="Bookman Old Style" w:hAnsi="Bookman Old Style" w:cs="Arial"/>
          <w:lang w:val="es-CO"/>
        </w:rPr>
      </w:pPr>
      <w:r w:rsidRPr="00D351A9">
        <w:rPr>
          <w:rFonts w:ascii="Bookman Old Style" w:hAnsi="Bookman Old Style" w:cs="Arial"/>
          <w:lang w:val="es-CO"/>
        </w:rPr>
        <w:t>Sobre la primera, en el Código de Operación y con referencia a cualquier activo del Sistema Interconectado Nacional, SIN, se precisa que corresponde al propietario definir la fecha de iniciación de la operación comercial.</w:t>
      </w:r>
    </w:p>
    <w:p w14:paraId="2E5451EB" w14:textId="77777777" w:rsidR="00CA26CB" w:rsidRPr="00D351A9" w:rsidRDefault="00CA26CB" w:rsidP="00CA26CB">
      <w:pPr>
        <w:ind w:left="0"/>
        <w:jc w:val="both"/>
        <w:rPr>
          <w:rFonts w:ascii="Bookman Old Style" w:hAnsi="Bookman Old Style" w:cs="Arial"/>
          <w:lang w:val="es-CO"/>
        </w:rPr>
      </w:pPr>
    </w:p>
    <w:p w14:paraId="4458F22B" w14:textId="282987CE" w:rsidR="007A3769" w:rsidRPr="00D351A9" w:rsidRDefault="00CA26CB" w:rsidP="00CA26CB">
      <w:pPr>
        <w:ind w:left="0"/>
        <w:jc w:val="both"/>
        <w:rPr>
          <w:rFonts w:ascii="Bookman Old Style" w:hAnsi="Bookman Old Style" w:cs="Arial"/>
          <w:lang w:val="es-CO"/>
        </w:rPr>
      </w:pPr>
      <w:r w:rsidRPr="00D351A9">
        <w:rPr>
          <w:rFonts w:ascii="Bookman Old Style" w:hAnsi="Bookman Old Style" w:cs="Arial"/>
          <w:lang w:val="es-CO"/>
        </w:rPr>
        <w:t xml:space="preserve">Con respecto a la segunda condición, </w:t>
      </w:r>
      <w:r w:rsidR="00D47F15" w:rsidRPr="00D351A9">
        <w:rPr>
          <w:rFonts w:ascii="Bookman Old Style" w:hAnsi="Bookman Old Style" w:cs="Arial"/>
          <w:lang w:val="es-CO"/>
        </w:rPr>
        <w:t>se cita la d</w:t>
      </w:r>
      <w:r w:rsidR="007A3769" w:rsidRPr="00D351A9">
        <w:rPr>
          <w:rFonts w:ascii="Bookman Old Style" w:hAnsi="Bookman Old Style" w:cs="Arial"/>
          <w:lang w:val="es-CO"/>
        </w:rPr>
        <w:t xml:space="preserve">efinición de activos de uso tomada del artículo </w:t>
      </w:r>
      <w:r w:rsidR="00DC0971" w:rsidRPr="00D351A9">
        <w:rPr>
          <w:rFonts w:ascii="Bookman Old Style" w:hAnsi="Bookman Old Style" w:cs="Arial"/>
          <w:lang w:val="es-CO"/>
        </w:rPr>
        <w:t>3 de la Resolución CREG 011 de 2009:</w:t>
      </w:r>
    </w:p>
    <w:p w14:paraId="234F377D" w14:textId="77777777" w:rsidR="00DC0971" w:rsidRPr="00D351A9" w:rsidRDefault="00DC0971" w:rsidP="00DC0971">
      <w:pPr>
        <w:spacing w:before="120"/>
        <w:ind w:left="284" w:right="284"/>
        <w:jc w:val="both"/>
        <w:rPr>
          <w:rFonts w:ascii="Bookman Old Style" w:hAnsi="Bookman Old Style"/>
          <w:i/>
          <w:sz w:val="22"/>
          <w:szCs w:val="20"/>
        </w:rPr>
      </w:pPr>
      <w:r w:rsidRPr="00D351A9">
        <w:rPr>
          <w:rFonts w:ascii="Bookman Old Style" w:hAnsi="Bookman Old Style"/>
          <w:i/>
          <w:sz w:val="22"/>
          <w:szCs w:val="20"/>
        </w:rPr>
        <w:t>Activos de Uso del STN. Son aquellos activos de transporte de electricidad que operan a tensiones iguales o superiores a 220 kV, son remunerados mediante Cargos por Uso del STN y pueden estar constituidos por una o varias UC.</w:t>
      </w:r>
    </w:p>
    <w:p w14:paraId="3110750D" w14:textId="77777777" w:rsidR="003C491C" w:rsidRPr="00D351A9" w:rsidRDefault="00DC0971" w:rsidP="00DC0971">
      <w:pPr>
        <w:spacing w:before="120"/>
        <w:ind w:left="284" w:right="284"/>
        <w:jc w:val="both"/>
        <w:rPr>
          <w:rFonts w:ascii="Bookman Old Style" w:hAnsi="Bookman Old Style"/>
          <w:i/>
          <w:sz w:val="22"/>
          <w:szCs w:val="20"/>
        </w:rPr>
      </w:pPr>
      <w:r w:rsidRPr="00D351A9">
        <w:rPr>
          <w:rFonts w:ascii="Bookman Old Style" w:hAnsi="Bookman Old Style"/>
          <w:i/>
          <w:sz w:val="22"/>
          <w:szCs w:val="20"/>
        </w:rPr>
        <w:t>Las Bahías de Transformador con tensión mayor o igual a 220 kV, que utiliza un OR para conectarse al STN en las subestaciones con configuración de anillo o de interruptor y medio, se remunerarán a través de cargos por uso de la actividad de transmisión, una vez empiecen a aplicarse a dicho OR los costos y cargos aprobados con la metodología de la Resolución CREG 097 de 2008.</w:t>
      </w:r>
    </w:p>
    <w:p w14:paraId="183CE8D1" w14:textId="77777777" w:rsidR="00D47F15" w:rsidRPr="00D351A9" w:rsidRDefault="00D47F15" w:rsidP="009B011F">
      <w:pPr>
        <w:spacing w:before="240"/>
        <w:ind w:left="0"/>
        <w:jc w:val="both"/>
        <w:rPr>
          <w:rFonts w:ascii="Bookman Old Style" w:hAnsi="Bookman Old Style" w:cs="Arial"/>
          <w:lang w:val="es-CO"/>
        </w:rPr>
      </w:pPr>
      <w:r w:rsidRPr="00D351A9">
        <w:rPr>
          <w:rFonts w:ascii="Bookman Old Style" w:hAnsi="Bookman Old Style" w:cs="Arial"/>
          <w:lang w:val="es-CO"/>
        </w:rPr>
        <w:t>Como se observa, una de las condiciones para que los activos sean considerados como activos de uso es que estén siendo “</w:t>
      </w:r>
      <w:r w:rsidRPr="00D351A9">
        <w:rPr>
          <w:rFonts w:ascii="Bookman Old Style" w:hAnsi="Bookman Old Style"/>
        </w:rPr>
        <w:t>remunerados mediante Cargos por Uso del STN</w:t>
      </w:r>
      <w:r w:rsidRPr="00D351A9">
        <w:rPr>
          <w:rFonts w:ascii="Bookman Old Style" w:hAnsi="Bookman Old Style" w:cs="Arial"/>
          <w:lang w:val="es-CO"/>
        </w:rPr>
        <w:t>”.</w:t>
      </w:r>
    </w:p>
    <w:p w14:paraId="1AD27001" w14:textId="033C3898" w:rsidR="00B023D2" w:rsidRPr="00D351A9" w:rsidRDefault="006306CC" w:rsidP="009B011F">
      <w:pPr>
        <w:spacing w:before="240"/>
        <w:ind w:left="0"/>
        <w:jc w:val="both"/>
        <w:rPr>
          <w:rFonts w:ascii="Bookman Old Style" w:hAnsi="Bookman Old Style" w:cs="Arial"/>
        </w:rPr>
      </w:pPr>
      <w:r w:rsidRPr="00D351A9">
        <w:rPr>
          <w:rFonts w:ascii="Bookman Old Style" w:hAnsi="Bookman Old Style" w:cs="Arial"/>
        </w:rPr>
        <w:t xml:space="preserve">De acuerdo con el numeral 1.5 del anexo general de la </w:t>
      </w:r>
      <w:r w:rsidRPr="00D351A9">
        <w:rPr>
          <w:rFonts w:ascii="Bookman Old Style" w:hAnsi="Bookman Old Style" w:cs="Arial"/>
          <w:lang w:val="es-CO"/>
        </w:rPr>
        <w:t xml:space="preserve">Resolución CREG 011 de 2009, el cargo por uso de la actividad de trasmisión, con el cual se remuneran los activos que conforman el </w:t>
      </w:r>
      <w:r w:rsidR="008778EE" w:rsidRPr="00D351A9">
        <w:rPr>
          <w:rFonts w:ascii="Bookman Old Style" w:hAnsi="Bookman Old Style" w:cs="Arial"/>
          <w:lang w:val="es-CO"/>
        </w:rPr>
        <w:t>STN,</w:t>
      </w:r>
      <w:r w:rsidRPr="00D351A9">
        <w:rPr>
          <w:rFonts w:ascii="Bookman Old Style" w:hAnsi="Bookman Old Style" w:cs="Arial"/>
          <w:lang w:val="es-CO"/>
        </w:rPr>
        <w:t xml:space="preserve"> se calcula a partir del ingreso mensual de los TN el que</w:t>
      </w:r>
      <w:r w:rsidR="005C25FA" w:rsidRPr="00D351A9">
        <w:rPr>
          <w:rFonts w:ascii="Bookman Old Style" w:hAnsi="Bookman Old Style" w:cs="Arial"/>
          <w:lang w:val="es-CO"/>
        </w:rPr>
        <w:t>,</w:t>
      </w:r>
      <w:r w:rsidRPr="00D351A9">
        <w:rPr>
          <w:rFonts w:ascii="Bookman Old Style" w:hAnsi="Bookman Old Style" w:cs="Arial"/>
          <w:lang w:val="es-CO"/>
        </w:rPr>
        <w:t xml:space="preserve"> a su vez</w:t>
      </w:r>
      <w:r w:rsidR="005C25FA" w:rsidRPr="00D351A9">
        <w:rPr>
          <w:rFonts w:ascii="Bookman Old Style" w:hAnsi="Bookman Old Style" w:cs="Arial"/>
          <w:lang w:val="es-CO"/>
        </w:rPr>
        <w:t>,</w:t>
      </w:r>
      <w:r w:rsidRPr="00D351A9">
        <w:rPr>
          <w:rFonts w:ascii="Bookman Old Style" w:hAnsi="Bookman Old Style" w:cs="Arial"/>
          <w:lang w:val="es-CO"/>
        </w:rPr>
        <w:t xml:space="preserve"> depende del ingreso anual del transmisor, IAT, </w:t>
      </w:r>
      <w:r w:rsidR="005C25FA" w:rsidRPr="00D351A9">
        <w:rPr>
          <w:rFonts w:ascii="Bookman Old Style" w:hAnsi="Bookman Old Style" w:cs="Arial"/>
          <w:lang w:val="es-CO"/>
        </w:rPr>
        <w:t xml:space="preserve">el cual se calcula a partir de la base de activos </w:t>
      </w:r>
      <w:r w:rsidRPr="00D351A9">
        <w:rPr>
          <w:rFonts w:ascii="Bookman Old Style" w:hAnsi="Bookman Old Style" w:cs="Arial"/>
          <w:lang w:val="es-CO"/>
        </w:rPr>
        <w:t>aprobad</w:t>
      </w:r>
      <w:r w:rsidR="005C25FA" w:rsidRPr="00D351A9">
        <w:rPr>
          <w:rFonts w:ascii="Bookman Old Style" w:hAnsi="Bookman Old Style" w:cs="Arial"/>
          <w:lang w:val="es-CO"/>
        </w:rPr>
        <w:t>a a cada uno de ellos.</w:t>
      </w:r>
    </w:p>
    <w:p w14:paraId="5678A66D" w14:textId="55B44786" w:rsidR="00A07D9A" w:rsidRPr="00D351A9" w:rsidRDefault="00A07D9A" w:rsidP="009B011F">
      <w:pPr>
        <w:spacing w:before="240"/>
        <w:ind w:left="0"/>
        <w:jc w:val="both"/>
        <w:rPr>
          <w:rFonts w:ascii="Bookman Old Style" w:hAnsi="Bookman Old Style" w:cs="Arial"/>
        </w:rPr>
      </w:pPr>
      <w:r w:rsidRPr="00D351A9">
        <w:rPr>
          <w:rFonts w:ascii="Bookman Old Style" w:hAnsi="Bookman Old Style" w:cs="Arial"/>
        </w:rPr>
        <w:t>Con lo anterior se conclu</w:t>
      </w:r>
      <w:r w:rsidR="00E938C5" w:rsidRPr="00D351A9">
        <w:rPr>
          <w:rFonts w:ascii="Bookman Old Style" w:hAnsi="Bookman Old Style" w:cs="Arial"/>
        </w:rPr>
        <w:t>ye</w:t>
      </w:r>
      <w:r w:rsidRPr="00D351A9">
        <w:rPr>
          <w:rFonts w:ascii="Bookman Old Style" w:hAnsi="Bookman Old Style" w:cs="Arial"/>
        </w:rPr>
        <w:t xml:space="preserve"> que la única forma para que un activo se remunere con cargos por uso de la actividad de transmisión, a diferencia de metodologías anteriores a la vigente, es que la CREG apruebe su inclusión en la base de activos del TN, con lo cual se modifica el ingreso mensual de este agente, </w:t>
      </w:r>
      <w:r w:rsidR="005C25FA" w:rsidRPr="00D351A9">
        <w:rPr>
          <w:rFonts w:ascii="Bookman Old Style" w:hAnsi="Bookman Old Style" w:cs="Arial"/>
        </w:rPr>
        <w:t xml:space="preserve">a partir de su aprobación, </w:t>
      </w:r>
      <w:r w:rsidRPr="00D351A9">
        <w:rPr>
          <w:rFonts w:ascii="Bookman Old Style" w:hAnsi="Bookman Old Style" w:cs="Arial"/>
        </w:rPr>
        <w:t>lo que a su vez modifica los cargos por uso para considerar los nuevos activos incluidos en la base.</w:t>
      </w:r>
    </w:p>
    <w:p w14:paraId="1DB1A411" w14:textId="590B6815" w:rsidR="009672E6" w:rsidRPr="00D351A9" w:rsidRDefault="00A07D9A" w:rsidP="009B011F">
      <w:pPr>
        <w:spacing w:before="240"/>
        <w:ind w:left="0"/>
        <w:jc w:val="both"/>
        <w:rPr>
          <w:rFonts w:ascii="Bookman Old Style" w:hAnsi="Bookman Old Style" w:cs="Arial"/>
        </w:rPr>
      </w:pPr>
      <w:r w:rsidRPr="00D351A9">
        <w:rPr>
          <w:rFonts w:ascii="Bookman Old Style" w:hAnsi="Bookman Old Style" w:cs="Arial"/>
        </w:rPr>
        <w:t>Así las cosas</w:t>
      </w:r>
      <w:r w:rsidR="00E938C5" w:rsidRPr="00D351A9">
        <w:rPr>
          <w:rFonts w:ascii="Bookman Old Style" w:hAnsi="Bookman Old Style" w:cs="Arial"/>
        </w:rPr>
        <w:t>,</w:t>
      </w:r>
      <w:r w:rsidRPr="00D351A9">
        <w:rPr>
          <w:rFonts w:ascii="Bookman Old Style" w:hAnsi="Bookman Old Style" w:cs="Arial"/>
        </w:rPr>
        <w:t xml:space="preserve"> para que un nuevo activo sea remunerado mediante cargos por uso se requiere una </w:t>
      </w:r>
      <w:r w:rsidR="00CA26CB" w:rsidRPr="00D351A9">
        <w:rPr>
          <w:rFonts w:ascii="Bookman Old Style" w:hAnsi="Bookman Old Style" w:cs="Arial"/>
        </w:rPr>
        <w:t>r</w:t>
      </w:r>
      <w:r w:rsidRPr="00D351A9">
        <w:rPr>
          <w:rFonts w:ascii="Bookman Old Style" w:hAnsi="Bookman Old Style" w:cs="Arial"/>
        </w:rPr>
        <w:t>esolución de la CREG y su correspondiente entrada en vigencia</w:t>
      </w:r>
      <w:r w:rsidR="00E938C5" w:rsidRPr="00D351A9">
        <w:rPr>
          <w:rFonts w:ascii="Bookman Old Style" w:hAnsi="Bookman Old Style" w:cs="Arial"/>
        </w:rPr>
        <w:t xml:space="preserve"> y, de acuerdo con la metodología vigente, a partir de ese momento el activo puede considerarse como </w:t>
      </w:r>
      <w:r w:rsidR="00EE3627" w:rsidRPr="00D351A9">
        <w:rPr>
          <w:rFonts w:ascii="Bookman Old Style" w:hAnsi="Bookman Old Style" w:cs="Arial"/>
        </w:rPr>
        <w:t xml:space="preserve">un </w:t>
      </w:r>
      <w:r w:rsidR="00E938C5" w:rsidRPr="00D351A9">
        <w:rPr>
          <w:rFonts w:ascii="Bookman Old Style" w:hAnsi="Bookman Old Style" w:cs="Arial"/>
        </w:rPr>
        <w:t>activo de uso</w:t>
      </w:r>
      <w:r w:rsidR="00EE3627" w:rsidRPr="00D351A9">
        <w:rPr>
          <w:rFonts w:ascii="Bookman Old Style" w:hAnsi="Bookman Old Style" w:cs="Arial"/>
        </w:rPr>
        <w:t xml:space="preserve"> a remunerar</w:t>
      </w:r>
      <w:r w:rsidR="00E938C5" w:rsidRPr="00D351A9">
        <w:rPr>
          <w:rFonts w:ascii="Bookman Old Style" w:hAnsi="Bookman Old Style" w:cs="Arial"/>
        </w:rPr>
        <w:t xml:space="preserve">. </w:t>
      </w:r>
      <w:r w:rsidR="009672E6" w:rsidRPr="00D351A9">
        <w:rPr>
          <w:rFonts w:ascii="Bookman Old Style" w:hAnsi="Bookman Old Style" w:cs="Arial"/>
        </w:rPr>
        <w:t>De otra parte, de acuerdo con la definición de mes en la metodología general, “la remuneración de la actividad de transmisión se liquidará por mes completo y no por fracción de mes”.</w:t>
      </w:r>
    </w:p>
    <w:p w14:paraId="058BFFDC" w14:textId="29D44FD9" w:rsidR="009672E6" w:rsidRPr="00D351A9" w:rsidRDefault="009672E6" w:rsidP="009B011F">
      <w:pPr>
        <w:spacing w:before="240"/>
        <w:ind w:left="0"/>
        <w:jc w:val="both"/>
        <w:rPr>
          <w:rFonts w:ascii="Bookman Old Style" w:hAnsi="Bookman Old Style" w:cs="Arial"/>
        </w:rPr>
      </w:pPr>
      <w:r w:rsidRPr="00D351A9">
        <w:rPr>
          <w:rFonts w:ascii="Bookman Old Style" w:hAnsi="Bookman Old Style" w:cs="Arial"/>
        </w:rPr>
        <w:t>De acuerdo con lo expuesto, se concluye que</w:t>
      </w:r>
      <w:r w:rsidR="00E938C5" w:rsidRPr="00D351A9">
        <w:rPr>
          <w:rFonts w:ascii="Bookman Old Style" w:hAnsi="Bookman Old Style" w:cs="Arial"/>
        </w:rPr>
        <w:t xml:space="preserve"> un nuevo activo en el Sistema de Transmisión </w:t>
      </w:r>
      <w:r w:rsidR="005C25FA" w:rsidRPr="00D351A9">
        <w:rPr>
          <w:rFonts w:ascii="Bookman Old Style" w:hAnsi="Bookman Old Style" w:cs="Arial"/>
        </w:rPr>
        <w:t xml:space="preserve">Nacional </w:t>
      </w:r>
      <w:r w:rsidRPr="00D351A9">
        <w:rPr>
          <w:rFonts w:ascii="Bookman Old Style" w:hAnsi="Bookman Old Style" w:cs="Arial"/>
        </w:rPr>
        <w:t>se</w:t>
      </w:r>
      <w:r w:rsidR="00E938C5" w:rsidRPr="00D351A9">
        <w:rPr>
          <w:rFonts w:ascii="Bookman Old Style" w:hAnsi="Bookman Old Style" w:cs="Arial"/>
        </w:rPr>
        <w:t xml:space="preserve"> remunera a partir del primer día calendario del mes siguiente a cuando quede en firme la resolución de la CREG que apr</w:t>
      </w:r>
      <w:r w:rsidRPr="00D351A9">
        <w:rPr>
          <w:rFonts w:ascii="Bookman Old Style" w:hAnsi="Bookman Old Style" w:cs="Arial"/>
        </w:rPr>
        <w:t>ue</w:t>
      </w:r>
      <w:r w:rsidR="00E938C5" w:rsidRPr="00D351A9">
        <w:rPr>
          <w:rFonts w:ascii="Bookman Old Style" w:hAnsi="Bookman Old Style" w:cs="Arial"/>
        </w:rPr>
        <w:t>b</w:t>
      </w:r>
      <w:r w:rsidRPr="00D351A9">
        <w:rPr>
          <w:rFonts w:ascii="Bookman Old Style" w:hAnsi="Bookman Old Style" w:cs="Arial"/>
        </w:rPr>
        <w:t>a</w:t>
      </w:r>
      <w:r w:rsidR="00E938C5" w:rsidRPr="00D351A9">
        <w:rPr>
          <w:rFonts w:ascii="Bookman Old Style" w:hAnsi="Bookman Old Style" w:cs="Arial"/>
        </w:rPr>
        <w:t xml:space="preserve"> su </w:t>
      </w:r>
      <w:r w:rsidRPr="00D351A9">
        <w:rPr>
          <w:rFonts w:ascii="Bookman Old Style" w:hAnsi="Bookman Old Style" w:cs="Arial"/>
        </w:rPr>
        <w:t>inclusión en la base de activos de un TN.</w:t>
      </w:r>
    </w:p>
    <w:p w14:paraId="3BAA950D" w14:textId="0C11CB74" w:rsidR="00B023D2" w:rsidRPr="00D351A9" w:rsidRDefault="005727B8" w:rsidP="009B011F">
      <w:pPr>
        <w:spacing w:before="240"/>
        <w:ind w:left="0"/>
        <w:jc w:val="both"/>
        <w:rPr>
          <w:rFonts w:ascii="Bookman Old Style" w:hAnsi="Bookman Old Style" w:cs="Arial"/>
        </w:rPr>
      </w:pPr>
      <w:r w:rsidRPr="00D351A9">
        <w:rPr>
          <w:rFonts w:ascii="Bookman Old Style" w:hAnsi="Bookman Old Style" w:cs="Arial"/>
        </w:rPr>
        <w:t xml:space="preserve">Otro punto de análisis que cita el recurrente se refiere a que si se considera que no existe una norma explícita que indique a partir de cuándo se deben remunerar los proyectos ejecutados como ampliaciones, se supla dicho “vacío legal” </w:t>
      </w:r>
      <w:r w:rsidR="00647C5F" w:rsidRPr="00D351A9">
        <w:rPr>
          <w:rFonts w:ascii="Bookman Old Style" w:hAnsi="Bookman Old Style" w:cs="Arial"/>
        </w:rPr>
        <w:t>con otra norma que regule casos similares.</w:t>
      </w:r>
      <w:r w:rsidR="00310906" w:rsidRPr="00D351A9">
        <w:rPr>
          <w:rFonts w:ascii="Bookman Old Style" w:hAnsi="Bookman Old Style" w:cs="Arial"/>
        </w:rPr>
        <w:t xml:space="preserve"> Para ello cita lo previsto en el artículo 8 de la Ley 153 de 1887 y</w:t>
      </w:r>
      <w:r w:rsidR="00CA26CB" w:rsidRPr="00D351A9">
        <w:rPr>
          <w:rFonts w:ascii="Bookman Old Style" w:hAnsi="Bookman Old Style" w:cs="Arial"/>
        </w:rPr>
        <w:t xml:space="preserve">, apoyado en esta referencia, </w:t>
      </w:r>
      <w:r w:rsidR="00310906" w:rsidRPr="00D351A9">
        <w:rPr>
          <w:rFonts w:ascii="Bookman Old Style" w:hAnsi="Bookman Old Style" w:cs="Arial"/>
        </w:rPr>
        <w:t>propone que se aplique lo previsto para la remuneración de los proyectos ejecutados mediante procesos de selección.</w:t>
      </w:r>
    </w:p>
    <w:p w14:paraId="2EA662F0" w14:textId="439E6A38" w:rsidR="005C2A81" w:rsidRPr="00D351A9" w:rsidRDefault="00F11D8B" w:rsidP="009B011F">
      <w:pPr>
        <w:spacing w:before="240"/>
        <w:ind w:left="0"/>
        <w:jc w:val="both"/>
        <w:rPr>
          <w:rFonts w:ascii="Bookman Old Style" w:hAnsi="Bookman Old Style"/>
        </w:rPr>
      </w:pPr>
      <w:r w:rsidRPr="00D351A9">
        <w:rPr>
          <w:rFonts w:ascii="Bookman Old Style" w:hAnsi="Bookman Old Style"/>
        </w:rPr>
        <w:t>Frente a la solicitud de aplicación analógica de normatividad, por considerar el recurrente que existe un “</w:t>
      </w:r>
      <w:r w:rsidR="001B147E" w:rsidRPr="00D351A9">
        <w:rPr>
          <w:rFonts w:ascii="Bookman Old Style" w:hAnsi="Bookman Old Style"/>
        </w:rPr>
        <w:t>vacío</w:t>
      </w:r>
      <w:r w:rsidRPr="00D351A9">
        <w:rPr>
          <w:rFonts w:ascii="Bookman Old Style" w:hAnsi="Bookman Old Style"/>
        </w:rPr>
        <w:t xml:space="preserve"> legal” </w:t>
      </w:r>
      <w:r w:rsidR="00C9476B" w:rsidRPr="00D351A9">
        <w:rPr>
          <w:rFonts w:ascii="Bookman Old Style" w:hAnsi="Bookman Old Style"/>
        </w:rPr>
        <w:t xml:space="preserve">en cuanto no existe norma explícita que indique a partir de cuándo se deben remunerar los proyectos ejecutados como ampliaciones, </w:t>
      </w:r>
      <w:r w:rsidR="00CA26CB" w:rsidRPr="00D351A9">
        <w:rPr>
          <w:rFonts w:ascii="Bookman Old Style" w:hAnsi="Bookman Old Style"/>
        </w:rPr>
        <w:t>se debe</w:t>
      </w:r>
      <w:r w:rsidR="00C9476B" w:rsidRPr="00D351A9">
        <w:rPr>
          <w:rFonts w:ascii="Bookman Old Style" w:hAnsi="Bookman Old Style"/>
        </w:rPr>
        <w:t xml:space="preserve"> aclarar </w:t>
      </w:r>
      <w:r w:rsidR="001924D7" w:rsidRPr="00D351A9">
        <w:rPr>
          <w:rFonts w:ascii="Bookman Old Style" w:hAnsi="Bookman Old Style"/>
        </w:rPr>
        <w:t xml:space="preserve"> </w:t>
      </w:r>
      <w:r w:rsidR="001B147E" w:rsidRPr="00D351A9">
        <w:rPr>
          <w:rFonts w:ascii="Bookman Old Style" w:hAnsi="Bookman Old Style"/>
        </w:rPr>
        <w:t>que, la analogía, como fuente subsidiaria del derecho</w:t>
      </w:r>
      <w:r w:rsidR="0045470A" w:rsidRPr="00D351A9">
        <w:rPr>
          <w:rFonts w:ascii="Bookman Old Style" w:hAnsi="Bookman Old Style"/>
        </w:rPr>
        <w:t xml:space="preserve"> es el método</w:t>
      </w:r>
      <w:r w:rsidR="001924D7" w:rsidRPr="00D351A9">
        <w:rPr>
          <w:rFonts w:ascii="Bookman Old Style" w:hAnsi="Bookman Old Style"/>
        </w:rPr>
        <w:t xml:space="preserve"> por el cual una norma jurídica se extiende, por identidad de razón, a</w:t>
      </w:r>
      <w:r w:rsidR="005C2A81" w:rsidRPr="00D351A9">
        <w:rPr>
          <w:rFonts w:ascii="Bookman Old Style" w:hAnsi="Bookman Old Style"/>
        </w:rPr>
        <w:t xml:space="preserve"> cosas no contemplad</w:t>
      </w:r>
      <w:r w:rsidR="00CA26CB" w:rsidRPr="00D351A9">
        <w:rPr>
          <w:rFonts w:ascii="Bookman Old Style" w:hAnsi="Bookman Old Style"/>
        </w:rPr>
        <w:t>a</w:t>
      </w:r>
      <w:r w:rsidR="005C2A81" w:rsidRPr="00D351A9">
        <w:rPr>
          <w:rFonts w:ascii="Bookman Old Style" w:hAnsi="Bookman Old Style"/>
        </w:rPr>
        <w:t>s por ella (artículo 8° de la Ley 153 de 1887)</w:t>
      </w:r>
      <w:r w:rsidR="00121271" w:rsidRPr="00D351A9">
        <w:rPr>
          <w:rFonts w:ascii="Bookman Old Style" w:hAnsi="Bookman Old Style"/>
        </w:rPr>
        <w:t>, y es además, una herramienta para interpretar leyes poco claras o confusas.</w:t>
      </w:r>
    </w:p>
    <w:p w14:paraId="4E0F3143" w14:textId="6F1238D6" w:rsidR="000251D0" w:rsidRPr="00D351A9" w:rsidRDefault="00640D66" w:rsidP="009B011F">
      <w:pPr>
        <w:spacing w:before="240"/>
        <w:ind w:left="0"/>
        <w:jc w:val="both"/>
        <w:rPr>
          <w:rFonts w:ascii="Bookman Old Style" w:hAnsi="Bookman Old Style"/>
        </w:rPr>
      </w:pPr>
      <w:r w:rsidRPr="00D351A9">
        <w:rPr>
          <w:rFonts w:ascii="Bookman Old Style" w:hAnsi="Bookman Old Style"/>
        </w:rPr>
        <w:t>Al respecto,</w:t>
      </w:r>
      <w:r w:rsidR="000251D0" w:rsidRPr="00D351A9">
        <w:rPr>
          <w:rFonts w:ascii="Bookman Old Style" w:hAnsi="Bookman Old Style"/>
        </w:rPr>
        <w:t xml:space="preserve"> la Corte Constitucional ha definido los dos tipos de analogías: la </w:t>
      </w:r>
      <w:r w:rsidR="000251D0" w:rsidRPr="00D351A9">
        <w:rPr>
          <w:rFonts w:ascii="Bookman Old Style" w:hAnsi="Bookman Old Style"/>
          <w:i/>
        </w:rPr>
        <w:t>legis</w:t>
      </w:r>
      <w:r w:rsidR="000251D0" w:rsidRPr="00D351A9">
        <w:rPr>
          <w:rFonts w:ascii="Bookman Old Style" w:hAnsi="Bookman Old Style"/>
        </w:rPr>
        <w:t xml:space="preserve"> y la </w:t>
      </w:r>
      <w:r w:rsidR="000251D0" w:rsidRPr="00D351A9">
        <w:rPr>
          <w:rFonts w:ascii="Bookman Old Style" w:hAnsi="Bookman Old Style"/>
          <w:i/>
        </w:rPr>
        <w:t>iuris</w:t>
      </w:r>
      <w:r w:rsidR="000251D0" w:rsidRPr="00D351A9">
        <w:rPr>
          <w:rFonts w:ascii="Bookman Old Style" w:hAnsi="Bookman Old Style"/>
        </w:rPr>
        <w:t xml:space="preserve">. “Cuando el juez razona por analogía, aplica la ley a una situación no contemplada explícitamente en ella, pero esencialmente igual, para los efectos de su regulación jurídica, a la que sí lo está. Esta modalidad se conoce en doctrina como analogía </w:t>
      </w:r>
      <w:r w:rsidR="000251D0" w:rsidRPr="00D351A9">
        <w:rPr>
          <w:rFonts w:ascii="Bookman Old Style" w:hAnsi="Bookman Old Style"/>
          <w:i/>
        </w:rPr>
        <w:t>legis</w:t>
      </w:r>
      <w:r w:rsidR="000251D0" w:rsidRPr="00D351A9">
        <w:rPr>
          <w:rFonts w:ascii="Bookman Old Style" w:hAnsi="Bookman Old Style"/>
        </w:rPr>
        <w:t xml:space="preserve">, y se la contrasta con la analogía </w:t>
      </w:r>
      <w:r w:rsidR="000251D0" w:rsidRPr="00D351A9">
        <w:rPr>
          <w:rFonts w:ascii="Bookman Old Style" w:hAnsi="Bookman Old Style"/>
          <w:i/>
        </w:rPr>
        <w:t>iuris</w:t>
      </w:r>
      <w:r w:rsidR="000251D0" w:rsidRPr="00D351A9">
        <w:rPr>
          <w:rFonts w:ascii="Bookman Old Style" w:hAnsi="Bookman Old Style"/>
        </w:rPr>
        <w:t xml:space="preserve"> en la cual, a partir de diversas disposiciones del ordenamiento, se extraen los principios generales que las informan, por una suerte de inducción, y se aplican a casos o situaciones no previstas de modo expreso en una norma determinada” (Sent</w:t>
      </w:r>
      <w:r w:rsidR="00E15EAC" w:rsidRPr="00D351A9">
        <w:rPr>
          <w:rFonts w:ascii="Bookman Old Style" w:hAnsi="Bookman Old Style"/>
        </w:rPr>
        <w:t>encia</w:t>
      </w:r>
      <w:r w:rsidR="000251D0" w:rsidRPr="00D351A9">
        <w:rPr>
          <w:rFonts w:ascii="Bookman Old Style" w:hAnsi="Bookman Old Style"/>
        </w:rPr>
        <w:t xml:space="preserve"> C-083/95, Corte Constitucional).</w:t>
      </w:r>
    </w:p>
    <w:p w14:paraId="0EBB87E5" w14:textId="7B9ED58A" w:rsidR="00F74E13" w:rsidRPr="00D351A9" w:rsidRDefault="00AF7093" w:rsidP="009B011F">
      <w:pPr>
        <w:spacing w:before="240"/>
        <w:ind w:left="0"/>
        <w:jc w:val="both"/>
        <w:rPr>
          <w:rFonts w:ascii="Bookman Old Style" w:hAnsi="Bookman Old Style" w:cs="Arial"/>
        </w:rPr>
      </w:pPr>
      <w:r w:rsidRPr="00D351A9">
        <w:rPr>
          <w:rFonts w:ascii="Bookman Old Style" w:hAnsi="Bookman Old Style"/>
        </w:rPr>
        <w:t xml:space="preserve">Dicho esto, </w:t>
      </w:r>
      <w:r w:rsidR="00E15EAC" w:rsidRPr="00D351A9">
        <w:rPr>
          <w:rFonts w:ascii="Bookman Old Style" w:hAnsi="Bookman Old Style"/>
        </w:rPr>
        <w:t>se</w:t>
      </w:r>
      <w:r w:rsidRPr="00D351A9">
        <w:rPr>
          <w:rFonts w:ascii="Bookman Old Style" w:hAnsi="Bookman Old Style"/>
        </w:rPr>
        <w:t xml:space="preserve"> precisa </w:t>
      </w:r>
      <w:r w:rsidR="00C0655E" w:rsidRPr="00D351A9">
        <w:rPr>
          <w:rFonts w:ascii="Bookman Old Style" w:hAnsi="Bookman Old Style" w:cs="Arial"/>
        </w:rPr>
        <w:t xml:space="preserve"> </w:t>
      </w:r>
      <w:r w:rsidR="00966A7D" w:rsidRPr="00D351A9">
        <w:rPr>
          <w:rFonts w:ascii="Bookman Old Style" w:hAnsi="Bookman Old Style" w:cs="Arial"/>
        </w:rPr>
        <w:t xml:space="preserve">que en el ámbito del derecho público no pueden pasarse por alto los límites que se presentan en el caso particular de la analogía, debido a la sujeción de las autoridades administrativas </w:t>
      </w:r>
      <w:r w:rsidR="00C0655E" w:rsidRPr="00D351A9">
        <w:rPr>
          <w:rFonts w:ascii="Bookman Old Style" w:hAnsi="Bookman Old Style" w:cs="Arial"/>
        </w:rPr>
        <w:t>al principio de legalidad</w:t>
      </w:r>
      <w:r w:rsidRPr="00D351A9">
        <w:rPr>
          <w:rFonts w:ascii="Bookman Old Style" w:hAnsi="Bookman Old Style" w:cs="Arial"/>
        </w:rPr>
        <w:t xml:space="preserve"> que consagra el artículo 121 de la </w:t>
      </w:r>
      <w:r w:rsidR="00451954" w:rsidRPr="00D351A9">
        <w:rPr>
          <w:rFonts w:ascii="Bookman Old Style" w:hAnsi="Bookman Old Style" w:cs="Arial"/>
        </w:rPr>
        <w:t>C</w:t>
      </w:r>
      <w:r w:rsidRPr="00D351A9">
        <w:rPr>
          <w:rFonts w:ascii="Bookman Old Style" w:hAnsi="Bookman Old Style" w:cs="Arial"/>
        </w:rPr>
        <w:t xml:space="preserve">onstitución </w:t>
      </w:r>
      <w:r w:rsidR="00451954" w:rsidRPr="00D351A9">
        <w:rPr>
          <w:rFonts w:ascii="Bookman Old Style" w:hAnsi="Bookman Old Style" w:cs="Arial"/>
        </w:rPr>
        <w:t>P</w:t>
      </w:r>
      <w:r w:rsidRPr="00D351A9">
        <w:rPr>
          <w:rFonts w:ascii="Bookman Old Style" w:hAnsi="Bookman Old Style" w:cs="Arial"/>
        </w:rPr>
        <w:t>olítica</w:t>
      </w:r>
      <w:r w:rsidR="00966A7D" w:rsidRPr="00D351A9">
        <w:rPr>
          <w:rFonts w:ascii="Bookman Old Style" w:hAnsi="Bookman Old Style" w:cs="Arial"/>
        </w:rPr>
        <w:t>,</w:t>
      </w:r>
      <w:r w:rsidR="00C0655E" w:rsidRPr="00D351A9">
        <w:rPr>
          <w:rFonts w:ascii="Bookman Old Style" w:hAnsi="Bookman Old Style" w:cs="Arial"/>
        </w:rPr>
        <w:t xml:space="preserve"> </w:t>
      </w:r>
      <w:r w:rsidRPr="00D351A9">
        <w:rPr>
          <w:rFonts w:ascii="Bookman Old Style" w:hAnsi="Bookman Old Style" w:cs="Arial"/>
        </w:rPr>
        <w:t xml:space="preserve">que impiden a la autoridad administrativa aplicar las normas vigentes a situaciones distintas a las previstas en ellas, es decir, al requerir la autoridad una autorización legal concreta para resolver un asunto, no puede </w:t>
      </w:r>
      <w:r w:rsidR="00F74E13" w:rsidRPr="00D351A9">
        <w:rPr>
          <w:rFonts w:ascii="Bookman Old Style" w:hAnsi="Bookman Old Style" w:cs="Arial"/>
        </w:rPr>
        <w:t xml:space="preserve">extender el alcance de las normas a situaciones no contempladas explícitamente en ellas, por tanto no puede aplicar la analogía </w:t>
      </w:r>
      <w:r w:rsidR="00F74E13" w:rsidRPr="00D351A9">
        <w:rPr>
          <w:rFonts w:ascii="Bookman Old Style" w:hAnsi="Bookman Old Style" w:cs="Arial"/>
          <w:i/>
        </w:rPr>
        <w:t>legis</w:t>
      </w:r>
      <w:r w:rsidR="00B77596" w:rsidRPr="00D351A9">
        <w:rPr>
          <w:rFonts w:ascii="Bookman Old Style" w:hAnsi="Bookman Old Style" w:cs="Arial"/>
        </w:rPr>
        <w:t xml:space="preserve"> propuesta</w:t>
      </w:r>
      <w:r w:rsidR="00F74E13" w:rsidRPr="00D351A9">
        <w:rPr>
          <w:rFonts w:ascii="Bookman Old Style" w:hAnsi="Bookman Old Style" w:cs="Arial"/>
        </w:rPr>
        <w:t>.</w:t>
      </w:r>
    </w:p>
    <w:p w14:paraId="66433B4E" w14:textId="2E09DB0C" w:rsidR="005C2A81" w:rsidRPr="00D351A9" w:rsidRDefault="00F74E13" w:rsidP="009B011F">
      <w:pPr>
        <w:spacing w:before="240"/>
        <w:ind w:left="0"/>
        <w:jc w:val="both"/>
        <w:rPr>
          <w:rFonts w:ascii="Bookman Old Style" w:hAnsi="Bookman Old Style"/>
        </w:rPr>
      </w:pPr>
      <w:r w:rsidRPr="00D351A9">
        <w:rPr>
          <w:rFonts w:ascii="Bookman Old Style" w:hAnsi="Bookman Old Style" w:cs="Arial"/>
        </w:rPr>
        <w:t xml:space="preserve">Ahora bien, </w:t>
      </w:r>
      <w:r w:rsidR="00F02539" w:rsidRPr="00D351A9">
        <w:rPr>
          <w:rFonts w:ascii="Bookman Old Style" w:hAnsi="Bookman Old Style" w:cs="Arial"/>
        </w:rPr>
        <w:t>en desarrollo del principio constitucional de igualdad</w:t>
      </w:r>
      <w:r w:rsidR="00512045" w:rsidRPr="00D351A9">
        <w:rPr>
          <w:rFonts w:ascii="Bookman Old Style" w:hAnsi="Bookman Old Style"/>
        </w:rPr>
        <w:t xml:space="preserve"> </w:t>
      </w:r>
      <w:r w:rsidR="00F02539" w:rsidRPr="00D351A9">
        <w:rPr>
          <w:rFonts w:ascii="Bookman Old Style" w:hAnsi="Bookman Old Style"/>
        </w:rPr>
        <w:t xml:space="preserve">tampoco </w:t>
      </w:r>
      <w:r w:rsidR="00512045" w:rsidRPr="00D351A9">
        <w:rPr>
          <w:rFonts w:ascii="Bookman Old Style" w:hAnsi="Bookman Old Style"/>
        </w:rPr>
        <w:t>le es dable a</w:t>
      </w:r>
      <w:r w:rsidR="00F02539" w:rsidRPr="00D351A9">
        <w:rPr>
          <w:rFonts w:ascii="Bookman Old Style" w:hAnsi="Bookman Old Style"/>
        </w:rPr>
        <w:t xml:space="preserve"> </w:t>
      </w:r>
      <w:r w:rsidR="00512045" w:rsidRPr="00D351A9">
        <w:rPr>
          <w:rFonts w:ascii="Bookman Old Style" w:hAnsi="Bookman Old Style"/>
        </w:rPr>
        <w:t>l</w:t>
      </w:r>
      <w:r w:rsidR="00F02539" w:rsidRPr="00D351A9">
        <w:rPr>
          <w:rFonts w:ascii="Bookman Old Style" w:hAnsi="Bookman Old Style"/>
        </w:rPr>
        <w:t xml:space="preserve">as autoridades administrativas </w:t>
      </w:r>
      <w:r w:rsidR="00512045" w:rsidRPr="00D351A9">
        <w:rPr>
          <w:rFonts w:ascii="Bookman Old Style" w:hAnsi="Bookman Old Style"/>
        </w:rPr>
        <w:t>interpretar</w:t>
      </w:r>
      <w:r w:rsidR="00EB01DB" w:rsidRPr="00D351A9">
        <w:rPr>
          <w:rFonts w:ascii="Bookman Old Style" w:hAnsi="Bookman Old Style"/>
        </w:rPr>
        <w:t xml:space="preserve"> o suplir</w:t>
      </w:r>
      <w:r w:rsidR="00512045" w:rsidRPr="00D351A9">
        <w:rPr>
          <w:rFonts w:ascii="Bookman Old Style" w:hAnsi="Bookman Old Style"/>
        </w:rPr>
        <w:t xml:space="preserve"> las normas de manera tal que conduzcan a dar un trato diferenciado a sus regulados, </w:t>
      </w:r>
      <w:r w:rsidR="00F02539" w:rsidRPr="00D351A9">
        <w:rPr>
          <w:rFonts w:ascii="Bookman Old Style" w:hAnsi="Bookman Old Style"/>
        </w:rPr>
        <w:t>desco</w:t>
      </w:r>
      <w:r w:rsidR="00167AE7" w:rsidRPr="00D351A9">
        <w:rPr>
          <w:rFonts w:ascii="Bookman Old Style" w:hAnsi="Bookman Old Style"/>
        </w:rPr>
        <w:softHyphen/>
      </w:r>
      <w:r w:rsidR="00F02539" w:rsidRPr="00D351A9">
        <w:rPr>
          <w:rFonts w:ascii="Bookman Old Style" w:hAnsi="Bookman Old Style"/>
        </w:rPr>
        <w:t>nociendo los precedentes administrativos del caso</w:t>
      </w:r>
      <w:r w:rsidR="00B77596" w:rsidRPr="00D351A9">
        <w:rPr>
          <w:rFonts w:ascii="Bookman Old Style" w:hAnsi="Bookman Old Style"/>
        </w:rPr>
        <w:t xml:space="preserve"> concreto</w:t>
      </w:r>
      <w:r w:rsidR="00F02539" w:rsidRPr="00D351A9">
        <w:rPr>
          <w:rFonts w:ascii="Bookman Old Style" w:hAnsi="Bookman Old Style"/>
        </w:rPr>
        <w:t xml:space="preserve">, </w:t>
      </w:r>
      <w:r w:rsidR="00512045" w:rsidRPr="00D351A9">
        <w:rPr>
          <w:rFonts w:ascii="Bookman Old Style" w:hAnsi="Bookman Old Style"/>
        </w:rPr>
        <w:t>máxime cuando las mismas están claramente definidas como resulta evidente en el punto objeto de análisis.</w:t>
      </w:r>
    </w:p>
    <w:p w14:paraId="4304FC21" w14:textId="2B511367" w:rsidR="00B77596" w:rsidRPr="00D351A9" w:rsidRDefault="00B77596" w:rsidP="009B011F">
      <w:pPr>
        <w:spacing w:before="240"/>
        <w:ind w:left="0"/>
        <w:jc w:val="both"/>
        <w:rPr>
          <w:rFonts w:ascii="Bookman Old Style" w:hAnsi="Bookman Old Style"/>
        </w:rPr>
      </w:pPr>
      <w:r w:rsidRPr="00D351A9">
        <w:rPr>
          <w:rFonts w:ascii="Bookman Old Style" w:hAnsi="Bookman Old Style"/>
        </w:rPr>
        <w:t>Para el caso concreto, la posición uniforme de la Comisión de Regulación de Energía y Gas ha sido y sigue siendo que los activos de uso del Sistema Nacional de Transmisión son reconocidos como tal por la CREG mediante acto administrativo y se remuneran a partir de la firmeza de dichos actos.</w:t>
      </w:r>
    </w:p>
    <w:p w14:paraId="1055F1C2" w14:textId="77777777" w:rsidR="00083156" w:rsidRPr="00A44B91" w:rsidRDefault="00083156" w:rsidP="00A44B91">
      <w:pPr>
        <w:pStyle w:val="Ttulo3"/>
        <w:numPr>
          <w:ilvl w:val="0"/>
          <w:numId w:val="46"/>
        </w:numPr>
      </w:pPr>
      <w:r w:rsidRPr="00D351A9">
        <w:t>Enriquecimiento sin causa</w:t>
      </w:r>
    </w:p>
    <w:p w14:paraId="6CC83529" w14:textId="56E84DE6" w:rsidR="002D006C" w:rsidRPr="00D351A9" w:rsidRDefault="002D006C" w:rsidP="009C777D">
      <w:pPr>
        <w:ind w:left="0"/>
        <w:jc w:val="both"/>
        <w:rPr>
          <w:rFonts w:ascii="Bookman Old Style" w:hAnsi="Bookman Old Style" w:cs="Arial"/>
        </w:rPr>
      </w:pPr>
      <w:r w:rsidRPr="00D351A9">
        <w:rPr>
          <w:rFonts w:ascii="Bookman Old Style" w:hAnsi="Bookman Old Style" w:cs="Arial"/>
        </w:rPr>
        <w:t xml:space="preserve">En este aparte el recurrente menciona la tardanza de la CREG, sobre la cual no hay ningún argumento o explicación en el resto del recurso presentado. Al respecto, se aclara que la decisión de la CREG se tomó dentro de los </w:t>
      </w:r>
      <w:r w:rsidR="00DF1F02">
        <w:rPr>
          <w:rFonts w:ascii="Bookman Old Style" w:hAnsi="Bookman Old Style" w:cs="Arial"/>
        </w:rPr>
        <w:t>plazos establecidos en la ley para adelantar las actuaciones administrativas</w:t>
      </w:r>
      <w:r w:rsidRPr="00D351A9">
        <w:rPr>
          <w:rFonts w:ascii="Bookman Old Style" w:hAnsi="Bookman Old Style" w:cs="Arial"/>
        </w:rPr>
        <w:t>.</w:t>
      </w:r>
    </w:p>
    <w:p w14:paraId="1B56D103" w14:textId="77777777" w:rsidR="002D006C" w:rsidRPr="00D351A9" w:rsidRDefault="002D006C" w:rsidP="009C777D">
      <w:pPr>
        <w:ind w:left="0"/>
        <w:jc w:val="both"/>
        <w:rPr>
          <w:rFonts w:ascii="Bookman Old Style" w:hAnsi="Bookman Old Style" w:cs="Arial"/>
        </w:rPr>
      </w:pPr>
    </w:p>
    <w:p w14:paraId="58E1C724" w14:textId="05DBF3DB" w:rsidR="002D006C" w:rsidRDefault="002D006C" w:rsidP="009C777D">
      <w:pPr>
        <w:ind w:left="0"/>
        <w:jc w:val="both"/>
        <w:rPr>
          <w:rFonts w:ascii="Bookman Old Style" w:hAnsi="Bookman Old Style" w:cs="Arial"/>
        </w:rPr>
      </w:pPr>
      <w:r w:rsidRPr="00D351A9">
        <w:rPr>
          <w:rFonts w:ascii="Bookman Old Style" w:hAnsi="Bookman Old Style" w:cs="Arial"/>
        </w:rPr>
        <w:t>H</w:t>
      </w:r>
      <w:r w:rsidR="00F02539" w:rsidRPr="00D351A9">
        <w:rPr>
          <w:rFonts w:ascii="Bookman Old Style" w:hAnsi="Bookman Old Style" w:cs="Arial"/>
        </w:rPr>
        <w:t>abiendo tomado la decisión la autoridad dentro del plazo establecido en la ley, debemos considerar que el tiempo transcurrido entre la fecha en que se presentó la solicitud y la fecha en que resuelve y se notifica la misma son parte de las cargas normales que todos los administrados debemos soportar</w:t>
      </w:r>
      <w:r w:rsidR="005A74CC" w:rsidRPr="00D351A9">
        <w:rPr>
          <w:rFonts w:ascii="Bookman Old Style" w:hAnsi="Bookman Old Style" w:cs="Arial"/>
        </w:rPr>
        <w:t>, razón por la cual lo dejado de percibir durante dicho lapso no constituye un empobrecimiento injustificado</w:t>
      </w:r>
      <w:r w:rsidR="008A0DE0" w:rsidRPr="00D351A9">
        <w:rPr>
          <w:rFonts w:ascii="Bookman Old Style" w:hAnsi="Bookman Old Style" w:cs="Arial"/>
        </w:rPr>
        <w:t xml:space="preserve"> y </w:t>
      </w:r>
      <w:r w:rsidR="005A74CC" w:rsidRPr="00D351A9">
        <w:rPr>
          <w:rFonts w:ascii="Bookman Old Style" w:hAnsi="Bookman Old Style" w:cs="Arial"/>
        </w:rPr>
        <w:t>no se configura un enrique</w:t>
      </w:r>
      <w:r w:rsidR="00167AE7" w:rsidRPr="00D351A9">
        <w:rPr>
          <w:rFonts w:ascii="Bookman Old Style" w:hAnsi="Bookman Old Style" w:cs="Arial"/>
        </w:rPr>
        <w:softHyphen/>
      </w:r>
      <w:r w:rsidR="005A74CC" w:rsidRPr="00D351A9">
        <w:rPr>
          <w:rFonts w:ascii="Bookman Old Style" w:hAnsi="Bookman Old Style" w:cs="Arial"/>
        </w:rPr>
        <w:t>cimiento sin causa de la contraparte, en este caso los consumidores.</w:t>
      </w:r>
      <w:r w:rsidRPr="00D351A9">
        <w:rPr>
          <w:rFonts w:ascii="Bookman Old Style" w:hAnsi="Bookman Old Style" w:cs="Arial"/>
        </w:rPr>
        <w:t xml:space="preserve"> Además, en el recurso no se presenta ningún argumento sobre el posible enriquecimiento de los usuarios.</w:t>
      </w:r>
    </w:p>
    <w:p w14:paraId="6226CBA8" w14:textId="50FC7719" w:rsidR="00983DA0" w:rsidRDefault="00983DA0" w:rsidP="009C777D">
      <w:pPr>
        <w:ind w:left="0"/>
        <w:jc w:val="both"/>
        <w:rPr>
          <w:rFonts w:ascii="Bookman Old Style" w:hAnsi="Bookman Old Style" w:cs="Arial"/>
        </w:rPr>
      </w:pPr>
    </w:p>
    <w:p w14:paraId="0071E7DB" w14:textId="4037ED6F" w:rsidR="00983DA0" w:rsidRPr="00D351A9" w:rsidRDefault="00983DA0" w:rsidP="009C777D">
      <w:pPr>
        <w:ind w:left="0"/>
        <w:jc w:val="both"/>
        <w:rPr>
          <w:rFonts w:ascii="Bookman Old Style" w:hAnsi="Bookman Old Style" w:cs="Arial"/>
        </w:rPr>
      </w:pPr>
      <w:r>
        <w:rPr>
          <w:rFonts w:ascii="Bookman Old Style" w:hAnsi="Bookman Old Style" w:cs="Arial"/>
        </w:rPr>
        <w:t>Adicional a lo anterior, cabe recordar que actualmente la línea Esmeralda - La Hermosa de 115 kV se continúa pagando a través del costo de prestación del servicio como parte del inventario reconocido a la Central Hidroeléctrica de Caldas; es decir, los usuarios están pagando por esta línea.</w:t>
      </w:r>
    </w:p>
    <w:p w14:paraId="4E1C4434" w14:textId="7521EB45" w:rsidR="00391ED9" w:rsidRPr="00A44B91" w:rsidRDefault="00D733AF" w:rsidP="00A44B91">
      <w:pPr>
        <w:pStyle w:val="Ttulo3"/>
        <w:numPr>
          <w:ilvl w:val="0"/>
          <w:numId w:val="46"/>
        </w:numPr>
      </w:pPr>
      <w:r w:rsidRPr="00D351A9">
        <w:t>Imposibilidad de condicionar los efectos y aplicación de la Resolución CREG 023 de 2019 a la ejecutoria de la resolución que modifique el inventario reconocido a la Central Hidroeléctrica de Caldas</w:t>
      </w:r>
      <w:r w:rsidR="00391ED9" w:rsidRPr="00D351A9">
        <w:t xml:space="preserve"> </w:t>
      </w:r>
    </w:p>
    <w:p w14:paraId="220D7EDB" w14:textId="66504470" w:rsidR="003E4347" w:rsidRDefault="003553A6" w:rsidP="009C777D">
      <w:pPr>
        <w:ind w:left="0"/>
        <w:jc w:val="both"/>
        <w:rPr>
          <w:rFonts w:ascii="Bookman Old Style" w:hAnsi="Bookman Old Style" w:cs="Arial"/>
          <w:lang w:val="es-CO"/>
        </w:rPr>
      </w:pPr>
      <w:r>
        <w:rPr>
          <w:rFonts w:ascii="Bookman Old Style" w:hAnsi="Bookman Old Style" w:cs="Arial"/>
          <w:lang w:val="es-CO"/>
        </w:rPr>
        <w:t>Dentro de las funciones encargadas a la Comisión de Regulación de Energía y Gas, CREG, en el artículo 23 de la Ley 143 de 1994 se encuentran, entre otras, las siguientes funciones:</w:t>
      </w:r>
    </w:p>
    <w:p w14:paraId="22C2BBAD" w14:textId="77D99E6A" w:rsidR="003553A6" w:rsidRPr="003553A6" w:rsidRDefault="003553A6" w:rsidP="003553A6">
      <w:pPr>
        <w:spacing w:before="120"/>
        <w:ind w:left="284" w:right="284"/>
        <w:jc w:val="both"/>
        <w:rPr>
          <w:rFonts w:ascii="Bookman Old Style" w:hAnsi="Bookman Old Style"/>
          <w:i/>
          <w:sz w:val="22"/>
          <w:szCs w:val="20"/>
        </w:rPr>
      </w:pPr>
      <w:r w:rsidRPr="003553A6">
        <w:rPr>
          <w:rFonts w:ascii="Bookman Old Style" w:hAnsi="Bookman Old Style"/>
          <w:i/>
          <w:sz w:val="22"/>
          <w:szCs w:val="20"/>
        </w:rPr>
        <w:t>c) Definir la metodología para el cálculo de las tarifas por el acceso y uso de las redes eléctricas, y los cargos por los servicios de despacho y coordinación prestados por los centros regionales de despacho y el centro nacional de despacho;</w:t>
      </w:r>
    </w:p>
    <w:p w14:paraId="661B6AA4" w14:textId="186ABB99" w:rsidR="003553A6" w:rsidRPr="003553A6" w:rsidRDefault="003553A6" w:rsidP="003553A6">
      <w:pPr>
        <w:spacing w:before="120"/>
        <w:ind w:left="284" w:right="284"/>
        <w:jc w:val="both"/>
        <w:rPr>
          <w:rFonts w:ascii="Bookman Old Style" w:hAnsi="Bookman Old Style"/>
          <w:i/>
          <w:sz w:val="22"/>
          <w:szCs w:val="20"/>
        </w:rPr>
      </w:pPr>
      <w:r w:rsidRPr="003553A6">
        <w:rPr>
          <w:rFonts w:ascii="Bookman Old Style" w:hAnsi="Bookman Old Style"/>
          <w:i/>
          <w:sz w:val="22"/>
          <w:szCs w:val="20"/>
        </w:rPr>
        <w:t>d) Aprobar las tarifas que deban sufragarse por el acceso y uso de las redes eléctricas y los cargos por los servicios de despacho y coordinación prestados por los centros regionales de despacho y Centro Nacional de Despacho;</w:t>
      </w:r>
    </w:p>
    <w:p w14:paraId="00B1416F" w14:textId="7E50BF63" w:rsidR="003E4347" w:rsidRPr="003553A6" w:rsidRDefault="003E4347" w:rsidP="009C777D">
      <w:pPr>
        <w:ind w:left="0"/>
        <w:jc w:val="both"/>
        <w:rPr>
          <w:rFonts w:ascii="Bookman Old Style" w:hAnsi="Bookman Old Style" w:cs="Arial"/>
        </w:rPr>
      </w:pPr>
    </w:p>
    <w:p w14:paraId="7ACB2336" w14:textId="0AE97DCE" w:rsidR="003553A6" w:rsidRDefault="003553A6" w:rsidP="009C777D">
      <w:pPr>
        <w:ind w:left="0"/>
        <w:jc w:val="both"/>
        <w:rPr>
          <w:rFonts w:ascii="Bookman Old Style" w:hAnsi="Bookman Old Style" w:cs="Arial"/>
          <w:lang w:val="es-CO"/>
        </w:rPr>
      </w:pPr>
      <w:r>
        <w:rPr>
          <w:rFonts w:ascii="Bookman Old Style" w:hAnsi="Bookman Old Style" w:cs="Arial"/>
          <w:lang w:val="es-CO"/>
        </w:rPr>
        <w:t xml:space="preserve">Con base en lo anterior, la CREG aprueba y actualiza periódicamente las metodologías relacionadas con la remuneración </w:t>
      </w:r>
      <w:r w:rsidR="004C04B1">
        <w:rPr>
          <w:rFonts w:ascii="Bookman Old Style" w:hAnsi="Bookman Old Style" w:cs="Arial"/>
          <w:lang w:val="es-CO"/>
        </w:rPr>
        <w:t xml:space="preserve">a los prestadores del servicio </w:t>
      </w:r>
      <w:r w:rsidR="00D971FD">
        <w:rPr>
          <w:rFonts w:ascii="Bookman Old Style" w:hAnsi="Bookman Old Style" w:cs="Arial"/>
          <w:lang w:val="es-CO"/>
        </w:rPr>
        <w:t xml:space="preserve">de energía eléctrica </w:t>
      </w:r>
      <w:r w:rsidR="004C04B1">
        <w:rPr>
          <w:rFonts w:ascii="Bookman Old Style" w:hAnsi="Bookman Old Style" w:cs="Arial"/>
          <w:lang w:val="es-CO"/>
        </w:rPr>
        <w:t xml:space="preserve">junto con </w:t>
      </w:r>
      <w:r>
        <w:rPr>
          <w:rFonts w:ascii="Bookman Old Style" w:hAnsi="Bookman Old Style" w:cs="Arial"/>
          <w:lang w:val="es-CO"/>
        </w:rPr>
        <w:t xml:space="preserve">las diferentes exigencias </w:t>
      </w:r>
      <w:r w:rsidR="004C04B1">
        <w:rPr>
          <w:rFonts w:ascii="Bookman Old Style" w:hAnsi="Bookman Old Style" w:cs="Arial"/>
          <w:lang w:val="es-CO"/>
        </w:rPr>
        <w:t>en materia de calidad y otras condiciones de cada actividad.</w:t>
      </w:r>
    </w:p>
    <w:p w14:paraId="2EA8E213" w14:textId="65C6748C" w:rsidR="003553A6" w:rsidRDefault="003553A6" w:rsidP="009C777D">
      <w:pPr>
        <w:ind w:left="0"/>
        <w:jc w:val="both"/>
        <w:rPr>
          <w:rFonts w:ascii="Bookman Old Style" w:hAnsi="Bookman Old Style" w:cs="Arial"/>
          <w:lang w:val="es-CO"/>
        </w:rPr>
      </w:pPr>
    </w:p>
    <w:p w14:paraId="09720FB4" w14:textId="6A7DB6F2" w:rsidR="004C04B1" w:rsidRDefault="004C04B1" w:rsidP="009C777D">
      <w:pPr>
        <w:ind w:left="0"/>
        <w:jc w:val="both"/>
        <w:rPr>
          <w:rFonts w:ascii="Bookman Old Style" w:hAnsi="Bookman Old Style" w:cs="Arial"/>
          <w:lang w:val="es-CO"/>
        </w:rPr>
      </w:pPr>
      <w:r>
        <w:rPr>
          <w:rFonts w:ascii="Bookman Old Style" w:hAnsi="Bookman Old Style" w:cs="Arial"/>
          <w:lang w:val="es-CO"/>
        </w:rPr>
        <w:t>Actualmente, para la actividad de transmisión, está vigente la Resolución CREG 011 de 2009 y para la actividad de distribución está vigente la Resolución CREG 015 de 2018. Como para esta última aún no están aprobados los ingresos de cada empresa, se continúan aplicando los aprobados con base en la metodología definida en la Resolución CREG 097 de 2008.</w:t>
      </w:r>
    </w:p>
    <w:p w14:paraId="36E2A1C5" w14:textId="7DFDF7EF" w:rsidR="004C04B1" w:rsidRDefault="004C04B1" w:rsidP="009C777D">
      <w:pPr>
        <w:ind w:left="0"/>
        <w:jc w:val="both"/>
        <w:rPr>
          <w:rFonts w:ascii="Bookman Old Style" w:hAnsi="Bookman Old Style" w:cs="Arial"/>
          <w:lang w:val="es-CO"/>
        </w:rPr>
      </w:pPr>
    </w:p>
    <w:p w14:paraId="131D79E6" w14:textId="59A0AB6D" w:rsidR="004C04B1" w:rsidRDefault="004C04B1" w:rsidP="009C777D">
      <w:pPr>
        <w:ind w:left="0"/>
        <w:jc w:val="both"/>
        <w:rPr>
          <w:rFonts w:ascii="Bookman Old Style" w:hAnsi="Bookman Old Style" w:cs="Arial"/>
          <w:lang w:val="es-CO"/>
        </w:rPr>
      </w:pPr>
      <w:r>
        <w:rPr>
          <w:rFonts w:ascii="Bookman Old Style" w:hAnsi="Bookman Old Style" w:cs="Arial"/>
          <w:lang w:val="es-CO"/>
        </w:rPr>
        <w:t xml:space="preserve">En las dos metodologías, la de transmisión y la de distribución (esta última, en la parte relacionada con activos del Sistema de Transmisión Regional, STR), se contemplan las acciones a seguir por parte de los prestadores y de la CREG en los casos en los que se </w:t>
      </w:r>
      <w:r w:rsidR="00D971FD">
        <w:rPr>
          <w:rFonts w:ascii="Bookman Old Style" w:hAnsi="Bookman Old Style" w:cs="Arial"/>
          <w:lang w:val="es-CO"/>
        </w:rPr>
        <w:t xml:space="preserve">pretenden </w:t>
      </w:r>
      <w:r>
        <w:rPr>
          <w:rFonts w:ascii="Bookman Old Style" w:hAnsi="Bookman Old Style" w:cs="Arial"/>
          <w:lang w:val="es-CO"/>
        </w:rPr>
        <w:t>inclu</w:t>
      </w:r>
      <w:r w:rsidR="00D971FD">
        <w:rPr>
          <w:rFonts w:ascii="Bookman Old Style" w:hAnsi="Bookman Old Style" w:cs="Arial"/>
          <w:lang w:val="es-CO"/>
        </w:rPr>
        <w:t>ir</w:t>
      </w:r>
      <w:r>
        <w:rPr>
          <w:rFonts w:ascii="Bookman Old Style" w:hAnsi="Bookman Old Style" w:cs="Arial"/>
          <w:lang w:val="es-CO"/>
        </w:rPr>
        <w:t xml:space="preserve"> nuevos activos para la prestación del servicio, así como en los que se excluyen activos o salen de operación.</w:t>
      </w:r>
    </w:p>
    <w:p w14:paraId="3E315E78" w14:textId="791AD6C4" w:rsidR="004C04B1" w:rsidRDefault="004C04B1" w:rsidP="009C777D">
      <w:pPr>
        <w:ind w:left="0"/>
        <w:jc w:val="both"/>
        <w:rPr>
          <w:rFonts w:ascii="Bookman Old Style" w:hAnsi="Bookman Old Style" w:cs="Arial"/>
          <w:lang w:val="es-CO"/>
        </w:rPr>
      </w:pPr>
    </w:p>
    <w:p w14:paraId="15AE1CF5" w14:textId="62662519" w:rsidR="004C04B1" w:rsidRDefault="004C04B1" w:rsidP="009C777D">
      <w:pPr>
        <w:ind w:left="0"/>
        <w:jc w:val="both"/>
        <w:rPr>
          <w:rFonts w:ascii="Bookman Old Style" w:hAnsi="Bookman Old Style" w:cs="Arial"/>
          <w:lang w:val="es-CO"/>
        </w:rPr>
      </w:pPr>
      <w:r>
        <w:rPr>
          <w:rFonts w:ascii="Bookman Old Style" w:hAnsi="Bookman Old Style" w:cs="Arial"/>
          <w:lang w:val="es-CO"/>
        </w:rPr>
        <w:t>Para la modificación de los ingresos aprobados a los Transmisores Nacionales</w:t>
      </w:r>
      <w:r w:rsidR="00C6220A">
        <w:rPr>
          <w:rFonts w:ascii="Bookman Old Style" w:hAnsi="Bookman Old Style" w:cs="Arial"/>
          <w:lang w:val="es-CO"/>
        </w:rPr>
        <w:t>, TN,</w:t>
      </w:r>
      <w:r>
        <w:rPr>
          <w:rFonts w:ascii="Bookman Old Style" w:hAnsi="Bookman Old Style" w:cs="Arial"/>
          <w:lang w:val="es-CO"/>
        </w:rPr>
        <w:t xml:space="preserve"> o a los Operadores de Red</w:t>
      </w:r>
      <w:r w:rsidR="00C6220A">
        <w:rPr>
          <w:rFonts w:ascii="Bookman Old Style" w:hAnsi="Bookman Old Style" w:cs="Arial"/>
          <w:lang w:val="es-CO"/>
        </w:rPr>
        <w:t>, OR,</w:t>
      </w:r>
      <w:r>
        <w:rPr>
          <w:rFonts w:ascii="Bookman Old Style" w:hAnsi="Bookman Old Style" w:cs="Arial"/>
          <w:lang w:val="es-CO"/>
        </w:rPr>
        <w:t xml:space="preserve"> se requiere una resolución particular de la CREG donde se aprueba la respectiva modificación, la cual se traslada a los usuarios cuando la resolución particular queda en firme.</w:t>
      </w:r>
    </w:p>
    <w:p w14:paraId="01B7DACE" w14:textId="3E241F70" w:rsidR="004C04B1" w:rsidRDefault="004C04B1" w:rsidP="009C777D">
      <w:pPr>
        <w:ind w:left="0"/>
        <w:jc w:val="both"/>
        <w:rPr>
          <w:rFonts w:ascii="Bookman Old Style" w:hAnsi="Bookman Old Style" w:cs="Arial"/>
          <w:lang w:val="es-CO"/>
        </w:rPr>
      </w:pPr>
    </w:p>
    <w:p w14:paraId="0AD6D918" w14:textId="787235F7" w:rsidR="004C04B1" w:rsidRDefault="004C04B1" w:rsidP="009C777D">
      <w:pPr>
        <w:ind w:left="0"/>
        <w:jc w:val="both"/>
        <w:rPr>
          <w:rFonts w:ascii="Bookman Old Style" w:hAnsi="Bookman Old Style" w:cs="Arial"/>
          <w:lang w:val="es-CO"/>
        </w:rPr>
      </w:pPr>
      <w:r>
        <w:rPr>
          <w:rFonts w:ascii="Bookman Old Style" w:hAnsi="Bookman Old Style" w:cs="Arial"/>
          <w:lang w:val="es-CO"/>
        </w:rPr>
        <w:t>El proyecto</w:t>
      </w:r>
      <w:r w:rsidR="00D971FD">
        <w:rPr>
          <w:rFonts w:ascii="Bookman Old Style" w:hAnsi="Bookman Old Style" w:cs="Arial"/>
          <w:lang w:val="es-CO"/>
        </w:rPr>
        <w:t>,</w:t>
      </w:r>
      <w:r>
        <w:rPr>
          <w:rFonts w:ascii="Bookman Old Style" w:hAnsi="Bookman Old Style" w:cs="Arial"/>
          <w:lang w:val="es-CO"/>
        </w:rPr>
        <w:t xml:space="preserve"> </w:t>
      </w:r>
      <w:r w:rsidR="00C6220A">
        <w:rPr>
          <w:rFonts w:ascii="Bookman Old Style" w:hAnsi="Bookman Old Style" w:cs="Arial"/>
          <w:lang w:val="es-CO"/>
        </w:rPr>
        <w:t>objeto de la modificación aprobada con la Resolución CREG 023 de 2019</w:t>
      </w:r>
      <w:r w:rsidR="00D971FD">
        <w:rPr>
          <w:rFonts w:ascii="Bookman Old Style" w:hAnsi="Bookman Old Style" w:cs="Arial"/>
          <w:lang w:val="es-CO"/>
        </w:rPr>
        <w:t>,</w:t>
      </w:r>
      <w:r w:rsidR="00C6220A">
        <w:rPr>
          <w:rFonts w:ascii="Bookman Old Style" w:hAnsi="Bookman Old Style" w:cs="Arial"/>
          <w:lang w:val="es-CO"/>
        </w:rPr>
        <w:t xml:space="preserve"> consistió en el cambio del nivel de tensión de la línea Esmeralda - La Hermosa de 115 kV, remunerada en la actividad de distribución, para convertirla en la línea Esmeralda - La Hermosa 2, de 230 kV, que pasa a ser remunerada en la actividad de </w:t>
      </w:r>
      <w:r w:rsidR="00D971FD">
        <w:rPr>
          <w:rFonts w:ascii="Bookman Old Style" w:hAnsi="Bookman Old Style" w:cs="Arial"/>
          <w:lang w:val="es-CO"/>
        </w:rPr>
        <w:t>transmis</w:t>
      </w:r>
      <w:r w:rsidR="00C6220A">
        <w:rPr>
          <w:rFonts w:ascii="Bookman Old Style" w:hAnsi="Bookman Old Style" w:cs="Arial"/>
          <w:lang w:val="es-CO"/>
        </w:rPr>
        <w:t>ión.</w:t>
      </w:r>
    </w:p>
    <w:p w14:paraId="6A40C1EA" w14:textId="60F45713" w:rsidR="00C6220A" w:rsidRDefault="00C6220A" w:rsidP="009C777D">
      <w:pPr>
        <w:ind w:left="0"/>
        <w:jc w:val="both"/>
        <w:rPr>
          <w:rFonts w:ascii="Bookman Old Style" w:hAnsi="Bookman Old Style" w:cs="Arial"/>
          <w:lang w:val="es-CO"/>
        </w:rPr>
      </w:pPr>
    </w:p>
    <w:p w14:paraId="18BD613A" w14:textId="34DE3760" w:rsidR="00C6220A" w:rsidRDefault="00C6220A" w:rsidP="009C777D">
      <w:pPr>
        <w:ind w:left="0"/>
        <w:jc w:val="both"/>
        <w:rPr>
          <w:rFonts w:ascii="Bookman Old Style" w:hAnsi="Bookman Old Style" w:cs="Arial"/>
          <w:lang w:val="es-CO"/>
        </w:rPr>
      </w:pPr>
      <w:r>
        <w:rPr>
          <w:rFonts w:ascii="Bookman Old Style" w:hAnsi="Bookman Old Style" w:cs="Arial"/>
          <w:lang w:val="es-CO"/>
        </w:rPr>
        <w:t xml:space="preserve">Como se mencionó arriba, cuando la CREG identificó que la línea de 115 kV se estaba remunerando a la Central Hidroeléctrica de Caldas </w:t>
      </w:r>
      <w:r w:rsidRPr="00C6220A">
        <w:rPr>
          <w:rFonts w:ascii="Bookman Old Style" w:hAnsi="Bookman Old Style" w:cs="Arial"/>
          <w:lang w:val="es-CO"/>
        </w:rPr>
        <w:t>S.A. E.S.P., como</w:t>
      </w:r>
      <w:r>
        <w:rPr>
          <w:rFonts w:ascii="Bookman Old Style" w:hAnsi="Bookman Old Style" w:cs="Arial"/>
          <w:lang w:val="es-CO"/>
        </w:rPr>
        <w:t xml:space="preserve"> Operador de </w:t>
      </w:r>
      <w:r w:rsidR="00E465CD">
        <w:rPr>
          <w:rFonts w:ascii="Bookman Old Style" w:hAnsi="Bookman Old Style" w:cs="Arial"/>
          <w:lang w:val="es-CO"/>
        </w:rPr>
        <w:t>R</w:t>
      </w:r>
      <w:r>
        <w:rPr>
          <w:rFonts w:ascii="Bookman Old Style" w:hAnsi="Bookman Old Style" w:cs="Arial"/>
          <w:lang w:val="es-CO"/>
        </w:rPr>
        <w:t>ed de este activo, decidió hacerl</w:t>
      </w:r>
      <w:r w:rsidR="00D971FD">
        <w:rPr>
          <w:rFonts w:ascii="Bookman Old Style" w:hAnsi="Bookman Old Style" w:cs="Arial"/>
          <w:lang w:val="es-CO"/>
        </w:rPr>
        <w:t>a</w:t>
      </w:r>
      <w:r>
        <w:rPr>
          <w:rFonts w:ascii="Bookman Old Style" w:hAnsi="Bookman Old Style" w:cs="Arial"/>
          <w:lang w:val="es-CO"/>
        </w:rPr>
        <w:t xml:space="preserve"> parte de la actuación administrativa iniciada con </w:t>
      </w:r>
      <w:r w:rsidR="00D971FD">
        <w:rPr>
          <w:rFonts w:ascii="Bookman Old Style" w:hAnsi="Bookman Old Style" w:cs="Arial"/>
          <w:lang w:val="es-CO"/>
        </w:rPr>
        <w:t xml:space="preserve">base en </w:t>
      </w:r>
      <w:r>
        <w:rPr>
          <w:rFonts w:ascii="Bookman Old Style" w:hAnsi="Bookman Old Style" w:cs="Arial"/>
          <w:lang w:val="es-CO"/>
        </w:rPr>
        <w:t>la solicitud de Intercolombia.</w:t>
      </w:r>
      <w:r w:rsidR="00E465CD">
        <w:rPr>
          <w:rFonts w:ascii="Bookman Old Style" w:hAnsi="Bookman Old Style" w:cs="Arial"/>
          <w:lang w:val="es-CO"/>
        </w:rPr>
        <w:t xml:space="preserve"> </w:t>
      </w:r>
      <w:r w:rsidR="00E465CD" w:rsidRPr="007A656D">
        <w:rPr>
          <w:rFonts w:ascii="Bookman Old Style" w:hAnsi="Bookman Old Style" w:cs="Arial"/>
          <w:lang w:val="es-CO"/>
        </w:rPr>
        <w:t>El auto</w:t>
      </w:r>
      <w:r w:rsidR="00D971FD" w:rsidRPr="007A656D">
        <w:rPr>
          <w:rFonts w:ascii="Bookman Old Style" w:hAnsi="Bookman Old Style" w:cs="Arial"/>
          <w:lang w:val="es-CO"/>
        </w:rPr>
        <w:t xml:space="preserve"> </w:t>
      </w:r>
      <w:r w:rsidR="00D971FD" w:rsidRPr="007A656D">
        <w:rPr>
          <w:rFonts w:ascii="Bookman Old Style" w:hAnsi="Bookman Old Style"/>
        </w:rPr>
        <w:t xml:space="preserve">del 31 de octubre de 2018, </w:t>
      </w:r>
      <w:r w:rsidR="00E465CD" w:rsidRPr="007A656D">
        <w:rPr>
          <w:rFonts w:ascii="Bookman Old Style" w:hAnsi="Bookman Old Style" w:cs="Arial"/>
          <w:lang w:val="es-CO"/>
        </w:rPr>
        <w:t>con el que se tomó esta decisión</w:t>
      </w:r>
      <w:r w:rsidR="00D971FD" w:rsidRPr="007A656D">
        <w:rPr>
          <w:rFonts w:ascii="Bookman Old Style" w:hAnsi="Bookman Old Style" w:cs="Arial"/>
          <w:lang w:val="es-CO"/>
        </w:rPr>
        <w:t>,</w:t>
      </w:r>
      <w:r w:rsidR="00E465CD" w:rsidRPr="007A656D">
        <w:rPr>
          <w:rFonts w:ascii="Bookman Old Style" w:hAnsi="Bookman Old Style" w:cs="Arial"/>
          <w:lang w:val="es-CO"/>
        </w:rPr>
        <w:t xml:space="preserve"> fue de conocimiento de Intercolombia.</w:t>
      </w:r>
    </w:p>
    <w:p w14:paraId="6B7CF4D5" w14:textId="51BA0722" w:rsidR="00C6220A" w:rsidRDefault="00C6220A" w:rsidP="009C777D">
      <w:pPr>
        <w:ind w:left="0"/>
        <w:jc w:val="both"/>
        <w:rPr>
          <w:rFonts w:ascii="Bookman Old Style" w:hAnsi="Bookman Old Style" w:cs="Arial"/>
          <w:lang w:val="es-CO"/>
        </w:rPr>
      </w:pPr>
    </w:p>
    <w:p w14:paraId="68B0826F" w14:textId="1B7AA6DB" w:rsidR="00E465CD" w:rsidRDefault="00E465CD" w:rsidP="009C777D">
      <w:pPr>
        <w:ind w:left="0"/>
        <w:jc w:val="both"/>
        <w:rPr>
          <w:rFonts w:ascii="Bookman Old Style" w:hAnsi="Bookman Old Style" w:cs="Arial"/>
          <w:lang w:val="es-CO"/>
        </w:rPr>
      </w:pPr>
      <w:r>
        <w:rPr>
          <w:rFonts w:ascii="Bookman Old Style" w:hAnsi="Bookman Old Style" w:cs="Arial"/>
          <w:lang w:val="es-CO"/>
        </w:rPr>
        <w:t>Ahora bien, dentro del costo de prestación del servicio que se traslada al usuario están incluidos los componentes tanto de la actividad de transmisión como de la actividad de distribución. Esto hace que cuando un activo deja de remunerase en la actividad de distribución</w:t>
      </w:r>
      <w:r w:rsidR="009B6D6B">
        <w:rPr>
          <w:rFonts w:ascii="Bookman Old Style" w:hAnsi="Bookman Old Style" w:cs="Arial"/>
          <w:lang w:val="es-CO"/>
        </w:rPr>
        <w:t xml:space="preserve">, </w:t>
      </w:r>
      <w:r>
        <w:rPr>
          <w:rFonts w:ascii="Bookman Old Style" w:hAnsi="Bookman Old Style" w:cs="Arial"/>
          <w:lang w:val="es-CO"/>
        </w:rPr>
        <w:t xml:space="preserve">para </w:t>
      </w:r>
      <w:r w:rsidR="009B6D6B">
        <w:rPr>
          <w:rFonts w:ascii="Bookman Old Style" w:hAnsi="Bookman Old Style" w:cs="Arial"/>
          <w:lang w:val="es-CO"/>
        </w:rPr>
        <w:t xml:space="preserve">pasar a ser remunerado en la actividad de </w:t>
      </w:r>
      <w:r w:rsidR="00983DA0">
        <w:rPr>
          <w:rFonts w:ascii="Bookman Old Style" w:hAnsi="Bookman Old Style" w:cs="Arial"/>
          <w:lang w:val="es-CO"/>
        </w:rPr>
        <w:t>transmisi</w:t>
      </w:r>
      <w:r w:rsidR="009B6D6B">
        <w:rPr>
          <w:rFonts w:ascii="Bookman Old Style" w:hAnsi="Bookman Old Style" w:cs="Arial"/>
          <w:lang w:val="es-CO"/>
        </w:rPr>
        <w:t>ón, la Comisión tenga que aprobar dos resoluciones particulares que deben empezar a aplicarse en la misma fecha.</w:t>
      </w:r>
    </w:p>
    <w:p w14:paraId="7927C139" w14:textId="14C98F5E" w:rsidR="009B6D6B" w:rsidRDefault="009B6D6B" w:rsidP="009C777D">
      <w:pPr>
        <w:ind w:left="0"/>
        <w:jc w:val="both"/>
        <w:rPr>
          <w:rFonts w:ascii="Bookman Old Style" w:hAnsi="Bookman Old Style" w:cs="Arial"/>
          <w:lang w:val="es-CO"/>
        </w:rPr>
      </w:pPr>
    </w:p>
    <w:p w14:paraId="138DCACA" w14:textId="1A962EBF" w:rsidR="009B6D6B" w:rsidRDefault="009B6D6B" w:rsidP="009C777D">
      <w:pPr>
        <w:ind w:left="0"/>
        <w:jc w:val="both"/>
        <w:rPr>
          <w:rFonts w:ascii="Bookman Old Style" w:hAnsi="Bookman Old Style" w:cs="Arial"/>
          <w:lang w:val="es-CO"/>
        </w:rPr>
      </w:pPr>
      <w:r>
        <w:rPr>
          <w:rFonts w:ascii="Bookman Old Style" w:hAnsi="Bookman Old Style" w:cs="Arial"/>
          <w:lang w:val="es-CO"/>
        </w:rPr>
        <w:t xml:space="preserve">Entonces es indispensable que, tanto la resolución que disminuye el componente de distribución como la que aumenta el componente de </w:t>
      </w:r>
      <w:r w:rsidR="007F7B52">
        <w:rPr>
          <w:rFonts w:ascii="Bookman Old Style" w:hAnsi="Bookman Old Style" w:cs="Arial"/>
          <w:lang w:val="es-CO"/>
        </w:rPr>
        <w:t>transmisión</w:t>
      </w:r>
      <w:r>
        <w:rPr>
          <w:rFonts w:ascii="Bookman Old Style" w:hAnsi="Bookman Old Style" w:cs="Arial"/>
          <w:lang w:val="es-CO"/>
        </w:rPr>
        <w:t>, queden en firme y</w:t>
      </w:r>
      <w:r w:rsidR="00574449">
        <w:rPr>
          <w:rFonts w:ascii="Bookman Old Style" w:hAnsi="Bookman Old Style" w:cs="Arial"/>
          <w:lang w:val="es-CO"/>
        </w:rPr>
        <w:t>,</w:t>
      </w:r>
      <w:r>
        <w:rPr>
          <w:rFonts w:ascii="Bookman Old Style" w:hAnsi="Bookman Old Style" w:cs="Arial"/>
          <w:lang w:val="es-CO"/>
        </w:rPr>
        <w:t xml:space="preserve"> luego</w:t>
      </w:r>
      <w:r w:rsidR="00574449">
        <w:rPr>
          <w:rFonts w:ascii="Bookman Old Style" w:hAnsi="Bookman Old Style" w:cs="Arial"/>
          <w:lang w:val="es-CO"/>
        </w:rPr>
        <w:t>,</w:t>
      </w:r>
      <w:r>
        <w:rPr>
          <w:rFonts w:ascii="Bookman Old Style" w:hAnsi="Bookman Old Style" w:cs="Arial"/>
          <w:lang w:val="es-CO"/>
        </w:rPr>
        <w:t xml:space="preserve"> sí empezar a aplicar al tiempo lo aprobado en las dos resoluciones. Es decir, es indispensable que para dar aplicación a lo aprobado en la Resolución CREG 023 de 2019, ya esté en firme la Resolución CREG 024 de 2019, mediante la cual se modificaron los ingreso</w:t>
      </w:r>
      <w:r w:rsidR="007F7B52">
        <w:rPr>
          <w:rFonts w:ascii="Bookman Old Style" w:hAnsi="Bookman Old Style" w:cs="Arial"/>
          <w:lang w:val="es-CO"/>
        </w:rPr>
        <w:t>s</w:t>
      </w:r>
      <w:r>
        <w:rPr>
          <w:rFonts w:ascii="Bookman Old Style" w:hAnsi="Bookman Old Style" w:cs="Arial"/>
          <w:lang w:val="es-CO"/>
        </w:rPr>
        <w:t xml:space="preserve"> y cargos aprobados en el STR de la Central Hidroeléctrica de Caldas </w:t>
      </w:r>
      <w:r w:rsidRPr="00C6220A">
        <w:rPr>
          <w:rFonts w:ascii="Bookman Old Style" w:hAnsi="Bookman Old Style" w:cs="Arial"/>
          <w:lang w:val="es-CO"/>
        </w:rPr>
        <w:t>S.A. E.S.P.</w:t>
      </w:r>
      <w:r w:rsidR="00574449">
        <w:rPr>
          <w:rFonts w:ascii="Bookman Old Style" w:hAnsi="Bookman Old Style" w:cs="Arial"/>
          <w:lang w:val="es-CO"/>
        </w:rPr>
        <w:t>, con el propósito de que no exista la posibilidad de que a los usuarios del servicio de energía eléctrica se les esté trasladando más de una vez el valor de un activo.</w:t>
      </w:r>
    </w:p>
    <w:p w14:paraId="39A14568" w14:textId="6D84E11F" w:rsidR="00C6220A" w:rsidRDefault="00C6220A" w:rsidP="009C777D">
      <w:pPr>
        <w:ind w:left="0"/>
        <w:jc w:val="both"/>
        <w:rPr>
          <w:rFonts w:ascii="Bookman Old Style" w:hAnsi="Bookman Old Style" w:cs="Arial"/>
          <w:lang w:val="es-CO"/>
        </w:rPr>
      </w:pPr>
    </w:p>
    <w:p w14:paraId="1DBD56A1" w14:textId="42B98DBA" w:rsidR="009B6D6B" w:rsidRDefault="009B6D6B" w:rsidP="009C777D">
      <w:pPr>
        <w:ind w:left="0"/>
        <w:jc w:val="both"/>
        <w:rPr>
          <w:rFonts w:ascii="Bookman Old Style" w:hAnsi="Bookman Old Style" w:cs="Arial"/>
          <w:lang w:val="es-CO"/>
        </w:rPr>
      </w:pPr>
      <w:r>
        <w:rPr>
          <w:rFonts w:ascii="Bookman Old Style" w:hAnsi="Bookman Old Style" w:cs="Arial"/>
          <w:lang w:val="es-CO"/>
        </w:rPr>
        <w:t>Para la CREG es absolutamente claro que las decisiones que se tomen cuando se modifican resoluciones particulares</w:t>
      </w:r>
      <w:r w:rsidR="00574449">
        <w:rPr>
          <w:rFonts w:ascii="Bookman Old Style" w:hAnsi="Bookman Old Style" w:cs="Arial"/>
          <w:lang w:val="es-CO"/>
        </w:rPr>
        <w:t xml:space="preserve"> atañen</w:t>
      </w:r>
      <w:r>
        <w:rPr>
          <w:rFonts w:ascii="Bookman Old Style" w:hAnsi="Bookman Old Style" w:cs="Arial"/>
          <w:lang w:val="es-CO"/>
        </w:rPr>
        <w:t xml:space="preserve"> </w:t>
      </w:r>
      <w:r w:rsidR="007F7B52">
        <w:rPr>
          <w:rFonts w:ascii="Bookman Old Style" w:hAnsi="Bookman Old Style" w:cs="Arial"/>
          <w:lang w:val="es-CO"/>
        </w:rPr>
        <w:t xml:space="preserve">solo </w:t>
      </w:r>
      <w:r w:rsidR="00574449">
        <w:rPr>
          <w:rFonts w:ascii="Bookman Old Style" w:hAnsi="Bookman Old Style" w:cs="Arial"/>
          <w:lang w:val="es-CO"/>
        </w:rPr>
        <w:t>a un</w:t>
      </w:r>
      <w:r>
        <w:rPr>
          <w:rFonts w:ascii="Bookman Old Style" w:hAnsi="Bookman Old Style" w:cs="Arial"/>
          <w:lang w:val="es-CO"/>
        </w:rPr>
        <w:t>a empresa en particular la cual</w:t>
      </w:r>
      <w:r w:rsidR="006B7C8B">
        <w:rPr>
          <w:rFonts w:ascii="Bookman Old Style" w:hAnsi="Bookman Old Style" w:cs="Arial"/>
          <w:lang w:val="es-CO"/>
        </w:rPr>
        <w:t>,</w:t>
      </w:r>
      <w:r>
        <w:rPr>
          <w:rFonts w:ascii="Bookman Old Style" w:hAnsi="Bookman Old Style" w:cs="Arial"/>
          <w:lang w:val="es-CO"/>
        </w:rPr>
        <w:t xml:space="preserve"> dentro del debido proceso</w:t>
      </w:r>
      <w:r w:rsidR="006B7C8B">
        <w:rPr>
          <w:rFonts w:ascii="Bookman Old Style" w:hAnsi="Bookman Old Style" w:cs="Arial"/>
          <w:lang w:val="es-CO"/>
        </w:rPr>
        <w:t>,</w:t>
      </w:r>
      <w:r>
        <w:rPr>
          <w:rFonts w:ascii="Bookman Old Style" w:hAnsi="Bookman Old Style" w:cs="Arial"/>
          <w:lang w:val="es-CO"/>
        </w:rPr>
        <w:t xml:space="preserve"> puede presentar diferentes pru</w:t>
      </w:r>
      <w:r w:rsidR="006B7C8B">
        <w:rPr>
          <w:rFonts w:ascii="Bookman Old Style" w:hAnsi="Bookman Old Style" w:cs="Arial"/>
          <w:lang w:val="es-CO"/>
        </w:rPr>
        <w:t>e</w:t>
      </w:r>
      <w:r>
        <w:rPr>
          <w:rFonts w:ascii="Bookman Old Style" w:hAnsi="Bookman Old Style" w:cs="Arial"/>
          <w:lang w:val="es-CO"/>
        </w:rPr>
        <w:t>bas y argumentos</w:t>
      </w:r>
      <w:r w:rsidR="006B7C8B">
        <w:rPr>
          <w:rFonts w:ascii="Bookman Old Style" w:hAnsi="Bookman Old Style" w:cs="Arial"/>
          <w:lang w:val="es-CO"/>
        </w:rPr>
        <w:t xml:space="preserve"> y, una vez decida la actuación, reclamar si no está de acuerdo con la decisión. De es</w:t>
      </w:r>
      <w:r w:rsidR="007F7B52">
        <w:rPr>
          <w:rFonts w:ascii="Bookman Old Style" w:hAnsi="Bookman Old Style" w:cs="Arial"/>
          <w:lang w:val="es-CO"/>
        </w:rPr>
        <w:t>t</w:t>
      </w:r>
      <w:r w:rsidR="006B7C8B">
        <w:rPr>
          <w:rFonts w:ascii="Bookman Old Style" w:hAnsi="Bookman Old Style" w:cs="Arial"/>
          <w:lang w:val="es-CO"/>
        </w:rPr>
        <w:t>a forma se decidió sobre cada una de las dos resoluciones mencionadas.</w:t>
      </w:r>
    </w:p>
    <w:p w14:paraId="1560B4CF" w14:textId="54DC3FC8" w:rsidR="006B7C8B" w:rsidRDefault="006B7C8B" w:rsidP="009C777D">
      <w:pPr>
        <w:ind w:left="0"/>
        <w:jc w:val="both"/>
        <w:rPr>
          <w:rFonts w:ascii="Bookman Old Style" w:hAnsi="Bookman Old Style" w:cs="Arial"/>
          <w:lang w:val="es-CO"/>
        </w:rPr>
      </w:pPr>
    </w:p>
    <w:p w14:paraId="2087B6C5" w14:textId="5292C45E" w:rsidR="006B7C8B" w:rsidRDefault="006B7C8B" w:rsidP="009C777D">
      <w:pPr>
        <w:ind w:left="0"/>
        <w:jc w:val="both"/>
        <w:rPr>
          <w:rFonts w:ascii="Bookman Old Style" w:hAnsi="Bookman Old Style" w:cs="Arial"/>
          <w:lang w:val="es-CO"/>
        </w:rPr>
      </w:pPr>
      <w:r>
        <w:rPr>
          <w:rFonts w:ascii="Bookman Old Style" w:hAnsi="Bookman Old Style" w:cs="Arial"/>
          <w:lang w:val="es-CO"/>
        </w:rPr>
        <w:t>Sin embargo, como ya se mencionó, dado que los cambios aprobados modifican el costo de prestación del servicio, es indispensable que los dos cambios inicien su aplicación en la misma fecha.</w:t>
      </w:r>
      <w:r w:rsidR="00D764F5">
        <w:rPr>
          <w:rFonts w:ascii="Bookman Old Style" w:hAnsi="Bookman Old Style" w:cs="Arial"/>
          <w:lang w:val="es-CO"/>
        </w:rPr>
        <w:t xml:space="preserve"> Este es el propósito del recurrido artículo 4 de la Resolución CREG 023 de 2019, que a su vez tiene una condición similar en la Resolución CREG 024 de 2019.</w:t>
      </w:r>
    </w:p>
    <w:p w14:paraId="3095CB46" w14:textId="113CFF6B" w:rsidR="00D764F5" w:rsidRDefault="00D764F5" w:rsidP="009C777D">
      <w:pPr>
        <w:ind w:left="0"/>
        <w:jc w:val="both"/>
        <w:rPr>
          <w:rFonts w:ascii="Bookman Old Style" w:hAnsi="Bookman Old Style" w:cs="Arial"/>
          <w:lang w:val="es-CO"/>
        </w:rPr>
      </w:pPr>
    </w:p>
    <w:p w14:paraId="6C1F76A6" w14:textId="75412DAF" w:rsidR="00D764F5" w:rsidRPr="00D351A9" w:rsidRDefault="00D764F5" w:rsidP="009C777D">
      <w:pPr>
        <w:ind w:left="0"/>
        <w:jc w:val="both"/>
        <w:rPr>
          <w:rFonts w:ascii="Bookman Old Style" w:hAnsi="Bookman Old Style" w:cs="Arial"/>
          <w:lang w:val="es-CO"/>
        </w:rPr>
      </w:pPr>
      <w:r>
        <w:rPr>
          <w:rFonts w:ascii="Bookman Old Style" w:hAnsi="Bookman Old Style" w:cs="Arial"/>
          <w:lang w:val="es-CO"/>
        </w:rPr>
        <w:t>Con base en lo anterior</w:t>
      </w:r>
      <w:r w:rsidR="00877268">
        <w:rPr>
          <w:rFonts w:ascii="Bookman Old Style" w:hAnsi="Bookman Old Style" w:cs="Arial"/>
          <w:lang w:val="es-CO"/>
        </w:rPr>
        <w:t>,</w:t>
      </w:r>
      <w:r>
        <w:rPr>
          <w:rFonts w:ascii="Bookman Old Style" w:hAnsi="Bookman Old Style" w:cs="Arial"/>
          <w:lang w:val="es-CO"/>
        </w:rPr>
        <w:t xml:space="preserve"> no es posible acceder a la solicitud de </w:t>
      </w:r>
      <w:r w:rsidR="00877268">
        <w:rPr>
          <w:rFonts w:ascii="Bookman Old Style" w:hAnsi="Bookman Old Style" w:cs="Arial"/>
          <w:lang w:val="es-CO"/>
        </w:rPr>
        <w:t>revocar el artículo 4 de la Resolución CREG 023 de 2019.</w:t>
      </w:r>
    </w:p>
    <w:p w14:paraId="08EDA3BD" w14:textId="77777777" w:rsidR="007E5EFF" w:rsidRPr="00D351A9" w:rsidRDefault="007E5EFF" w:rsidP="00D351A9">
      <w:pPr>
        <w:pStyle w:val="Ttulo2"/>
      </w:pPr>
      <w:r w:rsidRPr="00D351A9">
        <w:t>C.</w:t>
      </w:r>
      <w:r w:rsidRPr="00D351A9">
        <w:tab/>
        <w:t>CONCLUSIONES</w:t>
      </w:r>
    </w:p>
    <w:p w14:paraId="220B2AE8" w14:textId="77777777" w:rsidR="007E5EFF" w:rsidRPr="00D351A9" w:rsidRDefault="007E5EFF" w:rsidP="009F62C8">
      <w:pPr>
        <w:ind w:left="0"/>
        <w:jc w:val="both"/>
        <w:rPr>
          <w:rFonts w:ascii="Bookman Old Style" w:hAnsi="Bookman Old Style" w:cs="Arial"/>
        </w:rPr>
      </w:pPr>
      <w:r w:rsidRPr="00D351A9">
        <w:rPr>
          <w:rFonts w:ascii="Bookman Old Style" w:hAnsi="Bookman Old Style" w:cs="Arial"/>
        </w:rPr>
        <w:t>Con base en lo expuesto en este documento se obtienen las siguientes conclusiones:</w:t>
      </w:r>
    </w:p>
    <w:p w14:paraId="2179B81C" w14:textId="3E28555E" w:rsidR="00B023D2" w:rsidRPr="00D351A9" w:rsidRDefault="007E5EFF"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Dentro de los términos legales, l</w:t>
      </w:r>
      <w:r w:rsidR="00B023D2" w:rsidRPr="00D351A9">
        <w:rPr>
          <w:rFonts w:ascii="Bookman Old Style" w:hAnsi="Bookman Old Style" w:cs="Arial"/>
          <w:sz w:val="24"/>
          <w:szCs w:val="24"/>
        </w:rPr>
        <w:t>as solicitudes presentadas por los agentes tienen que ser analizadas con el fin de elaborar una propuesta para presentar a la CREG, quien decidirá sobre su aprobación.</w:t>
      </w:r>
    </w:p>
    <w:p w14:paraId="5598DBFE" w14:textId="18974BF6"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Las decisiones de la CREG, contenidas en resoluciones, son aplicables a partir de la entrada en vigencia de cada acto administrativo</w:t>
      </w:r>
      <w:r w:rsidR="00E04152" w:rsidRPr="00D351A9">
        <w:rPr>
          <w:rFonts w:ascii="Bookman Old Style" w:hAnsi="Bookman Old Style" w:cs="Arial"/>
          <w:sz w:val="24"/>
          <w:szCs w:val="24"/>
        </w:rPr>
        <w:t xml:space="preserve"> y no tienen carácter retroactivo</w:t>
      </w:r>
      <w:r w:rsidRPr="00D351A9">
        <w:rPr>
          <w:rFonts w:ascii="Bookman Old Style" w:hAnsi="Bookman Old Style" w:cs="Arial"/>
          <w:sz w:val="24"/>
          <w:szCs w:val="24"/>
        </w:rPr>
        <w:t>.</w:t>
      </w:r>
    </w:p>
    <w:p w14:paraId="643C8699" w14:textId="6EAA96C6"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 xml:space="preserve">Las resoluciones particulares que se aprueben con base en una metodología general </w:t>
      </w:r>
      <w:r w:rsidR="007E5EFF" w:rsidRPr="00D351A9">
        <w:rPr>
          <w:rFonts w:ascii="Bookman Old Style" w:hAnsi="Bookman Old Style" w:cs="Arial"/>
          <w:sz w:val="24"/>
          <w:szCs w:val="24"/>
        </w:rPr>
        <w:t xml:space="preserve">deben tener </w:t>
      </w:r>
      <w:r w:rsidRPr="00D351A9">
        <w:rPr>
          <w:rFonts w:ascii="Bookman Old Style" w:hAnsi="Bookman Old Style" w:cs="Arial"/>
          <w:sz w:val="24"/>
          <w:szCs w:val="24"/>
        </w:rPr>
        <w:t xml:space="preserve">en cuenta lo establecido en </w:t>
      </w:r>
      <w:r w:rsidR="004D4277">
        <w:rPr>
          <w:rFonts w:ascii="Bookman Old Style" w:hAnsi="Bookman Old Style" w:cs="Arial"/>
          <w:sz w:val="24"/>
          <w:szCs w:val="24"/>
        </w:rPr>
        <w:t>dicha</w:t>
      </w:r>
      <w:r w:rsidR="004D4277" w:rsidRPr="00D351A9">
        <w:rPr>
          <w:rFonts w:ascii="Bookman Old Style" w:hAnsi="Bookman Old Style" w:cs="Arial"/>
          <w:sz w:val="24"/>
          <w:szCs w:val="24"/>
        </w:rPr>
        <w:t xml:space="preserve"> </w:t>
      </w:r>
      <w:r w:rsidRPr="00D351A9">
        <w:rPr>
          <w:rFonts w:ascii="Bookman Old Style" w:hAnsi="Bookman Old Style" w:cs="Arial"/>
          <w:sz w:val="24"/>
          <w:szCs w:val="24"/>
        </w:rPr>
        <w:t>metodología.</w:t>
      </w:r>
    </w:p>
    <w:p w14:paraId="010487EF" w14:textId="3DD5C228"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 xml:space="preserve">A diferencia de metodologías anteriores, para remunerar nuevos activos </w:t>
      </w:r>
      <w:r w:rsidR="007F7B52">
        <w:rPr>
          <w:rFonts w:ascii="Bookman Old Style" w:hAnsi="Bookman Old Style" w:cs="Arial"/>
          <w:sz w:val="24"/>
          <w:szCs w:val="24"/>
        </w:rPr>
        <w:t xml:space="preserve">de transmisión </w:t>
      </w:r>
      <w:r w:rsidRPr="00D351A9">
        <w:rPr>
          <w:rFonts w:ascii="Bookman Old Style" w:hAnsi="Bookman Old Style" w:cs="Arial"/>
          <w:sz w:val="24"/>
          <w:szCs w:val="24"/>
        </w:rPr>
        <w:t>la metodología vigente requiere que se cumplan las condiciones establecidas y que</w:t>
      </w:r>
      <w:r w:rsidR="00677DA3" w:rsidRPr="00D351A9">
        <w:rPr>
          <w:rFonts w:ascii="Bookman Old Style" w:hAnsi="Bookman Old Style" w:cs="Arial"/>
          <w:sz w:val="24"/>
          <w:szCs w:val="24"/>
        </w:rPr>
        <w:t>,</w:t>
      </w:r>
      <w:r w:rsidRPr="00D351A9">
        <w:rPr>
          <w:rFonts w:ascii="Bookman Old Style" w:hAnsi="Bookman Old Style" w:cs="Arial"/>
          <w:sz w:val="24"/>
          <w:szCs w:val="24"/>
        </w:rPr>
        <w:t xml:space="preserve"> a partir de un acto administrativo de la CREG, se autorice su remuneración.</w:t>
      </w:r>
    </w:p>
    <w:p w14:paraId="25DF81F7" w14:textId="498EAA11"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La metodología establece que el cálculo de la remuneración de la actividad de transmisión se liquide y facture por mes completo</w:t>
      </w:r>
      <w:r w:rsidR="00E04152" w:rsidRPr="00D351A9">
        <w:rPr>
          <w:rFonts w:ascii="Bookman Old Style" w:hAnsi="Bookman Old Style" w:cs="Arial"/>
          <w:sz w:val="24"/>
          <w:szCs w:val="24"/>
        </w:rPr>
        <w:t>, teniendo en cuenta los valores de las posibles compensaciones por calidad del servicio</w:t>
      </w:r>
      <w:r w:rsidRPr="00D351A9">
        <w:rPr>
          <w:rFonts w:ascii="Bookman Old Style" w:hAnsi="Bookman Old Style" w:cs="Arial"/>
          <w:sz w:val="24"/>
          <w:szCs w:val="24"/>
        </w:rPr>
        <w:t>.</w:t>
      </w:r>
    </w:p>
    <w:p w14:paraId="011F3368" w14:textId="6AE14773" w:rsidR="00E04152" w:rsidRPr="00D351A9" w:rsidRDefault="00E0415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En cuanto a las compensaciones, la metodología general señala las aplicables desde la entrada en operación comercial y las aplicables desde el primer mes de remuneración.</w:t>
      </w:r>
    </w:p>
    <w:p w14:paraId="0A89A5AB" w14:textId="7E5AE63C"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 xml:space="preserve">El artículo 7 </w:t>
      </w:r>
      <w:r w:rsidR="00E04152" w:rsidRPr="00D351A9">
        <w:rPr>
          <w:rFonts w:ascii="Bookman Old Style" w:hAnsi="Bookman Old Style" w:cs="Arial"/>
          <w:sz w:val="24"/>
          <w:szCs w:val="24"/>
        </w:rPr>
        <w:t xml:space="preserve">de la Resolución CREG 011 de 2009 </w:t>
      </w:r>
      <w:r w:rsidRPr="00D351A9">
        <w:rPr>
          <w:rFonts w:ascii="Bookman Old Style" w:hAnsi="Bookman Old Style" w:cs="Arial"/>
          <w:sz w:val="24"/>
          <w:szCs w:val="24"/>
        </w:rPr>
        <w:t>establece las condiciones para modificar el ingreso anual aprobado a cada TN, IAT, el cual tiene en cuenta los activos a remunerar identificados de acuerdo con lo señalado en el artículo 5, es decir la base de activos aprobada a cada TN.</w:t>
      </w:r>
    </w:p>
    <w:p w14:paraId="5DA5544B" w14:textId="6E59758E" w:rsidR="00B023D2" w:rsidRPr="00D351A9" w:rsidRDefault="007F7B52" w:rsidP="000C7D76">
      <w:pPr>
        <w:pStyle w:val="Prrafodelista"/>
        <w:numPr>
          <w:ilvl w:val="0"/>
          <w:numId w:val="26"/>
        </w:numPr>
        <w:spacing w:before="240"/>
        <w:ind w:left="714" w:hanging="357"/>
        <w:jc w:val="both"/>
        <w:rPr>
          <w:rFonts w:ascii="Bookman Old Style" w:hAnsi="Bookman Old Style" w:cs="Arial"/>
          <w:sz w:val="24"/>
          <w:szCs w:val="24"/>
        </w:rPr>
      </w:pPr>
      <w:r>
        <w:rPr>
          <w:rFonts w:ascii="Bookman Old Style" w:hAnsi="Bookman Old Style" w:cs="Arial"/>
          <w:sz w:val="24"/>
          <w:szCs w:val="24"/>
        </w:rPr>
        <w:t xml:space="preserve">Una vez modificada la base de activos, se calcula el </w:t>
      </w:r>
      <w:r w:rsidR="00B023D2" w:rsidRPr="00D351A9">
        <w:rPr>
          <w:rFonts w:ascii="Bookman Old Style" w:hAnsi="Bookman Old Style" w:cs="Arial"/>
          <w:sz w:val="24"/>
          <w:szCs w:val="24"/>
        </w:rPr>
        <w:t>IAT</w:t>
      </w:r>
      <w:r>
        <w:rPr>
          <w:rFonts w:ascii="Bookman Old Style" w:hAnsi="Bookman Old Style" w:cs="Arial"/>
          <w:sz w:val="24"/>
          <w:szCs w:val="24"/>
        </w:rPr>
        <w:t xml:space="preserve">, con este </w:t>
      </w:r>
      <w:r w:rsidR="00B023D2" w:rsidRPr="00D351A9">
        <w:rPr>
          <w:rFonts w:ascii="Bookman Old Style" w:hAnsi="Bookman Old Style" w:cs="Arial"/>
          <w:sz w:val="24"/>
          <w:szCs w:val="24"/>
        </w:rPr>
        <w:t>se calcula el ingreso mensual de cada TN y la suma de los ingresos mensuales de todos los TN se usa para el cálculo del cargo por uso de la actividad de transmisión.</w:t>
      </w:r>
    </w:p>
    <w:p w14:paraId="2A9FA829" w14:textId="1DFF4F60"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 xml:space="preserve">El artículo 21 señala que los nuevos cargos de uso se aplican “a partir del mes calendario siguiente a la aprobación por parte de la CREG de la base de activos de cada TN”, lo cual es aplicable tanto para la primera resolución expedida con esta metodología como para </w:t>
      </w:r>
      <w:r w:rsidR="00E04152" w:rsidRPr="00D351A9">
        <w:rPr>
          <w:rFonts w:ascii="Bookman Old Style" w:hAnsi="Bookman Old Style" w:cs="Arial"/>
          <w:sz w:val="24"/>
          <w:szCs w:val="24"/>
        </w:rPr>
        <w:t>las que se pueda</w:t>
      </w:r>
      <w:r w:rsidRPr="00D351A9">
        <w:rPr>
          <w:rFonts w:ascii="Bookman Old Style" w:hAnsi="Bookman Old Style" w:cs="Arial"/>
          <w:sz w:val="24"/>
          <w:szCs w:val="24"/>
        </w:rPr>
        <w:t>n expedir después, en cumplimiento de la misma.</w:t>
      </w:r>
    </w:p>
    <w:p w14:paraId="4A03060F" w14:textId="546C6D14"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El numeral 1.4 del anexo general hace referencia a los ingresos a tener en cuenta en el cálculo del ingreso mensual de cada TN. El literal a), respecto a los activos no ejecutados mediante procesos de selección, señala que estos activos “se remunerarán a partir del día uno (1) del primer mes completo en que dichas Unidades se hayan encontrado en operación comercial como Activos de Uso”, es decir que además de que hayan entrado en operación deben estar considerados como activos de uso</w:t>
      </w:r>
      <w:r w:rsidR="000F4DBE" w:rsidRPr="00D351A9">
        <w:rPr>
          <w:rFonts w:ascii="Bookman Old Style" w:hAnsi="Bookman Old Style" w:cs="Arial"/>
          <w:sz w:val="24"/>
          <w:szCs w:val="24"/>
        </w:rPr>
        <w:t xml:space="preserve"> en la base de activos aprobada por la CREG</w:t>
      </w:r>
      <w:r w:rsidRPr="00D351A9">
        <w:rPr>
          <w:rFonts w:ascii="Bookman Old Style" w:hAnsi="Bookman Old Style" w:cs="Arial"/>
          <w:sz w:val="24"/>
          <w:szCs w:val="24"/>
        </w:rPr>
        <w:t>.</w:t>
      </w:r>
    </w:p>
    <w:p w14:paraId="710C4D21" w14:textId="77777777"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De acuerdo con la definición de activos de uso, además de cumplir otras condiciones, se señala que “son remunerados mediante Cargos por Uso del STN”.</w:t>
      </w:r>
    </w:p>
    <w:p w14:paraId="7FF7E977" w14:textId="0D111301"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Es decir, para ser considerados activos de uso</w:t>
      </w:r>
      <w:r w:rsidR="001123D3" w:rsidRPr="00D351A9">
        <w:rPr>
          <w:rFonts w:ascii="Bookman Old Style" w:hAnsi="Bookman Old Style" w:cs="Arial"/>
          <w:sz w:val="24"/>
          <w:szCs w:val="24"/>
        </w:rPr>
        <w:t xml:space="preserve"> y para que sean remunerados como tal</w:t>
      </w:r>
      <w:r w:rsidRPr="00D351A9">
        <w:rPr>
          <w:rFonts w:ascii="Bookman Old Style" w:hAnsi="Bookman Old Style" w:cs="Arial"/>
          <w:sz w:val="24"/>
          <w:szCs w:val="24"/>
        </w:rPr>
        <w:t>, una de las condiciones que se debe cumplir es que estén siendo considerados dentro del cálculo de los cargos por uso</w:t>
      </w:r>
      <w:r w:rsidR="009F62C8" w:rsidRPr="00D351A9">
        <w:rPr>
          <w:rFonts w:ascii="Bookman Old Style" w:hAnsi="Bookman Old Style" w:cs="Arial"/>
          <w:sz w:val="24"/>
          <w:szCs w:val="24"/>
        </w:rPr>
        <w:t xml:space="preserve"> de la actividad de transmisión.</w:t>
      </w:r>
    </w:p>
    <w:p w14:paraId="64C46B72" w14:textId="323C7E7C" w:rsidR="00B023D2" w:rsidRPr="00D351A9"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 xml:space="preserve">Para esto se requiere aprobación de la CREG de </w:t>
      </w:r>
      <w:r w:rsidR="001123D3" w:rsidRPr="00D351A9">
        <w:rPr>
          <w:rFonts w:ascii="Bookman Old Style" w:hAnsi="Bookman Old Style" w:cs="Arial"/>
          <w:sz w:val="24"/>
          <w:szCs w:val="24"/>
        </w:rPr>
        <w:t xml:space="preserve">la nueva base de activos, de </w:t>
      </w:r>
      <w:r w:rsidRPr="00D351A9">
        <w:rPr>
          <w:rFonts w:ascii="Bookman Old Style" w:hAnsi="Bookman Old Style" w:cs="Arial"/>
          <w:sz w:val="24"/>
          <w:szCs w:val="24"/>
        </w:rPr>
        <w:t>la modificación del ingreso anual del transmisor y que esta aprobación haya iniciado su aplicación.</w:t>
      </w:r>
    </w:p>
    <w:p w14:paraId="5E5ADFEF" w14:textId="01F305B5" w:rsidR="00B023D2" w:rsidRDefault="00B023D2" w:rsidP="000C7D76">
      <w:pPr>
        <w:pStyle w:val="Prrafodelista"/>
        <w:numPr>
          <w:ilvl w:val="0"/>
          <w:numId w:val="26"/>
        </w:numPr>
        <w:spacing w:before="240"/>
        <w:ind w:left="714" w:hanging="357"/>
        <w:jc w:val="both"/>
        <w:rPr>
          <w:rFonts w:ascii="Bookman Old Style" w:hAnsi="Bookman Old Style" w:cs="Arial"/>
          <w:sz w:val="24"/>
          <w:szCs w:val="24"/>
        </w:rPr>
      </w:pPr>
      <w:r w:rsidRPr="00D351A9">
        <w:rPr>
          <w:rFonts w:ascii="Bookman Old Style" w:hAnsi="Bookman Old Style" w:cs="Arial"/>
          <w:sz w:val="24"/>
          <w:szCs w:val="24"/>
        </w:rPr>
        <w:t>Con base en lo anterior, los nuevos activos se empiezan a remunerar a partir del primer día del mes siguiente a cuando quede en firme la resolución que aprueba su inclusión en la base de activos de cada TN.</w:t>
      </w:r>
    </w:p>
    <w:p w14:paraId="632EABF2" w14:textId="30C8BFB2" w:rsidR="00877268" w:rsidRPr="00D351A9" w:rsidRDefault="00877268" w:rsidP="000C7D76">
      <w:pPr>
        <w:pStyle w:val="Prrafodelista"/>
        <w:numPr>
          <w:ilvl w:val="0"/>
          <w:numId w:val="26"/>
        </w:numPr>
        <w:spacing w:before="240"/>
        <w:ind w:left="714" w:hanging="357"/>
        <w:jc w:val="both"/>
        <w:rPr>
          <w:rFonts w:ascii="Bookman Old Style" w:hAnsi="Bookman Old Style" w:cs="Arial"/>
          <w:sz w:val="24"/>
          <w:szCs w:val="24"/>
        </w:rPr>
      </w:pPr>
      <w:r>
        <w:rPr>
          <w:rFonts w:ascii="Bookman Old Style" w:hAnsi="Bookman Old Style" w:cs="Arial"/>
          <w:sz w:val="24"/>
          <w:szCs w:val="24"/>
        </w:rPr>
        <w:t xml:space="preserve">Además, dado que </w:t>
      </w:r>
      <w:r w:rsidR="007F7B52">
        <w:rPr>
          <w:rFonts w:ascii="Bookman Old Style" w:hAnsi="Bookman Old Style" w:cs="Arial"/>
          <w:sz w:val="24"/>
          <w:szCs w:val="24"/>
        </w:rPr>
        <w:t>con el cambio de nivel de tensión de la línea Esmeralda - La Hermosa</w:t>
      </w:r>
      <w:r w:rsidR="00F55A9B">
        <w:rPr>
          <w:rFonts w:ascii="Bookman Old Style" w:hAnsi="Bookman Old Style" w:cs="Arial"/>
          <w:sz w:val="24"/>
          <w:szCs w:val="24"/>
        </w:rPr>
        <w:t xml:space="preserve"> se</w:t>
      </w:r>
      <w:r>
        <w:rPr>
          <w:rFonts w:ascii="Bookman Old Style" w:hAnsi="Bookman Old Style" w:cs="Arial"/>
          <w:sz w:val="24"/>
          <w:szCs w:val="24"/>
        </w:rPr>
        <w:t xml:space="preserve"> origina </w:t>
      </w:r>
      <w:r w:rsidR="00F55A9B">
        <w:rPr>
          <w:rFonts w:ascii="Bookman Old Style" w:hAnsi="Bookman Old Style" w:cs="Arial"/>
          <w:sz w:val="24"/>
          <w:szCs w:val="24"/>
        </w:rPr>
        <w:t>un</w:t>
      </w:r>
      <w:r>
        <w:rPr>
          <w:rFonts w:ascii="Bookman Old Style" w:hAnsi="Bookman Old Style" w:cs="Arial"/>
          <w:sz w:val="24"/>
          <w:szCs w:val="24"/>
        </w:rPr>
        <w:t xml:space="preserve"> cambio en el componente de transmisión, Resolución CREG 023 de 2019, y</w:t>
      </w:r>
      <w:r w:rsidR="00F55A9B">
        <w:rPr>
          <w:rFonts w:ascii="Bookman Old Style" w:hAnsi="Bookman Old Style" w:cs="Arial"/>
          <w:sz w:val="24"/>
          <w:szCs w:val="24"/>
        </w:rPr>
        <w:t>, a la vez,</w:t>
      </w:r>
      <w:r>
        <w:rPr>
          <w:rFonts w:ascii="Bookman Old Style" w:hAnsi="Bookman Old Style" w:cs="Arial"/>
          <w:sz w:val="24"/>
          <w:szCs w:val="24"/>
        </w:rPr>
        <w:t xml:space="preserve"> </w:t>
      </w:r>
      <w:r w:rsidR="00F55A9B">
        <w:rPr>
          <w:rFonts w:ascii="Bookman Old Style" w:hAnsi="Bookman Old Style" w:cs="Arial"/>
          <w:sz w:val="24"/>
          <w:szCs w:val="24"/>
        </w:rPr>
        <w:t>un</w:t>
      </w:r>
      <w:r>
        <w:rPr>
          <w:rFonts w:ascii="Bookman Old Style" w:hAnsi="Bookman Old Style" w:cs="Arial"/>
          <w:sz w:val="24"/>
          <w:szCs w:val="24"/>
        </w:rPr>
        <w:t xml:space="preserve"> cambio en el componente de distribución, Resolución CREG 024 de 2019, se requiere que los dos cambios empiecen a aplicarse </w:t>
      </w:r>
      <w:r w:rsidR="00F55A9B">
        <w:rPr>
          <w:rFonts w:ascii="Bookman Old Style" w:hAnsi="Bookman Old Style" w:cs="Arial"/>
          <w:sz w:val="24"/>
          <w:szCs w:val="24"/>
        </w:rPr>
        <w:t>solo cuando</w:t>
      </w:r>
      <w:r>
        <w:rPr>
          <w:rFonts w:ascii="Bookman Old Style" w:hAnsi="Bookman Old Style" w:cs="Arial"/>
          <w:sz w:val="24"/>
          <w:szCs w:val="24"/>
        </w:rPr>
        <w:t xml:space="preserve"> </w:t>
      </w:r>
      <w:r w:rsidR="00F55A9B">
        <w:rPr>
          <w:rFonts w:ascii="Bookman Old Style" w:hAnsi="Bookman Old Style" w:cs="Arial"/>
          <w:sz w:val="24"/>
          <w:szCs w:val="24"/>
        </w:rPr>
        <w:t>esté</w:t>
      </w:r>
      <w:r>
        <w:rPr>
          <w:rFonts w:ascii="Bookman Old Style" w:hAnsi="Bookman Old Style" w:cs="Arial"/>
          <w:sz w:val="24"/>
          <w:szCs w:val="24"/>
        </w:rPr>
        <w:t>n en firme las dos resoluciones</w:t>
      </w:r>
      <w:r w:rsidR="00AD0276">
        <w:rPr>
          <w:rFonts w:ascii="Bookman Old Style" w:hAnsi="Bookman Old Style" w:cs="Arial"/>
          <w:sz w:val="24"/>
          <w:szCs w:val="24"/>
        </w:rPr>
        <w:t xml:space="preserve">, para que </w:t>
      </w:r>
      <w:r w:rsidR="00574449">
        <w:rPr>
          <w:rFonts w:ascii="Bookman Old Style" w:hAnsi="Bookman Old Style" w:cs="Arial"/>
          <w:sz w:val="24"/>
          <w:szCs w:val="24"/>
        </w:rPr>
        <w:t xml:space="preserve">se vean reflejados al mismo tiempo en </w:t>
      </w:r>
      <w:r w:rsidR="00AD0276">
        <w:rPr>
          <w:rFonts w:ascii="Bookman Old Style" w:hAnsi="Bookman Old Style" w:cs="Arial"/>
          <w:sz w:val="24"/>
          <w:szCs w:val="24"/>
        </w:rPr>
        <w:t xml:space="preserve">el costo de prestación del servicio, del cual hacen parte los </w:t>
      </w:r>
      <w:r w:rsidR="00F55A9B">
        <w:rPr>
          <w:rFonts w:ascii="Bookman Old Style" w:hAnsi="Bookman Old Style" w:cs="Arial"/>
          <w:sz w:val="24"/>
          <w:szCs w:val="24"/>
        </w:rPr>
        <w:t xml:space="preserve">dos </w:t>
      </w:r>
      <w:r w:rsidR="00AD0276">
        <w:rPr>
          <w:rFonts w:ascii="Bookman Old Style" w:hAnsi="Bookman Old Style" w:cs="Arial"/>
          <w:sz w:val="24"/>
          <w:szCs w:val="24"/>
        </w:rPr>
        <w:t>componentes citados.</w:t>
      </w:r>
    </w:p>
    <w:p w14:paraId="5F4DC6C3" w14:textId="77777777" w:rsidR="00B023D2" w:rsidRPr="00D351A9" w:rsidRDefault="00B023D2" w:rsidP="009C777D">
      <w:pPr>
        <w:ind w:left="0"/>
        <w:jc w:val="both"/>
        <w:rPr>
          <w:rFonts w:ascii="Bookman Old Style" w:hAnsi="Bookman Old Style" w:cs="Arial"/>
          <w:lang w:val="es-CO"/>
        </w:rPr>
      </w:pPr>
    </w:p>
    <w:p w14:paraId="4E5963D9" w14:textId="3A6AA7CB" w:rsidR="00B023D2" w:rsidRPr="00AD0276" w:rsidRDefault="003E4E07" w:rsidP="009C777D">
      <w:pPr>
        <w:ind w:left="0"/>
        <w:jc w:val="both"/>
        <w:rPr>
          <w:rFonts w:ascii="Bookman Old Style" w:hAnsi="Bookman Old Style" w:cs="Arial"/>
        </w:rPr>
      </w:pPr>
      <w:r w:rsidRPr="00AD0276">
        <w:rPr>
          <w:rFonts w:ascii="Bookman Old Style" w:hAnsi="Bookman Old Style" w:cs="Arial"/>
        </w:rPr>
        <w:t xml:space="preserve">Teniendo en cuenta </w:t>
      </w:r>
      <w:r w:rsidR="0094599A" w:rsidRPr="00AD0276">
        <w:rPr>
          <w:rFonts w:ascii="Bookman Old Style" w:hAnsi="Bookman Old Style" w:cs="Arial"/>
        </w:rPr>
        <w:t>los</w:t>
      </w:r>
      <w:r w:rsidRPr="00AD0276">
        <w:rPr>
          <w:rFonts w:ascii="Bookman Old Style" w:hAnsi="Bookman Old Style" w:cs="Arial"/>
        </w:rPr>
        <w:t xml:space="preserve"> análisis </w:t>
      </w:r>
      <w:r w:rsidR="008A0DE0" w:rsidRPr="00AD0276">
        <w:rPr>
          <w:rFonts w:ascii="Bookman Old Style" w:hAnsi="Bookman Old Style" w:cs="Arial"/>
        </w:rPr>
        <w:t>expuestos</w:t>
      </w:r>
      <w:r w:rsidRPr="00AD0276">
        <w:rPr>
          <w:rFonts w:ascii="Bookman Old Style" w:hAnsi="Bookman Old Style" w:cs="Arial"/>
        </w:rPr>
        <w:t xml:space="preserve">, </w:t>
      </w:r>
      <w:r w:rsidR="00A90A26">
        <w:rPr>
          <w:rFonts w:ascii="Bookman Old Style" w:hAnsi="Bookman Old Style" w:cs="Arial"/>
        </w:rPr>
        <w:t xml:space="preserve">no </w:t>
      </w:r>
      <w:r w:rsidRPr="00AD0276">
        <w:rPr>
          <w:rFonts w:ascii="Bookman Old Style" w:hAnsi="Bookman Old Style" w:cs="Arial"/>
        </w:rPr>
        <w:t xml:space="preserve">se </w:t>
      </w:r>
      <w:r w:rsidR="00AD0276" w:rsidRPr="00AD0276">
        <w:rPr>
          <w:rFonts w:ascii="Bookman Old Style" w:hAnsi="Bookman Old Style" w:cs="Arial"/>
        </w:rPr>
        <w:t xml:space="preserve">acepta el recurso presentado por Intercolombia S.A. E.S.P. y </w:t>
      </w:r>
      <w:r w:rsidR="00A90A26">
        <w:rPr>
          <w:rFonts w:ascii="Bookman Old Style" w:hAnsi="Bookman Old Style" w:cs="Arial"/>
        </w:rPr>
        <w:t xml:space="preserve">se </w:t>
      </w:r>
      <w:r w:rsidR="00AD0276" w:rsidRPr="00AD0276">
        <w:rPr>
          <w:rFonts w:ascii="Bookman Old Style" w:hAnsi="Bookman Old Style" w:cs="Arial"/>
        </w:rPr>
        <w:t xml:space="preserve">ratifica lo aprobado mediante </w:t>
      </w:r>
      <w:r w:rsidRPr="00AD0276">
        <w:rPr>
          <w:rFonts w:ascii="Bookman Old Style" w:hAnsi="Bookman Old Style" w:cs="Arial"/>
        </w:rPr>
        <w:t xml:space="preserve">la Resolución CREG </w:t>
      </w:r>
      <w:r w:rsidR="000575B1" w:rsidRPr="00AD0276">
        <w:rPr>
          <w:rFonts w:ascii="Bookman Old Style" w:hAnsi="Bookman Old Style" w:cs="Arial"/>
        </w:rPr>
        <w:t>023 de 2019</w:t>
      </w:r>
      <w:r w:rsidR="00AD0276" w:rsidRPr="00AD0276">
        <w:rPr>
          <w:rFonts w:ascii="Bookman Old Style" w:hAnsi="Bookman Old Style" w:cs="Arial"/>
        </w:rPr>
        <w:t>.</w:t>
      </w:r>
    </w:p>
    <w:p w14:paraId="56585119" w14:textId="77777777" w:rsidR="00B023D2" w:rsidRPr="00AD0276" w:rsidRDefault="00B023D2" w:rsidP="009C777D">
      <w:pPr>
        <w:ind w:left="0"/>
        <w:jc w:val="both"/>
        <w:rPr>
          <w:rFonts w:ascii="Bookman Old Style" w:hAnsi="Bookman Old Style" w:cs="Arial"/>
        </w:rPr>
      </w:pPr>
    </w:p>
    <w:p w14:paraId="152C210C" w14:textId="6DFE5F2F" w:rsidR="009C777D" w:rsidRPr="00D351A9" w:rsidRDefault="00F077EA" w:rsidP="009C777D">
      <w:pPr>
        <w:ind w:left="0"/>
        <w:jc w:val="both"/>
        <w:rPr>
          <w:rFonts w:ascii="Bookman Old Style" w:hAnsi="Bookman Old Style" w:cs="Arial"/>
        </w:rPr>
      </w:pPr>
      <w:r w:rsidRPr="00D351A9">
        <w:rPr>
          <w:rFonts w:ascii="Bookman Old Style" w:hAnsi="Bookman Old Style" w:cs="Arial"/>
        </w:rPr>
        <w:t>P</w:t>
      </w:r>
      <w:r w:rsidR="009C777D" w:rsidRPr="00D351A9">
        <w:rPr>
          <w:rFonts w:ascii="Bookman Old Style" w:hAnsi="Bookman Old Style" w:cs="Arial"/>
        </w:rPr>
        <w:t xml:space="preserve">or lo anteriormente expuesto, la Comisión de Regulación de Energía y Gas en </w:t>
      </w:r>
      <w:r w:rsidR="009C777D" w:rsidRPr="007A4B89">
        <w:rPr>
          <w:rFonts w:ascii="Bookman Old Style" w:hAnsi="Bookman Old Style" w:cs="Arial"/>
        </w:rPr>
        <w:t xml:space="preserve">sesión </w:t>
      </w:r>
      <w:r w:rsidR="007A4B89" w:rsidRPr="007A4B89">
        <w:rPr>
          <w:rFonts w:ascii="Bookman Old Style" w:hAnsi="Bookman Old Style" w:cs="Arial"/>
        </w:rPr>
        <w:t>9</w:t>
      </w:r>
      <w:r w:rsidR="009E400F">
        <w:rPr>
          <w:rFonts w:ascii="Bookman Old Style" w:hAnsi="Bookman Old Style" w:cs="Arial"/>
        </w:rPr>
        <w:t>13</w:t>
      </w:r>
      <w:r w:rsidR="009C777D" w:rsidRPr="007A4B89">
        <w:rPr>
          <w:rFonts w:ascii="Bookman Old Style" w:hAnsi="Bookman Old Style" w:cs="Arial"/>
        </w:rPr>
        <w:t xml:space="preserve"> de</w:t>
      </w:r>
      <w:r w:rsidR="00A6783C" w:rsidRPr="007A4B89">
        <w:rPr>
          <w:rFonts w:ascii="Bookman Old Style" w:hAnsi="Bookman Old Style" w:cs="Arial"/>
        </w:rPr>
        <w:t>l</w:t>
      </w:r>
      <w:r w:rsidR="009C777D" w:rsidRPr="007A4B89">
        <w:rPr>
          <w:rFonts w:ascii="Bookman Old Style" w:hAnsi="Bookman Old Style" w:cs="Arial"/>
        </w:rPr>
        <w:t xml:space="preserve"> </w:t>
      </w:r>
      <w:r w:rsidR="009E400F">
        <w:rPr>
          <w:rFonts w:ascii="Bookman Old Style" w:hAnsi="Bookman Old Style" w:cs="Arial"/>
        </w:rPr>
        <w:t>24</w:t>
      </w:r>
      <w:r w:rsidR="00461915" w:rsidRPr="007A4B89">
        <w:rPr>
          <w:rFonts w:ascii="Bookman Old Style" w:hAnsi="Bookman Old Style" w:cs="Arial"/>
        </w:rPr>
        <w:t xml:space="preserve"> de </w:t>
      </w:r>
      <w:r w:rsidR="009E400F">
        <w:rPr>
          <w:rFonts w:ascii="Bookman Old Style" w:hAnsi="Bookman Old Style" w:cs="Arial"/>
        </w:rPr>
        <w:t>abril</w:t>
      </w:r>
      <w:r w:rsidR="00461915" w:rsidRPr="007A4B89">
        <w:rPr>
          <w:rFonts w:ascii="Bookman Old Style" w:hAnsi="Bookman Old Style" w:cs="Arial"/>
        </w:rPr>
        <w:t xml:space="preserve"> </w:t>
      </w:r>
      <w:r w:rsidR="009F62C8" w:rsidRPr="007A4B89">
        <w:rPr>
          <w:rFonts w:ascii="Bookman Old Style" w:hAnsi="Bookman Old Style" w:cs="Arial"/>
        </w:rPr>
        <w:t>de</w:t>
      </w:r>
      <w:r w:rsidR="00C66F4F" w:rsidRPr="007A4B89">
        <w:rPr>
          <w:rFonts w:ascii="Bookman Old Style" w:hAnsi="Bookman Old Style" w:cs="Arial"/>
        </w:rPr>
        <w:t xml:space="preserve"> 201</w:t>
      </w:r>
      <w:r w:rsidR="00AD0276" w:rsidRPr="007A4B89">
        <w:rPr>
          <w:rFonts w:ascii="Bookman Old Style" w:hAnsi="Bookman Old Style" w:cs="Arial"/>
        </w:rPr>
        <w:t>9</w:t>
      </w:r>
      <w:r w:rsidR="00335F8B" w:rsidRPr="007A4B89">
        <w:rPr>
          <w:rFonts w:ascii="Bookman Old Style" w:hAnsi="Bookman Old Style" w:cs="Arial"/>
        </w:rPr>
        <w:t>,</w:t>
      </w:r>
      <w:r w:rsidR="00335F8B" w:rsidRPr="00D351A9">
        <w:rPr>
          <w:rFonts w:ascii="Bookman Old Style" w:hAnsi="Bookman Old Style" w:cs="Arial"/>
        </w:rPr>
        <w:t xml:space="preserve"> </w:t>
      </w:r>
    </w:p>
    <w:p w14:paraId="0AF40873" w14:textId="77777777" w:rsidR="009F62C8" w:rsidRPr="00D351A9" w:rsidRDefault="009F62C8" w:rsidP="009C777D">
      <w:pPr>
        <w:ind w:left="0"/>
        <w:jc w:val="both"/>
        <w:rPr>
          <w:rFonts w:ascii="Bookman Old Style" w:hAnsi="Bookman Old Style" w:cs="Arial"/>
          <w:sz w:val="48"/>
        </w:rPr>
      </w:pPr>
    </w:p>
    <w:p w14:paraId="6C6A2B97" w14:textId="77777777" w:rsidR="009C777D" w:rsidRPr="00D351A9" w:rsidRDefault="009C777D" w:rsidP="00D351A9">
      <w:pPr>
        <w:rPr>
          <w:rFonts w:ascii="Bookman Old Style" w:hAnsi="Bookman Old Style" w:cs="Arial"/>
          <w:b/>
          <w:vanish/>
          <w:specVanish/>
        </w:rPr>
      </w:pPr>
    </w:p>
    <w:p w14:paraId="4017229C" w14:textId="26620238" w:rsidR="009C777D" w:rsidRPr="002E5607" w:rsidRDefault="009C777D" w:rsidP="00D351A9">
      <w:pPr>
        <w:pStyle w:val="Ttulo1"/>
        <w:ind w:left="0"/>
        <w:rPr>
          <w:rFonts w:ascii="Bookman Old Style" w:hAnsi="Bookman Old Style" w:cs="Arial"/>
          <w:b w:val="0"/>
          <w:spacing w:val="60"/>
        </w:rPr>
      </w:pPr>
      <w:r w:rsidRPr="00D351A9">
        <w:rPr>
          <w:rFonts w:ascii="Bookman Old Style" w:hAnsi="Bookman Old Style" w:cs="Arial"/>
        </w:rPr>
        <w:t xml:space="preserve"> </w:t>
      </w:r>
      <w:r w:rsidRPr="002E5607">
        <w:rPr>
          <w:rFonts w:ascii="Bookman Old Style" w:hAnsi="Bookman Old Style" w:cs="Arial"/>
          <w:spacing w:val="60"/>
        </w:rPr>
        <w:t>RESUELVE</w:t>
      </w:r>
      <w:r w:rsidR="002E5607" w:rsidRPr="002E5607">
        <w:rPr>
          <w:rFonts w:ascii="Bookman Old Style" w:hAnsi="Bookman Old Style" w:cs="Arial"/>
          <w:spacing w:val="60"/>
        </w:rPr>
        <w:t>:</w:t>
      </w:r>
    </w:p>
    <w:p w14:paraId="5297A418" w14:textId="77777777" w:rsidR="009C777D" w:rsidRPr="00D351A9" w:rsidRDefault="009C777D" w:rsidP="009C777D">
      <w:pPr>
        <w:ind w:left="0"/>
        <w:jc w:val="center"/>
        <w:rPr>
          <w:rFonts w:ascii="Bookman Old Style" w:hAnsi="Bookman Old Style" w:cs="Arial"/>
          <w:b/>
        </w:rPr>
      </w:pPr>
    </w:p>
    <w:p w14:paraId="4EF4E8A3" w14:textId="77777777" w:rsidR="009F62C8" w:rsidRPr="00D351A9" w:rsidRDefault="009F62C8" w:rsidP="009C777D">
      <w:pPr>
        <w:ind w:left="0"/>
        <w:jc w:val="center"/>
        <w:rPr>
          <w:rFonts w:ascii="Bookman Old Style" w:hAnsi="Bookman Old Style" w:cs="Arial"/>
          <w:b/>
        </w:rPr>
      </w:pPr>
    </w:p>
    <w:p w14:paraId="513408B7" w14:textId="6945E2E9" w:rsidR="00FA4EC9" w:rsidRPr="00D351A9" w:rsidRDefault="0027646D" w:rsidP="0027646D">
      <w:pPr>
        <w:pStyle w:val="Prrafodelista"/>
        <w:numPr>
          <w:ilvl w:val="0"/>
          <w:numId w:val="37"/>
        </w:numPr>
        <w:jc w:val="both"/>
        <w:rPr>
          <w:rFonts w:ascii="Bookman Old Style" w:hAnsi="Bookman Old Style"/>
          <w:sz w:val="24"/>
        </w:rPr>
      </w:pPr>
      <w:r w:rsidRPr="0027646D">
        <w:rPr>
          <w:rFonts w:ascii="Bookman Old Style" w:hAnsi="Bookman Old Style"/>
          <w:sz w:val="24"/>
        </w:rPr>
        <w:t xml:space="preserve">Negar el recurso solicitado por Intercolombia S.A. E.S.P. al no encontrar probadas ninguna de las </w:t>
      </w:r>
      <w:r w:rsidR="00FB5EDC">
        <w:rPr>
          <w:rFonts w:ascii="Bookman Old Style" w:hAnsi="Bookman Old Style"/>
          <w:sz w:val="24"/>
        </w:rPr>
        <w:t>pretensiones</w:t>
      </w:r>
      <w:r w:rsidR="00FA4EC9" w:rsidRPr="00D351A9">
        <w:rPr>
          <w:rFonts w:ascii="Bookman Old Style" w:hAnsi="Bookman Old Style"/>
          <w:sz w:val="24"/>
        </w:rPr>
        <w:t>.</w:t>
      </w:r>
    </w:p>
    <w:p w14:paraId="543F2EB1" w14:textId="77777777" w:rsidR="00FA4EC9" w:rsidRPr="00D351A9" w:rsidRDefault="00FA4EC9" w:rsidP="00FA4EC9">
      <w:pPr>
        <w:pStyle w:val="Prrafodelista"/>
        <w:ind w:left="0"/>
        <w:jc w:val="both"/>
        <w:rPr>
          <w:rFonts w:ascii="Bookman Old Style" w:hAnsi="Bookman Old Style"/>
          <w:sz w:val="24"/>
        </w:rPr>
      </w:pPr>
    </w:p>
    <w:p w14:paraId="7F9E1810" w14:textId="0EB93B3E" w:rsidR="00FA4EC9" w:rsidRPr="00D351A9" w:rsidRDefault="0027646D" w:rsidP="0027646D">
      <w:pPr>
        <w:pStyle w:val="Prrafodelista"/>
        <w:numPr>
          <w:ilvl w:val="0"/>
          <w:numId w:val="37"/>
        </w:numPr>
        <w:jc w:val="both"/>
        <w:rPr>
          <w:rFonts w:ascii="Bookman Old Style" w:hAnsi="Bookman Old Style"/>
        </w:rPr>
      </w:pPr>
      <w:r w:rsidRPr="0027646D">
        <w:rPr>
          <w:rFonts w:ascii="Bookman Old Style" w:hAnsi="Bookman Old Style"/>
          <w:sz w:val="24"/>
        </w:rPr>
        <w:t>Confirmar en su integridad la Resolución CREG</w:t>
      </w:r>
      <w:r>
        <w:rPr>
          <w:rFonts w:ascii="Bookman Old Style" w:hAnsi="Bookman Old Style"/>
          <w:sz w:val="24"/>
        </w:rPr>
        <w:t xml:space="preserve"> 023 de 2019.</w:t>
      </w:r>
    </w:p>
    <w:p w14:paraId="07643F67" w14:textId="77777777" w:rsidR="00E82330" w:rsidRPr="00D351A9" w:rsidRDefault="00E82330" w:rsidP="0042164B">
      <w:pPr>
        <w:pStyle w:val="Prrafodelista"/>
        <w:rPr>
          <w:rFonts w:ascii="Bookman Old Style" w:hAnsi="Bookman Old Style"/>
          <w:sz w:val="28"/>
          <w:lang w:val="es-ES"/>
        </w:rPr>
      </w:pPr>
    </w:p>
    <w:p w14:paraId="2BE102D3" w14:textId="2DDC13C5" w:rsidR="009C777D" w:rsidRPr="00D351A9" w:rsidRDefault="009C777D" w:rsidP="00FA4EC9">
      <w:pPr>
        <w:pStyle w:val="Prrafodelista"/>
        <w:numPr>
          <w:ilvl w:val="0"/>
          <w:numId w:val="37"/>
        </w:numPr>
        <w:jc w:val="both"/>
        <w:rPr>
          <w:rFonts w:ascii="Bookman Old Style" w:hAnsi="Bookman Old Style"/>
          <w:sz w:val="24"/>
          <w:lang w:val="es-ES"/>
        </w:rPr>
      </w:pPr>
      <w:r w:rsidRPr="00D351A9">
        <w:rPr>
          <w:rFonts w:ascii="Bookman Old Style" w:hAnsi="Bookman Old Style"/>
          <w:sz w:val="24"/>
          <w:lang w:val="es-ES"/>
        </w:rPr>
        <w:t xml:space="preserve">Notificar personalmente al </w:t>
      </w:r>
      <w:r w:rsidR="00335F8B" w:rsidRPr="00D351A9">
        <w:rPr>
          <w:rFonts w:ascii="Bookman Old Style" w:hAnsi="Bookman Old Style"/>
          <w:sz w:val="24"/>
          <w:lang w:val="es-ES"/>
        </w:rPr>
        <w:t>representante legal de Intercolombia S.A. E.S.P</w:t>
      </w:r>
      <w:r w:rsidR="00A364B3">
        <w:rPr>
          <w:rFonts w:ascii="Bookman Old Style" w:hAnsi="Bookman Old Style"/>
          <w:sz w:val="24"/>
          <w:lang w:val="es-ES"/>
        </w:rPr>
        <w:t>.</w:t>
      </w:r>
      <w:r w:rsidR="00320E2C" w:rsidRPr="00D351A9">
        <w:rPr>
          <w:rFonts w:ascii="Bookman Old Style" w:hAnsi="Bookman Old Style"/>
          <w:sz w:val="24"/>
          <w:lang w:val="es-ES"/>
        </w:rPr>
        <w:t>,</w:t>
      </w:r>
      <w:r w:rsidRPr="00D351A9">
        <w:rPr>
          <w:rFonts w:ascii="Bookman Old Style" w:hAnsi="Bookman Old Style"/>
          <w:sz w:val="24"/>
          <w:lang w:val="es-ES"/>
        </w:rPr>
        <w:t xml:space="preserve"> advirtiéndole que contra el presente acto no procede recurso alguno.</w:t>
      </w:r>
    </w:p>
    <w:p w14:paraId="7236192A" w14:textId="77777777" w:rsidR="009C777D" w:rsidRPr="00D351A9" w:rsidRDefault="009C777D" w:rsidP="009C777D">
      <w:pPr>
        <w:ind w:left="708"/>
        <w:rPr>
          <w:rFonts w:ascii="Bookman Old Style" w:hAnsi="Bookman Old Style"/>
        </w:rPr>
      </w:pPr>
    </w:p>
    <w:p w14:paraId="20704929" w14:textId="77777777" w:rsidR="009C777D" w:rsidRPr="00D351A9" w:rsidRDefault="009C777D" w:rsidP="009C777D">
      <w:pPr>
        <w:ind w:left="0"/>
        <w:jc w:val="center"/>
        <w:rPr>
          <w:rFonts w:ascii="Bookman Old Style" w:hAnsi="Bookman Old Style" w:cs="Arial"/>
          <w:b/>
        </w:rPr>
      </w:pPr>
      <w:r w:rsidRPr="00D351A9">
        <w:rPr>
          <w:rFonts w:ascii="Bookman Old Style" w:hAnsi="Bookman Old Style" w:cs="Arial"/>
          <w:b/>
        </w:rPr>
        <w:t>NOTIFÍQUESE Y CÚMPLASE</w:t>
      </w:r>
    </w:p>
    <w:p w14:paraId="0EB368C3" w14:textId="77777777" w:rsidR="009C777D" w:rsidRPr="00D351A9" w:rsidRDefault="009C777D" w:rsidP="009C777D">
      <w:pPr>
        <w:ind w:left="0"/>
        <w:rPr>
          <w:rFonts w:ascii="Bookman Old Style" w:hAnsi="Bookman Old Style" w:cs="Arial"/>
        </w:rPr>
      </w:pPr>
    </w:p>
    <w:p w14:paraId="13C6C387" w14:textId="06D6D000" w:rsidR="000074D5" w:rsidRDefault="00D7273F" w:rsidP="00A34A79">
      <w:pPr>
        <w:ind w:left="0"/>
        <w:rPr>
          <w:rFonts w:ascii="Bookman Old Style" w:hAnsi="Bookman Old Style" w:cs="Arial"/>
        </w:rPr>
      </w:pPr>
      <w:r w:rsidRPr="00D351A9">
        <w:rPr>
          <w:rFonts w:ascii="Bookman Old Style" w:hAnsi="Bookman Old Style" w:cs="Arial"/>
        </w:rPr>
        <w:t xml:space="preserve">Dada en Bogotá D.C., a </w:t>
      </w:r>
    </w:p>
    <w:p w14:paraId="79F63F80" w14:textId="6A6194AF" w:rsidR="009E400F" w:rsidRDefault="009E400F" w:rsidP="00A34A79">
      <w:pPr>
        <w:ind w:left="0"/>
        <w:rPr>
          <w:rFonts w:ascii="Bookman Old Style" w:hAnsi="Bookman Old Style" w:cs="Arial"/>
        </w:rPr>
      </w:pPr>
    </w:p>
    <w:p w14:paraId="3C91DF0E" w14:textId="78BCCE02" w:rsidR="009E400F" w:rsidRDefault="009E400F" w:rsidP="00A34A79">
      <w:pPr>
        <w:ind w:left="0"/>
        <w:rPr>
          <w:rFonts w:ascii="Bookman Old Style" w:hAnsi="Bookman Old Style" w:cs="Arial"/>
        </w:rPr>
      </w:pPr>
    </w:p>
    <w:p w14:paraId="7E3812E4" w14:textId="77777777" w:rsidR="00F55A9B" w:rsidRDefault="00F55A9B" w:rsidP="00A34A79">
      <w:pPr>
        <w:ind w:left="0"/>
        <w:rPr>
          <w:rFonts w:ascii="Bookman Old Style" w:hAnsi="Bookman Old Style" w:cs="Arial"/>
        </w:rPr>
      </w:pPr>
    </w:p>
    <w:p w14:paraId="7573C09A" w14:textId="77777777" w:rsidR="009E400F" w:rsidRPr="00D351A9" w:rsidRDefault="009E400F" w:rsidP="00A34A79">
      <w:pPr>
        <w:ind w:left="0"/>
        <w:rPr>
          <w:rFonts w:ascii="Bookman Old Style" w:hAnsi="Bookman Old Style" w:cs="Arial"/>
        </w:rPr>
      </w:pPr>
    </w:p>
    <w:p w14:paraId="4B47DED8" w14:textId="77777777" w:rsidR="00E33113" w:rsidRPr="00D351A9" w:rsidRDefault="00E33113" w:rsidP="00A34A79">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9E400F" w:rsidRPr="00B64D62" w14:paraId="3F906A11" w14:textId="77777777" w:rsidTr="003F053B">
        <w:trPr>
          <w:tblCellSpacing w:w="0" w:type="dxa"/>
        </w:trPr>
        <w:tc>
          <w:tcPr>
            <w:tcW w:w="5104" w:type="dxa"/>
            <w:shd w:val="clear" w:color="auto" w:fill="FFFFFF"/>
            <w:hideMark/>
          </w:tcPr>
          <w:p w14:paraId="25596764" w14:textId="77777777" w:rsidR="009E400F" w:rsidRPr="00B64D62" w:rsidRDefault="009E400F" w:rsidP="003F053B">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14:paraId="71E028F6" w14:textId="77777777" w:rsidR="009E400F" w:rsidRPr="00B64D62" w:rsidRDefault="009E400F" w:rsidP="003F053B">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9E400F" w:rsidRPr="00B64D62" w14:paraId="26D87D83" w14:textId="77777777" w:rsidTr="003F053B">
        <w:trPr>
          <w:tblCellSpacing w:w="0" w:type="dxa"/>
        </w:trPr>
        <w:tc>
          <w:tcPr>
            <w:tcW w:w="5104" w:type="dxa"/>
            <w:shd w:val="clear" w:color="auto" w:fill="FFFFFF"/>
            <w:hideMark/>
          </w:tcPr>
          <w:p w14:paraId="2241DC07" w14:textId="77777777" w:rsidR="009E400F" w:rsidRPr="00B64D62" w:rsidRDefault="009E400F" w:rsidP="003F053B">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14:paraId="53A2C7D1" w14:textId="77777777" w:rsidR="009E400F" w:rsidRPr="00B64D62" w:rsidRDefault="009E400F" w:rsidP="003F053B">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9E400F" w:rsidRPr="00B64D62" w14:paraId="7190DFAD" w14:textId="77777777" w:rsidTr="003F053B">
        <w:trPr>
          <w:tblCellSpacing w:w="0" w:type="dxa"/>
        </w:trPr>
        <w:tc>
          <w:tcPr>
            <w:tcW w:w="5104" w:type="dxa"/>
            <w:shd w:val="clear" w:color="auto" w:fill="FFFFFF"/>
            <w:hideMark/>
          </w:tcPr>
          <w:p w14:paraId="5A53C33C" w14:textId="77777777" w:rsidR="009E400F" w:rsidRPr="00B64D62" w:rsidRDefault="009E400F" w:rsidP="003F053B">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14:paraId="5A75BAEC" w14:textId="77777777" w:rsidR="009E400F" w:rsidRPr="00B64D62" w:rsidRDefault="009E400F" w:rsidP="003F053B">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5DE1D7EC" wp14:editId="3C255E1D">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F4E25A8" w14:textId="369E70F2" w:rsidR="00763A35" w:rsidRPr="00D351A9" w:rsidRDefault="00763A35" w:rsidP="00B33B23">
      <w:pPr>
        <w:ind w:left="0"/>
        <w:rPr>
          <w:rFonts w:ascii="Bookman Old Style" w:hAnsi="Bookman Old Style"/>
        </w:rPr>
      </w:pPr>
    </w:p>
    <w:sectPr w:rsidR="00763A35" w:rsidRPr="00D351A9"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91A8" w14:textId="77777777" w:rsidR="005B3FFA" w:rsidRDefault="005B3FFA" w:rsidP="00445D79">
      <w:r>
        <w:separator/>
      </w:r>
    </w:p>
  </w:endnote>
  <w:endnote w:type="continuationSeparator" w:id="0">
    <w:p w14:paraId="6CFE3C53" w14:textId="77777777" w:rsidR="005B3FFA" w:rsidRDefault="005B3FFA"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3247" w14:textId="77777777" w:rsidR="005B3FFA" w:rsidRDefault="005B3FFA" w:rsidP="00445D79">
      <w:r>
        <w:separator/>
      </w:r>
    </w:p>
  </w:footnote>
  <w:footnote w:type="continuationSeparator" w:id="0">
    <w:p w14:paraId="3D8140D3" w14:textId="77777777" w:rsidR="005B3FFA" w:rsidRDefault="005B3FFA" w:rsidP="00445D79">
      <w:r>
        <w:continuationSeparator/>
      </w:r>
    </w:p>
  </w:footnote>
  <w:footnote w:id="1">
    <w:p w14:paraId="77B464E3" w14:textId="1E5D4013" w:rsidR="009B6D6B" w:rsidRPr="008B254A" w:rsidRDefault="009B6D6B">
      <w:pPr>
        <w:pStyle w:val="Textonotapie"/>
        <w:rPr>
          <w:sz w:val="18"/>
          <w:szCs w:val="18"/>
        </w:rPr>
      </w:pPr>
      <w:r>
        <w:rPr>
          <w:sz w:val="18"/>
          <w:szCs w:val="18"/>
        </w:rPr>
        <w:t xml:space="preserve">      </w:t>
      </w:r>
      <w:r w:rsidRPr="008B254A">
        <w:rPr>
          <w:rStyle w:val="Refdenotaalpie"/>
          <w:sz w:val="18"/>
          <w:szCs w:val="18"/>
        </w:rPr>
        <w:footnoteRef/>
      </w:r>
      <w:r w:rsidRPr="008B254A">
        <w:rPr>
          <w:sz w:val="18"/>
          <w:szCs w:val="18"/>
        </w:rPr>
        <w:t xml:space="preserve"> </w:t>
      </w:r>
      <w:r w:rsidRPr="008B254A">
        <w:rPr>
          <w:rFonts w:ascii="Bookman Old Style" w:hAnsi="Bookman Old Style"/>
          <w:i/>
          <w:sz w:val="18"/>
          <w:szCs w:val="18"/>
        </w:rPr>
        <w:t>La Resolución CREG 011 de 2009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6DDE" w14:textId="77777777" w:rsidR="009B6D6B" w:rsidRDefault="009B6D6B" w:rsidP="00EC2ABD">
    <w:pPr>
      <w:pStyle w:val="Ttulo1"/>
      <w:ind w:right="6"/>
      <w:jc w:val="left"/>
      <w:rPr>
        <w:rFonts w:ascii="Bookman Old Style" w:hAnsi="Bookman Old Style" w:cs="Arial"/>
        <w:b w:val="0"/>
        <w:sz w:val="22"/>
        <w:szCs w:val="22"/>
      </w:rPr>
    </w:pPr>
  </w:p>
  <w:p w14:paraId="311AAA87" w14:textId="3818D5CA" w:rsidR="009B6D6B" w:rsidRPr="00951F79" w:rsidRDefault="009B6D6B"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630C5">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630C5" w:rsidRPr="00B630C5">
        <w:rPr>
          <w:rFonts w:ascii="Bookman Old Style" w:hAnsi="Bookman Old Style" w:cs="Arial"/>
          <w:b w:val="0"/>
          <w:noProof/>
          <w:sz w:val="22"/>
          <w:szCs w:val="22"/>
        </w:rPr>
        <w:t>10</w:t>
      </w:r>
    </w:fldSimple>
  </w:p>
  <w:p w14:paraId="670CBE74" w14:textId="77777777" w:rsidR="009B6D6B" w:rsidRDefault="009B6D6B"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AAA1E67" wp14:editId="5B5D1FD2">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05A851"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14:paraId="6EF357EE" w14:textId="2083A610" w:rsidR="009B6D6B" w:rsidRDefault="009B6D6B" w:rsidP="005C5879">
    <w:pPr>
      <w:pBdr>
        <w:bottom w:val="single" w:sz="4" w:space="1" w:color="auto"/>
      </w:pBdr>
      <w:ind w:left="0"/>
      <w:jc w:val="both"/>
      <w:rPr>
        <w:rFonts w:ascii="Bookman Old Style" w:hAnsi="Bookman Old Style" w:cs="Arial"/>
        <w:color w:val="000000"/>
        <w:sz w:val="22"/>
        <w:szCs w:val="22"/>
        <w:lang w:eastAsia="es-CO"/>
      </w:rPr>
    </w:pPr>
    <w:r w:rsidRPr="005C5879">
      <w:rPr>
        <w:rFonts w:ascii="Bookman Old Style" w:hAnsi="Bookman Old Style" w:cs="Arial"/>
        <w:color w:val="000000"/>
        <w:sz w:val="22"/>
        <w:szCs w:val="22"/>
        <w:lang w:eastAsia="es-CO"/>
      </w:rPr>
      <w:t xml:space="preserve">Por la cual se resuelve el recurso de reposición interpuesto por la empresa Intercolombia S.A. E.S.P. contra la Resolución CREG </w:t>
    </w:r>
    <w:r w:rsidR="005C0823">
      <w:rPr>
        <w:rFonts w:ascii="Bookman Old Style" w:hAnsi="Bookman Old Style" w:cs="Arial"/>
        <w:color w:val="000000"/>
        <w:sz w:val="22"/>
        <w:szCs w:val="22"/>
        <w:lang w:eastAsia="es-CO"/>
      </w:rPr>
      <w:t xml:space="preserve">023 </w:t>
    </w:r>
    <w:r>
      <w:rPr>
        <w:rFonts w:ascii="Bookman Old Style" w:hAnsi="Bookman Old Style" w:cs="Arial"/>
        <w:color w:val="000000"/>
        <w:sz w:val="22"/>
        <w:szCs w:val="22"/>
        <w:lang w:eastAsia="es-CO"/>
      </w:rPr>
      <w:t>de</w:t>
    </w:r>
    <w:r w:rsidRPr="005C5879">
      <w:rPr>
        <w:rFonts w:ascii="Bookman Old Style" w:hAnsi="Bookman Old Style" w:cs="Arial"/>
        <w:color w:val="000000"/>
        <w:sz w:val="22"/>
        <w:szCs w:val="22"/>
        <w:lang w:eastAsia="es-CO"/>
      </w:rPr>
      <w:t xml:space="preserve"> 201</w:t>
    </w:r>
    <w:r w:rsidR="005C0823">
      <w:rPr>
        <w:rFonts w:ascii="Bookman Old Style" w:hAnsi="Bookman Old Style" w:cs="Arial"/>
        <w:color w:val="000000"/>
        <w:sz w:val="22"/>
        <w:szCs w:val="22"/>
        <w:lang w:eastAsia="es-CO"/>
      </w:rPr>
      <w:t>9</w:t>
    </w:r>
    <w:r w:rsidRPr="005C5879">
      <w:rPr>
        <w:rFonts w:ascii="Bookman Old Style" w:hAnsi="Bookman Old Style" w:cs="Arial"/>
        <w:color w:val="000000"/>
        <w:sz w:val="22"/>
        <w:szCs w:val="22"/>
        <w:lang w:eastAsia="es-CO"/>
      </w:rPr>
      <w:t xml:space="preserve"> “Por la cual se actualiza la base de activos de Intercolombia S.A. E.S.P. y se modifican los parámetros necesarios para considerar su remuneración en el Sistema de Transmisión Nacional”</w:t>
    </w:r>
  </w:p>
  <w:p w14:paraId="088145F7" w14:textId="77777777" w:rsidR="009B6D6B" w:rsidRPr="00CB5DD0" w:rsidRDefault="009B6D6B" w:rsidP="001A2438">
    <w:pPr>
      <w:ind w:left="0"/>
      <w:jc w:val="both"/>
      <w:rPr>
        <w:b/>
      </w:rPr>
    </w:pPr>
    <w:r>
      <w:rPr>
        <w:rFonts w:ascii="Bookman Old Style" w:hAnsi="Bookman Old Style" w:cs="Arial"/>
        <w:lang w:eastAsia="es-CO"/>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48C8" w14:textId="77777777" w:rsidR="009B6D6B" w:rsidRDefault="009B6D6B" w:rsidP="00EC2ABD">
    <w:pPr>
      <w:pStyle w:val="Encabezado"/>
      <w:jc w:val="both"/>
      <w:rPr>
        <w:rFonts w:ascii="Arial" w:hAnsi="Arial" w:cs="Arial"/>
        <w:spacing w:val="20"/>
        <w:sz w:val="20"/>
      </w:rPr>
    </w:pPr>
    <w:r>
      <w:rPr>
        <w:rFonts w:ascii="Arial" w:hAnsi="Arial" w:cs="Arial"/>
        <w:spacing w:val="20"/>
        <w:sz w:val="20"/>
      </w:rPr>
      <w:t xml:space="preserve">                                   República de Colombia</w:t>
    </w:r>
  </w:p>
  <w:p w14:paraId="5DB6129F" w14:textId="77777777" w:rsidR="009B6D6B" w:rsidRDefault="009B6D6B">
    <w:pPr>
      <w:pStyle w:val="Encabezado"/>
      <w:jc w:val="center"/>
      <w:rPr>
        <w:rFonts w:ascii="Arial" w:hAnsi="Arial" w:cs="Arial"/>
        <w:spacing w:val="20"/>
        <w:sz w:val="20"/>
      </w:rPr>
    </w:pPr>
  </w:p>
  <w:p w14:paraId="2CF5423E" w14:textId="77777777" w:rsidR="009B6D6B" w:rsidRDefault="009B6D6B"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1E9AA34B" wp14:editId="2D772C38">
              <wp:simplePos x="0" y="0"/>
              <wp:positionH relativeFrom="column">
                <wp:posOffset>-280035</wp:posOffset>
              </wp:positionH>
              <wp:positionV relativeFrom="paragraph">
                <wp:posOffset>377190</wp:posOffset>
              </wp:positionV>
              <wp:extent cx="6410325" cy="9839325"/>
              <wp:effectExtent l="0" t="0" r="2857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640C5FE" id="Rectángulo 1" o:spid="_x0000_s1026" style="position:absolute;margin-left:-22.05pt;margin-top:29.7pt;width:504.7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1957241"/>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51A6998"/>
    <w:multiLevelType w:val="hybridMultilevel"/>
    <w:tmpl w:val="83CED812"/>
    <w:lvl w:ilvl="0" w:tplc="240A000D">
      <w:start w:val="1"/>
      <w:numFmt w:val="bullet"/>
      <w:lvlText w:val=""/>
      <w:lvlJc w:val="left"/>
      <w:pPr>
        <w:ind w:left="1428" w:hanging="72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FA7AAD"/>
    <w:multiLevelType w:val="hybridMultilevel"/>
    <w:tmpl w:val="7752ED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0457BB"/>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EEF0CF9"/>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E924D3"/>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050332"/>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C27847"/>
    <w:multiLevelType w:val="hybridMultilevel"/>
    <w:tmpl w:val="F8EAD004"/>
    <w:lvl w:ilvl="0" w:tplc="83527E12">
      <w:start w:val="1"/>
      <w:numFmt w:val="decimal"/>
      <w:lvlText w:val="%1."/>
      <w:lvlJc w:val="left"/>
      <w:pPr>
        <w:ind w:left="927" w:hanging="360"/>
      </w:pPr>
      <w:rPr>
        <w:rFonts w:cs="Arial" w:hint="default"/>
        <w:color w:val="00000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23E11FB5"/>
    <w:multiLevelType w:val="hybridMultilevel"/>
    <w:tmpl w:val="AB42B7A0"/>
    <w:lvl w:ilvl="0" w:tplc="F482E26A">
      <w:numFmt w:val="bullet"/>
      <w:lvlText w:val="-"/>
      <w:lvlJc w:val="left"/>
      <w:pPr>
        <w:ind w:left="720" w:hanging="360"/>
      </w:pPr>
      <w:rPr>
        <w:rFonts w:ascii="Arial" w:eastAsia="Times New Roman" w:hAnsi="Arial"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70826"/>
    <w:multiLevelType w:val="hybridMultilevel"/>
    <w:tmpl w:val="B4E8A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F28A8"/>
    <w:multiLevelType w:val="hybridMultilevel"/>
    <w:tmpl w:val="576E6E6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A96771"/>
    <w:multiLevelType w:val="hybridMultilevel"/>
    <w:tmpl w:val="7098F6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4462953"/>
    <w:multiLevelType w:val="multilevel"/>
    <w:tmpl w:val="6E9013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0D1BDC"/>
    <w:multiLevelType w:val="hybridMultilevel"/>
    <w:tmpl w:val="47F6F632"/>
    <w:lvl w:ilvl="0" w:tplc="67105C6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395C4675"/>
    <w:multiLevelType w:val="hybridMultilevel"/>
    <w:tmpl w:val="61E022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3AD35E27"/>
    <w:multiLevelType w:val="hybridMultilevel"/>
    <w:tmpl w:val="C610CA8E"/>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3CBA7A92"/>
    <w:multiLevelType w:val="hybridMultilevel"/>
    <w:tmpl w:val="87E019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6D171F"/>
    <w:multiLevelType w:val="hybridMultilevel"/>
    <w:tmpl w:val="28468D10"/>
    <w:lvl w:ilvl="0" w:tplc="0D82B552">
      <w:numFmt w:val="bullet"/>
      <w:lvlText w:val="-"/>
      <w:lvlJc w:val="left"/>
      <w:pPr>
        <w:ind w:left="720" w:hanging="360"/>
      </w:pPr>
      <w:rPr>
        <w:rFonts w:ascii="Bookman Old Style" w:eastAsia="Times New Roman" w:hAnsi="Bookman Old Style" w:cs="Arial" w:hint="default"/>
        <w:lang w:val="es-C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6730FD"/>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3" w15:restartNumberingAfterBreak="0">
    <w:nsid w:val="45D94F50"/>
    <w:multiLevelType w:val="hybridMultilevel"/>
    <w:tmpl w:val="CAE09152"/>
    <w:lvl w:ilvl="0" w:tplc="607626A0">
      <w:start w:val="1"/>
      <w:numFmt w:val="upperRoman"/>
      <w:pStyle w:val="Titulo1"/>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AE73EFD"/>
    <w:multiLevelType w:val="hybridMultilevel"/>
    <w:tmpl w:val="7FF690F2"/>
    <w:lvl w:ilvl="0" w:tplc="2940F312">
      <w:start w:val="1"/>
      <w:numFmt w:val="decimal"/>
      <w:lvlText w:val="Artículo %1."/>
      <w:lvlJc w:val="left"/>
      <w:pPr>
        <w:ind w:left="720" w:hanging="360"/>
      </w:pPr>
      <w:rPr>
        <w:rFonts w:hint="default"/>
        <w:b/>
        <w:i w:val="0"/>
      </w:rPr>
    </w:lvl>
    <w:lvl w:ilvl="1" w:tplc="E7D46DFC" w:tentative="1">
      <w:start w:val="1"/>
      <w:numFmt w:val="lowerLetter"/>
      <w:lvlText w:val="%2."/>
      <w:lvlJc w:val="left"/>
      <w:pPr>
        <w:ind w:left="1440" w:hanging="360"/>
      </w:pPr>
    </w:lvl>
    <w:lvl w:ilvl="2" w:tplc="FE466F1E" w:tentative="1">
      <w:start w:val="1"/>
      <w:numFmt w:val="lowerRoman"/>
      <w:lvlText w:val="%3."/>
      <w:lvlJc w:val="right"/>
      <w:pPr>
        <w:ind w:left="2160" w:hanging="180"/>
      </w:pPr>
    </w:lvl>
    <w:lvl w:ilvl="3" w:tplc="3A56839C" w:tentative="1">
      <w:start w:val="1"/>
      <w:numFmt w:val="decimal"/>
      <w:lvlText w:val="%4."/>
      <w:lvlJc w:val="left"/>
      <w:pPr>
        <w:ind w:left="2880" w:hanging="360"/>
      </w:pPr>
    </w:lvl>
    <w:lvl w:ilvl="4" w:tplc="5728F6E4" w:tentative="1">
      <w:start w:val="1"/>
      <w:numFmt w:val="lowerLetter"/>
      <w:lvlText w:val="%5."/>
      <w:lvlJc w:val="left"/>
      <w:pPr>
        <w:ind w:left="3600" w:hanging="360"/>
      </w:pPr>
    </w:lvl>
    <w:lvl w:ilvl="5" w:tplc="28FCCC7C" w:tentative="1">
      <w:start w:val="1"/>
      <w:numFmt w:val="lowerRoman"/>
      <w:lvlText w:val="%6."/>
      <w:lvlJc w:val="right"/>
      <w:pPr>
        <w:ind w:left="4320" w:hanging="180"/>
      </w:pPr>
    </w:lvl>
    <w:lvl w:ilvl="6" w:tplc="5D88B802" w:tentative="1">
      <w:start w:val="1"/>
      <w:numFmt w:val="decimal"/>
      <w:lvlText w:val="%7."/>
      <w:lvlJc w:val="left"/>
      <w:pPr>
        <w:ind w:left="5040" w:hanging="360"/>
      </w:pPr>
    </w:lvl>
    <w:lvl w:ilvl="7" w:tplc="9550BF88" w:tentative="1">
      <w:start w:val="1"/>
      <w:numFmt w:val="lowerLetter"/>
      <w:lvlText w:val="%8."/>
      <w:lvlJc w:val="left"/>
      <w:pPr>
        <w:ind w:left="5760" w:hanging="360"/>
      </w:pPr>
    </w:lvl>
    <w:lvl w:ilvl="8" w:tplc="5C0E0CE0" w:tentative="1">
      <w:start w:val="1"/>
      <w:numFmt w:val="lowerRoman"/>
      <w:lvlText w:val="%9."/>
      <w:lvlJc w:val="right"/>
      <w:pPr>
        <w:ind w:left="6480" w:hanging="180"/>
      </w:pPr>
    </w:lvl>
  </w:abstractNum>
  <w:abstractNum w:abstractNumId="25" w15:restartNumberingAfterBreak="0">
    <w:nsid w:val="5155008D"/>
    <w:multiLevelType w:val="hybridMultilevel"/>
    <w:tmpl w:val="E1B20E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A41BC6"/>
    <w:multiLevelType w:val="hybridMultilevel"/>
    <w:tmpl w:val="C60AECC8"/>
    <w:lvl w:ilvl="0" w:tplc="0C0A0017">
      <w:start w:val="1"/>
      <w:numFmt w:val="lowerLetter"/>
      <w:lvlText w:val="%1)"/>
      <w:lvlJc w:val="left"/>
      <w:pPr>
        <w:tabs>
          <w:tab w:val="num" w:pos="360"/>
        </w:tabs>
        <w:ind w:left="360" w:hanging="360"/>
      </w:pPr>
      <w:rPr>
        <w:rFonts w:hint="default"/>
      </w:rPr>
    </w:lvl>
    <w:lvl w:ilvl="1" w:tplc="43AC6B18">
      <w:start w:val="2"/>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574E129A"/>
    <w:multiLevelType w:val="hybridMultilevel"/>
    <w:tmpl w:val="078E4E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521881"/>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D37D5A"/>
    <w:multiLevelType w:val="hybridMultilevel"/>
    <w:tmpl w:val="8472A774"/>
    <w:lvl w:ilvl="0" w:tplc="3B266FBC">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CC58C9"/>
    <w:multiLevelType w:val="hybridMultilevel"/>
    <w:tmpl w:val="B650B2CE"/>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31" w15:restartNumberingAfterBreak="0">
    <w:nsid w:val="68820B25"/>
    <w:multiLevelType w:val="hybridMultilevel"/>
    <w:tmpl w:val="49E2CCBE"/>
    <w:lvl w:ilvl="0" w:tplc="3B34C27E">
      <w:start w:val="1"/>
      <w:numFmt w:val="decimal"/>
      <w:pStyle w:val="Ttulo3"/>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05536F"/>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2F1F5F"/>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7FF41AC"/>
    <w:multiLevelType w:val="hybridMultilevel"/>
    <w:tmpl w:val="77C8B442"/>
    <w:lvl w:ilvl="0" w:tplc="35EE613A">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5" w15:restartNumberingAfterBreak="0">
    <w:nsid w:val="78AB0C41"/>
    <w:multiLevelType w:val="hybridMultilevel"/>
    <w:tmpl w:val="F45E4D4A"/>
    <w:lvl w:ilvl="0" w:tplc="8A78B8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6" w15:restartNumberingAfterBreak="0">
    <w:nsid w:val="794219B1"/>
    <w:multiLevelType w:val="hybridMultilevel"/>
    <w:tmpl w:val="2DE64678"/>
    <w:lvl w:ilvl="0" w:tplc="5FEA26EA">
      <w:start w:val="2"/>
      <w:numFmt w:val="decimal"/>
      <w:lvlText w:val="%1."/>
      <w:lvlJc w:val="left"/>
      <w:pPr>
        <w:ind w:left="380" w:hanging="360"/>
      </w:pPr>
      <w:rPr>
        <w:rFonts w:hint="default"/>
        <w:color w:val="000000"/>
      </w:rPr>
    </w:lvl>
    <w:lvl w:ilvl="1" w:tplc="240A0019" w:tentative="1">
      <w:start w:val="1"/>
      <w:numFmt w:val="lowerLetter"/>
      <w:lvlText w:val="%2."/>
      <w:lvlJc w:val="left"/>
      <w:pPr>
        <w:ind w:left="1100" w:hanging="360"/>
      </w:pPr>
    </w:lvl>
    <w:lvl w:ilvl="2" w:tplc="240A001B" w:tentative="1">
      <w:start w:val="1"/>
      <w:numFmt w:val="lowerRoman"/>
      <w:lvlText w:val="%3."/>
      <w:lvlJc w:val="right"/>
      <w:pPr>
        <w:ind w:left="1820" w:hanging="180"/>
      </w:pPr>
    </w:lvl>
    <w:lvl w:ilvl="3" w:tplc="240A000F" w:tentative="1">
      <w:start w:val="1"/>
      <w:numFmt w:val="decimal"/>
      <w:lvlText w:val="%4."/>
      <w:lvlJc w:val="left"/>
      <w:pPr>
        <w:ind w:left="2540" w:hanging="360"/>
      </w:pPr>
    </w:lvl>
    <w:lvl w:ilvl="4" w:tplc="240A0019" w:tentative="1">
      <w:start w:val="1"/>
      <w:numFmt w:val="lowerLetter"/>
      <w:lvlText w:val="%5."/>
      <w:lvlJc w:val="left"/>
      <w:pPr>
        <w:ind w:left="3260" w:hanging="360"/>
      </w:pPr>
    </w:lvl>
    <w:lvl w:ilvl="5" w:tplc="240A001B" w:tentative="1">
      <w:start w:val="1"/>
      <w:numFmt w:val="lowerRoman"/>
      <w:lvlText w:val="%6."/>
      <w:lvlJc w:val="right"/>
      <w:pPr>
        <w:ind w:left="3980" w:hanging="180"/>
      </w:pPr>
    </w:lvl>
    <w:lvl w:ilvl="6" w:tplc="240A000F" w:tentative="1">
      <w:start w:val="1"/>
      <w:numFmt w:val="decimal"/>
      <w:lvlText w:val="%7."/>
      <w:lvlJc w:val="left"/>
      <w:pPr>
        <w:ind w:left="4700" w:hanging="360"/>
      </w:pPr>
    </w:lvl>
    <w:lvl w:ilvl="7" w:tplc="240A0019" w:tentative="1">
      <w:start w:val="1"/>
      <w:numFmt w:val="lowerLetter"/>
      <w:lvlText w:val="%8."/>
      <w:lvlJc w:val="left"/>
      <w:pPr>
        <w:ind w:left="5420" w:hanging="360"/>
      </w:pPr>
    </w:lvl>
    <w:lvl w:ilvl="8" w:tplc="240A001B" w:tentative="1">
      <w:start w:val="1"/>
      <w:numFmt w:val="lowerRoman"/>
      <w:lvlText w:val="%9."/>
      <w:lvlJc w:val="right"/>
      <w:pPr>
        <w:ind w:left="6140" w:hanging="180"/>
      </w:pPr>
    </w:lvl>
  </w:abstractNum>
  <w:abstractNum w:abstractNumId="37" w15:restartNumberingAfterBreak="0">
    <w:nsid w:val="796E5411"/>
    <w:multiLevelType w:val="hybridMultilevel"/>
    <w:tmpl w:val="01DC8F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BA1291F"/>
    <w:multiLevelType w:val="hybridMultilevel"/>
    <w:tmpl w:val="F8C65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4"/>
  </w:num>
  <w:num w:numId="4">
    <w:abstractNumId w:val="26"/>
  </w:num>
  <w:num w:numId="5">
    <w:abstractNumId w:val="14"/>
  </w:num>
  <w:num w:numId="6">
    <w:abstractNumId w:val="19"/>
  </w:num>
  <w:num w:numId="7">
    <w:abstractNumId w:val="17"/>
  </w:num>
  <w:num w:numId="8">
    <w:abstractNumId w:val="3"/>
  </w:num>
  <w:num w:numId="9">
    <w:abstractNumId w:val="13"/>
  </w:num>
  <w:num w:numId="10">
    <w:abstractNumId w:val="37"/>
  </w:num>
  <w:num w:numId="11">
    <w:abstractNumId w:val="30"/>
  </w:num>
  <w:num w:numId="12">
    <w:abstractNumId w:val="1"/>
  </w:num>
  <w:num w:numId="13">
    <w:abstractNumId w:val="12"/>
  </w:num>
  <w:num w:numId="14">
    <w:abstractNumId w:val="15"/>
  </w:num>
  <w:num w:numId="15">
    <w:abstractNumId w:val="2"/>
  </w:num>
  <w:num w:numId="16">
    <w:abstractNumId w:val="36"/>
  </w:num>
  <w:num w:numId="17">
    <w:abstractNumId w:val="16"/>
  </w:num>
  <w:num w:numId="18">
    <w:abstractNumId w:val="25"/>
  </w:num>
  <w:num w:numId="19">
    <w:abstractNumId w:val="11"/>
  </w:num>
  <w:num w:numId="20">
    <w:abstractNumId w:val="29"/>
  </w:num>
  <w:num w:numId="21">
    <w:abstractNumId w:val="7"/>
  </w:num>
  <w:num w:numId="22">
    <w:abstractNumId w:val="27"/>
  </w:num>
  <w:num w:numId="23">
    <w:abstractNumId w:val="35"/>
  </w:num>
  <w:num w:numId="24">
    <w:abstractNumId w:val="31"/>
  </w:num>
  <w:num w:numId="25">
    <w:abstractNumId w:val="24"/>
  </w:num>
  <w:num w:numId="26">
    <w:abstractNumId w:val="21"/>
  </w:num>
  <w:num w:numId="27">
    <w:abstractNumId w:val="9"/>
  </w:num>
  <w:num w:numId="28">
    <w:abstractNumId w:val="38"/>
  </w:num>
  <w:num w:numId="29">
    <w:abstractNumId w:val="28"/>
  </w:num>
  <w:num w:numId="30">
    <w:abstractNumId w:val="5"/>
  </w:num>
  <w:num w:numId="31">
    <w:abstractNumId w:val="32"/>
  </w:num>
  <w:num w:numId="32">
    <w:abstractNumId w:val="20"/>
  </w:num>
  <w:num w:numId="33">
    <w:abstractNumId w:val="34"/>
  </w:num>
  <w:num w:numId="34">
    <w:abstractNumId w:val="0"/>
  </w:num>
  <w:num w:numId="35">
    <w:abstractNumId w:val="22"/>
  </w:num>
  <w:num w:numId="36">
    <w:abstractNumId w:val="10"/>
  </w:num>
  <w:num w:numId="37">
    <w:abstractNumId w:val="18"/>
  </w:num>
  <w:num w:numId="38">
    <w:abstractNumId w:val="33"/>
  </w:num>
  <w:num w:numId="39">
    <w:abstractNumId w:val="8"/>
  </w:num>
  <w:num w:numId="40">
    <w:abstractNumId w:val="23"/>
  </w:num>
  <w:num w:numId="41">
    <w:abstractNumId w:val="31"/>
  </w:num>
  <w:num w:numId="42">
    <w:abstractNumId w:val="31"/>
  </w:num>
  <w:num w:numId="43">
    <w:abstractNumId w:val="31"/>
  </w:num>
  <w:num w:numId="44">
    <w:abstractNumId w:val="31"/>
  </w:num>
  <w:num w:numId="45">
    <w:abstractNumId w:val="31"/>
  </w:num>
  <w:num w:numId="46">
    <w:abstractNumId w:val="31"/>
    <w:lvlOverride w:ilvl="0">
      <w:startOverride w:val="1"/>
    </w:lvlOverride>
  </w:num>
  <w:num w:numId="47">
    <w:abstractNumId w:val="31"/>
  </w:num>
  <w:num w:numId="48">
    <w:abstractNumId w:val="31"/>
  </w:num>
  <w:num w:numId="49">
    <w:abstractNumId w:val="31"/>
  </w:num>
  <w:num w:numId="50">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28A6"/>
    <w:rsid w:val="00003690"/>
    <w:rsid w:val="00004106"/>
    <w:rsid w:val="0000478E"/>
    <w:rsid w:val="00004D3A"/>
    <w:rsid w:val="0000561E"/>
    <w:rsid w:val="00005CA6"/>
    <w:rsid w:val="0000746B"/>
    <w:rsid w:val="000074D5"/>
    <w:rsid w:val="000124BE"/>
    <w:rsid w:val="0001267B"/>
    <w:rsid w:val="00012FAD"/>
    <w:rsid w:val="000144B1"/>
    <w:rsid w:val="00016029"/>
    <w:rsid w:val="000201D4"/>
    <w:rsid w:val="000203CB"/>
    <w:rsid w:val="00022878"/>
    <w:rsid w:val="00024A65"/>
    <w:rsid w:val="000251D0"/>
    <w:rsid w:val="0002643D"/>
    <w:rsid w:val="000315AA"/>
    <w:rsid w:val="00031746"/>
    <w:rsid w:val="00031808"/>
    <w:rsid w:val="0003388B"/>
    <w:rsid w:val="00036496"/>
    <w:rsid w:val="00041569"/>
    <w:rsid w:val="00044897"/>
    <w:rsid w:val="00047082"/>
    <w:rsid w:val="00052EB3"/>
    <w:rsid w:val="00054CFB"/>
    <w:rsid w:val="000575B1"/>
    <w:rsid w:val="000669A4"/>
    <w:rsid w:val="00067724"/>
    <w:rsid w:val="00067EDC"/>
    <w:rsid w:val="000702A9"/>
    <w:rsid w:val="000707B4"/>
    <w:rsid w:val="00070809"/>
    <w:rsid w:val="0007199E"/>
    <w:rsid w:val="00071BDE"/>
    <w:rsid w:val="00077D70"/>
    <w:rsid w:val="00083156"/>
    <w:rsid w:val="00091D7E"/>
    <w:rsid w:val="0009388A"/>
    <w:rsid w:val="00093A9A"/>
    <w:rsid w:val="00095477"/>
    <w:rsid w:val="000A2D7C"/>
    <w:rsid w:val="000A370A"/>
    <w:rsid w:val="000A440C"/>
    <w:rsid w:val="000A4635"/>
    <w:rsid w:val="000A56DB"/>
    <w:rsid w:val="000B28A5"/>
    <w:rsid w:val="000B4651"/>
    <w:rsid w:val="000B4F74"/>
    <w:rsid w:val="000B7122"/>
    <w:rsid w:val="000C24B7"/>
    <w:rsid w:val="000C2698"/>
    <w:rsid w:val="000C3118"/>
    <w:rsid w:val="000C38CF"/>
    <w:rsid w:val="000C3D3C"/>
    <w:rsid w:val="000C3E2C"/>
    <w:rsid w:val="000C66A1"/>
    <w:rsid w:val="000C7D76"/>
    <w:rsid w:val="000D02A6"/>
    <w:rsid w:val="000D24D6"/>
    <w:rsid w:val="000E1885"/>
    <w:rsid w:val="000E18BC"/>
    <w:rsid w:val="000E68DE"/>
    <w:rsid w:val="000E79F9"/>
    <w:rsid w:val="000F0DB7"/>
    <w:rsid w:val="000F2AF8"/>
    <w:rsid w:val="000F41E9"/>
    <w:rsid w:val="000F4DBE"/>
    <w:rsid w:val="000F4DFF"/>
    <w:rsid w:val="000F5DED"/>
    <w:rsid w:val="000F696C"/>
    <w:rsid w:val="000F71AA"/>
    <w:rsid w:val="000F761F"/>
    <w:rsid w:val="0010081D"/>
    <w:rsid w:val="00100B0C"/>
    <w:rsid w:val="0010204C"/>
    <w:rsid w:val="00102A15"/>
    <w:rsid w:val="0010348E"/>
    <w:rsid w:val="00106789"/>
    <w:rsid w:val="00107296"/>
    <w:rsid w:val="00110BAF"/>
    <w:rsid w:val="001123D3"/>
    <w:rsid w:val="00114836"/>
    <w:rsid w:val="00114B34"/>
    <w:rsid w:val="00114CDE"/>
    <w:rsid w:val="00116DD0"/>
    <w:rsid w:val="0011700C"/>
    <w:rsid w:val="00121271"/>
    <w:rsid w:val="001218E8"/>
    <w:rsid w:val="00130D39"/>
    <w:rsid w:val="00135C52"/>
    <w:rsid w:val="00142935"/>
    <w:rsid w:val="00152CD9"/>
    <w:rsid w:val="00154998"/>
    <w:rsid w:val="00154EA0"/>
    <w:rsid w:val="0015637B"/>
    <w:rsid w:val="001568E5"/>
    <w:rsid w:val="0015706E"/>
    <w:rsid w:val="00157CDE"/>
    <w:rsid w:val="00162233"/>
    <w:rsid w:val="00167433"/>
    <w:rsid w:val="001674EA"/>
    <w:rsid w:val="001675F8"/>
    <w:rsid w:val="001676AB"/>
    <w:rsid w:val="00167AE7"/>
    <w:rsid w:val="001702E8"/>
    <w:rsid w:val="00174538"/>
    <w:rsid w:val="00177E6E"/>
    <w:rsid w:val="00181DD9"/>
    <w:rsid w:val="00185E03"/>
    <w:rsid w:val="00191B2E"/>
    <w:rsid w:val="001924D7"/>
    <w:rsid w:val="00193197"/>
    <w:rsid w:val="001951D6"/>
    <w:rsid w:val="0019600F"/>
    <w:rsid w:val="001A0163"/>
    <w:rsid w:val="001A2438"/>
    <w:rsid w:val="001A3D71"/>
    <w:rsid w:val="001A4881"/>
    <w:rsid w:val="001A4892"/>
    <w:rsid w:val="001A494C"/>
    <w:rsid w:val="001A6196"/>
    <w:rsid w:val="001A6C1B"/>
    <w:rsid w:val="001B0CD9"/>
    <w:rsid w:val="001B0EEF"/>
    <w:rsid w:val="001B147E"/>
    <w:rsid w:val="001B2931"/>
    <w:rsid w:val="001B394A"/>
    <w:rsid w:val="001B3F2F"/>
    <w:rsid w:val="001B6906"/>
    <w:rsid w:val="001C1733"/>
    <w:rsid w:val="001C6227"/>
    <w:rsid w:val="001C6528"/>
    <w:rsid w:val="001C6940"/>
    <w:rsid w:val="001D2BC2"/>
    <w:rsid w:val="001D33A6"/>
    <w:rsid w:val="001D61E4"/>
    <w:rsid w:val="001E4BCD"/>
    <w:rsid w:val="001E522D"/>
    <w:rsid w:val="001E6287"/>
    <w:rsid w:val="001F4D4A"/>
    <w:rsid w:val="001F66DF"/>
    <w:rsid w:val="002004FD"/>
    <w:rsid w:val="00204FDE"/>
    <w:rsid w:val="00211671"/>
    <w:rsid w:val="00211ADA"/>
    <w:rsid w:val="002127BC"/>
    <w:rsid w:val="002139D5"/>
    <w:rsid w:val="0021413C"/>
    <w:rsid w:val="002170F5"/>
    <w:rsid w:val="002247B4"/>
    <w:rsid w:val="002247C6"/>
    <w:rsid w:val="002259D8"/>
    <w:rsid w:val="00226B35"/>
    <w:rsid w:val="00227580"/>
    <w:rsid w:val="00227D5F"/>
    <w:rsid w:val="00230627"/>
    <w:rsid w:val="00230F74"/>
    <w:rsid w:val="00235A6C"/>
    <w:rsid w:val="002376BE"/>
    <w:rsid w:val="00237DEA"/>
    <w:rsid w:val="00240209"/>
    <w:rsid w:val="0024083A"/>
    <w:rsid w:val="00243903"/>
    <w:rsid w:val="00243B78"/>
    <w:rsid w:val="00245640"/>
    <w:rsid w:val="00246763"/>
    <w:rsid w:val="002473AE"/>
    <w:rsid w:val="002525C1"/>
    <w:rsid w:val="00252D67"/>
    <w:rsid w:val="00255B8D"/>
    <w:rsid w:val="00256C46"/>
    <w:rsid w:val="00257FF1"/>
    <w:rsid w:val="00262DD9"/>
    <w:rsid w:val="00263974"/>
    <w:rsid w:val="002658D8"/>
    <w:rsid w:val="0026670B"/>
    <w:rsid w:val="0026721F"/>
    <w:rsid w:val="00270B85"/>
    <w:rsid w:val="002715B5"/>
    <w:rsid w:val="002730C5"/>
    <w:rsid w:val="00274D6E"/>
    <w:rsid w:val="0027646D"/>
    <w:rsid w:val="00283471"/>
    <w:rsid w:val="0028509C"/>
    <w:rsid w:val="00285830"/>
    <w:rsid w:val="00290BB9"/>
    <w:rsid w:val="00291D06"/>
    <w:rsid w:val="00293783"/>
    <w:rsid w:val="002951A4"/>
    <w:rsid w:val="00295D8B"/>
    <w:rsid w:val="00296BB3"/>
    <w:rsid w:val="002A01C4"/>
    <w:rsid w:val="002A04F1"/>
    <w:rsid w:val="002A17CC"/>
    <w:rsid w:val="002A1E6E"/>
    <w:rsid w:val="002A21B8"/>
    <w:rsid w:val="002A2F79"/>
    <w:rsid w:val="002A44AE"/>
    <w:rsid w:val="002A67BF"/>
    <w:rsid w:val="002A7385"/>
    <w:rsid w:val="002B0036"/>
    <w:rsid w:val="002B1BD0"/>
    <w:rsid w:val="002B7D28"/>
    <w:rsid w:val="002C0602"/>
    <w:rsid w:val="002C468B"/>
    <w:rsid w:val="002C7D33"/>
    <w:rsid w:val="002D006C"/>
    <w:rsid w:val="002D4A22"/>
    <w:rsid w:val="002D4C62"/>
    <w:rsid w:val="002D5365"/>
    <w:rsid w:val="002E1E98"/>
    <w:rsid w:val="002E2889"/>
    <w:rsid w:val="002E3111"/>
    <w:rsid w:val="002E3183"/>
    <w:rsid w:val="002E41AF"/>
    <w:rsid w:val="002E55F6"/>
    <w:rsid w:val="002E5607"/>
    <w:rsid w:val="002F10F7"/>
    <w:rsid w:val="002F7880"/>
    <w:rsid w:val="00304763"/>
    <w:rsid w:val="00304FB4"/>
    <w:rsid w:val="00305DF1"/>
    <w:rsid w:val="00307EA5"/>
    <w:rsid w:val="00310906"/>
    <w:rsid w:val="00310A26"/>
    <w:rsid w:val="00310E0A"/>
    <w:rsid w:val="0031436C"/>
    <w:rsid w:val="00317298"/>
    <w:rsid w:val="003173EC"/>
    <w:rsid w:val="00320E2C"/>
    <w:rsid w:val="003225BB"/>
    <w:rsid w:val="003228DC"/>
    <w:rsid w:val="003228DE"/>
    <w:rsid w:val="0032493B"/>
    <w:rsid w:val="00331932"/>
    <w:rsid w:val="00332923"/>
    <w:rsid w:val="00333321"/>
    <w:rsid w:val="0033553C"/>
    <w:rsid w:val="00335F8B"/>
    <w:rsid w:val="00337957"/>
    <w:rsid w:val="00337993"/>
    <w:rsid w:val="00341F79"/>
    <w:rsid w:val="00342126"/>
    <w:rsid w:val="00342D5A"/>
    <w:rsid w:val="0034312A"/>
    <w:rsid w:val="00344315"/>
    <w:rsid w:val="00345B6F"/>
    <w:rsid w:val="00346706"/>
    <w:rsid w:val="00351B8B"/>
    <w:rsid w:val="003553A6"/>
    <w:rsid w:val="00357296"/>
    <w:rsid w:val="00360E66"/>
    <w:rsid w:val="003614CE"/>
    <w:rsid w:val="003618D6"/>
    <w:rsid w:val="00362114"/>
    <w:rsid w:val="00363412"/>
    <w:rsid w:val="00363C14"/>
    <w:rsid w:val="00364400"/>
    <w:rsid w:val="00367852"/>
    <w:rsid w:val="00370EDD"/>
    <w:rsid w:val="00372C97"/>
    <w:rsid w:val="0037444D"/>
    <w:rsid w:val="00375E7C"/>
    <w:rsid w:val="00376AE1"/>
    <w:rsid w:val="00377B6A"/>
    <w:rsid w:val="0038066B"/>
    <w:rsid w:val="00380E0A"/>
    <w:rsid w:val="003832E6"/>
    <w:rsid w:val="0038491E"/>
    <w:rsid w:val="00384BA9"/>
    <w:rsid w:val="00385AF7"/>
    <w:rsid w:val="00386939"/>
    <w:rsid w:val="00390188"/>
    <w:rsid w:val="003915E4"/>
    <w:rsid w:val="00391ED9"/>
    <w:rsid w:val="00397EBB"/>
    <w:rsid w:val="003A11A6"/>
    <w:rsid w:val="003A2693"/>
    <w:rsid w:val="003A4D24"/>
    <w:rsid w:val="003A7A25"/>
    <w:rsid w:val="003B154B"/>
    <w:rsid w:val="003B3AEF"/>
    <w:rsid w:val="003B3DB7"/>
    <w:rsid w:val="003B6118"/>
    <w:rsid w:val="003C0F86"/>
    <w:rsid w:val="003C234F"/>
    <w:rsid w:val="003C29FB"/>
    <w:rsid w:val="003C364A"/>
    <w:rsid w:val="003C491C"/>
    <w:rsid w:val="003C753B"/>
    <w:rsid w:val="003D288F"/>
    <w:rsid w:val="003D7A76"/>
    <w:rsid w:val="003E2E92"/>
    <w:rsid w:val="003E4347"/>
    <w:rsid w:val="003E4E07"/>
    <w:rsid w:val="003E64F2"/>
    <w:rsid w:val="003E67B4"/>
    <w:rsid w:val="003E71C0"/>
    <w:rsid w:val="003F2676"/>
    <w:rsid w:val="003F710C"/>
    <w:rsid w:val="00402C45"/>
    <w:rsid w:val="004039E9"/>
    <w:rsid w:val="00403A60"/>
    <w:rsid w:val="00404062"/>
    <w:rsid w:val="00404401"/>
    <w:rsid w:val="00405179"/>
    <w:rsid w:val="004106E6"/>
    <w:rsid w:val="00411C1A"/>
    <w:rsid w:val="004132F0"/>
    <w:rsid w:val="0041674B"/>
    <w:rsid w:val="00420F9A"/>
    <w:rsid w:val="0042164B"/>
    <w:rsid w:val="004216D9"/>
    <w:rsid w:val="004238D9"/>
    <w:rsid w:val="00424412"/>
    <w:rsid w:val="0043109C"/>
    <w:rsid w:val="00432C11"/>
    <w:rsid w:val="00436220"/>
    <w:rsid w:val="0044181F"/>
    <w:rsid w:val="00441F43"/>
    <w:rsid w:val="004424AE"/>
    <w:rsid w:val="0044337C"/>
    <w:rsid w:val="00445D79"/>
    <w:rsid w:val="004513C8"/>
    <w:rsid w:val="00451954"/>
    <w:rsid w:val="0045470A"/>
    <w:rsid w:val="0045528C"/>
    <w:rsid w:val="0045578B"/>
    <w:rsid w:val="00456451"/>
    <w:rsid w:val="00460B3E"/>
    <w:rsid w:val="00460BF5"/>
    <w:rsid w:val="00461915"/>
    <w:rsid w:val="00462DA8"/>
    <w:rsid w:val="0046542C"/>
    <w:rsid w:val="004658ED"/>
    <w:rsid w:val="00467099"/>
    <w:rsid w:val="004715CA"/>
    <w:rsid w:val="00477188"/>
    <w:rsid w:val="00480500"/>
    <w:rsid w:val="00481435"/>
    <w:rsid w:val="00483265"/>
    <w:rsid w:val="0049143B"/>
    <w:rsid w:val="004923B0"/>
    <w:rsid w:val="004929D6"/>
    <w:rsid w:val="00494E87"/>
    <w:rsid w:val="00497D34"/>
    <w:rsid w:val="004A36F0"/>
    <w:rsid w:val="004A5065"/>
    <w:rsid w:val="004A5313"/>
    <w:rsid w:val="004A7363"/>
    <w:rsid w:val="004A7DBC"/>
    <w:rsid w:val="004B06AA"/>
    <w:rsid w:val="004B26B4"/>
    <w:rsid w:val="004B5B17"/>
    <w:rsid w:val="004C04B1"/>
    <w:rsid w:val="004C1ED8"/>
    <w:rsid w:val="004C21AB"/>
    <w:rsid w:val="004C5DB7"/>
    <w:rsid w:val="004D00A1"/>
    <w:rsid w:val="004D4277"/>
    <w:rsid w:val="004D4DE8"/>
    <w:rsid w:val="004D51E5"/>
    <w:rsid w:val="004D6D12"/>
    <w:rsid w:val="004D6DAB"/>
    <w:rsid w:val="004D7D16"/>
    <w:rsid w:val="004E0EAC"/>
    <w:rsid w:val="004E1821"/>
    <w:rsid w:val="004E3316"/>
    <w:rsid w:val="004E7FD6"/>
    <w:rsid w:val="004F18B6"/>
    <w:rsid w:val="004F27DB"/>
    <w:rsid w:val="004F3740"/>
    <w:rsid w:val="004F3924"/>
    <w:rsid w:val="004F5A3E"/>
    <w:rsid w:val="004F61AA"/>
    <w:rsid w:val="004F6BB0"/>
    <w:rsid w:val="00500E10"/>
    <w:rsid w:val="00505DDA"/>
    <w:rsid w:val="0050656C"/>
    <w:rsid w:val="0051044D"/>
    <w:rsid w:val="00512045"/>
    <w:rsid w:val="005148E7"/>
    <w:rsid w:val="00515BBA"/>
    <w:rsid w:val="005167B0"/>
    <w:rsid w:val="00517EBF"/>
    <w:rsid w:val="005251E9"/>
    <w:rsid w:val="00532BE9"/>
    <w:rsid w:val="00536ECA"/>
    <w:rsid w:val="0053789A"/>
    <w:rsid w:val="00540030"/>
    <w:rsid w:val="005438B9"/>
    <w:rsid w:val="005459FA"/>
    <w:rsid w:val="00553075"/>
    <w:rsid w:val="00553D4F"/>
    <w:rsid w:val="0055410D"/>
    <w:rsid w:val="00554DA4"/>
    <w:rsid w:val="00560A9E"/>
    <w:rsid w:val="00561527"/>
    <w:rsid w:val="00562976"/>
    <w:rsid w:val="00563144"/>
    <w:rsid w:val="00564B3A"/>
    <w:rsid w:val="0056550C"/>
    <w:rsid w:val="005727B8"/>
    <w:rsid w:val="00572BBD"/>
    <w:rsid w:val="00574449"/>
    <w:rsid w:val="00574FD5"/>
    <w:rsid w:val="00575522"/>
    <w:rsid w:val="00576DD9"/>
    <w:rsid w:val="005806D1"/>
    <w:rsid w:val="00580B59"/>
    <w:rsid w:val="00580DBC"/>
    <w:rsid w:val="00582D80"/>
    <w:rsid w:val="005835B9"/>
    <w:rsid w:val="005849A8"/>
    <w:rsid w:val="00586DDD"/>
    <w:rsid w:val="00587FA4"/>
    <w:rsid w:val="005905BA"/>
    <w:rsid w:val="005949BD"/>
    <w:rsid w:val="00595BF6"/>
    <w:rsid w:val="005A031D"/>
    <w:rsid w:val="005A3A4C"/>
    <w:rsid w:val="005A70AC"/>
    <w:rsid w:val="005A71A9"/>
    <w:rsid w:val="005A7362"/>
    <w:rsid w:val="005A74CC"/>
    <w:rsid w:val="005B069B"/>
    <w:rsid w:val="005B124B"/>
    <w:rsid w:val="005B12FC"/>
    <w:rsid w:val="005B189E"/>
    <w:rsid w:val="005B1E10"/>
    <w:rsid w:val="005B3FFA"/>
    <w:rsid w:val="005B7532"/>
    <w:rsid w:val="005C0823"/>
    <w:rsid w:val="005C0A34"/>
    <w:rsid w:val="005C25FA"/>
    <w:rsid w:val="005C2A81"/>
    <w:rsid w:val="005C5879"/>
    <w:rsid w:val="005C5DB4"/>
    <w:rsid w:val="005C6401"/>
    <w:rsid w:val="005C7BE0"/>
    <w:rsid w:val="005D0171"/>
    <w:rsid w:val="005D537C"/>
    <w:rsid w:val="005D547F"/>
    <w:rsid w:val="005D6CCE"/>
    <w:rsid w:val="005D7823"/>
    <w:rsid w:val="005E0433"/>
    <w:rsid w:val="005E19D4"/>
    <w:rsid w:val="005E283E"/>
    <w:rsid w:val="005E32B3"/>
    <w:rsid w:val="005E32CA"/>
    <w:rsid w:val="005E603E"/>
    <w:rsid w:val="005F048A"/>
    <w:rsid w:val="005F24AF"/>
    <w:rsid w:val="005F348A"/>
    <w:rsid w:val="005F3C88"/>
    <w:rsid w:val="005F7798"/>
    <w:rsid w:val="006008D6"/>
    <w:rsid w:val="00602614"/>
    <w:rsid w:val="0061098E"/>
    <w:rsid w:val="00610B84"/>
    <w:rsid w:val="00610EB5"/>
    <w:rsid w:val="00611164"/>
    <w:rsid w:val="00621704"/>
    <w:rsid w:val="00623E23"/>
    <w:rsid w:val="006258AC"/>
    <w:rsid w:val="006306CC"/>
    <w:rsid w:val="00634F87"/>
    <w:rsid w:val="00635FB9"/>
    <w:rsid w:val="006361A7"/>
    <w:rsid w:val="00637F59"/>
    <w:rsid w:val="00637F85"/>
    <w:rsid w:val="00640D66"/>
    <w:rsid w:val="00642546"/>
    <w:rsid w:val="0064373B"/>
    <w:rsid w:val="00643948"/>
    <w:rsid w:val="00646B8D"/>
    <w:rsid w:val="00647B9C"/>
    <w:rsid w:val="00647C5F"/>
    <w:rsid w:val="00652BB4"/>
    <w:rsid w:val="0065353C"/>
    <w:rsid w:val="00655321"/>
    <w:rsid w:val="0066258F"/>
    <w:rsid w:val="00662F22"/>
    <w:rsid w:val="00665FD0"/>
    <w:rsid w:val="00666E04"/>
    <w:rsid w:val="006728C3"/>
    <w:rsid w:val="00673D24"/>
    <w:rsid w:val="006746F3"/>
    <w:rsid w:val="00677DA3"/>
    <w:rsid w:val="00680362"/>
    <w:rsid w:val="00681E7E"/>
    <w:rsid w:val="0068319E"/>
    <w:rsid w:val="006837ED"/>
    <w:rsid w:val="00691B8B"/>
    <w:rsid w:val="0069311B"/>
    <w:rsid w:val="0069379A"/>
    <w:rsid w:val="00693E60"/>
    <w:rsid w:val="0069439F"/>
    <w:rsid w:val="0069550D"/>
    <w:rsid w:val="00695AAD"/>
    <w:rsid w:val="00696378"/>
    <w:rsid w:val="0069665E"/>
    <w:rsid w:val="006970A3"/>
    <w:rsid w:val="006A13B9"/>
    <w:rsid w:val="006A26F7"/>
    <w:rsid w:val="006A48C6"/>
    <w:rsid w:val="006A5AEC"/>
    <w:rsid w:val="006A5D3C"/>
    <w:rsid w:val="006A5FCD"/>
    <w:rsid w:val="006A65B8"/>
    <w:rsid w:val="006A70DB"/>
    <w:rsid w:val="006B1AD1"/>
    <w:rsid w:val="006B1AD5"/>
    <w:rsid w:val="006B1BF1"/>
    <w:rsid w:val="006B2A78"/>
    <w:rsid w:val="006B2AEA"/>
    <w:rsid w:val="006B6C48"/>
    <w:rsid w:val="006B7082"/>
    <w:rsid w:val="006B7210"/>
    <w:rsid w:val="006B7C8B"/>
    <w:rsid w:val="006C536C"/>
    <w:rsid w:val="006C58C6"/>
    <w:rsid w:val="006D22FC"/>
    <w:rsid w:val="006D2816"/>
    <w:rsid w:val="006D54A0"/>
    <w:rsid w:val="006D59FA"/>
    <w:rsid w:val="006E038C"/>
    <w:rsid w:val="006E0446"/>
    <w:rsid w:val="006E0E8B"/>
    <w:rsid w:val="006E4BB5"/>
    <w:rsid w:val="006F0FEA"/>
    <w:rsid w:val="00703C33"/>
    <w:rsid w:val="00704E0B"/>
    <w:rsid w:val="00706FF8"/>
    <w:rsid w:val="00707027"/>
    <w:rsid w:val="007113D8"/>
    <w:rsid w:val="00711678"/>
    <w:rsid w:val="00713A97"/>
    <w:rsid w:val="007144A2"/>
    <w:rsid w:val="00714616"/>
    <w:rsid w:val="00714C12"/>
    <w:rsid w:val="00723218"/>
    <w:rsid w:val="00725525"/>
    <w:rsid w:val="00726BD7"/>
    <w:rsid w:val="00732F06"/>
    <w:rsid w:val="00733B81"/>
    <w:rsid w:val="00735A12"/>
    <w:rsid w:val="00743932"/>
    <w:rsid w:val="00747235"/>
    <w:rsid w:val="00750A2E"/>
    <w:rsid w:val="00760042"/>
    <w:rsid w:val="0076117E"/>
    <w:rsid w:val="0076294A"/>
    <w:rsid w:val="00762D29"/>
    <w:rsid w:val="00763A35"/>
    <w:rsid w:val="0076414B"/>
    <w:rsid w:val="00765361"/>
    <w:rsid w:val="00767294"/>
    <w:rsid w:val="00767B8D"/>
    <w:rsid w:val="00777A3D"/>
    <w:rsid w:val="00780A4C"/>
    <w:rsid w:val="00782FAE"/>
    <w:rsid w:val="00784054"/>
    <w:rsid w:val="00791A05"/>
    <w:rsid w:val="00797B2B"/>
    <w:rsid w:val="007A0D7A"/>
    <w:rsid w:val="007A3769"/>
    <w:rsid w:val="007A45A4"/>
    <w:rsid w:val="007A4B89"/>
    <w:rsid w:val="007A656D"/>
    <w:rsid w:val="007A77BA"/>
    <w:rsid w:val="007B417B"/>
    <w:rsid w:val="007C03F4"/>
    <w:rsid w:val="007C0A8C"/>
    <w:rsid w:val="007C31F6"/>
    <w:rsid w:val="007C365D"/>
    <w:rsid w:val="007C3C49"/>
    <w:rsid w:val="007C44CA"/>
    <w:rsid w:val="007C6911"/>
    <w:rsid w:val="007D0143"/>
    <w:rsid w:val="007D5A18"/>
    <w:rsid w:val="007D672C"/>
    <w:rsid w:val="007D6A53"/>
    <w:rsid w:val="007E0239"/>
    <w:rsid w:val="007E1557"/>
    <w:rsid w:val="007E3585"/>
    <w:rsid w:val="007E532F"/>
    <w:rsid w:val="007E5EFF"/>
    <w:rsid w:val="007E677E"/>
    <w:rsid w:val="007E6EF3"/>
    <w:rsid w:val="007F10A7"/>
    <w:rsid w:val="007F3293"/>
    <w:rsid w:val="007F7B52"/>
    <w:rsid w:val="0080328C"/>
    <w:rsid w:val="00804AAF"/>
    <w:rsid w:val="00805175"/>
    <w:rsid w:val="008053C1"/>
    <w:rsid w:val="00805924"/>
    <w:rsid w:val="0080797C"/>
    <w:rsid w:val="0081087C"/>
    <w:rsid w:val="00813FAD"/>
    <w:rsid w:val="008141E2"/>
    <w:rsid w:val="00814975"/>
    <w:rsid w:val="00816311"/>
    <w:rsid w:val="008167B1"/>
    <w:rsid w:val="00820580"/>
    <w:rsid w:val="0082091D"/>
    <w:rsid w:val="008210B9"/>
    <w:rsid w:val="0082324C"/>
    <w:rsid w:val="008256C9"/>
    <w:rsid w:val="00832854"/>
    <w:rsid w:val="00833625"/>
    <w:rsid w:val="00837E14"/>
    <w:rsid w:val="00840815"/>
    <w:rsid w:val="00840EAA"/>
    <w:rsid w:val="00843297"/>
    <w:rsid w:val="00844000"/>
    <w:rsid w:val="008474B2"/>
    <w:rsid w:val="008541D0"/>
    <w:rsid w:val="0085506E"/>
    <w:rsid w:val="008626D1"/>
    <w:rsid w:val="00863338"/>
    <w:rsid w:val="00864454"/>
    <w:rsid w:val="00866481"/>
    <w:rsid w:val="00866C30"/>
    <w:rsid w:val="00866F13"/>
    <w:rsid w:val="00871DFE"/>
    <w:rsid w:val="0087289E"/>
    <w:rsid w:val="00873636"/>
    <w:rsid w:val="00875F2B"/>
    <w:rsid w:val="008764AA"/>
    <w:rsid w:val="00876784"/>
    <w:rsid w:val="00877268"/>
    <w:rsid w:val="008778EE"/>
    <w:rsid w:val="00884B88"/>
    <w:rsid w:val="00885940"/>
    <w:rsid w:val="00887843"/>
    <w:rsid w:val="00890220"/>
    <w:rsid w:val="008916D7"/>
    <w:rsid w:val="008928D5"/>
    <w:rsid w:val="0089369A"/>
    <w:rsid w:val="0089449F"/>
    <w:rsid w:val="00896139"/>
    <w:rsid w:val="008A0DE0"/>
    <w:rsid w:val="008A1BA9"/>
    <w:rsid w:val="008A5106"/>
    <w:rsid w:val="008A57FA"/>
    <w:rsid w:val="008A5AC2"/>
    <w:rsid w:val="008B1E8B"/>
    <w:rsid w:val="008B254A"/>
    <w:rsid w:val="008B3A8B"/>
    <w:rsid w:val="008C13A6"/>
    <w:rsid w:val="008C3AAD"/>
    <w:rsid w:val="008C4019"/>
    <w:rsid w:val="008C5055"/>
    <w:rsid w:val="008C7C68"/>
    <w:rsid w:val="008D3548"/>
    <w:rsid w:val="008E09DB"/>
    <w:rsid w:val="008E0E04"/>
    <w:rsid w:val="008E3A51"/>
    <w:rsid w:val="008E74AF"/>
    <w:rsid w:val="008F03D2"/>
    <w:rsid w:val="008F2991"/>
    <w:rsid w:val="008F47EC"/>
    <w:rsid w:val="00900624"/>
    <w:rsid w:val="0090122A"/>
    <w:rsid w:val="00901C02"/>
    <w:rsid w:val="00905FC6"/>
    <w:rsid w:val="00907350"/>
    <w:rsid w:val="00912056"/>
    <w:rsid w:val="009125BB"/>
    <w:rsid w:val="00913A9E"/>
    <w:rsid w:val="00916AC5"/>
    <w:rsid w:val="00916FD7"/>
    <w:rsid w:val="009234E9"/>
    <w:rsid w:val="009262CA"/>
    <w:rsid w:val="0093189E"/>
    <w:rsid w:val="00934761"/>
    <w:rsid w:val="00934D2C"/>
    <w:rsid w:val="009377D4"/>
    <w:rsid w:val="00940006"/>
    <w:rsid w:val="009435A6"/>
    <w:rsid w:val="0094599A"/>
    <w:rsid w:val="00947E81"/>
    <w:rsid w:val="00952C64"/>
    <w:rsid w:val="0095305C"/>
    <w:rsid w:val="0095428D"/>
    <w:rsid w:val="00956FB3"/>
    <w:rsid w:val="00957222"/>
    <w:rsid w:val="00957F1A"/>
    <w:rsid w:val="0096433B"/>
    <w:rsid w:val="00966A7D"/>
    <w:rsid w:val="009672E6"/>
    <w:rsid w:val="00970ACC"/>
    <w:rsid w:val="009730F9"/>
    <w:rsid w:val="00976DF8"/>
    <w:rsid w:val="00977310"/>
    <w:rsid w:val="00981C50"/>
    <w:rsid w:val="00983DA0"/>
    <w:rsid w:val="00984B85"/>
    <w:rsid w:val="0099156E"/>
    <w:rsid w:val="009A0160"/>
    <w:rsid w:val="009A34F8"/>
    <w:rsid w:val="009A3FA3"/>
    <w:rsid w:val="009A43EF"/>
    <w:rsid w:val="009B011F"/>
    <w:rsid w:val="009B6590"/>
    <w:rsid w:val="009B6D6B"/>
    <w:rsid w:val="009B756B"/>
    <w:rsid w:val="009C0A5D"/>
    <w:rsid w:val="009C14E8"/>
    <w:rsid w:val="009C4FE5"/>
    <w:rsid w:val="009C777D"/>
    <w:rsid w:val="009D4814"/>
    <w:rsid w:val="009D5EED"/>
    <w:rsid w:val="009D63DA"/>
    <w:rsid w:val="009D7EF1"/>
    <w:rsid w:val="009E28AF"/>
    <w:rsid w:val="009E337E"/>
    <w:rsid w:val="009E400F"/>
    <w:rsid w:val="009E4F0A"/>
    <w:rsid w:val="009F01AB"/>
    <w:rsid w:val="009F027A"/>
    <w:rsid w:val="009F02EF"/>
    <w:rsid w:val="009F123A"/>
    <w:rsid w:val="009F1F5D"/>
    <w:rsid w:val="009F290A"/>
    <w:rsid w:val="009F43CD"/>
    <w:rsid w:val="009F62C8"/>
    <w:rsid w:val="00A0126E"/>
    <w:rsid w:val="00A01E3D"/>
    <w:rsid w:val="00A038BC"/>
    <w:rsid w:val="00A07D9A"/>
    <w:rsid w:val="00A10713"/>
    <w:rsid w:val="00A124A1"/>
    <w:rsid w:val="00A12F6B"/>
    <w:rsid w:val="00A13C73"/>
    <w:rsid w:val="00A13F21"/>
    <w:rsid w:val="00A21731"/>
    <w:rsid w:val="00A21E3E"/>
    <w:rsid w:val="00A21FFD"/>
    <w:rsid w:val="00A23A2E"/>
    <w:rsid w:val="00A25D1B"/>
    <w:rsid w:val="00A32939"/>
    <w:rsid w:val="00A32B94"/>
    <w:rsid w:val="00A34A79"/>
    <w:rsid w:val="00A364B3"/>
    <w:rsid w:val="00A416C9"/>
    <w:rsid w:val="00A4219F"/>
    <w:rsid w:val="00A421E1"/>
    <w:rsid w:val="00A44B91"/>
    <w:rsid w:val="00A5170E"/>
    <w:rsid w:val="00A51E54"/>
    <w:rsid w:val="00A5453F"/>
    <w:rsid w:val="00A567A6"/>
    <w:rsid w:val="00A56DF6"/>
    <w:rsid w:val="00A5767F"/>
    <w:rsid w:val="00A6029D"/>
    <w:rsid w:val="00A64C42"/>
    <w:rsid w:val="00A64EC7"/>
    <w:rsid w:val="00A65A9B"/>
    <w:rsid w:val="00A6783C"/>
    <w:rsid w:val="00A74C90"/>
    <w:rsid w:val="00A814AF"/>
    <w:rsid w:val="00A81582"/>
    <w:rsid w:val="00A82AED"/>
    <w:rsid w:val="00A860B2"/>
    <w:rsid w:val="00A90A26"/>
    <w:rsid w:val="00A91CB2"/>
    <w:rsid w:val="00A92D12"/>
    <w:rsid w:val="00AA11D5"/>
    <w:rsid w:val="00AA3773"/>
    <w:rsid w:val="00AA389F"/>
    <w:rsid w:val="00AA3922"/>
    <w:rsid w:val="00AA46DB"/>
    <w:rsid w:val="00AA68D9"/>
    <w:rsid w:val="00AB1C69"/>
    <w:rsid w:val="00AB3E11"/>
    <w:rsid w:val="00AC1411"/>
    <w:rsid w:val="00AC49D8"/>
    <w:rsid w:val="00AC61D3"/>
    <w:rsid w:val="00AC7DB1"/>
    <w:rsid w:val="00AD0276"/>
    <w:rsid w:val="00AD02AF"/>
    <w:rsid w:val="00AD28BB"/>
    <w:rsid w:val="00AD2B3A"/>
    <w:rsid w:val="00AD49A2"/>
    <w:rsid w:val="00AE24CA"/>
    <w:rsid w:val="00AE3316"/>
    <w:rsid w:val="00AE7C0A"/>
    <w:rsid w:val="00AF49E4"/>
    <w:rsid w:val="00AF5340"/>
    <w:rsid w:val="00AF6CCB"/>
    <w:rsid w:val="00AF7093"/>
    <w:rsid w:val="00AF7E93"/>
    <w:rsid w:val="00B023D2"/>
    <w:rsid w:val="00B06F3B"/>
    <w:rsid w:val="00B10D17"/>
    <w:rsid w:val="00B12A61"/>
    <w:rsid w:val="00B275D9"/>
    <w:rsid w:val="00B27DF4"/>
    <w:rsid w:val="00B307C4"/>
    <w:rsid w:val="00B31078"/>
    <w:rsid w:val="00B33B23"/>
    <w:rsid w:val="00B35129"/>
    <w:rsid w:val="00B37F4F"/>
    <w:rsid w:val="00B43283"/>
    <w:rsid w:val="00B43435"/>
    <w:rsid w:val="00B447E3"/>
    <w:rsid w:val="00B455DE"/>
    <w:rsid w:val="00B469DB"/>
    <w:rsid w:val="00B54CF1"/>
    <w:rsid w:val="00B55ECD"/>
    <w:rsid w:val="00B56BD2"/>
    <w:rsid w:val="00B57EFB"/>
    <w:rsid w:val="00B6149E"/>
    <w:rsid w:val="00B630C5"/>
    <w:rsid w:val="00B63A73"/>
    <w:rsid w:val="00B656CD"/>
    <w:rsid w:val="00B6576A"/>
    <w:rsid w:val="00B67CE6"/>
    <w:rsid w:val="00B71387"/>
    <w:rsid w:val="00B71EF1"/>
    <w:rsid w:val="00B74F23"/>
    <w:rsid w:val="00B771EA"/>
    <w:rsid w:val="00B77596"/>
    <w:rsid w:val="00B8227A"/>
    <w:rsid w:val="00B87C46"/>
    <w:rsid w:val="00B90CF5"/>
    <w:rsid w:val="00B92ED7"/>
    <w:rsid w:val="00B96989"/>
    <w:rsid w:val="00B96C4C"/>
    <w:rsid w:val="00B97B0C"/>
    <w:rsid w:val="00BA0B9C"/>
    <w:rsid w:val="00BA316B"/>
    <w:rsid w:val="00BA36C5"/>
    <w:rsid w:val="00BB0B11"/>
    <w:rsid w:val="00BB5630"/>
    <w:rsid w:val="00BC0EE6"/>
    <w:rsid w:val="00BC5545"/>
    <w:rsid w:val="00BC5B83"/>
    <w:rsid w:val="00BC608B"/>
    <w:rsid w:val="00BC6453"/>
    <w:rsid w:val="00BD2A30"/>
    <w:rsid w:val="00BD34E1"/>
    <w:rsid w:val="00BD6EDF"/>
    <w:rsid w:val="00BE378B"/>
    <w:rsid w:val="00BE51CB"/>
    <w:rsid w:val="00BE6457"/>
    <w:rsid w:val="00BE66AE"/>
    <w:rsid w:val="00BF657C"/>
    <w:rsid w:val="00BF767E"/>
    <w:rsid w:val="00C00D7D"/>
    <w:rsid w:val="00C00FE3"/>
    <w:rsid w:val="00C05CCE"/>
    <w:rsid w:val="00C0655E"/>
    <w:rsid w:val="00C1150F"/>
    <w:rsid w:val="00C11DE7"/>
    <w:rsid w:val="00C122F6"/>
    <w:rsid w:val="00C139E9"/>
    <w:rsid w:val="00C15FBC"/>
    <w:rsid w:val="00C17370"/>
    <w:rsid w:val="00C21767"/>
    <w:rsid w:val="00C21A50"/>
    <w:rsid w:val="00C34BDA"/>
    <w:rsid w:val="00C35561"/>
    <w:rsid w:val="00C36023"/>
    <w:rsid w:val="00C36554"/>
    <w:rsid w:val="00C36A43"/>
    <w:rsid w:val="00C402DA"/>
    <w:rsid w:val="00C41156"/>
    <w:rsid w:val="00C41B64"/>
    <w:rsid w:val="00C45742"/>
    <w:rsid w:val="00C50021"/>
    <w:rsid w:val="00C51FCC"/>
    <w:rsid w:val="00C54F6F"/>
    <w:rsid w:val="00C57ADF"/>
    <w:rsid w:val="00C605E4"/>
    <w:rsid w:val="00C60C8A"/>
    <w:rsid w:val="00C6220A"/>
    <w:rsid w:val="00C64813"/>
    <w:rsid w:val="00C64C6F"/>
    <w:rsid w:val="00C65133"/>
    <w:rsid w:val="00C66F4F"/>
    <w:rsid w:val="00C67CAE"/>
    <w:rsid w:val="00C725B6"/>
    <w:rsid w:val="00C7490C"/>
    <w:rsid w:val="00C756F1"/>
    <w:rsid w:val="00C76754"/>
    <w:rsid w:val="00C76BEA"/>
    <w:rsid w:val="00C8017F"/>
    <w:rsid w:val="00C80956"/>
    <w:rsid w:val="00C809BB"/>
    <w:rsid w:val="00C80A4A"/>
    <w:rsid w:val="00C82102"/>
    <w:rsid w:val="00C835A5"/>
    <w:rsid w:val="00C8484F"/>
    <w:rsid w:val="00C8773A"/>
    <w:rsid w:val="00C939EE"/>
    <w:rsid w:val="00C93D96"/>
    <w:rsid w:val="00C941C4"/>
    <w:rsid w:val="00C9476B"/>
    <w:rsid w:val="00CA03CD"/>
    <w:rsid w:val="00CA26CB"/>
    <w:rsid w:val="00CA5A91"/>
    <w:rsid w:val="00CB4769"/>
    <w:rsid w:val="00CB59E6"/>
    <w:rsid w:val="00CB5D45"/>
    <w:rsid w:val="00CB60F6"/>
    <w:rsid w:val="00CB640B"/>
    <w:rsid w:val="00CB6610"/>
    <w:rsid w:val="00CB6EEE"/>
    <w:rsid w:val="00CB7C7D"/>
    <w:rsid w:val="00CC0E83"/>
    <w:rsid w:val="00CC3D9A"/>
    <w:rsid w:val="00CC44C0"/>
    <w:rsid w:val="00CD124D"/>
    <w:rsid w:val="00CD2D33"/>
    <w:rsid w:val="00CD6394"/>
    <w:rsid w:val="00CD691D"/>
    <w:rsid w:val="00CD7350"/>
    <w:rsid w:val="00CE00DE"/>
    <w:rsid w:val="00CE2ED8"/>
    <w:rsid w:val="00CE3723"/>
    <w:rsid w:val="00CE3AAC"/>
    <w:rsid w:val="00CE49A2"/>
    <w:rsid w:val="00CE53F4"/>
    <w:rsid w:val="00CE6304"/>
    <w:rsid w:val="00CE745F"/>
    <w:rsid w:val="00CF17F6"/>
    <w:rsid w:val="00CF352C"/>
    <w:rsid w:val="00CF426D"/>
    <w:rsid w:val="00CF6B2C"/>
    <w:rsid w:val="00D0190F"/>
    <w:rsid w:val="00D04B25"/>
    <w:rsid w:val="00D071CD"/>
    <w:rsid w:val="00D14C0C"/>
    <w:rsid w:val="00D1543C"/>
    <w:rsid w:val="00D20296"/>
    <w:rsid w:val="00D206EE"/>
    <w:rsid w:val="00D20D30"/>
    <w:rsid w:val="00D212EA"/>
    <w:rsid w:val="00D21853"/>
    <w:rsid w:val="00D2371E"/>
    <w:rsid w:val="00D24564"/>
    <w:rsid w:val="00D27C49"/>
    <w:rsid w:val="00D33602"/>
    <w:rsid w:val="00D34F0D"/>
    <w:rsid w:val="00D351A9"/>
    <w:rsid w:val="00D37C3C"/>
    <w:rsid w:val="00D41139"/>
    <w:rsid w:val="00D423B5"/>
    <w:rsid w:val="00D43E8E"/>
    <w:rsid w:val="00D46A86"/>
    <w:rsid w:val="00D47F15"/>
    <w:rsid w:val="00D559AF"/>
    <w:rsid w:val="00D6009B"/>
    <w:rsid w:val="00D602F3"/>
    <w:rsid w:val="00D63A87"/>
    <w:rsid w:val="00D64504"/>
    <w:rsid w:val="00D65053"/>
    <w:rsid w:val="00D65AF1"/>
    <w:rsid w:val="00D7273F"/>
    <w:rsid w:val="00D733AF"/>
    <w:rsid w:val="00D73EBB"/>
    <w:rsid w:val="00D75C67"/>
    <w:rsid w:val="00D764F5"/>
    <w:rsid w:val="00D7745D"/>
    <w:rsid w:val="00D81368"/>
    <w:rsid w:val="00D82BFB"/>
    <w:rsid w:val="00D82D30"/>
    <w:rsid w:val="00D8454D"/>
    <w:rsid w:val="00D84B90"/>
    <w:rsid w:val="00D852A4"/>
    <w:rsid w:val="00D9061B"/>
    <w:rsid w:val="00D93128"/>
    <w:rsid w:val="00D96B22"/>
    <w:rsid w:val="00D971FD"/>
    <w:rsid w:val="00DA00A4"/>
    <w:rsid w:val="00DA2322"/>
    <w:rsid w:val="00DA4F80"/>
    <w:rsid w:val="00DA595D"/>
    <w:rsid w:val="00DA5C1D"/>
    <w:rsid w:val="00DA66F4"/>
    <w:rsid w:val="00DA6D5D"/>
    <w:rsid w:val="00DB190A"/>
    <w:rsid w:val="00DB2669"/>
    <w:rsid w:val="00DB3093"/>
    <w:rsid w:val="00DB494B"/>
    <w:rsid w:val="00DB4F14"/>
    <w:rsid w:val="00DB6E71"/>
    <w:rsid w:val="00DB7749"/>
    <w:rsid w:val="00DC0971"/>
    <w:rsid w:val="00DC0A24"/>
    <w:rsid w:val="00DC1C78"/>
    <w:rsid w:val="00DC34BB"/>
    <w:rsid w:val="00DC3A69"/>
    <w:rsid w:val="00DC4C2A"/>
    <w:rsid w:val="00DC58CA"/>
    <w:rsid w:val="00DC68DE"/>
    <w:rsid w:val="00DC7DCE"/>
    <w:rsid w:val="00DD1D32"/>
    <w:rsid w:val="00DD1DA0"/>
    <w:rsid w:val="00DD23BE"/>
    <w:rsid w:val="00DD25FD"/>
    <w:rsid w:val="00DD3E72"/>
    <w:rsid w:val="00DD4D02"/>
    <w:rsid w:val="00DD7EC1"/>
    <w:rsid w:val="00DE4B38"/>
    <w:rsid w:val="00DE54D5"/>
    <w:rsid w:val="00DE59F2"/>
    <w:rsid w:val="00DE72B4"/>
    <w:rsid w:val="00DE74B1"/>
    <w:rsid w:val="00DE7C33"/>
    <w:rsid w:val="00DE7D3D"/>
    <w:rsid w:val="00DF06D6"/>
    <w:rsid w:val="00DF1F02"/>
    <w:rsid w:val="00DF294B"/>
    <w:rsid w:val="00DF2CB3"/>
    <w:rsid w:val="00DF6262"/>
    <w:rsid w:val="00DF6673"/>
    <w:rsid w:val="00E01C53"/>
    <w:rsid w:val="00E03201"/>
    <w:rsid w:val="00E03A9C"/>
    <w:rsid w:val="00E04152"/>
    <w:rsid w:val="00E06AFD"/>
    <w:rsid w:val="00E07213"/>
    <w:rsid w:val="00E076A5"/>
    <w:rsid w:val="00E1070E"/>
    <w:rsid w:val="00E11660"/>
    <w:rsid w:val="00E1242C"/>
    <w:rsid w:val="00E12936"/>
    <w:rsid w:val="00E155E6"/>
    <w:rsid w:val="00E15EAC"/>
    <w:rsid w:val="00E16CAF"/>
    <w:rsid w:val="00E17744"/>
    <w:rsid w:val="00E2022E"/>
    <w:rsid w:val="00E202FF"/>
    <w:rsid w:val="00E22DE1"/>
    <w:rsid w:val="00E230C8"/>
    <w:rsid w:val="00E32209"/>
    <w:rsid w:val="00E33113"/>
    <w:rsid w:val="00E33A31"/>
    <w:rsid w:val="00E33FEB"/>
    <w:rsid w:val="00E3711C"/>
    <w:rsid w:val="00E403CD"/>
    <w:rsid w:val="00E465CD"/>
    <w:rsid w:val="00E47123"/>
    <w:rsid w:val="00E50466"/>
    <w:rsid w:val="00E50C1E"/>
    <w:rsid w:val="00E518B9"/>
    <w:rsid w:val="00E51947"/>
    <w:rsid w:val="00E5269A"/>
    <w:rsid w:val="00E5341F"/>
    <w:rsid w:val="00E5537F"/>
    <w:rsid w:val="00E6213A"/>
    <w:rsid w:val="00E62540"/>
    <w:rsid w:val="00E649FB"/>
    <w:rsid w:val="00E67D12"/>
    <w:rsid w:val="00E71A24"/>
    <w:rsid w:val="00E73C3F"/>
    <w:rsid w:val="00E76AA9"/>
    <w:rsid w:val="00E76F1F"/>
    <w:rsid w:val="00E80476"/>
    <w:rsid w:val="00E81B07"/>
    <w:rsid w:val="00E82330"/>
    <w:rsid w:val="00E82591"/>
    <w:rsid w:val="00E82F66"/>
    <w:rsid w:val="00E83501"/>
    <w:rsid w:val="00E8494F"/>
    <w:rsid w:val="00E90879"/>
    <w:rsid w:val="00E909A7"/>
    <w:rsid w:val="00E921C0"/>
    <w:rsid w:val="00E92B6F"/>
    <w:rsid w:val="00E932FA"/>
    <w:rsid w:val="00E938C5"/>
    <w:rsid w:val="00E940AB"/>
    <w:rsid w:val="00E94769"/>
    <w:rsid w:val="00E95E08"/>
    <w:rsid w:val="00EA071B"/>
    <w:rsid w:val="00EA1FD3"/>
    <w:rsid w:val="00EA2C04"/>
    <w:rsid w:val="00EA31D4"/>
    <w:rsid w:val="00EA3D38"/>
    <w:rsid w:val="00EB01DB"/>
    <w:rsid w:val="00EB174B"/>
    <w:rsid w:val="00EB1CAE"/>
    <w:rsid w:val="00EB30EC"/>
    <w:rsid w:val="00EB49E1"/>
    <w:rsid w:val="00EB5812"/>
    <w:rsid w:val="00EB6DF2"/>
    <w:rsid w:val="00EB75BB"/>
    <w:rsid w:val="00EB7B73"/>
    <w:rsid w:val="00EC2ABD"/>
    <w:rsid w:val="00EC30E1"/>
    <w:rsid w:val="00EC6118"/>
    <w:rsid w:val="00EC6C15"/>
    <w:rsid w:val="00EC6ECE"/>
    <w:rsid w:val="00ED4AB2"/>
    <w:rsid w:val="00ED6E27"/>
    <w:rsid w:val="00ED704D"/>
    <w:rsid w:val="00EE0C67"/>
    <w:rsid w:val="00EE2878"/>
    <w:rsid w:val="00EE3627"/>
    <w:rsid w:val="00EE53B3"/>
    <w:rsid w:val="00EE6AB4"/>
    <w:rsid w:val="00EE70D3"/>
    <w:rsid w:val="00EF065E"/>
    <w:rsid w:val="00EF366D"/>
    <w:rsid w:val="00EF4769"/>
    <w:rsid w:val="00EF6758"/>
    <w:rsid w:val="00F0009F"/>
    <w:rsid w:val="00F00102"/>
    <w:rsid w:val="00F01E2F"/>
    <w:rsid w:val="00F02539"/>
    <w:rsid w:val="00F02A72"/>
    <w:rsid w:val="00F03499"/>
    <w:rsid w:val="00F0407C"/>
    <w:rsid w:val="00F051F0"/>
    <w:rsid w:val="00F05375"/>
    <w:rsid w:val="00F077EA"/>
    <w:rsid w:val="00F11D8B"/>
    <w:rsid w:val="00F12B2E"/>
    <w:rsid w:val="00F135CA"/>
    <w:rsid w:val="00F27E74"/>
    <w:rsid w:val="00F306F7"/>
    <w:rsid w:val="00F326B4"/>
    <w:rsid w:val="00F3273A"/>
    <w:rsid w:val="00F365BB"/>
    <w:rsid w:val="00F36608"/>
    <w:rsid w:val="00F4071A"/>
    <w:rsid w:val="00F4435F"/>
    <w:rsid w:val="00F447B2"/>
    <w:rsid w:val="00F50447"/>
    <w:rsid w:val="00F50763"/>
    <w:rsid w:val="00F55A9B"/>
    <w:rsid w:val="00F57BD8"/>
    <w:rsid w:val="00F57FCE"/>
    <w:rsid w:val="00F61EB3"/>
    <w:rsid w:val="00F66310"/>
    <w:rsid w:val="00F66CBF"/>
    <w:rsid w:val="00F72F00"/>
    <w:rsid w:val="00F74CD3"/>
    <w:rsid w:val="00F74E13"/>
    <w:rsid w:val="00F773EC"/>
    <w:rsid w:val="00F77C15"/>
    <w:rsid w:val="00F818F7"/>
    <w:rsid w:val="00F83C54"/>
    <w:rsid w:val="00F851E7"/>
    <w:rsid w:val="00F900B3"/>
    <w:rsid w:val="00F96F5E"/>
    <w:rsid w:val="00F97BB8"/>
    <w:rsid w:val="00FA0018"/>
    <w:rsid w:val="00FA45B5"/>
    <w:rsid w:val="00FA4EC9"/>
    <w:rsid w:val="00FA58F1"/>
    <w:rsid w:val="00FB2111"/>
    <w:rsid w:val="00FB3FF8"/>
    <w:rsid w:val="00FB43A4"/>
    <w:rsid w:val="00FB56DC"/>
    <w:rsid w:val="00FB5C03"/>
    <w:rsid w:val="00FB5EDC"/>
    <w:rsid w:val="00FB74EC"/>
    <w:rsid w:val="00FC36FA"/>
    <w:rsid w:val="00FC5871"/>
    <w:rsid w:val="00FC5C25"/>
    <w:rsid w:val="00FC6DA5"/>
    <w:rsid w:val="00FC7AAB"/>
    <w:rsid w:val="00FD2013"/>
    <w:rsid w:val="00FD3B3D"/>
    <w:rsid w:val="00FD5464"/>
    <w:rsid w:val="00FD6962"/>
    <w:rsid w:val="00FE08E9"/>
    <w:rsid w:val="00FE0E4A"/>
    <w:rsid w:val="00FF01BF"/>
    <w:rsid w:val="00FF1C9B"/>
    <w:rsid w:val="00FF2566"/>
    <w:rsid w:val="00FF2EFB"/>
    <w:rsid w:val="00FF3646"/>
    <w:rsid w:val="00FF44EE"/>
    <w:rsid w:val="00FF7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92273"/>
  <w15:chartTrackingRefBased/>
  <w15:docId w15:val="{CD084F73-8AB5-476D-A262-F4FEAF24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2">
    <w:name w:val="heading 2"/>
    <w:basedOn w:val="Normal"/>
    <w:next w:val="Normal"/>
    <w:link w:val="Ttulo2Car"/>
    <w:uiPriority w:val="9"/>
    <w:unhideWhenUsed/>
    <w:qFormat/>
    <w:rsid w:val="00D351A9"/>
    <w:pPr>
      <w:keepNext/>
      <w:spacing w:before="240" w:after="240"/>
      <w:ind w:left="0"/>
      <w:jc w:val="both"/>
      <w:outlineLvl w:val="1"/>
    </w:pPr>
    <w:rPr>
      <w:rFonts w:ascii="Bookman Old Style" w:hAnsi="Bookman Old Style" w:cs="Arial"/>
      <w:b/>
    </w:rPr>
  </w:style>
  <w:style w:type="paragraph" w:styleId="Ttulo3">
    <w:name w:val="heading 3"/>
    <w:basedOn w:val="Normal"/>
    <w:next w:val="Normal"/>
    <w:link w:val="Ttulo3Car"/>
    <w:qFormat/>
    <w:rsid w:val="00235A6C"/>
    <w:pPr>
      <w:keepNext/>
      <w:numPr>
        <w:numId w:val="24"/>
      </w:numPr>
      <w:spacing w:before="240" w:after="240"/>
      <w:jc w:val="both"/>
      <w:outlineLvl w:val="2"/>
    </w:pPr>
    <w:rPr>
      <w:rFonts w:ascii="Bookman Old Style" w:hAnsi="Bookman Old Style"/>
      <w:b/>
      <w:bCs/>
      <w:szCs w:val="26"/>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235A6C"/>
    <w:rPr>
      <w:rFonts w:ascii="Bookman Old Style" w:eastAsia="Times New Roman" w:hAnsi="Bookman Old Style"/>
      <w:b/>
      <w:bCs/>
      <w:sz w:val="24"/>
      <w:szCs w:val="26"/>
      <w:lang w:val="es-ES"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445D79"/>
    <w:pPr>
      <w:ind w:left="0"/>
    </w:pPr>
    <w:rPr>
      <w:rFonts w:eastAsia="SimSun"/>
      <w:sz w:val="20"/>
      <w:szCs w:val="20"/>
      <w:lang w:val="es-CO" w:eastAsia="zh-CN"/>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445D79"/>
    <w:rPr>
      <w:rFonts w:ascii="Times New Roman" w:eastAsia="SimSun" w:hAnsi="Times New Roman" w:cs="Times New Roman"/>
      <w:sz w:val="20"/>
      <w:szCs w:val="20"/>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445D79"/>
    <w:rPr>
      <w:vertAlign w:val="superscript"/>
    </w:rPr>
  </w:style>
  <w:style w:type="paragraph" w:styleId="NormalWeb">
    <w:name w:val="Normal (Web)"/>
    <w:basedOn w:val="Normal"/>
    <w:uiPriority w:val="99"/>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character" w:styleId="Textoennegrita">
    <w:name w:val="Strong"/>
    <w:uiPriority w:val="22"/>
    <w:qFormat/>
    <w:rsid w:val="006E038C"/>
    <w:rPr>
      <w:b/>
      <w:bCs/>
    </w:rPr>
  </w:style>
  <w:style w:type="character" w:customStyle="1" w:styleId="apple-converted-space">
    <w:name w:val="apple-converted-space"/>
    <w:rsid w:val="006E038C"/>
  </w:style>
  <w:style w:type="character" w:styleId="Hipervnculo">
    <w:name w:val="Hyperlink"/>
    <w:uiPriority w:val="99"/>
    <w:unhideWhenUsed/>
    <w:rsid w:val="006E038C"/>
    <w:rPr>
      <w:color w:val="0000FF"/>
      <w:u w:val="single"/>
    </w:rPr>
  </w:style>
  <w:style w:type="paragraph" w:styleId="Asuntodelcomentario">
    <w:name w:val="annotation subject"/>
    <w:basedOn w:val="Textocomentario"/>
    <w:next w:val="Textocomentario"/>
    <w:link w:val="AsuntodelcomentarioCar"/>
    <w:uiPriority w:val="99"/>
    <w:semiHidden/>
    <w:unhideWhenUsed/>
    <w:rsid w:val="00F97BB8"/>
    <w:pPr>
      <w:ind w:left="567"/>
    </w:pPr>
    <w:rPr>
      <w:rFonts w:ascii="Times New Roman" w:hAnsi="Times New Roman"/>
      <w:b/>
      <w:bCs/>
      <w:lang w:val="es-ES"/>
    </w:rPr>
  </w:style>
  <w:style w:type="character" w:customStyle="1" w:styleId="AsuntodelcomentarioCar">
    <w:name w:val="Asunto del comentario Car"/>
    <w:link w:val="Asuntodelcomentario"/>
    <w:uiPriority w:val="99"/>
    <w:semiHidden/>
    <w:rsid w:val="00F97BB8"/>
    <w:rPr>
      <w:rFonts w:ascii="Times New Roman" w:eastAsia="Times New Roman" w:hAnsi="Times New Roman" w:cs="Times New Roman"/>
      <w:b/>
      <w:bCs/>
      <w:sz w:val="20"/>
      <w:szCs w:val="20"/>
      <w:lang w:val="es-ES" w:eastAsia="es-ES"/>
    </w:rPr>
  </w:style>
  <w:style w:type="paragraph" w:customStyle="1" w:styleId="ecxmsonormal">
    <w:name w:val="ecxmsonormal"/>
    <w:basedOn w:val="Normal"/>
    <w:rsid w:val="009C777D"/>
    <w:pPr>
      <w:spacing w:after="324"/>
      <w:ind w:left="0"/>
    </w:pPr>
    <w:rPr>
      <w:noProof/>
      <w:lang w:val="en-US" w:eastAsia="en-US"/>
    </w:rPr>
  </w:style>
  <w:style w:type="paragraph" w:customStyle="1" w:styleId="Titulo1">
    <w:name w:val="Titulo 1"/>
    <w:basedOn w:val="Normal"/>
    <w:link w:val="Titulo1Car"/>
    <w:qFormat/>
    <w:rsid w:val="00D351A9"/>
    <w:pPr>
      <w:numPr>
        <w:numId w:val="2"/>
      </w:numPr>
      <w:spacing w:before="240" w:after="240"/>
      <w:jc w:val="center"/>
    </w:pPr>
    <w:rPr>
      <w:rFonts w:ascii="Bookman Old Style" w:hAnsi="Bookman Old Style" w:cs="Arial"/>
      <w:b/>
    </w:rPr>
  </w:style>
  <w:style w:type="character" w:customStyle="1" w:styleId="Titulo1Car">
    <w:name w:val="Titulo 1 Car"/>
    <w:link w:val="Titulo1"/>
    <w:rsid w:val="00D351A9"/>
    <w:rPr>
      <w:rFonts w:ascii="Bookman Old Style" w:eastAsia="Times New Roman" w:hAnsi="Bookman Old Style" w:cs="Arial"/>
      <w:b/>
      <w:sz w:val="24"/>
      <w:szCs w:val="24"/>
      <w:lang w:val="es-ES" w:eastAsia="es-ES"/>
    </w:rPr>
  </w:style>
  <w:style w:type="paragraph" w:styleId="Textosinformato">
    <w:name w:val="Plain Text"/>
    <w:basedOn w:val="Normal"/>
    <w:link w:val="TextosinformatoCar"/>
    <w:rsid w:val="005148E7"/>
    <w:pPr>
      <w:ind w:left="0"/>
    </w:pPr>
    <w:rPr>
      <w:rFonts w:ascii="Courier New" w:hAnsi="Courier New" w:cs="Courier New"/>
      <w:sz w:val="20"/>
      <w:szCs w:val="20"/>
    </w:rPr>
  </w:style>
  <w:style w:type="character" w:customStyle="1" w:styleId="TextosinformatoCar">
    <w:name w:val="Texto sin formato Car"/>
    <w:link w:val="Textosinformato"/>
    <w:rsid w:val="005148E7"/>
    <w:rPr>
      <w:rFonts w:ascii="Courier New" w:eastAsia="Times New Roman" w:hAnsi="Courier New" w:cs="Courier New"/>
      <w:lang w:val="es-ES" w:eastAsia="es-ES"/>
    </w:rPr>
  </w:style>
  <w:style w:type="character" w:customStyle="1" w:styleId="CharStyle114">
    <w:name w:val="Char Style 114"/>
    <w:uiPriority w:val="99"/>
    <w:rsid w:val="00A92D12"/>
    <w:rPr>
      <w:rFonts w:ascii="Arial" w:hAnsi="Arial" w:cs="Arial"/>
      <w:b/>
      <w:bCs/>
      <w:sz w:val="19"/>
      <w:szCs w:val="19"/>
      <w:u w:val="none"/>
    </w:rPr>
  </w:style>
  <w:style w:type="character" w:customStyle="1" w:styleId="CharStyle115">
    <w:name w:val="Char Style 115"/>
    <w:uiPriority w:val="99"/>
    <w:rsid w:val="00A92D12"/>
    <w:rPr>
      <w:rFonts w:ascii="Arial" w:hAnsi="Arial" w:cs="Arial"/>
      <w:b/>
      <w:bCs/>
      <w:spacing w:val="40"/>
      <w:sz w:val="19"/>
      <w:szCs w:val="19"/>
      <w:u w:val="none"/>
    </w:rPr>
  </w:style>
  <w:style w:type="character" w:customStyle="1" w:styleId="CharStyle67">
    <w:name w:val="Char Style 67"/>
    <w:link w:val="Style66"/>
    <w:uiPriority w:val="99"/>
    <w:rsid w:val="00A92D12"/>
    <w:rPr>
      <w:rFonts w:ascii="Arial" w:hAnsi="Arial" w:cs="Arial"/>
      <w:b/>
      <w:bCs/>
      <w:sz w:val="19"/>
      <w:szCs w:val="19"/>
      <w:shd w:val="clear" w:color="auto" w:fill="FFFFFF"/>
    </w:rPr>
  </w:style>
  <w:style w:type="paragraph" w:customStyle="1" w:styleId="Style66">
    <w:name w:val="Style 66"/>
    <w:basedOn w:val="Normal"/>
    <w:link w:val="CharStyle67"/>
    <w:uiPriority w:val="99"/>
    <w:rsid w:val="00A92D12"/>
    <w:pPr>
      <w:widowControl w:val="0"/>
      <w:shd w:val="clear" w:color="auto" w:fill="FFFFFF"/>
      <w:spacing w:before="600" w:after="240" w:line="240" w:lineRule="atLeast"/>
      <w:ind w:left="0"/>
      <w:jc w:val="both"/>
      <w:outlineLvl w:val="6"/>
    </w:pPr>
    <w:rPr>
      <w:rFonts w:ascii="Arial" w:eastAsia="Calibri" w:hAnsi="Arial" w:cs="Arial"/>
      <w:b/>
      <w:bCs/>
      <w:sz w:val="19"/>
      <w:szCs w:val="19"/>
      <w:lang w:val="es-CO" w:eastAsia="es-CO"/>
    </w:rPr>
  </w:style>
  <w:style w:type="paragraph" w:styleId="Textoindependiente2">
    <w:name w:val="Body Text 2"/>
    <w:basedOn w:val="Normal"/>
    <w:link w:val="Textoindependiente2Car"/>
    <w:uiPriority w:val="99"/>
    <w:semiHidden/>
    <w:unhideWhenUsed/>
    <w:rsid w:val="00976DF8"/>
    <w:pPr>
      <w:spacing w:after="120" w:line="480" w:lineRule="auto"/>
    </w:pPr>
  </w:style>
  <w:style w:type="character" w:customStyle="1" w:styleId="Textoindependiente2Car">
    <w:name w:val="Texto independiente 2 Car"/>
    <w:link w:val="Textoindependiente2"/>
    <w:uiPriority w:val="99"/>
    <w:semiHidden/>
    <w:rsid w:val="00976DF8"/>
    <w:rPr>
      <w:rFonts w:ascii="Times New Roman" w:eastAsia="Times New Roman" w:hAnsi="Times New Roman"/>
      <w:sz w:val="24"/>
      <w:szCs w:val="24"/>
      <w:lang w:val="es-ES" w:eastAsia="es-ES"/>
    </w:rPr>
  </w:style>
  <w:style w:type="paragraph" w:styleId="Revisin">
    <w:name w:val="Revision"/>
    <w:hidden/>
    <w:uiPriority w:val="99"/>
    <w:semiHidden/>
    <w:rsid w:val="00B33B23"/>
    <w:rPr>
      <w:rFonts w:ascii="Times New Roman" w:eastAsia="Times New Roman" w:hAnsi="Times New Roman"/>
      <w:sz w:val="24"/>
      <w:szCs w:val="24"/>
      <w:lang w:val="es-ES" w:eastAsia="es-ES"/>
    </w:rPr>
  </w:style>
  <w:style w:type="paragraph" w:customStyle="1" w:styleId="Default">
    <w:name w:val="Default"/>
    <w:rsid w:val="00D9061B"/>
    <w:pPr>
      <w:autoSpaceDE w:val="0"/>
      <w:autoSpaceDN w:val="0"/>
      <w:adjustRightInd w:val="0"/>
    </w:pPr>
    <w:rPr>
      <w:rFonts w:cs="Calibri"/>
      <w:color w:val="000000"/>
      <w:sz w:val="24"/>
      <w:szCs w:val="24"/>
    </w:rPr>
  </w:style>
  <w:style w:type="character" w:customStyle="1" w:styleId="Ttulo2Car">
    <w:name w:val="Título 2 Car"/>
    <w:basedOn w:val="Fuentedeprrafopredeter"/>
    <w:link w:val="Ttulo2"/>
    <w:uiPriority w:val="9"/>
    <w:rsid w:val="00D351A9"/>
    <w:rPr>
      <w:rFonts w:ascii="Bookman Old Style" w:eastAsia="Times New Roman" w:hAnsi="Bookman Old Style" w:cs="Arial"/>
      <w:b/>
      <w:sz w:val="24"/>
      <w:szCs w:val="24"/>
      <w:lang w:val="es-ES" w:eastAsia="es-ES"/>
    </w:rPr>
  </w:style>
  <w:style w:type="paragraph" w:customStyle="1" w:styleId="Artculo">
    <w:name w:val="Artículo"/>
    <w:basedOn w:val="Normal"/>
    <w:link w:val="ArtculoCar"/>
    <w:autoRedefine/>
    <w:qFormat/>
    <w:rsid w:val="0055410D"/>
    <w:pPr>
      <w:tabs>
        <w:tab w:val="left" w:pos="1701"/>
      </w:tabs>
      <w:suppressAutoHyphens/>
      <w:ind w:left="284" w:right="284"/>
      <w:jc w:val="both"/>
      <w:outlineLvl w:val="5"/>
    </w:pPr>
    <w:rPr>
      <w:rFonts w:ascii="Bookman Old Style" w:hAnsi="Bookman Old Style"/>
      <w:i/>
      <w:szCs w:val="20"/>
      <w:lang w:val="es-CO" w:eastAsia="ar-SA"/>
    </w:rPr>
  </w:style>
  <w:style w:type="character" w:customStyle="1" w:styleId="ArtculoCar">
    <w:name w:val="Artículo Car"/>
    <w:basedOn w:val="Fuentedeprrafopredeter"/>
    <w:link w:val="Artculo"/>
    <w:rsid w:val="0055410D"/>
    <w:rPr>
      <w:rFonts w:ascii="Bookman Old Style" w:eastAsia="Times New Roman" w:hAnsi="Bookman Old Style"/>
      <w:i/>
      <w:sz w:val="24"/>
      <w:lang w:eastAsia="ar-SA"/>
    </w:rPr>
  </w:style>
  <w:style w:type="paragraph" w:styleId="Cita">
    <w:name w:val="Quote"/>
    <w:basedOn w:val="Normal"/>
    <w:next w:val="Normal"/>
    <w:link w:val="CitaCar"/>
    <w:uiPriority w:val="29"/>
    <w:qFormat/>
    <w:rsid w:val="007C03F4"/>
    <w:pPr>
      <w:spacing w:before="120"/>
      <w:ind w:left="284" w:right="284"/>
      <w:jc w:val="both"/>
    </w:pPr>
    <w:rPr>
      <w:rFonts w:ascii="Bookman Old Style" w:hAnsi="Bookman Old Style"/>
      <w:i/>
      <w:sz w:val="22"/>
      <w:szCs w:val="22"/>
    </w:rPr>
  </w:style>
  <w:style w:type="character" w:customStyle="1" w:styleId="CitaCar">
    <w:name w:val="Cita Car"/>
    <w:basedOn w:val="Fuentedeprrafopredeter"/>
    <w:link w:val="Cita"/>
    <w:uiPriority w:val="29"/>
    <w:rsid w:val="007C03F4"/>
    <w:rPr>
      <w:rFonts w:ascii="Bookman Old Style" w:eastAsia="Times New Roman" w:hAnsi="Bookman Old Style"/>
      <w:i/>
      <w:sz w:val="22"/>
      <w:szCs w:val="22"/>
      <w:lang w:val="es-ES" w:eastAsia="es-ES"/>
    </w:rPr>
  </w:style>
  <w:style w:type="table" w:styleId="Tabladecuadrcula1clara">
    <w:name w:val="Grid Table 1 Light"/>
    <w:basedOn w:val="Tablanormal"/>
    <w:uiPriority w:val="46"/>
    <w:rsid w:val="00345B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Style3Exact">
    <w:name w:val="Char Style 3 Exact"/>
    <w:basedOn w:val="Fuentedeprrafopredeter"/>
    <w:uiPriority w:val="99"/>
    <w:rsid w:val="00832854"/>
    <w:rPr>
      <w:rFonts w:ascii="Arial" w:hAnsi="Arial" w:cs="Arial"/>
      <w:b/>
      <w:bCs/>
      <w:spacing w:val="-5"/>
      <w:sz w:val="11"/>
      <w:szCs w:val="11"/>
      <w:u w:val="none"/>
      <w:lang w:val="en-US" w:eastAsia="en-US"/>
    </w:rPr>
  </w:style>
  <w:style w:type="character" w:customStyle="1" w:styleId="CharStyle12">
    <w:name w:val="Char Style 12"/>
    <w:basedOn w:val="Fuentedeprrafopredeter"/>
    <w:link w:val="Style11"/>
    <w:uiPriority w:val="99"/>
    <w:rsid w:val="00832854"/>
    <w:rPr>
      <w:rFonts w:ascii="Arial" w:hAnsi="Arial" w:cs="Arial"/>
      <w:sz w:val="22"/>
      <w:szCs w:val="22"/>
      <w:shd w:val="clear" w:color="auto" w:fill="FFFFFF"/>
    </w:rPr>
  </w:style>
  <w:style w:type="character" w:customStyle="1" w:styleId="CharStyle26">
    <w:name w:val="Char Style 26"/>
    <w:basedOn w:val="CharStyle12"/>
    <w:uiPriority w:val="99"/>
    <w:rsid w:val="00832854"/>
    <w:rPr>
      <w:rFonts w:ascii="Arial" w:hAnsi="Arial" w:cs="Arial"/>
      <w:b/>
      <w:bCs/>
      <w:i/>
      <w:iCs/>
      <w:sz w:val="22"/>
      <w:szCs w:val="22"/>
      <w:shd w:val="clear" w:color="auto" w:fill="FFFFFF"/>
    </w:rPr>
  </w:style>
  <w:style w:type="paragraph" w:customStyle="1" w:styleId="Style11">
    <w:name w:val="Style 11"/>
    <w:basedOn w:val="Normal"/>
    <w:link w:val="CharStyle12"/>
    <w:uiPriority w:val="99"/>
    <w:rsid w:val="00832854"/>
    <w:pPr>
      <w:widowControl w:val="0"/>
      <w:shd w:val="clear" w:color="auto" w:fill="FFFFFF"/>
      <w:spacing w:before="240" w:line="240" w:lineRule="atLeast"/>
      <w:ind w:left="0"/>
    </w:pPr>
    <w:rPr>
      <w:rFonts w:ascii="Arial" w:eastAsia="Calibri" w:hAnsi="Arial" w:cs="Arial"/>
      <w:sz w:val="22"/>
      <w:szCs w:val="22"/>
      <w:lang w:val="es-CO" w:eastAsia="es-CO"/>
    </w:rPr>
  </w:style>
  <w:style w:type="character" w:customStyle="1" w:styleId="CharStyle25">
    <w:name w:val="Char Style 25"/>
    <w:basedOn w:val="Fuentedeprrafopredeter"/>
    <w:link w:val="Style24"/>
    <w:uiPriority w:val="99"/>
    <w:rsid w:val="0061098E"/>
    <w:rPr>
      <w:rFonts w:ascii="Arial" w:hAnsi="Arial" w:cs="Arial"/>
      <w:shd w:val="clear" w:color="auto" w:fill="FFFFFF"/>
    </w:rPr>
  </w:style>
  <w:style w:type="character" w:customStyle="1" w:styleId="CharStyle29">
    <w:name w:val="Char Style 29"/>
    <w:basedOn w:val="CharStyle25"/>
    <w:uiPriority w:val="99"/>
    <w:rsid w:val="0061098E"/>
    <w:rPr>
      <w:rFonts w:ascii="Arial" w:hAnsi="Arial" w:cs="Arial"/>
      <w:b/>
      <w:bCs/>
      <w:shd w:val="clear" w:color="auto" w:fill="FFFFFF"/>
    </w:rPr>
  </w:style>
  <w:style w:type="character" w:customStyle="1" w:styleId="CharStyle31">
    <w:name w:val="Char Style 31"/>
    <w:basedOn w:val="Fuentedeprrafopredeter"/>
    <w:link w:val="Style30"/>
    <w:uiPriority w:val="99"/>
    <w:rsid w:val="0061098E"/>
    <w:rPr>
      <w:rFonts w:ascii="Arial" w:hAnsi="Arial" w:cs="Arial"/>
      <w:i/>
      <w:iCs/>
      <w:shd w:val="clear" w:color="auto" w:fill="FFFFFF"/>
    </w:rPr>
  </w:style>
  <w:style w:type="character" w:customStyle="1" w:styleId="CharStyle32">
    <w:name w:val="Char Style 32"/>
    <w:basedOn w:val="CharStyle31"/>
    <w:uiPriority w:val="99"/>
    <w:rsid w:val="0061098E"/>
    <w:rPr>
      <w:rFonts w:ascii="Arial" w:hAnsi="Arial" w:cs="Arial"/>
      <w:i w:val="0"/>
      <w:iCs w:val="0"/>
      <w:shd w:val="clear" w:color="auto" w:fill="FFFFFF"/>
    </w:rPr>
  </w:style>
  <w:style w:type="paragraph" w:customStyle="1" w:styleId="Style24">
    <w:name w:val="Style 24"/>
    <w:basedOn w:val="Normal"/>
    <w:link w:val="CharStyle25"/>
    <w:uiPriority w:val="99"/>
    <w:rsid w:val="0061098E"/>
    <w:pPr>
      <w:widowControl w:val="0"/>
      <w:shd w:val="clear" w:color="auto" w:fill="FFFFFF"/>
      <w:spacing w:line="259" w:lineRule="exact"/>
      <w:ind w:left="0"/>
    </w:pPr>
    <w:rPr>
      <w:rFonts w:ascii="Arial" w:eastAsia="Calibri" w:hAnsi="Arial" w:cs="Arial"/>
      <w:sz w:val="20"/>
      <w:szCs w:val="20"/>
      <w:lang w:val="es-CO" w:eastAsia="es-CO"/>
    </w:rPr>
  </w:style>
  <w:style w:type="paragraph" w:customStyle="1" w:styleId="Style30">
    <w:name w:val="Style 30"/>
    <w:basedOn w:val="Normal"/>
    <w:link w:val="CharStyle31"/>
    <w:uiPriority w:val="99"/>
    <w:rsid w:val="0061098E"/>
    <w:pPr>
      <w:widowControl w:val="0"/>
      <w:shd w:val="clear" w:color="auto" w:fill="FFFFFF"/>
      <w:spacing w:before="180" w:after="300" w:line="240" w:lineRule="atLeast"/>
      <w:ind w:left="0" w:hanging="360"/>
      <w:jc w:val="both"/>
    </w:pPr>
    <w:rPr>
      <w:rFonts w:ascii="Arial" w:eastAsia="Calibri" w:hAnsi="Arial" w:cs="Arial"/>
      <w:i/>
      <w:iCs/>
      <w:sz w:val="20"/>
      <w:szCs w:val="20"/>
      <w:lang w:val="es-CO" w:eastAsia="es-CO"/>
    </w:rPr>
  </w:style>
  <w:style w:type="character" w:customStyle="1" w:styleId="CharStyle39">
    <w:name w:val="Char Style 39"/>
    <w:basedOn w:val="CharStyle25"/>
    <w:uiPriority w:val="99"/>
    <w:rsid w:val="0061098E"/>
    <w:rPr>
      <w:rFonts w:ascii="Arial" w:hAnsi="Arial" w:cs="Arial"/>
      <w:i/>
      <w:iCs/>
      <w:sz w:val="20"/>
      <w:szCs w:val="20"/>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1372">
      <w:bodyDiv w:val="1"/>
      <w:marLeft w:val="0"/>
      <w:marRight w:val="0"/>
      <w:marTop w:val="0"/>
      <w:marBottom w:val="0"/>
      <w:divBdr>
        <w:top w:val="none" w:sz="0" w:space="0" w:color="auto"/>
        <w:left w:val="none" w:sz="0" w:space="0" w:color="auto"/>
        <w:bottom w:val="none" w:sz="0" w:space="0" w:color="auto"/>
        <w:right w:val="none" w:sz="0" w:space="0" w:color="auto"/>
      </w:divBdr>
    </w:div>
    <w:div w:id="158083830">
      <w:bodyDiv w:val="1"/>
      <w:marLeft w:val="0"/>
      <w:marRight w:val="0"/>
      <w:marTop w:val="0"/>
      <w:marBottom w:val="0"/>
      <w:divBdr>
        <w:top w:val="none" w:sz="0" w:space="0" w:color="auto"/>
        <w:left w:val="none" w:sz="0" w:space="0" w:color="auto"/>
        <w:bottom w:val="none" w:sz="0" w:space="0" w:color="auto"/>
        <w:right w:val="none" w:sz="0" w:space="0" w:color="auto"/>
      </w:divBdr>
    </w:div>
    <w:div w:id="256910333">
      <w:bodyDiv w:val="1"/>
      <w:marLeft w:val="0"/>
      <w:marRight w:val="0"/>
      <w:marTop w:val="0"/>
      <w:marBottom w:val="0"/>
      <w:divBdr>
        <w:top w:val="none" w:sz="0" w:space="0" w:color="auto"/>
        <w:left w:val="none" w:sz="0" w:space="0" w:color="auto"/>
        <w:bottom w:val="none" w:sz="0" w:space="0" w:color="auto"/>
        <w:right w:val="none" w:sz="0" w:space="0" w:color="auto"/>
      </w:divBdr>
    </w:div>
    <w:div w:id="263657266">
      <w:bodyDiv w:val="1"/>
      <w:marLeft w:val="0"/>
      <w:marRight w:val="0"/>
      <w:marTop w:val="0"/>
      <w:marBottom w:val="0"/>
      <w:divBdr>
        <w:top w:val="none" w:sz="0" w:space="0" w:color="auto"/>
        <w:left w:val="none" w:sz="0" w:space="0" w:color="auto"/>
        <w:bottom w:val="none" w:sz="0" w:space="0" w:color="auto"/>
        <w:right w:val="none" w:sz="0" w:space="0" w:color="auto"/>
      </w:divBdr>
    </w:div>
    <w:div w:id="380905438">
      <w:bodyDiv w:val="1"/>
      <w:marLeft w:val="0"/>
      <w:marRight w:val="0"/>
      <w:marTop w:val="0"/>
      <w:marBottom w:val="0"/>
      <w:divBdr>
        <w:top w:val="none" w:sz="0" w:space="0" w:color="auto"/>
        <w:left w:val="none" w:sz="0" w:space="0" w:color="auto"/>
        <w:bottom w:val="none" w:sz="0" w:space="0" w:color="auto"/>
        <w:right w:val="none" w:sz="0" w:space="0" w:color="auto"/>
      </w:divBdr>
    </w:div>
    <w:div w:id="419182393">
      <w:bodyDiv w:val="1"/>
      <w:marLeft w:val="0"/>
      <w:marRight w:val="0"/>
      <w:marTop w:val="0"/>
      <w:marBottom w:val="0"/>
      <w:divBdr>
        <w:top w:val="none" w:sz="0" w:space="0" w:color="auto"/>
        <w:left w:val="none" w:sz="0" w:space="0" w:color="auto"/>
        <w:bottom w:val="none" w:sz="0" w:space="0" w:color="auto"/>
        <w:right w:val="none" w:sz="0" w:space="0" w:color="auto"/>
      </w:divBdr>
    </w:div>
    <w:div w:id="722291001">
      <w:bodyDiv w:val="1"/>
      <w:marLeft w:val="0"/>
      <w:marRight w:val="0"/>
      <w:marTop w:val="0"/>
      <w:marBottom w:val="0"/>
      <w:divBdr>
        <w:top w:val="none" w:sz="0" w:space="0" w:color="auto"/>
        <w:left w:val="none" w:sz="0" w:space="0" w:color="auto"/>
        <w:bottom w:val="none" w:sz="0" w:space="0" w:color="auto"/>
        <w:right w:val="none" w:sz="0" w:space="0" w:color="auto"/>
      </w:divBdr>
    </w:div>
    <w:div w:id="1179124289">
      <w:bodyDiv w:val="1"/>
      <w:marLeft w:val="0"/>
      <w:marRight w:val="0"/>
      <w:marTop w:val="0"/>
      <w:marBottom w:val="0"/>
      <w:divBdr>
        <w:top w:val="none" w:sz="0" w:space="0" w:color="auto"/>
        <w:left w:val="none" w:sz="0" w:space="0" w:color="auto"/>
        <w:bottom w:val="none" w:sz="0" w:space="0" w:color="auto"/>
        <w:right w:val="none" w:sz="0" w:space="0" w:color="auto"/>
      </w:divBdr>
    </w:div>
    <w:div w:id="1427384342">
      <w:bodyDiv w:val="1"/>
      <w:marLeft w:val="0"/>
      <w:marRight w:val="0"/>
      <w:marTop w:val="0"/>
      <w:marBottom w:val="0"/>
      <w:divBdr>
        <w:top w:val="none" w:sz="0" w:space="0" w:color="auto"/>
        <w:left w:val="none" w:sz="0" w:space="0" w:color="auto"/>
        <w:bottom w:val="none" w:sz="0" w:space="0" w:color="auto"/>
        <w:right w:val="none" w:sz="0" w:space="0" w:color="auto"/>
      </w:divBdr>
      <w:divsChild>
        <w:div w:id="270864382">
          <w:marLeft w:val="0"/>
          <w:marRight w:val="-93"/>
          <w:marTop w:val="0"/>
          <w:marBottom w:val="0"/>
          <w:divBdr>
            <w:top w:val="none" w:sz="0" w:space="0" w:color="auto"/>
            <w:left w:val="none" w:sz="0" w:space="0" w:color="auto"/>
            <w:bottom w:val="none" w:sz="0" w:space="0" w:color="auto"/>
            <w:right w:val="none" w:sz="0" w:space="0" w:color="auto"/>
          </w:divBdr>
        </w:div>
        <w:div w:id="486820829">
          <w:marLeft w:val="0"/>
          <w:marRight w:val="-93"/>
          <w:marTop w:val="0"/>
          <w:marBottom w:val="0"/>
          <w:divBdr>
            <w:top w:val="none" w:sz="0" w:space="0" w:color="auto"/>
            <w:left w:val="none" w:sz="0" w:space="0" w:color="auto"/>
            <w:bottom w:val="none" w:sz="0" w:space="0" w:color="auto"/>
            <w:right w:val="none" w:sz="0" w:space="0" w:color="auto"/>
          </w:divBdr>
        </w:div>
        <w:div w:id="593976549">
          <w:marLeft w:val="0"/>
          <w:marRight w:val="-93"/>
          <w:marTop w:val="0"/>
          <w:marBottom w:val="0"/>
          <w:divBdr>
            <w:top w:val="none" w:sz="0" w:space="0" w:color="auto"/>
            <w:left w:val="none" w:sz="0" w:space="0" w:color="auto"/>
            <w:bottom w:val="none" w:sz="0" w:space="0" w:color="auto"/>
            <w:right w:val="none" w:sz="0" w:space="0" w:color="auto"/>
          </w:divBdr>
        </w:div>
        <w:div w:id="598879987">
          <w:marLeft w:val="0"/>
          <w:marRight w:val="-93"/>
          <w:marTop w:val="0"/>
          <w:marBottom w:val="0"/>
          <w:divBdr>
            <w:top w:val="none" w:sz="0" w:space="0" w:color="auto"/>
            <w:left w:val="none" w:sz="0" w:space="0" w:color="auto"/>
            <w:bottom w:val="none" w:sz="0" w:space="0" w:color="auto"/>
            <w:right w:val="none" w:sz="0" w:space="0" w:color="auto"/>
          </w:divBdr>
        </w:div>
        <w:div w:id="790635209">
          <w:marLeft w:val="0"/>
          <w:marRight w:val="-93"/>
          <w:marTop w:val="0"/>
          <w:marBottom w:val="0"/>
          <w:divBdr>
            <w:top w:val="none" w:sz="0" w:space="0" w:color="auto"/>
            <w:left w:val="none" w:sz="0" w:space="0" w:color="auto"/>
            <w:bottom w:val="none" w:sz="0" w:space="0" w:color="auto"/>
            <w:right w:val="none" w:sz="0" w:space="0" w:color="auto"/>
          </w:divBdr>
        </w:div>
        <w:div w:id="925112133">
          <w:marLeft w:val="0"/>
          <w:marRight w:val="-93"/>
          <w:marTop w:val="0"/>
          <w:marBottom w:val="0"/>
          <w:divBdr>
            <w:top w:val="none" w:sz="0" w:space="0" w:color="auto"/>
            <w:left w:val="none" w:sz="0" w:space="0" w:color="auto"/>
            <w:bottom w:val="none" w:sz="0" w:space="0" w:color="auto"/>
            <w:right w:val="none" w:sz="0" w:space="0" w:color="auto"/>
          </w:divBdr>
        </w:div>
        <w:div w:id="1035539817">
          <w:marLeft w:val="0"/>
          <w:marRight w:val="-93"/>
          <w:marTop w:val="0"/>
          <w:marBottom w:val="0"/>
          <w:divBdr>
            <w:top w:val="none" w:sz="0" w:space="0" w:color="auto"/>
            <w:left w:val="none" w:sz="0" w:space="0" w:color="auto"/>
            <w:bottom w:val="none" w:sz="0" w:space="0" w:color="auto"/>
            <w:right w:val="none" w:sz="0" w:space="0" w:color="auto"/>
          </w:divBdr>
        </w:div>
        <w:div w:id="1106654697">
          <w:marLeft w:val="0"/>
          <w:marRight w:val="-93"/>
          <w:marTop w:val="0"/>
          <w:marBottom w:val="0"/>
          <w:divBdr>
            <w:top w:val="none" w:sz="0" w:space="0" w:color="auto"/>
            <w:left w:val="none" w:sz="0" w:space="0" w:color="auto"/>
            <w:bottom w:val="none" w:sz="0" w:space="0" w:color="auto"/>
            <w:right w:val="none" w:sz="0" w:space="0" w:color="auto"/>
          </w:divBdr>
        </w:div>
        <w:div w:id="1380743908">
          <w:marLeft w:val="0"/>
          <w:marRight w:val="-93"/>
          <w:marTop w:val="0"/>
          <w:marBottom w:val="0"/>
          <w:divBdr>
            <w:top w:val="none" w:sz="0" w:space="0" w:color="auto"/>
            <w:left w:val="none" w:sz="0" w:space="0" w:color="auto"/>
            <w:bottom w:val="none" w:sz="0" w:space="0" w:color="auto"/>
            <w:right w:val="none" w:sz="0" w:space="0" w:color="auto"/>
          </w:divBdr>
        </w:div>
        <w:div w:id="1605990810">
          <w:marLeft w:val="0"/>
          <w:marRight w:val="-93"/>
          <w:marTop w:val="0"/>
          <w:marBottom w:val="0"/>
          <w:divBdr>
            <w:top w:val="none" w:sz="0" w:space="0" w:color="auto"/>
            <w:left w:val="none" w:sz="0" w:space="0" w:color="auto"/>
            <w:bottom w:val="none" w:sz="0" w:space="0" w:color="auto"/>
            <w:right w:val="none" w:sz="0" w:space="0" w:color="auto"/>
          </w:divBdr>
        </w:div>
        <w:div w:id="1611937898">
          <w:marLeft w:val="0"/>
          <w:marRight w:val="-93"/>
          <w:marTop w:val="0"/>
          <w:marBottom w:val="0"/>
          <w:divBdr>
            <w:top w:val="none" w:sz="0" w:space="0" w:color="auto"/>
            <w:left w:val="none" w:sz="0" w:space="0" w:color="auto"/>
            <w:bottom w:val="none" w:sz="0" w:space="0" w:color="auto"/>
            <w:right w:val="none" w:sz="0" w:space="0" w:color="auto"/>
          </w:divBdr>
        </w:div>
        <w:div w:id="1797597723">
          <w:marLeft w:val="0"/>
          <w:marRight w:val="-93"/>
          <w:marTop w:val="0"/>
          <w:marBottom w:val="0"/>
          <w:divBdr>
            <w:top w:val="none" w:sz="0" w:space="0" w:color="auto"/>
            <w:left w:val="none" w:sz="0" w:space="0" w:color="auto"/>
            <w:bottom w:val="none" w:sz="0" w:space="0" w:color="auto"/>
            <w:right w:val="none" w:sz="0" w:space="0" w:color="auto"/>
          </w:divBdr>
        </w:div>
        <w:div w:id="1890334191">
          <w:marLeft w:val="0"/>
          <w:marRight w:val="-93"/>
          <w:marTop w:val="0"/>
          <w:marBottom w:val="0"/>
          <w:divBdr>
            <w:top w:val="none" w:sz="0" w:space="0" w:color="auto"/>
            <w:left w:val="none" w:sz="0" w:space="0" w:color="auto"/>
            <w:bottom w:val="none" w:sz="0" w:space="0" w:color="auto"/>
            <w:right w:val="none" w:sz="0" w:space="0" w:color="auto"/>
          </w:divBdr>
        </w:div>
      </w:divsChild>
    </w:div>
    <w:div w:id="1544946045">
      <w:bodyDiv w:val="1"/>
      <w:marLeft w:val="0"/>
      <w:marRight w:val="0"/>
      <w:marTop w:val="0"/>
      <w:marBottom w:val="0"/>
      <w:divBdr>
        <w:top w:val="none" w:sz="0" w:space="0" w:color="auto"/>
        <w:left w:val="none" w:sz="0" w:space="0" w:color="auto"/>
        <w:bottom w:val="none" w:sz="0" w:space="0" w:color="auto"/>
        <w:right w:val="none" w:sz="0" w:space="0" w:color="auto"/>
      </w:divBdr>
    </w:div>
    <w:div w:id="1666398805">
      <w:bodyDiv w:val="1"/>
      <w:marLeft w:val="0"/>
      <w:marRight w:val="0"/>
      <w:marTop w:val="0"/>
      <w:marBottom w:val="0"/>
      <w:divBdr>
        <w:top w:val="none" w:sz="0" w:space="0" w:color="auto"/>
        <w:left w:val="none" w:sz="0" w:space="0" w:color="auto"/>
        <w:bottom w:val="none" w:sz="0" w:space="0" w:color="auto"/>
        <w:right w:val="none" w:sz="0" w:space="0" w:color="auto"/>
      </w:divBdr>
    </w:div>
    <w:div w:id="1699160271">
      <w:bodyDiv w:val="1"/>
      <w:marLeft w:val="0"/>
      <w:marRight w:val="0"/>
      <w:marTop w:val="0"/>
      <w:marBottom w:val="0"/>
      <w:divBdr>
        <w:top w:val="none" w:sz="0" w:space="0" w:color="auto"/>
        <w:left w:val="none" w:sz="0" w:space="0" w:color="auto"/>
        <w:bottom w:val="none" w:sz="0" w:space="0" w:color="auto"/>
        <w:right w:val="none" w:sz="0" w:space="0" w:color="auto"/>
      </w:divBdr>
    </w:div>
    <w:div w:id="1782872982">
      <w:bodyDiv w:val="1"/>
      <w:marLeft w:val="0"/>
      <w:marRight w:val="0"/>
      <w:marTop w:val="0"/>
      <w:marBottom w:val="0"/>
      <w:divBdr>
        <w:top w:val="none" w:sz="0" w:space="0" w:color="auto"/>
        <w:left w:val="none" w:sz="0" w:space="0" w:color="auto"/>
        <w:bottom w:val="none" w:sz="0" w:space="0" w:color="auto"/>
        <w:right w:val="none" w:sz="0" w:space="0" w:color="auto"/>
      </w:divBdr>
    </w:div>
    <w:div w:id="2061467290">
      <w:bodyDiv w:val="1"/>
      <w:marLeft w:val="0"/>
      <w:marRight w:val="0"/>
      <w:marTop w:val="0"/>
      <w:marBottom w:val="0"/>
      <w:divBdr>
        <w:top w:val="none" w:sz="0" w:space="0" w:color="auto"/>
        <w:left w:val="none" w:sz="0" w:space="0" w:color="auto"/>
        <w:bottom w:val="none" w:sz="0" w:space="0" w:color="auto"/>
        <w:right w:val="none" w:sz="0" w:space="0" w:color="auto"/>
      </w:divBdr>
    </w:div>
    <w:div w:id="2062316215">
      <w:bodyDiv w:val="1"/>
      <w:marLeft w:val="0"/>
      <w:marRight w:val="0"/>
      <w:marTop w:val="0"/>
      <w:marBottom w:val="0"/>
      <w:divBdr>
        <w:top w:val="none" w:sz="0" w:space="0" w:color="auto"/>
        <w:left w:val="none" w:sz="0" w:space="0" w:color="auto"/>
        <w:bottom w:val="none" w:sz="0" w:space="0" w:color="auto"/>
        <w:right w:val="none" w:sz="0" w:space="0" w:color="auto"/>
      </w:divBdr>
      <w:divsChild>
        <w:div w:id="1993947056">
          <w:blockQuote w:val="1"/>
          <w:marLeft w:val="0"/>
          <w:marRight w:val="0"/>
          <w:marTop w:val="300"/>
          <w:marBottom w:val="450"/>
          <w:divBdr>
            <w:top w:val="none" w:sz="0" w:space="0" w:color="A03E0C"/>
            <w:left w:val="single" w:sz="36" w:space="15" w:color="A03E0C"/>
            <w:bottom w:val="none" w:sz="0" w:space="0" w:color="A03E0C"/>
            <w:right w:val="none" w:sz="0" w:space="0" w:color="A03E0C"/>
          </w:divBdr>
        </w:div>
      </w:divsChild>
    </w:div>
    <w:div w:id="20662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6EC51B-7628-4CE8-9E74-A47853CE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9116</Words>
  <Characters>50140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Chaux Donado</dc:creator>
  <cp:keywords/>
  <cp:lastModifiedBy>Luz Stella Rojas Macias</cp:lastModifiedBy>
  <cp:revision>2</cp:revision>
  <cp:lastPrinted>2019-04-25T15:47:00Z</cp:lastPrinted>
  <dcterms:created xsi:type="dcterms:W3CDTF">2019-04-25T20:43:00Z</dcterms:created>
  <dcterms:modified xsi:type="dcterms:W3CDTF">2019-04-25T20:43:00Z</dcterms:modified>
</cp:coreProperties>
</file>