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1866" w14:textId="6FD987CF" w:rsidR="0073609F" w:rsidRDefault="000C7FA3" w:rsidP="0073609F">
      <w:pPr>
        <w:pStyle w:val="Encabezado"/>
        <w:tabs>
          <w:tab w:val="clear" w:pos="8504"/>
          <w:tab w:val="left" w:pos="0"/>
          <w:tab w:val="right" w:pos="9356"/>
        </w:tabs>
        <w:spacing w:before="0" w:after="0"/>
        <w:jc w:val="center"/>
        <w:rPr>
          <w:rFonts w:ascii="Bookman Old Style" w:hAnsi="Bookman Old Style"/>
          <w:bCs/>
          <w:szCs w:val="24"/>
        </w:rPr>
      </w:pPr>
      <w:r>
        <w:rPr>
          <w:rFonts w:ascii="Bookman Old Style" w:hAnsi="Bookman Old Style"/>
          <w:noProof/>
          <w:szCs w:val="24"/>
        </w:rPr>
        <w:object w:dxaOrig="1440" w:dyaOrig="1440" w14:anchorId="0028D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07.35pt;margin-top:-41.2pt;width:52.5pt;height:48.75pt;z-index:251659264" fillcolor="#0c9">
            <v:imagedata r:id="rId11" o:title=""/>
          </v:shape>
          <o:OLEObject Type="Embed" ProgID="PBrush" ShapeID="_x0000_s2053" DrawAspect="Content" ObjectID="_1714392951" r:id="rId12"/>
        </w:object>
      </w:r>
    </w:p>
    <w:p w14:paraId="5F82B92C" w14:textId="073C119B" w:rsidR="00DA345A" w:rsidRDefault="00DA345A" w:rsidP="0073609F">
      <w:pPr>
        <w:pStyle w:val="Encabezado"/>
        <w:tabs>
          <w:tab w:val="clear" w:pos="8504"/>
          <w:tab w:val="left" w:pos="0"/>
          <w:tab w:val="right" w:pos="9356"/>
        </w:tabs>
        <w:spacing w:before="0" w:after="0"/>
        <w:jc w:val="center"/>
        <w:rPr>
          <w:rFonts w:ascii="Bookman Old Style" w:hAnsi="Bookman Old Style"/>
          <w:bCs/>
          <w:szCs w:val="24"/>
        </w:rPr>
      </w:pPr>
      <w:r w:rsidRPr="00BF69C9">
        <w:rPr>
          <w:rFonts w:ascii="Bookman Old Style" w:hAnsi="Bookman Old Style"/>
          <w:bCs/>
          <w:szCs w:val="24"/>
        </w:rPr>
        <w:t>Ministerio de Minas y Energía</w:t>
      </w:r>
    </w:p>
    <w:p w14:paraId="267C0F19" w14:textId="77777777" w:rsidR="0073609F" w:rsidRPr="00BF69C9" w:rsidRDefault="0073609F" w:rsidP="0073609F">
      <w:pPr>
        <w:pStyle w:val="Encabezado"/>
        <w:tabs>
          <w:tab w:val="clear" w:pos="8504"/>
          <w:tab w:val="left" w:pos="0"/>
          <w:tab w:val="right" w:pos="9356"/>
        </w:tabs>
        <w:spacing w:before="0" w:after="0"/>
        <w:jc w:val="center"/>
        <w:rPr>
          <w:rFonts w:ascii="Bookman Old Style" w:hAnsi="Bookman Old Style"/>
          <w:b/>
          <w:bCs/>
          <w:noProof/>
          <w:szCs w:val="24"/>
          <w:lang w:val="es-ES"/>
        </w:rPr>
      </w:pPr>
    </w:p>
    <w:p w14:paraId="3506A686" w14:textId="53583134" w:rsidR="00DA345A" w:rsidRDefault="00DA345A" w:rsidP="0073609F">
      <w:pPr>
        <w:pStyle w:val="Ttulo3"/>
        <w:tabs>
          <w:tab w:val="left" w:pos="0"/>
          <w:tab w:val="right" w:pos="9356"/>
        </w:tabs>
        <w:spacing w:before="0" w:after="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79647433" w14:textId="77777777" w:rsidR="0073609F" w:rsidRPr="0073609F" w:rsidRDefault="0073609F" w:rsidP="0073609F">
      <w:pPr>
        <w:spacing w:before="0" w:after="0"/>
        <w:rPr>
          <w:lang w:val="es-ES_tradnl"/>
        </w:rPr>
      </w:pPr>
    </w:p>
    <w:p w14:paraId="5B2F3ED7" w14:textId="36ED2021" w:rsidR="00DA345A" w:rsidRDefault="00DA345A" w:rsidP="0073609F">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Pr="0073609F">
        <w:rPr>
          <w:rFonts w:ascii="Bookman Old Style" w:hAnsi="Bookman Old Style"/>
          <w:sz w:val="32"/>
          <w:szCs w:val="32"/>
        </w:rPr>
        <w:t xml:space="preserve">501 </w:t>
      </w:r>
      <w:r w:rsidR="0073609F" w:rsidRPr="0073609F">
        <w:rPr>
          <w:rFonts w:ascii="Bookman Old Style" w:hAnsi="Bookman Old Style"/>
          <w:sz w:val="32"/>
          <w:szCs w:val="32"/>
        </w:rPr>
        <w:t>038</w:t>
      </w:r>
      <w:r w:rsidRPr="00BF69C9">
        <w:rPr>
          <w:rFonts w:ascii="Bookman Old Style" w:hAnsi="Bookman Old Style"/>
          <w:sz w:val="24"/>
          <w:szCs w:val="24"/>
        </w:rPr>
        <w:t xml:space="preserve">  DE 20</w:t>
      </w:r>
      <w:r>
        <w:rPr>
          <w:rFonts w:ascii="Bookman Old Style" w:hAnsi="Bookman Old Style"/>
          <w:sz w:val="24"/>
          <w:szCs w:val="24"/>
        </w:rPr>
        <w:t>22</w:t>
      </w:r>
    </w:p>
    <w:p w14:paraId="41F67591" w14:textId="77777777" w:rsidR="0073609F" w:rsidRPr="0073609F" w:rsidRDefault="0073609F" w:rsidP="0073609F">
      <w:pPr>
        <w:spacing w:before="0" w:after="0"/>
        <w:rPr>
          <w:lang w:val="es-ES_tradnl"/>
        </w:rPr>
      </w:pPr>
    </w:p>
    <w:p w14:paraId="3E8AA7FB" w14:textId="7FBA7ADC" w:rsidR="00DA345A" w:rsidRPr="00BF69C9" w:rsidRDefault="00DA345A" w:rsidP="0073609F">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73609F" w:rsidRPr="0073609F">
        <w:rPr>
          <w:rFonts w:ascii="Bookman Old Style" w:hAnsi="Bookman Old Style"/>
          <w:bCs/>
          <w:sz w:val="32"/>
          <w:szCs w:val="32"/>
        </w:rPr>
        <w:t>20 ABR. 2022</w:t>
      </w:r>
      <w:r w:rsidRPr="00BF69C9">
        <w:rPr>
          <w:rFonts w:ascii="Bookman Old Style" w:hAnsi="Bookman Old Style"/>
          <w:b w:val="0"/>
          <w:szCs w:val="24"/>
        </w:rPr>
        <w:t xml:space="preserve">  )</w:t>
      </w:r>
    </w:p>
    <w:p w14:paraId="685B14E8" w14:textId="4F8F3469" w:rsidR="00DA345A" w:rsidRDefault="00DA345A" w:rsidP="00DA345A">
      <w:pPr>
        <w:spacing w:before="0" w:after="0"/>
        <w:jc w:val="center"/>
      </w:pPr>
    </w:p>
    <w:p w14:paraId="43DA848C" w14:textId="77777777" w:rsidR="0073609F" w:rsidRDefault="0073609F" w:rsidP="00DA345A">
      <w:pPr>
        <w:spacing w:before="0" w:after="0"/>
        <w:jc w:val="center"/>
      </w:pPr>
    </w:p>
    <w:p w14:paraId="2BD84EB8" w14:textId="6A6FB43B" w:rsidR="00DA345A" w:rsidRPr="00BF69C9" w:rsidRDefault="00DA345A" w:rsidP="00DA345A">
      <w:pPr>
        <w:spacing w:before="0" w:after="360"/>
        <w:jc w:val="center"/>
      </w:pPr>
      <w:r w:rsidRPr="00BF69C9">
        <w:t xml:space="preserve">Por la cual </w:t>
      </w:r>
      <w:r>
        <w:t>se resuelve el recurso de reposición interpuesto por la Empresa de Energía de</w:t>
      </w:r>
      <w:r w:rsidR="000B2A8B">
        <w:t>l Bajo Putumayo</w:t>
      </w:r>
      <w:r>
        <w:t xml:space="preserve"> S.A. E.S.P., contra la Resolución CREG </w:t>
      </w:r>
      <w:r w:rsidR="000B2A8B">
        <w:t>218</w:t>
      </w:r>
      <w:r>
        <w:t xml:space="preserve"> de 2021</w:t>
      </w:r>
    </w:p>
    <w:p w14:paraId="2450C23C" w14:textId="77777777" w:rsidR="00DA345A" w:rsidRPr="00BF69C9" w:rsidRDefault="00DA345A" w:rsidP="00DA345A">
      <w:pPr>
        <w:spacing w:before="360" w:after="360"/>
        <w:ind w:right="51"/>
        <w:jc w:val="center"/>
        <w:rPr>
          <w:b/>
        </w:rPr>
      </w:pPr>
      <w:r w:rsidRPr="00BF69C9">
        <w:rPr>
          <w:b/>
        </w:rPr>
        <w:t>LA COMISIÓN DE REGULACIÓN DE ENERGÍA Y GAS</w:t>
      </w:r>
    </w:p>
    <w:p w14:paraId="49384606" w14:textId="77777777" w:rsidR="00DA345A" w:rsidRPr="00BF69C9" w:rsidRDefault="00DA345A" w:rsidP="00DA345A">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EE31FEF" w14:textId="77777777" w:rsidR="00DA345A" w:rsidRPr="00BF69C9" w:rsidRDefault="00DA345A" w:rsidP="00DA345A">
      <w:pPr>
        <w:suppressAutoHyphens/>
        <w:spacing w:before="480" w:after="480"/>
        <w:jc w:val="center"/>
        <w:rPr>
          <w:b/>
        </w:rPr>
      </w:pPr>
      <w:r w:rsidRPr="00BF69C9">
        <w:rPr>
          <w:b/>
        </w:rPr>
        <w:t>CONSIDERANDO QUE:</w:t>
      </w:r>
    </w:p>
    <w:p w14:paraId="3A4CDFCD" w14:textId="3F456874" w:rsidR="00DA345A" w:rsidRDefault="00DA345A" w:rsidP="00DA345A">
      <w:pPr>
        <w:spacing w:before="240" w:after="240"/>
      </w:pPr>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SIN, la cual fue aclarada y modificada por las resoluciones CREG 085 de 2018, 036 y 199 de 2019, 167 y 195 de 2020</w:t>
      </w:r>
      <w:r w:rsidR="00AF03B7">
        <w:t>,</w:t>
      </w:r>
      <w:r>
        <w:t xml:space="preserve"> y 222 de 2021.</w:t>
      </w:r>
    </w:p>
    <w:p w14:paraId="32329C5B" w14:textId="68038FC9" w:rsidR="00DA345A" w:rsidRDefault="00DA345A" w:rsidP="00DA345A">
      <w:pPr>
        <w:spacing w:before="240" w:after="240"/>
      </w:pPr>
      <w:r w:rsidRPr="00BF69C9">
        <w:t xml:space="preserve">Mediante la Resolución CREG </w:t>
      </w:r>
      <w:r w:rsidR="000B2A8B">
        <w:t>218</w:t>
      </w:r>
      <w:r w:rsidRPr="00BF69C9">
        <w:t xml:space="preserve"> de 20</w:t>
      </w:r>
      <w:r>
        <w:t xml:space="preserve">21 se aprobaron </w:t>
      </w:r>
      <w:r w:rsidRPr="005725A3">
        <w:t>las variables necesarias para calcular los ingresos y cargos asociados con la actividad de distribución de energía eléctrica para el mercado de comercialización atendido por la Empresa de Energía de</w:t>
      </w:r>
      <w:r w:rsidR="000B2A8B">
        <w:t>l Bajo Putumayo</w:t>
      </w:r>
      <w:r w:rsidRPr="005725A3">
        <w:t xml:space="preserve"> S.A. E.S.P.</w:t>
      </w:r>
    </w:p>
    <w:p w14:paraId="5AA52394" w14:textId="6F4045F4" w:rsidR="00DA345A" w:rsidRDefault="00DA345A" w:rsidP="00DA345A">
      <w:pPr>
        <w:spacing w:before="240" w:after="240"/>
        <w:rPr>
          <w:spacing w:val="-3"/>
        </w:rPr>
      </w:pPr>
      <w:r>
        <w:rPr>
          <w:spacing w:val="-3"/>
        </w:rPr>
        <w:t xml:space="preserve">En el Documento CREG </w:t>
      </w:r>
      <w:r w:rsidR="004B18C9">
        <w:rPr>
          <w:spacing w:val="-3"/>
        </w:rPr>
        <w:t>1</w:t>
      </w:r>
      <w:r>
        <w:rPr>
          <w:spacing w:val="-3"/>
        </w:rPr>
        <w:t>7</w:t>
      </w:r>
      <w:r w:rsidR="004B18C9">
        <w:rPr>
          <w:spacing w:val="-3"/>
        </w:rPr>
        <w:t>8</w:t>
      </w:r>
      <w:r>
        <w:rPr>
          <w:spacing w:val="-3"/>
        </w:rPr>
        <w:t xml:space="preserve"> de 2021 se encuentra el soporte de dicha resolución, donde se incluyen los criterios de revisión de la información, las bases de datos y los cálculos empleados por la Comisión para definir las variables aprobadas en la </w:t>
      </w:r>
      <w:r w:rsidRPr="00BF69C9">
        <w:t xml:space="preserve">Resolución CREG </w:t>
      </w:r>
      <w:r w:rsidR="004B18C9">
        <w:t>218</w:t>
      </w:r>
      <w:r w:rsidRPr="00BF69C9">
        <w:t xml:space="preserve"> de 20</w:t>
      </w:r>
      <w:r>
        <w:t>21.</w:t>
      </w:r>
    </w:p>
    <w:p w14:paraId="0C52BA6A" w14:textId="63F92D3C" w:rsidR="00DA345A" w:rsidRDefault="00DA345A" w:rsidP="00DA345A">
      <w:pPr>
        <w:spacing w:before="240" w:after="240"/>
      </w:pPr>
      <w:r>
        <w:t>La Empresa de Energía de</w:t>
      </w:r>
      <w:r w:rsidR="004B18C9">
        <w:t>l Bajo Putumayo</w:t>
      </w:r>
      <w:r>
        <w:t xml:space="preserve"> S.A. E.S.P., mediante comunicación con radicado CREG E</w:t>
      </w:r>
      <w:r>
        <w:noBreakHyphen/>
        <w:t>2021</w:t>
      </w:r>
      <w:r>
        <w:noBreakHyphen/>
        <w:t>01</w:t>
      </w:r>
      <w:r w:rsidR="004B18C9">
        <w:t>571</w:t>
      </w:r>
      <w:r>
        <w:t xml:space="preserve">0 del </w:t>
      </w:r>
      <w:r w:rsidR="004B18C9">
        <w:t>29</w:t>
      </w:r>
      <w:r>
        <w:t xml:space="preserve"> de </w:t>
      </w:r>
      <w:r w:rsidR="004B18C9">
        <w:t xml:space="preserve">diciembre </w:t>
      </w:r>
      <w:r>
        <w:t xml:space="preserve">de 2021, interpuso recurso de reposición contra la Resolución CREG </w:t>
      </w:r>
      <w:r w:rsidR="004B18C9">
        <w:t>218</w:t>
      </w:r>
      <w:r>
        <w:t xml:space="preserve"> de 2021, presentando los antecedentes, las razones de inconformidad y las peticiones del recurso de reposición. </w:t>
      </w:r>
    </w:p>
    <w:p w14:paraId="69493474" w14:textId="755EC40B" w:rsidR="004B18C9" w:rsidRDefault="004B18C9" w:rsidP="00DA345A">
      <w:pPr>
        <w:spacing w:before="240" w:after="240"/>
      </w:pPr>
      <w:r>
        <w:t xml:space="preserve">Posteriormente, </w:t>
      </w:r>
      <w:r w:rsidR="0041509C">
        <w:t>con el radicado CREG E-2022-000117 del 4 de enero de 2022, la empresa envió un alcance al recurso de reposición</w:t>
      </w:r>
      <w:r w:rsidR="00AF03B7">
        <w:t>,</w:t>
      </w:r>
      <w:r w:rsidR="0023118E">
        <w:t xml:space="preserve"> el cual </w:t>
      </w:r>
      <w:r w:rsidR="00080797">
        <w:t>complementa la solicitud inicial</w:t>
      </w:r>
      <w:r w:rsidR="00AF03B7">
        <w:t>,</w:t>
      </w:r>
      <w:r w:rsidR="00080797">
        <w:t xml:space="preserve"> y que </w:t>
      </w:r>
      <w:r w:rsidR="0023118E">
        <w:t>es</w:t>
      </w:r>
      <w:r w:rsidR="00CD2F5D">
        <w:t>t</w:t>
      </w:r>
      <w:r w:rsidR="0023118E">
        <w:t>uvo en tiempo</w:t>
      </w:r>
      <w:r w:rsidR="00080797">
        <w:t xml:space="preserve"> de ser considerado.</w:t>
      </w:r>
    </w:p>
    <w:p w14:paraId="3DDFA2C0" w14:textId="6BAFF9A5" w:rsidR="00080797" w:rsidRDefault="00080797" w:rsidP="00DA345A">
      <w:pPr>
        <w:spacing w:before="240" w:after="240"/>
      </w:pPr>
      <w:r>
        <w:t xml:space="preserve">Con el radicado CREG </w:t>
      </w:r>
      <w:r w:rsidR="004B3261">
        <w:t>E-2022-000446</w:t>
      </w:r>
      <w:r w:rsidR="00770E74">
        <w:t xml:space="preserve"> del 7 de enero de 2022, la empresa realizó un nuevo alcance al recurso de reposición</w:t>
      </w:r>
      <w:r w:rsidR="00B94F99">
        <w:t xml:space="preserve"> el cual es extemporáneo ya que el </w:t>
      </w:r>
      <w:r w:rsidR="00E34497">
        <w:lastRenderedPageBreak/>
        <w:t xml:space="preserve">término para presentar </w:t>
      </w:r>
      <w:r w:rsidR="00B94F99">
        <w:t>el recurso en forma oportuna venció el día 6 de enero de 2022</w:t>
      </w:r>
      <w:r w:rsidR="00F91625">
        <w:t xml:space="preserve"> y por tanto esta tercera comunicación no se tiene en cuenta en el análisis ni en el contenido de la presente resolución mediante la cual se resuelve el recurso de reposición interpuesto por la Empresa de Energía del Putumayo contra la Resolución CREG 218 de 2021.</w:t>
      </w:r>
    </w:p>
    <w:p w14:paraId="5CC61939" w14:textId="77777777" w:rsidR="00DA345A" w:rsidRPr="00F96E3B" w:rsidRDefault="00DA345A" w:rsidP="00DA345A">
      <w:pPr>
        <w:spacing w:before="240" w:after="240"/>
        <w:rPr>
          <w:b/>
          <w:lang w:val="es-CO" w:eastAsia="en-US"/>
        </w:rPr>
      </w:pPr>
      <w:r w:rsidRPr="00F96E3B">
        <w:rPr>
          <w:b/>
          <w:lang w:val="es-CO" w:eastAsia="en-US"/>
        </w:rPr>
        <w:t>ANÁLISIS DE LA COMISIÓN</w:t>
      </w:r>
    </w:p>
    <w:p w14:paraId="36C279B2" w14:textId="74A481C2" w:rsidR="00DA345A" w:rsidRDefault="00DA345A" w:rsidP="00DA345A">
      <w:pPr>
        <w:spacing w:before="240" w:after="240"/>
        <w:rPr>
          <w:b/>
          <w:lang w:val="es-CO" w:eastAsia="en-US"/>
        </w:rPr>
      </w:pPr>
      <w:r>
        <w:t>A continuación, se transcriben cada una de las peticiones de la empresa</w:t>
      </w:r>
      <w:r w:rsidR="002718DC">
        <w:t>,</w:t>
      </w:r>
      <w:r>
        <w:t xml:space="preserve"> y se realiza el análisis de la Comisión:</w:t>
      </w:r>
      <w:r w:rsidRPr="00084D2F">
        <w:rPr>
          <w:b/>
          <w:lang w:val="es-CO" w:eastAsia="en-US"/>
        </w:rPr>
        <w:t xml:space="preserve"> </w:t>
      </w:r>
    </w:p>
    <w:p w14:paraId="5DC38145" w14:textId="77777777" w:rsidR="00DA345A" w:rsidRDefault="00DA345A" w:rsidP="00DA345A">
      <w:pPr>
        <w:spacing w:before="240" w:after="240"/>
        <w:rPr>
          <w:b/>
          <w:lang w:val="es-CO" w:eastAsia="en-US"/>
        </w:rPr>
      </w:pPr>
      <w:r w:rsidRPr="00084D2F">
        <w:rPr>
          <w:b/>
          <w:lang w:val="es-CO" w:eastAsia="en-US"/>
        </w:rPr>
        <w:t>Primera Petición</w:t>
      </w:r>
    </w:p>
    <w:p w14:paraId="38C28CBC" w14:textId="7EE0D4F4" w:rsidR="00DA345A" w:rsidRDefault="00770E74" w:rsidP="00DA345A">
      <w:pPr>
        <w:pStyle w:val="Cita"/>
      </w:pPr>
      <w:r>
        <w:t>(…)</w:t>
      </w:r>
    </w:p>
    <w:p w14:paraId="2FE08A0A" w14:textId="51247A0D" w:rsidR="00770E74" w:rsidRPr="00770E74" w:rsidRDefault="00770E74" w:rsidP="00770E74">
      <w:pPr>
        <w:pStyle w:val="Cita"/>
      </w:pPr>
      <w:r w:rsidRPr="00770E74">
        <w:t>Con base en la resolución CREG 2018 del 202</w:t>
      </w:r>
      <w:r>
        <w:t xml:space="preserve">1 </w:t>
      </w:r>
      <w:r>
        <w:rPr>
          <w:i w:val="0"/>
          <w:iCs w:val="0"/>
        </w:rPr>
        <w:t xml:space="preserve">(Sic) </w:t>
      </w:r>
      <w:r w:rsidRPr="00770E74">
        <w:t>la Empresa de Energía del Bajo Putumayo S.A. E.S.P., en adelante EEBP, se permite realizar las siguientes peticiones:</w:t>
      </w:r>
    </w:p>
    <w:p w14:paraId="541C6225" w14:textId="77777777" w:rsidR="00770E74" w:rsidRPr="00770E74" w:rsidRDefault="00770E74" w:rsidP="00770E74">
      <w:pPr>
        <w:pStyle w:val="Cita"/>
      </w:pPr>
      <w:r w:rsidRPr="00770E74">
        <w:t>Con respecto al plan de inversiones, en el documento CREG 178 de 2021 la Comisión indica que:</w:t>
      </w:r>
    </w:p>
    <w:p w14:paraId="5FEE0E57" w14:textId="77777777" w:rsidR="00770E74" w:rsidRPr="00770E74" w:rsidRDefault="00770E74" w:rsidP="00770E74">
      <w:pPr>
        <w:pStyle w:val="Cita"/>
        <w:ind w:left="851"/>
      </w:pPr>
      <w:r w:rsidRPr="00770E74">
        <w:t>“Con la solicitud inicial el OR presentó su plan de inversiones. Dentro del plan de inversiones aparece la remodelación de la subestación la Hormiga con fecha de entrada en operación para el 2019, el inciso quinto del capítulo 14, que establece:</w:t>
      </w:r>
    </w:p>
    <w:p w14:paraId="512B486D" w14:textId="77777777" w:rsidR="00770E74" w:rsidRPr="00770E74" w:rsidRDefault="00770E74" w:rsidP="00770E74">
      <w:pPr>
        <w:pStyle w:val="Cita"/>
        <w:ind w:left="851"/>
      </w:pPr>
      <w:r w:rsidRPr="00770E74">
        <w:t>Cuando existan activos con características técnicas distintas a las de las UC establecidas, los OR podrán solicitar a la Comisión la creación de UC especiales. La solicitud debe estar acompañada de las consideraciones técnicas que justifican la creación de la UC especial, el costo detallado de cada equipo que la compone y los costos de instalación asociados. Para adquisiciones directas se debe adjuntar tres cotizaciones de suministro e instalación de los equipos que la conforman y para adquisiciones a través de concursos abiertos o licitaciones se deben enviar los documentos que acreditan su realización incluyendo los pliegos de solicitudes, términos de referencia, etc.</w:t>
      </w:r>
    </w:p>
    <w:p w14:paraId="58FBF70A" w14:textId="5B421FDF" w:rsidR="00770E74" w:rsidRDefault="00770E74" w:rsidP="00770E74">
      <w:pPr>
        <w:pStyle w:val="Ttulo1"/>
        <w:numPr>
          <w:ilvl w:val="0"/>
          <w:numId w:val="0"/>
        </w:numPr>
        <w:tabs>
          <w:tab w:val="left" w:pos="851"/>
        </w:tabs>
        <w:ind w:left="851"/>
        <w:jc w:val="both"/>
        <w:rPr>
          <w:rFonts w:eastAsia="Calibri" w:cs="Arial"/>
          <w:b w:val="0"/>
          <w:i/>
          <w:iCs/>
          <w:color w:val="000000"/>
          <w:sz w:val="20"/>
          <w:szCs w:val="22"/>
          <w:lang w:eastAsia="en-US"/>
        </w:rPr>
      </w:pPr>
      <w:r w:rsidRPr="00770E74">
        <w:rPr>
          <w:rFonts w:eastAsia="Calibri" w:cs="Arial"/>
          <w:b w:val="0"/>
          <w:i/>
          <w:iCs/>
          <w:color w:val="000000"/>
          <w:sz w:val="20"/>
          <w:szCs w:val="22"/>
          <w:lang w:eastAsia="en-US"/>
        </w:rPr>
        <w:t>Mediante las comunicaciones radicadas en la Comisión bajo los códigos CREG E-2019- 000794 y E-2019-000800, la empresa solicitó la aprobación de una unidad constructiva especial correspondiente a una compensación reactiva capacitiva de 7 MVAr con sus equipos asociados para ser ubicada en la subestación la Hormiga y adjuntó una cotización de la firma SIEMENS. Con el radicado CREG E-2021-011281 DEL 24 DE septiembre de 2021, la empresa entregó otras cotizaciones para la compensación reactiva, provenientes de las firmas JP Subestaciones &amp; Montajes S.A.S y de CINGELEC B&amp;B S.A.S. No obstante, la empresa dentro de los formatos asociados con el plan de inversiones no incluyó en la subestación La Hormiga la información completa relacionada con la UC especial solicitada, por lo cual, si bien la UC fue creada con el código N3CR5 Banco de condensadores 34.5kV, 7.0Mvar, 60/277Hz, no pudo ser incluida pues no se contó con el resto de información que se solicita en los formatos. No obstante, la mayoría de las UC solicitadas para este proyecto fueron aprobadas”</w:t>
      </w:r>
    </w:p>
    <w:p w14:paraId="3BAE7ACE" w14:textId="77777777" w:rsidR="00770E74" w:rsidRDefault="00770E74" w:rsidP="00770E74">
      <w:pPr>
        <w:pStyle w:val="Cita"/>
      </w:pPr>
      <w:r>
        <w:t>Respecto a lo indicado, si bien es cierto la empresa no incluyó en la subestación La Hormiga el banco de compensaciones, al no enviar el resto de información requerida para la solicitud de la unidad constructiva especial, se solicita se adicione dentro de la Resolución de aprobación de cargos en el marco de la Resolución CREG 015 de 2018 definitiva, tomando en consideración que se trató de una omisión involuntaria en el envío de los requisitos para la creación de dicha UC especial. El banco de compensaciones solicitado, constituye un activo de especial relevancia para la mejora tanto de la calidad en la prestación del servicio, como la calidad de la potencia en el sistema de EEBP.</w:t>
      </w:r>
    </w:p>
    <w:p w14:paraId="2FAA0774" w14:textId="77777777" w:rsidR="00770E74" w:rsidRDefault="00770E74" w:rsidP="00770E74">
      <w:pPr>
        <w:pStyle w:val="Cita"/>
      </w:pPr>
      <w:r>
        <w:t xml:space="preserve">La Subestación La Hormiga presta el servicio de energía eléctrica a aproximadamente 12.000 usuarios, dentro de los que se encuentran clientes del sector Industrial como Ecopetrol. Debido a lo anterior y con el objetivo de no comprometer la calidad de la potencia en el sistema de EEBP y evitar de esta forma afectaciones en los perfiles de tensión de cada uno </w:t>
      </w:r>
      <w:r>
        <w:lastRenderedPageBreak/>
        <w:t xml:space="preserve">de los barrajes de la subestación, es indispensable la puesta en servicio del banco de compensaciones en los activos del SDL e incluirlo dentro del plan de inversiones. </w:t>
      </w:r>
    </w:p>
    <w:p w14:paraId="12CD8C0D" w14:textId="32C8EEFA" w:rsidR="00770E74" w:rsidRDefault="00770E74" w:rsidP="00770E74">
      <w:pPr>
        <w:pStyle w:val="Cita"/>
      </w:pPr>
      <w:r>
        <w:t>Para lo anterior, se anexa el formato 5.10 donde se detalla la información de la UC especial. En la Tabla 1 se encuentra el resumen de la UC especial.</w:t>
      </w:r>
    </w:p>
    <w:p w14:paraId="0A145F2E" w14:textId="77777777" w:rsidR="00F00FF2" w:rsidRPr="00F00FF2" w:rsidRDefault="006455E8" w:rsidP="00F00FF2">
      <w:pPr>
        <w:pStyle w:val="Cita"/>
        <w:spacing w:before="0" w:after="0"/>
        <w:ind w:left="0"/>
        <w:jc w:val="center"/>
        <w:rPr>
          <w:b/>
          <w:bCs/>
        </w:rPr>
      </w:pPr>
      <w:r w:rsidRPr="00F00FF2">
        <w:rPr>
          <w:b/>
          <w:bCs/>
        </w:rPr>
        <w:t xml:space="preserve">Tabla 1 – Resumen Unidad Constructiva Especial para Banco de </w:t>
      </w:r>
    </w:p>
    <w:p w14:paraId="6184A8FC" w14:textId="136E5089" w:rsidR="006455E8" w:rsidRPr="00F00FF2" w:rsidRDefault="006455E8" w:rsidP="00F00FF2">
      <w:pPr>
        <w:pStyle w:val="Cita"/>
        <w:spacing w:before="0" w:after="0"/>
        <w:jc w:val="center"/>
        <w:rPr>
          <w:b/>
          <w:bCs/>
        </w:rPr>
      </w:pPr>
      <w:r w:rsidRPr="00F00FF2">
        <w:rPr>
          <w:b/>
          <w:bCs/>
        </w:rPr>
        <w:t>Compensación.</w:t>
      </w:r>
    </w:p>
    <w:tbl>
      <w:tblPr>
        <w:tblW w:w="7201" w:type="dxa"/>
        <w:jc w:val="center"/>
        <w:tblCellMar>
          <w:left w:w="70" w:type="dxa"/>
          <w:right w:w="70" w:type="dxa"/>
        </w:tblCellMar>
        <w:tblLook w:val="04A0" w:firstRow="1" w:lastRow="0" w:firstColumn="1" w:lastColumn="0" w:noHBand="0" w:noVBand="1"/>
      </w:tblPr>
      <w:tblGrid>
        <w:gridCol w:w="1531"/>
        <w:gridCol w:w="1531"/>
        <w:gridCol w:w="1928"/>
        <w:gridCol w:w="2211"/>
      </w:tblGrid>
      <w:tr w:rsidR="006455E8" w:rsidRPr="006455E8" w14:paraId="4886506B" w14:textId="77777777" w:rsidTr="00F00FF2">
        <w:trPr>
          <w:trHeight w:val="300"/>
          <w:jc w:val="center"/>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77DB1" w14:textId="77777777" w:rsidR="006455E8" w:rsidRPr="006455E8" w:rsidRDefault="006455E8" w:rsidP="00F00FF2">
            <w:pPr>
              <w:spacing w:before="40" w:after="40"/>
              <w:jc w:val="center"/>
              <w:rPr>
                <w:rFonts w:cs="Arial"/>
                <w:b/>
                <w:bCs/>
                <w:i/>
                <w:iCs/>
                <w:sz w:val="16"/>
                <w:szCs w:val="16"/>
                <w:lang w:eastAsia="es-CO"/>
              </w:rPr>
            </w:pPr>
            <w:r w:rsidRPr="006455E8">
              <w:rPr>
                <w:rFonts w:cs="Arial"/>
                <w:b/>
                <w:bCs/>
                <w:i/>
                <w:iCs/>
                <w:sz w:val="16"/>
                <w:szCs w:val="16"/>
                <w:lang w:eastAsia="es-CO"/>
              </w:rPr>
              <w:t>Código proyecto</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6F1DE383" w14:textId="77777777" w:rsidR="006455E8" w:rsidRPr="006455E8" w:rsidRDefault="006455E8" w:rsidP="00F00FF2">
            <w:pPr>
              <w:spacing w:before="40" w:after="40"/>
              <w:jc w:val="center"/>
              <w:rPr>
                <w:rFonts w:cs="Arial"/>
                <w:b/>
                <w:bCs/>
                <w:i/>
                <w:iCs/>
                <w:sz w:val="16"/>
                <w:szCs w:val="16"/>
                <w:lang w:eastAsia="es-CO"/>
              </w:rPr>
            </w:pPr>
            <w:r w:rsidRPr="006455E8">
              <w:rPr>
                <w:rFonts w:cs="Arial"/>
                <w:b/>
                <w:bCs/>
                <w:i/>
                <w:iCs/>
                <w:sz w:val="16"/>
                <w:szCs w:val="16"/>
                <w:lang w:eastAsia="es-CO"/>
              </w:rPr>
              <w:t>IUA provisional</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14:paraId="68AE0E3A" w14:textId="77777777" w:rsidR="006455E8" w:rsidRPr="006455E8" w:rsidRDefault="006455E8" w:rsidP="00F00FF2">
            <w:pPr>
              <w:spacing w:before="40" w:after="40"/>
              <w:jc w:val="center"/>
              <w:rPr>
                <w:rFonts w:cs="Arial"/>
                <w:b/>
                <w:bCs/>
                <w:i/>
                <w:iCs/>
                <w:sz w:val="16"/>
                <w:szCs w:val="16"/>
                <w:lang w:eastAsia="es-CO"/>
              </w:rPr>
            </w:pPr>
            <w:r w:rsidRPr="006455E8">
              <w:rPr>
                <w:rFonts w:cs="Arial"/>
                <w:b/>
                <w:bCs/>
                <w:i/>
                <w:iCs/>
                <w:sz w:val="16"/>
                <w:szCs w:val="16"/>
                <w:lang w:eastAsia="es-CO"/>
              </w:rPr>
              <w:t>Unidad Constructiva</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14:paraId="7864A7CD" w14:textId="77777777" w:rsidR="006455E8" w:rsidRPr="006455E8" w:rsidRDefault="006455E8" w:rsidP="00F00FF2">
            <w:pPr>
              <w:spacing w:before="40" w:after="40"/>
              <w:jc w:val="center"/>
              <w:rPr>
                <w:rFonts w:cs="Arial"/>
                <w:b/>
                <w:bCs/>
                <w:i/>
                <w:iCs/>
                <w:sz w:val="16"/>
                <w:szCs w:val="16"/>
                <w:lang w:eastAsia="es-CO"/>
              </w:rPr>
            </w:pPr>
            <w:r w:rsidRPr="006455E8">
              <w:rPr>
                <w:rFonts w:cs="Arial"/>
                <w:b/>
                <w:bCs/>
                <w:i/>
                <w:iCs/>
                <w:sz w:val="16"/>
                <w:szCs w:val="16"/>
                <w:lang w:eastAsia="es-CO"/>
              </w:rPr>
              <w:t>Observaciones</w:t>
            </w:r>
          </w:p>
        </w:tc>
      </w:tr>
      <w:tr w:rsidR="006455E8" w:rsidRPr="006455E8" w14:paraId="3E27CBF3" w14:textId="77777777" w:rsidTr="00F00FF2">
        <w:trPr>
          <w:trHeight w:val="300"/>
          <w:jc w:val="center"/>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63C7F6E7" w14:textId="77777777" w:rsidR="006455E8" w:rsidRPr="006455E8" w:rsidRDefault="006455E8" w:rsidP="00F00FF2">
            <w:pPr>
              <w:spacing w:before="40" w:after="40"/>
              <w:jc w:val="center"/>
              <w:rPr>
                <w:rFonts w:cs="Arial"/>
                <w:i/>
                <w:iCs/>
                <w:sz w:val="16"/>
                <w:szCs w:val="16"/>
                <w:lang w:eastAsia="es-CO"/>
              </w:rPr>
            </w:pPr>
            <w:r w:rsidRPr="006455E8">
              <w:rPr>
                <w:rFonts w:cs="Arial"/>
                <w:i/>
                <w:iCs/>
                <w:sz w:val="16"/>
                <w:szCs w:val="16"/>
                <w:lang w:eastAsia="es-CO"/>
              </w:rPr>
              <w:t>DIS.EEBP.010</w:t>
            </w:r>
          </w:p>
        </w:tc>
        <w:tc>
          <w:tcPr>
            <w:tcW w:w="1531" w:type="dxa"/>
            <w:tcBorders>
              <w:top w:val="nil"/>
              <w:left w:val="nil"/>
              <w:bottom w:val="single" w:sz="4" w:space="0" w:color="auto"/>
              <w:right w:val="single" w:sz="4" w:space="0" w:color="auto"/>
            </w:tcBorders>
            <w:shd w:val="clear" w:color="auto" w:fill="auto"/>
            <w:noWrap/>
            <w:vAlign w:val="center"/>
            <w:hideMark/>
          </w:tcPr>
          <w:p w14:paraId="0957FA8D" w14:textId="77777777" w:rsidR="006455E8" w:rsidRPr="006455E8" w:rsidRDefault="006455E8" w:rsidP="00F00FF2">
            <w:pPr>
              <w:spacing w:before="40" w:after="40"/>
              <w:jc w:val="center"/>
              <w:rPr>
                <w:rFonts w:cs="Arial"/>
                <w:i/>
                <w:iCs/>
                <w:sz w:val="16"/>
                <w:szCs w:val="16"/>
                <w:lang w:eastAsia="es-CO"/>
              </w:rPr>
            </w:pPr>
            <w:r w:rsidRPr="006455E8">
              <w:rPr>
                <w:rFonts w:cs="Arial"/>
                <w:i/>
                <w:iCs/>
                <w:sz w:val="16"/>
                <w:szCs w:val="16"/>
                <w:lang w:eastAsia="es-CO"/>
              </w:rPr>
              <w:t>10003000R000</w:t>
            </w:r>
          </w:p>
        </w:tc>
        <w:tc>
          <w:tcPr>
            <w:tcW w:w="1928" w:type="dxa"/>
            <w:tcBorders>
              <w:top w:val="nil"/>
              <w:left w:val="nil"/>
              <w:bottom w:val="single" w:sz="4" w:space="0" w:color="auto"/>
              <w:right w:val="single" w:sz="4" w:space="0" w:color="auto"/>
            </w:tcBorders>
            <w:shd w:val="clear" w:color="auto" w:fill="auto"/>
            <w:noWrap/>
            <w:vAlign w:val="center"/>
            <w:hideMark/>
          </w:tcPr>
          <w:p w14:paraId="0F33A5A7" w14:textId="77777777" w:rsidR="006455E8" w:rsidRPr="006455E8" w:rsidRDefault="006455E8" w:rsidP="00F00FF2">
            <w:pPr>
              <w:spacing w:before="40" w:after="40"/>
              <w:jc w:val="center"/>
              <w:rPr>
                <w:rFonts w:cs="Arial"/>
                <w:i/>
                <w:iCs/>
                <w:color w:val="000000"/>
                <w:sz w:val="16"/>
                <w:szCs w:val="16"/>
                <w:lang w:eastAsia="es-CO"/>
              </w:rPr>
            </w:pPr>
            <w:r w:rsidRPr="006455E8">
              <w:rPr>
                <w:rFonts w:cs="Arial"/>
                <w:i/>
                <w:iCs/>
                <w:color w:val="000000"/>
                <w:sz w:val="16"/>
                <w:szCs w:val="16"/>
                <w:lang w:eastAsia="es-CO"/>
              </w:rPr>
              <w:t>N3CR5</w:t>
            </w:r>
          </w:p>
        </w:tc>
        <w:tc>
          <w:tcPr>
            <w:tcW w:w="2211" w:type="dxa"/>
            <w:tcBorders>
              <w:top w:val="nil"/>
              <w:left w:val="nil"/>
              <w:bottom w:val="single" w:sz="4" w:space="0" w:color="auto"/>
              <w:right w:val="single" w:sz="4" w:space="0" w:color="auto"/>
            </w:tcBorders>
            <w:shd w:val="clear" w:color="auto" w:fill="auto"/>
            <w:noWrap/>
            <w:vAlign w:val="center"/>
            <w:hideMark/>
          </w:tcPr>
          <w:p w14:paraId="4B66B482" w14:textId="77777777" w:rsidR="006455E8" w:rsidRPr="006455E8" w:rsidRDefault="006455E8" w:rsidP="00F00FF2">
            <w:pPr>
              <w:spacing w:before="40" w:after="40"/>
              <w:jc w:val="center"/>
              <w:rPr>
                <w:rFonts w:cs="Arial"/>
                <w:i/>
                <w:iCs/>
                <w:sz w:val="16"/>
                <w:szCs w:val="16"/>
                <w:lang w:eastAsia="es-CO"/>
              </w:rPr>
            </w:pPr>
            <w:r w:rsidRPr="006455E8">
              <w:rPr>
                <w:rFonts w:cs="Arial"/>
                <w:i/>
                <w:iCs/>
                <w:sz w:val="16"/>
                <w:szCs w:val="16"/>
                <w:lang w:eastAsia="es-CO"/>
              </w:rPr>
              <w:t>Banco de Compensación</w:t>
            </w:r>
          </w:p>
        </w:tc>
      </w:tr>
    </w:tbl>
    <w:p w14:paraId="3066D724" w14:textId="7EEC3EAE" w:rsidR="006455E8" w:rsidRDefault="00E46C1A" w:rsidP="00E46C1A">
      <w:r>
        <w:t xml:space="preserve">Respecto a esta solicitud, se incluirá el valor y la UC </w:t>
      </w:r>
      <w:r w:rsidR="00F91625">
        <w:t xml:space="preserve">especial </w:t>
      </w:r>
      <w:r>
        <w:t>conforme con la</w:t>
      </w:r>
      <w:r w:rsidR="008C5FE5">
        <w:t>s cotizaciones re</w:t>
      </w:r>
      <w:r w:rsidR="00751633">
        <w:t>mitidas por el OR en la solicitud de ingresos</w:t>
      </w:r>
      <w:r w:rsidR="002718DC">
        <w:t>,</w:t>
      </w:r>
      <w:r w:rsidR="00751633">
        <w:t xml:space="preserve"> </w:t>
      </w:r>
      <w:r w:rsidR="008C5FE5">
        <w:t>y con la información adicional requerida por</w:t>
      </w:r>
      <w:r>
        <w:t xml:space="preserve"> </w:t>
      </w:r>
      <w:r w:rsidR="008C5FE5">
        <w:t>la Comisión</w:t>
      </w:r>
      <w:r w:rsidR="002718DC">
        <w:t>,</w:t>
      </w:r>
      <w:r w:rsidR="008C5FE5">
        <w:t xml:space="preserve"> la cual fue allegada al recurso interpuesto por la Empresa de Energía del </w:t>
      </w:r>
      <w:r w:rsidR="00751633">
        <w:t xml:space="preserve">Bajo </w:t>
      </w:r>
      <w:r w:rsidR="008C5FE5">
        <w:t>Putumayo.</w:t>
      </w:r>
    </w:p>
    <w:p w14:paraId="0936D516" w14:textId="703FBF71" w:rsidR="008C5FE5" w:rsidRPr="008C5FE5" w:rsidRDefault="008C5FE5" w:rsidP="00E46C1A">
      <w:pPr>
        <w:rPr>
          <w:b/>
          <w:bCs/>
          <w:i/>
          <w:iCs/>
        </w:rPr>
      </w:pPr>
      <w:r w:rsidRPr="008C5FE5">
        <w:rPr>
          <w:b/>
          <w:bCs/>
          <w:i/>
          <w:iCs/>
        </w:rPr>
        <w:t>Segunda Petición</w:t>
      </w:r>
    </w:p>
    <w:p w14:paraId="194A975A" w14:textId="3A028267" w:rsidR="00E46C1A" w:rsidRDefault="008C5FE5" w:rsidP="00E46C1A">
      <w:r>
        <w:t>Sobre el Sistema de Gestión de Activos la empresa dice:</w:t>
      </w:r>
    </w:p>
    <w:p w14:paraId="6DAF56A7" w14:textId="77777777" w:rsidR="008C5FE5" w:rsidRDefault="008C5FE5" w:rsidP="0073609F">
      <w:pPr>
        <w:pStyle w:val="Cita"/>
        <w:ind w:left="284"/>
      </w:pPr>
      <w:r>
        <w:t>(…) en el anexo de la Resolución CREG 218 de 2021, “Inventario reconocido INVA OR – BAJOPUTUMAYO”, en el formato 10_CC, se observa que no se reconoce la Unidad Constructiva NOP12 asociada al Sistema de Gestión de Activos, debido a que la UC no es congruente. En ese sentido, se solicita la aprobación de la Unidad Constructiva Especial para el reconocimiento de las inversiones realizadas para la implementación de la ISO 55001 del Sistema de Gestión de Activos, para lo cual se anexa nuevamente el formato 5.10, donde se describe el detalle de la descripción correspondiente.</w:t>
      </w:r>
    </w:p>
    <w:p w14:paraId="0D517F4A" w14:textId="2B1E3089" w:rsidR="008C5FE5" w:rsidRDefault="008C5FE5" w:rsidP="0073609F">
      <w:pPr>
        <w:pStyle w:val="Cita"/>
        <w:ind w:left="284"/>
      </w:pPr>
      <w:r>
        <w:t>Se anexan cotizaciones del sistema del Gestión de activos de JMD CONSULTING para la implementación de la ISO 55001 y ENERGY para la implementación del Software EAM, para la respectiva revisión y modificación de ser posible. En la Tabla 2 se encuentra el resumen de la UC especial solicitada.</w:t>
      </w:r>
    </w:p>
    <w:p w14:paraId="4038B117" w14:textId="0B901D8B" w:rsidR="00581CA2" w:rsidRPr="00581CA2" w:rsidRDefault="00581CA2" w:rsidP="0073609F">
      <w:pPr>
        <w:pStyle w:val="Cita"/>
        <w:keepNext/>
        <w:ind w:left="284"/>
        <w:jc w:val="center"/>
      </w:pPr>
      <w:r w:rsidRPr="00581CA2">
        <w:t>Tabla 2 – Resumen Unidad Constructiva Especial para el Sistema de Gestión de Activos</w:t>
      </w:r>
    </w:p>
    <w:tbl>
      <w:tblPr>
        <w:tblpPr w:leftFromText="141" w:rightFromText="141" w:vertAnchor="text" w:horzAnchor="margin" w:tblpXSpec="center" w:tblpY="156"/>
        <w:tblW w:w="7087" w:type="dxa"/>
        <w:tblCellMar>
          <w:left w:w="70" w:type="dxa"/>
          <w:right w:w="70" w:type="dxa"/>
        </w:tblCellMar>
        <w:tblLook w:val="04A0" w:firstRow="1" w:lastRow="0" w:firstColumn="1" w:lastColumn="0" w:noHBand="0" w:noVBand="1"/>
      </w:tblPr>
      <w:tblGrid>
        <w:gridCol w:w="1561"/>
        <w:gridCol w:w="1669"/>
        <w:gridCol w:w="1871"/>
        <w:gridCol w:w="2268"/>
      </w:tblGrid>
      <w:tr w:rsidR="00904180" w:rsidRPr="00B008EF" w14:paraId="5AF08D12" w14:textId="77777777" w:rsidTr="00581CA2">
        <w:trPr>
          <w:trHeight w:val="254"/>
        </w:trPr>
        <w:tc>
          <w:tcPr>
            <w:tcW w:w="1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DFA9F0" w14:textId="77777777" w:rsidR="00581CA2" w:rsidRPr="00B008EF" w:rsidRDefault="00581CA2" w:rsidP="0073609F">
            <w:pPr>
              <w:keepNext/>
              <w:ind w:left="284"/>
              <w:jc w:val="center"/>
              <w:rPr>
                <w:rFonts w:cs="Arial"/>
                <w:b/>
                <w:bCs/>
                <w:sz w:val="16"/>
                <w:szCs w:val="16"/>
                <w:lang w:eastAsia="es-CO"/>
              </w:rPr>
            </w:pPr>
            <w:r w:rsidRPr="00B008EF">
              <w:rPr>
                <w:rFonts w:cs="Arial"/>
                <w:b/>
                <w:bCs/>
                <w:sz w:val="16"/>
                <w:szCs w:val="16"/>
                <w:lang w:eastAsia="es-CO"/>
              </w:rPr>
              <w:t>Código proyecto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87344E" w14:textId="77777777" w:rsidR="00581CA2" w:rsidRPr="00B008EF" w:rsidRDefault="00581CA2" w:rsidP="0073609F">
            <w:pPr>
              <w:keepNext/>
              <w:ind w:left="284"/>
              <w:jc w:val="center"/>
              <w:rPr>
                <w:rFonts w:cs="Arial"/>
                <w:b/>
                <w:bCs/>
                <w:sz w:val="16"/>
                <w:szCs w:val="16"/>
                <w:lang w:eastAsia="es-CO"/>
              </w:rPr>
            </w:pPr>
            <w:r w:rsidRPr="00B008EF">
              <w:rPr>
                <w:rFonts w:cs="Arial"/>
                <w:b/>
                <w:bCs/>
                <w:sz w:val="16"/>
                <w:szCs w:val="16"/>
              </w:rPr>
              <w:t>IUA provisional</w:t>
            </w:r>
          </w:p>
        </w:tc>
        <w:tc>
          <w:tcPr>
            <w:tcW w:w="18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EE5F31" w14:textId="77777777" w:rsidR="00581CA2" w:rsidRPr="00B008EF" w:rsidRDefault="00581CA2" w:rsidP="0073609F">
            <w:pPr>
              <w:keepNext/>
              <w:ind w:left="284"/>
              <w:jc w:val="center"/>
              <w:rPr>
                <w:rFonts w:cs="Arial"/>
                <w:b/>
                <w:bCs/>
                <w:sz w:val="16"/>
                <w:szCs w:val="16"/>
                <w:lang w:eastAsia="es-CO"/>
              </w:rPr>
            </w:pPr>
            <w:r w:rsidRPr="00B008EF">
              <w:rPr>
                <w:rFonts w:cs="Arial"/>
                <w:b/>
                <w:bCs/>
                <w:sz w:val="16"/>
                <w:szCs w:val="16"/>
                <w:lang w:eastAsia="es-CO"/>
              </w:rPr>
              <w:t>Unidad Constructiva</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C69FE3" w14:textId="77777777" w:rsidR="00581CA2" w:rsidRPr="00B008EF" w:rsidRDefault="00581CA2" w:rsidP="0073609F">
            <w:pPr>
              <w:keepNext/>
              <w:ind w:left="284"/>
              <w:jc w:val="center"/>
              <w:rPr>
                <w:rFonts w:cs="Arial"/>
                <w:b/>
                <w:bCs/>
                <w:sz w:val="16"/>
                <w:szCs w:val="16"/>
                <w:lang w:eastAsia="es-CO"/>
              </w:rPr>
            </w:pPr>
            <w:r w:rsidRPr="00B008EF">
              <w:rPr>
                <w:rFonts w:cs="Arial"/>
                <w:b/>
                <w:bCs/>
                <w:sz w:val="16"/>
                <w:szCs w:val="16"/>
                <w:lang w:eastAsia="es-CO"/>
              </w:rPr>
              <w:t>Observaciones</w:t>
            </w:r>
          </w:p>
        </w:tc>
      </w:tr>
      <w:tr w:rsidR="00581CA2" w:rsidRPr="00B008EF" w14:paraId="59C5C137" w14:textId="77777777" w:rsidTr="00581CA2">
        <w:trPr>
          <w:trHeight w:val="254"/>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960E1ED"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DIS.EEBP.010</w:t>
            </w:r>
          </w:p>
        </w:tc>
        <w:tc>
          <w:tcPr>
            <w:tcW w:w="1417" w:type="dxa"/>
            <w:tcBorders>
              <w:top w:val="nil"/>
              <w:left w:val="nil"/>
              <w:bottom w:val="single" w:sz="4" w:space="0" w:color="auto"/>
              <w:right w:val="single" w:sz="4" w:space="0" w:color="auto"/>
            </w:tcBorders>
            <w:shd w:val="clear" w:color="auto" w:fill="auto"/>
            <w:noWrap/>
            <w:vAlign w:val="center"/>
            <w:hideMark/>
          </w:tcPr>
          <w:p w14:paraId="74C81AA2" w14:textId="77777777" w:rsidR="00581CA2" w:rsidRPr="00B008EF" w:rsidRDefault="00581CA2" w:rsidP="0073609F">
            <w:pPr>
              <w:spacing w:before="0" w:after="0"/>
              <w:ind w:left="284"/>
              <w:rPr>
                <w:rFonts w:cs="Arial"/>
                <w:sz w:val="16"/>
                <w:szCs w:val="16"/>
                <w:lang w:eastAsia="es-CO"/>
              </w:rPr>
            </w:pPr>
            <w:r w:rsidRPr="00B008EF">
              <w:rPr>
                <w:rFonts w:cs="Arial"/>
                <w:sz w:val="16"/>
                <w:szCs w:val="16"/>
              </w:rPr>
              <w:t>10001001V000</w:t>
            </w:r>
          </w:p>
        </w:tc>
        <w:tc>
          <w:tcPr>
            <w:tcW w:w="1871" w:type="dxa"/>
            <w:tcBorders>
              <w:top w:val="nil"/>
              <w:left w:val="nil"/>
              <w:bottom w:val="single" w:sz="4" w:space="0" w:color="auto"/>
              <w:right w:val="single" w:sz="4" w:space="0" w:color="auto"/>
            </w:tcBorders>
            <w:shd w:val="clear" w:color="auto" w:fill="auto"/>
            <w:noWrap/>
            <w:vAlign w:val="bottom"/>
            <w:hideMark/>
          </w:tcPr>
          <w:p w14:paraId="3BB2BB61" w14:textId="77777777" w:rsidR="00581CA2" w:rsidRPr="00B008EF" w:rsidRDefault="00581CA2" w:rsidP="0073609F">
            <w:pPr>
              <w:spacing w:before="0" w:after="0"/>
              <w:ind w:left="284"/>
              <w:rPr>
                <w:rFonts w:cs="Arial"/>
                <w:color w:val="000000"/>
                <w:sz w:val="16"/>
                <w:szCs w:val="16"/>
                <w:lang w:eastAsia="es-CO"/>
              </w:rPr>
            </w:pPr>
            <w:r w:rsidRPr="00B008EF">
              <w:rPr>
                <w:rFonts w:cs="Arial"/>
                <w:color w:val="000000"/>
                <w:sz w:val="16"/>
                <w:szCs w:val="16"/>
                <w:lang w:eastAsia="es-CO"/>
              </w:rPr>
              <w:t>N0P14E1</w:t>
            </w:r>
          </w:p>
        </w:tc>
        <w:tc>
          <w:tcPr>
            <w:tcW w:w="2268" w:type="dxa"/>
            <w:tcBorders>
              <w:top w:val="nil"/>
              <w:left w:val="nil"/>
              <w:bottom w:val="single" w:sz="4" w:space="0" w:color="auto"/>
              <w:right w:val="single" w:sz="4" w:space="0" w:color="auto"/>
            </w:tcBorders>
            <w:shd w:val="clear" w:color="auto" w:fill="auto"/>
            <w:noWrap/>
            <w:vAlign w:val="center"/>
            <w:hideMark/>
          </w:tcPr>
          <w:p w14:paraId="52CB3BE6"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Sistema Gestión de Activos</w:t>
            </w:r>
          </w:p>
        </w:tc>
      </w:tr>
      <w:tr w:rsidR="00581CA2" w:rsidRPr="00B008EF" w14:paraId="38C41E7B" w14:textId="77777777" w:rsidTr="00581CA2">
        <w:trPr>
          <w:trHeight w:val="254"/>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129252F2"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DIS.EEBP.010</w:t>
            </w:r>
          </w:p>
        </w:tc>
        <w:tc>
          <w:tcPr>
            <w:tcW w:w="1417" w:type="dxa"/>
            <w:tcBorders>
              <w:top w:val="nil"/>
              <w:left w:val="nil"/>
              <w:bottom w:val="single" w:sz="4" w:space="0" w:color="auto"/>
              <w:right w:val="single" w:sz="4" w:space="0" w:color="auto"/>
            </w:tcBorders>
            <w:shd w:val="clear" w:color="auto" w:fill="auto"/>
            <w:noWrap/>
            <w:vAlign w:val="bottom"/>
            <w:hideMark/>
          </w:tcPr>
          <w:p w14:paraId="1284B9FA" w14:textId="77777777" w:rsidR="00581CA2" w:rsidRPr="00B008EF" w:rsidRDefault="00581CA2" w:rsidP="0073609F">
            <w:pPr>
              <w:spacing w:before="0" w:after="0"/>
              <w:ind w:left="284"/>
              <w:rPr>
                <w:rFonts w:cs="Arial"/>
                <w:sz w:val="16"/>
                <w:szCs w:val="16"/>
                <w:lang w:eastAsia="es-CO"/>
              </w:rPr>
            </w:pPr>
            <w:r w:rsidRPr="00B008EF">
              <w:rPr>
                <w:rFonts w:cs="Arial"/>
                <w:sz w:val="16"/>
                <w:szCs w:val="16"/>
              </w:rPr>
              <w:t>10001001W000</w:t>
            </w:r>
          </w:p>
        </w:tc>
        <w:tc>
          <w:tcPr>
            <w:tcW w:w="1871" w:type="dxa"/>
            <w:tcBorders>
              <w:top w:val="nil"/>
              <w:left w:val="nil"/>
              <w:bottom w:val="single" w:sz="4" w:space="0" w:color="auto"/>
              <w:right w:val="single" w:sz="4" w:space="0" w:color="auto"/>
            </w:tcBorders>
            <w:shd w:val="clear" w:color="auto" w:fill="auto"/>
            <w:noWrap/>
            <w:vAlign w:val="bottom"/>
            <w:hideMark/>
          </w:tcPr>
          <w:p w14:paraId="08DF57CF"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N0P14E2</w:t>
            </w:r>
          </w:p>
        </w:tc>
        <w:tc>
          <w:tcPr>
            <w:tcW w:w="2268" w:type="dxa"/>
            <w:tcBorders>
              <w:top w:val="nil"/>
              <w:left w:val="nil"/>
              <w:bottom w:val="single" w:sz="4" w:space="0" w:color="auto"/>
              <w:right w:val="single" w:sz="4" w:space="0" w:color="auto"/>
            </w:tcBorders>
            <w:shd w:val="clear" w:color="auto" w:fill="auto"/>
            <w:noWrap/>
            <w:vAlign w:val="bottom"/>
            <w:hideMark/>
          </w:tcPr>
          <w:p w14:paraId="7B384536"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Sistema Gestión de Activos</w:t>
            </w:r>
          </w:p>
        </w:tc>
      </w:tr>
      <w:tr w:rsidR="00581CA2" w:rsidRPr="00B008EF" w14:paraId="092CBDB4" w14:textId="77777777" w:rsidTr="00581CA2">
        <w:trPr>
          <w:trHeight w:val="254"/>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56D223E2"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DIS.EEBP.010</w:t>
            </w:r>
          </w:p>
        </w:tc>
        <w:tc>
          <w:tcPr>
            <w:tcW w:w="1417" w:type="dxa"/>
            <w:tcBorders>
              <w:top w:val="nil"/>
              <w:left w:val="nil"/>
              <w:bottom w:val="single" w:sz="4" w:space="0" w:color="auto"/>
              <w:right w:val="single" w:sz="4" w:space="0" w:color="auto"/>
            </w:tcBorders>
            <w:shd w:val="clear" w:color="auto" w:fill="auto"/>
            <w:noWrap/>
            <w:vAlign w:val="bottom"/>
            <w:hideMark/>
          </w:tcPr>
          <w:p w14:paraId="56B76EB7" w14:textId="77777777" w:rsidR="00581CA2" w:rsidRPr="00B008EF" w:rsidRDefault="00581CA2" w:rsidP="0073609F">
            <w:pPr>
              <w:spacing w:before="0" w:after="0"/>
              <w:ind w:left="284"/>
              <w:rPr>
                <w:rFonts w:cs="Arial"/>
                <w:sz w:val="16"/>
                <w:szCs w:val="16"/>
                <w:lang w:eastAsia="es-CO"/>
              </w:rPr>
            </w:pPr>
            <w:r w:rsidRPr="00B008EF">
              <w:rPr>
                <w:rFonts w:cs="Arial"/>
                <w:sz w:val="16"/>
                <w:szCs w:val="16"/>
              </w:rPr>
              <w:t>10001001X000</w:t>
            </w:r>
          </w:p>
        </w:tc>
        <w:tc>
          <w:tcPr>
            <w:tcW w:w="1871" w:type="dxa"/>
            <w:tcBorders>
              <w:top w:val="nil"/>
              <w:left w:val="nil"/>
              <w:bottom w:val="single" w:sz="4" w:space="0" w:color="auto"/>
              <w:right w:val="single" w:sz="4" w:space="0" w:color="auto"/>
            </w:tcBorders>
            <w:shd w:val="clear" w:color="auto" w:fill="auto"/>
            <w:noWrap/>
            <w:vAlign w:val="bottom"/>
            <w:hideMark/>
          </w:tcPr>
          <w:p w14:paraId="561F459C"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N0P14E3</w:t>
            </w:r>
          </w:p>
        </w:tc>
        <w:tc>
          <w:tcPr>
            <w:tcW w:w="2268" w:type="dxa"/>
            <w:tcBorders>
              <w:top w:val="nil"/>
              <w:left w:val="nil"/>
              <w:bottom w:val="single" w:sz="4" w:space="0" w:color="auto"/>
              <w:right w:val="single" w:sz="4" w:space="0" w:color="auto"/>
            </w:tcBorders>
            <w:shd w:val="clear" w:color="auto" w:fill="auto"/>
            <w:noWrap/>
            <w:vAlign w:val="bottom"/>
            <w:hideMark/>
          </w:tcPr>
          <w:p w14:paraId="08BE576E"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Sistema Gestión de Activos</w:t>
            </w:r>
          </w:p>
        </w:tc>
      </w:tr>
      <w:tr w:rsidR="00581CA2" w:rsidRPr="00B008EF" w14:paraId="34B530AC" w14:textId="77777777" w:rsidTr="00581CA2">
        <w:trPr>
          <w:trHeight w:val="254"/>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14765259"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DIS.EEBP.010</w:t>
            </w:r>
          </w:p>
        </w:tc>
        <w:tc>
          <w:tcPr>
            <w:tcW w:w="1417" w:type="dxa"/>
            <w:tcBorders>
              <w:top w:val="nil"/>
              <w:left w:val="nil"/>
              <w:bottom w:val="single" w:sz="4" w:space="0" w:color="auto"/>
              <w:right w:val="single" w:sz="4" w:space="0" w:color="auto"/>
            </w:tcBorders>
            <w:shd w:val="clear" w:color="auto" w:fill="auto"/>
            <w:noWrap/>
            <w:vAlign w:val="bottom"/>
            <w:hideMark/>
          </w:tcPr>
          <w:p w14:paraId="1A41DD67" w14:textId="77777777" w:rsidR="00581CA2" w:rsidRPr="00B008EF" w:rsidRDefault="00581CA2" w:rsidP="0073609F">
            <w:pPr>
              <w:spacing w:before="0" w:after="0"/>
              <w:ind w:left="284"/>
              <w:rPr>
                <w:rFonts w:cs="Arial"/>
                <w:sz w:val="16"/>
                <w:szCs w:val="16"/>
                <w:lang w:eastAsia="es-CO"/>
              </w:rPr>
            </w:pPr>
            <w:r w:rsidRPr="00B008EF">
              <w:rPr>
                <w:rFonts w:cs="Arial"/>
                <w:sz w:val="16"/>
                <w:szCs w:val="16"/>
              </w:rPr>
              <w:t>10001001Y000</w:t>
            </w:r>
          </w:p>
        </w:tc>
        <w:tc>
          <w:tcPr>
            <w:tcW w:w="1871" w:type="dxa"/>
            <w:tcBorders>
              <w:top w:val="nil"/>
              <w:left w:val="nil"/>
              <w:bottom w:val="single" w:sz="4" w:space="0" w:color="auto"/>
              <w:right w:val="single" w:sz="4" w:space="0" w:color="auto"/>
            </w:tcBorders>
            <w:shd w:val="clear" w:color="auto" w:fill="auto"/>
            <w:noWrap/>
            <w:vAlign w:val="bottom"/>
            <w:hideMark/>
          </w:tcPr>
          <w:p w14:paraId="6BD76D51"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N0P14E4</w:t>
            </w:r>
          </w:p>
        </w:tc>
        <w:tc>
          <w:tcPr>
            <w:tcW w:w="2268" w:type="dxa"/>
            <w:tcBorders>
              <w:top w:val="nil"/>
              <w:left w:val="nil"/>
              <w:bottom w:val="single" w:sz="4" w:space="0" w:color="auto"/>
              <w:right w:val="single" w:sz="4" w:space="0" w:color="auto"/>
            </w:tcBorders>
            <w:shd w:val="clear" w:color="auto" w:fill="auto"/>
            <w:noWrap/>
            <w:vAlign w:val="bottom"/>
            <w:hideMark/>
          </w:tcPr>
          <w:p w14:paraId="42899F68"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Sistema Gestión de Activos</w:t>
            </w:r>
          </w:p>
        </w:tc>
      </w:tr>
      <w:tr w:rsidR="00581CA2" w:rsidRPr="00B008EF" w14:paraId="26F7CAA3" w14:textId="77777777" w:rsidTr="00581CA2">
        <w:trPr>
          <w:trHeight w:val="254"/>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261912CC"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DIS.EEBP.010</w:t>
            </w:r>
          </w:p>
        </w:tc>
        <w:tc>
          <w:tcPr>
            <w:tcW w:w="1417" w:type="dxa"/>
            <w:tcBorders>
              <w:top w:val="nil"/>
              <w:left w:val="nil"/>
              <w:bottom w:val="single" w:sz="4" w:space="0" w:color="auto"/>
              <w:right w:val="single" w:sz="4" w:space="0" w:color="auto"/>
            </w:tcBorders>
            <w:shd w:val="clear" w:color="auto" w:fill="auto"/>
            <w:noWrap/>
            <w:vAlign w:val="bottom"/>
            <w:hideMark/>
          </w:tcPr>
          <w:p w14:paraId="2AF2ED8F" w14:textId="77777777" w:rsidR="00581CA2" w:rsidRPr="00B008EF" w:rsidRDefault="00581CA2" w:rsidP="0073609F">
            <w:pPr>
              <w:spacing w:before="0" w:after="0"/>
              <w:ind w:left="284"/>
              <w:rPr>
                <w:rFonts w:cs="Arial"/>
                <w:sz w:val="16"/>
                <w:szCs w:val="16"/>
                <w:lang w:eastAsia="es-CO"/>
              </w:rPr>
            </w:pPr>
            <w:r w:rsidRPr="00B008EF">
              <w:rPr>
                <w:rFonts w:cs="Arial"/>
                <w:sz w:val="16"/>
                <w:szCs w:val="16"/>
              </w:rPr>
              <w:t>10001001Z000</w:t>
            </w:r>
          </w:p>
        </w:tc>
        <w:tc>
          <w:tcPr>
            <w:tcW w:w="1871" w:type="dxa"/>
            <w:tcBorders>
              <w:top w:val="nil"/>
              <w:left w:val="nil"/>
              <w:bottom w:val="single" w:sz="4" w:space="0" w:color="auto"/>
              <w:right w:val="single" w:sz="4" w:space="0" w:color="auto"/>
            </w:tcBorders>
            <w:shd w:val="clear" w:color="auto" w:fill="auto"/>
            <w:noWrap/>
            <w:vAlign w:val="bottom"/>
            <w:hideMark/>
          </w:tcPr>
          <w:p w14:paraId="44904B6F"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N0P14E5</w:t>
            </w:r>
          </w:p>
        </w:tc>
        <w:tc>
          <w:tcPr>
            <w:tcW w:w="2268" w:type="dxa"/>
            <w:tcBorders>
              <w:top w:val="nil"/>
              <w:left w:val="nil"/>
              <w:bottom w:val="single" w:sz="4" w:space="0" w:color="auto"/>
              <w:right w:val="single" w:sz="4" w:space="0" w:color="auto"/>
            </w:tcBorders>
            <w:shd w:val="clear" w:color="auto" w:fill="auto"/>
            <w:noWrap/>
            <w:vAlign w:val="bottom"/>
            <w:hideMark/>
          </w:tcPr>
          <w:p w14:paraId="6EAABBE9" w14:textId="77777777" w:rsidR="00581CA2" w:rsidRPr="00B008EF" w:rsidRDefault="00581CA2" w:rsidP="0073609F">
            <w:pPr>
              <w:spacing w:before="0" w:after="0"/>
              <w:ind w:left="284"/>
              <w:rPr>
                <w:rFonts w:cs="Arial"/>
                <w:sz w:val="16"/>
                <w:szCs w:val="16"/>
                <w:lang w:eastAsia="es-CO"/>
              </w:rPr>
            </w:pPr>
            <w:r w:rsidRPr="00B008EF">
              <w:rPr>
                <w:rFonts w:cs="Arial"/>
                <w:sz w:val="16"/>
                <w:szCs w:val="16"/>
                <w:lang w:eastAsia="es-CO"/>
              </w:rPr>
              <w:t>Sistema Gestión de Activos</w:t>
            </w:r>
          </w:p>
        </w:tc>
      </w:tr>
    </w:tbl>
    <w:p w14:paraId="6EB7C659" w14:textId="77777777" w:rsidR="00904180" w:rsidRDefault="00904180" w:rsidP="0073609F">
      <w:pPr>
        <w:ind w:left="284"/>
        <w:rPr>
          <w:lang w:val="es-CO" w:eastAsia="en-US"/>
        </w:rPr>
      </w:pPr>
    </w:p>
    <w:p w14:paraId="3100782D" w14:textId="77777777" w:rsidR="00904180" w:rsidRDefault="00904180" w:rsidP="0073609F">
      <w:pPr>
        <w:ind w:left="284"/>
        <w:rPr>
          <w:lang w:val="es-CO" w:eastAsia="en-US"/>
        </w:rPr>
      </w:pPr>
    </w:p>
    <w:p w14:paraId="332B9973" w14:textId="77777777" w:rsidR="00904180" w:rsidRDefault="00904180" w:rsidP="0073609F">
      <w:pPr>
        <w:ind w:left="284"/>
        <w:rPr>
          <w:lang w:val="es-CO" w:eastAsia="en-US"/>
        </w:rPr>
      </w:pPr>
    </w:p>
    <w:p w14:paraId="6C163278" w14:textId="77777777" w:rsidR="00904180" w:rsidRDefault="00904180" w:rsidP="0073609F">
      <w:pPr>
        <w:ind w:left="284"/>
        <w:rPr>
          <w:lang w:val="es-CO" w:eastAsia="en-US"/>
        </w:rPr>
      </w:pPr>
    </w:p>
    <w:p w14:paraId="1D28534F" w14:textId="77777777" w:rsidR="00904180" w:rsidRDefault="00904180" w:rsidP="0073609F">
      <w:pPr>
        <w:ind w:left="284"/>
        <w:rPr>
          <w:lang w:val="es-CO" w:eastAsia="en-US"/>
        </w:rPr>
      </w:pPr>
    </w:p>
    <w:p w14:paraId="04B7EF83" w14:textId="77777777" w:rsidR="002718DC" w:rsidRDefault="002718DC" w:rsidP="002718DC">
      <w:pPr>
        <w:pStyle w:val="Cita"/>
        <w:ind w:left="284"/>
      </w:pPr>
    </w:p>
    <w:p w14:paraId="159CEB15" w14:textId="77777777" w:rsidR="002718DC" w:rsidRDefault="002718DC" w:rsidP="002718DC">
      <w:pPr>
        <w:pStyle w:val="Cita"/>
        <w:ind w:left="284"/>
      </w:pPr>
    </w:p>
    <w:p w14:paraId="7A917EEC" w14:textId="1F6C3794" w:rsidR="00904180" w:rsidRPr="00904180" w:rsidRDefault="00904180" w:rsidP="0073609F">
      <w:pPr>
        <w:pStyle w:val="Cita"/>
        <w:ind w:left="284"/>
      </w:pPr>
      <w:r w:rsidRPr="00904180">
        <w:t xml:space="preserve">Siendo así, respetuosamente se solicita se sirva adicionar la unidad constructiva especial creada con el código N3CR5 Banco de condensadores 34.5kV, 7.0Mvar, 60/277Hz, y modificar la Unidad Constructiva NOP12 asociada al Sistema de Gestión de Activos. Se anexa el formato 5.10 con las especificaciones para la creación de las unidades constructivas especiales. </w:t>
      </w:r>
    </w:p>
    <w:p w14:paraId="6CE8B2D9" w14:textId="3FF32E97" w:rsidR="00904180" w:rsidRDefault="00904180" w:rsidP="00DA345A">
      <w:pPr>
        <w:rPr>
          <w:lang w:val="es-CO" w:eastAsia="en-US"/>
        </w:rPr>
      </w:pPr>
      <w:r>
        <w:rPr>
          <w:lang w:val="es-CO" w:eastAsia="en-US"/>
        </w:rPr>
        <w:t>Posteriormente, mediante el radicado CREG E-2022</w:t>
      </w:r>
      <w:r w:rsidR="00E957EA">
        <w:rPr>
          <w:lang w:val="es-CO" w:eastAsia="en-US"/>
        </w:rPr>
        <w:t>-00</w:t>
      </w:r>
      <w:r w:rsidR="00A31541">
        <w:rPr>
          <w:lang w:val="es-CO" w:eastAsia="en-US"/>
        </w:rPr>
        <w:t>3110</w:t>
      </w:r>
      <w:r w:rsidR="002718DC">
        <w:rPr>
          <w:lang w:val="es-CO" w:eastAsia="en-US"/>
        </w:rPr>
        <w:t>,</w:t>
      </w:r>
      <w:r w:rsidR="00E957EA">
        <w:rPr>
          <w:lang w:val="es-CO" w:eastAsia="en-US"/>
        </w:rPr>
        <w:t xml:space="preserve"> la empresa entregó información adicional para considerar dentro de las UC especiales a </w:t>
      </w:r>
      <w:r w:rsidR="00A31541">
        <w:rPr>
          <w:lang w:val="es-CO" w:eastAsia="en-US"/>
        </w:rPr>
        <w:t xml:space="preserve">tener en cuenta </w:t>
      </w:r>
      <w:r w:rsidR="00E957EA">
        <w:rPr>
          <w:lang w:val="es-CO" w:eastAsia="en-US"/>
        </w:rPr>
        <w:t>con el sistema de gestión de activos</w:t>
      </w:r>
      <w:r w:rsidR="006542D2">
        <w:rPr>
          <w:lang w:val="es-CO" w:eastAsia="en-US"/>
        </w:rPr>
        <w:t>.</w:t>
      </w:r>
    </w:p>
    <w:p w14:paraId="409DC713" w14:textId="6C53AEE1" w:rsidR="006542D2" w:rsidRDefault="006542D2" w:rsidP="006542D2">
      <w:r>
        <w:t xml:space="preserve">Respecto de la solicitud, es necesario aclarar que, la empresa con el recurso allegó el documento: </w:t>
      </w:r>
      <w:r w:rsidRPr="00FE76D4">
        <w:t xml:space="preserve">Diagnóstico sistema de Gestión de Activos de EEBP y </w:t>
      </w:r>
      <w:r>
        <w:t xml:space="preserve">dos cotizaciones para el </w:t>
      </w:r>
      <w:r w:rsidRPr="00FE76D4">
        <w:t>Proyecto Implementación Ítem 4, 5 y 6 NORMA ISO 55001:2014</w:t>
      </w:r>
      <w:r w:rsidR="004F6E76">
        <w:t>.</w:t>
      </w:r>
    </w:p>
    <w:p w14:paraId="6E780EA4" w14:textId="4BD644A4" w:rsidR="004F6E76" w:rsidRDefault="004F6E76" w:rsidP="00DA345A">
      <w:pPr>
        <w:rPr>
          <w:lang w:val="es-CO" w:eastAsia="en-US"/>
        </w:rPr>
      </w:pPr>
      <w:r>
        <w:rPr>
          <w:lang w:val="es-CO" w:eastAsia="en-US"/>
        </w:rPr>
        <w:lastRenderedPageBreak/>
        <w:t xml:space="preserve">Sobre este </w:t>
      </w:r>
      <w:r w:rsidR="00B45546">
        <w:rPr>
          <w:lang w:val="es-CO" w:eastAsia="en-US"/>
        </w:rPr>
        <w:t>aspecto</w:t>
      </w:r>
      <w:r>
        <w:rPr>
          <w:lang w:val="es-CO" w:eastAsia="en-US"/>
        </w:rPr>
        <w:t xml:space="preserve"> es importante </w:t>
      </w:r>
      <w:r w:rsidR="00B12E79">
        <w:rPr>
          <w:lang w:val="es-CO" w:eastAsia="en-US"/>
        </w:rPr>
        <w:t>resaltar</w:t>
      </w:r>
      <w:r>
        <w:rPr>
          <w:lang w:val="es-CO" w:eastAsia="en-US"/>
        </w:rPr>
        <w:t xml:space="preserve"> que todo lo que tiene que ver con los diagnósticos</w:t>
      </w:r>
      <w:r w:rsidR="00AF5F29">
        <w:rPr>
          <w:lang w:val="es-CO" w:eastAsia="en-US"/>
        </w:rPr>
        <w:t>,</w:t>
      </w:r>
      <w:r>
        <w:rPr>
          <w:lang w:val="es-CO" w:eastAsia="en-US"/>
        </w:rPr>
        <w:t xml:space="preserve"> capacitaciones</w:t>
      </w:r>
      <w:r w:rsidR="00AF5F29">
        <w:rPr>
          <w:lang w:val="es-CO" w:eastAsia="en-US"/>
        </w:rPr>
        <w:t>,</w:t>
      </w:r>
      <w:r>
        <w:rPr>
          <w:lang w:val="es-CO" w:eastAsia="en-US"/>
        </w:rPr>
        <w:t xml:space="preserve"> aspectos de planeación del sistema de gestión de activos</w:t>
      </w:r>
      <w:r w:rsidR="00A31541">
        <w:rPr>
          <w:lang w:val="es-CO" w:eastAsia="en-US"/>
        </w:rPr>
        <w:t xml:space="preserve">, así como, las consultorías requeridas </w:t>
      </w:r>
      <w:r>
        <w:rPr>
          <w:lang w:val="es-CO" w:eastAsia="en-US"/>
        </w:rPr>
        <w:t xml:space="preserve">se </w:t>
      </w:r>
      <w:r w:rsidR="00A31541">
        <w:rPr>
          <w:lang w:val="es-CO" w:eastAsia="en-US"/>
        </w:rPr>
        <w:t>consideraron para todos los Operadores de Red como</w:t>
      </w:r>
      <w:r>
        <w:rPr>
          <w:lang w:val="es-CO" w:eastAsia="en-US"/>
        </w:rPr>
        <w:t xml:space="preserve"> cubierto</w:t>
      </w:r>
      <w:r w:rsidR="00A31541">
        <w:rPr>
          <w:lang w:val="es-CO" w:eastAsia="en-US"/>
        </w:rPr>
        <w:t>s</w:t>
      </w:r>
      <w:r>
        <w:rPr>
          <w:lang w:val="es-CO" w:eastAsia="en-US"/>
        </w:rPr>
        <w:t xml:space="preserve"> por el rubro de AOM</w:t>
      </w:r>
      <w:r w:rsidR="00E34497">
        <w:rPr>
          <w:lang w:val="es-CO" w:eastAsia="en-US"/>
        </w:rPr>
        <w:t>.</w:t>
      </w:r>
      <w:r>
        <w:rPr>
          <w:lang w:val="es-CO" w:eastAsia="en-US"/>
        </w:rPr>
        <w:t xml:space="preserve"> </w:t>
      </w:r>
      <w:r w:rsidR="00E34497">
        <w:rPr>
          <w:lang w:val="es-CO" w:eastAsia="en-US"/>
        </w:rPr>
        <w:t>L</w:t>
      </w:r>
      <w:r>
        <w:rPr>
          <w:lang w:val="es-CO" w:eastAsia="en-US"/>
        </w:rPr>
        <w:t xml:space="preserve">o que tiene que ver con inversión es lo que </w:t>
      </w:r>
      <w:r w:rsidR="00A31541">
        <w:rPr>
          <w:lang w:val="es-CO" w:eastAsia="en-US"/>
        </w:rPr>
        <w:t xml:space="preserve">se estaría reconociendo </w:t>
      </w:r>
      <w:r w:rsidR="00AF5F29">
        <w:rPr>
          <w:lang w:val="es-CO" w:eastAsia="en-US"/>
        </w:rPr>
        <w:t>con la creación de unidades constructivas especiales</w:t>
      </w:r>
      <w:r w:rsidR="00B12E79">
        <w:rPr>
          <w:lang w:val="es-CO" w:eastAsia="en-US"/>
        </w:rPr>
        <w:t xml:space="preserve"> para el sistema de gestión </w:t>
      </w:r>
      <w:r w:rsidR="00E34497">
        <w:rPr>
          <w:lang w:val="es-CO" w:eastAsia="en-US"/>
        </w:rPr>
        <w:t>d</w:t>
      </w:r>
      <w:r w:rsidR="00B12E79">
        <w:rPr>
          <w:lang w:val="es-CO" w:eastAsia="en-US"/>
        </w:rPr>
        <w:t>e activos</w:t>
      </w:r>
      <w:r w:rsidR="00AF5F29">
        <w:rPr>
          <w:lang w:val="es-CO" w:eastAsia="en-US"/>
        </w:rPr>
        <w:t>.</w:t>
      </w:r>
      <w:r>
        <w:rPr>
          <w:lang w:val="es-CO" w:eastAsia="en-US"/>
        </w:rPr>
        <w:t xml:space="preserve"> </w:t>
      </w:r>
    </w:p>
    <w:p w14:paraId="4C8FB84A" w14:textId="73057FA5" w:rsidR="006542D2" w:rsidRDefault="004F6E76" w:rsidP="00DA345A">
      <w:pPr>
        <w:rPr>
          <w:lang w:val="es-CO" w:eastAsia="en-US"/>
        </w:rPr>
      </w:pPr>
      <w:r>
        <w:rPr>
          <w:lang w:val="es-CO" w:eastAsia="en-US"/>
        </w:rPr>
        <w:t>Con base en la información reportada por la Empresa de Energía del Bajo Putumayo</w:t>
      </w:r>
      <w:r w:rsidR="00E62983">
        <w:rPr>
          <w:lang w:val="es-CO" w:eastAsia="en-US"/>
        </w:rPr>
        <w:t xml:space="preserve"> S.A. E.S.P.</w:t>
      </w:r>
      <w:r>
        <w:rPr>
          <w:lang w:val="es-CO" w:eastAsia="en-US"/>
        </w:rPr>
        <w:t xml:space="preserve">, se asume que la cifra solicitada en el Plan de inversiones </w:t>
      </w:r>
      <w:r w:rsidR="00B12E79">
        <w:rPr>
          <w:lang w:val="es-CO" w:eastAsia="en-US"/>
        </w:rPr>
        <w:t>inicial</w:t>
      </w:r>
      <w:r>
        <w:rPr>
          <w:lang w:val="es-CO" w:eastAsia="en-US"/>
        </w:rPr>
        <w:t xml:space="preserve"> corresponde al componente de inversión y</w:t>
      </w:r>
      <w:r w:rsidR="00E62983">
        <w:rPr>
          <w:lang w:val="es-CO" w:eastAsia="en-US"/>
        </w:rPr>
        <w:t>,</w:t>
      </w:r>
      <w:r>
        <w:rPr>
          <w:lang w:val="es-CO" w:eastAsia="en-US"/>
        </w:rPr>
        <w:t xml:space="preserve"> por tanto</w:t>
      </w:r>
      <w:r w:rsidR="00E62983">
        <w:rPr>
          <w:lang w:val="es-CO" w:eastAsia="en-US"/>
        </w:rPr>
        <w:t>,</w:t>
      </w:r>
      <w:r>
        <w:rPr>
          <w:lang w:val="es-CO" w:eastAsia="en-US"/>
        </w:rPr>
        <w:t xml:space="preserve"> se crea la UC Especial </w:t>
      </w:r>
      <w:r w:rsidR="00AF5F29">
        <w:rPr>
          <w:lang w:val="es-CO" w:eastAsia="en-US"/>
        </w:rPr>
        <w:t xml:space="preserve">N0P95: </w:t>
      </w:r>
      <w:r w:rsidR="00AF5F29" w:rsidRPr="00AF5F29">
        <w:rPr>
          <w:lang w:val="es-CO" w:eastAsia="en-US"/>
        </w:rPr>
        <w:t>Activos SGA EEBP - Software para Gestión de Activos - PDI. Costo plataforma: (licencias + infraestructura + integraciones + Consultoría de Implantación)</w:t>
      </w:r>
      <w:r w:rsidR="00AF5F29">
        <w:rPr>
          <w:lang w:val="es-CO" w:eastAsia="en-US"/>
        </w:rPr>
        <w:t xml:space="preserve"> por valor de $300.000.000 de pesos de la fecha de corte.</w:t>
      </w:r>
    </w:p>
    <w:p w14:paraId="34FED8CD" w14:textId="77777777" w:rsidR="00E62983" w:rsidRPr="00751633" w:rsidRDefault="00E62983" w:rsidP="00DA345A">
      <w:pPr>
        <w:rPr>
          <w:lang w:val="es-MX" w:eastAsia="en-US"/>
        </w:rPr>
      </w:pPr>
    </w:p>
    <w:p w14:paraId="584DDFC5" w14:textId="30FF6771" w:rsidR="00904180" w:rsidRPr="00E957EA" w:rsidRDefault="00E957EA" w:rsidP="00DA345A">
      <w:pPr>
        <w:rPr>
          <w:b/>
          <w:bCs/>
          <w:i/>
          <w:iCs/>
          <w:lang w:val="es-CO" w:eastAsia="en-US"/>
        </w:rPr>
      </w:pPr>
      <w:r w:rsidRPr="00E957EA">
        <w:rPr>
          <w:b/>
          <w:bCs/>
          <w:i/>
          <w:iCs/>
          <w:lang w:val="es-CO" w:eastAsia="en-US"/>
        </w:rPr>
        <w:t>Tercera Petición</w:t>
      </w:r>
    </w:p>
    <w:p w14:paraId="7BAEEFEB" w14:textId="2C67B374" w:rsidR="00904180" w:rsidRDefault="00E957EA" w:rsidP="00DA345A">
      <w:pPr>
        <w:rPr>
          <w:lang w:val="es-CO" w:eastAsia="en-US"/>
        </w:rPr>
      </w:pPr>
      <w:r>
        <w:rPr>
          <w:lang w:val="es-CO" w:eastAsia="en-US"/>
        </w:rPr>
        <w:t>Sobre las pérdidas de Energía</w:t>
      </w:r>
      <w:r w:rsidR="00E62983">
        <w:rPr>
          <w:lang w:val="es-CO" w:eastAsia="en-US"/>
        </w:rPr>
        <w:t>,</w:t>
      </w:r>
      <w:r>
        <w:rPr>
          <w:lang w:val="es-CO" w:eastAsia="en-US"/>
        </w:rPr>
        <w:t xml:space="preserve"> la empresa escribió:</w:t>
      </w:r>
    </w:p>
    <w:p w14:paraId="084CDF94" w14:textId="31FD3E05" w:rsidR="00E957EA" w:rsidRDefault="00E957EA" w:rsidP="0073609F">
      <w:pPr>
        <w:pStyle w:val="Cita"/>
        <w:ind w:left="284"/>
      </w:pPr>
      <w:r w:rsidRPr="00E957EA">
        <w:t>En cuanto al numeral 2.4.7 “REVISIÓN DE INFORMACIÓN DE PÉRDIDAS Y ENERGÍA”, del Documento CREG – 178 del 15 de diciembre de 2021, anexo a la Resolución CREG 218 de 2021, donde se indica que:</w:t>
      </w:r>
    </w:p>
    <w:p w14:paraId="020FE6FE" w14:textId="77777777" w:rsidR="00E957EA" w:rsidRDefault="00E957EA" w:rsidP="0073609F">
      <w:pPr>
        <w:pStyle w:val="Cita"/>
      </w:pPr>
      <w:r>
        <w:t>“Conforme con el numeral 7.3.1 Requisitos para la presentación del plan de reducción, la empresa debería entregar el balance de energía de 12 meses calendario que finalizan en la fecha de corte, esto es diciembre de 2017. No obstante; la Empresa de Energía del Bajo Putumayo en su informe especifica:</w:t>
      </w:r>
    </w:p>
    <w:p w14:paraId="371D5AE4" w14:textId="77777777" w:rsidR="00E957EA" w:rsidRDefault="00E957EA" w:rsidP="0073609F">
      <w:pPr>
        <w:pStyle w:val="Cita"/>
      </w:pPr>
      <w:r>
        <w:t>Los flujos de Energía se realizaron con los meses correspondientes entre abril del 2017 y marzo 2018, empezando de abril 2017 y se continuo en forma ascendente hasta finalizar en marzo 2018.</w:t>
      </w:r>
    </w:p>
    <w:p w14:paraId="0D030A4B" w14:textId="77777777" w:rsidR="00E957EA" w:rsidRDefault="00E957EA" w:rsidP="0073609F">
      <w:pPr>
        <w:pStyle w:val="Cita"/>
      </w:pPr>
      <w:r>
        <w:t>Lo anterior ocasiona que la información sobre las energías de entrada y salida, así como los flujos de energía no coincidieran con:</w:t>
      </w:r>
      <w:r>
        <w:tab/>
      </w:r>
    </w:p>
    <w:p w14:paraId="48AE8589" w14:textId="77777777" w:rsidR="00E957EA" w:rsidRDefault="00E957EA" w:rsidP="0073609F">
      <w:pPr>
        <w:pStyle w:val="Cita"/>
        <w:ind w:left="851"/>
      </w:pPr>
      <w:r>
        <w:t>i. la información proveniente de la consulta realizada a la información de las fronteras comerciales entregada para todas las empresas por el Administrador del Sistema de Intercambios Comerciales ASIC.</w:t>
      </w:r>
    </w:p>
    <w:p w14:paraId="36BA654B" w14:textId="6A45ABA3" w:rsidR="00904180" w:rsidRDefault="00E957EA" w:rsidP="0073609F">
      <w:pPr>
        <w:pStyle w:val="Cita"/>
        <w:ind w:left="851"/>
      </w:pPr>
      <w:r>
        <w:t>ii. La información consultada en el SUI sobre consumos de usuarios regulados”.</w:t>
      </w:r>
    </w:p>
    <w:p w14:paraId="731F93EA" w14:textId="76141BF2" w:rsidR="00904180" w:rsidRDefault="00D56955" w:rsidP="0073609F">
      <w:pPr>
        <w:pStyle w:val="Cita"/>
        <w:ind w:left="284"/>
      </w:pPr>
      <w:r w:rsidRPr="00D56955">
        <w:t>Respetuosamente, la EEBP se permite aclarar a la Comisión que, en el momento de presentar la solicitud de aprobación del Plan de Reducción de Pérdidas, los datos utilizados para el cálculo de los Índice de Pérdidas Total y las del nivel de tensión 1, corresponden al p</w:t>
      </w:r>
      <w:r w:rsidR="00ED1C85">
        <w:t>eríodo</w:t>
      </w:r>
      <w:r w:rsidRPr="00D56955">
        <w:t xml:space="preserve"> comprendido entre abril de 2017 y marzo de 2018. Lo anterior, considerando que, el 1 de abril de 2017 aconteció un desastre natural en la ciudad de Mocoa, el cual a su vez afectó el funcionamiento de la subestación eléctrica Junín y en consecuencia se interrumpió el suministro de energía en el Bajo Putumayo, tal como lo evidencia los Anexos “Comunicado 055 de la EEBP” y "Decreto_0247_2017- Decreto 0068 del 1 abril de 2017”.</w:t>
      </w:r>
    </w:p>
    <w:p w14:paraId="727F3628" w14:textId="011B033E" w:rsidR="00D56955" w:rsidRDefault="00D56955" w:rsidP="0073609F">
      <w:pPr>
        <w:pStyle w:val="Cita"/>
        <w:ind w:left="284"/>
      </w:pPr>
      <w:r>
        <w:t>Producto de lo expuesto anteriormente, fue necesario el cambio de las fronteras que en su momento reportaba EEBP (Frt10413 de 34.5kV, Frt10414 de 34.5 kV, Frt10415 de 34.5kV y Frt10416 de 13.2 kV), y una vez se normalizó el evento mencionado, se creó la frontera Frt26893 a 115 kV.  Siendo así, se consideró que los primeros tres meses del año 2017 corresponden a una situación atípica del sistema EEBP, por lo que se estimó prudente el cálculo entre los meses de abril de 2017 y marzo de 2018, tal como se mencionó anteriormente. Con base a dicho cálculo, se procedió a estimar la senda de reducción de pérdidas, así como el costo eficiente del plan en el aplicativo dispuesto por la Comisión para tal fin, en el marco del Plan de Reducción de Pérdidas del que trata el Capítulo 7 del Anexo general de la Resolución CREG 015 de 2018.</w:t>
      </w:r>
    </w:p>
    <w:p w14:paraId="0FCF8EDF" w14:textId="39F85982" w:rsidR="00D56955" w:rsidRDefault="00D56955" w:rsidP="0073609F">
      <w:pPr>
        <w:pStyle w:val="Cita"/>
        <w:ind w:left="284"/>
      </w:pPr>
      <w:r>
        <w:lastRenderedPageBreak/>
        <w:t>Adicionalmente, al realizar el cálculo por error se tomaron las medidas de las fronteras con reporte al SIC referidas al STN, dando como resultado que los indicadores no fueran congruentes con los establecido en la regulación vigente. Por consiguiente, los parámetros utilizados, al no corresponder con la realidad del mercado de comercialización atendido por EEBP, arrojaron una senda de reducción de pérdidas con una referencia de inicio mayor al real, tal como se evidencia en la Imagen 1.</w:t>
      </w:r>
    </w:p>
    <w:p w14:paraId="28A8AA60" w14:textId="39FC60EF" w:rsidR="00D56955" w:rsidRDefault="00D56955" w:rsidP="00D56955">
      <w:pPr>
        <w:pStyle w:val="Cita"/>
      </w:pPr>
      <w:r w:rsidRPr="00ED6131">
        <w:rPr>
          <w:noProof/>
          <w:szCs w:val="20"/>
          <w:lang w:eastAsia="es-CO"/>
        </w:rPr>
        <w:drawing>
          <wp:inline distT="0" distB="0" distL="0" distR="0" wp14:anchorId="221F905C" wp14:editId="2FF1E39A">
            <wp:extent cx="5542060" cy="1220282"/>
            <wp:effectExtent l="0" t="0" r="1905" b="0"/>
            <wp:docPr id="3" name="Imagen 3"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con confianza media"/>
                    <pic:cNvPicPr/>
                  </pic:nvPicPr>
                  <pic:blipFill>
                    <a:blip r:embed="rId13"/>
                    <a:stretch>
                      <a:fillRect/>
                    </a:stretch>
                  </pic:blipFill>
                  <pic:spPr>
                    <a:xfrm>
                      <a:off x="0" y="0"/>
                      <a:ext cx="5552469" cy="1222574"/>
                    </a:xfrm>
                    <a:prstGeom prst="rect">
                      <a:avLst/>
                    </a:prstGeom>
                  </pic:spPr>
                </pic:pic>
              </a:graphicData>
            </a:graphic>
          </wp:inline>
        </w:drawing>
      </w:r>
    </w:p>
    <w:p w14:paraId="13132856" w14:textId="77777777" w:rsidR="00D56955" w:rsidRPr="00D56955" w:rsidRDefault="00D56955" w:rsidP="00D56955">
      <w:pPr>
        <w:pStyle w:val="Cita"/>
        <w:jc w:val="center"/>
        <w:rPr>
          <w:b/>
          <w:bCs/>
        </w:rPr>
      </w:pPr>
      <w:r w:rsidRPr="00D56955">
        <w:rPr>
          <w:b/>
          <w:bCs/>
        </w:rPr>
        <w:t>Imagen 1 – Senda propuesta para reducción de pérdidas enviada inicialmente por EEBP</w:t>
      </w:r>
    </w:p>
    <w:p w14:paraId="71F927C8" w14:textId="7C8100FB" w:rsidR="00D56955" w:rsidRDefault="00D56955" w:rsidP="0073609F">
      <w:pPr>
        <w:pStyle w:val="Cita"/>
        <w:ind w:left="284"/>
      </w:pPr>
      <w:r>
        <w:t>Aclarado lo anterior, EEBP realizó nuevamente el cálculo de los indicadores de enero a diciembre de 2017. Tal como se puede observar en la Tabla 3, al actualizar las variables necesarias para el cálculo, el Índice de Pérdidas Totales es de 17.42%, mientras que las Pérdidas de nivel de tensión 1 corresponden al 17.90%. En revisión del anexo “Cálculo ingresos D BAJOPUTUMAYO.xlsx” al que hace referencia el Documento CREG – 178 del 15 de diciembre de 2021, se identificó que la Comisión está aplicando un factor de pérdidas para el cálculo de la energía sin referir al STN de la frontera Frt26893 a 115 kV erróneo en el p</w:t>
      </w:r>
      <w:r w:rsidR="00ED1C85">
        <w:t>eríodo</w:t>
      </w:r>
      <w:r>
        <w:t xml:space="preserve"> de junio a diciembre de 2017, toda vez utilizó el valor correspondiente a mayo de 2017. </w:t>
      </w:r>
    </w:p>
    <w:p w14:paraId="4E33A327" w14:textId="24D44DB4" w:rsidR="00D56955" w:rsidRDefault="00D56955" w:rsidP="0073609F">
      <w:pPr>
        <w:pStyle w:val="Cita"/>
        <w:ind w:left="284"/>
      </w:pPr>
      <w:r>
        <w:t>En la Tabla 4, se encuentra el comparativo de los factores utilizados por la Comisión versus los que se encuentran reportados en XM, donde se resaltan las diferencias encontradas. La información de los factores puede ser verificada en el Anexo</w:t>
      </w:r>
      <w:r w:rsidR="00444599">
        <w:t xml:space="preserve"> </w:t>
      </w:r>
      <w:r w:rsidR="00444599" w:rsidRPr="00444599">
        <w:t>“Archivos tfroc”, mientras que las energías reportadas para dicha frontera en el Anexo “Archivos AENC”, descargados del portal de XM para el año 2017.</w:t>
      </w:r>
    </w:p>
    <w:p w14:paraId="7FB5ADCE" w14:textId="4F88B9FC" w:rsidR="00444599" w:rsidRPr="00444599" w:rsidRDefault="00444599" w:rsidP="0073609F">
      <w:pPr>
        <w:pStyle w:val="Cita"/>
        <w:ind w:left="284"/>
      </w:pPr>
      <w:r w:rsidRPr="00444599">
        <w:t>La fórmula utilizada para calcular la energía sin referir al STN es:</w:t>
      </w:r>
    </w:p>
    <w:p w14:paraId="5B5675B0" w14:textId="6A9847AD" w:rsidR="00D56955" w:rsidRDefault="00444599" w:rsidP="0073609F">
      <w:pPr>
        <w:ind w:left="284"/>
        <w:rPr>
          <w:lang w:val="es-CO" w:eastAsia="en-US"/>
        </w:rPr>
      </w:pPr>
      <m:oMathPara>
        <m:oMath>
          <m:r>
            <w:rPr>
              <w:rFonts w:ascii="Cambria Math" w:hAnsi="Cambria Math" w:cs="Arial"/>
              <w:sz w:val="20"/>
              <w:szCs w:val="20"/>
            </w:rPr>
            <m:t xml:space="preserve">CONSUMO </m:t>
          </m:r>
          <m:d>
            <m:dPr>
              <m:ctrlPr>
                <w:rPr>
                  <w:rFonts w:ascii="Cambria Math" w:hAnsi="Cambria Math" w:cs="Arial"/>
                  <w:i/>
                  <w:sz w:val="20"/>
                  <w:szCs w:val="20"/>
                </w:rPr>
              </m:ctrlPr>
            </m:dPr>
            <m:e>
              <m:r>
                <w:rPr>
                  <w:rFonts w:ascii="Cambria Math" w:hAnsi="Cambria Math" w:cs="Arial"/>
                  <w:sz w:val="20"/>
                  <w:szCs w:val="20"/>
                </w:rPr>
                <m:t>kWh</m:t>
              </m:r>
            </m:e>
          </m:d>
          <m:r>
            <w:rPr>
              <w:rFonts w:ascii="Cambria Math" w:hAnsi="Cambria Math" w:cs="Arial"/>
              <w:sz w:val="20"/>
              <w:szCs w:val="20"/>
            </w:rPr>
            <m:t xml:space="preserve">Sin referir al STN= </m:t>
          </m:r>
          <m:f>
            <m:fPr>
              <m:ctrlPr>
                <w:rPr>
                  <w:rFonts w:ascii="Cambria Math" w:hAnsi="Cambria Math" w:cs="Arial"/>
                  <w:i/>
                  <w:sz w:val="20"/>
                  <w:szCs w:val="20"/>
                </w:rPr>
              </m:ctrlPr>
            </m:fPr>
            <m:num>
              <m:r>
                <w:rPr>
                  <w:rFonts w:ascii="Cambria Math" w:hAnsi="Cambria Math" w:cs="Arial"/>
                  <w:sz w:val="20"/>
                  <w:szCs w:val="20"/>
                </w:rPr>
                <m:t>CONSUMO (kWh) Referido al STN (AENC)</m:t>
              </m:r>
            </m:num>
            <m:den>
              <m:r>
                <w:rPr>
                  <w:rFonts w:ascii="Cambria Math" w:hAnsi="Cambria Math" w:cs="Arial"/>
                  <w:sz w:val="20"/>
                  <w:szCs w:val="20"/>
                </w:rPr>
                <m:t xml:space="preserve">FACTOR PERDIDA REFERIR STN  </m:t>
              </m:r>
            </m:den>
          </m:f>
        </m:oMath>
      </m:oMathPara>
    </w:p>
    <w:p w14:paraId="24988E22" w14:textId="32E581D3" w:rsidR="00D56955" w:rsidRDefault="00444599" w:rsidP="0073609F">
      <w:pPr>
        <w:pStyle w:val="Cita"/>
        <w:ind w:left="284"/>
      </w:pPr>
      <w:r w:rsidRPr="00444599">
        <w:t>Por medio del Anexo “Calculo Perdidas 2017 CREG 015 2018.xlsx”, EEBP se permite remitir las variables utilizadas para el cálculo de los indicadores mostrados en el Tabla 3.</w:t>
      </w:r>
    </w:p>
    <w:p w14:paraId="71044F5E" w14:textId="77777777" w:rsidR="00444599" w:rsidRDefault="00444599" w:rsidP="00444599">
      <w:pPr>
        <w:pStyle w:val="Cita"/>
        <w:jc w:val="center"/>
      </w:pPr>
      <w:r>
        <w:t>Tabla 3 – Cálculo indicadores de pérdidas de enero a diciembre de 2017</w:t>
      </w:r>
    </w:p>
    <w:tbl>
      <w:tblPr>
        <w:tblStyle w:val="Tablaconcuadrcula"/>
        <w:tblW w:w="8273" w:type="dxa"/>
        <w:jc w:val="right"/>
        <w:tblLook w:val="04A0" w:firstRow="1" w:lastRow="0" w:firstColumn="1" w:lastColumn="0" w:noHBand="0" w:noVBand="1"/>
      </w:tblPr>
      <w:tblGrid>
        <w:gridCol w:w="846"/>
        <w:gridCol w:w="1474"/>
        <w:gridCol w:w="1417"/>
        <w:gridCol w:w="1217"/>
        <w:gridCol w:w="1193"/>
        <w:gridCol w:w="1275"/>
        <w:gridCol w:w="851"/>
      </w:tblGrid>
      <w:tr w:rsidR="00CB7A4D" w:rsidRPr="00444599" w14:paraId="553FB403" w14:textId="77777777" w:rsidTr="00CB7A4D">
        <w:trPr>
          <w:trHeight w:val="238"/>
          <w:jc w:val="right"/>
        </w:trPr>
        <w:tc>
          <w:tcPr>
            <w:tcW w:w="846" w:type="dxa"/>
            <w:shd w:val="clear" w:color="auto" w:fill="auto"/>
            <w:vAlign w:val="center"/>
            <w:hideMark/>
          </w:tcPr>
          <w:p w14:paraId="7AFFAE08"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Año</w:t>
            </w:r>
          </w:p>
        </w:tc>
        <w:tc>
          <w:tcPr>
            <w:tcW w:w="1474" w:type="dxa"/>
            <w:shd w:val="clear" w:color="auto" w:fill="auto"/>
            <w:vAlign w:val="center"/>
            <w:hideMark/>
          </w:tcPr>
          <w:p w14:paraId="3DC45C12"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Entrada Bruta</w:t>
            </w:r>
          </w:p>
        </w:tc>
        <w:tc>
          <w:tcPr>
            <w:tcW w:w="1417" w:type="dxa"/>
            <w:shd w:val="clear" w:color="auto" w:fill="auto"/>
            <w:vAlign w:val="center"/>
            <w:hideMark/>
          </w:tcPr>
          <w:p w14:paraId="310CFF6C"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 xml:space="preserve">Salidas </w:t>
            </w:r>
          </w:p>
        </w:tc>
        <w:tc>
          <w:tcPr>
            <w:tcW w:w="1217" w:type="dxa"/>
            <w:shd w:val="clear" w:color="auto" w:fill="auto"/>
            <w:vAlign w:val="center"/>
            <w:hideMark/>
          </w:tcPr>
          <w:p w14:paraId="5AAFA6C1"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PT</w:t>
            </w:r>
            <w:r w:rsidRPr="00444599">
              <w:rPr>
                <w:rFonts w:cs="Arial"/>
                <w:b/>
                <w:bCs/>
                <w:i/>
                <w:iCs/>
                <w:sz w:val="16"/>
                <w:szCs w:val="16"/>
                <w:vertAlign w:val="subscript"/>
              </w:rPr>
              <w:t>j</w:t>
            </w:r>
          </w:p>
        </w:tc>
        <w:tc>
          <w:tcPr>
            <w:tcW w:w="1193" w:type="dxa"/>
            <w:shd w:val="clear" w:color="auto" w:fill="auto"/>
            <w:vAlign w:val="center"/>
            <w:hideMark/>
          </w:tcPr>
          <w:p w14:paraId="1F9D0FC2"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IPT</w:t>
            </w:r>
            <w:r w:rsidRPr="00444599">
              <w:rPr>
                <w:rFonts w:cs="Arial"/>
                <w:b/>
                <w:bCs/>
                <w:i/>
                <w:iCs/>
                <w:sz w:val="16"/>
                <w:szCs w:val="16"/>
                <w:vertAlign w:val="subscript"/>
              </w:rPr>
              <w:t>j</w:t>
            </w:r>
          </w:p>
        </w:tc>
        <w:tc>
          <w:tcPr>
            <w:tcW w:w="1275" w:type="dxa"/>
            <w:shd w:val="clear" w:color="auto" w:fill="auto"/>
            <w:vAlign w:val="center"/>
            <w:hideMark/>
          </w:tcPr>
          <w:p w14:paraId="6772508D"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PE</w:t>
            </w:r>
            <w:r w:rsidRPr="00444599">
              <w:rPr>
                <w:rFonts w:cs="Arial"/>
                <w:b/>
                <w:bCs/>
                <w:i/>
                <w:iCs/>
                <w:sz w:val="16"/>
                <w:szCs w:val="16"/>
                <w:vertAlign w:val="subscript"/>
              </w:rPr>
              <w:t>j,1</w:t>
            </w:r>
          </w:p>
        </w:tc>
        <w:tc>
          <w:tcPr>
            <w:tcW w:w="851" w:type="dxa"/>
            <w:shd w:val="clear" w:color="auto" w:fill="auto"/>
            <w:vAlign w:val="center"/>
            <w:hideMark/>
          </w:tcPr>
          <w:p w14:paraId="27893194" w14:textId="77777777" w:rsidR="00444599" w:rsidRPr="00444599" w:rsidRDefault="00444599" w:rsidP="00CB7A4D">
            <w:pPr>
              <w:spacing w:before="40" w:after="40"/>
              <w:jc w:val="center"/>
              <w:rPr>
                <w:rFonts w:cs="Arial"/>
                <w:b/>
                <w:bCs/>
                <w:i/>
                <w:iCs/>
                <w:sz w:val="16"/>
                <w:szCs w:val="16"/>
              </w:rPr>
            </w:pPr>
            <w:r w:rsidRPr="00444599">
              <w:rPr>
                <w:rFonts w:cs="Arial"/>
                <w:b/>
                <w:bCs/>
                <w:i/>
                <w:iCs/>
                <w:sz w:val="16"/>
                <w:szCs w:val="16"/>
              </w:rPr>
              <w:t>P</w:t>
            </w:r>
            <w:r w:rsidRPr="00444599">
              <w:rPr>
                <w:rFonts w:cs="Arial"/>
                <w:b/>
                <w:bCs/>
                <w:i/>
                <w:iCs/>
                <w:sz w:val="16"/>
                <w:szCs w:val="16"/>
                <w:vertAlign w:val="subscript"/>
              </w:rPr>
              <w:t>j,1</w:t>
            </w:r>
          </w:p>
        </w:tc>
      </w:tr>
      <w:tr w:rsidR="00444599" w:rsidRPr="00444599" w14:paraId="2F9AD63D" w14:textId="77777777" w:rsidTr="00CB7A4D">
        <w:trPr>
          <w:trHeight w:val="118"/>
          <w:jc w:val="right"/>
        </w:trPr>
        <w:tc>
          <w:tcPr>
            <w:tcW w:w="846" w:type="dxa"/>
            <w:shd w:val="clear" w:color="auto" w:fill="auto"/>
            <w:noWrap/>
            <w:vAlign w:val="center"/>
            <w:hideMark/>
          </w:tcPr>
          <w:p w14:paraId="07E9A83E"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2017</w:t>
            </w:r>
          </w:p>
        </w:tc>
        <w:tc>
          <w:tcPr>
            <w:tcW w:w="1474" w:type="dxa"/>
            <w:shd w:val="clear" w:color="auto" w:fill="auto"/>
            <w:noWrap/>
            <w:vAlign w:val="center"/>
            <w:hideMark/>
          </w:tcPr>
          <w:p w14:paraId="29E7FB23"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76.123.026</w:t>
            </w:r>
          </w:p>
        </w:tc>
        <w:tc>
          <w:tcPr>
            <w:tcW w:w="1417" w:type="dxa"/>
            <w:shd w:val="clear" w:color="auto" w:fill="auto"/>
            <w:noWrap/>
            <w:vAlign w:val="center"/>
            <w:hideMark/>
          </w:tcPr>
          <w:p w14:paraId="439A326D"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64.609.982</w:t>
            </w:r>
          </w:p>
        </w:tc>
        <w:tc>
          <w:tcPr>
            <w:tcW w:w="1217" w:type="dxa"/>
            <w:shd w:val="clear" w:color="auto" w:fill="auto"/>
            <w:noWrap/>
            <w:vAlign w:val="center"/>
            <w:hideMark/>
          </w:tcPr>
          <w:p w14:paraId="0D8D48BB"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11.513.044</w:t>
            </w:r>
          </w:p>
        </w:tc>
        <w:tc>
          <w:tcPr>
            <w:tcW w:w="1193" w:type="dxa"/>
            <w:shd w:val="clear" w:color="auto" w:fill="auto"/>
            <w:noWrap/>
            <w:vAlign w:val="center"/>
            <w:hideMark/>
          </w:tcPr>
          <w:p w14:paraId="002BEC34"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17,42%</w:t>
            </w:r>
          </w:p>
        </w:tc>
        <w:tc>
          <w:tcPr>
            <w:tcW w:w="1275" w:type="dxa"/>
            <w:shd w:val="clear" w:color="auto" w:fill="auto"/>
            <w:noWrap/>
            <w:vAlign w:val="center"/>
            <w:hideMark/>
          </w:tcPr>
          <w:p w14:paraId="30113832"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9.725.587</w:t>
            </w:r>
          </w:p>
        </w:tc>
        <w:tc>
          <w:tcPr>
            <w:tcW w:w="851" w:type="dxa"/>
            <w:shd w:val="clear" w:color="auto" w:fill="auto"/>
            <w:noWrap/>
            <w:vAlign w:val="center"/>
            <w:hideMark/>
          </w:tcPr>
          <w:p w14:paraId="1FA59D93" w14:textId="77777777" w:rsidR="00444599" w:rsidRPr="00444599" w:rsidRDefault="00444599" w:rsidP="00CB7A4D">
            <w:pPr>
              <w:spacing w:before="40" w:after="40"/>
              <w:jc w:val="center"/>
              <w:rPr>
                <w:rFonts w:cs="Arial"/>
                <w:i/>
                <w:iCs/>
                <w:sz w:val="16"/>
                <w:szCs w:val="16"/>
              </w:rPr>
            </w:pPr>
            <w:r w:rsidRPr="00444599">
              <w:rPr>
                <w:rFonts w:cs="Arial"/>
                <w:i/>
                <w:iCs/>
                <w:sz w:val="16"/>
                <w:szCs w:val="16"/>
              </w:rPr>
              <w:t>17,90%</w:t>
            </w:r>
          </w:p>
        </w:tc>
      </w:tr>
    </w:tbl>
    <w:p w14:paraId="17E291ED" w14:textId="03768877" w:rsidR="00444599" w:rsidRPr="00CB7A4D" w:rsidRDefault="00CB7A4D" w:rsidP="00CB7A4D">
      <w:pPr>
        <w:pStyle w:val="Cita"/>
        <w:jc w:val="center"/>
        <w:rPr>
          <w:b/>
          <w:bCs/>
        </w:rPr>
      </w:pPr>
      <w:r w:rsidRPr="00CB7A4D">
        <w:rPr>
          <w:b/>
          <w:bCs/>
        </w:rPr>
        <w:t>Tabla 4 – Comparativo factores de pérdidas para el cálculo de la energía son referir al STN, frontera Frt26893</w:t>
      </w:r>
    </w:p>
    <w:tbl>
      <w:tblPr>
        <w:tblStyle w:val="Tablaconcuadrcula"/>
        <w:tblW w:w="9241" w:type="dxa"/>
        <w:jc w:val="right"/>
        <w:tblLook w:val="04A0" w:firstRow="1" w:lastRow="0" w:firstColumn="1" w:lastColumn="0" w:noHBand="0" w:noVBand="1"/>
      </w:tblPr>
      <w:tblGrid>
        <w:gridCol w:w="821"/>
        <w:gridCol w:w="855"/>
        <w:gridCol w:w="1644"/>
        <w:gridCol w:w="1191"/>
        <w:gridCol w:w="1020"/>
        <w:gridCol w:w="1561"/>
        <w:gridCol w:w="1059"/>
        <w:gridCol w:w="1129"/>
      </w:tblGrid>
      <w:tr w:rsidR="005F3035" w:rsidRPr="00895891" w14:paraId="321DB4DA" w14:textId="77777777" w:rsidTr="00220274">
        <w:trPr>
          <w:trHeight w:val="385"/>
          <w:tblHeader/>
          <w:jc w:val="right"/>
        </w:trPr>
        <w:tc>
          <w:tcPr>
            <w:tcW w:w="821" w:type="dxa"/>
            <w:shd w:val="clear" w:color="auto" w:fill="auto"/>
            <w:vAlign w:val="center"/>
          </w:tcPr>
          <w:p w14:paraId="2866CC64"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MES</w:t>
            </w:r>
          </w:p>
        </w:tc>
        <w:tc>
          <w:tcPr>
            <w:tcW w:w="855" w:type="dxa"/>
            <w:shd w:val="clear" w:color="auto" w:fill="auto"/>
            <w:vAlign w:val="center"/>
            <w:hideMark/>
          </w:tcPr>
          <w:p w14:paraId="0ABBE1B0"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 xml:space="preserve">CÓDIGO SIC </w:t>
            </w:r>
          </w:p>
        </w:tc>
        <w:tc>
          <w:tcPr>
            <w:tcW w:w="1644" w:type="dxa"/>
            <w:shd w:val="clear" w:color="auto" w:fill="auto"/>
            <w:vAlign w:val="center"/>
            <w:hideMark/>
          </w:tcPr>
          <w:p w14:paraId="64CDC9BE"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FACTOR PERDIDA REFERIR STN (tfroc XM)</w:t>
            </w:r>
          </w:p>
        </w:tc>
        <w:tc>
          <w:tcPr>
            <w:tcW w:w="1191" w:type="dxa"/>
            <w:shd w:val="clear" w:color="auto" w:fill="auto"/>
            <w:vAlign w:val="center"/>
            <w:hideMark/>
          </w:tcPr>
          <w:p w14:paraId="45C16FB1"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CONSUMO (kWh) Referido al STN (AENC)</w:t>
            </w:r>
          </w:p>
        </w:tc>
        <w:tc>
          <w:tcPr>
            <w:tcW w:w="1020" w:type="dxa"/>
            <w:shd w:val="clear" w:color="auto" w:fill="auto"/>
            <w:vAlign w:val="center"/>
            <w:hideMark/>
          </w:tcPr>
          <w:p w14:paraId="28E6A1D5"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 xml:space="preserve">CONSUMO (kWh) Sin referir al STN </w:t>
            </w:r>
          </w:p>
        </w:tc>
        <w:tc>
          <w:tcPr>
            <w:tcW w:w="1561" w:type="dxa"/>
            <w:shd w:val="clear" w:color="auto" w:fill="auto"/>
            <w:vAlign w:val="center"/>
          </w:tcPr>
          <w:p w14:paraId="32DB3BA0"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FACTOR PERDIDA REFERIR STN (UTILIZADO POR LA CREG)</w:t>
            </w:r>
          </w:p>
        </w:tc>
        <w:tc>
          <w:tcPr>
            <w:tcW w:w="1020" w:type="dxa"/>
            <w:shd w:val="clear" w:color="auto" w:fill="auto"/>
            <w:vAlign w:val="center"/>
          </w:tcPr>
          <w:p w14:paraId="1F8B3B66"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CONSUMO (kWh) Sin referir al STN (UTILIZADO POR LA CREG)</w:t>
            </w:r>
          </w:p>
        </w:tc>
        <w:tc>
          <w:tcPr>
            <w:tcW w:w="1129" w:type="dxa"/>
            <w:shd w:val="clear" w:color="auto" w:fill="auto"/>
            <w:vAlign w:val="center"/>
          </w:tcPr>
          <w:p w14:paraId="3B727C77" w14:textId="77777777" w:rsidR="00CB7A4D" w:rsidRPr="00895891" w:rsidRDefault="00CB7A4D" w:rsidP="00895891">
            <w:pPr>
              <w:spacing w:before="40" w:after="40"/>
              <w:jc w:val="center"/>
              <w:rPr>
                <w:rFonts w:cs="Arial"/>
                <w:b/>
                <w:bCs/>
                <w:i/>
                <w:iCs/>
                <w:sz w:val="14"/>
                <w:szCs w:val="14"/>
              </w:rPr>
            </w:pPr>
            <w:r w:rsidRPr="00895891">
              <w:rPr>
                <w:rFonts w:cs="Arial"/>
                <w:b/>
                <w:bCs/>
                <w:i/>
                <w:iCs/>
                <w:sz w:val="14"/>
                <w:szCs w:val="14"/>
              </w:rPr>
              <w:t>DIFERENCIA CONSUMO (kWh)</w:t>
            </w:r>
          </w:p>
        </w:tc>
      </w:tr>
      <w:tr w:rsidR="00895891" w:rsidRPr="00895891" w14:paraId="05ECA070" w14:textId="77777777" w:rsidTr="005F3035">
        <w:trPr>
          <w:trHeight w:val="272"/>
          <w:jc w:val="right"/>
        </w:trPr>
        <w:tc>
          <w:tcPr>
            <w:tcW w:w="821" w:type="dxa"/>
            <w:shd w:val="clear" w:color="auto" w:fill="auto"/>
            <w:vAlign w:val="center"/>
          </w:tcPr>
          <w:p w14:paraId="38AFDDF2"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04/2017</w:t>
            </w:r>
          </w:p>
        </w:tc>
        <w:tc>
          <w:tcPr>
            <w:tcW w:w="855" w:type="dxa"/>
            <w:shd w:val="clear" w:color="auto" w:fill="auto"/>
            <w:noWrap/>
            <w:vAlign w:val="center"/>
            <w:hideMark/>
          </w:tcPr>
          <w:p w14:paraId="4DE2631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00FFF220"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191" w:type="dxa"/>
            <w:shd w:val="clear" w:color="auto" w:fill="auto"/>
            <w:noWrap/>
            <w:vAlign w:val="center"/>
            <w:hideMark/>
          </w:tcPr>
          <w:p w14:paraId="75F872C3"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5.029.645</w:t>
            </w:r>
          </w:p>
        </w:tc>
        <w:tc>
          <w:tcPr>
            <w:tcW w:w="1020" w:type="dxa"/>
            <w:shd w:val="clear" w:color="auto" w:fill="auto"/>
            <w:noWrap/>
            <w:vAlign w:val="center"/>
            <w:hideMark/>
          </w:tcPr>
          <w:p w14:paraId="5757AB6F"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4.835.090</w:t>
            </w:r>
          </w:p>
        </w:tc>
        <w:tc>
          <w:tcPr>
            <w:tcW w:w="1561" w:type="dxa"/>
            <w:shd w:val="clear" w:color="auto" w:fill="auto"/>
            <w:vAlign w:val="center"/>
          </w:tcPr>
          <w:p w14:paraId="5958ABC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39C38F38"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4.835.090</w:t>
            </w:r>
          </w:p>
        </w:tc>
        <w:tc>
          <w:tcPr>
            <w:tcW w:w="1129" w:type="dxa"/>
            <w:shd w:val="clear" w:color="auto" w:fill="auto"/>
            <w:vAlign w:val="center"/>
          </w:tcPr>
          <w:p w14:paraId="1E5A3694"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0</w:t>
            </w:r>
          </w:p>
        </w:tc>
      </w:tr>
      <w:tr w:rsidR="00895891" w:rsidRPr="00895891" w14:paraId="42F66CC2" w14:textId="77777777" w:rsidTr="005F3035">
        <w:trPr>
          <w:trHeight w:val="283"/>
          <w:jc w:val="right"/>
        </w:trPr>
        <w:tc>
          <w:tcPr>
            <w:tcW w:w="821" w:type="dxa"/>
            <w:shd w:val="clear" w:color="auto" w:fill="auto"/>
            <w:vAlign w:val="center"/>
          </w:tcPr>
          <w:p w14:paraId="61D3A5E7"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05/2017</w:t>
            </w:r>
          </w:p>
        </w:tc>
        <w:tc>
          <w:tcPr>
            <w:tcW w:w="855" w:type="dxa"/>
            <w:shd w:val="clear" w:color="auto" w:fill="auto"/>
            <w:noWrap/>
            <w:vAlign w:val="center"/>
            <w:hideMark/>
          </w:tcPr>
          <w:p w14:paraId="0F90781F"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345CF1A3"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191" w:type="dxa"/>
            <w:shd w:val="clear" w:color="auto" w:fill="auto"/>
            <w:noWrap/>
            <w:vAlign w:val="center"/>
            <w:hideMark/>
          </w:tcPr>
          <w:p w14:paraId="6CAED2C7"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7.091.901</w:t>
            </w:r>
          </w:p>
        </w:tc>
        <w:tc>
          <w:tcPr>
            <w:tcW w:w="1020" w:type="dxa"/>
            <w:shd w:val="clear" w:color="auto" w:fill="auto"/>
            <w:noWrap/>
            <w:vAlign w:val="center"/>
            <w:hideMark/>
          </w:tcPr>
          <w:p w14:paraId="09D910F6"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6.817.574</w:t>
            </w:r>
          </w:p>
        </w:tc>
        <w:tc>
          <w:tcPr>
            <w:tcW w:w="1561" w:type="dxa"/>
            <w:shd w:val="clear" w:color="auto" w:fill="auto"/>
            <w:vAlign w:val="center"/>
          </w:tcPr>
          <w:p w14:paraId="676C59C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42BDDC4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6.817.574</w:t>
            </w:r>
          </w:p>
        </w:tc>
        <w:tc>
          <w:tcPr>
            <w:tcW w:w="1129" w:type="dxa"/>
            <w:shd w:val="clear" w:color="auto" w:fill="auto"/>
            <w:vAlign w:val="center"/>
          </w:tcPr>
          <w:p w14:paraId="08B92CC0"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0</w:t>
            </w:r>
          </w:p>
        </w:tc>
      </w:tr>
      <w:tr w:rsidR="00895891" w:rsidRPr="00895891" w14:paraId="13B0BC4C" w14:textId="77777777" w:rsidTr="005F3035">
        <w:trPr>
          <w:trHeight w:val="283"/>
          <w:jc w:val="right"/>
        </w:trPr>
        <w:tc>
          <w:tcPr>
            <w:tcW w:w="821" w:type="dxa"/>
            <w:shd w:val="clear" w:color="auto" w:fill="auto"/>
            <w:vAlign w:val="center"/>
          </w:tcPr>
          <w:p w14:paraId="02B7325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06/2017</w:t>
            </w:r>
          </w:p>
        </w:tc>
        <w:tc>
          <w:tcPr>
            <w:tcW w:w="855" w:type="dxa"/>
            <w:shd w:val="clear" w:color="auto" w:fill="auto"/>
            <w:noWrap/>
            <w:vAlign w:val="center"/>
            <w:hideMark/>
          </w:tcPr>
          <w:p w14:paraId="4913ABC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12B16ED3"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3BF55F5B"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6.839.958</w:t>
            </w:r>
          </w:p>
        </w:tc>
        <w:tc>
          <w:tcPr>
            <w:tcW w:w="1020" w:type="dxa"/>
            <w:shd w:val="clear" w:color="auto" w:fill="auto"/>
            <w:noWrap/>
            <w:vAlign w:val="center"/>
            <w:hideMark/>
          </w:tcPr>
          <w:p w14:paraId="4F580392"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6.777.714</w:t>
            </w:r>
          </w:p>
        </w:tc>
        <w:tc>
          <w:tcPr>
            <w:tcW w:w="1561" w:type="dxa"/>
            <w:shd w:val="clear" w:color="auto" w:fill="auto"/>
            <w:vAlign w:val="center"/>
          </w:tcPr>
          <w:p w14:paraId="7E8DC5E3"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1FED8B1B"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6.575.377</w:t>
            </w:r>
          </w:p>
        </w:tc>
        <w:tc>
          <w:tcPr>
            <w:tcW w:w="1129" w:type="dxa"/>
            <w:shd w:val="clear" w:color="auto" w:fill="auto"/>
            <w:vAlign w:val="center"/>
          </w:tcPr>
          <w:p w14:paraId="76FE452D"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202.337</w:t>
            </w:r>
          </w:p>
        </w:tc>
      </w:tr>
      <w:tr w:rsidR="00895891" w:rsidRPr="00895891" w14:paraId="67BC4A1E" w14:textId="77777777" w:rsidTr="005F3035">
        <w:trPr>
          <w:trHeight w:val="272"/>
          <w:jc w:val="right"/>
        </w:trPr>
        <w:tc>
          <w:tcPr>
            <w:tcW w:w="821" w:type="dxa"/>
            <w:shd w:val="clear" w:color="auto" w:fill="auto"/>
            <w:vAlign w:val="center"/>
          </w:tcPr>
          <w:p w14:paraId="7E346747"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07/2017</w:t>
            </w:r>
          </w:p>
        </w:tc>
        <w:tc>
          <w:tcPr>
            <w:tcW w:w="855" w:type="dxa"/>
            <w:shd w:val="clear" w:color="auto" w:fill="auto"/>
            <w:noWrap/>
            <w:vAlign w:val="center"/>
            <w:hideMark/>
          </w:tcPr>
          <w:p w14:paraId="3B6B0D6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14EEC12D"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2675A621"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6.891.088</w:t>
            </w:r>
          </w:p>
        </w:tc>
        <w:tc>
          <w:tcPr>
            <w:tcW w:w="1020" w:type="dxa"/>
            <w:shd w:val="clear" w:color="auto" w:fill="auto"/>
            <w:noWrap/>
            <w:vAlign w:val="center"/>
            <w:hideMark/>
          </w:tcPr>
          <w:p w14:paraId="0A72FE1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6.828.379</w:t>
            </w:r>
          </w:p>
        </w:tc>
        <w:tc>
          <w:tcPr>
            <w:tcW w:w="1561" w:type="dxa"/>
            <w:shd w:val="clear" w:color="auto" w:fill="auto"/>
            <w:vAlign w:val="center"/>
          </w:tcPr>
          <w:p w14:paraId="788B1B89"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0BAC4CC9"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6.624.529</w:t>
            </w:r>
          </w:p>
        </w:tc>
        <w:tc>
          <w:tcPr>
            <w:tcW w:w="1129" w:type="dxa"/>
            <w:shd w:val="clear" w:color="auto" w:fill="auto"/>
            <w:vAlign w:val="center"/>
          </w:tcPr>
          <w:p w14:paraId="6C0A71CA"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203.850</w:t>
            </w:r>
          </w:p>
        </w:tc>
      </w:tr>
      <w:tr w:rsidR="00895891" w:rsidRPr="00895891" w14:paraId="65C521A9" w14:textId="77777777" w:rsidTr="005F3035">
        <w:trPr>
          <w:trHeight w:val="272"/>
          <w:jc w:val="right"/>
        </w:trPr>
        <w:tc>
          <w:tcPr>
            <w:tcW w:w="821" w:type="dxa"/>
            <w:shd w:val="clear" w:color="auto" w:fill="auto"/>
            <w:vAlign w:val="center"/>
          </w:tcPr>
          <w:p w14:paraId="3D7444EE"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08/2017</w:t>
            </w:r>
          </w:p>
        </w:tc>
        <w:tc>
          <w:tcPr>
            <w:tcW w:w="855" w:type="dxa"/>
            <w:shd w:val="clear" w:color="auto" w:fill="auto"/>
            <w:noWrap/>
            <w:vAlign w:val="center"/>
            <w:hideMark/>
          </w:tcPr>
          <w:p w14:paraId="308524BF"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7EDF756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5DA7A4DE"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7.498.175</w:t>
            </w:r>
          </w:p>
        </w:tc>
        <w:tc>
          <w:tcPr>
            <w:tcW w:w="1020" w:type="dxa"/>
            <w:shd w:val="clear" w:color="auto" w:fill="auto"/>
            <w:noWrap/>
            <w:vAlign w:val="center"/>
            <w:hideMark/>
          </w:tcPr>
          <w:p w14:paraId="036CB830"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7.429.942</w:t>
            </w:r>
          </w:p>
        </w:tc>
        <w:tc>
          <w:tcPr>
            <w:tcW w:w="1561" w:type="dxa"/>
            <w:shd w:val="clear" w:color="auto" w:fill="auto"/>
            <w:vAlign w:val="center"/>
          </w:tcPr>
          <w:p w14:paraId="7CE2AD40"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1F1D69B6"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7.208.133</w:t>
            </w:r>
          </w:p>
        </w:tc>
        <w:tc>
          <w:tcPr>
            <w:tcW w:w="1129" w:type="dxa"/>
            <w:shd w:val="clear" w:color="auto" w:fill="auto"/>
            <w:vAlign w:val="center"/>
          </w:tcPr>
          <w:p w14:paraId="466D2F87"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221.809</w:t>
            </w:r>
          </w:p>
        </w:tc>
      </w:tr>
      <w:tr w:rsidR="00895891" w:rsidRPr="00895891" w14:paraId="2918FBD7" w14:textId="77777777" w:rsidTr="005F3035">
        <w:trPr>
          <w:trHeight w:val="272"/>
          <w:jc w:val="right"/>
        </w:trPr>
        <w:tc>
          <w:tcPr>
            <w:tcW w:w="821" w:type="dxa"/>
            <w:shd w:val="clear" w:color="auto" w:fill="auto"/>
            <w:vAlign w:val="center"/>
          </w:tcPr>
          <w:p w14:paraId="56A94582"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09/2017</w:t>
            </w:r>
          </w:p>
        </w:tc>
        <w:tc>
          <w:tcPr>
            <w:tcW w:w="855" w:type="dxa"/>
            <w:shd w:val="clear" w:color="auto" w:fill="auto"/>
            <w:noWrap/>
            <w:vAlign w:val="center"/>
            <w:hideMark/>
          </w:tcPr>
          <w:p w14:paraId="36DC626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3FB7922F"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006FF89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7.250.572</w:t>
            </w:r>
          </w:p>
        </w:tc>
        <w:tc>
          <w:tcPr>
            <w:tcW w:w="1020" w:type="dxa"/>
            <w:shd w:val="clear" w:color="auto" w:fill="auto"/>
            <w:noWrap/>
            <w:vAlign w:val="center"/>
            <w:hideMark/>
          </w:tcPr>
          <w:p w14:paraId="62A027FF"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7.184.591</w:t>
            </w:r>
          </w:p>
        </w:tc>
        <w:tc>
          <w:tcPr>
            <w:tcW w:w="1561" w:type="dxa"/>
            <w:shd w:val="clear" w:color="auto" w:fill="auto"/>
            <w:vAlign w:val="center"/>
          </w:tcPr>
          <w:p w14:paraId="352B4080"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57562BCA"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6.970.107</w:t>
            </w:r>
          </w:p>
        </w:tc>
        <w:tc>
          <w:tcPr>
            <w:tcW w:w="1129" w:type="dxa"/>
            <w:shd w:val="clear" w:color="auto" w:fill="auto"/>
            <w:vAlign w:val="center"/>
          </w:tcPr>
          <w:p w14:paraId="1FDAD48E"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214.484</w:t>
            </w:r>
          </w:p>
        </w:tc>
      </w:tr>
      <w:tr w:rsidR="00895891" w:rsidRPr="00895891" w14:paraId="6289070B" w14:textId="77777777" w:rsidTr="005F3035">
        <w:trPr>
          <w:trHeight w:val="272"/>
          <w:jc w:val="right"/>
        </w:trPr>
        <w:tc>
          <w:tcPr>
            <w:tcW w:w="821" w:type="dxa"/>
            <w:shd w:val="clear" w:color="auto" w:fill="auto"/>
            <w:vAlign w:val="center"/>
          </w:tcPr>
          <w:p w14:paraId="3E82400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lastRenderedPageBreak/>
              <w:t>10/2017</w:t>
            </w:r>
          </w:p>
        </w:tc>
        <w:tc>
          <w:tcPr>
            <w:tcW w:w="855" w:type="dxa"/>
            <w:shd w:val="clear" w:color="auto" w:fill="auto"/>
            <w:noWrap/>
            <w:vAlign w:val="center"/>
            <w:hideMark/>
          </w:tcPr>
          <w:p w14:paraId="25DFD724"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174D3E32"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0957CDE6"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7.518.982</w:t>
            </w:r>
          </w:p>
        </w:tc>
        <w:tc>
          <w:tcPr>
            <w:tcW w:w="1020" w:type="dxa"/>
            <w:shd w:val="clear" w:color="auto" w:fill="auto"/>
            <w:noWrap/>
            <w:vAlign w:val="center"/>
            <w:hideMark/>
          </w:tcPr>
          <w:p w14:paraId="088299D8"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7.450.559</w:t>
            </w:r>
          </w:p>
        </w:tc>
        <w:tc>
          <w:tcPr>
            <w:tcW w:w="1561" w:type="dxa"/>
            <w:shd w:val="clear" w:color="auto" w:fill="auto"/>
            <w:vAlign w:val="center"/>
          </w:tcPr>
          <w:p w14:paraId="1554AA2B"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6C10FE06"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7.228.135</w:t>
            </w:r>
          </w:p>
        </w:tc>
        <w:tc>
          <w:tcPr>
            <w:tcW w:w="1129" w:type="dxa"/>
            <w:shd w:val="clear" w:color="auto" w:fill="auto"/>
            <w:vAlign w:val="center"/>
          </w:tcPr>
          <w:p w14:paraId="62EE142E"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222.424</w:t>
            </w:r>
          </w:p>
        </w:tc>
      </w:tr>
      <w:tr w:rsidR="00895891" w:rsidRPr="00895891" w14:paraId="76DB380C" w14:textId="77777777" w:rsidTr="005F3035">
        <w:trPr>
          <w:trHeight w:val="272"/>
          <w:jc w:val="right"/>
        </w:trPr>
        <w:tc>
          <w:tcPr>
            <w:tcW w:w="821" w:type="dxa"/>
            <w:shd w:val="clear" w:color="auto" w:fill="auto"/>
            <w:vAlign w:val="center"/>
          </w:tcPr>
          <w:p w14:paraId="3DE02523"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11/2017</w:t>
            </w:r>
          </w:p>
        </w:tc>
        <w:tc>
          <w:tcPr>
            <w:tcW w:w="855" w:type="dxa"/>
            <w:shd w:val="clear" w:color="auto" w:fill="auto"/>
            <w:noWrap/>
            <w:vAlign w:val="center"/>
            <w:hideMark/>
          </w:tcPr>
          <w:p w14:paraId="5AFD780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48F23C85"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100898F4"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7.290.587</w:t>
            </w:r>
          </w:p>
        </w:tc>
        <w:tc>
          <w:tcPr>
            <w:tcW w:w="1020" w:type="dxa"/>
            <w:shd w:val="clear" w:color="auto" w:fill="auto"/>
            <w:noWrap/>
            <w:vAlign w:val="center"/>
            <w:hideMark/>
          </w:tcPr>
          <w:p w14:paraId="34E08BED"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7.224.243</w:t>
            </w:r>
          </w:p>
        </w:tc>
        <w:tc>
          <w:tcPr>
            <w:tcW w:w="1561" w:type="dxa"/>
            <w:shd w:val="clear" w:color="auto" w:fill="auto"/>
            <w:vAlign w:val="center"/>
          </w:tcPr>
          <w:p w14:paraId="2564E149"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2A236D5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7.008.575</w:t>
            </w:r>
          </w:p>
        </w:tc>
        <w:tc>
          <w:tcPr>
            <w:tcW w:w="1129" w:type="dxa"/>
            <w:shd w:val="clear" w:color="auto" w:fill="auto"/>
            <w:vAlign w:val="center"/>
          </w:tcPr>
          <w:p w14:paraId="2C2732F9"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215.668</w:t>
            </w:r>
          </w:p>
        </w:tc>
      </w:tr>
      <w:tr w:rsidR="00895891" w:rsidRPr="00895891" w14:paraId="202D955F" w14:textId="77777777" w:rsidTr="005F3035">
        <w:trPr>
          <w:trHeight w:val="272"/>
          <w:jc w:val="right"/>
        </w:trPr>
        <w:tc>
          <w:tcPr>
            <w:tcW w:w="821" w:type="dxa"/>
            <w:shd w:val="clear" w:color="auto" w:fill="auto"/>
            <w:vAlign w:val="center"/>
          </w:tcPr>
          <w:p w14:paraId="53020A09"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12/2017</w:t>
            </w:r>
          </w:p>
        </w:tc>
        <w:tc>
          <w:tcPr>
            <w:tcW w:w="855" w:type="dxa"/>
            <w:shd w:val="clear" w:color="auto" w:fill="auto"/>
            <w:noWrap/>
            <w:vAlign w:val="center"/>
            <w:hideMark/>
          </w:tcPr>
          <w:p w14:paraId="1047E7D8"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Frt26893</w:t>
            </w:r>
          </w:p>
        </w:tc>
        <w:tc>
          <w:tcPr>
            <w:tcW w:w="1644" w:type="dxa"/>
            <w:shd w:val="clear" w:color="auto" w:fill="auto"/>
            <w:noWrap/>
            <w:vAlign w:val="center"/>
            <w:hideMark/>
          </w:tcPr>
          <w:p w14:paraId="31960483"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1,00918357049147</w:t>
            </w:r>
          </w:p>
        </w:tc>
        <w:tc>
          <w:tcPr>
            <w:tcW w:w="1191" w:type="dxa"/>
            <w:shd w:val="clear" w:color="auto" w:fill="auto"/>
            <w:noWrap/>
            <w:vAlign w:val="center"/>
            <w:hideMark/>
          </w:tcPr>
          <w:p w14:paraId="6337F486"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7.665.036</w:t>
            </w:r>
          </w:p>
        </w:tc>
        <w:tc>
          <w:tcPr>
            <w:tcW w:w="1020" w:type="dxa"/>
            <w:shd w:val="clear" w:color="auto" w:fill="auto"/>
            <w:noWrap/>
            <w:vAlign w:val="center"/>
            <w:hideMark/>
          </w:tcPr>
          <w:p w14:paraId="74AC97D6"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7.595.284</w:t>
            </w:r>
          </w:p>
        </w:tc>
        <w:tc>
          <w:tcPr>
            <w:tcW w:w="1561" w:type="dxa"/>
            <w:shd w:val="clear" w:color="auto" w:fill="auto"/>
            <w:vAlign w:val="center"/>
          </w:tcPr>
          <w:p w14:paraId="1C49E0CF"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1,04023816732263</w:t>
            </w:r>
          </w:p>
        </w:tc>
        <w:tc>
          <w:tcPr>
            <w:tcW w:w="1020" w:type="dxa"/>
            <w:shd w:val="clear" w:color="auto" w:fill="auto"/>
            <w:vAlign w:val="center"/>
          </w:tcPr>
          <w:p w14:paraId="5942269C" w14:textId="77777777" w:rsidR="00CB7A4D" w:rsidRPr="00895891" w:rsidRDefault="00CB7A4D" w:rsidP="00895891">
            <w:pPr>
              <w:spacing w:before="40" w:after="40"/>
              <w:jc w:val="center"/>
              <w:rPr>
                <w:rFonts w:cs="Arial"/>
                <w:i/>
                <w:iCs/>
                <w:sz w:val="14"/>
                <w:szCs w:val="14"/>
              </w:rPr>
            </w:pPr>
            <w:r w:rsidRPr="00895891">
              <w:rPr>
                <w:rFonts w:cs="Arial"/>
                <w:i/>
                <w:iCs/>
                <w:sz w:val="14"/>
                <w:szCs w:val="14"/>
              </w:rPr>
              <w:t>7.368.539</w:t>
            </w:r>
          </w:p>
        </w:tc>
        <w:tc>
          <w:tcPr>
            <w:tcW w:w="1129" w:type="dxa"/>
            <w:shd w:val="clear" w:color="auto" w:fill="auto"/>
            <w:vAlign w:val="center"/>
          </w:tcPr>
          <w:p w14:paraId="59D01E77" w14:textId="77777777" w:rsidR="00CB7A4D" w:rsidRPr="00895891" w:rsidRDefault="00CB7A4D" w:rsidP="00895891">
            <w:pPr>
              <w:spacing w:before="40" w:after="40"/>
              <w:jc w:val="center"/>
              <w:rPr>
                <w:rFonts w:cs="Arial"/>
                <w:i/>
                <w:iCs/>
                <w:sz w:val="14"/>
                <w:szCs w:val="14"/>
              </w:rPr>
            </w:pPr>
            <w:r w:rsidRPr="00895891">
              <w:rPr>
                <w:rFonts w:cs="Arial"/>
                <w:i/>
                <w:iCs/>
                <w:color w:val="000000"/>
                <w:sz w:val="14"/>
                <w:szCs w:val="14"/>
              </w:rPr>
              <w:t>226.745</w:t>
            </w:r>
          </w:p>
        </w:tc>
      </w:tr>
    </w:tbl>
    <w:p w14:paraId="62DB2FC7" w14:textId="308F92FD" w:rsidR="00444599" w:rsidRDefault="005F3035" w:rsidP="0073609F">
      <w:pPr>
        <w:pStyle w:val="Cita"/>
        <w:ind w:left="284"/>
      </w:pPr>
      <w:r w:rsidRPr="005F3035">
        <w:t>Conforme a lo expuesto anteriormente, respetuosamente se solicita a la Comisión se considere la nueva propuesta para la senda de reducción de pérdidas presentada en la Imagen 2, considerando que dentro de los diferentes autos de pruebas no hubo indicaciones relacionadas con aclaraciones del Plan de Reducción de Pérdidas, por lo que no fue posible advertir con anterioridad los errores cometidos y que por consiguiente no sería aprobado, llevando a EEBP a realizar las inversiones propuestas en cumplimiento de lo establecido en la Resolución CREG 015 de 2018. En el Anexo “NUEVO PLAN REDUCCION PERDIDAS PROPUESTO”, se remite el detalle del Plan de Reducción de Pérdidas actualizado según los hallazgos mencionados anteriormente.</w:t>
      </w:r>
    </w:p>
    <w:p w14:paraId="54299BE1" w14:textId="56CAFAE6" w:rsidR="00444599" w:rsidRDefault="005F3035" w:rsidP="005F3035">
      <w:pPr>
        <w:ind w:left="567"/>
        <w:jc w:val="center"/>
        <w:rPr>
          <w:lang w:val="es-CO" w:eastAsia="en-US"/>
        </w:rPr>
      </w:pPr>
      <w:r>
        <w:rPr>
          <w:noProof/>
          <w:lang w:eastAsia="es-CO"/>
        </w:rPr>
        <w:drawing>
          <wp:inline distT="0" distB="0" distL="0" distR="0" wp14:anchorId="44083AEC" wp14:editId="17243814">
            <wp:extent cx="3987800" cy="2333625"/>
            <wp:effectExtent l="0" t="0" r="1270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A49450" w14:textId="049929E7" w:rsidR="00444599" w:rsidRPr="005F3035" w:rsidRDefault="005F3035" w:rsidP="005F3035">
      <w:pPr>
        <w:pStyle w:val="Cita"/>
        <w:rPr>
          <w:b/>
          <w:bCs/>
        </w:rPr>
      </w:pPr>
      <w:r w:rsidRPr="005F3035">
        <w:rPr>
          <w:b/>
          <w:bCs/>
        </w:rPr>
        <w:t>Imagen 2 – Nueva senda propuesta para reducción de pérdidas propuesta</w:t>
      </w:r>
    </w:p>
    <w:p w14:paraId="457FCD64" w14:textId="2C52E227" w:rsidR="005F3035" w:rsidRDefault="005F3035" w:rsidP="0073609F">
      <w:pPr>
        <w:pStyle w:val="Cita"/>
        <w:ind w:left="284"/>
      </w:pPr>
      <w:r w:rsidRPr="005F3035">
        <w:t>En la Tabla 3, se muestra el plan de pérdidas para evaluación de los primeros 5 años:</w:t>
      </w:r>
    </w:p>
    <w:p w14:paraId="772BD032" w14:textId="10AEDD34" w:rsidR="005F3035" w:rsidRPr="005F3035" w:rsidRDefault="005F3035" w:rsidP="005F3035">
      <w:pPr>
        <w:pStyle w:val="Cita"/>
        <w:jc w:val="center"/>
        <w:rPr>
          <w:b/>
          <w:bCs/>
        </w:rPr>
      </w:pPr>
      <w:r w:rsidRPr="005F3035">
        <w:rPr>
          <w:b/>
          <w:bCs/>
        </w:rPr>
        <w:t>Tabla 3 - Plan de pérdidas para evaluación de los primeros 5 años</w:t>
      </w:r>
    </w:p>
    <w:tbl>
      <w:tblPr>
        <w:tblW w:w="5612" w:type="dxa"/>
        <w:jc w:val="center"/>
        <w:tblCellMar>
          <w:left w:w="70" w:type="dxa"/>
          <w:right w:w="70" w:type="dxa"/>
        </w:tblCellMar>
        <w:tblLook w:val="04A0" w:firstRow="1" w:lastRow="0" w:firstColumn="1" w:lastColumn="0" w:noHBand="0" w:noVBand="1"/>
      </w:tblPr>
      <w:tblGrid>
        <w:gridCol w:w="4592"/>
        <w:gridCol w:w="1020"/>
      </w:tblGrid>
      <w:tr w:rsidR="00A22FD0" w:rsidRPr="00A22FD0" w14:paraId="3122CA39" w14:textId="77777777" w:rsidTr="00A22FD0">
        <w:trPr>
          <w:trHeight w:val="300"/>
          <w:jc w:val="center"/>
        </w:trPr>
        <w:tc>
          <w:tcPr>
            <w:tcW w:w="45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01AFF" w14:textId="7C0F96F0" w:rsidR="00A22FD0" w:rsidRPr="00A22FD0" w:rsidRDefault="00A22FD0" w:rsidP="00A22FD0">
            <w:pPr>
              <w:spacing w:before="40" w:after="40"/>
              <w:rPr>
                <w:rFonts w:cs="Calibri"/>
                <w:i/>
                <w:iCs/>
                <w:color w:val="000000"/>
                <w:sz w:val="20"/>
                <w:szCs w:val="20"/>
                <w:lang w:eastAsia="es-CO"/>
              </w:rPr>
            </w:pPr>
            <w:r w:rsidRPr="00A22FD0">
              <w:rPr>
                <w:rFonts w:cs="Calibri"/>
                <w:i/>
                <w:iCs/>
                <w:color w:val="000000"/>
                <w:sz w:val="20"/>
                <w:szCs w:val="20"/>
                <w:lang w:eastAsia="es-CO"/>
              </w:rPr>
              <w:t xml:space="preserve">  P</w:t>
            </w:r>
            <w:r w:rsidR="00ED1C85">
              <w:rPr>
                <w:rFonts w:cs="Calibri"/>
                <w:i/>
                <w:iCs/>
                <w:color w:val="000000"/>
                <w:sz w:val="20"/>
                <w:szCs w:val="20"/>
                <w:lang w:eastAsia="es-CO"/>
              </w:rPr>
              <w:t>eríodo</w:t>
            </w:r>
            <w:r w:rsidRPr="00A22FD0">
              <w:rPr>
                <w:rFonts w:cs="Calibri"/>
                <w:i/>
                <w:iCs/>
                <w:color w:val="000000"/>
                <w:sz w:val="20"/>
                <w:szCs w:val="20"/>
                <w:lang w:eastAsia="es-CO"/>
              </w:rPr>
              <w:t xml:space="preserve"> de evaluación 1, IPTSj,1</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3C089AAE" w14:textId="77777777" w:rsidR="00A22FD0" w:rsidRPr="00A22FD0" w:rsidRDefault="00A22FD0" w:rsidP="00A22FD0">
            <w:pPr>
              <w:spacing w:before="40" w:after="40"/>
              <w:jc w:val="right"/>
              <w:rPr>
                <w:rFonts w:cs="Calibri"/>
                <w:i/>
                <w:iCs/>
                <w:color w:val="000000"/>
                <w:sz w:val="20"/>
                <w:szCs w:val="20"/>
                <w:lang w:eastAsia="es-CO"/>
              </w:rPr>
            </w:pPr>
            <w:r w:rsidRPr="00A22FD0">
              <w:rPr>
                <w:rFonts w:cs="Calibri"/>
                <w:i/>
                <w:iCs/>
                <w:color w:val="000000"/>
                <w:sz w:val="20"/>
                <w:szCs w:val="20"/>
                <w:lang w:eastAsia="es-CO"/>
              </w:rPr>
              <w:t>16,95%</w:t>
            </w:r>
          </w:p>
        </w:tc>
      </w:tr>
      <w:tr w:rsidR="00A22FD0" w:rsidRPr="00A22FD0" w14:paraId="68F5A67C" w14:textId="77777777" w:rsidTr="00A22FD0">
        <w:trPr>
          <w:trHeight w:val="300"/>
          <w:jc w:val="center"/>
        </w:trPr>
        <w:tc>
          <w:tcPr>
            <w:tcW w:w="4592" w:type="dxa"/>
            <w:tcBorders>
              <w:top w:val="nil"/>
              <w:left w:val="single" w:sz="4" w:space="0" w:color="auto"/>
              <w:bottom w:val="single" w:sz="4" w:space="0" w:color="auto"/>
              <w:right w:val="single" w:sz="4" w:space="0" w:color="auto"/>
            </w:tcBorders>
            <w:shd w:val="clear" w:color="auto" w:fill="auto"/>
            <w:vAlign w:val="bottom"/>
            <w:hideMark/>
          </w:tcPr>
          <w:p w14:paraId="1EB4AB59" w14:textId="7D1E7BD5" w:rsidR="00A22FD0" w:rsidRPr="00A22FD0" w:rsidRDefault="00A22FD0" w:rsidP="00A22FD0">
            <w:pPr>
              <w:spacing w:before="40" w:after="40"/>
              <w:rPr>
                <w:rFonts w:cs="Calibri"/>
                <w:i/>
                <w:iCs/>
                <w:color w:val="000000"/>
                <w:sz w:val="20"/>
                <w:szCs w:val="20"/>
                <w:lang w:eastAsia="es-CO"/>
              </w:rPr>
            </w:pPr>
            <w:r w:rsidRPr="00A22FD0">
              <w:rPr>
                <w:rFonts w:cs="Calibri"/>
                <w:i/>
                <w:iCs/>
                <w:color w:val="000000"/>
                <w:sz w:val="20"/>
                <w:szCs w:val="20"/>
                <w:lang w:eastAsia="es-CO"/>
              </w:rPr>
              <w:t xml:space="preserve">  P</w:t>
            </w:r>
            <w:r w:rsidR="00ED1C85">
              <w:rPr>
                <w:rFonts w:cs="Calibri"/>
                <w:i/>
                <w:iCs/>
                <w:color w:val="000000"/>
                <w:sz w:val="20"/>
                <w:szCs w:val="20"/>
                <w:lang w:eastAsia="es-CO"/>
              </w:rPr>
              <w:t>eríodo</w:t>
            </w:r>
            <w:r w:rsidRPr="00A22FD0">
              <w:rPr>
                <w:rFonts w:cs="Calibri"/>
                <w:i/>
                <w:iCs/>
                <w:color w:val="000000"/>
                <w:sz w:val="20"/>
                <w:szCs w:val="20"/>
                <w:lang w:eastAsia="es-CO"/>
              </w:rPr>
              <w:t xml:space="preserve"> de evaluación 2, IPTSj,2</w:t>
            </w:r>
          </w:p>
        </w:tc>
        <w:tc>
          <w:tcPr>
            <w:tcW w:w="1020" w:type="dxa"/>
            <w:tcBorders>
              <w:top w:val="nil"/>
              <w:left w:val="nil"/>
              <w:bottom w:val="single" w:sz="4" w:space="0" w:color="auto"/>
              <w:right w:val="single" w:sz="4" w:space="0" w:color="auto"/>
            </w:tcBorders>
            <w:shd w:val="clear" w:color="auto" w:fill="auto"/>
            <w:vAlign w:val="bottom"/>
            <w:hideMark/>
          </w:tcPr>
          <w:p w14:paraId="141E497B" w14:textId="77777777" w:rsidR="00A22FD0" w:rsidRPr="00A22FD0" w:rsidRDefault="00A22FD0" w:rsidP="00A22FD0">
            <w:pPr>
              <w:spacing w:before="40" w:after="40"/>
              <w:jc w:val="right"/>
              <w:rPr>
                <w:rFonts w:cs="Calibri"/>
                <w:i/>
                <w:iCs/>
                <w:color w:val="000000"/>
                <w:sz w:val="20"/>
                <w:szCs w:val="20"/>
                <w:lang w:eastAsia="es-CO"/>
              </w:rPr>
            </w:pPr>
            <w:r w:rsidRPr="00A22FD0">
              <w:rPr>
                <w:rFonts w:cs="Calibri"/>
                <w:i/>
                <w:iCs/>
                <w:color w:val="000000"/>
                <w:sz w:val="20"/>
                <w:szCs w:val="20"/>
                <w:lang w:eastAsia="es-CO"/>
              </w:rPr>
              <w:t>16,36%</w:t>
            </w:r>
          </w:p>
        </w:tc>
      </w:tr>
      <w:tr w:rsidR="00A22FD0" w:rsidRPr="00A22FD0" w14:paraId="62ADB593" w14:textId="77777777" w:rsidTr="00A22FD0">
        <w:trPr>
          <w:trHeight w:val="300"/>
          <w:jc w:val="center"/>
        </w:trPr>
        <w:tc>
          <w:tcPr>
            <w:tcW w:w="4592" w:type="dxa"/>
            <w:tcBorders>
              <w:top w:val="nil"/>
              <w:left w:val="single" w:sz="4" w:space="0" w:color="auto"/>
              <w:bottom w:val="single" w:sz="4" w:space="0" w:color="auto"/>
              <w:right w:val="single" w:sz="4" w:space="0" w:color="auto"/>
            </w:tcBorders>
            <w:shd w:val="clear" w:color="auto" w:fill="auto"/>
            <w:vAlign w:val="bottom"/>
            <w:hideMark/>
          </w:tcPr>
          <w:p w14:paraId="3300C2BB" w14:textId="158183F5" w:rsidR="00A22FD0" w:rsidRPr="00A22FD0" w:rsidRDefault="00A22FD0" w:rsidP="00A22FD0">
            <w:pPr>
              <w:spacing w:before="40" w:after="40"/>
              <w:rPr>
                <w:rFonts w:cs="Calibri"/>
                <w:i/>
                <w:iCs/>
                <w:color w:val="000000"/>
                <w:sz w:val="20"/>
                <w:szCs w:val="20"/>
                <w:lang w:eastAsia="es-CO"/>
              </w:rPr>
            </w:pPr>
            <w:r w:rsidRPr="00A22FD0">
              <w:rPr>
                <w:rFonts w:cs="Calibri"/>
                <w:i/>
                <w:iCs/>
                <w:color w:val="000000"/>
                <w:sz w:val="20"/>
                <w:szCs w:val="20"/>
                <w:lang w:eastAsia="es-CO"/>
              </w:rPr>
              <w:t xml:space="preserve">  P</w:t>
            </w:r>
            <w:r w:rsidR="00ED1C85">
              <w:rPr>
                <w:rFonts w:cs="Calibri"/>
                <w:i/>
                <w:iCs/>
                <w:color w:val="000000"/>
                <w:sz w:val="20"/>
                <w:szCs w:val="20"/>
                <w:lang w:eastAsia="es-CO"/>
              </w:rPr>
              <w:t>eríodo</w:t>
            </w:r>
            <w:r w:rsidRPr="00A22FD0">
              <w:rPr>
                <w:rFonts w:cs="Calibri"/>
                <w:i/>
                <w:iCs/>
                <w:color w:val="000000"/>
                <w:sz w:val="20"/>
                <w:szCs w:val="20"/>
                <w:lang w:eastAsia="es-CO"/>
              </w:rPr>
              <w:t xml:space="preserve"> de evaluación 3, IPTSj,3</w:t>
            </w:r>
          </w:p>
        </w:tc>
        <w:tc>
          <w:tcPr>
            <w:tcW w:w="1020" w:type="dxa"/>
            <w:tcBorders>
              <w:top w:val="nil"/>
              <w:left w:val="nil"/>
              <w:bottom w:val="single" w:sz="4" w:space="0" w:color="auto"/>
              <w:right w:val="single" w:sz="4" w:space="0" w:color="auto"/>
            </w:tcBorders>
            <w:shd w:val="clear" w:color="auto" w:fill="auto"/>
            <w:vAlign w:val="bottom"/>
            <w:hideMark/>
          </w:tcPr>
          <w:p w14:paraId="3F3B580D" w14:textId="77777777" w:rsidR="00A22FD0" w:rsidRPr="00A22FD0" w:rsidRDefault="00A22FD0" w:rsidP="00A22FD0">
            <w:pPr>
              <w:spacing w:before="40" w:after="40"/>
              <w:jc w:val="right"/>
              <w:rPr>
                <w:rFonts w:cs="Calibri"/>
                <w:i/>
                <w:iCs/>
                <w:color w:val="000000"/>
                <w:sz w:val="20"/>
                <w:szCs w:val="20"/>
                <w:lang w:eastAsia="es-CO"/>
              </w:rPr>
            </w:pPr>
            <w:r w:rsidRPr="00A22FD0">
              <w:rPr>
                <w:rFonts w:cs="Calibri"/>
                <w:i/>
                <w:iCs/>
                <w:color w:val="000000"/>
                <w:sz w:val="20"/>
                <w:szCs w:val="20"/>
                <w:lang w:eastAsia="es-CO"/>
              </w:rPr>
              <w:t>15,8%</w:t>
            </w:r>
          </w:p>
        </w:tc>
      </w:tr>
      <w:tr w:rsidR="00A22FD0" w:rsidRPr="00A22FD0" w14:paraId="3433E9DC" w14:textId="77777777" w:rsidTr="00A22FD0">
        <w:trPr>
          <w:trHeight w:val="300"/>
          <w:jc w:val="center"/>
        </w:trPr>
        <w:tc>
          <w:tcPr>
            <w:tcW w:w="4592" w:type="dxa"/>
            <w:tcBorders>
              <w:top w:val="nil"/>
              <w:left w:val="single" w:sz="4" w:space="0" w:color="auto"/>
              <w:bottom w:val="single" w:sz="4" w:space="0" w:color="auto"/>
              <w:right w:val="single" w:sz="4" w:space="0" w:color="auto"/>
            </w:tcBorders>
            <w:shd w:val="clear" w:color="auto" w:fill="auto"/>
            <w:vAlign w:val="bottom"/>
            <w:hideMark/>
          </w:tcPr>
          <w:p w14:paraId="3D1BB3DA" w14:textId="24AFFEEF" w:rsidR="00A22FD0" w:rsidRPr="00A22FD0" w:rsidRDefault="00A22FD0" w:rsidP="00A22FD0">
            <w:pPr>
              <w:spacing w:before="40" w:after="40"/>
              <w:rPr>
                <w:rFonts w:cs="Calibri"/>
                <w:i/>
                <w:iCs/>
                <w:color w:val="000000"/>
                <w:sz w:val="20"/>
                <w:szCs w:val="20"/>
                <w:lang w:eastAsia="es-CO"/>
              </w:rPr>
            </w:pPr>
            <w:r w:rsidRPr="00A22FD0">
              <w:rPr>
                <w:rFonts w:cs="Calibri"/>
                <w:i/>
                <w:iCs/>
                <w:color w:val="000000"/>
                <w:sz w:val="20"/>
                <w:szCs w:val="20"/>
                <w:lang w:eastAsia="es-CO"/>
              </w:rPr>
              <w:t xml:space="preserve">  P</w:t>
            </w:r>
            <w:r w:rsidR="00ED1C85">
              <w:rPr>
                <w:rFonts w:cs="Calibri"/>
                <w:i/>
                <w:iCs/>
                <w:color w:val="000000"/>
                <w:sz w:val="20"/>
                <w:szCs w:val="20"/>
                <w:lang w:eastAsia="es-CO"/>
              </w:rPr>
              <w:t>eríodo</w:t>
            </w:r>
            <w:r w:rsidRPr="00A22FD0">
              <w:rPr>
                <w:rFonts w:cs="Calibri"/>
                <w:i/>
                <w:iCs/>
                <w:color w:val="000000"/>
                <w:sz w:val="20"/>
                <w:szCs w:val="20"/>
                <w:lang w:eastAsia="es-CO"/>
              </w:rPr>
              <w:t xml:space="preserve"> de evaluación 4, IPTSj,4</w:t>
            </w:r>
          </w:p>
        </w:tc>
        <w:tc>
          <w:tcPr>
            <w:tcW w:w="1020" w:type="dxa"/>
            <w:tcBorders>
              <w:top w:val="nil"/>
              <w:left w:val="nil"/>
              <w:bottom w:val="single" w:sz="4" w:space="0" w:color="auto"/>
              <w:right w:val="single" w:sz="4" w:space="0" w:color="auto"/>
            </w:tcBorders>
            <w:shd w:val="clear" w:color="auto" w:fill="auto"/>
            <w:vAlign w:val="bottom"/>
            <w:hideMark/>
          </w:tcPr>
          <w:p w14:paraId="6ACF77CD" w14:textId="77777777" w:rsidR="00A22FD0" w:rsidRPr="00A22FD0" w:rsidRDefault="00A22FD0" w:rsidP="00A22FD0">
            <w:pPr>
              <w:spacing w:before="40" w:after="40"/>
              <w:jc w:val="right"/>
              <w:rPr>
                <w:rFonts w:cs="Calibri"/>
                <w:i/>
                <w:iCs/>
                <w:color w:val="000000"/>
                <w:sz w:val="20"/>
                <w:szCs w:val="20"/>
                <w:lang w:eastAsia="es-CO"/>
              </w:rPr>
            </w:pPr>
            <w:r w:rsidRPr="00A22FD0">
              <w:rPr>
                <w:rFonts w:cs="Calibri"/>
                <w:i/>
                <w:iCs/>
                <w:color w:val="000000"/>
                <w:sz w:val="20"/>
                <w:szCs w:val="20"/>
                <w:lang w:eastAsia="es-CO"/>
              </w:rPr>
              <w:t>15,3%</w:t>
            </w:r>
          </w:p>
        </w:tc>
      </w:tr>
      <w:tr w:rsidR="00A22FD0" w:rsidRPr="00A22FD0" w14:paraId="351A1B6B" w14:textId="77777777" w:rsidTr="00A22FD0">
        <w:trPr>
          <w:trHeight w:val="300"/>
          <w:jc w:val="center"/>
        </w:trPr>
        <w:tc>
          <w:tcPr>
            <w:tcW w:w="4592" w:type="dxa"/>
            <w:tcBorders>
              <w:top w:val="nil"/>
              <w:left w:val="single" w:sz="4" w:space="0" w:color="auto"/>
              <w:bottom w:val="single" w:sz="4" w:space="0" w:color="auto"/>
              <w:right w:val="single" w:sz="4" w:space="0" w:color="auto"/>
            </w:tcBorders>
            <w:shd w:val="clear" w:color="auto" w:fill="auto"/>
            <w:vAlign w:val="bottom"/>
            <w:hideMark/>
          </w:tcPr>
          <w:p w14:paraId="469F7676" w14:textId="0ED3E1C1" w:rsidR="00A22FD0" w:rsidRPr="00A22FD0" w:rsidRDefault="00A22FD0" w:rsidP="00A22FD0">
            <w:pPr>
              <w:spacing w:before="40" w:after="40"/>
              <w:rPr>
                <w:rFonts w:cs="Calibri"/>
                <w:i/>
                <w:iCs/>
                <w:color w:val="000000"/>
                <w:sz w:val="20"/>
                <w:szCs w:val="20"/>
                <w:lang w:eastAsia="es-CO"/>
              </w:rPr>
            </w:pPr>
            <w:r w:rsidRPr="00A22FD0">
              <w:rPr>
                <w:rFonts w:cs="Calibri"/>
                <w:i/>
                <w:iCs/>
                <w:color w:val="000000"/>
                <w:sz w:val="20"/>
                <w:szCs w:val="20"/>
                <w:lang w:eastAsia="es-CO"/>
              </w:rPr>
              <w:t xml:space="preserve">  P</w:t>
            </w:r>
            <w:r w:rsidR="00ED1C85">
              <w:rPr>
                <w:rFonts w:cs="Calibri"/>
                <w:i/>
                <w:iCs/>
                <w:color w:val="000000"/>
                <w:sz w:val="20"/>
                <w:szCs w:val="20"/>
                <w:lang w:eastAsia="es-CO"/>
              </w:rPr>
              <w:t>eríodo</w:t>
            </w:r>
            <w:r w:rsidRPr="00A22FD0">
              <w:rPr>
                <w:rFonts w:cs="Calibri"/>
                <w:i/>
                <w:iCs/>
                <w:color w:val="000000"/>
                <w:sz w:val="20"/>
                <w:szCs w:val="20"/>
                <w:lang w:eastAsia="es-CO"/>
              </w:rPr>
              <w:t xml:space="preserve"> de evaluación 5, IPTSj,5</w:t>
            </w:r>
          </w:p>
        </w:tc>
        <w:tc>
          <w:tcPr>
            <w:tcW w:w="1020" w:type="dxa"/>
            <w:tcBorders>
              <w:top w:val="nil"/>
              <w:left w:val="nil"/>
              <w:bottom w:val="single" w:sz="4" w:space="0" w:color="auto"/>
              <w:right w:val="single" w:sz="4" w:space="0" w:color="auto"/>
            </w:tcBorders>
            <w:shd w:val="clear" w:color="auto" w:fill="auto"/>
            <w:vAlign w:val="bottom"/>
            <w:hideMark/>
          </w:tcPr>
          <w:p w14:paraId="6E906907" w14:textId="77777777" w:rsidR="00A22FD0" w:rsidRPr="00A22FD0" w:rsidRDefault="00A22FD0" w:rsidP="00A22FD0">
            <w:pPr>
              <w:spacing w:before="40" w:after="40"/>
              <w:jc w:val="right"/>
              <w:rPr>
                <w:rFonts w:cs="Calibri"/>
                <w:i/>
                <w:iCs/>
                <w:color w:val="000000"/>
                <w:sz w:val="20"/>
                <w:szCs w:val="20"/>
                <w:lang w:eastAsia="es-CO"/>
              </w:rPr>
            </w:pPr>
            <w:r w:rsidRPr="00A22FD0">
              <w:rPr>
                <w:rFonts w:cs="Calibri"/>
                <w:i/>
                <w:iCs/>
                <w:color w:val="000000"/>
                <w:sz w:val="20"/>
                <w:szCs w:val="20"/>
                <w:lang w:eastAsia="es-CO"/>
              </w:rPr>
              <w:t>14,9%</w:t>
            </w:r>
          </w:p>
        </w:tc>
      </w:tr>
    </w:tbl>
    <w:p w14:paraId="71C4B564" w14:textId="77777777" w:rsidR="00A22FD0" w:rsidRDefault="00A22FD0" w:rsidP="0073609F">
      <w:pPr>
        <w:pStyle w:val="Cita"/>
        <w:ind w:left="284"/>
      </w:pPr>
      <w:r>
        <w:t xml:space="preserve">Por otro lado, se observa que en el Artículo 16 de la Resolución CREG 218 de 2021, “Costo anual del plan de gestión de pérdidas”, se aprueba un CAPj de 215.000.000 de pesos de diciembre de 2017, mientras que en el anexo “Cálculo ingresos D BAJOPUTUMAYO.xlsx” el valor es de 133.842.950 de pesos de diciembre de 2017. </w:t>
      </w:r>
    </w:p>
    <w:p w14:paraId="226FB644" w14:textId="77777777" w:rsidR="00A22FD0" w:rsidRDefault="00A22FD0" w:rsidP="0073609F">
      <w:pPr>
        <w:pStyle w:val="Cita"/>
        <w:ind w:left="284"/>
      </w:pPr>
      <w:r>
        <w:t>En ese sentido, a pesar de que no coincidan los valores mencionados anteriormente, se solicita sea considerado el CAPj calculado para la nueva propuesta del Plan de Reducción de Pérdidas, determinado a partir de los valores arrojados por el aplicativo del cálculo del costo eficiente del Plan de Reducción de Pérdidas de la UTP. Se anexa caso simulado en el aplicativo CREG Act 2021 EEBP, por medio del archivo “2021_12_28_17_48_31-1.xlsx”.</w:t>
      </w:r>
    </w:p>
    <w:p w14:paraId="13CFD993" w14:textId="5592E391" w:rsidR="005F3035" w:rsidRDefault="004A3020" w:rsidP="004A3020">
      <w:r>
        <w:t xml:space="preserve">Sobre el tema de los insumos utilizados para ingresar a la valoración de los índices de pérdidas, </w:t>
      </w:r>
      <w:r w:rsidR="00CE03C3">
        <w:t>en el 2019</w:t>
      </w:r>
      <w:r w:rsidR="00583086">
        <w:t xml:space="preserve"> </w:t>
      </w:r>
      <w:r>
        <w:t>se</w:t>
      </w:r>
      <w:r w:rsidR="00810423">
        <w:t xml:space="preserve"> realizó una consulta sobre las fronteras </w:t>
      </w:r>
      <w:r w:rsidR="00810423">
        <w:lastRenderedPageBreak/>
        <w:t xml:space="preserve">comerciales de todos los operadores de red del </w:t>
      </w:r>
      <w:r w:rsidR="00ED1C85">
        <w:t>Sistema Interconectado Nacional</w:t>
      </w:r>
      <w:r w:rsidR="00810423">
        <w:t xml:space="preserve"> dentro de los cuales estaba la EEBP</w:t>
      </w:r>
      <w:r>
        <w:t xml:space="preserve">, como lo especifica el Documento CREG </w:t>
      </w:r>
      <w:r w:rsidR="00903A85">
        <w:t xml:space="preserve">178 de 2021, que sirvió </w:t>
      </w:r>
      <w:r w:rsidR="00613F42">
        <w:t>como</w:t>
      </w:r>
      <w:r w:rsidR="00903A85">
        <w:t xml:space="preserve"> soporte a la Resolución CREG 218 de 2021</w:t>
      </w:r>
      <w:r w:rsidR="003C1B5F">
        <w:t>.</w:t>
      </w:r>
    </w:p>
    <w:p w14:paraId="7DAA785F" w14:textId="4BF07BD4" w:rsidR="00B67FA2" w:rsidRDefault="00B67FA2" w:rsidP="004A3020">
      <w:r>
        <w:t xml:space="preserve">La información utilizada </w:t>
      </w:r>
      <w:r w:rsidR="0001581E">
        <w:t xml:space="preserve">corresponde a la remitida por XM </w:t>
      </w:r>
      <w:r w:rsidR="00ED1C85">
        <w:t xml:space="preserve">S.A. E.S.P. </w:t>
      </w:r>
      <w:r w:rsidR="0001581E">
        <w:t xml:space="preserve">de la mencionada consulta. Se procedió a solicitar </w:t>
      </w:r>
      <w:r w:rsidR="00A31541">
        <w:t xml:space="preserve">a XM </w:t>
      </w:r>
      <w:r w:rsidR="00ED1C85">
        <w:t xml:space="preserve">S.A. E.S.P. </w:t>
      </w:r>
      <w:r w:rsidR="00A31541">
        <w:t xml:space="preserve">nuevamente la realización de la consulta de las fronteras comerciales de </w:t>
      </w:r>
      <w:r w:rsidR="0001581E">
        <w:t xml:space="preserve">la </w:t>
      </w:r>
      <w:r w:rsidR="00220274">
        <w:t>Empresa de Energía del Bajo Putumayo</w:t>
      </w:r>
      <w:r w:rsidR="00ED1C85">
        <w:t xml:space="preserve"> S.A. E.S.P.</w:t>
      </w:r>
      <w:r w:rsidR="00220274">
        <w:t xml:space="preserve">, </w:t>
      </w:r>
      <w:r w:rsidR="0001581E">
        <w:t xml:space="preserve">EEBP </w:t>
      </w:r>
      <w:r w:rsidR="00220274">
        <w:t xml:space="preserve">para los años 2016 </w:t>
      </w:r>
      <w:r w:rsidR="00B012C0">
        <w:t>a</w:t>
      </w:r>
      <w:r w:rsidR="00220274">
        <w:t xml:space="preserve"> 201</w:t>
      </w:r>
      <w:r w:rsidR="00454CE8">
        <w:t>8</w:t>
      </w:r>
      <w:r w:rsidR="00B012C0">
        <w:t>.</w:t>
      </w:r>
      <w:r w:rsidR="00F158E1">
        <w:t xml:space="preserve"> Mediante la comunicación radicada en la CREG bajo el número E-2022-00</w:t>
      </w:r>
      <w:r w:rsidR="00BA64BF">
        <w:t xml:space="preserve">3493, XM </w:t>
      </w:r>
      <w:r w:rsidR="00ED1C85">
        <w:t xml:space="preserve">S.A. E.S.P. </w:t>
      </w:r>
      <w:r w:rsidR="00BA64BF">
        <w:t>envió nuevamente la información</w:t>
      </w:r>
      <w:r w:rsidR="00D613F8">
        <w:t>, la cual</w:t>
      </w:r>
      <w:r w:rsidR="00ED1C85">
        <w:t>,</w:t>
      </w:r>
      <w:r w:rsidR="00D613F8">
        <w:t xml:space="preserve"> para el año 2017</w:t>
      </w:r>
      <w:r w:rsidR="00ED1C85">
        <w:t>,</w:t>
      </w:r>
      <w:r w:rsidR="00D613F8">
        <w:t xml:space="preserve"> coincide con la información utilizada por la Comisión en su momento</w:t>
      </w:r>
      <w:r w:rsidR="00482CC1">
        <w:t xml:space="preserve"> para la aprobación de ingresos de la Empresa de Energía del Bajo Putumayo</w:t>
      </w:r>
      <w:r w:rsidR="00ED1C85">
        <w:t xml:space="preserve"> S.A. E.S.P.</w:t>
      </w:r>
      <w:r w:rsidR="004473BC">
        <w:t>, EEBP.</w:t>
      </w:r>
    </w:p>
    <w:p w14:paraId="48CF7AB1" w14:textId="704B78CD" w:rsidR="001F212C" w:rsidRDefault="001F212C" w:rsidP="004A3020">
      <w:r>
        <w:t xml:space="preserve">Es importante mencionar que el aplicativo desarrollado por la Comisión </w:t>
      </w:r>
      <w:r w:rsidR="004473BC">
        <w:t>se nutre únicamente de</w:t>
      </w:r>
      <w:r>
        <w:t xml:space="preserve"> la información de las lecturas crudas</w:t>
      </w:r>
      <w:r w:rsidR="004473BC">
        <w:t xml:space="preserve"> </w:t>
      </w:r>
      <w:r w:rsidR="00CB3578">
        <w:t>reportadas para las fronteras comerciales de los OR</w:t>
      </w:r>
      <w:r w:rsidR="00ED1C85">
        <w:t>,</w:t>
      </w:r>
      <w:r w:rsidR="00CB3578">
        <w:t xml:space="preserve"> </w:t>
      </w:r>
      <w:r w:rsidR="0089643A">
        <w:t>y en ningún caso se utilizan factores de pérdidas</w:t>
      </w:r>
      <w:r w:rsidR="000769CA">
        <w:t>.</w:t>
      </w:r>
      <w:r w:rsidR="00224108">
        <w:t xml:space="preserve"> A continuación</w:t>
      </w:r>
      <w:r w:rsidR="00FA55E2">
        <w:t>,</w:t>
      </w:r>
      <w:r w:rsidR="00224108">
        <w:t xml:space="preserve"> se presenta la información utilizada por la Comisión </w:t>
      </w:r>
      <w:r w:rsidR="005E52FB">
        <w:t xml:space="preserve">para la aprobación de ingresos y la reportada por XM </w:t>
      </w:r>
      <w:r w:rsidR="00ED1C85">
        <w:t xml:space="preserve">S.A. E.S.P. </w:t>
      </w:r>
      <w:r w:rsidR="005E52FB">
        <w:t xml:space="preserve">en </w:t>
      </w:r>
      <w:r w:rsidR="000A602A">
        <w:t>la nueva consulta reportada</w:t>
      </w:r>
      <w:r w:rsidR="000C17D9">
        <w:t xml:space="preserve"> para la frontera </w:t>
      </w:r>
      <w:r w:rsidR="009A26AD">
        <w:t>Frt26893</w:t>
      </w:r>
      <w:r w:rsidR="000A602A">
        <w:t>:</w:t>
      </w:r>
    </w:p>
    <w:tbl>
      <w:tblPr>
        <w:tblStyle w:val="Tablaconcuadrcula"/>
        <w:tblW w:w="5556" w:type="dxa"/>
        <w:jc w:val="center"/>
        <w:tblLook w:val="04A0" w:firstRow="1" w:lastRow="0" w:firstColumn="1" w:lastColumn="0" w:noHBand="0" w:noVBand="1"/>
      </w:tblPr>
      <w:tblGrid>
        <w:gridCol w:w="1134"/>
        <w:gridCol w:w="1134"/>
        <w:gridCol w:w="1644"/>
        <w:gridCol w:w="1644"/>
      </w:tblGrid>
      <w:tr w:rsidR="00FA55E2" w:rsidRPr="00895891" w14:paraId="0E9776C9" w14:textId="024F33A2" w:rsidTr="0068209A">
        <w:trPr>
          <w:trHeight w:val="385"/>
          <w:tblHeader/>
          <w:jc w:val="center"/>
        </w:trPr>
        <w:tc>
          <w:tcPr>
            <w:tcW w:w="1134" w:type="dxa"/>
            <w:shd w:val="clear" w:color="auto" w:fill="auto"/>
            <w:vAlign w:val="center"/>
          </w:tcPr>
          <w:p w14:paraId="0BA788AF" w14:textId="77777777" w:rsidR="00FA55E2" w:rsidRPr="00895891" w:rsidRDefault="00FA55E2" w:rsidP="0068209A">
            <w:pPr>
              <w:spacing w:before="40" w:after="40"/>
              <w:jc w:val="center"/>
              <w:rPr>
                <w:rFonts w:cs="Arial"/>
                <w:b/>
                <w:bCs/>
                <w:i/>
                <w:iCs/>
                <w:sz w:val="14"/>
                <w:szCs w:val="14"/>
              </w:rPr>
            </w:pPr>
            <w:r w:rsidRPr="00895891">
              <w:rPr>
                <w:rFonts w:cs="Arial"/>
                <w:b/>
                <w:bCs/>
                <w:i/>
                <w:iCs/>
                <w:sz w:val="14"/>
                <w:szCs w:val="14"/>
              </w:rPr>
              <w:t>MES</w:t>
            </w:r>
          </w:p>
        </w:tc>
        <w:tc>
          <w:tcPr>
            <w:tcW w:w="1134" w:type="dxa"/>
            <w:shd w:val="clear" w:color="auto" w:fill="auto"/>
            <w:vAlign w:val="center"/>
            <w:hideMark/>
          </w:tcPr>
          <w:p w14:paraId="35335D85" w14:textId="5F8AC343" w:rsidR="00FA55E2" w:rsidRPr="00895891" w:rsidRDefault="00FA55E2" w:rsidP="0068209A">
            <w:pPr>
              <w:spacing w:before="40" w:after="40"/>
              <w:jc w:val="center"/>
              <w:rPr>
                <w:rFonts w:cs="Arial"/>
                <w:b/>
                <w:bCs/>
                <w:i/>
                <w:iCs/>
                <w:sz w:val="14"/>
                <w:szCs w:val="14"/>
              </w:rPr>
            </w:pPr>
            <w:r w:rsidRPr="00895891">
              <w:rPr>
                <w:rFonts w:cs="Arial"/>
                <w:b/>
                <w:bCs/>
                <w:i/>
                <w:iCs/>
                <w:sz w:val="14"/>
                <w:szCs w:val="14"/>
              </w:rPr>
              <w:t>CÓDIGO SIC</w:t>
            </w:r>
          </w:p>
        </w:tc>
        <w:tc>
          <w:tcPr>
            <w:tcW w:w="1644" w:type="dxa"/>
            <w:vAlign w:val="center"/>
          </w:tcPr>
          <w:p w14:paraId="027DDD94" w14:textId="6971DD32" w:rsidR="00FA55E2" w:rsidRDefault="00FA55E2" w:rsidP="0068209A">
            <w:pPr>
              <w:spacing w:before="40" w:after="40"/>
              <w:jc w:val="center"/>
              <w:rPr>
                <w:rFonts w:cs="Arial"/>
                <w:b/>
                <w:bCs/>
                <w:i/>
                <w:iCs/>
                <w:sz w:val="14"/>
                <w:szCs w:val="14"/>
              </w:rPr>
            </w:pPr>
            <w:r w:rsidRPr="00C43D06">
              <w:rPr>
                <w:rFonts w:cs="Arial"/>
                <w:b/>
                <w:bCs/>
                <w:i/>
                <w:iCs/>
                <w:sz w:val="14"/>
                <w:szCs w:val="14"/>
              </w:rPr>
              <w:t>LECTURA CRUDA KWH</w:t>
            </w:r>
          </w:p>
          <w:p w14:paraId="203F3087" w14:textId="5CC3CCAB" w:rsidR="00FA55E2" w:rsidRPr="00895891" w:rsidRDefault="00FA55E2" w:rsidP="0068209A">
            <w:pPr>
              <w:spacing w:before="40" w:after="40"/>
              <w:jc w:val="center"/>
              <w:rPr>
                <w:rFonts w:cs="Arial"/>
                <w:b/>
                <w:bCs/>
                <w:i/>
                <w:iCs/>
                <w:sz w:val="14"/>
                <w:szCs w:val="14"/>
              </w:rPr>
            </w:pPr>
            <w:r>
              <w:rPr>
                <w:rFonts w:cs="Arial"/>
                <w:b/>
                <w:bCs/>
                <w:i/>
                <w:iCs/>
                <w:sz w:val="14"/>
                <w:szCs w:val="14"/>
              </w:rPr>
              <w:t>Utilizada en aprobación</w:t>
            </w:r>
          </w:p>
        </w:tc>
        <w:tc>
          <w:tcPr>
            <w:tcW w:w="1644" w:type="dxa"/>
            <w:vAlign w:val="center"/>
          </w:tcPr>
          <w:p w14:paraId="652564B1" w14:textId="503FAAAB" w:rsidR="00FA55E2" w:rsidRDefault="00FA55E2" w:rsidP="0068209A">
            <w:pPr>
              <w:spacing w:before="40" w:after="40"/>
              <w:jc w:val="center"/>
              <w:rPr>
                <w:rFonts w:cs="Arial"/>
                <w:b/>
                <w:bCs/>
                <w:i/>
                <w:iCs/>
                <w:sz w:val="14"/>
                <w:szCs w:val="14"/>
              </w:rPr>
            </w:pPr>
            <w:r w:rsidRPr="00C43D06">
              <w:rPr>
                <w:rFonts w:cs="Arial"/>
                <w:b/>
                <w:bCs/>
                <w:i/>
                <w:iCs/>
                <w:sz w:val="14"/>
                <w:szCs w:val="14"/>
              </w:rPr>
              <w:t>LECTURA CRUDA KWH</w:t>
            </w:r>
          </w:p>
          <w:p w14:paraId="337C8633" w14:textId="2EEF8554" w:rsidR="00FA55E2" w:rsidRPr="00C43D06" w:rsidRDefault="00FA55E2" w:rsidP="0068209A">
            <w:pPr>
              <w:spacing w:before="40" w:after="40"/>
              <w:jc w:val="center"/>
              <w:rPr>
                <w:rFonts w:cs="Arial"/>
                <w:b/>
                <w:bCs/>
                <w:i/>
                <w:iCs/>
                <w:sz w:val="14"/>
                <w:szCs w:val="14"/>
              </w:rPr>
            </w:pPr>
            <w:r>
              <w:rPr>
                <w:rFonts w:cs="Arial"/>
                <w:b/>
                <w:bCs/>
                <w:i/>
                <w:iCs/>
                <w:sz w:val="14"/>
                <w:szCs w:val="14"/>
              </w:rPr>
              <w:t>Reportada por XM en radicado CREG E-2022-</w:t>
            </w:r>
            <w:r w:rsidR="00047911">
              <w:rPr>
                <w:rFonts w:cs="Arial"/>
                <w:b/>
                <w:bCs/>
                <w:i/>
                <w:iCs/>
                <w:sz w:val="14"/>
                <w:szCs w:val="14"/>
              </w:rPr>
              <w:t>003493</w:t>
            </w:r>
          </w:p>
        </w:tc>
      </w:tr>
      <w:tr w:rsidR="00D971C5" w:rsidRPr="00895891" w14:paraId="03940A03" w14:textId="7EB437B7" w:rsidTr="0068209A">
        <w:trPr>
          <w:trHeight w:val="272"/>
          <w:jc w:val="center"/>
        </w:trPr>
        <w:tc>
          <w:tcPr>
            <w:tcW w:w="1134" w:type="dxa"/>
            <w:shd w:val="clear" w:color="auto" w:fill="auto"/>
            <w:vAlign w:val="center"/>
          </w:tcPr>
          <w:p w14:paraId="63B4AAB9"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04/2017</w:t>
            </w:r>
          </w:p>
        </w:tc>
        <w:tc>
          <w:tcPr>
            <w:tcW w:w="1134" w:type="dxa"/>
            <w:shd w:val="clear" w:color="auto" w:fill="auto"/>
            <w:noWrap/>
            <w:vAlign w:val="center"/>
            <w:hideMark/>
          </w:tcPr>
          <w:p w14:paraId="250673C5"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6B6E2733" w14:textId="4D4C4957" w:rsidR="00D971C5" w:rsidRPr="0068209A" w:rsidRDefault="00D971C5" w:rsidP="0068209A">
            <w:pPr>
              <w:spacing w:before="40" w:after="40"/>
              <w:jc w:val="center"/>
              <w:rPr>
                <w:i/>
                <w:iCs/>
                <w:sz w:val="14"/>
                <w:szCs w:val="14"/>
              </w:rPr>
            </w:pPr>
            <w:r w:rsidRPr="0068209A">
              <w:rPr>
                <w:i/>
                <w:iCs/>
                <w:sz w:val="14"/>
                <w:szCs w:val="14"/>
              </w:rPr>
              <w:t>4.835.089,97</w:t>
            </w:r>
          </w:p>
        </w:tc>
        <w:tc>
          <w:tcPr>
            <w:tcW w:w="1644" w:type="dxa"/>
            <w:vAlign w:val="center"/>
          </w:tcPr>
          <w:p w14:paraId="62CA5BB1" w14:textId="003F2DBE" w:rsidR="00D971C5" w:rsidRPr="00F421B0" w:rsidRDefault="00D971C5" w:rsidP="0068209A">
            <w:pPr>
              <w:spacing w:before="40" w:after="40"/>
              <w:jc w:val="center"/>
              <w:rPr>
                <w:i/>
                <w:iCs/>
                <w:sz w:val="14"/>
                <w:szCs w:val="14"/>
              </w:rPr>
            </w:pPr>
            <w:r w:rsidRPr="00164A70">
              <w:rPr>
                <w:i/>
                <w:iCs/>
                <w:sz w:val="14"/>
                <w:szCs w:val="14"/>
              </w:rPr>
              <w:t>4.835.089,97</w:t>
            </w:r>
          </w:p>
        </w:tc>
      </w:tr>
      <w:tr w:rsidR="00D971C5" w:rsidRPr="00895891" w14:paraId="4BD07EC8" w14:textId="6CF34377" w:rsidTr="0068209A">
        <w:trPr>
          <w:trHeight w:val="283"/>
          <w:jc w:val="center"/>
        </w:trPr>
        <w:tc>
          <w:tcPr>
            <w:tcW w:w="1134" w:type="dxa"/>
            <w:shd w:val="clear" w:color="auto" w:fill="auto"/>
            <w:vAlign w:val="center"/>
          </w:tcPr>
          <w:p w14:paraId="6150C677"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05/2017</w:t>
            </w:r>
          </w:p>
        </w:tc>
        <w:tc>
          <w:tcPr>
            <w:tcW w:w="1134" w:type="dxa"/>
            <w:shd w:val="clear" w:color="auto" w:fill="auto"/>
            <w:noWrap/>
            <w:vAlign w:val="center"/>
            <w:hideMark/>
          </w:tcPr>
          <w:p w14:paraId="72DAB7F7"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445D3D97" w14:textId="4751D472" w:rsidR="00D971C5" w:rsidRPr="0068209A" w:rsidRDefault="00D971C5" w:rsidP="0068209A">
            <w:pPr>
              <w:spacing w:before="40" w:after="40"/>
              <w:jc w:val="center"/>
              <w:rPr>
                <w:i/>
                <w:iCs/>
                <w:sz w:val="14"/>
                <w:szCs w:val="14"/>
              </w:rPr>
            </w:pPr>
            <w:r w:rsidRPr="0068209A">
              <w:rPr>
                <w:i/>
                <w:iCs/>
                <w:sz w:val="14"/>
                <w:szCs w:val="14"/>
              </w:rPr>
              <w:t>6.817.574,21</w:t>
            </w:r>
          </w:p>
        </w:tc>
        <w:tc>
          <w:tcPr>
            <w:tcW w:w="1644" w:type="dxa"/>
            <w:vAlign w:val="center"/>
          </w:tcPr>
          <w:p w14:paraId="4B7012BB" w14:textId="7E9B6F3B" w:rsidR="00D971C5" w:rsidRPr="00F421B0" w:rsidRDefault="00D971C5" w:rsidP="0068209A">
            <w:pPr>
              <w:spacing w:before="40" w:after="40"/>
              <w:jc w:val="center"/>
              <w:rPr>
                <w:i/>
                <w:iCs/>
                <w:sz w:val="14"/>
                <w:szCs w:val="14"/>
              </w:rPr>
            </w:pPr>
            <w:r w:rsidRPr="00164A70">
              <w:rPr>
                <w:i/>
                <w:iCs/>
                <w:sz w:val="14"/>
                <w:szCs w:val="14"/>
              </w:rPr>
              <w:t>6.817.574,21</w:t>
            </w:r>
          </w:p>
        </w:tc>
      </w:tr>
      <w:tr w:rsidR="00D971C5" w:rsidRPr="00895891" w14:paraId="6F1537C0" w14:textId="5A525C38" w:rsidTr="0068209A">
        <w:trPr>
          <w:trHeight w:val="283"/>
          <w:jc w:val="center"/>
        </w:trPr>
        <w:tc>
          <w:tcPr>
            <w:tcW w:w="1134" w:type="dxa"/>
            <w:shd w:val="clear" w:color="auto" w:fill="auto"/>
            <w:vAlign w:val="center"/>
          </w:tcPr>
          <w:p w14:paraId="189CA8D5"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06/2017</w:t>
            </w:r>
          </w:p>
        </w:tc>
        <w:tc>
          <w:tcPr>
            <w:tcW w:w="1134" w:type="dxa"/>
            <w:shd w:val="clear" w:color="auto" w:fill="auto"/>
            <w:noWrap/>
            <w:vAlign w:val="center"/>
            <w:hideMark/>
          </w:tcPr>
          <w:p w14:paraId="4D05B59D"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0B32FE1E" w14:textId="7A64F699" w:rsidR="00D971C5" w:rsidRPr="0068209A" w:rsidRDefault="00D971C5" w:rsidP="0068209A">
            <w:pPr>
              <w:spacing w:before="40" w:after="40"/>
              <w:jc w:val="center"/>
              <w:rPr>
                <w:i/>
                <w:iCs/>
                <w:sz w:val="14"/>
                <w:szCs w:val="14"/>
              </w:rPr>
            </w:pPr>
            <w:r w:rsidRPr="0068209A">
              <w:rPr>
                <w:i/>
                <w:iCs/>
                <w:sz w:val="14"/>
                <w:szCs w:val="14"/>
              </w:rPr>
              <w:t>6.575.376,92</w:t>
            </w:r>
          </w:p>
        </w:tc>
        <w:tc>
          <w:tcPr>
            <w:tcW w:w="1644" w:type="dxa"/>
            <w:vAlign w:val="center"/>
          </w:tcPr>
          <w:p w14:paraId="24A8AED5" w14:textId="288DB970" w:rsidR="00D971C5" w:rsidRPr="00F421B0" w:rsidRDefault="00D971C5" w:rsidP="0068209A">
            <w:pPr>
              <w:spacing w:before="40" w:after="40"/>
              <w:jc w:val="center"/>
              <w:rPr>
                <w:i/>
                <w:iCs/>
                <w:sz w:val="14"/>
                <w:szCs w:val="14"/>
              </w:rPr>
            </w:pPr>
            <w:r w:rsidRPr="00164A70">
              <w:rPr>
                <w:i/>
                <w:iCs/>
                <w:sz w:val="14"/>
                <w:szCs w:val="14"/>
              </w:rPr>
              <w:t>6.575.376,92</w:t>
            </w:r>
          </w:p>
        </w:tc>
      </w:tr>
      <w:tr w:rsidR="00D971C5" w:rsidRPr="00895891" w14:paraId="32BF1FED" w14:textId="17A5B32B" w:rsidTr="0068209A">
        <w:trPr>
          <w:trHeight w:val="272"/>
          <w:jc w:val="center"/>
        </w:trPr>
        <w:tc>
          <w:tcPr>
            <w:tcW w:w="1134" w:type="dxa"/>
            <w:shd w:val="clear" w:color="auto" w:fill="auto"/>
            <w:vAlign w:val="center"/>
          </w:tcPr>
          <w:p w14:paraId="1C08BA49"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07/2017</w:t>
            </w:r>
          </w:p>
        </w:tc>
        <w:tc>
          <w:tcPr>
            <w:tcW w:w="1134" w:type="dxa"/>
            <w:shd w:val="clear" w:color="auto" w:fill="auto"/>
            <w:noWrap/>
            <w:vAlign w:val="center"/>
            <w:hideMark/>
          </w:tcPr>
          <w:p w14:paraId="15DF4DFA"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147E42F0" w14:textId="765531B3" w:rsidR="00D971C5" w:rsidRPr="0068209A" w:rsidRDefault="00D971C5" w:rsidP="0068209A">
            <w:pPr>
              <w:spacing w:before="40" w:after="40"/>
              <w:jc w:val="center"/>
              <w:rPr>
                <w:i/>
                <w:iCs/>
                <w:sz w:val="14"/>
                <w:szCs w:val="14"/>
              </w:rPr>
            </w:pPr>
            <w:r w:rsidRPr="0068209A">
              <w:rPr>
                <w:i/>
                <w:iCs/>
                <w:sz w:val="14"/>
                <w:szCs w:val="14"/>
              </w:rPr>
              <w:t>6.624.528,75</w:t>
            </w:r>
          </w:p>
        </w:tc>
        <w:tc>
          <w:tcPr>
            <w:tcW w:w="1644" w:type="dxa"/>
            <w:vAlign w:val="center"/>
          </w:tcPr>
          <w:p w14:paraId="4AD730D1" w14:textId="5A228F58" w:rsidR="00D971C5" w:rsidRPr="00F421B0" w:rsidRDefault="00D971C5" w:rsidP="0068209A">
            <w:pPr>
              <w:spacing w:before="40" w:after="40"/>
              <w:jc w:val="center"/>
              <w:rPr>
                <w:i/>
                <w:iCs/>
                <w:sz w:val="14"/>
                <w:szCs w:val="14"/>
              </w:rPr>
            </w:pPr>
            <w:r w:rsidRPr="00164A70">
              <w:rPr>
                <w:i/>
                <w:iCs/>
                <w:sz w:val="14"/>
                <w:szCs w:val="14"/>
              </w:rPr>
              <w:t>6.624.528,75</w:t>
            </w:r>
          </w:p>
        </w:tc>
      </w:tr>
      <w:tr w:rsidR="00D971C5" w:rsidRPr="00895891" w14:paraId="3AB632F6" w14:textId="3B375CDD" w:rsidTr="0068209A">
        <w:trPr>
          <w:trHeight w:val="272"/>
          <w:jc w:val="center"/>
        </w:trPr>
        <w:tc>
          <w:tcPr>
            <w:tcW w:w="1134" w:type="dxa"/>
            <w:shd w:val="clear" w:color="auto" w:fill="auto"/>
            <w:vAlign w:val="center"/>
          </w:tcPr>
          <w:p w14:paraId="69389219"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08/2017</w:t>
            </w:r>
          </w:p>
        </w:tc>
        <w:tc>
          <w:tcPr>
            <w:tcW w:w="1134" w:type="dxa"/>
            <w:shd w:val="clear" w:color="auto" w:fill="auto"/>
            <w:noWrap/>
            <w:vAlign w:val="center"/>
            <w:hideMark/>
          </w:tcPr>
          <w:p w14:paraId="3A49C277"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30F21993" w14:textId="40515959" w:rsidR="00D971C5" w:rsidRPr="0068209A" w:rsidRDefault="00D971C5" w:rsidP="0068209A">
            <w:pPr>
              <w:spacing w:before="40" w:after="40"/>
              <w:jc w:val="center"/>
              <w:rPr>
                <w:i/>
                <w:iCs/>
                <w:sz w:val="14"/>
                <w:szCs w:val="14"/>
              </w:rPr>
            </w:pPr>
            <w:r w:rsidRPr="0068209A">
              <w:rPr>
                <w:i/>
                <w:iCs/>
                <w:sz w:val="14"/>
                <w:szCs w:val="14"/>
              </w:rPr>
              <w:t>7.208.133,29</w:t>
            </w:r>
          </w:p>
        </w:tc>
        <w:tc>
          <w:tcPr>
            <w:tcW w:w="1644" w:type="dxa"/>
            <w:vAlign w:val="center"/>
          </w:tcPr>
          <w:p w14:paraId="55F25E6E" w14:textId="37EEFA38" w:rsidR="00D971C5" w:rsidRPr="00F421B0" w:rsidRDefault="00D971C5" w:rsidP="0068209A">
            <w:pPr>
              <w:spacing w:before="40" w:after="40"/>
              <w:jc w:val="center"/>
              <w:rPr>
                <w:i/>
                <w:iCs/>
                <w:sz w:val="14"/>
                <w:szCs w:val="14"/>
              </w:rPr>
            </w:pPr>
            <w:r w:rsidRPr="00164A70">
              <w:rPr>
                <w:i/>
                <w:iCs/>
                <w:sz w:val="14"/>
                <w:szCs w:val="14"/>
              </w:rPr>
              <w:t>7.208.133,29</w:t>
            </w:r>
          </w:p>
        </w:tc>
      </w:tr>
      <w:tr w:rsidR="00D971C5" w:rsidRPr="00895891" w14:paraId="310173CB" w14:textId="6DDA60D0" w:rsidTr="0068209A">
        <w:trPr>
          <w:trHeight w:val="272"/>
          <w:jc w:val="center"/>
        </w:trPr>
        <w:tc>
          <w:tcPr>
            <w:tcW w:w="1134" w:type="dxa"/>
            <w:shd w:val="clear" w:color="auto" w:fill="auto"/>
            <w:vAlign w:val="center"/>
          </w:tcPr>
          <w:p w14:paraId="7ACDD823"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09/2017</w:t>
            </w:r>
          </w:p>
        </w:tc>
        <w:tc>
          <w:tcPr>
            <w:tcW w:w="1134" w:type="dxa"/>
            <w:shd w:val="clear" w:color="auto" w:fill="auto"/>
            <w:noWrap/>
            <w:vAlign w:val="center"/>
            <w:hideMark/>
          </w:tcPr>
          <w:p w14:paraId="45E9AF93"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5F08B5F6" w14:textId="4D16D179" w:rsidR="00D971C5" w:rsidRPr="0068209A" w:rsidRDefault="00D971C5" w:rsidP="0068209A">
            <w:pPr>
              <w:spacing w:before="40" w:after="40"/>
              <w:jc w:val="center"/>
              <w:rPr>
                <w:i/>
                <w:iCs/>
                <w:sz w:val="14"/>
                <w:szCs w:val="14"/>
              </w:rPr>
            </w:pPr>
            <w:r w:rsidRPr="0068209A">
              <w:rPr>
                <w:i/>
                <w:iCs/>
                <w:sz w:val="14"/>
                <w:szCs w:val="14"/>
              </w:rPr>
              <w:t>6.970.107,33</w:t>
            </w:r>
          </w:p>
        </w:tc>
        <w:tc>
          <w:tcPr>
            <w:tcW w:w="1644" w:type="dxa"/>
            <w:vAlign w:val="center"/>
          </w:tcPr>
          <w:p w14:paraId="6DC0FCC7" w14:textId="799DDC73" w:rsidR="00D971C5" w:rsidRPr="00F421B0" w:rsidRDefault="00D971C5" w:rsidP="0068209A">
            <w:pPr>
              <w:spacing w:before="40" w:after="40"/>
              <w:jc w:val="center"/>
              <w:rPr>
                <w:i/>
                <w:iCs/>
                <w:sz w:val="14"/>
                <w:szCs w:val="14"/>
              </w:rPr>
            </w:pPr>
            <w:r w:rsidRPr="00164A70">
              <w:rPr>
                <w:i/>
                <w:iCs/>
                <w:sz w:val="14"/>
                <w:szCs w:val="14"/>
              </w:rPr>
              <w:t>6.970.107,33</w:t>
            </w:r>
          </w:p>
        </w:tc>
      </w:tr>
      <w:tr w:rsidR="00D971C5" w:rsidRPr="00895891" w14:paraId="11550F99" w14:textId="095A37A4" w:rsidTr="0068209A">
        <w:trPr>
          <w:trHeight w:val="272"/>
          <w:jc w:val="center"/>
        </w:trPr>
        <w:tc>
          <w:tcPr>
            <w:tcW w:w="1134" w:type="dxa"/>
            <w:shd w:val="clear" w:color="auto" w:fill="auto"/>
            <w:vAlign w:val="center"/>
          </w:tcPr>
          <w:p w14:paraId="1FC400F9"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10/2017</w:t>
            </w:r>
          </w:p>
        </w:tc>
        <w:tc>
          <w:tcPr>
            <w:tcW w:w="1134" w:type="dxa"/>
            <w:shd w:val="clear" w:color="auto" w:fill="auto"/>
            <w:noWrap/>
            <w:vAlign w:val="center"/>
            <w:hideMark/>
          </w:tcPr>
          <w:p w14:paraId="3D661C36"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43098935" w14:textId="5EF973DB" w:rsidR="00D971C5" w:rsidRPr="0068209A" w:rsidRDefault="00D971C5" w:rsidP="0068209A">
            <w:pPr>
              <w:spacing w:before="40" w:after="40"/>
              <w:jc w:val="center"/>
              <w:rPr>
                <w:i/>
                <w:iCs/>
                <w:sz w:val="14"/>
                <w:szCs w:val="14"/>
              </w:rPr>
            </w:pPr>
            <w:r w:rsidRPr="0068209A">
              <w:rPr>
                <w:i/>
                <w:iCs/>
                <w:sz w:val="14"/>
                <w:szCs w:val="14"/>
              </w:rPr>
              <w:t>7.228.134,58</w:t>
            </w:r>
          </w:p>
        </w:tc>
        <w:tc>
          <w:tcPr>
            <w:tcW w:w="1644" w:type="dxa"/>
            <w:vAlign w:val="center"/>
          </w:tcPr>
          <w:p w14:paraId="65153E28" w14:textId="1B28BE25" w:rsidR="00D971C5" w:rsidRPr="00F421B0" w:rsidRDefault="00D971C5" w:rsidP="0068209A">
            <w:pPr>
              <w:spacing w:before="40" w:after="40"/>
              <w:jc w:val="center"/>
              <w:rPr>
                <w:i/>
                <w:iCs/>
                <w:sz w:val="14"/>
                <w:szCs w:val="14"/>
              </w:rPr>
            </w:pPr>
            <w:r w:rsidRPr="00164A70">
              <w:rPr>
                <w:i/>
                <w:iCs/>
                <w:sz w:val="14"/>
                <w:szCs w:val="14"/>
              </w:rPr>
              <w:t>7.228.134,58</w:t>
            </w:r>
          </w:p>
        </w:tc>
      </w:tr>
      <w:tr w:rsidR="00D971C5" w:rsidRPr="00895891" w14:paraId="0D234160" w14:textId="593C2B67" w:rsidTr="0068209A">
        <w:trPr>
          <w:trHeight w:val="272"/>
          <w:jc w:val="center"/>
        </w:trPr>
        <w:tc>
          <w:tcPr>
            <w:tcW w:w="1134" w:type="dxa"/>
            <w:shd w:val="clear" w:color="auto" w:fill="auto"/>
            <w:vAlign w:val="center"/>
          </w:tcPr>
          <w:p w14:paraId="07441B1B"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11/2017</w:t>
            </w:r>
          </w:p>
        </w:tc>
        <w:tc>
          <w:tcPr>
            <w:tcW w:w="1134" w:type="dxa"/>
            <w:shd w:val="clear" w:color="auto" w:fill="auto"/>
            <w:noWrap/>
            <w:vAlign w:val="center"/>
            <w:hideMark/>
          </w:tcPr>
          <w:p w14:paraId="5AD088F7"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08957731" w14:textId="4B83FCF7" w:rsidR="00D971C5" w:rsidRPr="0068209A" w:rsidRDefault="00D971C5" w:rsidP="0068209A">
            <w:pPr>
              <w:spacing w:before="40" w:after="40"/>
              <w:jc w:val="center"/>
              <w:rPr>
                <w:i/>
                <w:iCs/>
                <w:sz w:val="14"/>
                <w:szCs w:val="14"/>
              </w:rPr>
            </w:pPr>
            <w:r w:rsidRPr="0068209A">
              <w:rPr>
                <w:i/>
                <w:iCs/>
                <w:sz w:val="14"/>
                <w:szCs w:val="14"/>
              </w:rPr>
              <w:t>7.016.155,94</w:t>
            </w:r>
          </w:p>
        </w:tc>
        <w:tc>
          <w:tcPr>
            <w:tcW w:w="1644" w:type="dxa"/>
            <w:vAlign w:val="center"/>
          </w:tcPr>
          <w:p w14:paraId="7459FECF" w14:textId="50B4CC9E" w:rsidR="00D971C5" w:rsidRPr="00F421B0" w:rsidRDefault="00D971C5" w:rsidP="0068209A">
            <w:pPr>
              <w:spacing w:before="40" w:after="40"/>
              <w:jc w:val="center"/>
              <w:rPr>
                <w:i/>
                <w:iCs/>
                <w:sz w:val="14"/>
                <w:szCs w:val="14"/>
              </w:rPr>
            </w:pPr>
            <w:r w:rsidRPr="00164A70">
              <w:rPr>
                <w:i/>
                <w:iCs/>
                <w:sz w:val="14"/>
                <w:szCs w:val="14"/>
              </w:rPr>
              <w:t>7.016.155,94</w:t>
            </w:r>
          </w:p>
        </w:tc>
      </w:tr>
      <w:tr w:rsidR="00D971C5" w:rsidRPr="00895891" w14:paraId="1CDC1C19" w14:textId="408581CB" w:rsidTr="0068209A">
        <w:trPr>
          <w:trHeight w:val="272"/>
          <w:jc w:val="center"/>
        </w:trPr>
        <w:tc>
          <w:tcPr>
            <w:tcW w:w="1134" w:type="dxa"/>
            <w:shd w:val="clear" w:color="auto" w:fill="auto"/>
            <w:vAlign w:val="center"/>
          </w:tcPr>
          <w:p w14:paraId="1C8FCAF5"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12/2017</w:t>
            </w:r>
          </w:p>
        </w:tc>
        <w:tc>
          <w:tcPr>
            <w:tcW w:w="1134" w:type="dxa"/>
            <w:shd w:val="clear" w:color="auto" w:fill="auto"/>
            <w:noWrap/>
            <w:vAlign w:val="center"/>
            <w:hideMark/>
          </w:tcPr>
          <w:p w14:paraId="5369CCA1" w14:textId="77777777" w:rsidR="00D971C5" w:rsidRPr="00895891" w:rsidRDefault="00D971C5" w:rsidP="0068209A">
            <w:pPr>
              <w:spacing w:before="40" w:after="40"/>
              <w:jc w:val="center"/>
              <w:rPr>
                <w:rFonts w:cs="Arial"/>
                <w:i/>
                <w:iCs/>
                <w:sz w:val="14"/>
                <w:szCs w:val="14"/>
              </w:rPr>
            </w:pPr>
            <w:r w:rsidRPr="00895891">
              <w:rPr>
                <w:rFonts w:cs="Arial"/>
                <w:i/>
                <w:iCs/>
                <w:sz w:val="14"/>
                <w:szCs w:val="14"/>
              </w:rPr>
              <w:t>Frt26893</w:t>
            </w:r>
          </w:p>
        </w:tc>
        <w:tc>
          <w:tcPr>
            <w:tcW w:w="1644" w:type="dxa"/>
            <w:vAlign w:val="center"/>
          </w:tcPr>
          <w:p w14:paraId="434EECE3" w14:textId="25D9F3C3" w:rsidR="00D971C5" w:rsidRPr="0068209A" w:rsidRDefault="00D971C5" w:rsidP="0068209A">
            <w:pPr>
              <w:spacing w:before="40" w:after="40"/>
              <w:jc w:val="center"/>
              <w:rPr>
                <w:i/>
                <w:iCs/>
                <w:sz w:val="14"/>
                <w:szCs w:val="14"/>
              </w:rPr>
            </w:pPr>
            <w:r w:rsidRPr="0068209A">
              <w:rPr>
                <w:i/>
                <w:iCs/>
                <w:sz w:val="14"/>
                <w:szCs w:val="14"/>
              </w:rPr>
              <w:t>7.368.539,48</w:t>
            </w:r>
          </w:p>
        </w:tc>
        <w:tc>
          <w:tcPr>
            <w:tcW w:w="1644" w:type="dxa"/>
            <w:vAlign w:val="center"/>
          </w:tcPr>
          <w:p w14:paraId="5CD11E8A" w14:textId="71F1F5F0" w:rsidR="00D971C5" w:rsidRPr="00F421B0" w:rsidRDefault="00D971C5" w:rsidP="0068209A">
            <w:pPr>
              <w:spacing w:before="40" w:after="40"/>
              <w:jc w:val="center"/>
              <w:rPr>
                <w:i/>
                <w:iCs/>
                <w:sz w:val="14"/>
                <w:szCs w:val="14"/>
              </w:rPr>
            </w:pPr>
            <w:r w:rsidRPr="00164A70">
              <w:rPr>
                <w:i/>
                <w:iCs/>
                <w:sz w:val="14"/>
                <w:szCs w:val="14"/>
              </w:rPr>
              <w:t>7.368.539,48</w:t>
            </w:r>
          </w:p>
        </w:tc>
      </w:tr>
    </w:tbl>
    <w:p w14:paraId="4925299B" w14:textId="1C351208" w:rsidR="00220274" w:rsidRDefault="00B86614" w:rsidP="004A3020">
      <w:r>
        <w:t>Como puede observarse</w:t>
      </w:r>
      <w:r w:rsidR="00A25A29">
        <w:t xml:space="preserve">, </w:t>
      </w:r>
      <w:r w:rsidR="00EB502F">
        <w:t>la información de las lecturas crudas es igual</w:t>
      </w:r>
      <w:r w:rsidR="00270ACA">
        <w:t xml:space="preserve">. </w:t>
      </w:r>
      <w:r w:rsidR="000769CA">
        <w:t>Por lo antes anotado</w:t>
      </w:r>
      <w:r w:rsidR="00C93310">
        <w:t xml:space="preserve">, no es procedente ajustar </w:t>
      </w:r>
      <w:r w:rsidR="00360B70">
        <w:t>el tema de la energía reporta</w:t>
      </w:r>
      <w:r w:rsidR="00A81F73">
        <w:t>da de las fronteras comerciales.</w:t>
      </w:r>
    </w:p>
    <w:p w14:paraId="5C0FCEAE" w14:textId="1836782D" w:rsidR="00701061" w:rsidRDefault="00270ACA" w:rsidP="004A3020">
      <w:r>
        <w:t xml:space="preserve">En lo que concierne </w:t>
      </w:r>
      <w:r w:rsidR="00F14A13">
        <w:t xml:space="preserve">a </w:t>
      </w:r>
      <w:r w:rsidR="006D18C3">
        <w:t>l</w:t>
      </w:r>
      <w:r w:rsidR="00E90B7E">
        <w:t>a modificación de</w:t>
      </w:r>
      <w:r w:rsidR="006D18C3">
        <w:t xml:space="preserve"> las metas de pérdidas presentadas en el recurso,</w:t>
      </w:r>
      <w:r w:rsidR="003F0183">
        <w:t xml:space="preserve"> se considera que</w:t>
      </w:r>
      <w:r w:rsidR="006D18C3">
        <w:t xml:space="preserve"> la razón de la </w:t>
      </w:r>
      <w:r w:rsidR="003F0183">
        <w:t>impugnación de</w:t>
      </w:r>
      <w:r w:rsidR="00F14A13">
        <w:t>l acto administrativo</w:t>
      </w:r>
      <w:r w:rsidR="003F0183">
        <w:t xml:space="preserve"> a través</w:t>
      </w:r>
      <w:r w:rsidR="005978D8">
        <w:t xml:space="preserve"> del recurso de reposición es </w:t>
      </w:r>
      <w:r w:rsidR="00D10063">
        <w:t xml:space="preserve">para </w:t>
      </w:r>
      <w:r w:rsidR="00850675">
        <w:t xml:space="preserve">controvertir las decisiones de la </w:t>
      </w:r>
      <w:r w:rsidR="00A203D4">
        <w:t xml:space="preserve">Comisión </w:t>
      </w:r>
      <w:r w:rsidR="00850675">
        <w:t xml:space="preserve">cuando el </w:t>
      </w:r>
      <w:r w:rsidR="004422A7">
        <w:t xml:space="preserve">agente se ve afectado por </w:t>
      </w:r>
      <w:r w:rsidR="006227AE">
        <w:t>una aplicación errónea de la metodología</w:t>
      </w:r>
      <w:r w:rsidR="00ED1C85">
        <w:t>,</w:t>
      </w:r>
      <w:r w:rsidR="006227AE">
        <w:t xml:space="preserve"> o cuando se cometieron errores </w:t>
      </w:r>
      <w:r w:rsidR="002D6C5A">
        <w:t xml:space="preserve">en los cálculos con la información reportada por el </w:t>
      </w:r>
      <w:r w:rsidR="00AB526D">
        <w:t xml:space="preserve">OR, </w:t>
      </w:r>
      <w:r w:rsidR="00F14A13">
        <w:t>situaciones que aquí no se presentan.</w:t>
      </w:r>
    </w:p>
    <w:p w14:paraId="33CB6DAB" w14:textId="3D8BF38F" w:rsidR="00747A51" w:rsidRDefault="00333E89" w:rsidP="004A3020">
      <w:r>
        <w:t>Es importante tener en cuenta que</w:t>
      </w:r>
      <w:r w:rsidR="00DF44D6">
        <w:t>, para la aprobación de ingresos</w:t>
      </w:r>
      <w:r w:rsidR="00ED1C85">
        <w:t>,</w:t>
      </w:r>
      <w:r w:rsidR="00DF44D6">
        <w:t xml:space="preserve"> </w:t>
      </w:r>
      <w:r w:rsidR="006A3788">
        <w:t>el tiempo de análisis de las variables fue suficientemente extenso</w:t>
      </w:r>
      <w:r w:rsidR="00ED1C85">
        <w:t>,</w:t>
      </w:r>
      <w:r w:rsidR="009D4BDC" w:rsidRPr="009D4BDC">
        <w:t xml:space="preserve"> </w:t>
      </w:r>
      <w:r w:rsidR="00AF6F64">
        <w:t>y cualquier ajuste que la empresa hubiera solicitado sería considerado</w:t>
      </w:r>
      <w:r w:rsidR="007902C8">
        <w:t xml:space="preserve"> en la aprobación definitiva.</w:t>
      </w:r>
    </w:p>
    <w:p w14:paraId="40823AB7" w14:textId="70AFEF2C" w:rsidR="00A620BD" w:rsidRDefault="00A620BD" w:rsidP="004A3020">
      <w:r>
        <w:t>Por lo antes anotado, resulta improcedente ajustar las metas inicialmente reportadas.</w:t>
      </w:r>
    </w:p>
    <w:p w14:paraId="4DFC8EE5" w14:textId="3D0B7A8F" w:rsidR="00AC4D42" w:rsidRDefault="00774BB4" w:rsidP="004A3020">
      <w:r>
        <w:t>Sin perjuicio de lo anterior</w:t>
      </w:r>
      <w:r w:rsidR="009147EA">
        <w:t xml:space="preserve">, conforme lo advierte en su escrito en </w:t>
      </w:r>
      <w:r w:rsidR="009E145B">
        <w:t>el artículo</w:t>
      </w:r>
      <w:r w:rsidR="007748A8">
        <w:t xml:space="preserve"> 16</w:t>
      </w:r>
      <w:r w:rsidR="0089676D">
        <w:t xml:space="preserve"> de la Resolución CREG 218 de 2021 </w:t>
      </w:r>
      <w:r w:rsidR="009147EA">
        <w:t xml:space="preserve">se cometió </w:t>
      </w:r>
      <w:r w:rsidR="001623A2">
        <w:t>un error de transcripción</w:t>
      </w:r>
      <w:r w:rsidR="00ED1C85">
        <w:t>,</w:t>
      </w:r>
      <w:r w:rsidR="001623A2">
        <w:t xml:space="preserve"> el cual será corregido</w:t>
      </w:r>
      <w:r w:rsidR="005D4E80">
        <w:t xml:space="preserve"> en esta resolución</w:t>
      </w:r>
      <w:r w:rsidR="001623A2">
        <w:t>.</w:t>
      </w:r>
    </w:p>
    <w:p w14:paraId="7C1E189A" w14:textId="70D2AC2E" w:rsidR="00DA345A" w:rsidRPr="00BB496B" w:rsidRDefault="00701061" w:rsidP="00DA345A">
      <w:pPr>
        <w:keepNext/>
        <w:spacing w:before="240" w:after="240"/>
        <w:rPr>
          <w:b/>
          <w:bCs/>
        </w:rPr>
      </w:pPr>
      <w:r>
        <w:rPr>
          <w:b/>
          <w:bCs/>
        </w:rPr>
        <w:lastRenderedPageBreak/>
        <w:t>Cuar</w:t>
      </w:r>
      <w:r w:rsidR="00DA345A" w:rsidRPr="00BB496B">
        <w:rPr>
          <w:b/>
          <w:bCs/>
        </w:rPr>
        <w:t>ta Petición</w:t>
      </w:r>
    </w:p>
    <w:p w14:paraId="686B6811" w14:textId="77777777" w:rsidR="009A06A2" w:rsidRPr="009A06A2" w:rsidRDefault="009A06A2" w:rsidP="009A06A2">
      <w:r w:rsidRPr="009A06A2">
        <w:t>Mediante el radicado CREG E-2022-000117 del 4 de enero de 2022, la empresa dio alcance al recurso presentando su análisis y propuesta acerca de los indicadores de calidad media y de calidad individual que debería considerar la Comisión, de la siguiente manera:</w:t>
      </w:r>
    </w:p>
    <w:p w14:paraId="7B8433C8" w14:textId="77777777" w:rsidR="009A06A2" w:rsidRPr="009A06A2" w:rsidRDefault="009A06A2" w:rsidP="009A06A2">
      <w:pPr>
        <w:pStyle w:val="xmsonormal"/>
        <w:numPr>
          <w:ilvl w:val="0"/>
          <w:numId w:val="40"/>
        </w:numPr>
        <w:spacing w:before="0" w:beforeAutospacing="0" w:after="0" w:afterAutospacing="0"/>
        <w:ind w:left="1068"/>
        <w:jc w:val="both"/>
        <w:textAlignment w:val="baseline"/>
        <w:rPr>
          <w:rFonts w:ascii="Bookman Old Style" w:eastAsiaTheme="minorHAnsi" w:hAnsi="Bookman Old Style" w:cs="Arial"/>
          <w:b/>
          <w:i/>
          <w:iCs/>
          <w:sz w:val="20"/>
          <w:szCs w:val="20"/>
          <w:lang w:val="es-ES" w:eastAsia="en-US"/>
        </w:rPr>
      </w:pPr>
      <w:r w:rsidRPr="009A06A2">
        <w:rPr>
          <w:rFonts w:ascii="Bookman Old Style" w:eastAsiaTheme="minorHAnsi" w:hAnsi="Bookman Old Style" w:cs="Arial"/>
          <w:b/>
          <w:i/>
          <w:iCs/>
          <w:sz w:val="20"/>
          <w:szCs w:val="20"/>
          <w:lang w:val="es-ES" w:eastAsia="en-US"/>
        </w:rPr>
        <w:t>Calidad del servicio.</w:t>
      </w:r>
    </w:p>
    <w:p w14:paraId="19C3772B" w14:textId="77777777" w:rsidR="009A06A2" w:rsidRPr="009A06A2" w:rsidRDefault="009A06A2" w:rsidP="009A06A2">
      <w:pPr>
        <w:pStyle w:val="xmsonormal"/>
        <w:spacing w:before="0" w:beforeAutospacing="0" w:after="0" w:afterAutospacing="0"/>
        <w:ind w:left="348"/>
        <w:jc w:val="both"/>
        <w:textAlignment w:val="baseline"/>
        <w:rPr>
          <w:rFonts w:ascii="Bookman Old Style" w:eastAsiaTheme="minorHAnsi" w:hAnsi="Bookman Old Style" w:cs="Arial"/>
          <w:i/>
          <w:iCs/>
          <w:sz w:val="20"/>
          <w:szCs w:val="20"/>
          <w:lang w:val="es-ES" w:eastAsia="en-US"/>
        </w:rPr>
      </w:pPr>
    </w:p>
    <w:p w14:paraId="7ABF7BAB" w14:textId="77777777" w:rsidR="009A06A2" w:rsidRPr="009A06A2" w:rsidRDefault="009A06A2" w:rsidP="009A06A2">
      <w:pPr>
        <w:pStyle w:val="xmsonormal"/>
        <w:spacing w:before="0" w:beforeAutospacing="0" w:after="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Respecto a la observación de la Comisión contenida en el documento CREG 178 del 15 de diciembre de 2021, numeral 2.4.6 “REVISIÓN DE INFORMACION DE CALIDAD DEL SERVICIO” en el tercer párrafo:</w:t>
      </w:r>
    </w:p>
    <w:p w14:paraId="1EF8412A" w14:textId="77777777" w:rsidR="009A06A2" w:rsidRPr="009A06A2" w:rsidRDefault="009A06A2" w:rsidP="009A06A2">
      <w:pPr>
        <w:pStyle w:val="xmsonormal"/>
        <w:spacing w:before="0" w:beforeAutospacing="0" w:after="0" w:afterAutospacing="0"/>
        <w:ind w:left="348"/>
        <w:jc w:val="both"/>
        <w:textAlignment w:val="baseline"/>
        <w:rPr>
          <w:rFonts w:ascii="Bookman Old Style" w:eastAsiaTheme="minorHAnsi" w:hAnsi="Bookman Old Style" w:cs="Arial"/>
          <w:i/>
          <w:iCs/>
          <w:sz w:val="20"/>
          <w:szCs w:val="20"/>
          <w:lang w:val="es-ES" w:eastAsia="en-US"/>
        </w:rPr>
      </w:pPr>
    </w:p>
    <w:p w14:paraId="34E8AD6B" w14:textId="77777777" w:rsidR="009A06A2" w:rsidRPr="009A06A2" w:rsidRDefault="009A06A2" w:rsidP="009A06A2">
      <w:pPr>
        <w:pStyle w:val="xmsonormal"/>
        <w:spacing w:before="0" w:beforeAutospacing="0" w:after="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hAnsi="Bookman Old Style" w:cs="Arial"/>
          <w:i/>
          <w:iCs/>
          <w:sz w:val="20"/>
          <w:szCs w:val="20"/>
        </w:rPr>
        <w:t xml:space="preserve">¨De la revisión de las posibles alternativas para solucionar esta situación se concluyó que la mejor era considerar para los meses de noviembre y diciembre un valor mensual obtenido del promedio de los meses anteriores que sí tenían información. Por esta razón se concluyó que se debía utilizar la mejor información disponible que </w:t>
      </w:r>
      <w:r w:rsidRPr="009A06A2">
        <w:rPr>
          <w:rFonts w:ascii="Bookman Old Style" w:hAnsi="Bookman Old Style" w:cs="Arial"/>
          <w:i/>
          <w:iCs/>
          <w:sz w:val="20"/>
          <w:szCs w:val="20"/>
          <w:u w:val="single"/>
        </w:rPr>
        <w:t>según los análisis de la Comisión es utilizar la información reportada por el OR para los meses de enero a octubre de 2016 y obtener noviembre y diciembre como el promedio de los 10 meses anteriores</w:t>
      </w:r>
      <w:r w:rsidRPr="009A06A2">
        <w:rPr>
          <w:rFonts w:ascii="Bookman Old Style" w:hAnsi="Bookman Old Style" w:cs="Arial"/>
          <w:i/>
          <w:iCs/>
          <w:sz w:val="20"/>
          <w:szCs w:val="20"/>
        </w:rPr>
        <w:t>¨ Subrayado fuera de texto.</w:t>
      </w:r>
    </w:p>
    <w:p w14:paraId="5D51AE72" w14:textId="77777777" w:rsidR="009A06A2" w:rsidRPr="009A06A2" w:rsidRDefault="009A06A2" w:rsidP="009A06A2">
      <w:pPr>
        <w:pStyle w:val="xmsonormal"/>
        <w:spacing w:before="0" w:beforeAutospacing="0" w:after="0" w:afterAutospacing="0"/>
        <w:ind w:left="348"/>
        <w:jc w:val="both"/>
        <w:textAlignment w:val="baseline"/>
        <w:rPr>
          <w:rFonts w:ascii="Bookman Old Style" w:eastAsiaTheme="minorHAnsi" w:hAnsi="Bookman Old Style" w:cstheme="minorHAnsi"/>
          <w:i/>
          <w:iCs/>
          <w:sz w:val="20"/>
          <w:szCs w:val="20"/>
          <w:lang w:val="es-ES" w:eastAsia="en-US"/>
        </w:rPr>
      </w:pPr>
    </w:p>
    <w:p w14:paraId="219E3DAF" w14:textId="77777777"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 xml:space="preserve">Teniendo en cuenta lo anterior, la Comisión para los meses de noviembre y diciembre del año 2016, determinó como valores de SAIDI Y SAIFI, 3.493 [Horas-mes] y 1.694 [Interrupciones-mes] (aproximados), respectivamente. </w:t>
      </w:r>
    </w:p>
    <w:p w14:paraId="4EB11620" w14:textId="77777777"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 xml:space="preserve">La EEBP realizó el cálculo de los indicadores de calidad media para los meses de noviembre y diciembre del 2016, así como la revisión de los valores relacionados por la Comisión entre enero y octubre del mismo año. Como resultado, se evidencia que el cálculo entre enero y octubre es acorde a lo reportado en el SUI. </w:t>
      </w:r>
    </w:p>
    <w:p w14:paraId="7AAAA243" w14:textId="77777777"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Adicionalmente, en lo que corresponde a los meses de noviembre y diciembre de 2016, la EEBP se remite a lo reportado en los formatos comerciales, Formato 2 y Formato 3 del año 2017, donde se indica el pago de compensaciones a los usuarios, en cumplimiento con lo establecido en el esquema de calidad del servicio para los meses de noviembre y diciembre del año 2016. Los formatos se encuentran para consulta en el ANEXO 3, en los archivos “06. Formato 2. Sector Residencial - enero 2017 S” y “07. Formato 3. Sector No Residencial - enero 2017 S”.</w:t>
      </w:r>
    </w:p>
    <w:p w14:paraId="7F1FDFF8" w14:textId="7CAD13C9"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En la columna T del formato 2 de enero de 2017 - “VALOR COMPENSADO”, se encuentra al valor compensado a los usuarios de la EEBP para el p</w:t>
      </w:r>
      <w:r w:rsidR="00ED1C85">
        <w:rPr>
          <w:rFonts w:ascii="Bookman Old Style" w:eastAsiaTheme="minorHAnsi" w:hAnsi="Bookman Old Style" w:cs="Arial"/>
          <w:i/>
          <w:iCs/>
          <w:sz w:val="20"/>
          <w:szCs w:val="20"/>
          <w:lang w:val="es-ES" w:eastAsia="en-US"/>
        </w:rPr>
        <w:t>eríodo</w:t>
      </w:r>
      <w:r w:rsidRPr="009A06A2">
        <w:rPr>
          <w:rFonts w:ascii="Bookman Old Style" w:eastAsiaTheme="minorHAnsi" w:hAnsi="Bookman Old Style" w:cs="Arial"/>
          <w:i/>
          <w:iCs/>
          <w:sz w:val="20"/>
          <w:szCs w:val="20"/>
          <w:lang w:val="es-ES" w:eastAsia="en-US"/>
        </w:rPr>
        <w:t xml:space="preserve"> correspondiente. Al realizar una consulta en la base de datos, se encontró que los valores utilizados para el cálculo de las compensaciones no son cero (0), como se reportó en un principio en los formatos 5 del mes de noviembre y diciembre de 2016.</w:t>
      </w:r>
    </w:p>
    <w:p w14:paraId="04E02236" w14:textId="77777777"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 xml:space="preserve">La EEBP reconoce que se trató de un error en los reportes al SUI en noviembre y diciembre de 2016, por lo que se procederá a solicitar a la SSPD la reversión de los formatos 4 y 5 para los meses mencionados, con el objetivo de proceder con el cargue y certificación de la información correspondiente. </w:t>
      </w:r>
    </w:p>
    <w:p w14:paraId="258D2180" w14:textId="77777777"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Al realizar el proceso inverso, con los Formatos 2 y 3 reportados para el mes de enero de 2017, mes donde se aplicó la compensación al cuarto trimestre del año 2016, es posible comprobar que para los meses de noviembre y diciembre de 2016 se presentaron más interrupciones que las calculadas por promedio por parte de la Comisión. Los Valores de SAIDI y SAIFI calculados por la EEBP se referencian a continuación:</w:t>
      </w:r>
    </w:p>
    <w:p w14:paraId="324AE199" w14:textId="77777777" w:rsidR="009A06A2" w:rsidRPr="009A06A2" w:rsidRDefault="009A06A2" w:rsidP="009A06A2">
      <w:pPr>
        <w:pStyle w:val="Prrafodelista"/>
        <w:numPr>
          <w:ilvl w:val="0"/>
          <w:numId w:val="39"/>
        </w:numPr>
        <w:spacing w:before="0" w:after="160" w:line="259" w:lineRule="auto"/>
        <w:ind w:left="1068"/>
        <w:contextualSpacing/>
        <w:rPr>
          <w:i/>
          <w:iCs/>
          <w:sz w:val="20"/>
        </w:rPr>
      </w:pPr>
      <w:r w:rsidRPr="009A06A2">
        <w:rPr>
          <w:i/>
          <w:iCs/>
          <w:sz w:val="20"/>
        </w:rPr>
        <w:t xml:space="preserve">Para El </w:t>
      </w:r>
      <w:r w:rsidRPr="009A06A2">
        <w:rPr>
          <w:b/>
          <w:i/>
          <w:iCs/>
          <w:sz w:val="20"/>
        </w:rPr>
        <w:t>SAIDI</w:t>
      </w:r>
      <w:r w:rsidRPr="009A06A2">
        <w:rPr>
          <w:i/>
          <w:iCs/>
          <w:sz w:val="20"/>
        </w:rPr>
        <w:t>.</w:t>
      </w:r>
    </w:p>
    <w:p w14:paraId="7DBD89F6" w14:textId="77777777" w:rsidR="009A06A2" w:rsidRPr="009A06A2" w:rsidRDefault="009A06A2" w:rsidP="009A06A2">
      <w:pPr>
        <w:pStyle w:val="Prrafodelista"/>
        <w:numPr>
          <w:ilvl w:val="1"/>
          <w:numId w:val="39"/>
        </w:numPr>
        <w:spacing w:before="0" w:after="160" w:line="259" w:lineRule="auto"/>
        <w:ind w:left="1788"/>
        <w:contextualSpacing/>
        <w:rPr>
          <w:i/>
          <w:iCs/>
          <w:sz w:val="20"/>
        </w:rPr>
      </w:pPr>
      <w:r w:rsidRPr="009A06A2">
        <w:rPr>
          <w:i/>
          <w:iCs/>
          <w:sz w:val="20"/>
        </w:rPr>
        <w:t>Noviembre 6.72 horas, diciembre 7.61 Horas.</w:t>
      </w:r>
    </w:p>
    <w:p w14:paraId="6B62AB55" w14:textId="77777777" w:rsidR="009A06A2" w:rsidRPr="009A06A2" w:rsidRDefault="009A06A2" w:rsidP="009A06A2">
      <w:pPr>
        <w:pStyle w:val="Prrafodelista"/>
        <w:numPr>
          <w:ilvl w:val="0"/>
          <w:numId w:val="39"/>
        </w:numPr>
        <w:spacing w:before="0" w:after="160" w:line="259" w:lineRule="auto"/>
        <w:ind w:left="1068"/>
        <w:contextualSpacing/>
        <w:rPr>
          <w:i/>
          <w:iCs/>
          <w:sz w:val="20"/>
        </w:rPr>
      </w:pPr>
      <w:r w:rsidRPr="009A06A2">
        <w:rPr>
          <w:i/>
          <w:iCs/>
          <w:sz w:val="20"/>
        </w:rPr>
        <w:t xml:space="preserve">Para el </w:t>
      </w:r>
      <w:r w:rsidRPr="009A06A2">
        <w:rPr>
          <w:b/>
          <w:i/>
          <w:iCs/>
          <w:sz w:val="20"/>
        </w:rPr>
        <w:t>SAIFI</w:t>
      </w:r>
      <w:r w:rsidRPr="009A06A2">
        <w:rPr>
          <w:i/>
          <w:iCs/>
          <w:sz w:val="20"/>
        </w:rPr>
        <w:t xml:space="preserve">. </w:t>
      </w:r>
    </w:p>
    <w:p w14:paraId="4353DD94" w14:textId="77777777" w:rsidR="009A06A2" w:rsidRPr="009A06A2" w:rsidRDefault="009A06A2" w:rsidP="009A06A2">
      <w:pPr>
        <w:pStyle w:val="Prrafodelista"/>
        <w:numPr>
          <w:ilvl w:val="1"/>
          <w:numId w:val="39"/>
        </w:numPr>
        <w:spacing w:before="0" w:after="160" w:line="259" w:lineRule="auto"/>
        <w:ind w:left="1788"/>
        <w:contextualSpacing/>
        <w:rPr>
          <w:i/>
          <w:iCs/>
          <w:sz w:val="20"/>
        </w:rPr>
      </w:pPr>
      <w:r w:rsidRPr="009A06A2">
        <w:rPr>
          <w:i/>
          <w:iCs/>
          <w:sz w:val="20"/>
        </w:rPr>
        <w:t>Noviembre 9.36 interrupciones, diciembre 6.35 interrupciones.</w:t>
      </w:r>
    </w:p>
    <w:p w14:paraId="036860CB" w14:textId="77777777" w:rsidR="009A06A2" w:rsidRPr="009A06A2" w:rsidRDefault="009A06A2" w:rsidP="009A06A2">
      <w:pPr>
        <w:ind w:left="348"/>
        <w:rPr>
          <w:i/>
          <w:iCs/>
          <w:sz w:val="20"/>
          <w:szCs w:val="20"/>
        </w:rPr>
      </w:pPr>
      <w:r w:rsidRPr="009A06A2">
        <w:rPr>
          <w:i/>
          <w:iCs/>
          <w:sz w:val="20"/>
          <w:szCs w:val="20"/>
        </w:rPr>
        <w:t>El producto de la conversión de los formatos 2 y 3 se pueden observar en los archivos del ANEXOS 3, “01. Formato 1. Diciembre 2016. 2371 - EEBP S” y “02. Formato 1. Noviembre 2016. 2371 – EEBP”.</w:t>
      </w:r>
    </w:p>
    <w:p w14:paraId="5656000C" w14:textId="77777777" w:rsidR="009A06A2" w:rsidRPr="009A06A2" w:rsidRDefault="009A06A2" w:rsidP="009A06A2">
      <w:pPr>
        <w:ind w:left="348"/>
        <w:rPr>
          <w:i/>
          <w:iCs/>
          <w:sz w:val="20"/>
          <w:szCs w:val="20"/>
        </w:rPr>
      </w:pPr>
      <w:r w:rsidRPr="009A06A2">
        <w:rPr>
          <w:i/>
          <w:iCs/>
          <w:sz w:val="20"/>
          <w:szCs w:val="20"/>
        </w:rPr>
        <w:t>(…)</w:t>
      </w:r>
    </w:p>
    <w:p w14:paraId="3C4C9DF5" w14:textId="77777777" w:rsidR="009A06A2" w:rsidRPr="009A06A2" w:rsidRDefault="009A06A2" w:rsidP="009A06A2">
      <w:pPr>
        <w:pStyle w:val="xmsonormal"/>
        <w:spacing w:before="0" w:beforeAutospacing="0" w:after="120" w:afterAutospacing="0"/>
        <w:ind w:left="348"/>
        <w:jc w:val="both"/>
        <w:textAlignment w:val="baseline"/>
        <w:rPr>
          <w:rFonts w:ascii="Bookman Old Style" w:hAnsi="Bookman Old Style" w:cs="Arial"/>
          <w:b/>
          <w:i/>
          <w:iCs/>
          <w:sz w:val="20"/>
          <w:szCs w:val="20"/>
        </w:rPr>
      </w:pPr>
      <w:r w:rsidRPr="009A06A2">
        <w:rPr>
          <w:rFonts w:ascii="Bookman Old Style" w:eastAsiaTheme="minorHAnsi" w:hAnsi="Bookman Old Style" w:cs="Arial"/>
          <w:i/>
          <w:iCs/>
          <w:sz w:val="20"/>
          <w:szCs w:val="20"/>
          <w:lang w:val="es-ES" w:eastAsia="en-US"/>
        </w:rPr>
        <w:lastRenderedPageBreak/>
        <w:t>Al incluir elementos tecnológicos en el sistema eléctrico, las necesidades del SDL se muestran con mayor precisión y se trasladan a los valores de los indicadores de calidad media e individual. En consecuencia, d</w:t>
      </w:r>
      <w:r w:rsidRPr="009A06A2">
        <w:rPr>
          <w:rFonts w:ascii="Bookman Old Style" w:hAnsi="Bookman Old Style" w:cs="Arial"/>
          <w:i/>
          <w:iCs/>
          <w:sz w:val="20"/>
          <w:szCs w:val="20"/>
        </w:rPr>
        <w:t xml:space="preserve">entro del análisis anual de los indicadores de calidad media </w:t>
      </w:r>
      <w:r w:rsidRPr="009A06A2">
        <w:rPr>
          <w:rFonts w:ascii="Bookman Old Style" w:hAnsi="Bookman Old Style" w:cs="Arial"/>
          <w:b/>
          <w:i/>
          <w:iCs/>
          <w:sz w:val="20"/>
          <w:szCs w:val="20"/>
        </w:rPr>
        <w:t>(SAIDI y SAIFI)</w:t>
      </w:r>
      <w:r w:rsidRPr="009A06A2">
        <w:rPr>
          <w:rFonts w:ascii="Bookman Old Style" w:hAnsi="Bookman Old Style" w:cs="Arial"/>
          <w:i/>
          <w:iCs/>
          <w:sz w:val="20"/>
          <w:szCs w:val="20"/>
        </w:rPr>
        <w:t xml:space="preserve">, se observa un incremento entre 2017 y 2019, siendo este último el año en que la EEBP inició la aplicación del esquema de calidad del servicio, según lo establecido en la </w:t>
      </w:r>
      <w:r w:rsidRPr="009A06A2">
        <w:rPr>
          <w:rFonts w:ascii="Bookman Old Style" w:hAnsi="Bookman Old Style" w:cs="Arial"/>
          <w:b/>
          <w:i/>
          <w:iCs/>
          <w:sz w:val="20"/>
          <w:szCs w:val="20"/>
        </w:rPr>
        <w:t>CREG 097 de 2008</w:t>
      </w:r>
      <w:r w:rsidRPr="009A06A2">
        <w:rPr>
          <w:rFonts w:ascii="Bookman Old Style" w:hAnsi="Bookman Old Style" w:cs="Arial"/>
          <w:i/>
          <w:iCs/>
          <w:sz w:val="20"/>
          <w:szCs w:val="20"/>
        </w:rPr>
        <w:t xml:space="preserve">. Posterior al 2019, los valores de los indicadores de calidad se empezaron a reducir por efecto de las inversiones realizadas por la organización. </w:t>
      </w:r>
      <w:r w:rsidRPr="009A06A2">
        <w:rPr>
          <w:rFonts w:ascii="Bookman Old Style" w:hAnsi="Bookman Old Style" w:cs="Arial"/>
          <w:b/>
          <w:i/>
          <w:iCs/>
          <w:sz w:val="20"/>
          <w:szCs w:val="20"/>
        </w:rPr>
        <w:t>Ver figura 1 y Figura 2.  Ver Tabla 2.</w:t>
      </w:r>
    </w:p>
    <w:p w14:paraId="6254926C" w14:textId="77777777" w:rsidR="009A06A2" w:rsidRPr="009A06A2" w:rsidRDefault="009A06A2" w:rsidP="009A06A2">
      <w:pPr>
        <w:pStyle w:val="xmsonormal"/>
        <w:spacing w:before="0" w:beforeAutospacing="0" w:after="120" w:afterAutospacing="0"/>
        <w:ind w:left="348"/>
        <w:jc w:val="both"/>
        <w:textAlignment w:val="baseline"/>
        <w:rPr>
          <w:rFonts w:ascii="Bookman Old Style" w:eastAsiaTheme="minorHAnsi" w:hAnsi="Bookman Old Style" w:cs="Arial"/>
          <w:i/>
          <w:iCs/>
          <w:sz w:val="20"/>
          <w:szCs w:val="20"/>
          <w:lang w:val="es-ES" w:eastAsia="en-US"/>
        </w:rPr>
      </w:pPr>
      <w:r w:rsidRPr="009A06A2">
        <w:rPr>
          <w:rFonts w:ascii="Bookman Old Style" w:eastAsiaTheme="minorHAnsi" w:hAnsi="Bookman Old Style" w:cs="Arial"/>
          <w:i/>
          <w:iCs/>
          <w:sz w:val="20"/>
          <w:szCs w:val="20"/>
          <w:lang w:val="es-ES" w:eastAsia="en-US"/>
        </w:rPr>
        <w:t>Al realizar la comparación de cada una de las metas de los años de referencia establecidos por la Resolución CREG 218 de 2021, con los valores de los indicadores de calidad media de la EEBP, se observa una gran diferencia de resultados, los cuales se muestran a continuación:</w:t>
      </w:r>
    </w:p>
    <w:p w14:paraId="618231F1" w14:textId="77777777" w:rsidR="009A06A2" w:rsidRPr="009A06A2" w:rsidRDefault="009A06A2" w:rsidP="009A06A2">
      <w:pPr>
        <w:ind w:left="348"/>
        <w:rPr>
          <w:rFonts w:cs="Arial"/>
          <w:i/>
          <w:iCs/>
          <w:sz w:val="20"/>
          <w:szCs w:val="20"/>
        </w:rPr>
      </w:pPr>
      <w:r w:rsidRPr="009A06A2">
        <w:rPr>
          <w:rFonts w:cs="Arial"/>
          <w:i/>
          <w:iCs/>
          <w:sz w:val="20"/>
          <w:szCs w:val="20"/>
        </w:rPr>
        <w:t xml:space="preserve">Para el SAIDI: </w:t>
      </w:r>
    </w:p>
    <w:p w14:paraId="5AC2DC4A" w14:textId="77777777"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 xml:space="preserve">En el año </w:t>
      </w:r>
      <w:r w:rsidRPr="009A06A2">
        <w:rPr>
          <w:b/>
          <w:i/>
          <w:iCs/>
          <w:sz w:val="20"/>
        </w:rPr>
        <w:t>2019</w:t>
      </w:r>
      <w:r w:rsidRPr="009A06A2">
        <w:rPr>
          <w:i/>
          <w:iCs/>
          <w:sz w:val="20"/>
        </w:rPr>
        <w:t xml:space="preserve"> la diferencia se marca en </w:t>
      </w:r>
      <w:r w:rsidRPr="009A06A2">
        <w:rPr>
          <w:b/>
          <w:i/>
          <w:iCs/>
          <w:sz w:val="20"/>
        </w:rPr>
        <w:t>55,186</w:t>
      </w:r>
      <w:r w:rsidRPr="009A06A2">
        <w:rPr>
          <w:i/>
          <w:iCs/>
          <w:sz w:val="20"/>
        </w:rPr>
        <w:t xml:space="preserve"> Horas. Para el año </w:t>
      </w:r>
      <w:r w:rsidRPr="009A06A2">
        <w:rPr>
          <w:b/>
          <w:i/>
          <w:iCs/>
          <w:sz w:val="20"/>
        </w:rPr>
        <w:t>2020</w:t>
      </w:r>
      <w:r w:rsidRPr="009A06A2">
        <w:rPr>
          <w:i/>
          <w:iCs/>
          <w:sz w:val="20"/>
        </w:rPr>
        <w:t xml:space="preserve"> de </w:t>
      </w:r>
      <w:r w:rsidRPr="009A06A2">
        <w:rPr>
          <w:b/>
          <w:i/>
          <w:iCs/>
          <w:sz w:val="20"/>
        </w:rPr>
        <w:t>50,77</w:t>
      </w:r>
      <w:r w:rsidRPr="009A06A2">
        <w:rPr>
          <w:i/>
          <w:iCs/>
          <w:sz w:val="20"/>
        </w:rPr>
        <w:t xml:space="preserve"> y para el año </w:t>
      </w:r>
      <w:r w:rsidRPr="009A06A2">
        <w:rPr>
          <w:b/>
          <w:i/>
          <w:iCs/>
          <w:sz w:val="20"/>
        </w:rPr>
        <w:t>2021</w:t>
      </w:r>
      <w:r w:rsidRPr="009A06A2">
        <w:rPr>
          <w:i/>
          <w:iCs/>
          <w:sz w:val="20"/>
        </w:rPr>
        <w:t xml:space="preserve"> de </w:t>
      </w:r>
      <w:r w:rsidRPr="009A06A2">
        <w:rPr>
          <w:b/>
          <w:i/>
          <w:iCs/>
          <w:sz w:val="20"/>
        </w:rPr>
        <w:t>25,84</w:t>
      </w:r>
      <w:r w:rsidRPr="009A06A2">
        <w:rPr>
          <w:i/>
          <w:iCs/>
          <w:sz w:val="20"/>
        </w:rPr>
        <w:t>. Ver la Figura 3 - SAIDI EEBP VS METAS DE CREG 218 DE 2021 y la Tabla 3 - Indicadores EEBP - Res 218 de 2021</w:t>
      </w:r>
    </w:p>
    <w:p w14:paraId="0089F8C0" w14:textId="77777777" w:rsidR="009A06A2" w:rsidRPr="009A06A2" w:rsidRDefault="009A06A2" w:rsidP="009A06A2">
      <w:pPr>
        <w:ind w:left="348"/>
        <w:rPr>
          <w:i/>
          <w:iCs/>
          <w:sz w:val="20"/>
          <w:szCs w:val="20"/>
        </w:rPr>
      </w:pPr>
      <w:r w:rsidRPr="009A06A2">
        <w:rPr>
          <w:i/>
          <w:iCs/>
          <w:sz w:val="20"/>
          <w:szCs w:val="20"/>
        </w:rPr>
        <w:t xml:space="preserve">Para el SAIFI: </w:t>
      </w:r>
    </w:p>
    <w:p w14:paraId="48188683" w14:textId="77777777"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 xml:space="preserve">En el año </w:t>
      </w:r>
      <w:r w:rsidRPr="009A06A2">
        <w:rPr>
          <w:b/>
          <w:i/>
          <w:iCs/>
          <w:sz w:val="20"/>
        </w:rPr>
        <w:t>2019</w:t>
      </w:r>
      <w:r w:rsidRPr="009A06A2">
        <w:rPr>
          <w:i/>
          <w:iCs/>
          <w:sz w:val="20"/>
        </w:rPr>
        <w:t xml:space="preserve"> la diferencia se marca en </w:t>
      </w:r>
      <w:r w:rsidRPr="009A06A2">
        <w:rPr>
          <w:b/>
          <w:i/>
          <w:iCs/>
          <w:sz w:val="20"/>
        </w:rPr>
        <w:t>55,735</w:t>
      </w:r>
      <w:r w:rsidRPr="009A06A2">
        <w:rPr>
          <w:i/>
          <w:iCs/>
          <w:sz w:val="20"/>
        </w:rPr>
        <w:t xml:space="preserve"> Interrupciones, para el año </w:t>
      </w:r>
      <w:r w:rsidRPr="009A06A2">
        <w:rPr>
          <w:b/>
          <w:i/>
          <w:iCs/>
          <w:sz w:val="20"/>
        </w:rPr>
        <w:t>2020</w:t>
      </w:r>
      <w:r w:rsidRPr="009A06A2">
        <w:rPr>
          <w:i/>
          <w:iCs/>
          <w:sz w:val="20"/>
        </w:rPr>
        <w:t xml:space="preserve"> de </w:t>
      </w:r>
      <w:r w:rsidRPr="009A06A2">
        <w:rPr>
          <w:b/>
          <w:i/>
          <w:iCs/>
          <w:sz w:val="20"/>
        </w:rPr>
        <w:t>33,491</w:t>
      </w:r>
      <w:r w:rsidRPr="009A06A2">
        <w:rPr>
          <w:i/>
          <w:iCs/>
          <w:sz w:val="20"/>
        </w:rPr>
        <w:t xml:space="preserve">, para el año </w:t>
      </w:r>
      <w:r w:rsidRPr="009A06A2">
        <w:rPr>
          <w:b/>
          <w:i/>
          <w:iCs/>
          <w:sz w:val="20"/>
        </w:rPr>
        <w:t>2021</w:t>
      </w:r>
      <w:r w:rsidRPr="009A06A2">
        <w:rPr>
          <w:i/>
          <w:iCs/>
          <w:sz w:val="20"/>
        </w:rPr>
        <w:t xml:space="preserve"> de </w:t>
      </w:r>
      <w:r w:rsidRPr="009A06A2">
        <w:rPr>
          <w:b/>
          <w:i/>
          <w:iCs/>
          <w:sz w:val="20"/>
        </w:rPr>
        <w:t>21,68</w:t>
      </w:r>
      <w:r w:rsidRPr="009A06A2">
        <w:rPr>
          <w:i/>
          <w:iCs/>
          <w:sz w:val="20"/>
        </w:rPr>
        <w:t>.  Ver Figura 4 - SAIFI EEBP VS METAS DE CREG 218 DE 2021 y Tabla 3 - I</w:t>
      </w:r>
      <w:r w:rsidRPr="009A06A2">
        <w:rPr>
          <w:bCs/>
          <w:i/>
          <w:iCs/>
          <w:sz w:val="20"/>
        </w:rPr>
        <w:t>ndicadores EEBP - Res 218 de 2021.</w:t>
      </w:r>
    </w:p>
    <w:p w14:paraId="6FED223C" w14:textId="16DD0420" w:rsidR="009A06A2" w:rsidRPr="009A06A2" w:rsidRDefault="009A06A2" w:rsidP="009A06A2">
      <w:pPr>
        <w:ind w:left="348"/>
        <w:rPr>
          <w:i/>
          <w:iCs/>
          <w:sz w:val="20"/>
          <w:szCs w:val="20"/>
        </w:rPr>
      </w:pPr>
      <w:r w:rsidRPr="009A06A2">
        <w:rPr>
          <w:i/>
          <w:iCs/>
          <w:sz w:val="20"/>
          <w:szCs w:val="20"/>
        </w:rPr>
        <w:t>Se entiende que los años del p</w:t>
      </w:r>
      <w:r w:rsidR="00ED1C85">
        <w:rPr>
          <w:i/>
          <w:iCs/>
          <w:sz w:val="20"/>
          <w:szCs w:val="20"/>
        </w:rPr>
        <w:t>eríodo</w:t>
      </w:r>
      <w:r w:rsidRPr="009A06A2">
        <w:rPr>
          <w:i/>
          <w:iCs/>
          <w:sz w:val="20"/>
          <w:szCs w:val="20"/>
        </w:rPr>
        <w:t xml:space="preserve"> tarifario empiezan a partir del 2019 (año 1 = 2019). Para el año 2021 se tomó la información de las desconexiones desde enero a noviembre. Ver documento “</w:t>
      </w:r>
      <w:r w:rsidRPr="009A06A2">
        <w:rPr>
          <w:rFonts w:cs="Arial"/>
          <w:i/>
          <w:iCs/>
          <w:sz w:val="20"/>
          <w:szCs w:val="20"/>
        </w:rPr>
        <w:t>10. Indicadores 2021 – Enero a Noviembre”.</w:t>
      </w:r>
    </w:p>
    <w:p w14:paraId="77474A82" w14:textId="77777777" w:rsidR="009A06A2" w:rsidRPr="009A06A2" w:rsidRDefault="009A06A2" w:rsidP="009A06A2">
      <w:pPr>
        <w:ind w:left="348"/>
        <w:rPr>
          <w:i/>
          <w:iCs/>
          <w:sz w:val="20"/>
          <w:szCs w:val="20"/>
        </w:rPr>
      </w:pPr>
      <w:r w:rsidRPr="009A06A2">
        <w:rPr>
          <w:i/>
          <w:iCs/>
          <w:sz w:val="20"/>
          <w:szCs w:val="20"/>
        </w:rPr>
        <w:t xml:space="preserve">De esa manera, se colige que con el ingreso de nueva tecnología a las redes del sistema eléctrico y demás inversiones realizadas, se mejora tanto la calidad en la prestación del servicio, como la calidad de información del sistema, y, por consiguiente, la precisión de la información de las desconexiones programadas y no programadas con las que cuenta la empresa y que reporta al LAC y SUI, condiciones que no fueron consideradas dentro de la información analizada por la Comisión. </w:t>
      </w:r>
    </w:p>
    <w:p w14:paraId="05026108" w14:textId="77777777" w:rsidR="009A06A2" w:rsidRPr="009A06A2" w:rsidRDefault="009A06A2" w:rsidP="009A06A2">
      <w:pPr>
        <w:ind w:left="348"/>
        <w:rPr>
          <w:i/>
          <w:iCs/>
          <w:sz w:val="20"/>
          <w:szCs w:val="20"/>
        </w:rPr>
      </w:pPr>
      <w:r w:rsidRPr="009A06A2">
        <w:rPr>
          <w:i/>
          <w:iCs/>
          <w:sz w:val="20"/>
          <w:szCs w:val="20"/>
        </w:rPr>
        <w:t>Conforme lo expuesto por la EEBP se deduce que:</w:t>
      </w:r>
    </w:p>
    <w:p w14:paraId="47511080" w14:textId="77777777"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 xml:space="preserve">La información contenida en el SUI para el año 2016 no refleja las condiciones de las redes eléctricas del área de influencia de la EEBP en ese momento. </w:t>
      </w:r>
    </w:p>
    <w:p w14:paraId="0BF2D8DE" w14:textId="77777777"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La información tenida en cuenta por la CREG, para los meses de noviembre y diciembre del 2016 no corresponde con lo reportado por los formatos 2 y 3 certificados por la EEBP al SUI para el trimestre correspondiente.</w:t>
      </w:r>
    </w:p>
    <w:p w14:paraId="7E76725E" w14:textId="37F40E13"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El estudio que hace la Comisión, no contempla la transición de la EEBP en cuanto a las mejoras constantes en la precisión de la calidad de la información, desde el inicio de p</w:t>
      </w:r>
      <w:r w:rsidR="00ED1C85">
        <w:rPr>
          <w:i/>
          <w:iCs/>
          <w:sz w:val="20"/>
        </w:rPr>
        <w:t>eríodo</w:t>
      </w:r>
      <w:r w:rsidRPr="009A06A2">
        <w:rPr>
          <w:i/>
          <w:iCs/>
          <w:sz w:val="20"/>
        </w:rPr>
        <w:t xml:space="preserve"> tarifario a la fecha, así mismo no tiene en cuenta que el ingreso de tecnología de punta a los sistemas de distribución, con lo cual se mejoró la precisión de los datos de las desconexiones programadas y no programadas.</w:t>
      </w:r>
    </w:p>
    <w:p w14:paraId="210E896B" w14:textId="28CCCF90"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Las metas de los indicadores de calidad del servicio, dadas las condiciones climáticas, geográficas y sociales del área de influencia de la EEBP, tienen alta probabilidad de no cumplirse. Lo anterior, se deduce de los años 1, 2 y 3 donde la empresa, de entrada, supera significativamente los valores de referencia y los valores de la banda de indiferencia, con la posibilidad de continuar incumpliendo los requerimientos del esquema de calidad del servicio, de los años restantes del p</w:t>
      </w:r>
      <w:r w:rsidR="00ED1C85">
        <w:rPr>
          <w:i/>
          <w:iCs/>
          <w:sz w:val="20"/>
        </w:rPr>
        <w:t>eríodo</w:t>
      </w:r>
      <w:r w:rsidRPr="009A06A2">
        <w:rPr>
          <w:i/>
          <w:iCs/>
          <w:sz w:val="20"/>
        </w:rPr>
        <w:t xml:space="preserve"> tarifario, en caso de que se mantengan en firme los valores de referencia indicados en la Resolución CREG 218 de 2021.</w:t>
      </w:r>
    </w:p>
    <w:p w14:paraId="45BA9EB8" w14:textId="77777777" w:rsidR="009A06A2" w:rsidRPr="009A06A2" w:rsidRDefault="009A06A2" w:rsidP="009A06A2">
      <w:pPr>
        <w:pStyle w:val="Prrafodelista"/>
        <w:numPr>
          <w:ilvl w:val="0"/>
          <w:numId w:val="41"/>
        </w:numPr>
        <w:spacing w:before="0" w:after="160" w:line="259" w:lineRule="auto"/>
        <w:ind w:left="1068"/>
        <w:contextualSpacing/>
        <w:rPr>
          <w:i/>
          <w:iCs/>
          <w:sz w:val="20"/>
        </w:rPr>
      </w:pPr>
      <w:r w:rsidRPr="009A06A2">
        <w:rPr>
          <w:i/>
          <w:iCs/>
          <w:sz w:val="20"/>
        </w:rPr>
        <w:t xml:space="preserve">La EEBP se encontraba realizando inversiones de conformidad a las necesidades del SDL, sin tener aprobados los ingresos necesarios para la ejecución de proyectos del plan de inversiones en el marco de la Resolución CREG 015 de 2018, propuestos bajo la Circular CREG 029 de 2018. Luego de pasados aproximadamente tres años, la Comisión se pronunció por medio del acto administrativo establecido por Resolución CREG 218 de 2021, tiempo en el cual la empresa siempre estuvo a disposición de la entrada en vigencia de la resolución particular de ingresos, la cual era fundamental </w:t>
      </w:r>
      <w:r w:rsidRPr="009A06A2">
        <w:rPr>
          <w:i/>
          <w:iCs/>
          <w:sz w:val="20"/>
        </w:rPr>
        <w:lastRenderedPageBreak/>
        <w:t xml:space="preserve">para la implementación de proyectos enfocados a la mejora de indicadores de calidad del servicio. </w:t>
      </w:r>
    </w:p>
    <w:p w14:paraId="2367D24F" w14:textId="77777777" w:rsidR="009A06A2" w:rsidRPr="009A06A2" w:rsidRDefault="009A06A2" w:rsidP="009A06A2">
      <w:pPr>
        <w:spacing w:after="160" w:line="259" w:lineRule="auto"/>
        <w:ind w:firstLine="708"/>
        <w:rPr>
          <w:b/>
          <w:i/>
          <w:iCs/>
          <w:sz w:val="20"/>
          <w:szCs w:val="20"/>
        </w:rPr>
      </w:pPr>
      <w:r w:rsidRPr="009A06A2">
        <w:rPr>
          <w:b/>
          <w:i/>
          <w:iCs/>
          <w:sz w:val="20"/>
          <w:szCs w:val="20"/>
        </w:rPr>
        <w:t>Petición</w:t>
      </w:r>
    </w:p>
    <w:p w14:paraId="60FBF5E4" w14:textId="77777777" w:rsidR="009A06A2" w:rsidRPr="009A06A2" w:rsidRDefault="009A06A2" w:rsidP="009A06A2">
      <w:pPr>
        <w:ind w:left="708"/>
        <w:rPr>
          <w:i/>
          <w:iCs/>
          <w:sz w:val="20"/>
          <w:szCs w:val="20"/>
        </w:rPr>
      </w:pPr>
      <w:r w:rsidRPr="009A06A2">
        <w:rPr>
          <w:i/>
          <w:iCs/>
          <w:sz w:val="20"/>
          <w:szCs w:val="20"/>
        </w:rPr>
        <w:t>Así las cosas, muy respetuosamente se solicita a la comisión que MODIFIQUE los Artículos 9, 10 y 11 de la Resolución CREG 218 de 2021, considerando los siguientes aspectos:</w:t>
      </w:r>
    </w:p>
    <w:p w14:paraId="3D1519D3" w14:textId="77777777" w:rsidR="009A06A2" w:rsidRPr="009A06A2" w:rsidRDefault="009A06A2" w:rsidP="009A06A2">
      <w:pPr>
        <w:pStyle w:val="Prrafodelista"/>
        <w:numPr>
          <w:ilvl w:val="0"/>
          <w:numId w:val="42"/>
        </w:numPr>
        <w:spacing w:before="0" w:after="160" w:line="259" w:lineRule="auto"/>
        <w:ind w:left="1428"/>
        <w:contextualSpacing/>
        <w:rPr>
          <w:i/>
          <w:iCs/>
          <w:sz w:val="20"/>
        </w:rPr>
      </w:pPr>
      <w:r w:rsidRPr="009A06A2">
        <w:rPr>
          <w:i/>
          <w:iCs/>
          <w:sz w:val="20"/>
        </w:rPr>
        <w:t>Aplicar las metas de indicadores de referencia contenidas en la Tabla 4 de este documento. Para efectos de cálculos ver ANEXOS 3.</w:t>
      </w:r>
    </w:p>
    <w:p w14:paraId="6D8C8000" w14:textId="77777777" w:rsidR="009A06A2" w:rsidRPr="009A06A2" w:rsidRDefault="009A06A2" w:rsidP="009A06A2">
      <w:pPr>
        <w:pStyle w:val="Prrafodelista"/>
        <w:numPr>
          <w:ilvl w:val="0"/>
          <w:numId w:val="42"/>
        </w:numPr>
        <w:spacing w:before="0" w:after="160" w:line="259" w:lineRule="auto"/>
        <w:ind w:left="1428"/>
        <w:contextualSpacing/>
        <w:rPr>
          <w:i/>
          <w:iCs/>
          <w:sz w:val="20"/>
        </w:rPr>
      </w:pPr>
      <w:r w:rsidRPr="009A06A2">
        <w:rPr>
          <w:i/>
          <w:iCs/>
          <w:sz w:val="20"/>
        </w:rPr>
        <w:t>De no proceder con la modificación del literal a, tener presente la información expuesta por la EEBP, en este documento y sus anexos, para que de esa manera se fijen metas alcanzables de los indicadores de referencia, correspondientes a lo que la empresa ve reflejado en su SDL. Ver ANEXOS 3.</w:t>
      </w:r>
    </w:p>
    <w:p w14:paraId="421783B9" w14:textId="77777777" w:rsidR="009A06A2" w:rsidRPr="009A06A2" w:rsidRDefault="009A06A2" w:rsidP="009A06A2">
      <w:pPr>
        <w:pStyle w:val="Prrafodelista"/>
        <w:numPr>
          <w:ilvl w:val="0"/>
          <w:numId w:val="42"/>
        </w:numPr>
        <w:spacing w:before="0" w:after="160" w:line="259" w:lineRule="auto"/>
        <w:ind w:left="1428"/>
        <w:contextualSpacing/>
        <w:rPr>
          <w:i/>
          <w:iCs/>
          <w:sz w:val="20"/>
        </w:rPr>
      </w:pPr>
      <w:r w:rsidRPr="009A06A2">
        <w:rPr>
          <w:i/>
          <w:iCs/>
          <w:sz w:val="20"/>
        </w:rPr>
        <w:t>De no ser posible los literales a y b, solicitamos considerar en los indicadores de referencia de calidad media, ya sean los datos contenidos en los formatos 2 y 3 reportados al SUI de enero 2017 o la información remitida de los formatos 4 y 5 de noviembre y diciembre de 2016. Ver ANEXO 3.</w:t>
      </w:r>
    </w:p>
    <w:p w14:paraId="1B2536A3" w14:textId="77777777" w:rsidR="009A06A2" w:rsidRPr="009A06A2" w:rsidRDefault="009A06A2" w:rsidP="009A06A2">
      <w:pPr>
        <w:pStyle w:val="Descripcin"/>
        <w:ind w:left="348"/>
        <w:rPr>
          <w:b/>
          <w:i/>
          <w:iCs/>
          <w:sz w:val="20"/>
        </w:rPr>
      </w:pPr>
      <w:r w:rsidRPr="009A06A2">
        <w:rPr>
          <w:b/>
          <w:i/>
          <w:iCs/>
          <w:sz w:val="20"/>
        </w:rPr>
        <w:t>Tabla 2 - Indicadores de Calidad Media – EEBP.</w:t>
      </w:r>
    </w:p>
    <w:tbl>
      <w:tblPr>
        <w:tblW w:w="3600" w:type="dxa"/>
        <w:jc w:val="center"/>
        <w:tblCellMar>
          <w:left w:w="70" w:type="dxa"/>
          <w:right w:w="70" w:type="dxa"/>
        </w:tblCellMar>
        <w:tblLook w:val="04A0" w:firstRow="1" w:lastRow="0" w:firstColumn="1" w:lastColumn="0" w:noHBand="0" w:noVBand="1"/>
      </w:tblPr>
      <w:tblGrid>
        <w:gridCol w:w="1666"/>
        <w:gridCol w:w="967"/>
        <w:gridCol w:w="967"/>
      </w:tblGrid>
      <w:tr w:rsidR="009A06A2" w:rsidRPr="009A06A2" w14:paraId="0F36E9EE" w14:textId="77777777" w:rsidTr="00AF4747">
        <w:trPr>
          <w:trHeight w:val="315"/>
          <w:jc w:val="center"/>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DADCA4D" w14:textId="77777777" w:rsidR="009A06A2" w:rsidRPr="009A06A2" w:rsidRDefault="009A06A2" w:rsidP="00AF4747">
            <w:pPr>
              <w:jc w:val="center"/>
              <w:rPr>
                <w:rFonts w:cs="Calibri"/>
                <w:b/>
                <w:bCs/>
                <w:i/>
                <w:iCs/>
                <w:sz w:val="20"/>
                <w:szCs w:val="20"/>
                <w:lang w:eastAsia="es-CO"/>
              </w:rPr>
            </w:pPr>
            <w:r w:rsidRPr="009A06A2">
              <w:rPr>
                <w:rFonts w:cs="Calibri"/>
                <w:b/>
                <w:bCs/>
                <w:i/>
                <w:iCs/>
                <w:sz w:val="20"/>
                <w:szCs w:val="20"/>
                <w:lang w:eastAsia="es-CO"/>
              </w:rPr>
              <w:t>EEBP</w:t>
            </w:r>
          </w:p>
        </w:tc>
      </w:tr>
      <w:tr w:rsidR="009A06A2" w:rsidRPr="009A06A2" w14:paraId="35C44DA5" w14:textId="77777777" w:rsidTr="00AF4747">
        <w:trPr>
          <w:trHeight w:val="315"/>
          <w:jc w:val="center"/>
        </w:trPr>
        <w:tc>
          <w:tcPr>
            <w:tcW w:w="1666" w:type="dxa"/>
            <w:tcBorders>
              <w:top w:val="nil"/>
              <w:left w:val="single" w:sz="8" w:space="0" w:color="auto"/>
              <w:bottom w:val="single" w:sz="8" w:space="0" w:color="auto"/>
              <w:right w:val="single" w:sz="8" w:space="0" w:color="auto"/>
            </w:tcBorders>
            <w:shd w:val="clear" w:color="auto" w:fill="auto"/>
            <w:noWrap/>
            <w:vAlign w:val="bottom"/>
            <w:hideMark/>
          </w:tcPr>
          <w:p w14:paraId="48B90FF9" w14:textId="77777777" w:rsidR="009A06A2" w:rsidRPr="009A06A2" w:rsidRDefault="009A06A2" w:rsidP="00AF4747">
            <w:pPr>
              <w:jc w:val="center"/>
              <w:rPr>
                <w:rFonts w:cs="Calibri"/>
                <w:b/>
                <w:bCs/>
                <w:i/>
                <w:iCs/>
                <w:sz w:val="20"/>
                <w:szCs w:val="20"/>
                <w:lang w:eastAsia="es-CO"/>
              </w:rPr>
            </w:pPr>
            <w:r w:rsidRPr="009A06A2">
              <w:rPr>
                <w:rFonts w:cs="Calibri"/>
                <w:b/>
                <w:bCs/>
                <w:i/>
                <w:iCs/>
                <w:sz w:val="20"/>
                <w:szCs w:val="20"/>
                <w:lang w:eastAsia="es-CO"/>
              </w:rPr>
              <w:t>INDICADOR</w:t>
            </w:r>
          </w:p>
        </w:tc>
        <w:tc>
          <w:tcPr>
            <w:tcW w:w="967" w:type="dxa"/>
            <w:tcBorders>
              <w:top w:val="nil"/>
              <w:left w:val="nil"/>
              <w:bottom w:val="single" w:sz="8" w:space="0" w:color="auto"/>
              <w:right w:val="nil"/>
            </w:tcBorders>
            <w:shd w:val="clear" w:color="auto" w:fill="auto"/>
            <w:noWrap/>
            <w:vAlign w:val="bottom"/>
            <w:hideMark/>
          </w:tcPr>
          <w:p w14:paraId="7EA6AC5A" w14:textId="77777777" w:rsidR="009A06A2" w:rsidRPr="009A06A2" w:rsidRDefault="009A06A2" w:rsidP="00AF4747">
            <w:pPr>
              <w:jc w:val="center"/>
              <w:rPr>
                <w:rFonts w:cs="Calibri"/>
                <w:b/>
                <w:bCs/>
                <w:i/>
                <w:iCs/>
                <w:sz w:val="20"/>
                <w:szCs w:val="20"/>
                <w:lang w:eastAsia="es-CO"/>
              </w:rPr>
            </w:pPr>
            <w:r w:rsidRPr="009A06A2">
              <w:rPr>
                <w:rFonts w:cs="Calibri"/>
                <w:b/>
                <w:bCs/>
                <w:i/>
                <w:iCs/>
                <w:sz w:val="20"/>
                <w:szCs w:val="20"/>
                <w:lang w:eastAsia="es-CO"/>
              </w:rPr>
              <w:t>SAIDI</w:t>
            </w:r>
          </w:p>
        </w:tc>
        <w:tc>
          <w:tcPr>
            <w:tcW w:w="967" w:type="dxa"/>
            <w:tcBorders>
              <w:top w:val="nil"/>
              <w:left w:val="nil"/>
              <w:bottom w:val="single" w:sz="8" w:space="0" w:color="auto"/>
              <w:right w:val="single" w:sz="8" w:space="0" w:color="auto"/>
            </w:tcBorders>
            <w:shd w:val="clear" w:color="auto" w:fill="auto"/>
            <w:noWrap/>
            <w:vAlign w:val="bottom"/>
            <w:hideMark/>
          </w:tcPr>
          <w:p w14:paraId="5B2F0449" w14:textId="77777777" w:rsidR="009A06A2" w:rsidRPr="009A06A2" w:rsidRDefault="009A06A2" w:rsidP="00AF4747">
            <w:pPr>
              <w:jc w:val="center"/>
              <w:rPr>
                <w:rFonts w:cs="Calibri"/>
                <w:b/>
                <w:bCs/>
                <w:i/>
                <w:iCs/>
                <w:sz w:val="20"/>
                <w:szCs w:val="20"/>
                <w:lang w:eastAsia="es-CO"/>
              </w:rPr>
            </w:pPr>
            <w:r w:rsidRPr="009A06A2">
              <w:rPr>
                <w:rFonts w:cs="Calibri"/>
                <w:b/>
                <w:bCs/>
                <w:i/>
                <w:iCs/>
                <w:sz w:val="20"/>
                <w:szCs w:val="20"/>
                <w:lang w:eastAsia="es-CO"/>
              </w:rPr>
              <w:t>SAIFI</w:t>
            </w:r>
          </w:p>
        </w:tc>
      </w:tr>
      <w:tr w:rsidR="009A06A2" w:rsidRPr="009A06A2" w14:paraId="5C4DDB15" w14:textId="77777777" w:rsidTr="00AF4747">
        <w:trPr>
          <w:trHeight w:val="300"/>
          <w:jc w:val="center"/>
        </w:trPr>
        <w:tc>
          <w:tcPr>
            <w:tcW w:w="1666" w:type="dxa"/>
            <w:tcBorders>
              <w:top w:val="nil"/>
              <w:left w:val="single" w:sz="8" w:space="0" w:color="auto"/>
              <w:bottom w:val="single" w:sz="4" w:space="0" w:color="auto"/>
              <w:right w:val="single" w:sz="8" w:space="0" w:color="auto"/>
            </w:tcBorders>
            <w:shd w:val="clear" w:color="auto" w:fill="auto"/>
            <w:noWrap/>
            <w:vAlign w:val="bottom"/>
            <w:hideMark/>
          </w:tcPr>
          <w:p w14:paraId="46E386B6"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2017</w:t>
            </w:r>
          </w:p>
        </w:tc>
        <w:tc>
          <w:tcPr>
            <w:tcW w:w="967" w:type="dxa"/>
            <w:tcBorders>
              <w:top w:val="nil"/>
              <w:left w:val="nil"/>
              <w:bottom w:val="single" w:sz="4" w:space="0" w:color="auto"/>
              <w:right w:val="single" w:sz="4" w:space="0" w:color="auto"/>
            </w:tcBorders>
            <w:shd w:val="clear" w:color="auto" w:fill="auto"/>
            <w:noWrap/>
            <w:vAlign w:val="bottom"/>
            <w:hideMark/>
          </w:tcPr>
          <w:p w14:paraId="21B3D0CE"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42,49</w:t>
            </w:r>
          </w:p>
        </w:tc>
        <w:tc>
          <w:tcPr>
            <w:tcW w:w="967" w:type="dxa"/>
            <w:tcBorders>
              <w:top w:val="nil"/>
              <w:left w:val="nil"/>
              <w:bottom w:val="single" w:sz="4" w:space="0" w:color="auto"/>
              <w:right w:val="single" w:sz="8" w:space="0" w:color="auto"/>
            </w:tcBorders>
            <w:shd w:val="clear" w:color="auto" w:fill="auto"/>
            <w:noWrap/>
            <w:vAlign w:val="bottom"/>
            <w:hideMark/>
          </w:tcPr>
          <w:p w14:paraId="0A5E3CC4"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58,64</w:t>
            </w:r>
          </w:p>
        </w:tc>
      </w:tr>
      <w:tr w:rsidR="009A06A2" w:rsidRPr="009A06A2" w14:paraId="0F16BB0B" w14:textId="77777777" w:rsidTr="00AF4747">
        <w:trPr>
          <w:trHeight w:val="315"/>
          <w:jc w:val="center"/>
        </w:trPr>
        <w:tc>
          <w:tcPr>
            <w:tcW w:w="1666" w:type="dxa"/>
            <w:tcBorders>
              <w:top w:val="nil"/>
              <w:left w:val="single" w:sz="8" w:space="0" w:color="auto"/>
              <w:bottom w:val="single" w:sz="4" w:space="0" w:color="auto"/>
              <w:right w:val="single" w:sz="8" w:space="0" w:color="auto"/>
            </w:tcBorders>
            <w:shd w:val="clear" w:color="auto" w:fill="auto"/>
            <w:noWrap/>
            <w:vAlign w:val="bottom"/>
            <w:hideMark/>
          </w:tcPr>
          <w:p w14:paraId="31DA9117"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2018</w:t>
            </w:r>
          </w:p>
        </w:tc>
        <w:tc>
          <w:tcPr>
            <w:tcW w:w="967" w:type="dxa"/>
            <w:tcBorders>
              <w:top w:val="nil"/>
              <w:left w:val="nil"/>
              <w:bottom w:val="single" w:sz="4" w:space="0" w:color="auto"/>
              <w:right w:val="single" w:sz="4" w:space="0" w:color="auto"/>
            </w:tcBorders>
            <w:shd w:val="clear" w:color="auto" w:fill="auto"/>
            <w:noWrap/>
            <w:vAlign w:val="bottom"/>
            <w:hideMark/>
          </w:tcPr>
          <w:p w14:paraId="28FCFEBE"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78,04</w:t>
            </w:r>
          </w:p>
        </w:tc>
        <w:tc>
          <w:tcPr>
            <w:tcW w:w="967" w:type="dxa"/>
            <w:tcBorders>
              <w:top w:val="nil"/>
              <w:left w:val="nil"/>
              <w:bottom w:val="single" w:sz="4" w:space="0" w:color="auto"/>
              <w:right w:val="single" w:sz="8" w:space="0" w:color="auto"/>
            </w:tcBorders>
            <w:shd w:val="clear" w:color="auto" w:fill="auto"/>
            <w:noWrap/>
            <w:vAlign w:val="bottom"/>
            <w:hideMark/>
          </w:tcPr>
          <w:p w14:paraId="0CC57B45"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68,29</w:t>
            </w:r>
          </w:p>
        </w:tc>
      </w:tr>
      <w:tr w:rsidR="009A06A2" w:rsidRPr="009A06A2" w14:paraId="19FC696E" w14:textId="77777777" w:rsidTr="00AF4747">
        <w:trPr>
          <w:trHeight w:val="300"/>
          <w:jc w:val="center"/>
        </w:trPr>
        <w:tc>
          <w:tcPr>
            <w:tcW w:w="1666" w:type="dxa"/>
            <w:tcBorders>
              <w:top w:val="nil"/>
              <w:left w:val="single" w:sz="8" w:space="0" w:color="auto"/>
              <w:bottom w:val="single" w:sz="4" w:space="0" w:color="auto"/>
              <w:right w:val="single" w:sz="8" w:space="0" w:color="auto"/>
            </w:tcBorders>
            <w:shd w:val="clear" w:color="auto" w:fill="auto"/>
            <w:noWrap/>
            <w:vAlign w:val="bottom"/>
            <w:hideMark/>
          </w:tcPr>
          <w:p w14:paraId="76125894"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2019</w:t>
            </w:r>
          </w:p>
        </w:tc>
        <w:tc>
          <w:tcPr>
            <w:tcW w:w="967" w:type="dxa"/>
            <w:tcBorders>
              <w:top w:val="nil"/>
              <w:left w:val="nil"/>
              <w:bottom w:val="single" w:sz="4" w:space="0" w:color="auto"/>
              <w:right w:val="single" w:sz="4" w:space="0" w:color="auto"/>
            </w:tcBorders>
            <w:shd w:val="clear" w:color="auto" w:fill="auto"/>
            <w:noWrap/>
            <w:vAlign w:val="bottom"/>
            <w:hideMark/>
          </w:tcPr>
          <w:p w14:paraId="38DD1FD3"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93,75</w:t>
            </w:r>
          </w:p>
        </w:tc>
        <w:tc>
          <w:tcPr>
            <w:tcW w:w="967" w:type="dxa"/>
            <w:tcBorders>
              <w:top w:val="nil"/>
              <w:left w:val="nil"/>
              <w:bottom w:val="single" w:sz="4" w:space="0" w:color="auto"/>
              <w:right w:val="single" w:sz="8" w:space="0" w:color="auto"/>
            </w:tcBorders>
            <w:shd w:val="clear" w:color="auto" w:fill="auto"/>
            <w:noWrap/>
            <w:vAlign w:val="bottom"/>
            <w:hideMark/>
          </w:tcPr>
          <w:p w14:paraId="161AB773"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74,44</w:t>
            </w:r>
          </w:p>
        </w:tc>
      </w:tr>
      <w:tr w:rsidR="009A06A2" w:rsidRPr="009A06A2" w14:paraId="1DDDF3B5" w14:textId="77777777" w:rsidTr="00AF4747">
        <w:trPr>
          <w:trHeight w:val="300"/>
          <w:jc w:val="center"/>
        </w:trPr>
        <w:tc>
          <w:tcPr>
            <w:tcW w:w="1666" w:type="dxa"/>
            <w:tcBorders>
              <w:top w:val="nil"/>
              <w:left w:val="single" w:sz="8" w:space="0" w:color="auto"/>
              <w:bottom w:val="single" w:sz="4" w:space="0" w:color="auto"/>
              <w:right w:val="single" w:sz="8" w:space="0" w:color="auto"/>
            </w:tcBorders>
            <w:shd w:val="clear" w:color="auto" w:fill="auto"/>
            <w:noWrap/>
            <w:vAlign w:val="bottom"/>
            <w:hideMark/>
          </w:tcPr>
          <w:p w14:paraId="036572B6"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2020</w:t>
            </w:r>
          </w:p>
        </w:tc>
        <w:tc>
          <w:tcPr>
            <w:tcW w:w="967" w:type="dxa"/>
            <w:tcBorders>
              <w:top w:val="nil"/>
              <w:left w:val="nil"/>
              <w:bottom w:val="single" w:sz="4" w:space="0" w:color="auto"/>
              <w:right w:val="single" w:sz="4" w:space="0" w:color="auto"/>
            </w:tcBorders>
            <w:shd w:val="clear" w:color="auto" w:fill="auto"/>
            <w:noWrap/>
            <w:vAlign w:val="bottom"/>
            <w:hideMark/>
          </w:tcPr>
          <w:p w14:paraId="65EE6A1C"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86,249</w:t>
            </w:r>
          </w:p>
        </w:tc>
        <w:tc>
          <w:tcPr>
            <w:tcW w:w="967" w:type="dxa"/>
            <w:tcBorders>
              <w:top w:val="nil"/>
              <w:left w:val="nil"/>
              <w:bottom w:val="single" w:sz="4" w:space="0" w:color="auto"/>
              <w:right w:val="single" w:sz="8" w:space="0" w:color="auto"/>
            </w:tcBorders>
            <w:shd w:val="clear" w:color="auto" w:fill="auto"/>
            <w:noWrap/>
            <w:vAlign w:val="bottom"/>
            <w:hideMark/>
          </w:tcPr>
          <w:p w14:paraId="0669A4A5"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50,700</w:t>
            </w:r>
          </w:p>
        </w:tc>
      </w:tr>
      <w:tr w:rsidR="009A06A2" w:rsidRPr="009A06A2" w14:paraId="030B8F89" w14:textId="77777777" w:rsidTr="00AF4747">
        <w:trPr>
          <w:trHeight w:val="315"/>
          <w:jc w:val="center"/>
        </w:trPr>
        <w:tc>
          <w:tcPr>
            <w:tcW w:w="1666" w:type="dxa"/>
            <w:tcBorders>
              <w:top w:val="nil"/>
              <w:left w:val="single" w:sz="8" w:space="0" w:color="auto"/>
              <w:bottom w:val="single" w:sz="8" w:space="0" w:color="auto"/>
              <w:right w:val="single" w:sz="8" w:space="0" w:color="auto"/>
            </w:tcBorders>
            <w:shd w:val="clear" w:color="auto" w:fill="auto"/>
            <w:noWrap/>
            <w:vAlign w:val="bottom"/>
            <w:hideMark/>
          </w:tcPr>
          <w:p w14:paraId="66DB2F35"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2021</w:t>
            </w:r>
          </w:p>
        </w:tc>
        <w:tc>
          <w:tcPr>
            <w:tcW w:w="967" w:type="dxa"/>
            <w:tcBorders>
              <w:top w:val="nil"/>
              <w:left w:val="nil"/>
              <w:bottom w:val="single" w:sz="8" w:space="0" w:color="auto"/>
              <w:right w:val="single" w:sz="4" w:space="0" w:color="auto"/>
            </w:tcBorders>
            <w:shd w:val="clear" w:color="auto" w:fill="auto"/>
            <w:noWrap/>
            <w:vAlign w:val="bottom"/>
            <w:hideMark/>
          </w:tcPr>
          <w:p w14:paraId="01AEF6E6"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58,48</w:t>
            </w:r>
          </w:p>
        </w:tc>
        <w:tc>
          <w:tcPr>
            <w:tcW w:w="967" w:type="dxa"/>
            <w:tcBorders>
              <w:top w:val="nil"/>
              <w:left w:val="nil"/>
              <w:bottom w:val="single" w:sz="8" w:space="0" w:color="auto"/>
              <w:right w:val="single" w:sz="8" w:space="0" w:color="auto"/>
            </w:tcBorders>
            <w:shd w:val="clear" w:color="auto" w:fill="auto"/>
            <w:noWrap/>
            <w:vAlign w:val="bottom"/>
            <w:hideMark/>
          </w:tcPr>
          <w:p w14:paraId="30428596" w14:textId="77777777" w:rsidR="009A06A2" w:rsidRPr="009A06A2" w:rsidRDefault="009A06A2" w:rsidP="00AF4747">
            <w:pPr>
              <w:spacing w:before="40" w:after="40"/>
              <w:jc w:val="center"/>
              <w:rPr>
                <w:rFonts w:cs="Calibri"/>
                <w:i/>
                <w:iCs/>
                <w:sz w:val="20"/>
                <w:szCs w:val="20"/>
                <w:lang w:eastAsia="es-CO"/>
              </w:rPr>
            </w:pPr>
            <w:r w:rsidRPr="009A06A2">
              <w:rPr>
                <w:rFonts w:cs="Calibri"/>
                <w:i/>
                <w:iCs/>
                <w:sz w:val="20"/>
                <w:szCs w:val="20"/>
                <w:lang w:eastAsia="es-CO"/>
              </w:rPr>
              <w:t>37,51</w:t>
            </w:r>
          </w:p>
        </w:tc>
      </w:tr>
    </w:tbl>
    <w:p w14:paraId="6D8E1C2F" w14:textId="77777777" w:rsidR="009A06A2" w:rsidRPr="009A06A2" w:rsidRDefault="009A06A2" w:rsidP="009A06A2">
      <w:pPr>
        <w:pStyle w:val="Prrafodelista"/>
        <w:keepNext/>
        <w:numPr>
          <w:ilvl w:val="0"/>
          <w:numId w:val="45"/>
        </w:numPr>
        <w:spacing w:before="120" w:after="120"/>
        <w:ind w:left="1068"/>
        <w:contextualSpacing/>
        <w:rPr>
          <w:b/>
          <w:i/>
          <w:iCs/>
          <w:sz w:val="20"/>
        </w:rPr>
      </w:pPr>
      <w:r w:rsidRPr="009A06A2">
        <w:rPr>
          <w:b/>
          <w:i/>
          <w:iCs/>
          <w:sz w:val="20"/>
        </w:rPr>
        <w:t>En lo correspondiente a los indicadores de Calidad Individual.</w:t>
      </w:r>
    </w:p>
    <w:p w14:paraId="7FDC37BA" w14:textId="77777777" w:rsidR="009A06A2" w:rsidRPr="009A06A2" w:rsidRDefault="009A06A2" w:rsidP="009A06A2">
      <w:pPr>
        <w:keepNext/>
        <w:ind w:left="696"/>
        <w:rPr>
          <w:i/>
          <w:iCs/>
          <w:sz w:val="20"/>
          <w:szCs w:val="20"/>
        </w:rPr>
      </w:pPr>
      <w:r w:rsidRPr="009A06A2">
        <w:rPr>
          <w:i/>
          <w:iCs/>
          <w:sz w:val="20"/>
          <w:szCs w:val="20"/>
        </w:rPr>
        <w:t xml:space="preserve">Por medio de la Resolución CREG 218 de 2021, la Comisión entrega los indicadores de calidad individual de duración y de frecuencia </w:t>
      </w:r>
      <w:r w:rsidRPr="009A06A2">
        <w:rPr>
          <w:b/>
          <w:i/>
          <w:iCs/>
          <w:sz w:val="20"/>
          <w:szCs w:val="20"/>
        </w:rPr>
        <w:t>(DIU y FIU)</w:t>
      </w:r>
      <w:r w:rsidRPr="009A06A2">
        <w:rPr>
          <w:i/>
          <w:iCs/>
          <w:sz w:val="20"/>
          <w:szCs w:val="20"/>
        </w:rPr>
        <w:t xml:space="preserve"> del área de influencia de la EEBP.</w:t>
      </w:r>
    </w:p>
    <w:p w14:paraId="3E52C6B1" w14:textId="77777777" w:rsidR="009A06A2" w:rsidRPr="009A06A2" w:rsidRDefault="009A06A2" w:rsidP="009A06A2">
      <w:pPr>
        <w:keepNext/>
        <w:ind w:left="696"/>
        <w:rPr>
          <w:i/>
          <w:iCs/>
          <w:sz w:val="20"/>
          <w:szCs w:val="20"/>
        </w:rPr>
      </w:pPr>
      <w:r w:rsidRPr="009A06A2">
        <w:rPr>
          <w:i/>
          <w:iCs/>
          <w:sz w:val="20"/>
          <w:szCs w:val="20"/>
        </w:rPr>
        <w:t>En los Artículos 12 y 13, se establecen las duraciones máximas anuales de los eventos percibidos por los usuarios en niveles de tensión 1, 2 y 3, tal como se puede observar (…)</w:t>
      </w:r>
    </w:p>
    <w:p w14:paraId="089D5257" w14:textId="77777777" w:rsidR="009A06A2" w:rsidRPr="009A06A2" w:rsidRDefault="009A06A2" w:rsidP="009A06A2">
      <w:pPr>
        <w:widowControl w:val="0"/>
        <w:ind w:left="696"/>
        <w:rPr>
          <w:i/>
          <w:iCs/>
          <w:sz w:val="20"/>
          <w:szCs w:val="20"/>
        </w:rPr>
      </w:pPr>
      <w:r w:rsidRPr="009A06A2">
        <w:rPr>
          <w:i/>
          <w:iCs/>
          <w:sz w:val="20"/>
          <w:szCs w:val="20"/>
        </w:rPr>
        <w:t>Al compararse la información relacionada en la Resolución CREG 218 de 2021 con lo calculado por la EEBP, relacionando la información de la CREG y bajos los lineamientos nombrados en Documento CREG 178 del 15 de diciembre de 2021, de los DIUG y FIUG para los niveles tensión 1,2 y 3, se encuentran diferencias representativas. Las diferencias se nombran a continuación:</w:t>
      </w:r>
    </w:p>
    <w:p w14:paraId="166C8583" w14:textId="77777777" w:rsidR="009A06A2" w:rsidRPr="009A06A2" w:rsidRDefault="009A06A2" w:rsidP="009A06A2">
      <w:pPr>
        <w:widowControl w:val="0"/>
        <w:ind w:left="696"/>
        <w:rPr>
          <w:rFonts w:cs="Arial"/>
          <w:i/>
          <w:iCs/>
          <w:sz w:val="20"/>
          <w:szCs w:val="20"/>
        </w:rPr>
      </w:pPr>
      <w:r w:rsidRPr="009A06A2">
        <w:rPr>
          <w:i/>
          <w:iCs/>
          <w:sz w:val="20"/>
          <w:szCs w:val="20"/>
        </w:rPr>
        <w:t xml:space="preserve">Para </w:t>
      </w:r>
      <w:r w:rsidRPr="009A06A2">
        <w:rPr>
          <w:rFonts w:cs="Arial"/>
          <w:i/>
          <w:iCs/>
          <w:sz w:val="20"/>
          <w:szCs w:val="20"/>
        </w:rPr>
        <w:t>DIUG:</w:t>
      </w:r>
    </w:p>
    <w:p w14:paraId="5C4AA504" w14:textId="77777777" w:rsidR="009A06A2" w:rsidRPr="009A06A2" w:rsidRDefault="009A06A2" w:rsidP="009A06A2">
      <w:pPr>
        <w:pStyle w:val="Prrafodelista"/>
        <w:keepNext/>
        <w:widowControl w:val="0"/>
        <w:numPr>
          <w:ilvl w:val="0"/>
          <w:numId w:val="43"/>
        </w:numPr>
        <w:spacing w:before="0" w:after="160" w:line="259" w:lineRule="auto"/>
        <w:ind w:left="1416"/>
        <w:contextualSpacing/>
        <w:rPr>
          <w:rFonts w:cs="Arial"/>
          <w:i/>
          <w:iCs/>
          <w:sz w:val="20"/>
        </w:rPr>
      </w:pPr>
      <w:r w:rsidRPr="009A06A2">
        <w:rPr>
          <w:rFonts w:cs="Arial"/>
          <w:i/>
          <w:iCs/>
          <w:sz w:val="20"/>
        </w:rPr>
        <w:t>Para niveles de tensión 2 y 3, en Riesgo 2 y ruralidad 2, la diferencia es 4,49</w:t>
      </w:r>
      <w:r w:rsidRPr="009A06A2">
        <w:rPr>
          <w:rFonts w:cs="Arial"/>
          <w:b/>
          <w:i/>
          <w:iCs/>
          <w:sz w:val="20"/>
        </w:rPr>
        <w:t>.</w:t>
      </w:r>
      <w:r w:rsidRPr="009A06A2">
        <w:rPr>
          <w:rFonts w:cs="Arial"/>
          <w:i/>
          <w:iCs/>
          <w:sz w:val="20"/>
        </w:rPr>
        <w:t xml:space="preserve"> La Resolución CREG 218 de 2021, establece 19,25 y según los cálculos de la EEBP se encuentra en 23,74.</w:t>
      </w:r>
    </w:p>
    <w:p w14:paraId="36A96DA9" w14:textId="77777777" w:rsidR="009A06A2" w:rsidRPr="009A06A2" w:rsidRDefault="009A06A2" w:rsidP="009A06A2">
      <w:pPr>
        <w:pStyle w:val="Prrafodelista"/>
        <w:widowControl w:val="0"/>
        <w:numPr>
          <w:ilvl w:val="0"/>
          <w:numId w:val="43"/>
        </w:numPr>
        <w:spacing w:before="0" w:after="160" w:line="259" w:lineRule="auto"/>
        <w:ind w:left="1410" w:hanging="357"/>
        <w:contextualSpacing/>
        <w:rPr>
          <w:rFonts w:cs="Arial"/>
          <w:i/>
          <w:iCs/>
          <w:sz w:val="20"/>
        </w:rPr>
      </w:pPr>
      <w:r w:rsidRPr="009A06A2">
        <w:rPr>
          <w:rFonts w:cs="Arial"/>
          <w:i/>
          <w:iCs/>
          <w:sz w:val="20"/>
        </w:rPr>
        <w:t>Para niveles de tensión 2 y 3, en Riesgo 2 y ruralidad 3, la diferencia es 92.39</w:t>
      </w:r>
      <w:r w:rsidRPr="009A06A2">
        <w:rPr>
          <w:rFonts w:cs="Arial"/>
          <w:b/>
          <w:i/>
          <w:iCs/>
          <w:sz w:val="20"/>
        </w:rPr>
        <w:t xml:space="preserve">. </w:t>
      </w:r>
      <w:r w:rsidRPr="009A06A2">
        <w:rPr>
          <w:rFonts w:cs="Arial"/>
          <w:bCs/>
          <w:i/>
          <w:iCs/>
          <w:sz w:val="20"/>
        </w:rPr>
        <w:t>La Resolución CREG 218 de 2021, establece 62.07 y según los cálculos de</w:t>
      </w:r>
      <w:r w:rsidRPr="009A06A2">
        <w:rPr>
          <w:rFonts w:cs="Arial"/>
          <w:i/>
          <w:iCs/>
          <w:sz w:val="20"/>
        </w:rPr>
        <w:t xml:space="preserve"> la EEBP se establece en 154,46.</w:t>
      </w:r>
    </w:p>
    <w:p w14:paraId="1CE0B2C1" w14:textId="77777777" w:rsidR="009A06A2" w:rsidRPr="009A06A2" w:rsidRDefault="009A06A2" w:rsidP="009A06A2">
      <w:pPr>
        <w:pStyle w:val="Prrafodelista"/>
        <w:widowControl w:val="0"/>
        <w:numPr>
          <w:ilvl w:val="0"/>
          <w:numId w:val="43"/>
        </w:numPr>
        <w:spacing w:before="0" w:after="160" w:line="259" w:lineRule="auto"/>
        <w:ind w:left="1410" w:hanging="357"/>
        <w:contextualSpacing/>
        <w:rPr>
          <w:rFonts w:cs="Arial"/>
          <w:i/>
          <w:iCs/>
          <w:sz w:val="20"/>
        </w:rPr>
      </w:pPr>
      <w:r w:rsidRPr="009A06A2">
        <w:rPr>
          <w:rFonts w:cs="Arial"/>
          <w:i/>
          <w:iCs/>
          <w:sz w:val="20"/>
        </w:rPr>
        <w:t>Para nivel de tensión 1, Riesgo 2 y ruralidad 3, la diferencia es 13.38.</w:t>
      </w:r>
    </w:p>
    <w:p w14:paraId="73365F17" w14:textId="77777777" w:rsidR="009A06A2" w:rsidRPr="009A06A2" w:rsidRDefault="009A06A2" w:rsidP="009A06A2">
      <w:pPr>
        <w:widowControl w:val="0"/>
        <w:ind w:left="696"/>
        <w:rPr>
          <w:rFonts w:cs="Arial"/>
          <w:i/>
          <w:iCs/>
          <w:sz w:val="20"/>
          <w:szCs w:val="20"/>
        </w:rPr>
      </w:pPr>
    </w:p>
    <w:p w14:paraId="07EAF26A" w14:textId="77777777" w:rsidR="009A06A2" w:rsidRPr="009A06A2" w:rsidRDefault="009A06A2" w:rsidP="009A06A2">
      <w:pPr>
        <w:widowControl w:val="0"/>
        <w:ind w:left="696"/>
        <w:rPr>
          <w:rFonts w:cs="Arial"/>
          <w:i/>
          <w:iCs/>
          <w:sz w:val="20"/>
          <w:szCs w:val="20"/>
        </w:rPr>
      </w:pPr>
      <w:r w:rsidRPr="009A06A2">
        <w:rPr>
          <w:rFonts w:cs="Arial"/>
          <w:i/>
          <w:iCs/>
          <w:sz w:val="20"/>
          <w:szCs w:val="20"/>
        </w:rPr>
        <w:t>Para FIUG:</w:t>
      </w:r>
    </w:p>
    <w:p w14:paraId="5B628620" w14:textId="77777777" w:rsidR="009A06A2" w:rsidRPr="009A06A2" w:rsidRDefault="009A06A2" w:rsidP="009A06A2">
      <w:pPr>
        <w:pStyle w:val="Prrafodelista"/>
        <w:widowControl w:val="0"/>
        <w:numPr>
          <w:ilvl w:val="0"/>
          <w:numId w:val="43"/>
        </w:numPr>
        <w:spacing w:before="0" w:after="160" w:line="259" w:lineRule="auto"/>
        <w:ind w:left="1416" w:hanging="357"/>
        <w:contextualSpacing/>
        <w:rPr>
          <w:rFonts w:cs="Arial"/>
          <w:i/>
          <w:iCs/>
          <w:sz w:val="20"/>
        </w:rPr>
      </w:pPr>
      <w:r w:rsidRPr="009A06A2">
        <w:rPr>
          <w:rFonts w:cs="Arial"/>
          <w:i/>
          <w:iCs/>
          <w:sz w:val="20"/>
        </w:rPr>
        <w:t>Para Niveles de tensión 2 y 3:</w:t>
      </w:r>
    </w:p>
    <w:p w14:paraId="6DC06D9D" w14:textId="77777777" w:rsidR="009A06A2" w:rsidRPr="009A06A2" w:rsidRDefault="009A06A2" w:rsidP="009A06A2">
      <w:pPr>
        <w:pStyle w:val="Prrafodelista"/>
        <w:widowControl w:val="0"/>
        <w:numPr>
          <w:ilvl w:val="1"/>
          <w:numId w:val="43"/>
        </w:numPr>
        <w:spacing w:before="0" w:after="160" w:line="259" w:lineRule="auto"/>
        <w:ind w:left="2136" w:hanging="357"/>
        <w:contextualSpacing/>
        <w:rPr>
          <w:rFonts w:cs="Arial"/>
          <w:i/>
          <w:iCs/>
          <w:sz w:val="20"/>
        </w:rPr>
      </w:pPr>
      <w:r w:rsidRPr="009A06A2">
        <w:rPr>
          <w:rFonts w:cs="Arial"/>
          <w:i/>
          <w:iCs/>
          <w:sz w:val="20"/>
        </w:rPr>
        <w:t>Riesgo 2 y Ruralidad 2 La diferencia es 48.00.</w:t>
      </w:r>
    </w:p>
    <w:p w14:paraId="0A3A00C5" w14:textId="77777777" w:rsidR="009A06A2" w:rsidRPr="009A06A2" w:rsidRDefault="009A06A2" w:rsidP="009A06A2">
      <w:pPr>
        <w:pStyle w:val="Prrafodelista"/>
        <w:widowControl w:val="0"/>
        <w:numPr>
          <w:ilvl w:val="1"/>
          <w:numId w:val="43"/>
        </w:numPr>
        <w:spacing w:before="0" w:after="160" w:line="259" w:lineRule="auto"/>
        <w:ind w:left="2136" w:hanging="357"/>
        <w:contextualSpacing/>
        <w:rPr>
          <w:rFonts w:cs="Arial"/>
          <w:i/>
          <w:iCs/>
          <w:sz w:val="20"/>
        </w:rPr>
      </w:pPr>
      <w:r w:rsidRPr="009A06A2">
        <w:rPr>
          <w:rFonts w:cs="Arial"/>
          <w:i/>
          <w:iCs/>
          <w:sz w:val="20"/>
        </w:rPr>
        <w:t>Riesgo 2 y ruralidad 3. La diferencia de 49.00.</w:t>
      </w:r>
    </w:p>
    <w:p w14:paraId="6E3C4C39" w14:textId="77777777" w:rsidR="009A06A2" w:rsidRPr="009A06A2" w:rsidRDefault="009A06A2" w:rsidP="009A06A2">
      <w:pPr>
        <w:pStyle w:val="Prrafodelista"/>
        <w:widowControl w:val="0"/>
        <w:numPr>
          <w:ilvl w:val="0"/>
          <w:numId w:val="43"/>
        </w:numPr>
        <w:spacing w:before="0" w:after="160" w:line="259" w:lineRule="auto"/>
        <w:ind w:left="1416" w:hanging="357"/>
        <w:contextualSpacing/>
        <w:rPr>
          <w:rFonts w:cs="Arial"/>
          <w:i/>
          <w:iCs/>
          <w:sz w:val="20"/>
        </w:rPr>
      </w:pPr>
      <w:r w:rsidRPr="009A06A2">
        <w:rPr>
          <w:rFonts w:cs="Arial"/>
          <w:i/>
          <w:iCs/>
          <w:sz w:val="20"/>
        </w:rPr>
        <w:lastRenderedPageBreak/>
        <w:t>Para nivel de tensión 1.</w:t>
      </w:r>
    </w:p>
    <w:p w14:paraId="1A450B90" w14:textId="77777777" w:rsidR="009A06A2" w:rsidRPr="009A06A2" w:rsidRDefault="009A06A2" w:rsidP="009A06A2">
      <w:pPr>
        <w:pStyle w:val="Prrafodelista"/>
        <w:widowControl w:val="0"/>
        <w:numPr>
          <w:ilvl w:val="1"/>
          <w:numId w:val="43"/>
        </w:numPr>
        <w:spacing w:before="0" w:after="160" w:line="259" w:lineRule="auto"/>
        <w:ind w:left="2136" w:hanging="357"/>
        <w:contextualSpacing/>
        <w:rPr>
          <w:rFonts w:cs="Arial"/>
          <w:i/>
          <w:iCs/>
          <w:sz w:val="20"/>
        </w:rPr>
      </w:pPr>
      <w:r w:rsidRPr="009A06A2">
        <w:rPr>
          <w:rFonts w:cs="Arial"/>
          <w:i/>
          <w:iCs/>
          <w:sz w:val="20"/>
        </w:rPr>
        <w:t>Riesgo 2 y ruralidad 2. La diferencia es 49.00.</w:t>
      </w:r>
    </w:p>
    <w:p w14:paraId="65D959AB" w14:textId="77777777" w:rsidR="009A06A2" w:rsidRPr="009A06A2" w:rsidRDefault="009A06A2" w:rsidP="009A06A2">
      <w:pPr>
        <w:pStyle w:val="Prrafodelista"/>
        <w:widowControl w:val="0"/>
        <w:numPr>
          <w:ilvl w:val="1"/>
          <w:numId w:val="43"/>
        </w:numPr>
        <w:spacing w:before="0" w:after="160" w:line="259" w:lineRule="auto"/>
        <w:ind w:left="2136" w:hanging="357"/>
        <w:contextualSpacing/>
        <w:rPr>
          <w:rFonts w:cs="Arial"/>
          <w:i/>
          <w:iCs/>
          <w:sz w:val="20"/>
        </w:rPr>
      </w:pPr>
      <w:r w:rsidRPr="009A06A2">
        <w:rPr>
          <w:rFonts w:cs="Arial"/>
          <w:i/>
          <w:iCs/>
          <w:sz w:val="20"/>
        </w:rPr>
        <w:t>Riesgo 2 y ruralidad 3. La diferencia es de 105.00</w:t>
      </w:r>
    </w:p>
    <w:p w14:paraId="5E51E477" w14:textId="77777777" w:rsidR="009A06A2" w:rsidRPr="009A06A2" w:rsidRDefault="009A06A2" w:rsidP="009A06A2">
      <w:pPr>
        <w:widowControl w:val="0"/>
        <w:ind w:left="696"/>
        <w:rPr>
          <w:rFonts w:cs="Arial"/>
          <w:i/>
          <w:iCs/>
          <w:sz w:val="20"/>
          <w:szCs w:val="20"/>
        </w:rPr>
      </w:pPr>
      <w:r w:rsidRPr="009A06A2">
        <w:rPr>
          <w:rFonts w:cs="Arial"/>
          <w:i/>
          <w:iCs/>
          <w:sz w:val="20"/>
          <w:szCs w:val="20"/>
        </w:rPr>
        <w:t>En el Documento “08. DIUG Y FIUG – FORMATO 1” del ANEXO 3, se remite el detalle de los cálculos realizados para la comparación mostrada anteriormente, cuya información coincide con lo reportado al LAC y SUI.</w:t>
      </w:r>
    </w:p>
    <w:p w14:paraId="06B67FED" w14:textId="77777777" w:rsidR="009A06A2" w:rsidRPr="009A06A2" w:rsidRDefault="009A06A2" w:rsidP="009A06A2">
      <w:pPr>
        <w:widowControl w:val="0"/>
        <w:ind w:left="696"/>
        <w:rPr>
          <w:rFonts w:cs="Arial"/>
          <w:i/>
          <w:iCs/>
          <w:sz w:val="20"/>
          <w:szCs w:val="20"/>
        </w:rPr>
      </w:pPr>
      <w:r w:rsidRPr="009A06A2">
        <w:rPr>
          <w:rFonts w:cs="Arial"/>
          <w:i/>
          <w:iCs/>
          <w:sz w:val="20"/>
          <w:szCs w:val="20"/>
        </w:rPr>
        <w:t xml:space="preserve">Es así como con el ingreso de nueva tecnología a las redes del sistema eléctrico y demás inversiones realizadas por la EEBP, se mejoró la calidad de la información del sistema, y, por consiguiente, la precisión en cuanto a las interrupciones que afectan a los usuarios, condiciones que no fueron consideradas dentro del análisis realizado por la Comisión. </w:t>
      </w:r>
    </w:p>
    <w:p w14:paraId="225660A5" w14:textId="77777777" w:rsidR="009A06A2" w:rsidRPr="009A06A2" w:rsidRDefault="009A06A2" w:rsidP="009A06A2">
      <w:pPr>
        <w:widowControl w:val="0"/>
        <w:ind w:left="696"/>
        <w:rPr>
          <w:rFonts w:cs="Arial"/>
          <w:b/>
          <w:i/>
          <w:iCs/>
          <w:sz w:val="20"/>
          <w:szCs w:val="20"/>
        </w:rPr>
      </w:pPr>
      <w:r w:rsidRPr="009A06A2">
        <w:rPr>
          <w:rFonts w:cs="Arial"/>
          <w:b/>
          <w:i/>
          <w:iCs/>
          <w:sz w:val="20"/>
          <w:szCs w:val="20"/>
        </w:rPr>
        <w:t xml:space="preserve">Petición. </w:t>
      </w:r>
    </w:p>
    <w:p w14:paraId="66C66099" w14:textId="77777777" w:rsidR="009A06A2" w:rsidRPr="009A06A2" w:rsidRDefault="009A06A2" w:rsidP="009A06A2">
      <w:pPr>
        <w:widowControl w:val="0"/>
        <w:ind w:left="696"/>
        <w:rPr>
          <w:rFonts w:cs="Arial"/>
          <w:i/>
          <w:iCs/>
          <w:sz w:val="20"/>
          <w:szCs w:val="20"/>
        </w:rPr>
      </w:pPr>
      <w:r w:rsidRPr="009A06A2">
        <w:rPr>
          <w:rFonts w:cs="Arial"/>
          <w:i/>
          <w:iCs/>
          <w:sz w:val="20"/>
          <w:szCs w:val="20"/>
        </w:rPr>
        <w:t xml:space="preserve">Por lo anterior, respetuosamente se solicita a la Comisión con respecto a los artículos 12 y 13, </w:t>
      </w:r>
    </w:p>
    <w:p w14:paraId="6374B26F" w14:textId="77777777" w:rsidR="009A06A2" w:rsidRPr="009A06A2" w:rsidRDefault="009A06A2" w:rsidP="009A06A2">
      <w:pPr>
        <w:pStyle w:val="Prrafodelista"/>
        <w:widowControl w:val="0"/>
        <w:numPr>
          <w:ilvl w:val="0"/>
          <w:numId w:val="44"/>
        </w:numPr>
        <w:spacing w:before="0" w:after="120"/>
        <w:ind w:left="1416"/>
        <w:contextualSpacing/>
        <w:rPr>
          <w:rFonts w:cs="Arial"/>
          <w:i/>
          <w:iCs/>
          <w:sz w:val="20"/>
        </w:rPr>
      </w:pPr>
      <w:r w:rsidRPr="009A06A2">
        <w:rPr>
          <w:rFonts w:cs="Arial"/>
          <w:i/>
          <w:iCs/>
          <w:sz w:val="20"/>
        </w:rPr>
        <w:t>Verificar y modificar, en caso de encontrarlo pertinente, los cálculos realizados para el establecimiento de los indicadores de calidad individual, tomando en consideración los años posteriores al 2016, cuya información se ajusta a la realidad de las interrupciones que se presentan en el mercado atendido por la EEBP. Como referencia, la información de los indicadores de calidad individual se encuentra en los documentos “03. Indicadores 2019”, “04. Indicadores 2020” y “09. DIU Y FIU – INFORMACIÓN DEL 2018” del ANEXO 3. Para ver resumen anual de indicadores de calidad individual remitirse a documento “11. DIUG FIUG 2018 -2019 - 2020”.</w:t>
      </w:r>
    </w:p>
    <w:p w14:paraId="0EEE38E6" w14:textId="77777777" w:rsidR="009A06A2" w:rsidRPr="009A06A2" w:rsidRDefault="009A06A2" w:rsidP="009A06A2">
      <w:pPr>
        <w:pStyle w:val="Prrafodelista"/>
        <w:widowControl w:val="0"/>
        <w:numPr>
          <w:ilvl w:val="0"/>
          <w:numId w:val="44"/>
        </w:numPr>
        <w:spacing w:before="0" w:after="120"/>
        <w:ind w:left="1416"/>
        <w:contextualSpacing/>
        <w:rPr>
          <w:rFonts w:cs="Arial"/>
          <w:sz w:val="20"/>
        </w:rPr>
      </w:pPr>
      <w:r w:rsidRPr="009A06A2">
        <w:rPr>
          <w:rFonts w:cs="Arial"/>
          <w:i/>
          <w:iCs/>
          <w:sz w:val="20"/>
        </w:rPr>
        <w:t>De no proceder lo anterior, modificar los indicadores de calidad individual de la EEBP, con los valores calculados en documento “08. DIUG Y FIUG - FORMATO 1”.</w:t>
      </w:r>
    </w:p>
    <w:p w14:paraId="64098A99" w14:textId="544386ED" w:rsidR="009A06A2" w:rsidRPr="009A06A2" w:rsidRDefault="009A06A2" w:rsidP="009A06A2">
      <w:r w:rsidRPr="009A06A2">
        <w:t>De lo mencionado por el OR, se entiende que la empresa confirma que la información consultada en el SUI sobre interrupciones del servicio para los meses de enero a octubre de 2016, y utilizada por la Comisión para el cálculo de indicadores de referencia</w:t>
      </w:r>
      <w:r w:rsidR="00ED1C85">
        <w:t>,</w:t>
      </w:r>
      <w:r w:rsidRPr="009A06A2">
        <w:t xml:space="preserve"> corresponde a la reportada y certificada por la empresa, con respecto a ese p</w:t>
      </w:r>
      <w:r w:rsidR="00ED1C85">
        <w:t>eríodo</w:t>
      </w:r>
      <w:r w:rsidRPr="009A06A2">
        <w:t xml:space="preserve">. </w:t>
      </w:r>
    </w:p>
    <w:p w14:paraId="5D16EE84" w14:textId="77777777" w:rsidR="009A06A2" w:rsidRPr="009A06A2" w:rsidRDefault="009A06A2" w:rsidP="009A06A2">
      <w:r w:rsidRPr="009A06A2">
        <w:t xml:space="preserve">Por otro lado, manifiesta que: </w:t>
      </w:r>
    </w:p>
    <w:p w14:paraId="53C91D1C" w14:textId="77777777" w:rsidR="009A06A2" w:rsidRPr="009A06A2" w:rsidRDefault="009A06A2" w:rsidP="009A06A2">
      <w:pPr>
        <w:pStyle w:val="Prrafodelista"/>
        <w:numPr>
          <w:ilvl w:val="0"/>
          <w:numId w:val="46"/>
        </w:numPr>
      </w:pPr>
      <w:r w:rsidRPr="009A06A2">
        <w:t xml:space="preserve">Por un error en el reporte no se encuentra en dicho sistema la información de los meses noviembre y diciembre de 2016. </w:t>
      </w:r>
    </w:p>
    <w:p w14:paraId="656EAF3C" w14:textId="77777777" w:rsidR="009A06A2" w:rsidRPr="009A06A2" w:rsidRDefault="009A06A2" w:rsidP="009A06A2">
      <w:pPr>
        <w:pStyle w:val="Prrafodelista"/>
        <w:numPr>
          <w:ilvl w:val="0"/>
          <w:numId w:val="46"/>
        </w:numPr>
      </w:pPr>
      <w:r w:rsidRPr="009A06A2">
        <w:t>La empresa ha realizado cambios y mejoras en su sistema, que han permitido una mejor detección de las interrupciones lo que ha incrementado el valor de los indicadores en los años posteriores a 2016.</w:t>
      </w:r>
    </w:p>
    <w:p w14:paraId="6245787F" w14:textId="77777777" w:rsidR="009A06A2" w:rsidRPr="009A06A2" w:rsidRDefault="009A06A2" w:rsidP="009A06A2">
      <w:r w:rsidRPr="009A06A2">
        <w:t>Al respecto, cabe recordar que la responsabilidad por la calidad e integridad de la información consignada en el SUI es del OR. La metodología es clara en indicar cuáles son las fuentes oficiales de información para el cálculo de indicadores, y las define en el numeral 5.2.5 del anexo general de la Resolución CREG 015 de 2018, por lo que no es procedente considerar la información de interrupciones de los meses de noviembre y diciembre de 2016 entregada junto con el recurso de reposición a la Comisión, por parte del OR, para modificar el cálculo de indicadores, pues difiere de aquella que reposa en la base de datos del SUI.</w:t>
      </w:r>
    </w:p>
    <w:p w14:paraId="1E2C88F7" w14:textId="76353264" w:rsidR="009A06A2" w:rsidRPr="009A06A2" w:rsidRDefault="009A06A2" w:rsidP="009A06A2">
      <w:r w:rsidRPr="009A06A2">
        <w:t>Por otro lado, el empleo de la información histórica del año 2016 para el cálculo de indicadores de referencia fue anunciado desde el proyecto de resolución de la metodología, publicado para consulta mediante la Resolución CREG 019 de 2017, y se mantuvo al expedir la Resolución CREG 015 de 2018, por lo que el OR tenía la responsabilidad de hacer oportunamente las correcciones o reversiones que se necesitaran para que</w:t>
      </w:r>
      <w:r w:rsidR="00E573E1">
        <w:t>,</w:t>
      </w:r>
      <w:r w:rsidRPr="009A06A2">
        <w:t xml:space="preserve"> al consultar y utilizar la información de dicho p</w:t>
      </w:r>
      <w:r w:rsidR="00ED1C85">
        <w:t>eríodo</w:t>
      </w:r>
      <w:r w:rsidRPr="009A06A2">
        <w:t xml:space="preserve">, como lo establece la metodología, esta estuviera completa. Así, </w:t>
      </w:r>
      <w:r w:rsidRPr="009A06A2">
        <w:lastRenderedPageBreak/>
        <w:t>esta Comisión encuentra que no es posible acceder a la solicitud del OR con respecto a modificar de manera particular el p</w:t>
      </w:r>
      <w:r w:rsidR="00ED1C85">
        <w:t>eríodo</w:t>
      </w:r>
      <w:r w:rsidRPr="009A06A2">
        <w:t xml:space="preserve"> de referencia para dicho cálculo.</w:t>
      </w:r>
    </w:p>
    <w:p w14:paraId="2D8F23A1" w14:textId="71DB1D63" w:rsidR="009A06A2" w:rsidRPr="009A06A2" w:rsidRDefault="009A06A2" w:rsidP="009A06A2">
      <w:pPr>
        <w:rPr>
          <w:lang w:val="es-CO"/>
        </w:rPr>
      </w:pPr>
      <w:r w:rsidRPr="009A06A2">
        <w:rPr>
          <w:lang w:val="es-CO"/>
        </w:rPr>
        <w:t>Debe también tenerse en cuenta que, tal como se establece en el numeral 5.2.5 del anexo general de la Resolución CREG 015 de 2018, para el cálculo de los indicadores de referencia de los OR que no reportaron información al sistema INDICA y, por tanto, utilizar la información reportada al SUI durante el año 2016, el cálculo debe afectarse por la relación que resulta de comparar la información con y sin la desagregación de los eventos menores o iguales a tres (3) minutos de los OR que reportaron a INDICA.</w:t>
      </w:r>
    </w:p>
    <w:p w14:paraId="67569E4B" w14:textId="77777777" w:rsidR="009A06A2" w:rsidRPr="009A06A2" w:rsidRDefault="009A06A2" w:rsidP="009A06A2">
      <w:pPr>
        <w:rPr>
          <w:lang w:val="es-CO"/>
        </w:rPr>
      </w:pPr>
      <w:r w:rsidRPr="009A06A2">
        <w:rPr>
          <w:lang w:val="es-CO"/>
        </w:rPr>
        <w:t>El factor de ajuste que se ha aplicado en estos casos es de 0,35, valor que fue obtenido con base en la información de los OR que reportaron información de calidad en INDICA y en el SUI, tal como se establece en el inciso antes mencionado.</w:t>
      </w:r>
    </w:p>
    <w:p w14:paraId="0103960A" w14:textId="7E0350ED" w:rsidR="009A06A2" w:rsidRPr="009A06A2" w:rsidRDefault="009A06A2" w:rsidP="009A06A2">
      <w:pPr>
        <w:rPr>
          <w:lang w:val="es-CO"/>
        </w:rPr>
      </w:pPr>
      <w:r w:rsidRPr="009A06A2">
        <w:rPr>
          <w:lang w:val="es-CO"/>
        </w:rPr>
        <w:t>En conclusión, esta Comisión considera que para el cálculo de los indicadores de calidad del servicio se utilizó la información de calidad y de vinculación de usuarios reportada por la Empresa de Energía de Bajo Putumayo</w:t>
      </w:r>
      <w:r w:rsidR="00E573E1">
        <w:rPr>
          <w:lang w:val="es-CO"/>
        </w:rPr>
        <w:t xml:space="preserve"> S.A. E.S.P.</w:t>
      </w:r>
      <w:r w:rsidRPr="009A06A2">
        <w:rPr>
          <w:lang w:val="es-CO"/>
        </w:rPr>
        <w:t xml:space="preserve"> en el SUI, tal como se establece en la Resolución CREG 015 de 2018, y que la regulación no establece la opción de utilizar la información entregada por el OR a través de otros medios y, por tanto</w:t>
      </w:r>
      <w:r w:rsidR="00E573E1">
        <w:rPr>
          <w:lang w:val="es-CO"/>
        </w:rPr>
        <w:t>,</w:t>
      </w:r>
      <w:r w:rsidRPr="009A06A2">
        <w:rPr>
          <w:lang w:val="es-CO"/>
        </w:rPr>
        <w:t xml:space="preserve"> no se encuentra justificación para modificar los indicadores de calidad media y de calidad individual del OR establecidos en los artículos 9, 10, 11, 12 y 13 de la Resolución CREG 218 de 2021.</w:t>
      </w:r>
    </w:p>
    <w:p w14:paraId="11A223D5" w14:textId="53D77502" w:rsidR="00836580" w:rsidRDefault="00836580" w:rsidP="00DA345A">
      <w:r>
        <w:t>Es importante mencionar que</w:t>
      </w:r>
      <w:r w:rsidR="00E573E1">
        <w:t>,</w:t>
      </w:r>
      <w:r>
        <w:t xml:space="preserve"> si bien la empresa entregó </w:t>
      </w:r>
      <w:r w:rsidR="004D0A13">
        <w:t>otra comunicación dando alcan</w:t>
      </w:r>
      <w:r w:rsidR="00C63B87">
        <w:t>c</w:t>
      </w:r>
      <w:r w:rsidR="004D0A13">
        <w:t xml:space="preserve">e al recurso, la cual fue radicada en la Comisión bajo el número </w:t>
      </w:r>
      <w:r w:rsidR="00066F06">
        <w:t>E</w:t>
      </w:r>
      <w:r w:rsidR="00066F06">
        <w:noBreakHyphen/>
        <w:t>2022-00</w:t>
      </w:r>
      <w:r w:rsidR="00D62FBA">
        <w:t xml:space="preserve">0446 </w:t>
      </w:r>
      <w:r w:rsidR="00C63B87">
        <w:t>del</w:t>
      </w:r>
      <w:r w:rsidR="00425B06">
        <w:t xml:space="preserve"> </w:t>
      </w:r>
      <w:r w:rsidR="00C63B87">
        <w:t xml:space="preserve">7 de enero de 2022, dicha </w:t>
      </w:r>
      <w:r w:rsidR="00316B19">
        <w:t xml:space="preserve">carta no fue considerada ya que </w:t>
      </w:r>
      <w:r w:rsidR="00D15F72">
        <w:t xml:space="preserve">fue radicada </w:t>
      </w:r>
      <w:r w:rsidR="00425B06">
        <w:t xml:space="preserve">en forma </w:t>
      </w:r>
      <w:r w:rsidR="00D15F72">
        <w:t>extemporánea</w:t>
      </w:r>
      <w:r w:rsidR="001908AB">
        <w:t>.</w:t>
      </w:r>
    </w:p>
    <w:p w14:paraId="17F73B4E" w14:textId="46AB5E77" w:rsidR="00DA345A" w:rsidRDefault="00DA345A" w:rsidP="00DA345A">
      <w:pPr>
        <w:keepNext/>
        <w:spacing w:before="240" w:after="240"/>
        <w:rPr>
          <w:spacing w:val="-3"/>
        </w:rPr>
      </w:pPr>
      <w:r w:rsidRPr="00763FE0">
        <w:rPr>
          <w:spacing w:val="-3"/>
        </w:rPr>
        <w:t xml:space="preserve">En los temas en los que, del análisis realizado, se deduce que debe modificarse la Resolución CREG </w:t>
      </w:r>
      <w:r w:rsidR="00D15F72">
        <w:rPr>
          <w:spacing w:val="-3"/>
        </w:rPr>
        <w:t>218</w:t>
      </w:r>
      <w:r w:rsidRPr="00763FE0">
        <w:rPr>
          <w:spacing w:val="-3"/>
        </w:rPr>
        <w:t xml:space="preserve"> de 202</w:t>
      </w:r>
      <w:r>
        <w:rPr>
          <w:spacing w:val="-3"/>
        </w:rPr>
        <w:t>1</w:t>
      </w:r>
      <w:r w:rsidRPr="00763FE0">
        <w:rPr>
          <w:spacing w:val="-3"/>
        </w:rPr>
        <w:t>, se realizan los ajustes pertinentes.</w:t>
      </w:r>
    </w:p>
    <w:p w14:paraId="02AAD43D" w14:textId="4C701D5D" w:rsidR="00DA345A" w:rsidRDefault="00DA345A" w:rsidP="00DA345A">
      <w:pPr>
        <w:spacing w:before="240" w:after="240"/>
        <w:rPr>
          <w:spacing w:val="-3"/>
        </w:rPr>
      </w:pPr>
      <w:r w:rsidRPr="00BF69C9">
        <w:rPr>
          <w:spacing w:val="-3"/>
        </w:rPr>
        <w:t xml:space="preserve">Con base en lo anterior, la Comisión de Regulación de Energía y Gas, en su sesión </w:t>
      </w:r>
      <w:r w:rsidR="007038BC">
        <w:rPr>
          <w:spacing w:val="-3"/>
        </w:rPr>
        <w:t>1163</w:t>
      </w:r>
      <w:r>
        <w:rPr>
          <w:spacing w:val="-3"/>
        </w:rPr>
        <w:t xml:space="preserve"> del </w:t>
      </w:r>
      <w:r w:rsidR="007038BC">
        <w:rPr>
          <w:spacing w:val="-3"/>
        </w:rPr>
        <w:t>20</w:t>
      </w:r>
      <w:r w:rsidRPr="00BF69C9">
        <w:rPr>
          <w:spacing w:val="-3"/>
        </w:rPr>
        <w:t xml:space="preserve"> de </w:t>
      </w:r>
      <w:r w:rsidR="007038BC">
        <w:rPr>
          <w:spacing w:val="-3"/>
        </w:rPr>
        <w:t>abril</w:t>
      </w:r>
      <w:r>
        <w:rPr>
          <w:spacing w:val="-3"/>
        </w:rPr>
        <w:t xml:space="preserve"> </w:t>
      </w:r>
      <w:r w:rsidRPr="00BF69C9">
        <w:rPr>
          <w:spacing w:val="-3"/>
        </w:rPr>
        <w:t>de 20</w:t>
      </w:r>
      <w:r>
        <w:rPr>
          <w:spacing w:val="-3"/>
        </w:rPr>
        <w:t>22</w:t>
      </w:r>
      <w:r w:rsidRPr="00BF69C9">
        <w:rPr>
          <w:spacing w:val="-3"/>
        </w:rPr>
        <w:t xml:space="preserve">, acordó expedir esta resolución. </w:t>
      </w:r>
    </w:p>
    <w:p w14:paraId="6E9CE4C6" w14:textId="77777777" w:rsidR="00DA345A" w:rsidRDefault="00DA345A" w:rsidP="00DA345A">
      <w:pPr>
        <w:keepNext/>
        <w:spacing w:before="480" w:after="360"/>
        <w:jc w:val="center"/>
        <w:rPr>
          <w:b/>
        </w:rPr>
      </w:pPr>
      <w:r w:rsidRPr="00BF69C9">
        <w:rPr>
          <w:b/>
        </w:rPr>
        <w:t>RESUELVE:</w:t>
      </w:r>
    </w:p>
    <w:p w14:paraId="2435FA5E" w14:textId="4AE93939" w:rsidR="00DA345A" w:rsidRPr="00DA31BE" w:rsidRDefault="00DA345A" w:rsidP="00DA345A">
      <w:pPr>
        <w:pStyle w:val="Artculo"/>
        <w:ind w:left="0"/>
        <w:outlineLvl w:val="2"/>
        <w:rPr>
          <w:b w:val="0"/>
        </w:rPr>
      </w:pPr>
      <w:r w:rsidRPr="00DA31BE">
        <w:t xml:space="preserve">Modificar el artículo 3 de la Resolución CREG </w:t>
      </w:r>
      <w:r w:rsidR="00E9728D">
        <w:t>218</w:t>
      </w:r>
      <w:r w:rsidRPr="00DA31BE">
        <w:t xml:space="preserve"> de 2021</w:t>
      </w:r>
      <w:r>
        <w:rPr>
          <w:b w:val="0"/>
          <w:bCs/>
        </w:rPr>
        <w:t xml:space="preserve">. El artículo 3 de la Resolución CREG </w:t>
      </w:r>
      <w:r w:rsidR="00E9728D">
        <w:rPr>
          <w:b w:val="0"/>
          <w:bCs/>
        </w:rPr>
        <w:t>218</w:t>
      </w:r>
      <w:r>
        <w:rPr>
          <w:b w:val="0"/>
          <w:bCs/>
        </w:rPr>
        <w:t xml:space="preserve"> de 2021 queda así:</w:t>
      </w:r>
    </w:p>
    <w:p w14:paraId="45D2AC42" w14:textId="77777777" w:rsidR="00DA345A" w:rsidRPr="00DA31BE" w:rsidRDefault="00DA345A" w:rsidP="00DA345A">
      <w:pPr>
        <w:ind w:left="567"/>
        <w:rPr>
          <w:i/>
          <w:iCs/>
        </w:rPr>
      </w:pPr>
      <w:r w:rsidRPr="00DA31BE">
        <w:rPr>
          <w:i/>
          <w:iCs/>
        </w:rPr>
        <w:t>“</w:t>
      </w:r>
      <w:r w:rsidRPr="00DA31BE">
        <w:rPr>
          <w:b/>
          <w:bCs/>
          <w:i/>
          <w:iCs/>
        </w:rPr>
        <w:t>Artículo 3. Inversión aprobada en el plan de inversiones.</w:t>
      </w:r>
      <w:r w:rsidRPr="00DA31BE">
        <w:rPr>
          <w:i/>
          <w:iCs/>
        </w:rPr>
        <w:t xml:space="preserve"> El valor de las inversiones aprobadas en el plan de inversiones, INVA</w:t>
      </w:r>
      <w:r w:rsidRPr="0038541C">
        <w:rPr>
          <w:i/>
          <w:iCs/>
          <w:vertAlign w:val="subscript"/>
        </w:rPr>
        <w:t>j,n,l,t</w:t>
      </w:r>
      <w:r w:rsidRPr="00DA31BE">
        <w:rPr>
          <w:i/>
          <w:iCs/>
        </w:rPr>
        <w:t>, para cada nivel de tensión, es el siguiente:</w:t>
      </w:r>
    </w:p>
    <w:p w14:paraId="3E273E16" w14:textId="77777777" w:rsidR="00DA345A" w:rsidRPr="0006395B" w:rsidRDefault="00DA345A" w:rsidP="00DA345A">
      <w:pPr>
        <w:pStyle w:val="Descripcin"/>
        <w:spacing w:before="240" w:after="120" w:line="240" w:lineRule="auto"/>
        <w:rPr>
          <w:i/>
          <w:iCs/>
        </w:rPr>
      </w:pPr>
      <w:bookmarkStart w:id="0" w:name="_Hlk96679167"/>
      <w:r w:rsidRPr="0006395B">
        <w:rPr>
          <w:i/>
          <w:iCs/>
        </w:rPr>
        <w:t>Tabla 2 Plan de inversiones del nivel de tensión 4, pesos de diciembre de 2017</w:t>
      </w:r>
    </w:p>
    <w:tbl>
      <w:tblPr>
        <w:tblW w:w="8844" w:type="dxa"/>
        <w:jc w:val="right"/>
        <w:tblLayout w:type="fixed"/>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45A" w:rsidRPr="007E09A4" w14:paraId="1A81196B" w14:textId="77777777" w:rsidTr="001C64F7">
        <w:trPr>
          <w:trHeight w:val="458"/>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0"/>
          <w:p w14:paraId="0285B13B" w14:textId="77777777" w:rsidR="00DA345A" w:rsidRPr="007E09A4" w:rsidRDefault="00DA345A" w:rsidP="001C64F7">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DECD2BD"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15D803E"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B0DA45C"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5675575"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84642E4"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584F0B" w:rsidRPr="0043040A" w14:paraId="78E8F869"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65B8E99F"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hideMark/>
          </w:tcPr>
          <w:p w14:paraId="01E76B1B" w14:textId="67C75227"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604A554" w14:textId="08E5838C"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B475C0A" w14:textId="22C6D263"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BA2B1EB" w14:textId="540314E6"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B904662" w14:textId="2830C47F"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131A63A9"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1C8EDA0B"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hideMark/>
          </w:tcPr>
          <w:p w14:paraId="2F4FA240" w14:textId="799E66D9"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D104B51" w14:textId="4169BB67"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52622A4" w14:textId="14A84BC9"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730BBA9A" w14:textId="4175E5A5"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4029BA9" w14:textId="56649CE8"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2F4A7B1F"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766E05E2"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hideMark/>
          </w:tcPr>
          <w:p w14:paraId="75E4B7D8" w14:textId="0BDFC5BE"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26DC656" w14:textId="1597C201"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85ECE99" w14:textId="16F5C82C"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8289900" w14:textId="03603679"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882718A" w14:textId="0043476A"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77B38290"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576232BF"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hideMark/>
          </w:tcPr>
          <w:p w14:paraId="6D41A519" w14:textId="0DAB214F" w:rsidR="00584F0B" w:rsidRPr="00240BE0" w:rsidRDefault="00584F0B" w:rsidP="00584F0B">
            <w:pPr>
              <w:spacing w:before="0" w:after="0"/>
              <w:contextualSpacing/>
              <w:jc w:val="right"/>
              <w:rPr>
                <w:i/>
                <w:iCs/>
                <w:sz w:val="18"/>
                <w:szCs w:val="18"/>
              </w:rPr>
            </w:pPr>
            <w:r w:rsidRPr="00240BE0">
              <w:rPr>
                <w:i/>
                <w:iCs/>
                <w:sz w:val="18"/>
                <w:szCs w:val="18"/>
              </w:rPr>
              <w:t>71.829.000</w:t>
            </w:r>
          </w:p>
        </w:tc>
        <w:tc>
          <w:tcPr>
            <w:tcW w:w="1474" w:type="dxa"/>
            <w:tcBorders>
              <w:top w:val="nil"/>
              <w:left w:val="nil"/>
              <w:bottom w:val="single" w:sz="4" w:space="0" w:color="auto"/>
              <w:right w:val="single" w:sz="4" w:space="0" w:color="auto"/>
            </w:tcBorders>
            <w:shd w:val="clear" w:color="auto" w:fill="auto"/>
            <w:noWrap/>
            <w:hideMark/>
          </w:tcPr>
          <w:p w14:paraId="0A679683" w14:textId="482B26EB"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305DEC1" w14:textId="7C47F490"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33F70AC" w14:textId="5781BAC0"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3D2592A" w14:textId="6C02D1BE"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06287FAD"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3CA4B424"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lastRenderedPageBreak/>
              <w:t>l = 5</w:t>
            </w:r>
          </w:p>
        </w:tc>
        <w:tc>
          <w:tcPr>
            <w:tcW w:w="1474" w:type="dxa"/>
            <w:tcBorders>
              <w:top w:val="nil"/>
              <w:left w:val="single" w:sz="4" w:space="0" w:color="auto"/>
              <w:bottom w:val="single" w:sz="4" w:space="0" w:color="auto"/>
              <w:right w:val="single" w:sz="4" w:space="0" w:color="auto"/>
            </w:tcBorders>
            <w:shd w:val="clear" w:color="auto" w:fill="auto"/>
            <w:noWrap/>
            <w:hideMark/>
          </w:tcPr>
          <w:p w14:paraId="159F9D3A" w14:textId="72661367"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75F6CE0" w14:textId="0433B0B9"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2E086B3" w14:textId="3D7AA1B9"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A9C32C8" w14:textId="69FA6297"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554ED82" w14:textId="6F3C1B98"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7E1C30BA"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5AB6D574"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hideMark/>
          </w:tcPr>
          <w:p w14:paraId="3327B987" w14:textId="1D5711FE"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6054996" w14:textId="07E2AB7E"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63E4B54A" w14:textId="42A89B26"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80BC1C1" w14:textId="26354A8C"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614FC34" w14:textId="07D6148D"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469667A2"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1A86479C"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hideMark/>
          </w:tcPr>
          <w:p w14:paraId="2C75DED9" w14:textId="1AAF691E"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0F306FE" w14:textId="4ABF7BA1"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6602826" w14:textId="4A5A2FB3"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71F10687" w14:textId="657B9878"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694693F" w14:textId="623C09E7"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0D24C9F9"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13129236"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hideMark/>
          </w:tcPr>
          <w:p w14:paraId="4A7FEBB9" w14:textId="32784909"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882E456" w14:textId="7097B68A"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07E7FB3" w14:textId="26418C9D"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4FF5C24E" w14:textId="3B0E81DF"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22C00BB" w14:textId="2CE24C4A"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15331207"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5765063C"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hideMark/>
          </w:tcPr>
          <w:p w14:paraId="59AD0F27" w14:textId="02981A27"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5F2B1F76" w14:textId="6C19E07F"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462D8F9" w14:textId="52262D3F"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2F2A7989" w14:textId="0458BDC5"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0B8555A3" w14:textId="2FB71EA9" w:rsidR="00584F0B" w:rsidRPr="00240BE0" w:rsidRDefault="00584F0B" w:rsidP="00584F0B">
            <w:pPr>
              <w:spacing w:before="0" w:after="0"/>
              <w:contextualSpacing/>
              <w:jc w:val="right"/>
              <w:rPr>
                <w:i/>
                <w:iCs/>
                <w:sz w:val="18"/>
                <w:szCs w:val="18"/>
              </w:rPr>
            </w:pPr>
            <w:r w:rsidRPr="00240BE0">
              <w:rPr>
                <w:i/>
                <w:iCs/>
                <w:sz w:val="18"/>
                <w:szCs w:val="18"/>
              </w:rPr>
              <w:t>0</w:t>
            </w:r>
          </w:p>
        </w:tc>
      </w:tr>
      <w:tr w:rsidR="00584F0B" w:rsidRPr="0043040A" w14:paraId="717E3129" w14:textId="77777777" w:rsidTr="001C64F7">
        <w:trPr>
          <w:trHeight w:val="257"/>
          <w:jc w:val="right"/>
        </w:trPr>
        <w:tc>
          <w:tcPr>
            <w:tcW w:w="1474" w:type="dxa"/>
            <w:tcBorders>
              <w:top w:val="nil"/>
              <w:left w:val="single" w:sz="4" w:space="0" w:color="auto"/>
              <w:bottom w:val="single" w:sz="4" w:space="0" w:color="auto"/>
              <w:right w:val="nil"/>
            </w:tcBorders>
            <w:shd w:val="clear" w:color="000000" w:fill="FFFFFF"/>
            <w:vAlign w:val="center"/>
            <w:hideMark/>
          </w:tcPr>
          <w:p w14:paraId="634758C7" w14:textId="77777777" w:rsidR="00584F0B" w:rsidRPr="0043040A" w:rsidRDefault="00584F0B" w:rsidP="00584F0B">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hideMark/>
          </w:tcPr>
          <w:p w14:paraId="4325BA03" w14:textId="27F14BA0"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195DD843" w14:textId="5FC3B86F" w:rsidR="00584F0B" w:rsidRPr="00240BE0" w:rsidRDefault="00584F0B" w:rsidP="00584F0B">
            <w:pPr>
              <w:spacing w:before="0" w:after="0"/>
              <w:contextualSpacing/>
              <w:jc w:val="right"/>
              <w:rPr>
                <w:i/>
                <w:iCs/>
                <w:sz w:val="18"/>
                <w:szCs w:val="18"/>
              </w:rPr>
            </w:pPr>
            <w:r w:rsidRPr="00240BE0">
              <w:rPr>
                <w:i/>
                <w:iCs/>
                <w:sz w:val="18"/>
                <w:szCs w:val="18"/>
              </w:rPr>
              <w:t>5.137.080.333</w:t>
            </w:r>
          </w:p>
        </w:tc>
        <w:tc>
          <w:tcPr>
            <w:tcW w:w="1474" w:type="dxa"/>
            <w:tcBorders>
              <w:top w:val="nil"/>
              <w:left w:val="nil"/>
              <w:bottom w:val="single" w:sz="4" w:space="0" w:color="auto"/>
              <w:right w:val="single" w:sz="4" w:space="0" w:color="auto"/>
            </w:tcBorders>
            <w:shd w:val="clear" w:color="auto" w:fill="auto"/>
            <w:noWrap/>
            <w:hideMark/>
          </w:tcPr>
          <w:p w14:paraId="403E4DA5" w14:textId="4ECB48E0" w:rsidR="00584F0B" w:rsidRPr="00240BE0" w:rsidRDefault="00584F0B" w:rsidP="00584F0B">
            <w:pPr>
              <w:spacing w:before="0" w:after="0"/>
              <w:contextualSpacing/>
              <w:jc w:val="right"/>
              <w:rPr>
                <w:i/>
                <w:iCs/>
                <w:sz w:val="18"/>
                <w:szCs w:val="18"/>
              </w:rPr>
            </w:pPr>
            <w:r w:rsidRPr="00240BE0">
              <w:rPr>
                <w:i/>
                <w:iCs/>
                <w:sz w:val="18"/>
                <w:szCs w:val="18"/>
              </w:rPr>
              <w:t>0</w:t>
            </w:r>
          </w:p>
        </w:tc>
        <w:tc>
          <w:tcPr>
            <w:tcW w:w="1474" w:type="dxa"/>
            <w:tcBorders>
              <w:top w:val="nil"/>
              <w:left w:val="nil"/>
              <w:bottom w:val="single" w:sz="4" w:space="0" w:color="auto"/>
              <w:right w:val="single" w:sz="4" w:space="0" w:color="auto"/>
            </w:tcBorders>
            <w:shd w:val="clear" w:color="auto" w:fill="auto"/>
            <w:noWrap/>
            <w:hideMark/>
          </w:tcPr>
          <w:p w14:paraId="31357B79" w14:textId="08A2F624" w:rsidR="00584F0B" w:rsidRPr="00240BE0" w:rsidRDefault="00584F0B" w:rsidP="00584F0B">
            <w:pPr>
              <w:spacing w:before="0" w:after="0"/>
              <w:contextualSpacing/>
              <w:jc w:val="right"/>
              <w:rPr>
                <w:i/>
                <w:iCs/>
                <w:sz w:val="18"/>
                <w:szCs w:val="18"/>
              </w:rPr>
            </w:pPr>
            <w:r w:rsidRPr="00240BE0">
              <w:rPr>
                <w:i/>
                <w:iCs/>
                <w:sz w:val="18"/>
                <w:szCs w:val="18"/>
              </w:rPr>
              <w:t>100.000.000</w:t>
            </w:r>
          </w:p>
        </w:tc>
        <w:tc>
          <w:tcPr>
            <w:tcW w:w="1474" w:type="dxa"/>
            <w:tcBorders>
              <w:top w:val="nil"/>
              <w:left w:val="nil"/>
              <w:bottom w:val="single" w:sz="4" w:space="0" w:color="auto"/>
              <w:right w:val="single" w:sz="4" w:space="0" w:color="auto"/>
            </w:tcBorders>
            <w:shd w:val="clear" w:color="auto" w:fill="auto"/>
            <w:noWrap/>
            <w:hideMark/>
          </w:tcPr>
          <w:p w14:paraId="6BCEA433" w14:textId="3F4C547C" w:rsidR="00584F0B" w:rsidRPr="00240BE0" w:rsidRDefault="00584F0B" w:rsidP="00584F0B">
            <w:pPr>
              <w:spacing w:before="0" w:after="0"/>
              <w:contextualSpacing/>
              <w:jc w:val="right"/>
              <w:rPr>
                <w:i/>
                <w:iCs/>
                <w:sz w:val="18"/>
                <w:szCs w:val="18"/>
              </w:rPr>
            </w:pPr>
            <w:r w:rsidRPr="00240BE0">
              <w:rPr>
                <w:i/>
                <w:iCs/>
                <w:sz w:val="18"/>
                <w:szCs w:val="18"/>
              </w:rPr>
              <w:t>0</w:t>
            </w:r>
          </w:p>
        </w:tc>
      </w:tr>
    </w:tbl>
    <w:p w14:paraId="1130DCD2" w14:textId="612292BD" w:rsidR="00DA345A" w:rsidRDefault="00DA345A" w:rsidP="00DA345A">
      <w:pPr>
        <w:pStyle w:val="Descripcin"/>
        <w:spacing w:before="240" w:after="120" w:line="240" w:lineRule="auto"/>
        <w:rPr>
          <w:i/>
          <w:iCs/>
        </w:rPr>
      </w:pPr>
      <w:bookmarkStart w:id="1" w:name="_Hlk96679180"/>
      <w:r w:rsidRPr="0006395B">
        <w:rPr>
          <w:i/>
          <w:iCs/>
        </w:rPr>
        <w:t>Tabla 3 Plan de inversiones del nivel de tensión 3, pesos de diciembre de 2017</w:t>
      </w:r>
    </w:p>
    <w:tbl>
      <w:tblPr>
        <w:tblW w:w="8844" w:type="dxa"/>
        <w:jc w:val="right"/>
        <w:tblLayout w:type="fixed"/>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45A" w:rsidRPr="007E09A4" w14:paraId="20DAAA74" w14:textId="77777777" w:rsidTr="001C64F7">
        <w:trPr>
          <w:trHeight w:val="480"/>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
          <w:p w14:paraId="1A941F8F" w14:textId="77777777" w:rsidR="00DA345A" w:rsidRPr="007E09A4" w:rsidRDefault="00DA345A" w:rsidP="001C64F7">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F8B7E6D"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57DEE64"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B2F6784"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4A31017"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0EAD13BB"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BC7EAD" w:rsidRPr="0043040A" w14:paraId="5D072807"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FC9DC7C"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E1C71A9" w14:textId="05AAA89F" w:rsidR="00BC7EAD" w:rsidRPr="00BC7EAD" w:rsidRDefault="00BC7EAD" w:rsidP="00BC7EAD">
            <w:pPr>
              <w:spacing w:before="0" w:after="0"/>
              <w:jc w:val="right"/>
              <w:rPr>
                <w:rFonts w:cs="Arial"/>
                <w:i/>
                <w:iCs/>
                <w:sz w:val="18"/>
                <w:szCs w:val="18"/>
                <w:lang w:val="es-CO" w:eastAsia="es-CO"/>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244160E6" w14:textId="2B3D166A"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B2F1ECF" w14:textId="2A73AA60"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9BDE16F" w14:textId="09793B82"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47E5170" w14:textId="32371664"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704776B4"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697756C"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B80AB1E" w14:textId="17FF4C78" w:rsidR="00BC7EAD" w:rsidRPr="00BC7EAD" w:rsidRDefault="00BC7EAD" w:rsidP="00BC7EAD">
            <w:pPr>
              <w:spacing w:before="0" w:after="0"/>
              <w:jc w:val="right"/>
              <w:rPr>
                <w:rFonts w:cs="Arial"/>
                <w:i/>
                <w:iCs/>
                <w:sz w:val="18"/>
                <w:szCs w:val="18"/>
              </w:rPr>
            </w:pPr>
            <w:r w:rsidRPr="00BC7EAD">
              <w:rPr>
                <w:i/>
                <w:iCs/>
                <w:sz w:val="18"/>
                <w:szCs w:val="18"/>
              </w:rPr>
              <w:t>632.797.000</w:t>
            </w:r>
          </w:p>
        </w:tc>
        <w:tc>
          <w:tcPr>
            <w:tcW w:w="1474" w:type="dxa"/>
            <w:tcBorders>
              <w:top w:val="nil"/>
              <w:left w:val="nil"/>
              <w:bottom w:val="single" w:sz="4" w:space="0" w:color="auto"/>
              <w:right w:val="single" w:sz="4" w:space="0" w:color="auto"/>
            </w:tcBorders>
            <w:shd w:val="clear" w:color="auto" w:fill="auto"/>
            <w:noWrap/>
            <w:vAlign w:val="center"/>
            <w:hideMark/>
          </w:tcPr>
          <w:p w14:paraId="0231738C" w14:textId="0B617055"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E2A6693" w14:textId="2AE9808F"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BADEF64" w14:textId="1D91D503"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AC5C5F0" w14:textId="311A82A8"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0C69F840"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00A1D486"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B62D957" w14:textId="398D099E" w:rsidR="00BC7EAD" w:rsidRPr="00BC7EAD" w:rsidRDefault="00BC7EAD" w:rsidP="00BC7EAD">
            <w:pPr>
              <w:spacing w:before="0" w:after="0"/>
              <w:jc w:val="right"/>
              <w:rPr>
                <w:rFonts w:cs="Arial"/>
                <w:i/>
                <w:iCs/>
                <w:sz w:val="18"/>
                <w:szCs w:val="18"/>
              </w:rPr>
            </w:pPr>
            <w:r w:rsidRPr="00BC7EAD">
              <w:rPr>
                <w:i/>
                <w:iCs/>
                <w:sz w:val="18"/>
                <w:szCs w:val="18"/>
              </w:rPr>
              <w:t>1.304.595.000</w:t>
            </w:r>
          </w:p>
        </w:tc>
        <w:tc>
          <w:tcPr>
            <w:tcW w:w="1474" w:type="dxa"/>
            <w:tcBorders>
              <w:top w:val="nil"/>
              <w:left w:val="nil"/>
              <w:bottom w:val="single" w:sz="4" w:space="0" w:color="auto"/>
              <w:right w:val="single" w:sz="4" w:space="0" w:color="auto"/>
            </w:tcBorders>
            <w:shd w:val="clear" w:color="auto" w:fill="auto"/>
            <w:noWrap/>
            <w:vAlign w:val="center"/>
            <w:hideMark/>
          </w:tcPr>
          <w:p w14:paraId="7A38D571" w14:textId="683963AD"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1613880" w14:textId="4E72A4CF"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9C1686F" w14:textId="15EF8422"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BD02D62" w14:textId="1F9B2A6E"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0C5F0415"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58655516"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27E22C8" w14:textId="005392AC" w:rsidR="00BC7EAD" w:rsidRPr="00BC7EAD" w:rsidRDefault="00BC7EAD" w:rsidP="00BC7EAD">
            <w:pPr>
              <w:spacing w:before="0" w:after="0"/>
              <w:jc w:val="right"/>
              <w:rPr>
                <w:rFonts w:cs="Arial"/>
                <w:i/>
                <w:iCs/>
                <w:sz w:val="18"/>
                <w:szCs w:val="18"/>
              </w:rPr>
            </w:pPr>
            <w:r w:rsidRPr="00BC7EAD">
              <w:rPr>
                <w:i/>
                <w:iCs/>
                <w:sz w:val="18"/>
                <w:szCs w:val="18"/>
              </w:rPr>
              <w:t>167.601.000</w:t>
            </w:r>
          </w:p>
        </w:tc>
        <w:tc>
          <w:tcPr>
            <w:tcW w:w="1474" w:type="dxa"/>
            <w:tcBorders>
              <w:top w:val="nil"/>
              <w:left w:val="nil"/>
              <w:bottom w:val="single" w:sz="4" w:space="0" w:color="auto"/>
              <w:right w:val="single" w:sz="4" w:space="0" w:color="auto"/>
            </w:tcBorders>
            <w:shd w:val="clear" w:color="auto" w:fill="auto"/>
            <w:noWrap/>
            <w:vAlign w:val="center"/>
            <w:hideMark/>
          </w:tcPr>
          <w:p w14:paraId="7C091ACF" w14:textId="0F64133C"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4567455" w14:textId="50AFF1E4"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3B9A18C" w14:textId="0606463A"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37721F9" w14:textId="32ED3277"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3E1760C8"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342C5D11"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4FB1AF0" w14:textId="6C6F0C89" w:rsidR="00BC7EAD" w:rsidRPr="00BC7EAD" w:rsidRDefault="00BC7EAD" w:rsidP="00BC7EAD">
            <w:pPr>
              <w:spacing w:before="0" w:after="0"/>
              <w:jc w:val="right"/>
              <w:rPr>
                <w:rFonts w:cs="Arial"/>
                <w:i/>
                <w:iCs/>
                <w:sz w:val="18"/>
                <w:szCs w:val="18"/>
              </w:rPr>
            </w:pPr>
            <w:r w:rsidRPr="00BC7EAD">
              <w:rPr>
                <w:i/>
                <w:iCs/>
                <w:sz w:val="18"/>
                <w:szCs w:val="18"/>
              </w:rPr>
              <w:t>88.620.000</w:t>
            </w:r>
          </w:p>
        </w:tc>
        <w:tc>
          <w:tcPr>
            <w:tcW w:w="1474" w:type="dxa"/>
            <w:tcBorders>
              <w:top w:val="nil"/>
              <w:left w:val="nil"/>
              <w:bottom w:val="single" w:sz="4" w:space="0" w:color="auto"/>
              <w:right w:val="single" w:sz="4" w:space="0" w:color="auto"/>
            </w:tcBorders>
            <w:shd w:val="clear" w:color="auto" w:fill="auto"/>
            <w:noWrap/>
            <w:vAlign w:val="center"/>
            <w:hideMark/>
          </w:tcPr>
          <w:p w14:paraId="504520C9" w14:textId="005D3CE7"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7079052" w14:textId="62CA0943"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8385056" w14:textId="49EC1323"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36ED613" w14:textId="24AED957"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782EFF77"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1E8B63E"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7A43D57" w14:textId="159DCBA0" w:rsidR="00BC7EAD" w:rsidRPr="00BC7EAD" w:rsidRDefault="00BC7EAD" w:rsidP="00BC7EAD">
            <w:pPr>
              <w:spacing w:before="0" w:after="0"/>
              <w:jc w:val="right"/>
              <w:rPr>
                <w:rFonts w:cs="Arial"/>
                <w:i/>
                <w:iCs/>
                <w:sz w:val="18"/>
                <w:szCs w:val="18"/>
              </w:rPr>
            </w:pPr>
            <w:r w:rsidRPr="00BC7EAD">
              <w:rPr>
                <w:i/>
                <w:iCs/>
                <w:sz w:val="18"/>
                <w:szCs w:val="18"/>
              </w:rPr>
              <w:t>411.537.000</w:t>
            </w:r>
          </w:p>
        </w:tc>
        <w:tc>
          <w:tcPr>
            <w:tcW w:w="1474" w:type="dxa"/>
            <w:tcBorders>
              <w:top w:val="nil"/>
              <w:left w:val="nil"/>
              <w:bottom w:val="single" w:sz="4" w:space="0" w:color="auto"/>
              <w:right w:val="single" w:sz="4" w:space="0" w:color="auto"/>
            </w:tcBorders>
            <w:shd w:val="clear" w:color="auto" w:fill="auto"/>
            <w:noWrap/>
            <w:vAlign w:val="center"/>
            <w:hideMark/>
          </w:tcPr>
          <w:p w14:paraId="72D2241E" w14:textId="5738727C"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2C09A4C" w14:textId="57D35255"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1EC11C7" w14:textId="658F2BA0"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4872D3AA" w14:textId="7933A40A"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484787C1"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3E0B68D9"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6C226F8" w14:textId="3A163F7F"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15DE5A3" w14:textId="3744BDBB"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A3F8D7C" w14:textId="2F4BF760"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3239DD9" w14:textId="7FE3B9ED"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86B5277" w14:textId="3D952908"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44CCCDFB"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B2FDFEF"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6AED872" w14:textId="178785E1"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2CB27ABC" w14:textId="1FD9C240"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61B58BC" w14:textId="481FE655"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2280759" w14:textId="09632392"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4AEE67C" w14:textId="42F4740B"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59372411"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0006F319"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5A8C28D" w14:textId="2C7F6A31"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63C651A" w14:textId="0897660C"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5FF81AA" w14:textId="3480E789"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61E5431" w14:textId="28B83F58"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249091D3" w14:textId="4E6BF22B" w:rsidR="00BC7EAD" w:rsidRPr="00BC7EAD" w:rsidRDefault="00BC7EAD" w:rsidP="00BC7EAD">
            <w:pPr>
              <w:spacing w:before="0" w:after="0"/>
              <w:jc w:val="right"/>
              <w:rPr>
                <w:rFonts w:cs="Arial"/>
                <w:i/>
                <w:iCs/>
                <w:sz w:val="18"/>
                <w:szCs w:val="18"/>
              </w:rPr>
            </w:pPr>
            <w:r w:rsidRPr="00BC7EAD">
              <w:rPr>
                <w:i/>
                <w:iCs/>
                <w:sz w:val="18"/>
                <w:szCs w:val="18"/>
              </w:rPr>
              <w:t>0</w:t>
            </w:r>
          </w:p>
        </w:tc>
      </w:tr>
      <w:tr w:rsidR="00BC7EAD" w:rsidRPr="0043040A" w14:paraId="0ADE4D35" w14:textId="77777777" w:rsidTr="00BC7EAD">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336F86E7" w14:textId="77777777" w:rsidR="00BC7EAD" w:rsidRPr="0043040A" w:rsidRDefault="00BC7EAD" w:rsidP="00BC7EAD">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89726E1" w14:textId="2096C293"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39BB7336" w14:textId="44DFF548" w:rsidR="00BC7EAD" w:rsidRPr="00BC7EAD" w:rsidRDefault="00BC7EAD" w:rsidP="00BC7EAD">
            <w:pPr>
              <w:spacing w:before="0" w:after="0"/>
              <w:jc w:val="right"/>
              <w:rPr>
                <w:rFonts w:cs="Arial"/>
                <w:i/>
                <w:iCs/>
                <w:sz w:val="18"/>
                <w:szCs w:val="18"/>
              </w:rPr>
            </w:pPr>
            <w:r w:rsidRPr="00BC7EAD">
              <w:rPr>
                <w:i/>
                <w:iCs/>
                <w:sz w:val="18"/>
                <w:szCs w:val="18"/>
              </w:rPr>
              <w:t>5.137.080.333</w:t>
            </w:r>
          </w:p>
        </w:tc>
        <w:tc>
          <w:tcPr>
            <w:tcW w:w="1474" w:type="dxa"/>
            <w:tcBorders>
              <w:top w:val="nil"/>
              <w:left w:val="nil"/>
              <w:bottom w:val="single" w:sz="4" w:space="0" w:color="auto"/>
              <w:right w:val="single" w:sz="4" w:space="0" w:color="auto"/>
            </w:tcBorders>
            <w:shd w:val="clear" w:color="auto" w:fill="auto"/>
            <w:noWrap/>
            <w:vAlign w:val="center"/>
            <w:hideMark/>
          </w:tcPr>
          <w:p w14:paraId="673FA08D" w14:textId="2DD003FF" w:rsidR="00BC7EAD" w:rsidRPr="00BC7EAD" w:rsidRDefault="00BC7EAD" w:rsidP="00BC7EAD">
            <w:pPr>
              <w:spacing w:before="0" w:after="0"/>
              <w:jc w:val="right"/>
              <w:rPr>
                <w:rFonts w:cs="Arial"/>
                <w:i/>
                <w:iCs/>
                <w:sz w:val="18"/>
                <w:szCs w:val="18"/>
              </w:rPr>
            </w:pPr>
            <w:r w:rsidRPr="00BC7EAD">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0EFF3B6F" w14:textId="576492B3" w:rsidR="00BC7EAD" w:rsidRPr="00BC7EAD" w:rsidRDefault="00BC7EAD" w:rsidP="00BC7EAD">
            <w:pPr>
              <w:spacing w:before="0" w:after="0"/>
              <w:jc w:val="right"/>
              <w:rPr>
                <w:rFonts w:cs="Arial"/>
                <w:i/>
                <w:iCs/>
                <w:sz w:val="18"/>
                <w:szCs w:val="18"/>
              </w:rPr>
            </w:pPr>
            <w:r w:rsidRPr="00BC7EAD">
              <w:rPr>
                <w:i/>
                <w:iCs/>
                <w:sz w:val="18"/>
                <w:szCs w:val="18"/>
              </w:rPr>
              <w:t>100.000.000</w:t>
            </w:r>
          </w:p>
        </w:tc>
        <w:tc>
          <w:tcPr>
            <w:tcW w:w="1474" w:type="dxa"/>
            <w:tcBorders>
              <w:top w:val="nil"/>
              <w:left w:val="nil"/>
              <w:bottom w:val="single" w:sz="4" w:space="0" w:color="auto"/>
              <w:right w:val="single" w:sz="4" w:space="0" w:color="auto"/>
            </w:tcBorders>
            <w:shd w:val="clear" w:color="auto" w:fill="auto"/>
            <w:noWrap/>
            <w:vAlign w:val="center"/>
            <w:hideMark/>
          </w:tcPr>
          <w:p w14:paraId="7097CE9D" w14:textId="2A081B7E" w:rsidR="00BC7EAD" w:rsidRPr="00BC7EAD" w:rsidRDefault="00BC7EAD" w:rsidP="00BC7EAD">
            <w:pPr>
              <w:spacing w:before="0" w:after="0"/>
              <w:jc w:val="right"/>
              <w:rPr>
                <w:rFonts w:cs="Arial"/>
                <w:i/>
                <w:iCs/>
                <w:sz w:val="18"/>
                <w:szCs w:val="18"/>
              </w:rPr>
            </w:pPr>
            <w:r w:rsidRPr="00BC7EAD">
              <w:rPr>
                <w:i/>
                <w:iCs/>
                <w:sz w:val="18"/>
                <w:szCs w:val="18"/>
              </w:rPr>
              <w:t>0</w:t>
            </w:r>
          </w:p>
        </w:tc>
      </w:tr>
    </w:tbl>
    <w:p w14:paraId="0D449A96" w14:textId="77777777" w:rsidR="00DA345A" w:rsidRPr="0006395B" w:rsidRDefault="00DA345A" w:rsidP="00DA345A">
      <w:pPr>
        <w:pStyle w:val="Descripcin"/>
        <w:spacing w:before="240" w:after="120" w:line="240" w:lineRule="auto"/>
        <w:rPr>
          <w:b/>
          <w:i/>
          <w:iCs/>
        </w:rPr>
      </w:pPr>
      <w:bookmarkStart w:id="2" w:name="_Hlk96679191"/>
      <w:r w:rsidRPr="0006395B">
        <w:rPr>
          <w:i/>
          <w:iCs/>
        </w:rPr>
        <w:t>Tabla 4 Plan de inversiones del nivel de tensión 2, pesos de diciembre de 2017</w:t>
      </w:r>
    </w:p>
    <w:tbl>
      <w:tblPr>
        <w:tblW w:w="8844" w:type="dxa"/>
        <w:jc w:val="right"/>
        <w:tblLayout w:type="fixed"/>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45A" w:rsidRPr="007E09A4" w14:paraId="0B71DDDF" w14:textId="77777777" w:rsidTr="001C64F7">
        <w:trPr>
          <w:trHeight w:val="480"/>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2"/>
          <w:p w14:paraId="1BEB260A" w14:textId="77777777" w:rsidR="00DA345A" w:rsidRPr="007E09A4" w:rsidRDefault="00DA345A" w:rsidP="001C64F7">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71F144B"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E5A3FBC"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174BFBDF"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90A5521"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7C70B8E3" w14:textId="77777777" w:rsidR="00DA345A" w:rsidRPr="007E09A4" w:rsidRDefault="00DA345A" w:rsidP="001C64F7">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3261D6" w:rsidRPr="0043040A" w14:paraId="51EF9B5B"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A595BCD"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1238C42" w14:textId="00688053" w:rsidR="003261D6" w:rsidRPr="003261D6" w:rsidRDefault="003261D6" w:rsidP="003261D6">
            <w:pPr>
              <w:spacing w:before="0" w:after="0"/>
              <w:jc w:val="right"/>
              <w:rPr>
                <w:rFonts w:cs="Arial"/>
                <w:i/>
                <w:iCs/>
                <w:sz w:val="18"/>
                <w:szCs w:val="18"/>
                <w:lang w:val="es-CO" w:eastAsia="es-CO"/>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BC89014" w14:textId="2738E6D6"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84C0969" w14:textId="0989C091"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811D930" w14:textId="04DB884E"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FC5CA53" w14:textId="70039F43"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01427878"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7027DDA7"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46F4994" w14:textId="1DCFA3E7"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C667A9E" w14:textId="51E6F9E8"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27B0706" w14:textId="27B2C16D"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4C91BF7" w14:textId="6BE45DBB"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242A1B4" w14:textId="3CB75E3B"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48D5F581"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6E1453A8"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CDA397D" w14:textId="57D71306" w:rsidR="003261D6" w:rsidRPr="003261D6" w:rsidRDefault="003261D6" w:rsidP="003261D6">
            <w:pPr>
              <w:spacing w:before="0" w:after="0"/>
              <w:jc w:val="right"/>
              <w:rPr>
                <w:rFonts w:cs="Arial"/>
                <w:i/>
                <w:iCs/>
                <w:sz w:val="18"/>
                <w:szCs w:val="18"/>
              </w:rPr>
            </w:pPr>
            <w:r w:rsidRPr="003261D6">
              <w:rPr>
                <w:i/>
                <w:iCs/>
                <w:sz w:val="18"/>
                <w:szCs w:val="18"/>
              </w:rPr>
              <w:t>904.040.000</w:t>
            </w:r>
          </w:p>
        </w:tc>
        <w:tc>
          <w:tcPr>
            <w:tcW w:w="1474" w:type="dxa"/>
            <w:tcBorders>
              <w:top w:val="nil"/>
              <w:left w:val="nil"/>
              <w:bottom w:val="single" w:sz="4" w:space="0" w:color="auto"/>
              <w:right w:val="single" w:sz="4" w:space="0" w:color="auto"/>
            </w:tcBorders>
            <w:shd w:val="clear" w:color="auto" w:fill="auto"/>
            <w:noWrap/>
            <w:vAlign w:val="center"/>
          </w:tcPr>
          <w:p w14:paraId="7ADC2D2C" w14:textId="69BE81F9" w:rsidR="003261D6" w:rsidRPr="003261D6" w:rsidRDefault="003261D6" w:rsidP="003261D6">
            <w:pPr>
              <w:spacing w:before="0" w:after="0"/>
              <w:jc w:val="right"/>
              <w:rPr>
                <w:rFonts w:cs="Arial"/>
                <w:i/>
                <w:iCs/>
                <w:sz w:val="18"/>
                <w:szCs w:val="18"/>
              </w:rPr>
            </w:pPr>
            <w:r w:rsidRPr="003261D6">
              <w:rPr>
                <w:i/>
                <w:iCs/>
                <w:sz w:val="18"/>
                <w:szCs w:val="18"/>
              </w:rPr>
              <w:t>603.594.000</w:t>
            </w:r>
          </w:p>
        </w:tc>
        <w:tc>
          <w:tcPr>
            <w:tcW w:w="1474" w:type="dxa"/>
            <w:tcBorders>
              <w:top w:val="nil"/>
              <w:left w:val="nil"/>
              <w:bottom w:val="single" w:sz="4" w:space="0" w:color="auto"/>
              <w:right w:val="single" w:sz="4" w:space="0" w:color="auto"/>
            </w:tcBorders>
            <w:shd w:val="clear" w:color="auto" w:fill="auto"/>
            <w:noWrap/>
            <w:vAlign w:val="center"/>
          </w:tcPr>
          <w:p w14:paraId="6BBDFD19" w14:textId="5EEF8022"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2A39BB2" w14:textId="7A2124A7"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998DFFF" w14:textId="55112808"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6209FAE9"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533834B9"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E4B7566" w14:textId="5567AE64" w:rsidR="003261D6" w:rsidRPr="003261D6" w:rsidRDefault="003261D6" w:rsidP="003261D6">
            <w:pPr>
              <w:spacing w:before="0" w:after="0"/>
              <w:jc w:val="right"/>
              <w:rPr>
                <w:rFonts w:cs="Arial"/>
                <w:i/>
                <w:iCs/>
                <w:sz w:val="18"/>
                <w:szCs w:val="18"/>
              </w:rPr>
            </w:pPr>
            <w:r w:rsidRPr="003261D6">
              <w:rPr>
                <w:i/>
                <w:iCs/>
                <w:sz w:val="18"/>
                <w:szCs w:val="18"/>
              </w:rPr>
              <w:t>335.202.000</w:t>
            </w:r>
          </w:p>
        </w:tc>
        <w:tc>
          <w:tcPr>
            <w:tcW w:w="1474" w:type="dxa"/>
            <w:tcBorders>
              <w:top w:val="nil"/>
              <w:left w:val="nil"/>
              <w:bottom w:val="single" w:sz="4" w:space="0" w:color="auto"/>
              <w:right w:val="single" w:sz="4" w:space="0" w:color="auto"/>
            </w:tcBorders>
            <w:shd w:val="clear" w:color="auto" w:fill="auto"/>
            <w:noWrap/>
            <w:vAlign w:val="center"/>
          </w:tcPr>
          <w:p w14:paraId="1FE39BE1" w14:textId="011107F6"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9DFC7B3" w14:textId="7A2912DA"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8FD0A60" w14:textId="6D185842"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E83D187" w14:textId="213D834A"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5CF1914C"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33EBB8CD"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51D697C" w14:textId="3EFF4714" w:rsidR="003261D6" w:rsidRPr="003261D6" w:rsidRDefault="003261D6" w:rsidP="003261D6">
            <w:pPr>
              <w:spacing w:before="0" w:after="0"/>
              <w:jc w:val="right"/>
              <w:rPr>
                <w:rFonts w:cs="Arial"/>
                <w:i/>
                <w:iCs/>
                <w:sz w:val="18"/>
                <w:szCs w:val="18"/>
              </w:rPr>
            </w:pPr>
            <w:r w:rsidRPr="003261D6">
              <w:rPr>
                <w:i/>
                <w:iCs/>
                <w:sz w:val="18"/>
                <w:szCs w:val="18"/>
              </w:rPr>
              <w:t>100.278.000</w:t>
            </w:r>
          </w:p>
        </w:tc>
        <w:tc>
          <w:tcPr>
            <w:tcW w:w="1474" w:type="dxa"/>
            <w:tcBorders>
              <w:top w:val="nil"/>
              <w:left w:val="nil"/>
              <w:bottom w:val="single" w:sz="4" w:space="0" w:color="auto"/>
              <w:right w:val="single" w:sz="4" w:space="0" w:color="auto"/>
            </w:tcBorders>
            <w:shd w:val="clear" w:color="auto" w:fill="auto"/>
            <w:noWrap/>
            <w:vAlign w:val="center"/>
          </w:tcPr>
          <w:p w14:paraId="0464B229" w14:textId="3277BF3F" w:rsidR="003261D6" w:rsidRPr="003261D6" w:rsidRDefault="003261D6" w:rsidP="003261D6">
            <w:pPr>
              <w:spacing w:before="0" w:after="0"/>
              <w:jc w:val="right"/>
              <w:rPr>
                <w:rFonts w:cs="Arial"/>
                <w:i/>
                <w:iCs/>
                <w:sz w:val="18"/>
                <w:szCs w:val="18"/>
              </w:rPr>
            </w:pPr>
            <w:r w:rsidRPr="003261D6">
              <w:rPr>
                <w:i/>
                <w:iCs/>
                <w:sz w:val="18"/>
                <w:szCs w:val="18"/>
              </w:rPr>
              <w:t>100.278.000</w:t>
            </w:r>
          </w:p>
        </w:tc>
        <w:tc>
          <w:tcPr>
            <w:tcW w:w="1474" w:type="dxa"/>
            <w:tcBorders>
              <w:top w:val="nil"/>
              <w:left w:val="nil"/>
              <w:bottom w:val="single" w:sz="4" w:space="0" w:color="auto"/>
              <w:right w:val="single" w:sz="4" w:space="0" w:color="auto"/>
            </w:tcBorders>
            <w:shd w:val="clear" w:color="auto" w:fill="auto"/>
            <w:noWrap/>
            <w:vAlign w:val="center"/>
          </w:tcPr>
          <w:p w14:paraId="261388F7" w14:textId="495CB4B8"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67A3CCD" w14:textId="4DC28FCF"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A7B72D8" w14:textId="5FD236C7"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4A728957"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3A5FFFBB"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FE26AB9" w14:textId="08551CE5" w:rsidR="003261D6" w:rsidRPr="003261D6" w:rsidRDefault="003261D6" w:rsidP="003261D6">
            <w:pPr>
              <w:spacing w:before="0" w:after="0"/>
              <w:jc w:val="right"/>
              <w:rPr>
                <w:rFonts w:cs="Arial"/>
                <w:i/>
                <w:iCs/>
                <w:sz w:val="18"/>
                <w:szCs w:val="18"/>
              </w:rPr>
            </w:pPr>
            <w:r w:rsidRPr="003261D6">
              <w:rPr>
                <w:i/>
                <w:iCs/>
                <w:sz w:val="18"/>
                <w:szCs w:val="18"/>
              </w:rPr>
              <w:t>211.733.000</w:t>
            </w:r>
          </w:p>
        </w:tc>
        <w:tc>
          <w:tcPr>
            <w:tcW w:w="1474" w:type="dxa"/>
            <w:tcBorders>
              <w:top w:val="nil"/>
              <w:left w:val="nil"/>
              <w:bottom w:val="single" w:sz="4" w:space="0" w:color="auto"/>
              <w:right w:val="single" w:sz="4" w:space="0" w:color="auto"/>
            </w:tcBorders>
            <w:shd w:val="clear" w:color="auto" w:fill="auto"/>
            <w:noWrap/>
            <w:vAlign w:val="center"/>
          </w:tcPr>
          <w:p w14:paraId="7C25011D" w14:textId="3CBBE5FD" w:rsidR="003261D6" w:rsidRPr="003261D6" w:rsidRDefault="003261D6" w:rsidP="003261D6">
            <w:pPr>
              <w:spacing w:before="0" w:after="0"/>
              <w:jc w:val="right"/>
              <w:rPr>
                <w:rFonts w:cs="Arial"/>
                <w:i/>
                <w:iCs/>
                <w:sz w:val="18"/>
                <w:szCs w:val="18"/>
              </w:rPr>
            </w:pPr>
            <w:r w:rsidRPr="003261D6">
              <w:rPr>
                <w:i/>
                <w:iCs/>
                <w:sz w:val="18"/>
                <w:szCs w:val="18"/>
              </w:rPr>
              <w:t>85.610.000</w:t>
            </w:r>
          </w:p>
        </w:tc>
        <w:tc>
          <w:tcPr>
            <w:tcW w:w="1474" w:type="dxa"/>
            <w:tcBorders>
              <w:top w:val="nil"/>
              <w:left w:val="nil"/>
              <w:bottom w:val="single" w:sz="4" w:space="0" w:color="auto"/>
              <w:right w:val="single" w:sz="4" w:space="0" w:color="auto"/>
            </w:tcBorders>
            <w:shd w:val="clear" w:color="auto" w:fill="auto"/>
            <w:noWrap/>
            <w:vAlign w:val="center"/>
          </w:tcPr>
          <w:p w14:paraId="32A8A16F" w14:textId="47862289"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A45E862" w14:textId="777CC832"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6F0AEE6" w14:textId="23100AD9"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3A7B6D95"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70BBC01"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8382D56" w14:textId="091A147B"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E2FEDD8" w14:textId="69A0028D" w:rsidR="003261D6" w:rsidRPr="003261D6" w:rsidRDefault="003261D6" w:rsidP="003261D6">
            <w:pPr>
              <w:spacing w:before="0" w:after="0"/>
              <w:jc w:val="right"/>
              <w:rPr>
                <w:rFonts w:cs="Arial"/>
                <w:i/>
                <w:iCs/>
                <w:sz w:val="18"/>
                <w:szCs w:val="18"/>
              </w:rPr>
            </w:pPr>
            <w:r w:rsidRPr="003261D6">
              <w:rPr>
                <w:i/>
                <w:iCs/>
                <w:sz w:val="18"/>
                <w:szCs w:val="18"/>
              </w:rPr>
              <w:t>613.631.540</w:t>
            </w:r>
          </w:p>
        </w:tc>
        <w:tc>
          <w:tcPr>
            <w:tcW w:w="1474" w:type="dxa"/>
            <w:tcBorders>
              <w:top w:val="nil"/>
              <w:left w:val="nil"/>
              <w:bottom w:val="single" w:sz="4" w:space="0" w:color="auto"/>
              <w:right w:val="single" w:sz="4" w:space="0" w:color="auto"/>
            </w:tcBorders>
            <w:shd w:val="clear" w:color="auto" w:fill="auto"/>
            <w:noWrap/>
            <w:vAlign w:val="center"/>
          </w:tcPr>
          <w:p w14:paraId="3FC45AC0" w14:textId="1400A7BB" w:rsidR="003261D6" w:rsidRPr="003261D6" w:rsidRDefault="003261D6" w:rsidP="003261D6">
            <w:pPr>
              <w:spacing w:before="0" w:after="0"/>
              <w:jc w:val="right"/>
              <w:rPr>
                <w:rFonts w:cs="Arial"/>
                <w:i/>
                <w:iCs/>
                <w:sz w:val="18"/>
                <w:szCs w:val="18"/>
              </w:rPr>
            </w:pPr>
            <w:r w:rsidRPr="003261D6">
              <w:rPr>
                <w:i/>
                <w:iCs/>
                <w:sz w:val="18"/>
                <w:szCs w:val="18"/>
              </w:rPr>
              <w:t>2.690.217.594</w:t>
            </w:r>
          </w:p>
        </w:tc>
        <w:tc>
          <w:tcPr>
            <w:tcW w:w="1474" w:type="dxa"/>
            <w:tcBorders>
              <w:top w:val="nil"/>
              <w:left w:val="nil"/>
              <w:bottom w:val="single" w:sz="4" w:space="0" w:color="auto"/>
              <w:right w:val="single" w:sz="4" w:space="0" w:color="auto"/>
            </w:tcBorders>
            <w:shd w:val="clear" w:color="auto" w:fill="auto"/>
            <w:noWrap/>
            <w:vAlign w:val="center"/>
          </w:tcPr>
          <w:p w14:paraId="6ADA4526" w14:textId="4FFD615B"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29BB4FF" w14:textId="1FECBC6B" w:rsidR="003261D6" w:rsidRPr="003261D6" w:rsidRDefault="003261D6" w:rsidP="003261D6">
            <w:pPr>
              <w:spacing w:before="0" w:after="0"/>
              <w:jc w:val="right"/>
              <w:rPr>
                <w:rFonts w:cs="Arial"/>
                <w:i/>
                <w:iCs/>
                <w:sz w:val="18"/>
                <w:szCs w:val="18"/>
              </w:rPr>
            </w:pPr>
            <w:r w:rsidRPr="003261D6">
              <w:rPr>
                <w:i/>
                <w:iCs/>
                <w:sz w:val="18"/>
                <w:szCs w:val="18"/>
              </w:rPr>
              <w:t>4.007.269.100</w:t>
            </w:r>
          </w:p>
        </w:tc>
      </w:tr>
      <w:tr w:rsidR="003261D6" w:rsidRPr="0043040A" w14:paraId="7AA6A660"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2C27C9E4"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D7904BA" w14:textId="56E6EFEE"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6B6FF53" w14:textId="3C149FA0"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56E165A" w14:textId="74B4DC32"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B5C56A2" w14:textId="44A29874"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07459D2" w14:textId="46E86055" w:rsidR="003261D6" w:rsidRPr="003261D6" w:rsidRDefault="003261D6" w:rsidP="003261D6">
            <w:pPr>
              <w:spacing w:before="0" w:after="0"/>
              <w:jc w:val="right"/>
              <w:rPr>
                <w:rFonts w:cs="Arial"/>
                <w:i/>
                <w:iCs/>
                <w:sz w:val="18"/>
                <w:szCs w:val="18"/>
              </w:rPr>
            </w:pPr>
            <w:r w:rsidRPr="003261D6">
              <w:rPr>
                <w:i/>
                <w:iCs/>
                <w:sz w:val="18"/>
                <w:szCs w:val="18"/>
              </w:rPr>
              <w:t>0</w:t>
            </w:r>
          </w:p>
        </w:tc>
      </w:tr>
      <w:tr w:rsidR="003261D6" w:rsidRPr="0043040A" w14:paraId="421250F5"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6649AFF4"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3EFFFE1" w14:textId="19423715" w:rsidR="003261D6" w:rsidRPr="003261D6" w:rsidRDefault="003261D6" w:rsidP="003261D6">
            <w:pPr>
              <w:spacing w:before="0" w:after="0"/>
              <w:jc w:val="right"/>
              <w:rPr>
                <w:rFonts w:cs="Arial"/>
                <w:i/>
                <w:iCs/>
                <w:sz w:val="18"/>
                <w:szCs w:val="18"/>
              </w:rPr>
            </w:pPr>
            <w:r w:rsidRPr="003261D6">
              <w:rPr>
                <w:i/>
                <w:iCs/>
                <w:sz w:val="18"/>
                <w:szCs w:val="18"/>
              </w:rPr>
              <w:t>5.940.000</w:t>
            </w:r>
          </w:p>
        </w:tc>
        <w:tc>
          <w:tcPr>
            <w:tcW w:w="1474" w:type="dxa"/>
            <w:tcBorders>
              <w:top w:val="nil"/>
              <w:left w:val="nil"/>
              <w:bottom w:val="single" w:sz="4" w:space="0" w:color="auto"/>
              <w:right w:val="single" w:sz="4" w:space="0" w:color="auto"/>
            </w:tcBorders>
            <w:shd w:val="clear" w:color="auto" w:fill="auto"/>
            <w:noWrap/>
            <w:vAlign w:val="center"/>
          </w:tcPr>
          <w:p w14:paraId="19382538" w14:textId="0B057CF5" w:rsidR="003261D6" w:rsidRPr="003261D6" w:rsidRDefault="003261D6" w:rsidP="003261D6">
            <w:pPr>
              <w:spacing w:before="0" w:after="0"/>
              <w:jc w:val="right"/>
              <w:rPr>
                <w:rFonts w:cs="Arial"/>
                <w:i/>
                <w:iCs/>
                <w:sz w:val="18"/>
                <w:szCs w:val="18"/>
              </w:rPr>
            </w:pPr>
            <w:r w:rsidRPr="003261D6">
              <w:rPr>
                <w:i/>
                <w:iCs/>
                <w:sz w:val="18"/>
                <w:szCs w:val="18"/>
              </w:rPr>
              <w:t>5.015.000</w:t>
            </w:r>
          </w:p>
        </w:tc>
        <w:tc>
          <w:tcPr>
            <w:tcW w:w="1474" w:type="dxa"/>
            <w:tcBorders>
              <w:top w:val="nil"/>
              <w:left w:val="nil"/>
              <w:bottom w:val="single" w:sz="4" w:space="0" w:color="auto"/>
              <w:right w:val="single" w:sz="4" w:space="0" w:color="auto"/>
            </w:tcBorders>
            <w:shd w:val="clear" w:color="auto" w:fill="auto"/>
            <w:noWrap/>
            <w:vAlign w:val="center"/>
          </w:tcPr>
          <w:p w14:paraId="19F89DF4" w14:textId="0AF96F3A" w:rsidR="003261D6" w:rsidRPr="003261D6" w:rsidRDefault="003261D6" w:rsidP="003261D6">
            <w:pPr>
              <w:spacing w:before="0" w:after="0"/>
              <w:jc w:val="right"/>
              <w:rPr>
                <w:rFonts w:cs="Arial"/>
                <w:i/>
                <w:iCs/>
                <w:sz w:val="18"/>
                <w:szCs w:val="18"/>
              </w:rPr>
            </w:pPr>
            <w:r w:rsidRPr="003261D6">
              <w:rPr>
                <w:i/>
                <w:iCs/>
                <w:sz w:val="18"/>
                <w:szCs w:val="18"/>
              </w:rPr>
              <w:t>1.965.000</w:t>
            </w:r>
          </w:p>
        </w:tc>
        <w:tc>
          <w:tcPr>
            <w:tcW w:w="1474" w:type="dxa"/>
            <w:tcBorders>
              <w:top w:val="nil"/>
              <w:left w:val="nil"/>
              <w:bottom w:val="single" w:sz="4" w:space="0" w:color="auto"/>
              <w:right w:val="single" w:sz="4" w:space="0" w:color="auto"/>
            </w:tcBorders>
            <w:shd w:val="clear" w:color="auto" w:fill="auto"/>
            <w:noWrap/>
            <w:vAlign w:val="center"/>
          </w:tcPr>
          <w:p w14:paraId="71D04D7D" w14:textId="36F72B99"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F39A8EC" w14:textId="7D39DD21" w:rsidR="003261D6" w:rsidRPr="003261D6" w:rsidRDefault="003261D6" w:rsidP="003261D6">
            <w:pPr>
              <w:spacing w:before="0" w:after="0"/>
              <w:jc w:val="right"/>
              <w:rPr>
                <w:rFonts w:cs="Arial"/>
                <w:i/>
                <w:iCs/>
                <w:sz w:val="18"/>
                <w:szCs w:val="18"/>
              </w:rPr>
            </w:pPr>
            <w:r w:rsidRPr="003261D6">
              <w:rPr>
                <w:i/>
                <w:iCs/>
                <w:sz w:val="18"/>
                <w:szCs w:val="18"/>
              </w:rPr>
              <w:t>1.967.090.000</w:t>
            </w:r>
          </w:p>
        </w:tc>
      </w:tr>
      <w:tr w:rsidR="003261D6" w:rsidRPr="0043040A" w14:paraId="41C8375E" w14:textId="77777777" w:rsidTr="003261D6">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53B89E12" w14:textId="77777777" w:rsidR="003261D6" w:rsidRPr="007E09A4" w:rsidRDefault="003261D6" w:rsidP="003261D6">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C94F4EC" w14:textId="06FD257C"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9850084" w14:textId="15BFC12D" w:rsidR="003261D6" w:rsidRPr="003261D6" w:rsidRDefault="003261D6" w:rsidP="003261D6">
            <w:pPr>
              <w:spacing w:before="0" w:after="0"/>
              <w:jc w:val="right"/>
              <w:rPr>
                <w:rFonts w:cs="Arial"/>
                <w:i/>
                <w:iCs/>
                <w:sz w:val="18"/>
                <w:szCs w:val="18"/>
              </w:rPr>
            </w:pPr>
            <w:r w:rsidRPr="003261D6">
              <w:rPr>
                <w:i/>
                <w:iCs/>
                <w:sz w:val="18"/>
                <w:szCs w:val="18"/>
              </w:rPr>
              <w:t>5.137.080.333</w:t>
            </w:r>
          </w:p>
        </w:tc>
        <w:tc>
          <w:tcPr>
            <w:tcW w:w="1474" w:type="dxa"/>
            <w:tcBorders>
              <w:top w:val="nil"/>
              <w:left w:val="nil"/>
              <w:bottom w:val="single" w:sz="4" w:space="0" w:color="auto"/>
              <w:right w:val="single" w:sz="4" w:space="0" w:color="auto"/>
            </w:tcBorders>
            <w:shd w:val="clear" w:color="auto" w:fill="auto"/>
            <w:noWrap/>
            <w:vAlign w:val="center"/>
          </w:tcPr>
          <w:p w14:paraId="6E718850" w14:textId="77087217" w:rsidR="003261D6" w:rsidRPr="003261D6" w:rsidRDefault="003261D6" w:rsidP="003261D6">
            <w:pPr>
              <w:spacing w:before="0" w:after="0"/>
              <w:jc w:val="right"/>
              <w:rPr>
                <w:rFonts w:cs="Arial"/>
                <w:i/>
                <w:iCs/>
                <w:sz w:val="18"/>
                <w:szCs w:val="18"/>
              </w:rPr>
            </w:pPr>
            <w:r w:rsidRPr="003261D6">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4876664" w14:textId="1F7A3B38" w:rsidR="003261D6" w:rsidRPr="003261D6" w:rsidRDefault="003261D6" w:rsidP="003261D6">
            <w:pPr>
              <w:spacing w:before="0" w:after="0"/>
              <w:jc w:val="right"/>
              <w:rPr>
                <w:rFonts w:cs="Arial"/>
                <w:i/>
                <w:iCs/>
                <w:sz w:val="18"/>
                <w:szCs w:val="18"/>
              </w:rPr>
            </w:pPr>
            <w:r w:rsidRPr="003261D6">
              <w:rPr>
                <w:i/>
                <w:iCs/>
                <w:sz w:val="18"/>
                <w:szCs w:val="18"/>
              </w:rPr>
              <w:t>100.000.000</w:t>
            </w:r>
          </w:p>
        </w:tc>
        <w:tc>
          <w:tcPr>
            <w:tcW w:w="1474" w:type="dxa"/>
            <w:tcBorders>
              <w:top w:val="nil"/>
              <w:left w:val="nil"/>
              <w:bottom w:val="single" w:sz="4" w:space="0" w:color="auto"/>
              <w:right w:val="single" w:sz="4" w:space="0" w:color="auto"/>
            </w:tcBorders>
            <w:shd w:val="clear" w:color="auto" w:fill="auto"/>
            <w:noWrap/>
            <w:vAlign w:val="center"/>
          </w:tcPr>
          <w:p w14:paraId="296FD196" w14:textId="0D2013F5" w:rsidR="003261D6" w:rsidRPr="003261D6" w:rsidRDefault="003261D6" w:rsidP="003261D6">
            <w:pPr>
              <w:spacing w:before="0" w:after="0"/>
              <w:jc w:val="right"/>
              <w:rPr>
                <w:rFonts w:cs="Arial"/>
                <w:i/>
                <w:iCs/>
                <w:sz w:val="18"/>
                <w:szCs w:val="18"/>
              </w:rPr>
            </w:pPr>
            <w:r w:rsidRPr="003261D6">
              <w:rPr>
                <w:i/>
                <w:iCs/>
                <w:sz w:val="18"/>
                <w:szCs w:val="18"/>
              </w:rPr>
              <w:t>0</w:t>
            </w:r>
          </w:p>
        </w:tc>
      </w:tr>
    </w:tbl>
    <w:p w14:paraId="3900DCC0" w14:textId="77777777" w:rsidR="00DA345A" w:rsidRPr="0006395B" w:rsidRDefault="00DA345A" w:rsidP="00DA345A">
      <w:pPr>
        <w:pStyle w:val="Descripcin"/>
        <w:spacing w:before="240" w:after="120" w:line="240" w:lineRule="auto"/>
        <w:rPr>
          <w:b/>
          <w:i/>
          <w:iCs/>
        </w:rPr>
      </w:pPr>
      <w:bookmarkStart w:id="3" w:name="_Hlk96679204"/>
      <w:r w:rsidRPr="0006395B">
        <w:rPr>
          <w:i/>
          <w:iCs/>
        </w:rPr>
        <w:t>Tabla 5 Plan de inversiones del nivel de tensión 1, pesos de diciembre de 2017</w:t>
      </w:r>
    </w:p>
    <w:tbl>
      <w:tblPr>
        <w:tblW w:w="8844" w:type="dxa"/>
        <w:jc w:val="right"/>
        <w:tblCellMar>
          <w:left w:w="70" w:type="dxa"/>
          <w:right w:w="70" w:type="dxa"/>
        </w:tblCellMar>
        <w:tblLook w:val="04A0" w:firstRow="1" w:lastRow="0" w:firstColumn="1" w:lastColumn="0" w:noHBand="0" w:noVBand="1"/>
      </w:tblPr>
      <w:tblGrid>
        <w:gridCol w:w="1474"/>
        <w:gridCol w:w="1474"/>
        <w:gridCol w:w="1474"/>
        <w:gridCol w:w="1474"/>
        <w:gridCol w:w="1474"/>
        <w:gridCol w:w="1474"/>
      </w:tblGrid>
      <w:tr w:rsidR="00DA345A" w:rsidRPr="00585EEC" w14:paraId="24060724" w14:textId="77777777" w:rsidTr="001C64F7">
        <w:trPr>
          <w:trHeight w:val="480"/>
          <w:tblHeader/>
          <w:jc w:val="right"/>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3"/>
          <w:p w14:paraId="71219627" w14:textId="77777777" w:rsidR="00DA345A" w:rsidRPr="00585EEC" w:rsidRDefault="00DA345A" w:rsidP="001C64F7">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08A3F4B" w14:textId="77777777" w:rsidR="00DA345A" w:rsidRPr="00585EEC" w:rsidRDefault="00DA345A" w:rsidP="001C64F7">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2AAF417" w14:textId="77777777" w:rsidR="00DA345A" w:rsidRPr="00585EEC" w:rsidRDefault="00DA345A" w:rsidP="001C64F7">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362FA03" w14:textId="77777777" w:rsidR="00DA345A" w:rsidRPr="00585EEC" w:rsidRDefault="00DA345A" w:rsidP="001C64F7">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771E0EE4" w14:textId="77777777" w:rsidR="00DA345A" w:rsidRPr="00585EEC" w:rsidRDefault="00DA345A" w:rsidP="001C64F7">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72E3DCF" w14:textId="77777777" w:rsidR="00DA345A" w:rsidRPr="00585EEC" w:rsidRDefault="00DA345A" w:rsidP="001C64F7">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5E3435" w:rsidRPr="0043040A" w14:paraId="452DD126" w14:textId="77777777" w:rsidTr="005E3435">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164CBADC" w14:textId="77777777" w:rsidR="005E3435" w:rsidRPr="00585EEC" w:rsidRDefault="005E3435" w:rsidP="005E3435">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8A9480A" w14:textId="20E1908C" w:rsidR="005E3435" w:rsidRPr="005E3435" w:rsidRDefault="005E3435" w:rsidP="005E3435">
            <w:pPr>
              <w:spacing w:before="0" w:after="0"/>
              <w:jc w:val="right"/>
              <w:rPr>
                <w:rFonts w:cs="Arial"/>
                <w:i/>
                <w:iCs/>
                <w:sz w:val="18"/>
                <w:szCs w:val="18"/>
                <w:lang w:val="es-CO" w:eastAsia="es-CO"/>
              </w:rPr>
            </w:pPr>
            <w:r w:rsidRPr="005E3435">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13D715D" w14:textId="426B0EAF" w:rsidR="005E3435" w:rsidRPr="005E3435" w:rsidRDefault="005E3435" w:rsidP="005E3435">
            <w:pPr>
              <w:spacing w:before="0" w:after="0"/>
              <w:jc w:val="right"/>
              <w:rPr>
                <w:rFonts w:cs="Arial"/>
                <w:i/>
                <w:iCs/>
                <w:sz w:val="18"/>
                <w:szCs w:val="18"/>
              </w:rPr>
            </w:pPr>
            <w:r w:rsidRPr="005E3435">
              <w:rPr>
                <w:i/>
                <w:iCs/>
                <w:sz w:val="18"/>
                <w:szCs w:val="18"/>
              </w:rPr>
              <w:t>439.507.000</w:t>
            </w:r>
          </w:p>
        </w:tc>
        <w:tc>
          <w:tcPr>
            <w:tcW w:w="1474" w:type="dxa"/>
            <w:tcBorders>
              <w:top w:val="nil"/>
              <w:left w:val="nil"/>
              <w:bottom w:val="single" w:sz="4" w:space="0" w:color="auto"/>
              <w:right w:val="single" w:sz="4" w:space="0" w:color="auto"/>
            </w:tcBorders>
            <w:shd w:val="clear" w:color="auto" w:fill="auto"/>
            <w:noWrap/>
            <w:vAlign w:val="center"/>
            <w:hideMark/>
          </w:tcPr>
          <w:p w14:paraId="1D32CC70" w14:textId="67F488A0" w:rsidR="005E3435" w:rsidRPr="005E3435" w:rsidRDefault="005E3435" w:rsidP="005E3435">
            <w:pPr>
              <w:spacing w:before="0" w:after="0"/>
              <w:jc w:val="right"/>
              <w:rPr>
                <w:rFonts w:cs="Arial"/>
                <w:i/>
                <w:iCs/>
                <w:sz w:val="18"/>
                <w:szCs w:val="18"/>
              </w:rPr>
            </w:pPr>
            <w:r w:rsidRPr="005E3435">
              <w:rPr>
                <w:i/>
                <w:iCs/>
                <w:sz w:val="18"/>
                <w:szCs w:val="18"/>
              </w:rPr>
              <w:t>243.489.000</w:t>
            </w:r>
          </w:p>
        </w:tc>
        <w:tc>
          <w:tcPr>
            <w:tcW w:w="1474" w:type="dxa"/>
            <w:tcBorders>
              <w:top w:val="nil"/>
              <w:left w:val="nil"/>
              <w:bottom w:val="single" w:sz="4" w:space="0" w:color="auto"/>
              <w:right w:val="single" w:sz="4" w:space="0" w:color="auto"/>
            </w:tcBorders>
            <w:shd w:val="clear" w:color="auto" w:fill="auto"/>
            <w:noWrap/>
            <w:vAlign w:val="center"/>
            <w:hideMark/>
          </w:tcPr>
          <w:p w14:paraId="40D99B63" w14:textId="0FA9F4A1" w:rsidR="005E3435" w:rsidRPr="005E3435" w:rsidRDefault="005E3435" w:rsidP="005E3435">
            <w:pPr>
              <w:spacing w:before="0" w:after="0"/>
              <w:jc w:val="right"/>
              <w:rPr>
                <w:rFonts w:cs="Arial"/>
                <w:i/>
                <w:iCs/>
                <w:sz w:val="18"/>
                <w:szCs w:val="18"/>
              </w:rPr>
            </w:pPr>
            <w:r w:rsidRPr="005E3435">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72AEF5E" w14:textId="3FCC982A" w:rsidR="005E3435" w:rsidRPr="005E3435" w:rsidRDefault="005E3435" w:rsidP="005E3435">
            <w:pPr>
              <w:spacing w:before="0" w:after="0"/>
              <w:jc w:val="right"/>
              <w:rPr>
                <w:rFonts w:cs="Arial"/>
                <w:i/>
                <w:iCs/>
                <w:sz w:val="18"/>
                <w:szCs w:val="18"/>
              </w:rPr>
            </w:pPr>
            <w:r w:rsidRPr="005E3435">
              <w:rPr>
                <w:i/>
                <w:iCs/>
                <w:sz w:val="18"/>
                <w:szCs w:val="18"/>
              </w:rPr>
              <w:t>0</w:t>
            </w:r>
          </w:p>
        </w:tc>
      </w:tr>
      <w:tr w:rsidR="005E3435" w:rsidRPr="0043040A" w14:paraId="13F2C980" w14:textId="77777777" w:rsidTr="005E3435">
        <w:trPr>
          <w:trHeight w:val="270"/>
          <w:jc w:val="right"/>
        </w:trPr>
        <w:tc>
          <w:tcPr>
            <w:tcW w:w="1474" w:type="dxa"/>
            <w:tcBorders>
              <w:top w:val="nil"/>
              <w:left w:val="single" w:sz="4" w:space="0" w:color="auto"/>
              <w:bottom w:val="single" w:sz="4" w:space="0" w:color="auto"/>
              <w:right w:val="nil"/>
            </w:tcBorders>
            <w:shd w:val="clear" w:color="000000" w:fill="FFFFFF"/>
            <w:vAlign w:val="center"/>
            <w:hideMark/>
          </w:tcPr>
          <w:p w14:paraId="09BD7D25" w14:textId="77777777" w:rsidR="005E3435" w:rsidRPr="00585EEC" w:rsidRDefault="005E3435" w:rsidP="005E3435">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5769BDB" w14:textId="511CBF42" w:rsidR="005E3435" w:rsidRPr="005E3435" w:rsidRDefault="005E3435" w:rsidP="005E3435">
            <w:pPr>
              <w:spacing w:before="0" w:after="0"/>
              <w:jc w:val="right"/>
              <w:rPr>
                <w:rFonts w:cs="Arial"/>
                <w:i/>
                <w:iCs/>
                <w:sz w:val="18"/>
                <w:szCs w:val="18"/>
              </w:rPr>
            </w:pPr>
            <w:r w:rsidRPr="005E3435">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7245E8DD" w14:textId="3CE0BA49" w:rsidR="005E3435" w:rsidRPr="005E3435" w:rsidRDefault="005E3435" w:rsidP="005E3435">
            <w:pPr>
              <w:spacing w:before="0" w:after="0"/>
              <w:jc w:val="right"/>
              <w:rPr>
                <w:rFonts w:cs="Arial"/>
                <w:i/>
                <w:iCs/>
                <w:sz w:val="18"/>
                <w:szCs w:val="18"/>
              </w:rPr>
            </w:pPr>
            <w:r w:rsidRPr="005E3435">
              <w:rPr>
                <w:i/>
                <w:iCs/>
                <w:sz w:val="18"/>
                <w:szCs w:val="18"/>
              </w:rPr>
              <w:t>607.947.675</w:t>
            </w:r>
          </w:p>
        </w:tc>
        <w:tc>
          <w:tcPr>
            <w:tcW w:w="1474" w:type="dxa"/>
            <w:tcBorders>
              <w:top w:val="nil"/>
              <w:left w:val="nil"/>
              <w:bottom w:val="single" w:sz="4" w:space="0" w:color="auto"/>
              <w:right w:val="single" w:sz="4" w:space="0" w:color="auto"/>
            </w:tcBorders>
            <w:shd w:val="clear" w:color="auto" w:fill="auto"/>
            <w:noWrap/>
            <w:vAlign w:val="center"/>
            <w:hideMark/>
          </w:tcPr>
          <w:p w14:paraId="7F034AFC" w14:textId="77F4B647" w:rsidR="005E3435" w:rsidRPr="005E3435" w:rsidRDefault="005E3435" w:rsidP="005E3435">
            <w:pPr>
              <w:spacing w:before="0" w:after="0"/>
              <w:jc w:val="right"/>
              <w:rPr>
                <w:rFonts w:cs="Arial"/>
                <w:i/>
                <w:iCs/>
                <w:sz w:val="18"/>
                <w:szCs w:val="18"/>
              </w:rPr>
            </w:pPr>
            <w:r w:rsidRPr="005E3435">
              <w:rPr>
                <w:i/>
                <w:iCs/>
                <w:sz w:val="18"/>
                <w:szCs w:val="18"/>
              </w:rPr>
              <w:t>1.428.010.648</w:t>
            </w:r>
          </w:p>
        </w:tc>
        <w:tc>
          <w:tcPr>
            <w:tcW w:w="1474" w:type="dxa"/>
            <w:tcBorders>
              <w:top w:val="nil"/>
              <w:left w:val="nil"/>
              <w:bottom w:val="single" w:sz="4" w:space="0" w:color="auto"/>
              <w:right w:val="single" w:sz="4" w:space="0" w:color="auto"/>
            </w:tcBorders>
            <w:shd w:val="clear" w:color="auto" w:fill="auto"/>
            <w:noWrap/>
            <w:vAlign w:val="center"/>
            <w:hideMark/>
          </w:tcPr>
          <w:p w14:paraId="3C60AA8C" w14:textId="189EA3D6" w:rsidR="005E3435" w:rsidRPr="005E3435" w:rsidRDefault="005E3435" w:rsidP="005E3435">
            <w:pPr>
              <w:spacing w:before="0" w:after="0"/>
              <w:jc w:val="right"/>
              <w:rPr>
                <w:rFonts w:cs="Arial"/>
                <w:i/>
                <w:iCs/>
                <w:sz w:val="18"/>
                <w:szCs w:val="18"/>
              </w:rPr>
            </w:pPr>
            <w:r w:rsidRPr="005E3435">
              <w:rPr>
                <w:i/>
                <w:iCs/>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37B8038" w14:textId="2ECC80E9" w:rsidR="005E3435" w:rsidRPr="005E3435" w:rsidRDefault="005E3435" w:rsidP="005E3435">
            <w:pPr>
              <w:spacing w:before="0" w:after="0"/>
              <w:jc w:val="right"/>
              <w:rPr>
                <w:rFonts w:cs="Arial"/>
                <w:i/>
                <w:iCs/>
                <w:sz w:val="18"/>
                <w:szCs w:val="18"/>
              </w:rPr>
            </w:pPr>
            <w:r w:rsidRPr="005E3435">
              <w:rPr>
                <w:i/>
                <w:iCs/>
                <w:sz w:val="18"/>
                <w:szCs w:val="18"/>
              </w:rPr>
              <w:t>0</w:t>
            </w:r>
          </w:p>
        </w:tc>
      </w:tr>
    </w:tbl>
    <w:p w14:paraId="6428EF37" w14:textId="335588DF" w:rsidR="00DA345A" w:rsidRPr="009B0E38" w:rsidRDefault="00DA345A" w:rsidP="00DA345A">
      <w:pPr>
        <w:ind w:left="708"/>
      </w:pPr>
    </w:p>
    <w:p w14:paraId="116E0845" w14:textId="6132A619" w:rsidR="00DA345A" w:rsidRDefault="00DA345A" w:rsidP="00DA345A">
      <w:pPr>
        <w:pStyle w:val="Artculo"/>
        <w:ind w:left="0"/>
        <w:outlineLvl w:val="2"/>
      </w:pPr>
      <w:bookmarkStart w:id="4" w:name="_Ref194754334"/>
      <w:r>
        <w:t xml:space="preserve">Modificar </w:t>
      </w:r>
      <w:bookmarkStart w:id="5" w:name="_Hlk96678266"/>
      <w:r>
        <w:t xml:space="preserve">el artículo </w:t>
      </w:r>
      <w:r w:rsidR="00D81F81">
        <w:t>16</w:t>
      </w:r>
      <w:r>
        <w:t xml:space="preserve"> de la </w:t>
      </w:r>
      <w:r w:rsidRPr="00A24EB4">
        <w:t xml:space="preserve">Resolución CREG </w:t>
      </w:r>
      <w:r w:rsidR="00D81F81">
        <w:t>218</w:t>
      </w:r>
      <w:r>
        <w:t xml:space="preserve"> de 2021</w:t>
      </w:r>
      <w:bookmarkEnd w:id="5"/>
      <w:r>
        <w:t xml:space="preserve">. </w:t>
      </w:r>
      <w:r>
        <w:rPr>
          <w:b w:val="0"/>
        </w:rPr>
        <w:t>E</w:t>
      </w:r>
      <w:r w:rsidRPr="00541706">
        <w:rPr>
          <w:b w:val="0"/>
        </w:rPr>
        <w:t xml:space="preserve">l artículo </w:t>
      </w:r>
      <w:r w:rsidR="00350683">
        <w:rPr>
          <w:b w:val="0"/>
        </w:rPr>
        <w:t>16</w:t>
      </w:r>
      <w:r w:rsidRPr="00541706">
        <w:rPr>
          <w:b w:val="0"/>
        </w:rPr>
        <w:t xml:space="preserve"> de la Resolución CREG </w:t>
      </w:r>
      <w:r w:rsidR="00D81F81">
        <w:rPr>
          <w:b w:val="0"/>
        </w:rPr>
        <w:t>218</w:t>
      </w:r>
      <w:r w:rsidRPr="00541706">
        <w:rPr>
          <w:b w:val="0"/>
        </w:rPr>
        <w:t xml:space="preserve"> de 2021</w:t>
      </w:r>
      <w:r>
        <w:rPr>
          <w:b w:val="0"/>
        </w:rPr>
        <w:t>queda así:</w:t>
      </w:r>
    </w:p>
    <w:p w14:paraId="1E4DAD54" w14:textId="77777777" w:rsidR="00350683" w:rsidRPr="00350683" w:rsidRDefault="00DA345A" w:rsidP="0073609F">
      <w:pPr>
        <w:ind w:left="284"/>
        <w:rPr>
          <w:rFonts w:cs="Arial"/>
          <w:bCs/>
          <w:i/>
          <w:iCs/>
        </w:rPr>
      </w:pPr>
      <w:r>
        <w:t>“</w:t>
      </w:r>
      <w:r w:rsidRPr="00541706">
        <w:rPr>
          <w:b/>
          <w:bCs/>
          <w:i/>
          <w:iCs/>
        </w:rPr>
        <w:t xml:space="preserve">Artículo </w:t>
      </w:r>
      <w:r w:rsidR="00350683">
        <w:rPr>
          <w:b/>
          <w:bCs/>
          <w:i/>
          <w:iCs/>
        </w:rPr>
        <w:t>16</w:t>
      </w:r>
      <w:r w:rsidRPr="00541706">
        <w:rPr>
          <w:b/>
          <w:bCs/>
          <w:i/>
          <w:iCs/>
        </w:rPr>
        <w:t>.</w:t>
      </w:r>
      <w:r>
        <w:t xml:space="preserve"> </w:t>
      </w:r>
      <w:bookmarkStart w:id="6" w:name="_Hlk96678647"/>
      <w:r w:rsidR="00350683" w:rsidRPr="00350683">
        <w:rPr>
          <w:rFonts w:cs="Arial"/>
          <w:bCs/>
          <w:i/>
          <w:iCs/>
        </w:rPr>
        <w:t>Costo anual del plan de gestión de pérdidas. El costo anual del plan de gestión de pérdidas, CAP</w:t>
      </w:r>
      <w:r w:rsidR="00350683" w:rsidRPr="00CE5CBD">
        <w:rPr>
          <w:rFonts w:cs="Arial"/>
          <w:bCs/>
          <w:i/>
          <w:iCs/>
          <w:vertAlign w:val="subscript"/>
        </w:rPr>
        <w:t>j</w:t>
      </w:r>
      <w:r w:rsidR="00350683" w:rsidRPr="00350683">
        <w:rPr>
          <w:rFonts w:cs="Arial"/>
          <w:bCs/>
          <w:i/>
          <w:iCs/>
        </w:rPr>
        <w:t>, es el siguiente:</w:t>
      </w:r>
    </w:p>
    <w:p w14:paraId="59CF59AD" w14:textId="77777777" w:rsidR="007038BC" w:rsidRDefault="007038BC" w:rsidP="00350683">
      <w:pPr>
        <w:jc w:val="center"/>
        <w:rPr>
          <w:rFonts w:cs="Arial"/>
          <w:bCs/>
          <w:i/>
          <w:iCs/>
        </w:rPr>
      </w:pPr>
    </w:p>
    <w:p w14:paraId="3A5972A5" w14:textId="77777777" w:rsidR="007038BC" w:rsidRDefault="007038BC" w:rsidP="00350683">
      <w:pPr>
        <w:jc w:val="center"/>
        <w:rPr>
          <w:rFonts w:cs="Arial"/>
          <w:bCs/>
          <w:i/>
          <w:iCs/>
        </w:rPr>
      </w:pPr>
    </w:p>
    <w:p w14:paraId="24FF41DD" w14:textId="02B023C8" w:rsidR="00350683" w:rsidRDefault="00350683" w:rsidP="00350683">
      <w:pPr>
        <w:jc w:val="center"/>
        <w:rPr>
          <w:rFonts w:cs="Arial"/>
          <w:bCs/>
          <w:i/>
          <w:iCs/>
        </w:rPr>
      </w:pPr>
      <w:r w:rsidRPr="00350683">
        <w:rPr>
          <w:rFonts w:cs="Arial"/>
          <w:bCs/>
          <w:i/>
          <w:iCs/>
        </w:rPr>
        <w:lastRenderedPageBreak/>
        <w:t>Tabla 20 Costo anual del plan de gestión de pérdidas</w:t>
      </w:r>
    </w:p>
    <w:tbl>
      <w:tblPr>
        <w:tblW w:w="3580" w:type="dxa"/>
        <w:jc w:val="center"/>
        <w:tblCellMar>
          <w:left w:w="70" w:type="dxa"/>
          <w:right w:w="70" w:type="dxa"/>
        </w:tblCellMar>
        <w:tblLook w:val="04A0" w:firstRow="1" w:lastRow="0" w:firstColumn="1" w:lastColumn="0" w:noHBand="0" w:noVBand="1"/>
      </w:tblPr>
      <w:tblGrid>
        <w:gridCol w:w="1600"/>
        <w:gridCol w:w="1980"/>
      </w:tblGrid>
      <w:tr w:rsidR="00691A72" w:rsidRPr="00691A72" w14:paraId="2CDD6884" w14:textId="77777777" w:rsidTr="00691A72">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58A48" w14:textId="77777777" w:rsidR="00691A72" w:rsidRPr="00691A72" w:rsidRDefault="00691A72" w:rsidP="00691A72">
            <w:pPr>
              <w:spacing w:before="0" w:after="0"/>
              <w:jc w:val="center"/>
              <w:rPr>
                <w:rFonts w:cs="Arial"/>
                <w:b/>
                <w:bCs/>
                <w:sz w:val="18"/>
                <w:szCs w:val="18"/>
                <w:lang w:val="es-CO" w:eastAsia="es-CO"/>
              </w:rPr>
            </w:pPr>
            <w:r w:rsidRPr="00691A7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1956AAA6" w14:textId="77777777" w:rsidR="00691A72" w:rsidRPr="00691A72" w:rsidRDefault="00691A72" w:rsidP="00691A72">
            <w:pPr>
              <w:spacing w:before="0" w:after="0"/>
              <w:jc w:val="center"/>
              <w:rPr>
                <w:rFonts w:cs="Arial"/>
                <w:b/>
                <w:bCs/>
                <w:sz w:val="18"/>
                <w:szCs w:val="18"/>
                <w:lang w:val="es-CO" w:eastAsia="es-CO"/>
              </w:rPr>
            </w:pPr>
            <w:r w:rsidRPr="00691A72">
              <w:rPr>
                <w:rFonts w:cs="Arial"/>
                <w:b/>
                <w:bCs/>
                <w:sz w:val="18"/>
                <w:szCs w:val="18"/>
                <w:lang w:val="es-CO" w:eastAsia="es-CO"/>
              </w:rPr>
              <w:t>Pesos de diciembre de 2017</w:t>
            </w:r>
          </w:p>
        </w:tc>
      </w:tr>
      <w:tr w:rsidR="00691A72" w:rsidRPr="00691A72" w14:paraId="6DE27B32" w14:textId="77777777" w:rsidTr="00691A7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4FF4AFF" w14:textId="77777777" w:rsidR="00691A72" w:rsidRPr="00691A72" w:rsidRDefault="00691A72" w:rsidP="00691A72">
            <w:pPr>
              <w:spacing w:before="0" w:after="0"/>
              <w:jc w:val="center"/>
              <w:rPr>
                <w:rFonts w:cs="Arial"/>
                <w:i/>
                <w:iCs/>
                <w:sz w:val="18"/>
                <w:szCs w:val="18"/>
                <w:lang w:val="es-CO" w:eastAsia="es-CO"/>
              </w:rPr>
            </w:pPr>
            <w:r w:rsidRPr="00691A72">
              <w:rPr>
                <w:rFonts w:cs="Arial"/>
                <w:i/>
                <w:iCs/>
                <w:sz w:val="18"/>
                <w:szCs w:val="18"/>
                <w:lang w:val="es-CO" w:eastAsia="es-CO"/>
              </w:rPr>
              <w:t>CAP</w:t>
            </w:r>
            <w:r w:rsidRPr="00691A72">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10ECF793" w14:textId="77777777" w:rsidR="00691A72" w:rsidRPr="00691A72" w:rsidRDefault="00691A72" w:rsidP="00691A72">
            <w:pPr>
              <w:spacing w:before="0" w:after="0"/>
              <w:jc w:val="right"/>
              <w:rPr>
                <w:rFonts w:cs="Arial"/>
                <w:sz w:val="18"/>
                <w:szCs w:val="18"/>
                <w:lang w:val="es-CO" w:eastAsia="es-CO"/>
              </w:rPr>
            </w:pPr>
            <w:r w:rsidRPr="00691A72">
              <w:rPr>
                <w:rFonts w:cs="Arial"/>
                <w:sz w:val="18"/>
                <w:szCs w:val="18"/>
                <w:lang w:val="es-CO" w:eastAsia="es-CO"/>
              </w:rPr>
              <w:t>133.842.950</w:t>
            </w:r>
          </w:p>
        </w:tc>
      </w:tr>
    </w:tbl>
    <w:p w14:paraId="3776BF72" w14:textId="77777777" w:rsidR="00C77E63" w:rsidRPr="00350683" w:rsidRDefault="00C77E63" w:rsidP="00350683">
      <w:pPr>
        <w:jc w:val="center"/>
        <w:rPr>
          <w:rFonts w:cs="Arial"/>
          <w:bCs/>
          <w:i/>
          <w:iCs/>
        </w:rPr>
      </w:pPr>
    </w:p>
    <w:bookmarkEnd w:id="4"/>
    <w:bookmarkEnd w:id="6"/>
    <w:p w14:paraId="4AD65A71" w14:textId="49DE9386" w:rsidR="00DA345A" w:rsidRPr="000E0BDC" w:rsidRDefault="00DA345A" w:rsidP="00DA345A">
      <w:pPr>
        <w:pStyle w:val="Artculo"/>
        <w:spacing w:before="120" w:after="120"/>
        <w:ind w:left="0"/>
        <w:outlineLvl w:val="2"/>
        <w:rPr>
          <w:b w:val="0"/>
        </w:rPr>
      </w:pPr>
      <w:r w:rsidRPr="00A4007A">
        <w:rPr>
          <w:b w:val="0"/>
        </w:rPr>
        <w:t>La presente resolución deberá notificarse a</w:t>
      </w:r>
      <w:r>
        <w:rPr>
          <w:b w:val="0"/>
        </w:rPr>
        <w:t>l representante legal de</w:t>
      </w:r>
      <w:r w:rsidRPr="00A4007A">
        <w:rPr>
          <w:b w:val="0"/>
        </w:rPr>
        <w:t xml:space="preserve"> </w:t>
      </w:r>
      <w:r>
        <w:rPr>
          <w:b w:val="0"/>
        </w:rPr>
        <w:t>la Empresa de Energía de</w:t>
      </w:r>
      <w:r w:rsidR="00A00205">
        <w:rPr>
          <w:b w:val="0"/>
        </w:rPr>
        <w:t xml:space="preserve">l Bajo Putumayo </w:t>
      </w:r>
      <w:r>
        <w:rPr>
          <w:b w:val="0"/>
        </w:rPr>
        <w:t>S.A. E.S.P.</w:t>
      </w:r>
      <w:r w:rsidR="0071364F">
        <w:rPr>
          <w:b w:val="0"/>
        </w:rPr>
        <w:t xml:space="preserve"> y publicarse en el </w:t>
      </w:r>
      <w:r w:rsidR="0071364F" w:rsidRPr="0073609F">
        <w:rPr>
          <w:b w:val="0"/>
          <w:i/>
          <w:iCs/>
        </w:rPr>
        <w:t>Diario Oficial</w:t>
      </w:r>
      <w:r w:rsidR="0071364F">
        <w:rPr>
          <w:b w:val="0"/>
          <w:i/>
          <w:iCs/>
        </w:rPr>
        <w:t>.</w:t>
      </w:r>
      <w:r w:rsidRPr="0073609F">
        <w:rPr>
          <w:b w:val="0"/>
          <w:i/>
          <w:iCs/>
        </w:rPr>
        <w:t xml:space="preserve"> </w:t>
      </w:r>
      <w:r w:rsidRPr="006C3783">
        <w:rPr>
          <w:b w:val="0"/>
        </w:rPr>
        <w:t xml:space="preserve">Contra lo dispuesto en este acto no procede </w:t>
      </w:r>
      <w:r w:rsidRPr="008B0FC2">
        <w:rPr>
          <w:b w:val="0"/>
          <w:bCs/>
          <w:lang w:val="es-CO"/>
        </w:rPr>
        <w:t>recurso alguno, toda vez que se entienden agotados todos los recursos que por ley son obligatorios.</w:t>
      </w:r>
    </w:p>
    <w:p w14:paraId="0C800B33" w14:textId="77777777" w:rsidR="00DA345A" w:rsidRPr="005B61AB" w:rsidRDefault="00DA345A" w:rsidP="00DA345A">
      <w:pPr>
        <w:spacing w:before="0" w:after="0"/>
        <w:jc w:val="center"/>
        <w:rPr>
          <w:bCs/>
        </w:rPr>
      </w:pPr>
    </w:p>
    <w:p w14:paraId="273A4A0B" w14:textId="77777777" w:rsidR="00DA345A" w:rsidRPr="00BF69C9" w:rsidRDefault="00DA345A" w:rsidP="00DA345A">
      <w:pPr>
        <w:spacing w:before="0" w:after="0"/>
        <w:jc w:val="center"/>
        <w:rPr>
          <w:b/>
        </w:rPr>
      </w:pPr>
      <w:r>
        <w:rPr>
          <w:b/>
        </w:rPr>
        <w:t>NOTIFÍQUESE</w:t>
      </w:r>
      <w:r w:rsidRPr="00BF69C9">
        <w:rPr>
          <w:b/>
        </w:rPr>
        <w:t xml:space="preserve"> Y CÚMPLASE</w:t>
      </w:r>
    </w:p>
    <w:p w14:paraId="0237496A" w14:textId="77777777" w:rsidR="00DA345A" w:rsidRPr="00BF69C9" w:rsidRDefault="00DA345A" w:rsidP="00DA345A">
      <w:pPr>
        <w:spacing w:before="0" w:after="0"/>
        <w:ind w:right="425"/>
        <w:jc w:val="left"/>
      </w:pPr>
    </w:p>
    <w:p w14:paraId="1E080A94" w14:textId="0CF6BBFE" w:rsidR="00DA345A" w:rsidRDefault="00DA345A" w:rsidP="00DA345A">
      <w:pPr>
        <w:rPr>
          <w:b/>
          <w:bCs/>
        </w:rPr>
      </w:pPr>
      <w:r w:rsidRPr="00BF69C9">
        <w:t xml:space="preserve">Dado en Bogotá D.C., </w:t>
      </w:r>
      <w:r w:rsidR="007038BC" w:rsidRPr="007038BC">
        <w:rPr>
          <w:b/>
          <w:bCs/>
        </w:rPr>
        <w:t>20 ABR. 2022</w:t>
      </w:r>
    </w:p>
    <w:p w14:paraId="7096A8DB" w14:textId="5ED8D27E" w:rsidR="007038BC" w:rsidRDefault="007038BC" w:rsidP="00DA345A">
      <w:pPr>
        <w:rPr>
          <w:b/>
          <w:bCs/>
        </w:rPr>
      </w:pPr>
    </w:p>
    <w:p w14:paraId="3F100C35" w14:textId="77777777" w:rsidR="007038BC" w:rsidRPr="007038BC" w:rsidRDefault="007038BC" w:rsidP="00DA345A">
      <w:pPr>
        <w:rPr>
          <w:b/>
          <w:bCs/>
        </w:rPr>
      </w:pPr>
    </w:p>
    <w:p w14:paraId="358A838B" w14:textId="77777777" w:rsidR="00DA345A" w:rsidRPr="00BF69C9" w:rsidRDefault="00DA345A" w:rsidP="00DA345A"/>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7038BC" w:rsidRPr="00666660" w14:paraId="5468A5DA" w14:textId="77777777" w:rsidTr="007A29F0">
        <w:trPr>
          <w:jc w:val="center"/>
        </w:trPr>
        <w:tc>
          <w:tcPr>
            <w:tcW w:w="5103" w:type="dxa"/>
          </w:tcPr>
          <w:p w14:paraId="611BF0EE" w14:textId="77777777" w:rsidR="007038BC" w:rsidRDefault="007038BC" w:rsidP="007A29F0">
            <w:pPr>
              <w:tabs>
                <w:tab w:val="left" w:pos="-720"/>
              </w:tabs>
              <w:suppressAutoHyphens/>
              <w:spacing w:before="0" w:after="0"/>
              <w:jc w:val="center"/>
              <w:rPr>
                <w:rFonts w:cs="Arial"/>
                <w:b/>
                <w:spacing w:val="-3"/>
              </w:rPr>
            </w:pPr>
            <w:r>
              <w:rPr>
                <w:rFonts w:cs="Arial"/>
                <w:b/>
                <w:spacing w:val="-3"/>
              </w:rPr>
              <w:t>MIGUEL LOTERO ROBLEDO</w:t>
            </w:r>
          </w:p>
          <w:p w14:paraId="07F6C22A" w14:textId="77777777" w:rsidR="007038BC" w:rsidRPr="00E0124E" w:rsidRDefault="007038BC" w:rsidP="007A29F0">
            <w:pPr>
              <w:tabs>
                <w:tab w:val="left" w:pos="-720"/>
              </w:tabs>
              <w:suppressAutoHyphens/>
              <w:spacing w:before="0" w:after="0"/>
              <w:jc w:val="center"/>
              <w:rPr>
                <w:rFonts w:cs="Arial"/>
                <w:bCs/>
                <w:spacing w:val="-3"/>
              </w:rPr>
            </w:pPr>
            <w:r>
              <w:rPr>
                <w:rFonts w:cs="Arial"/>
                <w:bCs/>
                <w:spacing w:val="-3"/>
              </w:rPr>
              <w:t>Viceministro de Energía</w:t>
            </w:r>
          </w:p>
          <w:p w14:paraId="208387B9" w14:textId="77777777" w:rsidR="007038BC" w:rsidRDefault="007038BC" w:rsidP="007A29F0">
            <w:pPr>
              <w:tabs>
                <w:tab w:val="left" w:pos="-720"/>
              </w:tabs>
              <w:suppressAutoHyphens/>
              <w:spacing w:before="0" w:after="0"/>
            </w:pPr>
            <w:r>
              <w:t xml:space="preserve">Delegado del Ministro de </w:t>
            </w:r>
            <w:r w:rsidRPr="00EF4ACC">
              <w:t>Minas y</w:t>
            </w:r>
            <w:r>
              <w:t xml:space="preserve"> </w:t>
            </w:r>
            <w:r w:rsidRPr="00EF4ACC">
              <w:t>Energía</w:t>
            </w:r>
            <w:r>
              <w:t xml:space="preserve"> </w:t>
            </w:r>
          </w:p>
          <w:p w14:paraId="70FA7C1A" w14:textId="77777777" w:rsidR="007038BC" w:rsidRPr="00BD0865" w:rsidRDefault="007038BC" w:rsidP="007A29F0">
            <w:pPr>
              <w:tabs>
                <w:tab w:val="left" w:pos="-720"/>
              </w:tabs>
              <w:suppressAutoHyphens/>
              <w:spacing w:before="0" w:after="0"/>
              <w:jc w:val="center"/>
              <w:rPr>
                <w:rFonts w:cs="Arial"/>
                <w:b/>
                <w:strike/>
                <w:spacing w:val="-3"/>
              </w:rPr>
            </w:pPr>
            <w:r w:rsidRPr="00EF4ACC">
              <w:t>Presidente</w:t>
            </w:r>
          </w:p>
        </w:tc>
        <w:tc>
          <w:tcPr>
            <w:tcW w:w="4820" w:type="dxa"/>
          </w:tcPr>
          <w:p w14:paraId="5477DE9D" w14:textId="660EAEDA" w:rsidR="007038BC" w:rsidRDefault="00783EB1" w:rsidP="007A29F0">
            <w:pPr>
              <w:tabs>
                <w:tab w:val="left" w:pos="-720"/>
              </w:tabs>
              <w:suppressAutoHyphens/>
              <w:spacing w:before="0" w:after="0"/>
              <w:jc w:val="center"/>
              <w:rPr>
                <w:rFonts w:cs="Arial"/>
                <w:b/>
              </w:rPr>
            </w:pPr>
            <w:r>
              <w:rPr>
                <w:rFonts w:cs="Arial"/>
                <w:b/>
              </w:rPr>
              <w:t>MARÍA CLAUDIA ALZATE MONROY</w:t>
            </w:r>
          </w:p>
          <w:p w14:paraId="15A41FE7" w14:textId="40847DA4" w:rsidR="007038BC" w:rsidRPr="00666660" w:rsidRDefault="007038BC" w:rsidP="007A29F0">
            <w:pPr>
              <w:tabs>
                <w:tab w:val="left" w:pos="-720"/>
              </w:tabs>
              <w:suppressAutoHyphens/>
              <w:spacing w:before="0" w:after="0"/>
              <w:jc w:val="center"/>
              <w:rPr>
                <w:rFonts w:cs="Arial"/>
                <w:b/>
                <w:spacing w:val="-3"/>
              </w:rPr>
            </w:pPr>
            <w:r w:rsidRPr="00666660">
              <w:rPr>
                <w:rFonts w:cs="Arial"/>
                <w:spacing w:val="-3"/>
              </w:rPr>
              <w:t>Director</w:t>
            </w:r>
            <w:r w:rsidR="00783EB1">
              <w:rPr>
                <w:rFonts w:cs="Arial"/>
                <w:spacing w:val="-3"/>
              </w:rPr>
              <w:t>a</w:t>
            </w:r>
            <w:r w:rsidRPr="00666660">
              <w:rPr>
                <w:rFonts w:cs="Arial"/>
                <w:spacing w:val="-3"/>
              </w:rPr>
              <w:t xml:space="preserve"> Ejecutiv</w:t>
            </w:r>
            <w:r w:rsidR="00783EB1">
              <w:rPr>
                <w:rFonts w:cs="Arial"/>
                <w:spacing w:val="-3"/>
              </w:rPr>
              <w:t>a (E)</w:t>
            </w:r>
          </w:p>
        </w:tc>
      </w:tr>
    </w:tbl>
    <w:p w14:paraId="4DAF7A3B" w14:textId="77777777" w:rsidR="007038BC" w:rsidRPr="00BF69C9" w:rsidRDefault="007038BC" w:rsidP="007038BC"/>
    <w:p w14:paraId="1DE549AF" w14:textId="77777777" w:rsidR="00DA345A" w:rsidRDefault="00DA345A" w:rsidP="00DA345A"/>
    <w:p w14:paraId="49DE25AF" w14:textId="77777777" w:rsidR="00DA345A" w:rsidRPr="00B6354E" w:rsidRDefault="00DA345A" w:rsidP="00DA345A"/>
    <w:p w14:paraId="6A5892F2" w14:textId="77777777" w:rsidR="00DA345A" w:rsidRPr="00D57D9C" w:rsidRDefault="00DA345A" w:rsidP="00DA345A"/>
    <w:p w14:paraId="630A4F17" w14:textId="77777777" w:rsidR="00DA345A" w:rsidRPr="006338A8" w:rsidRDefault="00DA345A" w:rsidP="00DA345A"/>
    <w:p w14:paraId="03527C23" w14:textId="77777777" w:rsidR="00950BFC" w:rsidRPr="00DA345A" w:rsidRDefault="00950BFC" w:rsidP="00DA345A"/>
    <w:sectPr w:rsidR="00950BFC" w:rsidRPr="00DA345A" w:rsidSect="007038BC">
      <w:headerReference w:type="default" r:id="rId15"/>
      <w:headerReference w:type="first" r:id="rId16"/>
      <w:type w:val="continuous"/>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938D" w14:textId="77777777" w:rsidR="002B50EF" w:rsidRDefault="002B50EF">
      <w:r>
        <w:separator/>
      </w:r>
    </w:p>
    <w:p w14:paraId="050F5CF8" w14:textId="77777777" w:rsidR="002B50EF" w:rsidRDefault="002B50EF"/>
    <w:p w14:paraId="396E5A47" w14:textId="77777777" w:rsidR="002B50EF" w:rsidRDefault="002B50EF" w:rsidP="00C851C0"/>
    <w:p w14:paraId="598A3ADF" w14:textId="77777777" w:rsidR="002B50EF" w:rsidRDefault="002B50EF"/>
  </w:endnote>
  <w:endnote w:type="continuationSeparator" w:id="0">
    <w:p w14:paraId="799E98AA" w14:textId="77777777" w:rsidR="002B50EF" w:rsidRDefault="002B50EF">
      <w:r>
        <w:continuationSeparator/>
      </w:r>
    </w:p>
    <w:p w14:paraId="5453B82E" w14:textId="77777777" w:rsidR="002B50EF" w:rsidRDefault="002B50EF"/>
    <w:p w14:paraId="2ACD9175" w14:textId="77777777" w:rsidR="002B50EF" w:rsidRDefault="002B50EF" w:rsidP="00C851C0"/>
    <w:p w14:paraId="2B51F9B1" w14:textId="77777777" w:rsidR="002B50EF" w:rsidRDefault="002B50EF"/>
  </w:endnote>
  <w:endnote w:type="continuationNotice" w:id="1">
    <w:p w14:paraId="1BC10692" w14:textId="77777777" w:rsidR="002B50EF" w:rsidRDefault="002B50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E90F" w14:textId="77777777" w:rsidR="002B50EF" w:rsidRDefault="002B50EF">
      <w:r>
        <w:separator/>
      </w:r>
    </w:p>
    <w:p w14:paraId="247992AF" w14:textId="77777777" w:rsidR="002B50EF" w:rsidRDefault="002B50EF"/>
    <w:p w14:paraId="66FCF9D2" w14:textId="77777777" w:rsidR="002B50EF" w:rsidRDefault="002B50EF" w:rsidP="00C851C0"/>
    <w:p w14:paraId="1208DA9D" w14:textId="77777777" w:rsidR="002B50EF" w:rsidRDefault="002B50EF"/>
  </w:footnote>
  <w:footnote w:type="continuationSeparator" w:id="0">
    <w:p w14:paraId="2FDECE5C" w14:textId="77777777" w:rsidR="002B50EF" w:rsidRDefault="002B50EF">
      <w:r>
        <w:continuationSeparator/>
      </w:r>
    </w:p>
    <w:p w14:paraId="119F5C0B" w14:textId="77777777" w:rsidR="002B50EF" w:rsidRDefault="002B50EF"/>
    <w:p w14:paraId="299AC373" w14:textId="77777777" w:rsidR="002B50EF" w:rsidRDefault="002B50EF" w:rsidP="00C851C0"/>
    <w:p w14:paraId="3148E81F" w14:textId="77777777" w:rsidR="002B50EF" w:rsidRDefault="002B50EF"/>
  </w:footnote>
  <w:footnote w:type="continuationNotice" w:id="1">
    <w:p w14:paraId="2628297E" w14:textId="77777777" w:rsidR="002B50EF" w:rsidRDefault="002B50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8426" w14:textId="79722998" w:rsidR="00A838EB" w:rsidRPr="002560C5" w:rsidRDefault="00A838EB"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AC56E4" w:rsidRPr="0073609F">
      <w:rPr>
        <w:rFonts w:cs="Arial"/>
        <w:bCs/>
        <w:szCs w:val="24"/>
        <w:u w:val="single"/>
      </w:rPr>
      <w:t>501</w:t>
    </w:r>
    <w:r w:rsidR="0073609F" w:rsidRPr="0073609F">
      <w:rPr>
        <w:rFonts w:cs="Arial"/>
        <w:bCs/>
        <w:szCs w:val="24"/>
        <w:u w:val="single"/>
      </w:rPr>
      <w:t xml:space="preserve"> 038</w:t>
    </w:r>
    <w:r w:rsidR="0073609F">
      <w:rPr>
        <w:rFonts w:cs="Arial"/>
        <w:b w:val="0"/>
        <w:sz w:val="22"/>
        <w:szCs w:val="22"/>
      </w:rPr>
      <w:t xml:space="preserve">    </w:t>
    </w:r>
    <w:r w:rsidRPr="002560C5">
      <w:rPr>
        <w:rFonts w:cs="Arial"/>
        <w:b w:val="0"/>
        <w:sz w:val="22"/>
        <w:szCs w:val="22"/>
      </w:rPr>
      <w:t xml:space="preserve">DE </w:t>
    </w:r>
    <w:r w:rsidR="0073609F" w:rsidRPr="0073609F">
      <w:rPr>
        <w:rFonts w:cs="Arial"/>
        <w:bCs/>
        <w:szCs w:val="24"/>
        <w:u w:val="single"/>
      </w:rPr>
      <w:t>20 ABR. 2022</w:t>
    </w:r>
    <w:r w:rsidR="0073609F">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10</w:t>
    </w:r>
    <w:r w:rsidRPr="002560C5">
      <w:rPr>
        <w:rFonts w:cs="Arial"/>
        <w:b w:val="0"/>
        <w:sz w:val="22"/>
        <w:szCs w:val="22"/>
      </w:rPr>
      <w:fldChar w:fldCharType="end"/>
    </w:r>
    <w:r w:rsidRPr="002560C5">
      <w:rPr>
        <w:rFonts w:cs="Arial"/>
        <w:b w:val="0"/>
        <w:sz w:val="22"/>
        <w:szCs w:val="22"/>
      </w:rPr>
      <w:t>/</w:t>
    </w:r>
    <w:r w:rsidR="000C7FA3">
      <w:fldChar w:fldCharType="begin"/>
    </w:r>
    <w:r w:rsidR="000C7FA3">
      <w:instrText xml:space="preserve"> NUMPAGES  \* MERGEFORMAT </w:instrText>
    </w:r>
    <w:r w:rsidR="000C7FA3">
      <w:fldChar w:fldCharType="separate"/>
    </w:r>
    <w:r w:rsidRPr="00725C6A">
      <w:rPr>
        <w:rFonts w:cs="Arial"/>
        <w:b w:val="0"/>
        <w:noProof/>
        <w:sz w:val="22"/>
        <w:szCs w:val="22"/>
      </w:rPr>
      <w:t>10</w:t>
    </w:r>
    <w:r w:rsidR="000C7FA3">
      <w:rPr>
        <w:rFonts w:cs="Arial"/>
        <w:b w:val="0"/>
        <w:noProof/>
        <w:sz w:val="22"/>
        <w:szCs w:val="22"/>
      </w:rPr>
      <w:fldChar w:fldCharType="end"/>
    </w:r>
  </w:p>
  <w:p w14:paraId="4E395EF9" w14:textId="77777777" w:rsidR="00A838EB" w:rsidRDefault="00A838EB"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10CE358" wp14:editId="667A6109">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8381"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09FD6701" w14:textId="32C29FA6" w:rsidR="00A838EB" w:rsidRPr="00F30572" w:rsidRDefault="00F55CFD" w:rsidP="00C202E9">
    <w:pPr>
      <w:pBdr>
        <w:bottom w:val="single" w:sz="4" w:space="1" w:color="auto"/>
      </w:pBdr>
      <w:rPr>
        <w:sz w:val="22"/>
        <w:szCs w:val="22"/>
      </w:rPr>
    </w:pPr>
    <w:r w:rsidRPr="00F55CFD">
      <w:rPr>
        <w:sz w:val="22"/>
        <w:szCs w:val="22"/>
      </w:rPr>
      <w:t>Por la cual se resuelve el recurso de reposición interpuesto por la Empresa de Energía del Bajo Putumayo S.A. E.S.P., contra la Resolución CREG 218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096B" w14:textId="77777777" w:rsidR="00A838EB" w:rsidRDefault="00A838EB" w:rsidP="000B7990">
    <w:pPr>
      <w:pStyle w:val="Encabezado"/>
      <w:jc w:val="center"/>
      <w:rPr>
        <w:rFonts w:ascii="Arial" w:hAnsi="Arial" w:cs="Arial"/>
        <w:spacing w:val="20"/>
        <w:sz w:val="20"/>
      </w:rPr>
    </w:pPr>
    <w:r>
      <w:rPr>
        <w:rFonts w:ascii="Arial" w:hAnsi="Arial" w:cs="Arial"/>
        <w:spacing w:val="20"/>
        <w:sz w:val="20"/>
      </w:rPr>
      <w:t>República de Colombia</w:t>
    </w:r>
  </w:p>
  <w:p w14:paraId="14D21A87" w14:textId="77777777" w:rsidR="00A838EB" w:rsidRDefault="00A838EB">
    <w:pPr>
      <w:pStyle w:val="Encabezado"/>
      <w:jc w:val="center"/>
      <w:rPr>
        <w:rFonts w:ascii="Arial" w:hAnsi="Arial" w:cs="Arial"/>
        <w:spacing w:val="20"/>
        <w:sz w:val="20"/>
      </w:rPr>
    </w:pPr>
  </w:p>
  <w:p w14:paraId="5B50598D" w14:textId="77777777" w:rsidR="00A838EB" w:rsidRDefault="00A838E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FE98DB4" wp14:editId="3DEE2C39">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964FB"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1A1F79"/>
    <w:multiLevelType w:val="hybridMultilevel"/>
    <w:tmpl w:val="4FEEC04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B02367"/>
    <w:multiLevelType w:val="hybridMultilevel"/>
    <w:tmpl w:val="1ACEC9BC"/>
    <w:lvl w:ilvl="0" w:tplc="3FE0D530">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1C3277"/>
    <w:multiLevelType w:val="hybridMultilevel"/>
    <w:tmpl w:val="923CA92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059B3A25"/>
    <w:multiLevelType w:val="multilevel"/>
    <w:tmpl w:val="438A98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6297A28"/>
    <w:multiLevelType w:val="hybridMultilevel"/>
    <w:tmpl w:val="386CD74E"/>
    <w:lvl w:ilvl="0" w:tplc="0A32A1DC">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FF3AD1"/>
    <w:multiLevelType w:val="hybridMultilevel"/>
    <w:tmpl w:val="22B60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6917552"/>
    <w:multiLevelType w:val="hybridMultilevel"/>
    <w:tmpl w:val="55D2EA06"/>
    <w:lvl w:ilvl="0" w:tplc="F1366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2320B"/>
    <w:multiLevelType w:val="hybridMultilevel"/>
    <w:tmpl w:val="2CF4FF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2158F5"/>
    <w:multiLevelType w:val="hybridMultilevel"/>
    <w:tmpl w:val="F8DE04F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4" w15:restartNumberingAfterBreak="0">
    <w:nsid w:val="1F3C0A20"/>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3B4B1C"/>
    <w:multiLevelType w:val="hybridMultilevel"/>
    <w:tmpl w:val="2BA4AB5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6" w15:restartNumberingAfterBreak="0">
    <w:nsid w:val="234C4195"/>
    <w:multiLevelType w:val="hybridMultilevel"/>
    <w:tmpl w:val="51F2005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25BD0999"/>
    <w:multiLevelType w:val="hybridMultilevel"/>
    <w:tmpl w:val="94841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613D6D"/>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C7A7C88"/>
    <w:multiLevelType w:val="hybridMultilevel"/>
    <w:tmpl w:val="3C96A534"/>
    <w:name w:val="Artículo"/>
    <w:lvl w:ilvl="0" w:tplc="4202AF42">
      <w:start w:val="1"/>
      <w:numFmt w:val="decimal"/>
      <w:pStyle w:val="Ttulo1"/>
      <w:suff w:val="space"/>
      <w:lvlText w:val="Capítulo %1"/>
      <w:lvlJc w:val="left"/>
      <w:pPr>
        <w:ind w:left="851" w:firstLine="0"/>
      </w:pPr>
    </w:lvl>
    <w:lvl w:ilvl="1" w:tplc="E464586C">
      <w:start w:val="1"/>
      <w:numFmt w:val="none"/>
      <w:pStyle w:val="Ttulo2"/>
      <w:suff w:val="nothing"/>
      <w:lvlText w:val=""/>
      <w:lvlJc w:val="left"/>
      <w:pPr>
        <w:ind w:left="0" w:firstLine="0"/>
      </w:pPr>
    </w:lvl>
    <w:lvl w:ilvl="2" w:tplc="77EAF0E8">
      <w:start w:val="1"/>
      <w:numFmt w:val="none"/>
      <w:pStyle w:val="Ttulo3"/>
      <w:suff w:val="nothing"/>
      <w:lvlText w:val=""/>
      <w:lvlJc w:val="left"/>
      <w:pPr>
        <w:ind w:left="0" w:firstLine="0"/>
      </w:pPr>
    </w:lvl>
    <w:lvl w:ilvl="3" w:tplc="A016DD80">
      <w:start w:val="1"/>
      <w:numFmt w:val="none"/>
      <w:pStyle w:val="Ttulo4"/>
      <w:suff w:val="nothing"/>
      <w:lvlText w:val=""/>
      <w:lvlJc w:val="left"/>
      <w:pPr>
        <w:ind w:left="0" w:firstLine="0"/>
      </w:pPr>
    </w:lvl>
    <w:lvl w:ilvl="4" w:tplc="1B68A840">
      <w:start w:val="1"/>
      <w:numFmt w:val="none"/>
      <w:pStyle w:val="Ttulo5"/>
      <w:suff w:val="nothing"/>
      <w:lvlText w:val=""/>
      <w:lvlJc w:val="left"/>
      <w:pPr>
        <w:ind w:left="0" w:firstLine="0"/>
      </w:pPr>
    </w:lvl>
    <w:lvl w:ilvl="5" w:tplc="4E10291A">
      <w:start w:val="1"/>
      <w:numFmt w:val="none"/>
      <w:pStyle w:val="Ttulo6"/>
      <w:suff w:val="nothing"/>
      <w:lvlText w:val=""/>
      <w:lvlJc w:val="left"/>
      <w:pPr>
        <w:ind w:left="0" w:firstLine="0"/>
      </w:pPr>
    </w:lvl>
    <w:lvl w:ilvl="6" w:tplc="31DAED68">
      <w:start w:val="1"/>
      <w:numFmt w:val="none"/>
      <w:pStyle w:val="Ttulo7"/>
      <w:suff w:val="nothing"/>
      <w:lvlText w:val=""/>
      <w:lvlJc w:val="left"/>
      <w:pPr>
        <w:ind w:left="0" w:firstLine="0"/>
      </w:pPr>
    </w:lvl>
    <w:lvl w:ilvl="7" w:tplc="6FDCEC22">
      <w:start w:val="1"/>
      <w:numFmt w:val="none"/>
      <w:pStyle w:val="Ttulo8"/>
      <w:suff w:val="nothing"/>
      <w:lvlText w:val=""/>
      <w:lvlJc w:val="left"/>
      <w:pPr>
        <w:ind w:left="0" w:firstLine="0"/>
      </w:pPr>
    </w:lvl>
    <w:lvl w:ilvl="8" w:tplc="850E101E">
      <w:start w:val="1"/>
      <w:numFmt w:val="none"/>
      <w:pStyle w:val="Ttulo9"/>
      <w:suff w:val="nothing"/>
      <w:lvlText w:val=""/>
      <w:lvlJc w:val="left"/>
      <w:pPr>
        <w:ind w:left="0" w:firstLine="0"/>
      </w:pPr>
    </w:lvl>
  </w:abstractNum>
  <w:abstractNum w:abstractNumId="2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2842104"/>
    <w:multiLevelType w:val="hybridMultilevel"/>
    <w:tmpl w:val="FBB868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59F49CD"/>
    <w:multiLevelType w:val="hybridMultilevel"/>
    <w:tmpl w:val="545A829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37904200"/>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3B377C21"/>
    <w:multiLevelType w:val="hybridMultilevel"/>
    <w:tmpl w:val="B4C6B712"/>
    <w:lvl w:ilvl="0" w:tplc="12FCD078">
      <w:start w:val="1"/>
      <w:numFmt w:val="bullet"/>
      <w:lvlText w:val="-"/>
      <w:lvlJc w:val="left"/>
      <w:pPr>
        <w:ind w:left="720" w:hanging="360"/>
      </w:pPr>
      <w:rPr>
        <w:rFonts w:ascii="Arial" w:hAnsi="Arial" w:cstheme="minorBidi"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6" w15:restartNumberingAfterBreak="0">
    <w:nsid w:val="412E558D"/>
    <w:multiLevelType w:val="hybridMultilevel"/>
    <w:tmpl w:val="760C23EE"/>
    <w:lvl w:ilvl="0" w:tplc="A51C9C8E">
      <w:start w:val="3"/>
      <w:numFmt w:val="decimal"/>
      <w:lvlText w:val="%1."/>
      <w:lvlJc w:val="left"/>
      <w:pPr>
        <w:tabs>
          <w:tab w:val="num" w:pos="720"/>
        </w:tabs>
        <w:ind w:left="720" w:hanging="360"/>
      </w:pPr>
    </w:lvl>
    <w:lvl w:ilvl="1" w:tplc="9FF2AAC8">
      <w:start w:val="1"/>
      <w:numFmt w:val="decimal"/>
      <w:lvlText w:val="%2."/>
      <w:lvlJc w:val="left"/>
      <w:pPr>
        <w:tabs>
          <w:tab w:val="num" w:pos="1440"/>
        </w:tabs>
        <w:ind w:left="1440" w:hanging="360"/>
      </w:pPr>
    </w:lvl>
    <w:lvl w:ilvl="2" w:tplc="4740DFEA" w:tentative="1">
      <w:start w:val="1"/>
      <w:numFmt w:val="decimal"/>
      <w:lvlText w:val="%3."/>
      <w:lvlJc w:val="left"/>
      <w:pPr>
        <w:tabs>
          <w:tab w:val="num" w:pos="2160"/>
        </w:tabs>
        <w:ind w:left="2160" w:hanging="360"/>
      </w:pPr>
    </w:lvl>
    <w:lvl w:ilvl="3" w:tplc="C772DD90" w:tentative="1">
      <w:start w:val="1"/>
      <w:numFmt w:val="decimal"/>
      <w:lvlText w:val="%4."/>
      <w:lvlJc w:val="left"/>
      <w:pPr>
        <w:tabs>
          <w:tab w:val="num" w:pos="2880"/>
        </w:tabs>
        <w:ind w:left="2880" w:hanging="360"/>
      </w:pPr>
    </w:lvl>
    <w:lvl w:ilvl="4" w:tplc="9968CC10" w:tentative="1">
      <w:start w:val="1"/>
      <w:numFmt w:val="decimal"/>
      <w:lvlText w:val="%5."/>
      <w:lvlJc w:val="left"/>
      <w:pPr>
        <w:tabs>
          <w:tab w:val="num" w:pos="3600"/>
        </w:tabs>
        <w:ind w:left="3600" w:hanging="360"/>
      </w:pPr>
    </w:lvl>
    <w:lvl w:ilvl="5" w:tplc="1A3CF068" w:tentative="1">
      <w:start w:val="1"/>
      <w:numFmt w:val="decimal"/>
      <w:lvlText w:val="%6."/>
      <w:lvlJc w:val="left"/>
      <w:pPr>
        <w:tabs>
          <w:tab w:val="num" w:pos="4320"/>
        </w:tabs>
        <w:ind w:left="4320" w:hanging="360"/>
      </w:pPr>
    </w:lvl>
    <w:lvl w:ilvl="6" w:tplc="681A126C" w:tentative="1">
      <w:start w:val="1"/>
      <w:numFmt w:val="decimal"/>
      <w:lvlText w:val="%7."/>
      <w:lvlJc w:val="left"/>
      <w:pPr>
        <w:tabs>
          <w:tab w:val="num" w:pos="5040"/>
        </w:tabs>
        <w:ind w:left="5040" w:hanging="360"/>
      </w:pPr>
    </w:lvl>
    <w:lvl w:ilvl="7" w:tplc="37ECDC2A" w:tentative="1">
      <w:start w:val="1"/>
      <w:numFmt w:val="decimal"/>
      <w:lvlText w:val="%8."/>
      <w:lvlJc w:val="left"/>
      <w:pPr>
        <w:tabs>
          <w:tab w:val="num" w:pos="5760"/>
        </w:tabs>
        <w:ind w:left="5760" w:hanging="360"/>
      </w:pPr>
    </w:lvl>
    <w:lvl w:ilvl="8" w:tplc="CF3A7ACC" w:tentative="1">
      <w:start w:val="1"/>
      <w:numFmt w:val="decimal"/>
      <w:lvlText w:val="%9."/>
      <w:lvlJc w:val="left"/>
      <w:pPr>
        <w:tabs>
          <w:tab w:val="num" w:pos="6480"/>
        </w:tabs>
        <w:ind w:left="6480" w:hanging="360"/>
      </w:pPr>
    </w:lvl>
  </w:abstractNum>
  <w:abstractNum w:abstractNumId="27" w15:restartNumberingAfterBreak="0">
    <w:nsid w:val="45EB0C0C"/>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481A60AA"/>
    <w:multiLevelType w:val="hybridMultilevel"/>
    <w:tmpl w:val="6E68F4D2"/>
    <w:lvl w:ilvl="0" w:tplc="9D2655E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49AF101B"/>
    <w:multiLevelType w:val="hybridMultilevel"/>
    <w:tmpl w:val="6A8253AE"/>
    <w:lvl w:ilvl="0" w:tplc="6636A7A8">
      <w:start w:val="1"/>
      <w:numFmt w:val="decimal"/>
      <w:lvlText w:val="%1."/>
      <w:lvlJc w:val="left"/>
      <w:pPr>
        <w:ind w:left="928" w:hanging="360"/>
      </w:pPr>
      <w:rPr>
        <w:rFonts w:hint="default"/>
      </w:r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30" w15:restartNumberingAfterBreak="0">
    <w:nsid w:val="4F471EEB"/>
    <w:multiLevelType w:val="hybridMultilevel"/>
    <w:tmpl w:val="7F48610C"/>
    <w:name w:val="Nueva lista 3"/>
    <w:lvl w:ilvl="0" w:tplc="1CC6634E">
      <w:start w:val="1"/>
      <w:numFmt w:val="decimal"/>
      <w:pStyle w:val="Artculo"/>
      <w:suff w:val="space"/>
      <w:lvlText w:val="Artículo %1."/>
      <w:lvlJc w:val="left"/>
      <w:pPr>
        <w:ind w:left="0" w:firstLine="0"/>
      </w:pPr>
      <w:rPr>
        <w:rFonts w:hint="default"/>
        <w:b/>
      </w:rPr>
    </w:lvl>
    <w:lvl w:ilvl="1" w:tplc="2460B8BA">
      <w:start w:val="1"/>
      <w:numFmt w:val="none"/>
      <w:suff w:val="nothing"/>
      <w:lvlText w:val=""/>
      <w:lvlJc w:val="left"/>
      <w:pPr>
        <w:ind w:left="0" w:firstLine="0"/>
      </w:pPr>
      <w:rPr>
        <w:rFonts w:hint="default"/>
      </w:rPr>
    </w:lvl>
    <w:lvl w:ilvl="2" w:tplc="2BE421C8">
      <w:start w:val="1"/>
      <w:numFmt w:val="none"/>
      <w:suff w:val="nothing"/>
      <w:lvlText w:val=""/>
      <w:lvlJc w:val="left"/>
      <w:pPr>
        <w:ind w:left="0" w:firstLine="0"/>
      </w:pPr>
      <w:rPr>
        <w:rFonts w:hint="default"/>
      </w:rPr>
    </w:lvl>
    <w:lvl w:ilvl="3" w:tplc="40D4504C">
      <w:start w:val="1"/>
      <w:numFmt w:val="none"/>
      <w:suff w:val="nothing"/>
      <w:lvlText w:val=""/>
      <w:lvlJc w:val="left"/>
      <w:pPr>
        <w:ind w:left="0" w:firstLine="0"/>
      </w:pPr>
      <w:rPr>
        <w:rFonts w:hint="default"/>
      </w:rPr>
    </w:lvl>
    <w:lvl w:ilvl="4" w:tplc="002CD740">
      <w:start w:val="1"/>
      <w:numFmt w:val="none"/>
      <w:suff w:val="nothing"/>
      <w:lvlText w:val=""/>
      <w:lvlJc w:val="left"/>
      <w:pPr>
        <w:ind w:left="0" w:firstLine="0"/>
      </w:pPr>
      <w:rPr>
        <w:rFonts w:hint="default"/>
      </w:rPr>
    </w:lvl>
    <w:lvl w:ilvl="5" w:tplc="60865FDE">
      <w:start w:val="1"/>
      <w:numFmt w:val="none"/>
      <w:suff w:val="nothing"/>
      <w:lvlText w:val=""/>
      <w:lvlJc w:val="left"/>
      <w:pPr>
        <w:ind w:left="0" w:firstLine="0"/>
      </w:pPr>
      <w:rPr>
        <w:rFonts w:hint="default"/>
      </w:rPr>
    </w:lvl>
    <w:lvl w:ilvl="6" w:tplc="34643C70">
      <w:start w:val="1"/>
      <w:numFmt w:val="none"/>
      <w:suff w:val="nothing"/>
      <w:lvlText w:val=""/>
      <w:lvlJc w:val="left"/>
      <w:pPr>
        <w:ind w:left="0" w:firstLine="0"/>
      </w:pPr>
      <w:rPr>
        <w:rFonts w:hint="default"/>
      </w:rPr>
    </w:lvl>
    <w:lvl w:ilvl="7" w:tplc="19288D58">
      <w:start w:val="1"/>
      <w:numFmt w:val="none"/>
      <w:suff w:val="nothing"/>
      <w:lvlText w:val=""/>
      <w:lvlJc w:val="left"/>
      <w:pPr>
        <w:ind w:left="0" w:firstLine="0"/>
      </w:pPr>
      <w:rPr>
        <w:rFonts w:hint="default"/>
      </w:rPr>
    </w:lvl>
    <w:lvl w:ilvl="8" w:tplc="FF6221BC">
      <w:start w:val="1"/>
      <w:numFmt w:val="none"/>
      <w:suff w:val="nothing"/>
      <w:lvlText w:val=""/>
      <w:lvlJc w:val="left"/>
      <w:pPr>
        <w:ind w:left="0" w:firstLine="0"/>
      </w:pPr>
      <w:rPr>
        <w:rFonts w:hint="default"/>
      </w:rPr>
    </w:lvl>
  </w:abstractNum>
  <w:abstractNum w:abstractNumId="31" w15:restartNumberingAfterBreak="0">
    <w:nsid w:val="53BD2E30"/>
    <w:multiLevelType w:val="hybridMultilevel"/>
    <w:tmpl w:val="901050D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BC01D0A"/>
    <w:multiLevelType w:val="hybridMultilevel"/>
    <w:tmpl w:val="68D8A7FA"/>
    <w:lvl w:ilvl="0" w:tplc="5DBEC3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317C1"/>
    <w:multiLevelType w:val="hybridMultilevel"/>
    <w:tmpl w:val="0C98A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3A550D"/>
    <w:multiLevelType w:val="hybridMultilevel"/>
    <w:tmpl w:val="894C9FD2"/>
    <w:name w:val="Nueva lista 2"/>
    <w:lvl w:ilvl="0" w:tplc="9B7C4E1C">
      <w:start w:val="1"/>
      <w:numFmt w:val="upperRoman"/>
      <w:pStyle w:val="Subttulo"/>
      <w:suff w:val="space"/>
      <w:lvlText w:val="Título %1"/>
      <w:lvlJc w:val="left"/>
      <w:pPr>
        <w:ind w:left="0" w:firstLine="0"/>
      </w:pPr>
      <w:rPr>
        <w:rFonts w:hint="default"/>
      </w:rPr>
    </w:lvl>
    <w:lvl w:ilvl="1" w:tplc="FF449DEE">
      <w:start w:val="1"/>
      <w:numFmt w:val="none"/>
      <w:suff w:val="nothing"/>
      <w:lvlText w:val=""/>
      <w:lvlJc w:val="left"/>
      <w:pPr>
        <w:ind w:left="0" w:firstLine="0"/>
      </w:pPr>
      <w:rPr>
        <w:rFonts w:hint="default"/>
      </w:rPr>
    </w:lvl>
    <w:lvl w:ilvl="2" w:tplc="4796B54A">
      <w:start w:val="1"/>
      <w:numFmt w:val="none"/>
      <w:suff w:val="nothing"/>
      <w:lvlText w:val=""/>
      <w:lvlJc w:val="left"/>
      <w:pPr>
        <w:ind w:left="0" w:firstLine="0"/>
      </w:pPr>
      <w:rPr>
        <w:rFonts w:hint="default"/>
      </w:rPr>
    </w:lvl>
    <w:lvl w:ilvl="3" w:tplc="57BA0554">
      <w:start w:val="1"/>
      <w:numFmt w:val="none"/>
      <w:suff w:val="nothing"/>
      <w:lvlText w:val=""/>
      <w:lvlJc w:val="left"/>
      <w:pPr>
        <w:ind w:left="0" w:firstLine="0"/>
      </w:pPr>
      <w:rPr>
        <w:rFonts w:hint="default"/>
      </w:rPr>
    </w:lvl>
    <w:lvl w:ilvl="4" w:tplc="DA1C1FE4">
      <w:start w:val="1"/>
      <w:numFmt w:val="none"/>
      <w:suff w:val="nothing"/>
      <w:lvlText w:val=""/>
      <w:lvlJc w:val="left"/>
      <w:pPr>
        <w:ind w:left="0" w:firstLine="0"/>
      </w:pPr>
      <w:rPr>
        <w:rFonts w:hint="default"/>
      </w:rPr>
    </w:lvl>
    <w:lvl w:ilvl="5" w:tplc="DB92E986">
      <w:start w:val="1"/>
      <w:numFmt w:val="none"/>
      <w:suff w:val="nothing"/>
      <w:lvlText w:val=""/>
      <w:lvlJc w:val="left"/>
      <w:pPr>
        <w:ind w:left="0" w:firstLine="0"/>
      </w:pPr>
      <w:rPr>
        <w:rFonts w:hint="default"/>
      </w:rPr>
    </w:lvl>
    <w:lvl w:ilvl="6" w:tplc="5426BA2E">
      <w:start w:val="1"/>
      <w:numFmt w:val="none"/>
      <w:suff w:val="nothing"/>
      <w:lvlText w:val=""/>
      <w:lvlJc w:val="left"/>
      <w:pPr>
        <w:ind w:left="0" w:firstLine="0"/>
      </w:pPr>
      <w:rPr>
        <w:rFonts w:hint="default"/>
      </w:rPr>
    </w:lvl>
    <w:lvl w:ilvl="7" w:tplc="1F288E26">
      <w:start w:val="1"/>
      <w:numFmt w:val="none"/>
      <w:suff w:val="nothing"/>
      <w:lvlText w:val=""/>
      <w:lvlJc w:val="left"/>
      <w:pPr>
        <w:ind w:left="0" w:firstLine="0"/>
      </w:pPr>
      <w:rPr>
        <w:rFonts w:hint="default"/>
      </w:rPr>
    </w:lvl>
    <w:lvl w:ilvl="8" w:tplc="CF848DC2">
      <w:start w:val="1"/>
      <w:numFmt w:val="none"/>
      <w:suff w:val="nothing"/>
      <w:lvlText w:val=""/>
      <w:lvlJc w:val="left"/>
      <w:pPr>
        <w:ind w:left="0" w:firstLine="0"/>
      </w:pPr>
      <w:rPr>
        <w:rFonts w:hint="default"/>
      </w:rPr>
    </w:lvl>
  </w:abstractNum>
  <w:abstractNum w:abstractNumId="35" w15:restartNumberingAfterBreak="0">
    <w:nsid w:val="604B73E9"/>
    <w:multiLevelType w:val="hybridMultilevel"/>
    <w:tmpl w:val="C6DC644E"/>
    <w:lvl w:ilvl="0" w:tplc="F3E2EFFC">
      <w:start w:val="1"/>
      <w:numFmt w:val="bullet"/>
      <w:lvlText w:val=""/>
      <w:lvlJc w:val="left"/>
      <w:pPr>
        <w:ind w:left="927" w:hanging="360"/>
      </w:pPr>
      <w:rPr>
        <w:rFonts w:ascii="Symbol" w:hAnsi="Symbol" w:hint="default"/>
        <w:sz w:val="16"/>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6" w15:restartNumberingAfterBreak="0">
    <w:nsid w:val="65DC69BA"/>
    <w:multiLevelType w:val="hybridMultilevel"/>
    <w:tmpl w:val="8FEE1A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8D7CCC"/>
    <w:multiLevelType w:val="hybridMultilevel"/>
    <w:tmpl w:val="981CDEFC"/>
    <w:lvl w:ilvl="0" w:tplc="E4CAC46A">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38" w15:restartNumberingAfterBreak="0">
    <w:nsid w:val="66D25E86"/>
    <w:multiLevelType w:val="hybridMultilevel"/>
    <w:tmpl w:val="00948EB4"/>
    <w:lvl w:ilvl="0" w:tplc="240A000F">
      <w:start w:val="1"/>
      <w:numFmt w:val="decimal"/>
      <w:lvlText w:val="%1."/>
      <w:lvlJc w:val="left"/>
      <w:pPr>
        <w:ind w:left="6" w:hanging="360"/>
      </w:pPr>
    </w:lvl>
    <w:lvl w:ilvl="1" w:tplc="240A0019" w:tentative="1">
      <w:start w:val="1"/>
      <w:numFmt w:val="lowerLetter"/>
      <w:lvlText w:val="%2."/>
      <w:lvlJc w:val="left"/>
      <w:pPr>
        <w:ind w:left="726" w:hanging="360"/>
      </w:pPr>
    </w:lvl>
    <w:lvl w:ilvl="2" w:tplc="240A001B" w:tentative="1">
      <w:start w:val="1"/>
      <w:numFmt w:val="lowerRoman"/>
      <w:lvlText w:val="%3."/>
      <w:lvlJc w:val="right"/>
      <w:pPr>
        <w:ind w:left="1446" w:hanging="180"/>
      </w:pPr>
    </w:lvl>
    <w:lvl w:ilvl="3" w:tplc="240A000F" w:tentative="1">
      <w:start w:val="1"/>
      <w:numFmt w:val="decimal"/>
      <w:lvlText w:val="%4."/>
      <w:lvlJc w:val="left"/>
      <w:pPr>
        <w:ind w:left="2166" w:hanging="360"/>
      </w:pPr>
    </w:lvl>
    <w:lvl w:ilvl="4" w:tplc="240A0019" w:tentative="1">
      <w:start w:val="1"/>
      <w:numFmt w:val="lowerLetter"/>
      <w:lvlText w:val="%5."/>
      <w:lvlJc w:val="left"/>
      <w:pPr>
        <w:ind w:left="2886" w:hanging="360"/>
      </w:pPr>
    </w:lvl>
    <w:lvl w:ilvl="5" w:tplc="240A001B" w:tentative="1">
      <w:start w:val="1"/>
      <w:numFmt w:val="lowerRoman"/>
      <w:lvlText w:val="%6."/>
      <w:lvlJc w:val="right"/>
      <w:pPr>
        <w:ind w:left="3606" w:hanging="180"/>
      </w:pPr>
    </w:lvl>
    <w:lvl w:ilvl="6" w:tplc="240A000F" w:tentative="1">
      <w:start w:val="1"/>
      <w:numFmt w:val="decimal"/>
      <w:lvlText w:val="%7."/>
      <w:lvlJc w:val="left"/>
      <w:pPr>
        <w:ind w:left="4326" w:hanging="360"/>
      </w:pPr>
    </w:lvl>
    <w:lvl w:ilvl="7" w:tplc="240A0019" w:tentative="1">
      <w:start w:val="1"/>
      <w:numFmt w:val="lowerLetter"/>
      <w:lvlText w:val="%8."/>
      <w:lvlJc w:val="left"/>
      <w:pPr>
        <w:ind w:left="5046" w:hanging="360"/>
      </w:pPr>
    </w:lvl>
    <w:lvl w:ilvl="8" w:tplc="240A001B" w:tentative="1">
      <w:start w:val="1"/>
      <w:numFmt w:val="lowerRoman"/>
      <w:lvlText w:val="%9."/>
      <w:lvlJc w:val="right"/>
      <w:pPr>
        <w:ind w:left="5766" w:hanging="180"/>
      </w:pPr>
    </w:lvl>
  </w:abstractNum>
  <w:abstractNum w:abstractNumId="39" w15:restartNumberingAfterBreak="0">
    <w:nsid w:val="68572B07"/>
    <w:multiLevelType w:val="hybridMultilevel"/>
    <w:tmpl w:val="E93EA13A"/>
    <w:lvl w:ilvl="0" w:tplc="240A0013">
      <w:start w:val="1"/>
      <w:numFmt w:val="upperRoman"/>
      <w:lvlText w:val="%1."/>
      <w:lvlJc w:val="right"/>
      <w:pPr>
        <w:ind w:left="1068" w:hanging="360"/>
      </w:pPr>
    </w:lvl>
    <w:lvl w:ilvl="1" w:tplc="AF468F8A">
      <w:start w:val="1"/>
      <w:numFmt w:val="decimal"/>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6BCE0564"/>
    <w:multiLevelType w:val="hybridMultilevel"/>
    <w:tmpl w:val="F46EB97C"/>
    <w:lvl w:ilvl="0" w:tplc="240A000F">
      <w:start w:val="1"/>
      <w:numFmt w:val="bullet"/>
      <w:lvlText w:val=""/>
      <w:lvlJc w:val="left"/>
      <w:pPr>
        <w:tabs>
          <w:tab w:val="num" w:pos="360"/>
        </w:tabs>
        <w:ind w:left="360" w:hanging="360"/>
      </w:pPr>
      <w:rPr>
        <w:rFonts w:ascii="Symbol" w:hAnsi="Symbol" w:cs="Symbol" w:hint="default"/>
      </w:rPr>
    </w:lvl>
    <w:lvl w:ilvl="1" w:tplc="240A0019">
      <w:start w:val="1"/>
      <w:numFmt w:val="bullet"/>
      <w:lvlText w:val="o"/>
      <w:lvlJc w:val="left"/>
      <w:pPr>
        <w:tabs>
          <w:tab w:val="num" w:pos="1080"/>
        </w:tabs>
        <w:ind w:left="1080" w:hanging="360"/>
      </w:pPr>
      <w:rPr>
        <w:rFonts w:ascii="Courier New" w:hAnsi="Courier New" w:cs="Courier New" w:hint="default"/>
      </w:rPr>
    </w:lvl>
    <w:lvl w:ilvl="2" w:tplc="240A001B">
      <w:start w:val="1"/>
      <w:numFmt w:val="bullet"/>
      <w:lvlText w:val=""/>
      <w:lvlJc w:val="left"/>
      <w:pPr>
        <w:tabs>
          <w:tab w:val="num" w:pos="1800"/>
        </w:tabs>
        <w:ind w:left="1800" w:hanging="360"/>
      </w:pPr>
      <w:rPr>
        <w:rFonts w:ascii="Wingdings" w:hAnsi="Wingdings" w:cs="Wingdings" w:hint="default"/>
      </w:rPr>
    </w:lvl>
    <w:lvl w:ilvl="3" w:tplc="240A000F">
      <w:start w:val="1"/>
      <w:numFmt w:val="bullet"/>
      <w:lvlText w:val=""/>
      <w:lvlJc w:val="left"/>
      <w:pPr>
        <w:tabs>
          <w:tab w:val="num" w:pos="2520"/>
        </w:tabs>
        <w:ind w:left="2520" w:hanging="360"/>
      </w:pPr>
      <w:rPr>
        <w:rFonts w:ascii="Symbol" w:hAnsi="Symbol" w:cs="Symbol" w:hint="default"/>
      </w:rPr>
    </w:lvl>
    <w:lvl w:ilvl="4" w:tplc="240A0019">
      <w:start w:val="1"/>
      <w:numFmt w:val="bullet"/>
      <w:lvlText w:val="o"/>
      <w:lvlJc w:val="left"/>
      <w:pPr>
        <w:tabs>
          <w:tab w:val="num" w:pos="3240"/>
        </w:tabs>
        <w:ind w:left="3240" w:hanging="360"/>
      </w:pPr>
      <w:rPr>
        <w:rFonts w:ascii="Courier New" w:hAnsi="Courier New" w:cs="Courier New" w:hint="default"/>
      </w:rPr>
    </w:lvl>
    <w:lvl w:ilvl="5" w:tplc="240A001B">
      <w:start w:val="1"/>
      <w:numFmt w:val="bullet"/>
      <w:lvlText w:val=""/>
      <w:lvlJc w:val="left"/>
      <w:pPr>
        <w:tabs>
          <w:tab w:val="num" w:pos="3960"/>
        </w:tabs>
        <w:ind w:left="3960" w:hanging="360"/>
      </w:pPr>
      <w:rPr>
        <w:rFonts w:ascii="Wingdings" w:hAnsi="Wingdings" w:cs="Wingdings" w:hint="default"/>
      </w:rPr>
    </w:lvl>
    <w:lvl w:ilvl="6" w:tplc="240A000F">
      <w:start w:val="1"/>
      <w:numFmt w:val="bullet"/>
      <w:lvlText w:val=""/>
      <w:lvlJc w:val="left"/>
      <w:pPr>
        <w:tabs>
          <w:tab w:val="num" w:pos="4680"/>
        </w:tabs>
        <w:ind w:left="4680" w:hanging="360"/>
      </w:pPr>
      <w:rPr>
        <w:rFonts w:ascii="Symbol" w:hAnsi="Symbol" w:cs="Symbol" w:hint="default"/>
      </w:rPr>
    </w:lvl>
    <w:lvl w:ilvl="7" w:tplc="240A0019">
      <w:start w:val="1"/>
      <w:numFmt w:val="bullet"/>
      <w:lvlText w:val="o"/>
      <w:lvlJc w:val="left"/>
      <w:pPr>
        <w:tabs>
          <w:tab w:val="num" w:pos="5400"/>
        </w:tabs>
        <w:ind w:left="5400" w:hanging="360"/>
      </w:pPr>
      <w:rPr>
        <w:rFonts w:ascii="Courier New" w:hAnsi="Courier New" w:cs="Courier New" w:hint="default"/>
      </w:rPr>
    </w:lvl>
    <w:lvl w:ilvl="8" w:tplc="240A001B">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28377A"/>
    <w:multiLevelType w:val="hybridMultilevel"/>
    <w:tmpl w:val="1638D454"/>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5" w15:restartNumberingAfterBreak="0">
    <w:nsid w:val="7F000A0B"/>
    <w:multiLevelType w:val="hybridMultilevel"/>
    <w:tmpl w:val="77FA4082"/>
    <w:lvl w:ilvl="0" w:tplc="11B6CD2A">
      <w:start w:val="1"/>
      <w:numFmt w:val="decimal"/>
      <w:lvlText w:val="%1."/>
      <w:lvlJc w:val="left"/>
      <w:pPr>
        <w:ind w:left="928" w:hanging="360"/>
      </w:pPr>
      <w:rPr>
        <w:rFonts w:hint="default"/>
      </w:rPr>
    </w:lvl>
    <w:lvl w:ilvl="1" w:tplc="11B6CD2A">
      <w:start w:val="1"/>
      <w:numFmt w:val="decimal"/>
      <w:lvlText w:val="%2."/>
      <w:lvlJc w:val="left"/>
      <w:pPr>
        <w:ind w:left="1648" w:hanging="360"/>
      </w:pPr>
      <w:rPr>
        <w:rFonts w:hint="default"/>
      </w:r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16cid:durableId="183594164">
    <w:abstractNumId w:val="1"/>
  </w:num>
  <w:num w:numId="2" w16cid:durableId="843207602">
    <w:abstractNumId w:val="19"/>
  </w:num>
  <w:num w:numId="3" w16cid:durableId="124854403">
    <w:abstractNumId w:val="34"/>
  </w:num>
  <w:num w:numId="4" w16cid:durableId="681586047">
    <w:abstractNumId w:val="30"/>
  </w:num>
  <w:num w:numId="5" w16cid:durableId="1311055461">
    <w:abstractNumId w:val="42"/>
  </w:num>
  <w:num w:numId="6" w16cid:durableId="987586462">
    <w:abstractNumId w:val="20"/>
  </w:num>
  <w:num w:numId="7" w16cid:durableId="2009014798">
    <w:abstractNumId w:val="43"/>
  </w:num>
  <w:num w:numId="8" w16cid:durableId="559905158">
    <w:abstractNumId w:val="35"/>
  </w:num>
  <w:num w:numId="9" w16cid:durableId="1776709414">
    <w:abstractNumId w:val="22"/>
  </w:num>
  <w:num w:numId="10" w16cid:durableId="958949513">
    <w:abstractNumId w:val="39"/>
  </w:num>
  <w:num w:numId="11" w16cid:durableId="491795040">
    <w:abstractNumId w:val="12"/>
  </w:num>
  <w:num w:numId="12" w16cid:durableId="90904864">
    <w:abstractNumId w:val="23"/>
  </w:num>
  <w:num w:numId="13" w16cid:durableId="966275686">
    <w:abstractNumId w:val="18"/>
  </w:num>
  <w:num w:numId="14" w16cid:durableId="2061510029">
    <w:abstractNumId w:val="4"/>
  </w:num>
  <w:num w:numId="15" w16cid:durableId="1216889883">
    <w:abstractNumId w:val="45"/>
  </w:num>
  <w:num w:numId="16" w16cid:durableId="106699896">
    <w:abstractNumId w:val="37"/>
  </w:num>
  <w:num w:numId="17" w16cid:durableId="1303196091">
    <w:abstractNumId w:val="27"/>
  </w:num>
  <w:num w:numId="18" w16cid:durableId="566459416">
    <w:abstractNumId w:val="9"/>
  </w:num>
  <w:num w:numId="19" w16cid:durableId="500776804">
    <w:abstractNumId w:val="14"/>
  </w:num>
  <w:num w:numId="20" w16cid:durableId="1888567244">
    <w:abstractNumId w:val="29"/>
  </w:num>
  <w:num w:numId="21" w16cid:durableId="1833332624">
    <w:abstractNumId w:val="3"/>
  </w:num>
  <w:num w:numId="22" w16cid:durableId="2121410781">
    <w:abstractNumId w:val="44"/>
  </w:num>
  <w:num w:numId="23" w16cid:durableId="1369142832">
    <w:abstractNumId w:val="38"/>
  </w:num>
  <w:num w:numId="24" w16cid:durableId="1982274166">
    <w:abstractNumId w:val="26"/>
  </w:num>
  <w:num w:numId="25" w16cid:durableId="2090346338">
    <w:abstractNumId w:val="2"/>
  </w:num>
  <w:num w:numId="26" w16cid:durableId="2095776966">
    <w:abstractNumId w:val="42"/>
  </w:num>
  <w:num w:numId="27" w16cid:durableId="958680337">
    <w:abstractNumId w:val="42"/>
  </w:num>
  <w:num w:numId="28" w16cid:durableId="169180497">
    <w:abstractNumId w:val="5"/>
  </w:num>
  <w:num w:numId="29" w16cid:durableId="1906720961">
    <w:abstractNumId w:val="41"/>
  </w:num>
  <w:num w:numId="30" w16cid:durableId="2040621447">
    <w:abstractNumId w:val="28"/>
  </w:num>
  <w:num w:numId="31" w16cid:durableId="944382056">
    <w:abstractNumId w:val="6"/>
  </w:num>
  <w:num w:numId="32" w16cid:durableId="759182003">
    <w:abstractNumId w:val="7"/>
  </w:num>
  <w:num w:numId="33" w16cid:durableId="230313308">
    <w:abstractNumId w:val="24"/>
  </w:num>
  <w:num w:numId="34" w16cid:durableId="491943866">
    <w:abstractNumId w:val="8"/>
  </w:num>
  <w:num w:numId="35" w16cid:durableId="1149441180">
    <w:abstractNumId w:val="42"/>
  </w:num>
  <w:num w:numId="36" w16cid:durableId="1598368908">
    <w:abstractNumId w:val="42"/>
  </w:num>
  <w:num w:numId="37" w16cid:durableId="1687906662">
    <w:abstractNumId w:val="16"/>
  </w:num>
  <w:num w:numId="38" w16cid:durableId="1728337334">
    <w:abstractNumId w:val="36"/>
  </w:num>
  <w:num w:numId="39" w16cid:durableId="2064399759">
    <w:abstractNumId w:val="11"/>
  </w:num>
  <w:num w:numId="40" w16cid:durableId="1703090335">
    <w:abstractNumId w:val="15"/>
  </w:num>
  <w:num w:numId="41" w16cid:durableId="798454777">
    <w:abstractNumId w:val="17"/>
  </w:num>
  <w:num w:numId="42" w16cid:durableId="1898664257">
    <w:abstractNumId w:val="31"/>
  </w:num>
  <w:num w:numId="43" w16cid:durableId="1922642452">
    <w:abstractNumId w:val="21"/>
  </w:num>
  <w:num w:numId="44" w16cid:durableId="2036953575">
    <w:abstractNumId w:val="33"/>
  </w:num>
  <w:num w:numId="45" w16cid:durableId="112677871">
    <w:abstractNumId w:val="32"/>
  </w:num>
  <w:num w:numId="46" w16cid:durableId="87839937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1A9"/>
    <w:rsid w:val="00005326"/>
    <w:rsid w:val="000056FB"/>
    <w:rsid w:val="00006585"/>
    <w:rsid w:val="00006AE2"/>
    <w:rsid w:val="00006EF5"/>
    <w:rsid w:val="000076A1"/>
    <w:rsid w:val="00007B9D"/>
    <w:rsid w:val="00011754"/>
    <w:rsid w:val="0001209B"/>
    <w:rsid w:val="00012259"/>
    <w:rsid w:val="0001368F"/>
    <w:rsid w:val="00015598"/>
    <w:rsid w:val="0001581E"/>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465B2"/>
    <w:rsid w:val="0004677C"/>
    <w:rsid w:val="00047911"/>
    <w:rsid w:val="0005171B"/>
    <w:rsid w:val="00051D1F"/>
    <w:rsid w:val="00052A12"/>
    <w:rsid w:val="00053BE6"/>
    <w:rsid w:val="00055984"/>
    <w:rsid w:val="00056ECE"/>
    <w:rsid w:val="0005705F"/>
    <w:rsid w:val="0005740C"/>
    <w:rsid w:val="00063454"/>
    <w:rsid w:val="00063657"/>
    <w:rsid w:val="0006395B"/>
    <w:rsid w:val="000645F5"/>
    <w:rsid w:val="00066F06"/>
    <w:rsid w:val="0007409E"/>
    <w:rsid w:val="00076680"/>
    <w:rsid w:val="000769CA"/>
    <w:rsid w:val="00076A1D"/>
    <w:rsid w:val="00076ACF"/>
    <w:rsid w:val="000771FB"/>
    <w:rsid w:val="00077A23"/>
    <w:rsid w:val="0008073E"/>
    <w:rsid w:val="00080797"/>
    <w:rsid w:val="0008115D"/>
    <w:rsid w:val="000821D9"/>
    <w:rsid w:val="00082B34"/>
    <w:rsid w:val="00082FE9"/>
    <w:rsid w:val="000831AC"/>
    <w:rsid w:val="000837A5"/>
    <w:rsid w:val="00083AA8"/>
    <w:rsid w:val="00084D2F"/>
    <w:rsid w:val="00084F74"/>
    <w:rsid w:val="000857D1"/>
    <w:rsid w:val="0008751B"/>
    <w:rsid w:val="0008776A"/>
    <w:rsid w:val="0009104E"/>
    <w:rsid w:val="00091250"/>
    <w:rsid w:val="0009196C"/>
    <w:rsid w:val="00091CDB"/>
    <w:rsid w:val="00094EAF"/>
    <w:rsid w:val="00095EA2"/>
    <w:rsid w:val="0009669A"/>
    <w:rsid w:val="000A0C9D"/>
    <w:rsid w:val="000A1319"/>
    <w:rsid w:val="000A19AC"/>
    <w:rsid w:val="000A38CC"/>
    <w:rsid w:val="000A48F8"/>
    <w:rsid w:val="000A5E52"/>
    <w:rsid w:val="000A602A"/>
    <w:rsid w:val="000B1D4C"/>
    <w:rsid w:val="000B2A8B"/>
    <w:rsid w:val="000B2EC9"/>
    <w:rsid w:val="000B3688"/>
    <w:rsid w:val="000B3B6F"/>
    <w:rsid w:val="000B5408"/>
    <w:rsid w:val="000B65BD"/>
    <w:rsid w:val="000B7990"/>
    <w:rsid w:val="000B7EB3"/>
    <w:rsid w:val="000C06AF"/>
    <w:rsid w:val="000C17D9"/>
    <w:rsid w:val="000C1951"/>
    <w:rsid w:val="000C1DE0"/>
    <w:rsid w:val="000C266A"/>
    <w:rsid w:val="000C5DF4"/>
    <w:rsid w:val="000C64D6"/>
    <w:rsid w:val="000C6881"/>
    <w:rsid w:val="000C6FE2"/>
    <w:rsid w:val="000C743D"/>
    <w:rsid w:val="000C784A"/>
    <w:rsid w:val="000C7FA3"/>
    <w:rsid w:val="000D1E36"/>
    <w:rsid w:val="000D26F8"/>
    <w:rsid w:val="000D2A00"/>
    <w:rsid w:val="000D36AF"/>
    <w:rsid w:val="000D3884"/>
    <w:rsid w:val="000D3FC2"/>
    <w:rsid w:val="000D5201"/>
    <w:rsid w:val="000D5406"/>
    <w:rsid w:val="000D5C79"/>
    <w:rsid w:val="000E022D"/>
    <w:rsid w:val="000E25A4"/>
    <w:rsid w:val="000E2A42"/>
    <w:rsid w:val="000E3D26"/>
    <w:rsid w:val="000E4908"/>
    <w:rsid w:val="000E4A82"/>
    <w:rsid w:val="000E6BCD"/>
    <w:rsid w:val="000F30B5"/>
    <w:rsid w:val="000F3141"/>
    <w:rsid w:val="000F3A75"/>
    <w:rsid w:val="000F4463"/>
    <w:rsid w:val="000F47C4"/>
    <w:rsid w:val="000F4B81"/>
    <w:rsid w:val="000F5392"/>
    <w:rsid w:val="000F563E"/>
    <w:rsid w:val="000F68AA"/>
    <w:rsid w:val="000F71BC"/>
    <w:rsid w:val="000F7AE9"/>
    <w:rsid w:val="000F7C81"/>
    <w:rsid w:val="0010087D"/>
    <w:rsid w:val="0010101F"/>
    <w:rsid w:val="00101F35"/>
    <w:rsid w:val="0010333D"/>
    <w:rsid w:val="00103C00"/>
    <w:rsid w:val="001040AA"/>
    <w:rsid w:val="00105DD2"/>
    <w:rsid w:val="00105E02"/>
    <w:rsid w:val="0010658E"/>
    <w:rsid w:val="00106654"/>
    <w:rsid w:val="001067D3"/>
    <w:rsid w:val="001106AF"/>
    <w:rsid w:val="001129C7"/>
    <w:rsid w:val="00112F16"/>
    <w:rsid w:val="001147FF"/>
    <w:rsid w:val="001177E6"/>
    <w:rsid w:val="00117AF1"/>
    <w:rsid w:val="00126B7F"/>
    <w:rsid w:val="0012783F"/>
    <w:rsid w:val="00130CF9"/>
    <w:rsid w:val="00130D85"/>
    <w:rsid w:val="00132FE3"/>
    <w:rsid w:val="001333FC"/>
    <w:rsid w:val="0013384D"/>
    <w:rsid w:val="00133EC9"/>
    <w:rsid w:val="0013465E"/>
    <w:rsid w:val="0013526C"/>
    <w:rsid w:val="00135C1F"/>
    <w:rsid w:val="00136F57"/>
    <w:rsid w:val="001405C6"/>
    <w:rsid w:val="0014064C"/>
    <w:rsid w:val="00141013"/>
    <w:rsid w:val="00142021"/>
    <w:rsid w:val="0014208F"/>
    <w:rsid w:val="0014220A"/>
    <w:rsid w:val="0014256F"/>
    <w:rsid w:val="0014363D"/>
    <w:rsid w:val="0014460E"/>
    <w:rsid w:val="00144681"/>
    <w:rsid w:val="00145736"/>
    <w:rsid w:val="001459D6"/>
    <w:rsid w:val="00146BA5"/>
    <w:rsid w:val="001478B5"/>
    <w:rsid w:val="00151A0F"/>
    <w:rsid w:val="0015228B"/>
    <w:rsid w:val="00152D9A"/>
    <w:rsid w:val="00152E0C"/>
    <w:rsid w:val="00152FAA"/>
    <w:rsid w:val="0015338C"/>
    <w:rsid w:val="001541F3"/>
    <w:rsid w:val="00154A34"/>
    <w:rsid w:val="00154D0C"/>
    <w:rsid w:val="00155CCF"/>
    <w:rsid w:val="001560A7"/>
    <w:rsid w:val="00156A07"/>
    <w:rsid w:val="00157B49"/>
    <w:rsid w:val="00160BCF"/>
    <w:rsid w:val="00161084"/>
    <w:rsid w:val="001623A2"/>
    <w:rsid w:val="00164A70"/>
    <w:rsid w:val="00164BE1"/>
    <w:rsid w:val="00164E00"/>
    <w:rsid w:val="001666FF"/>
    <w:rsid w:val="00166AA9"/>
    <w:rsid w:val="00166B53"/>
    <w:rsid w:val="001710F9"/>
    <w:rsid w:val="00171B59"/>
    <w:rsid w:val="0017624C"/>
    <w:rsid w:val="001762DD"/>
    <w:rsid w:val="00177652"/>
    <w:rsid w:val="001778BC"/>
    <w:rsid w:val="00177D48"/>
    <w:rsid w:val="001802E9"/>
    <w:rsid w:val="0018241F"/>
    <w:rsid w:val="001827DF"/>
    <w:rsid w:val="00184170"/>
    <w:rsid w:val="00185F79"/>
    <w:rsid w:val="001876F9"/>
    <w:rsid w:val="00187805"/>
    <w:rsid w:val="001908AB"/>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4A16"/>
    <w:rsid w:val="001A5F1B"/>
    <w:rsid w:val="001A6488"/>
    <w:rsid w:val="001A7613"/>
    <w:rsid w:val="001B03F7"/>
    <w:rsid w:val="001B05A4"/>
    <w:rsid w:val="001B17F4"/>
    <w:rsid w:val="001B1C22"/>
    <w:rsid w:val="001B27F3"/>
    <w:rsid w:val="001B34C6"/>
    <w:rsid w:val="001C0958"/>
    <w:rsid w:val="001C0C42"/>
    <w:rsid w:val="001C2018"/>
    <w:rsid w:val="001C32F7"/>
    <w:rsid w:val="001C36F4"/>
    <w:rsid w:val="001C3877"/>
    <w:rsid w:val="001C3CAB"/>
    <w:rsid w:val="001C4A3C"/>
    <w:rsid w:val="001C601E"/>
    <w:rsid w:val="001C6E23"/>
    <w:rsid w:val="001D010F"/>
    <w:rsid w:val="001D0772"/>
    <w:rsid w:val="001D204B"/>
    <w:rsid w:val="001D2E82"/>
    <w:rsid w:val="001D31E0"/>
    <w:rsid w:val="001D3333"/>
    <w:rsid w:val="001D42E2"/>
    <w:rsid w:val="001D516B"/>
    <w:rsid w:val="001D633A"/>
    <w:rsid w:val="001D68E3"/>
    <w:rsid w:val="001D7832"/>
    <w:rsid w:val="001E26B9"/>
    <w:rsid w:val="001E3911"/>
    <w:rsid w:val="001E485E"/>
    <w:rsid w:val="001E692F"/>
    <w:rsid w:val="001E7C1F"/>
    <w:rsid w:val="001F212C"/>
    <w:rsid w:val="001F2C5B"/>
    <w:rsid w:val="001F2FD8"/>
    <w:rsid w:val="001F4256"/>
    <w:rsid w:val="001F5AFE"/>
    <w:rsid w:val="001F780F"/>
    <w:rsid w:val="002001AC"/>
    <w:rsid w:val="002012D8"/>
    <w:rsid w:val="002015A0"/>
    <w:rsid w:val="00201E90"/>
    <w:rsid w:val="002038CE"/>
    <w:rsid w:val="002039D6"/>
    <w:rsid w:val="00204D82"/>
    <w:rsid w:val="0020533E"/>
    <w:rsid w:val="00206407"/>
    <w:rsid w:val="00207D99"/>
    <w:rsid w:val="00210DC1"/>
    <w:rsid w:val="0021157A"/>
    <w:rsid w:val="00211D34"/>
    <w:rsid w:val="0021264C"/>
    <w:rsid w:val="0021297B"/>
    <w:rsid w:val="002133FA"/>
    <w:rsid w:val="0021367D"/>
    <w:rsid w:val="002141F9"/>
    <w:rsid w:val="00214328"/>
    <w:rsid w:val="00214642"/>
    <w:rsid w:val="00214F04"/>
    <w:rsid w:val="002157B9"/>
    <w:rsid w:val="00216E8C"/>
    <w:rsid w:val="00217D47"/>
    <w:rsid w:val="00220274"/>
    <w:rsid w:val="00221054"/>
    <w:rsid w:val="0022124C"/>
    <w:rsid w:val="00221277"/>
    <w:rsid w:val="00223CD8"/>
    <w:rsid w:val="00223E50"/>
    <w:rsid w:val="00224108"/>
    <w:rsid w:val="0022483E"/>
    <w:rsid w:val="00224FC9"/>
    <w:rsid w:val="002257C4"/>
    <w:rsid w:val="00227061"/>
    <w:rsid w:val="00227870"/>
    <w:rsid w:val="00227E1E"/>
    <w:rsid w:val="0023118E"/>
    <w:rsid w:val="0023338E"/>
    <w:rsid w:val="00233646"/>
    <w:rsid w:val="002352B9"/>
    <w:rsid w:val="0023598E"/>
    <w:rsid w:val="0023621E"/>
    <w:rsid w:val="002365FF"/>
    <w:rsid w:val="002367F5"/>
    <w:rsid w:val="002368FC"/>
    <w:rsid w:val="00237EDC"/>
    <w:rsid w:val="00240640"/>
    <w:rsid w:val="00240BE0"/>
    <w:rsid w:val="00242A95"/>
    <w:rsid w:val="00242F2B"/>
    <w:rsid w:val="002436B9"/>
    <w:rsid w:val="00243A0A"/>
    <w:rsid w:val="002444FF"/>
    <w:rsid w:val="00245E5D"/>
    <w:rsid w:val="002471AB"/>
    <w:rsid w:val="002479B0"/>
    <w:rsid w:val="00253D8F"/>
    <w:rsid w:val="0025525F"/>
    <w:rsid w:val="00255960"/>
    <w:rsid w:val="00255FEF"/>
    <w:rsid w:val="002560C5"/>
    <w:rsid w:val="002566AE"/>
    <w:rsid w:val="00256DBC"/>
    <w:rsid w:val="00256EA4"/>
    <w:rsid w:val="002571C8"/>
    <w:rsid w:val="002578B3"/>
    <w:rsid w:val="002579DC"/>
    <w:rsid w:val="00257A41"/>
    <w:rsid w:val="00257AA4"/>
    <w:rsid w:val="002603B0"/>
    <w:rsid w:val="00260906"/>
    <w:rsid w:val="00261CF7"/>
    <w:rsid w:val="00262248"/>
    <w:rsid w:val="0026282C"/>
    <w:rsid w:val="002631B1"/>
    <w:rsid w:val="002646B2"/>
    <w:rsid w:val="00264C6C"/>
    <w:rsid w:val="00264F14"/>
    <w:rsid w:val="0026521A"/>
    <w:rsid w:val="002654BA"/>
    <w:rsid w:val="002657E2"/>
    <w:rsid w:val="00266CD6"/>
    <w:rsid w:val="002673AC"/>
    <w:rsid w:val="00270ACA"/>
    <w:rsid w:val="00270C4A"/>
    <w:rsid w:val="002718DC"/>
    <w:rsid w:val="0027278C"/>
    <w:rsid w:val="00273484"/>
    <w:rsid w:val="002739BD"/>
    <w:rsid w:val="00274C95"/>
    <w:rsid w:val="00275719"/>
    <w:rsid w:val="00275DAB"/>
    <w:rsid w:val="00276059"/>
    <w:rsid w:val="00280F65"/>
    <w:rsid w:val="00281501"/>
    <w:rsid w:val="002821BE"/>
    <w:rsid w:val="002836E2"/>
    <w:rsid w:val="0028662C"/>
    <w:rsid w:val="00287434"/>
    <w:rsid w:val="002903C0"/>
    <w:rsid w:val="002903D1"/>
    <w:rsid w:val="00291726"/>
    <w:rsid w:val="002922A7"/>
    <w:rsid w:val="00292FE9"/>
    <w:rsid w:val="00295857"/>
    <w:rsid w:val="00295ACD"/>
    <w:rsid w:val="00296788"/>
    <w:rsid w:val="0029698E"/>
    <w:rsid w:val="002A3F6C"/>
    <w:rsid w:val="002A46D7"/>
    <w:rsid w:val="002A51EF"/>
    <w:rsid w:val="002A548E"/>
    <w:rsid w:val="002A5E76"/>
    <w:rsid w:val="002A782A"/>
    <w:rsid w:val="002A7D62"/>
    <w:rsid w:val="002B11E2"/>
    <w:rsid w:val="002B24B8"/>
    <w:rsid w:val="002B50EF"/>
    <w:rsid w:val="002B5E3C"/>
    <w:rsid w:val="002B71B1"/>
    <w:rsid w:val="002B7269"/>
    <w:rsid w:val="002C01FA"/>
    <w:rsid w:val="002C3488"/>
    <w:rsid w:val="002C5612"/>
    <w:rsid w:val="002C5A1F"/>
    <w:rsid w:val="002C64AA"/>
    <w:rsid w:val="002C7252"/>
    <w:rsid w:val="002C7C50"/>
    <w:rsid w:val="002D0B65"/>
    <w:rsid w:val="002D1D6E"/>
    <w:rsid w:val="002D2ECE"/>
    <w:rsid w:val="002D3AE9"/>
    <w:rsid w:val="002D3CE7"/>
    <w:rsid w:val="002D4510"/>
    <w:rsid w:val="002D6C5A"/>
    <w:rsid w:val="002D7D6C"/>
    <w:rsid w:val="002E09F5"/>
    <w:rsid w:val="002E0BE1"/>
    <w:rsid w:val="002E1770"/>
    <w:rsid w:val="002E1AF2"/>
    <w:rsid w:val="002E1F65"/>
    <w:rsid w:val="002E635C"/>
    <w:rsid w:val="002E6D74"/>
    <w:rsid w:val="002E7997"/>
    <w:rsid w:val="002F026E"/>
    <w:rsid w:val="002F0734"/>
    <w:rsid w:val="002F22EB"/>
    <w:rsid w:val="002F3712"/>
    <w:rsid w:val="002F46E7"/>
    <w:rsid w:val="002F6763"/>
    <w:rsid w:val="002F72DB"/>
    <w:rsid w:val="002F75C0"/>
    <w:rsid w:val="002F7B19"/>
    <w:rsid w:val="00300537"/>
    <w:rsid w:val="003008A1"/>
    <w:rsid w:val="003011C7"/>
    <w:rsid w:val="003022CB"/>
    <w:rsid w:val="00302EFB"/>
    <w:rsid w:val="0030336F"/>
    <w:rsid w:val="00303C5F"/>
    <w:rsid w:val="003040BE"/>
    <w:rsid w:val="0030641B"/>
    <w:rsid w:val="0030662B"/>
    <w:rsid w:val="00307E9C"/>
    <w:rsid w:val="00307F8B"/>
    <w:rsid w:val="00307F96"/>
    <w:rsid w:val="003101DA"/>
    <w:rsid w:val="003111C3"/>
    <w:rsid w:val="0031186A"/>
    <w:rsid w:val="00312443"/>
    <w:rsid w:val="00312DDD"/>
    <w:rsid w:val="00313B84"/>
    <w:rsid w:val="00313DF2"/>
    <w:rsid w:val="00314757"/>
    <w:rsid w:val="00315689"/>
    <w:rsid w:val="00315CD0"/>
    <w:rsid w:val="00316204"/>
    <w:rsid w:val="003163BC"/>
    <w:rsid w:val="00316B19"/>
    <w:rsid w:val="00317410"/>
    <w:rsid w:val="00317649"/>
    <w:rsid w:val="003211CE"/>
    <w:rsid w:val="0032190A"/>
    <w:rsid w:val="00321B6E"/>
    <w:rsid w:val="00321FB5"/>
    <w:rsid w:val="00322F53"/>
    <w:rsid w:val="00323EE7"/>
    <w:rsid w:val="003261D6"/>
    <w:rsid w:val="00326FA7"/>
    <w:rsid w:val="0032714E"/>
    <w:rsid w:val="003273BB"/>
    <w:rsid w:val="00327412"/>
    <w:rsid w:val="00327443"/>
    <w:rsid w:val="00330E17"/>
    <w:rsid w:val="00331C8C"/>
    <w:rsid w:val="00333E89"/>
    <w:rsid w:val="00333FA3"/>
    <w:rsid w:val="003343C8"/>
    <w:rsid w:val="003343FE"/>
    <w:rsid w:val="003344C3"/>
    <w:rsid w:val="0033564E"/>
    <w:rsid w:val="00335BA0"/>
    <w:rsid w:val="00335EAC"/>
    <w:rsid w:val="0033715F"/>
    <w:rsid w:val="003373A2"/>
    <w:rsid w:val="00337C84"/>
    <w:rsid w:val="003473A2"/>
    <w:rsid w:val="00350683"/>
    <w:rsid w:val="00350A8C"/>
    <w:rsid w:val="00350DE4"/>
    <w:rsid w:val="00351E6B"/>
    <w:rsid w:val="00352C2F"/>
    <w:rsid w:val="0035403A"/>
    <w:rsid w:val="003549A8"/>
    <w:rsid w:val="00360B70"/>
    <w:rsid w:val="003619C3"/>
    <w:rsid w:val="00361EF5"/>
    <w:rsid w:val="00363316"/>
    <w:rsid w:val="0036394B"/>
    <w:rsid w:val="00365D50"/>
    <w:rsid w:val="00366AC7"/>
    <w:rsid w:val="00366DB6"/>
    <w:rsid w:val="003671B0"/>
    <w:rsid w:val="0036724C"/>
    <w:rsid w:val="0036763F"/>
    <w:rsid w:val="00370325"/>
    <w:rsid w:val="003706AD"/>
    <w:rsid w:val="003709B5"/>
    <w:rsid w:val="0037156B"/>
    <w:rsid w:val="003735E3"/>
    <w:rsid w:val="003742B8"/>
    <w:rsid w:val="00374705"/>
    <w:rsid w:val="00374855"/>
    <w:rsid w:val="00375309"/>
    <w:rsid w:val="003753B1"/>
    <w:rsid w:val="0037566A"/>
    <w:rsid w:val="003759C2"/>
    <w:rsid w:val="00376056"/>
    <w:rsid w:val="0037710B"/>
    <w:rsid w:val="00377EE7"/>
    <w:rsid w:val="00377FCD"/>
    <w:rsid w:val="00380066"/>
    <w:rsid w:val="00380F32"/>
    <w:rsid w:val="003819B8"/>
    <w:rsid w:val="00381AAD"/>
    <w:rsid w:val="00383AB4"/>
    <w:rsid w:val="00384303"/>
    <w:rsid w:val="0038541C"/>
    <w:rsid w:val="00385853"/>
    <w:rsid w:val="00385A73"/>
    <w:rsid w:val="00386A4D"/>
    <w:rsid w:val="00386A9A"/>
    <w:rsid w:val="00387C27"/>
    <w:rsid w:val="0039127D"/>
    <w:rsid w:val="0039155D"/>
    <w:rsid w:val="0039158A"/>
    <w:rsid w:val="0039172F"/>
    <w:rsid w:val="003923CF"/>
    <w:rsid w:val="0039240B"/>
    <w:rsid w:val="00393F9F"/>
    <w:rsid w:val="00395E11"/>
    <w:rsid w:val="00396389"/>
    <w:rsid w:val="0039666B"/>
    <w:rsid w:val="003968D7"/>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0A50"/>
    <w:rsid w:val="003C156A"/>
    <w:rsid w:val="003C1B5F"/>
    <w:rsid w:val="003C200D"/>
    <w:rsid w:val="003C242C"/>
    <w:rsid w:val="003C3447"/>
    <w:rsid w:val="003C34F3"/>
    <w:rsid w:val="003C4072"/>
    <w:rsid w:val="003C7029"/>
    <w:rsid w:val="003D0607"/>
    <w:rsid w:val="003D076C"/>
    <w:rsid w:val="003D1367"/>
    <w:rsid w:val="003D160E"/>
    <w:rsid w:val="003D1FD8"/>
    <w:rsid w:val="003D2CCA"/>
    <w:rsid w:val="003D34F9"/>
    <w:rsid w:val="003D38E3"/>
    <w:rsid w:val="003D4D4F"/>
    <w:rsid w:val="003D6335"/>
    <w:rsid w:val="003D72C0"/>
    <w:rsid w:val="003D7344"/>
    <w:rsid w:val="003E01CE"/>
    <w:rsid w:val="003E0745"/>
    <w:rsid w:val="003E3276"/>
    <w:rsid w:val="003E3442"/>
    <w:rsid w:val="003E5374"/>
    <w:rsid w:val="003E5626"/>
    <w:rsid w:val="003E5647"/>
    <w:rsid w:val="003E669A"/>
    <w:rsid w:val="003E7112"/>
    <w:rsid w:val="003E7817"/>
    <w:rsid w:val="003E78B5"/>
    <w:rsid w:val="003F0183"/>
    <w:rsid w:val="003F1778"/>
    <w:rsid w:val="003F2560"/>
    <w:rsid w:val="003F48EF"/>
    <w:rsid w:val="003F54A4"/>
    <w:rsid w:val="003F70F2"/>
    <w:rsid w:val="003F77E3"/>
    <w:rsid w:val="003F7823"/>
    <w:rsid w:val="003F7F77"/>
    <w:rsid w:val="00400A3D"/>
    <w:rsid w:val="0040199C"/>
    <w:rsid w:val="00402C03"/>
    <w:rsid w:val="00405029"/>
    <w:rsid w:val="00405DA8"/>
    <w:rsid w:val="00406FA9"/>
    <w:rsid w:val="0040703E"/>
    <w:rsid w:val="0040781C"/>
    <w:rsid w:val="00407853"/>
    <w:rsid w:val="00407940"/>
    <w:rsid w:val="00407A25"/>
    <w:rsid w:val="00410552"/>
    <w:rsid w:val="004135D1"/>
    <w:rsid w:val="0041509C"/>
    <w:rsid w:val="004151D9"/>
    <w:rsid w:val="0041597A"/>
    <w:rsid w:val="00415AF5"/>
    <w:rsid w:val="00415BAB"/>
    <w:rsid w:val="00415ED2"/>
    <w:rsid w:val="0042068C"/>
    <w:rsid w:val="004224D5"/>
    <w:rsid w:val="00423679"/>
    <w:rsid w:val="004237FF"/>
    <w:rsid w:val="00423AC0"/>
    <w:rsid w:val="004255DF"/>
    <w:rsid w:val="00425A70"/>
    <w:rsid w:val="00425B06"/>
    <w:rsid w:val="00425E93"/>
    <w:rsid w:val="00425F7D"/>
    <w:rsid w:val="00426B5B"/>
    <w:rsid w:val="004272FF"/>
    <w:rsid w:val="0043040A"/>
    <w:rsid w:val="0043119A"/>
    <w:rsid w:val="0043189A"/>
    <w:rsid w:val="004325C7"/>
    <w:rsid w:val="00432822"/>
    <w:rsid w:val="0043340F"/>
    <w:rsid w:val="00434EA8"/>
    <w:rsid w:val="00435B1A"/>
    <w:rsid w:val="0044032E"/>
    <w:rsid w:val="00440840"/>
    <w:rsid w:val="00440DC7"/>
    <w:rsid w:val="00441C8E"/>
    <w:rsid w:val="00441FD9"/>
    <w:rsid w:val="004422A7"/>
    <w:rsid w:val="004429D9"/>
    <w:rsid w:val="0044318E"/>
    <w:rsid w:val="00443B35"/>
    <w:rsid w:val="00444599"/>
    <w:rsid w:val="00446813"/>
    <w:rsid w:val="00446BEE"/>
    <w:rsid w:val="00446C55"/>
    <w:rsid w:val="004473BC"/>
    <w:rsid w:val="0045009B"/>
    <w:rsid w:val="004508F2"/>
    <w:rsid w:val="00450A9D"/>
    <w:rsid w:val="00451303"/>
    <w:rsid w:val="0045178C"/>
    <w:rsid w:val="00452577"/>
    <w:rsid w:val="004526AC"/>
    <w:rsid w:val="00453A7C"/>
    <w:rsid w:val="0045463B"/>
    <w:rsid w:val="00454CE8"/>
    <w:rsid w:val="00455DAE"/>
    <w:rsid w:val="00455E26"/>
    <w:rsid w:val="00456622"/>
    <w:rsid w:val="00457672"/>
    <w:rsid w:val="00461628"/>
    <w:rsid w:val="00461D9A"/>
    <w:rsid w:val="00464E7F"/>
    <w:rsid w:val="00465632"/>
    <w:rsid w:val="00466988"/>
    <w:rsid w:val="00467FA9"/>
    <w:rsid w:val="0047092D"/>
    <w:rsid w:val="0047122B"/>
    <w:rsid w:val="00472125"/>
    <w:rsid w:val="00473747"/>
    <w:rsid w:val="00473B7A"/>
    <w:rsid w:val="00474922"/>
    <w:rsid w:val="0047582B"/>
    <w:rsid w:val="004771D9"/>
    <w:rsid w:val="00481F5D"/>
    <w:rsid w:val="0048216C"/>
    <w:rsid w:val="00482A7B"/>
    <w:rsid w:val="00482CC1"/>
    <w:rsid w:val="00482CE5"/>
    <w:rsid w:val="00482D44"/>
    <w:rsid w:val="004836D4"/>
    <w:rsid w:val="00483D96"/>
    <w:rsid w:val="00485135"/>
    <w:rsid w:val="00485CA3"/>
    <w:rsid w:val="00485D2D"/>
    <w:rsid w:val="0049067A"/>
    <w:rsid w:val="00490CC9"/>
    <w:rsid w:val="00492C4A"/>
    <w:rsid w:val="0049354B"/>
    <w:rsid w:val="00493DB1"/>
    <w:rsid w:val="00495EFD"/>
    <w:rsid w:val="004960E9"/>
    <w:rsid w:val="00497384"/>
    <w:rsid w:val="00497798"/>
    <w:rsid w:val="00497DC9"/>
    <w:rsid w:val="004A03A3"/>
    <w:rsid w:val="004A1973"/>
    <w:rsid w:val="004A2E88"/>
    <w:rsid w:val="004A3020"/>
    <w:rsid w:val="004A388F"/>
    <w:rsid w:val="004A5305"/>
    <w:rsid w:val="004A6144"/>
    <w:rsid w:val="004A6D92"/>
    <w:rsid w:val="004B132B"/>
    <w:rsid w:val="004B13C6"/>
    <w:rsid w:val="004B18C9"/>
    <w:rsid w:val="004B3261"/>
    <w:rsid w:val="004B41C9"/>
    <w:rsid w:val="004B4883"/>
    <w:rsid w:val="004B7FAF"/>
    <w:rsid w:val="004C0257"/>
    <w:rsid w:val="004C0564"/>
    <w:rsid w:val="004C05BC"/>
    <w:rsid w:val="004C687E"/>
    <w:rsid w:val="004D040D"/>
    <w:rsid w:val="004D0A13"/>
    <w:rsid w:val="004D182B"/>
    <w:rsid w:val="004D31A3"/>
    <w:rsid w:val="004D3F54"/>
    <w:rsid w:val="004D4B8C"/>
    <w:rsid w:val="004D5A3A"/>
    <w:rsid w:val="004D6BC4"/>
    <w:rsid w:val="004D72B2"/>
    <w:rsid w:val="004D7634"/>
    <w:rsid w:val="004E1214"/>
    <w:rsid w:val="004E196A"/>
    <w:rsid w:val="004E2FDA"/>
    <w:rsid w:val="004E410F"/>
    <w:rsid w:val="004E55D4"/>
    <w:rsid w:val="004E5EAA"/>
    <w:rsid w:val="004E611A"/>
    <w:rsid w:val="004E650C"/>
    <w:rsid w:val="004F0852"/>
    <w:rsid w:val="004F10BC"/>
    <w:rsid w:val="004F165C"/>
    <w:rsid w:val="004F177E"/>
    <w:rsid w:val="004F17CA"/>
    <w:rsid w:val="004F3DF8"/>
    <w:rsid w:val="004F41A1"/>
    <w:rsid w:val="004F5F72"/>
    <w:rsid w:val="004F6360"/>
    <w:rsid w:val="004F6460"/>
    <w:rsid w:val="004F66B7"/>
    <w:rsid w:val="004F6E76"/>
    <w:rsid w:val="004F78A4"/>
    <w:rsid w:val="00500953"/>
    <w:rsid w:val="00500BBD"/>
    <w:rsid w:val="005010CF"/>
    <w:rsid w:val="00501B13"/>
    <w:rsid w:val="00503CCE"/>
    <w:rsid w:val="005044C6"/>
    <w:rsid w:val="00504B33"/>
    <w:rsid w:val="0050645A"/>
    <w:rsid w:val="00506AFF"/>
    <w:rsid w:val="00506E54"/>
    <w:rsid w:val="00507DC6"/>
    <w:rsid w:val="0051288E"/>
    <w:rsid w:val="00513D79"/>
    <w:rsid w:val="00515D56"/>
    <w:rsid w:val="0051635B"/>
    <w:rsid w:val="00517400"/>
    <w:rsid w:val="00520C93"/>
    <w:rsid w:val="00521271"/>
    <w:rsid w:val="0052144F"/>
    <w:rsid w:val="005233AC"/>
    <w:rsid w:val="00523A96"/>
    <w:rsid w:val="00525389"/>
    <w:rsid w:val="00525697"/>
    <w:rsid w:val="00525AEE"/>
    <w:rsid w:val="00526A6A"/>
    <w:rsid w:val="00526C8C"/>
    <w:rsid w:val="0052720E"/>
    <w:rsid w:val="0052725A"/>
    <w:rsid w:val="005300D3"/>
    <w:rsid w:val="0053058C"/>
    <w:rsid w:val="0053520D"/>
    <w:rsid w:val="00536925"/>
    <w:rsid w:val="0054109E"/>
    <w:rsid w:val="00541706"/>
    <w:rsid w:val="00542A10"/>
    <w:rsid w:val="00543038"/>
    <w:rsid w:val="0054303F"/>
    <w:rsid w:val="00543B0C"/>
    <w:rsid w:val="00544F82"/>
    <w:rsid w:val="00545368"/>
    <w:rsid w:val="00545DA9"/>
    <w:rsid w:val="005460E7"/>
    <w:rsid w:val="00546568"/>
    <w:rsid w:val="00546CD5"/>
    <w:rsid w:val="00550362"/>
    <w:rsid w:val="005509D2"/>
    <w:rsid w:val="00551C12"/>
    <w:rsid w:val="00554752"/>
    <w:rsid w:val="00554C96"/>
    <w:rsid w:val="00555193"/>
    <w:rsid w:val="00555BA6"/>
    <w:rsid w:val="00555F0E"/>
    <w:rsid w:val="00557262"/>
    <w:rsid w:val="0055791F"/>
    <w:rsid w:val="00560A68"/>
    <w:rsid w:val="005624BA"/>
    <w:rsid w:val="005628C1"/>
    <w:rsid w:val="00563E79"/>
    <w:rsid w:val="0056428B"/>
    <w:rsid w:val="00564B67"/>
    <w:rsid w:val="00564B8B"/>
    <w:rsid w:val="00564E43"/>
    <w:rsid w:val="00564EDF"/>
    <w:rsid w:val="0056570C"/>
    <w:rsid w:val="00566685"/>
    <w:rsid w:val="005673AC"/>
    <w:rsid w:val="00570B63"/>
    <w:rsid w:val="00570CC7"/>
    <w:rsid w:val="005711EC"/>
    <w:rsid w:val="005714A3"/>
    <w:rsid w:val="00571C46"/>
    <w:rsid w:val="00571D26"/>
    <w:rsid w:val="005725A3"/>
    <w:rsid w:val="00573248"/>
    <w:rsid w:val="00574008"/>
    <w:rsid w:val="005750F5"/>
    <w:rsid w:val="00581CA2"/>
    <w:rsid w:val="00583086"/>
    <w:rsid w:val="005843A4"/>
    <w:rsid w:val="00584F0B"/>
    <w:rsid w:val="00584FA8"/>
    <w:rsid w:val="005855A6"/>
    <w:rsid w:val="00585CF8"/>
    <w:rsid w:val="00585EEC"/>
    <w:rsid w:val="00586CF2"/>
    <w:rsid w:val="00586FBD"/>
    <w:rsid w:val="0058789C"/>
    <w:rsid w:val="00587B49"/>
    <w:rsid w:val="00590FA3"/>
    <w:rsid w:val="005912D1"/>
    <w:rsid w:val="0059145D"/>
    <w:rsid w:val="00591A33"/>
    <w:rsid w:val="00592A56"/>
    <w:rsid w:val="00593C4F"/>
    <w:rsid w:val="005943AA"/>
    <w:rsid w:val="005946A8"/>
    <w:rsid w:val="00595129"/>
    <w:rsid w:val="0059537B"/>
    <w:rsid w:val="005953C5"/>
    <w:rsid w:val="005978D8"/>
    <w:rsid w:val="005A01FB"/>
    <w:rsid w:val="005A0E0C"/>
    <w:rsid w:val="005A35ED"/>
    <w:rsid w:val="005A3E1C"/>
    <w:rsid w:val="005A4407"/>
    <w:rsid w:val="005A59EF"/>
    <w:rsid w:val="005A5B8B"/>
    <w:rsid w:val="005A648D"/>
    <w:rsid w:val="005B1C7E"/>
    <w:rsid w:val="005B2098"/>
    <w:rsid w:val="005B4299"/>
    <w:rsid w:val="005B5C88"/>
    <w:rsid w:val="005B6CB3"/>
    <w:rsid w:val="005B6E70"/>
    <w:rsid w:val="005B755B"/>
    <w:rsid w:val="005B7603"/>
    <w:rsid w:val="005C00E9"/>
    <w:rsid w:val="005C1C67"/>
    <w:rsid w:val="005C2146"/>
    <w:rsid w:val="005C3BAA"/>
    <w:rsid w:val="005C51B8"/>
    <w:rsid w:val="005C6976"/>
    <w:rsid w:val="005C7781"/>
    <w:rsid w:val="005D0A73"/>
    <w:rsid w:val="005D1C05"/>
    <w:rsid w:val="005D1DE8"/>
    <w:rsid w:val="005D352F"/>
    <w:rsid w:val="005D4E80"/>
    <w:rsid w:val="005D533D"/>
    <w:rsid w:val="005D5BC6"/>
    <w:rsid w:val="005E2B7C"/>
    <w:rsid w:val="005E3435"/>
    <w:rsid w:val="005E4914"/>
    <w:rsid w:val="005E52FB"/>
    <w:rsid w:val="005F3035"/>
    <w:rsid w:val="005F3416"/>
    <w:rsid w:val="005F39CA"/>
    <w:rsid w:val="005F526D"/>
    <w:rsid w:val="005F5539"/>
    <w:rsid w:val="005F6036"/>
    <w:rsid w:val="005F6F41"/>
    <w:rsid w:val="005F7013"/>
    <w:rsid w:val="00601DDF"/>
    <w:rsid w:val="00603720"/>
    <w:rsid w:val="00605DA0"/>
    <w:rsid w:val="006075EC"/>
    <w:rsid w:val="0061079B"/>
    <w:rsid w:val="00610A14"/>
    <w:rsid w:val="0061112B"/>
    <w:rsid w:val="00611B5C"/>
    <w:rsid w:val="00613F42"/>
    <w:rsid w:val="00614138"/>
    <w:rsid w:val="00614509"/>
    <w:rsid w:val="0061581B"/>
    <w:rsid w:val="006166B9"/>
    <w:rsid w:val="00616B17"/>
    <w:rsid w:val="00620164"/>
    <w:rsid w:val="006203E4"/>
    <w:rsid w:val="006227AE"/>
    <w:rsid w:val="00623032"/>
    <w:rsid w:val="006236DF"/>
    <w:rsid w:val="00625D9F"/>
    <w:rsid w:val="00625DC6"/>
    <w:rsid w:val="006263B4"/>
    <w:rsid w:val="0062729D"/>
    <w:rsid w:val="00627335"/>
    <w:rsid w:val="006327E7"/>
    <w:rsid w:val="00632871"/>
    <w:rsid w:val="006331CB"/>
    <w:rsid w:val="006338A8"/>
    <w:rsid w:val="00635B22"/>
    <w:rsid w:val="00636835"/>
    <w:rsid w:val="00637F1B"/>
    <w:rsid w:val="00641554"/>
    <w:rsid w:val="006421B1"/>
    <w:rsid w:val="0064343E"/>
    <w:rsid w:val="0064391D"/>
    <w:rsid w:val="00644272"/>
    <w:rsid w:val="00644E86"/>
    <w:rsid w:val="006455E8"/>
    <w:rsid w:val="00645BF9"/>
    <w:rsid w:val="00646656"/>
    <w:rsid w:val="00646756"/>
    <w:rsid w:val="006508AB"/>
    <w:rsid w:val="00650D7D"/>
    <w:rsid w:val="00651154"/>
    <w:rsid w:val="006516F4"/>
    <w:rsid w:val="00651821"/>
    <w:rsid w:val="00651BBF"/>
    <w:rsid w:val="00651C8E"/>
    <w:rsid w:val="006528E5"/>
    <w:rsid w:val="006542D2"/>
    <w:rsid w:val="00654384"/>
    <w:rsid w:val="00657CE2"/>
    <w:rsid w:val="0066106D"/>
    <w:rsid w:val="006622B2"/>
    <w:rsid w:val="00662962"/>
    <w:rsid w:val="00666A1D"/>
    <w:rsid w:val="006675CD"/>
    <w:rsid w:val="00667AD5"/>
    <w:rsid w:val="0067112B"/>
    <w:rsid w:val="0067238D"/>
    <w:rsid w:val="006727A7"/>
    <w:rsid w:val="00672B29"/>
    <w:rsid w:val="006740B2"/>
    <w:rsid w:val="00674313"/>
    <w:rsid w:val="006747D5"/>
    <w:rsid w:val="00675985"/>
    <w:rsid w:val="00677E6A"/>
    <w:rsid w:val="00677FB9"/>
    <w:rsid w:val="00680BFA"/>
    <w:rsid w:val="0068209A"/>
    <w:rsid w:val="0068283E"/>
    <w:rsid w:val="006834A5"/>
    <w:rsid w:val="006839F8"/>
    <w:rsid w:val="00683D4C"/>
    <w:rsid w:val="00683EB3"/>
    <w:rsid w:val="00684D9B"/>
    <w:rsid w:val="0068510A"/>
    <w:rsid w:val="00685BCB"/>
    <w:rsid w:val="00686D99"/>
    <w:rsid w:val="00690CEF"/>
    <w:rsid w:val="00691A72"/>
    <w:rsid w:val="0069245B"/>
    <w:rsid w:val="00694E6C"/>
    <w:rsid w:val="00696AAD"/>
    <w:rsid w:val="00697556"/>
    <w:rsid w:val="006A1CA8"/>
    <w:rsid w:val="006A1EB6"/>
    <w:rsid w:val="006A2EDF"/>
    <w:rsid w:val="006A3788"/>
    <w:rsid w:val="006A616B"/>
    <w:rsid w:val="006A72C7"/>
    <w:rsid w:val="006B161A"/>
    <w:rsid w:val="006B1FDF"/>
    <w:rsid w:val="006B4081"/>
    <w:rsid w:val="006B4647"/>
    <w:rsid w:val="006B47F6"/>
    <w:rsid w:val="006B4C2B"/>
    <w:rsid w:val="006B4DC4"/>
    <w:rsid w:val="006B59E0"/>
    <w:rsid w:val="006B5DFE"/>
    <w:rsid w:val="006B6139"/>
    <w:rsid w:val="006B6194"/>
    <w:rsid w:val="006B661E"/>
    <w:rsid w:val="006B6D47"/>
    <w:rsid w:val="006B7078"/>
    <w:rsid w:val="006B719A"/>
    <w:rsid w:val="006B7D1E"/>
    <w:rsid w:val="006C1FD7"/>
    <w:rsid w:val="006C3783"/>
    <w:rsid w:val="006C3E16"/>
    <w:rsid w:val="006C4912"/>
    <w:rsid w:val="006C5AFE"/>
    <w:rsid w:val="006C7715"/>
    <w:rsid w:val="006C7AF6"/>
    <w:rsid w:val="006D18C3"/>
    <w:rsid w:val="006D21D6"/>
    <w:rsid w:val="006D2747"/>
    <w:rsid w:val="006D30B1"/>
    <w:rsid w:val="006D4BE3"/>
    <w:rsid w:val="006D5E04"/>
    <w:rsid w:val="006E0A54"/>
    <w:rsid w:val="006E155D"/>
    <w:rsid w:val="006E160E"/>
    <w:rsid w:val="006E1EEA"/>
    <w:rsid w:val="006E4298"/>
    <w:rsid w:val="006E4C15"/>
    <w:rsid w:val="006E5FC3"/>
    <w:rsid w:val="006F20BB"/>
    <w:rsid w:val="006F268E"/>
    <w:rsid w:val="006F2EC8"/>
    <w:rsid w:val="006F33A3"/>
    <w:rsid w:val="006F3970"/>
    <w:rsid w:val="006F4824"/>
    <w:rsid w:val="006F56D0"/>
    <w:rsid w:val="006F5E13"/>
    <w:rsid w:val="006F6591"/>
    <w:rsid w:val="006F6D95"/>
    <w:rsid w:val="006F737C"/>
    <w:rsid w:val="006F7CFE"/>
    <w:rsid w:val="00701061"/>
    <w:rsid w:val="00702937"/>
    <w:rsid w:val="007038BC"/>
    <w:rsid w:val="00705F85"/>
    <w:rsid w:val="00706F13"/>
    <w:rsid w:val="007072E8"/>
    <w:rsid w:val="007076FB"/>
    <w:rsid w:val="00710FF1"/>
    <w:rsid w:val="00711878"/>
    <w:rsid w:val="007127EF"/>
    <w:rsid w:val="007134B4"/>
    <w:rsid w:val="0071364F"/>
    <w:rsid w:val="00713F03"/>
    <w:rsid w:val="00714A31"/>
    <w:rsid w:val="0071618D"/>
    <w:rsid w:val="00716988"/>
    <w:rsid w:val="00717AD8"/>
    <w:rsid w:val="007209A6"/>
    <w:rsid w:val="0072116F"/>
    <w:rsid w:val="00721534"/>
    <w:rsid w:val="00721A52"/>
    <w:rsid w:val="00721D5B"/>
    <w:rsid w:val="00722B3D"/>
    <w:rsid w:val="00723CF0"/>
    <w:rsid w:val="0072463D"/>
    <w:rsid w:val="00724792"/>
    <w:rsid w:val="00724A10"/>
    <w:rsid w:val="00724C58"/>
    <w:rsid w:val="00725C6A"/>
    <w:rsid w:val="00725E0C"/>
    <w:rsid w:val="00725FA4"/>
    <w:rsid w:val="00726548"/>
    <w:rsid w:val="00727B2C"/>
    <w:rsid w:val="00727D69"/>
    <w:rsid w:val="00732E0B"/>
    <w:rsid w:val="00732FDC"/>
    <w:rsid w:val="00733492"/>
    <w:rsid w:val="007337B8"/>
    <w:rsid w:val="00733DD7"/>
    <w:rsid w:val="007340CC"/>
    <w:rsid w:val="00734187"/>
    <w:rsid w:val="00734C73"/>
    <w:rsid w:val="00735BB3"/>
    <w:rsid w:val="00735D96"/>
    <w:rsid w:val="0073609F"/>
    <w:rsid w:val="0073688B"/>
    <w:rsid w:val="00740446"/>
    <w:rsid w:val="007412D9"/>
    <w:rsid w:val="007438A9"/>
    <w:rsid w:val="00743E7F"/>
    <w:rsid w:val="007442DF"/>
    <w:rsid w:val="0074491E"/>
    <w:rsid w:val="00745C85"/>
    <w:rsid w:val="00747A51"/>
    <w:rsid w:val="00747CC3"/>
    <w:rsid w:val="00750180"/>
    <w:rsid w:val="007511E4"/>
    <w:rsid w:val="007512D6"/>
    <w:rsid w:val="00751633"/>
    <w:rsid w:val="007539EC"/>
    <w:rsid w:val="0075578E"/>
    <w:rsid w:val="00756A92"/>
    <w:rsid w:val="00757E88"/>
    <w:rsid w:val="007601EE"/>
    <w:rsid w:val="007602F3"/>
    <w:rsid w:val="0076163F"/>
    <w:rsid w:val="007618FE"/>
    <w:rsid w:val="00761CE0"/>
    <w:rsid w:val="0076247A"/>
    <w:rsid w:val="00762C63"/>
    <w:rsid w:val="00762FB0"/>
    <w:rsid w:val="00763175"/>
    <w:rsid w:val="00763381"/>
    <w:rsid w:val="00763FE0"/>
    <w:rsid w:val="00766D6A"/>
    <w:rsid w:val="00767391"/>
    <w:rsid w:val="007705CD"/>
    <w:rsid w:val="00770E74"/>
    <w:rsid w:val="007748A8"/>
    <w:rsid w:val="00774ABE"/>
    <w:rsid w:val="00774BB4"/>
    <w:rsid w:val="00775964"/>
    <w:rsid w:val="00775A0F"/>
    <w:rsid w:val="0077639F"/>
    <w:rsid w:val="007765FE"/>
    <w:rsid w:val="007766B3"/>
    <w:rsid w:val="007766CD"/>
    <w:rsid w:val="00777163"/>
    <w:rsid w:val="0077794A"/>
    <w:rsid w:val="00781E1A"/>
    <w:rsid w:val="007824C8"/>
    <w:rsid w:val="0078357E"/>
    <w:rsid w:val="00783EB1"/>
    <w:rsid w:val="00783FEE"/>
    <w:rsid w:val="00785678"/>
    <w:rsid w:val="00787E5A"/>
    <w:rsid w:val="007902C8"/>
    <w:rsid w:val="00790375"/>
    <w:rsid w:val="007905DC"/>
    <w:rsid w:val="007910F2"/>
    <w:rsid w:val="00791E7E"/>
    <w:rsid w:val="00792235"/>
    <w:rsid w:val="007928B7"/>
    <w:rsid w:val="00793C5D"/>
    <w:rsid w:val="00794E2E"/>
    <w:rsid w:val="00795373"/>
    <w:rsid w:val="00795BFB"/>
    <w:rsid w:val="0079643A"/>
    <w:rsid w:val="00796E46"/>
    <w:rsid w:val="007A060C"/>
    <w:rsid w:val="007A5145"/>
    <w:rsid w:val="007A5E57"/>
    <w:rsid w:val="007A7217"/>
    <w:rsid w:val="007A7CE2"/>
    <w:rsid w:val="007B0FAC"/>
    <w:rsid w:val="007B100F"/>
    <w:rsid w:val="007B1CF5"/>
    <w:rsid w:val="007B2760"/>
    <w:rsid w:val="007B53E9"/>
    <w:rsid w:val="007B564B"/>
    <w:rsid w:val="007B5CF2"/>
    <w:rsid w:val="007B71EE"/>
    <w:rsid w:val="007B77CE"/>
    <w:rsid w:val="007C127E"/>
    <w:rsid w:val="007C1499"/>
    <w:rsid w:val="007C1597"/>
    <w:rsid w:val="007C1B10"/>
    <w:rsid w:val="007C2407"/>
    <w:rsid w:val="007C585E"/>
    <w:rsid w:val="007C5B24"/>
    <w:rsid w:val="007C79E3"/>
    <w:rsid w:val="007D2D1E"/>
    <w:rsid w:val="007D49D7"/>
    <w:rsid w:val="007D69D2"/>
    <w:rsid w:val="007D6B92"/>
    <w:rsid w:val="007E09A4"/>
    <w:rsid w:val="007E1112"/>
    <w:rsid w:val="007E1812"/>
    <w:rsid w:val="007E3D47"/>
    <w:rsid w:val="007E4A8E"/>
    <w:rsid w:val="007E5792"/>
    <w:rsid w:val="007E5B81"/>
    <w:rsid w:val="007E661B"/>
    <w:rsid w:val="007E66B1"/>
    <w:rsid w:val="007E71A4"/>
    <w:rsid w:val="007E7A97"/>
    <w:rsid w:val="007F0A61"/>
    <w:rsid w:val="007F0ED1"/>
    <w:rsid w:val="007F1280"/>
    <w:rsid w:val="007F2225"/>
    <w:rsid w:val="007F433E"/>
    <w:rsid w:val="007F4F12"/>
    <w:rsid w:val="007F621E"/>
    <w:rsid w:val="007F6527"/>
    <w:rsid w:val="007F6C99"/>
    <w:rsid w:val="007F7C1B"/>
    <w:rsid w:val="00800D21"/>
    <w:rsid w:val="0080164A"/>
    <w:rsid w:val="00801F33"/>
    <w:rsid w:val="008021DD"/>
    <w:rsid w:val="00802E44"/>
    <w:rsid w:val="00803071"/>
    <w:rsid w:val="0080401E"/>
    <w:rsid w:val="008043BB"/>
    <w:rsid w:val="00804D2E"/>
    <w:rsid w:val="00806C01"/>
    <w:rsid w:val="00807DB9"/>
    <w:rsid w:val="00810423"/>
    <w:rsid w:val="00810A93"/>
    <w:rsid w:val="00810EF4"/>
    <w:rsid w:val="00811D3E"/>
    <w:rsid w:val="00812BAE"/>
    <w:rsid w:val="008148CC"/>
    <w:rsid w:val="00815950"/>
    <w:rsid w:val="008166E4"/>
    <w:rsid w:val="008167FC"/>
    <w:rsid w:val="00817731"/>
    <w:rsid w:val="008211A4"/>
    <w:rsid w:val="008211BA"/>
    <w:rsid w:val="00821986"/>
    <w:rsid w:val="00822961"/>
    <w:rsid w:val="0082311D"/>
    <w:rsid w:val="008237CA"/>
    <w:rsid w:val="00823CA6"/>
    <w:rsid w:val="00824D19"/>
    <w:rsid w:val="00824F30"/>
    <w:rsid w:val="008251BC"/>
    <w:rsid w:val="00826E96"/>
    <w:rsid w:val="0082755A"/>
    <w:rsid w:val="008276D9"/>
    <w:rsid w:val="00830FF0"/>
    <w:rsid w:val="0083140E"/>
    <w:rsid w:val="008318F6"/>
    <w:rsid w:val="00831A7D"/>
    <w:rsid w:val="00831CE4"/>
    <w:rsid w:val="008320DE"/>
    <w:rsid w:val="00833F8A"/>
    <w:rsid w:val="008340D4"/>
    <w:rsid w:val="00834EFB"/>
    <w:rsid w:val="00836580"/>
    <w:rsid w:val="00837AD4"/>
    <w:rsid w:val="00840446"/>
    <w:rsid w:val="00841D80"/>
    <w:rsid w:val="00842049"/>
    <w:rsid w:val="00842644"/>
    <w:rsid w:val="00843DAD"/>
    <w:rsid w:val="00845BAD"/>
    <w:rsid w:val="0084693A"/>
    <w:rsid w:val="00850675"/>
    <w:rsid w:val="008511DC"/>
    <w:rsid w:val="008529BA"/>
    <w:rsid w:val="00854203"/>
    <w:rsid w:val="0085640E"/>
    <w:rsid w:val="008567D4"/>
    <w:rsid w:val="00857300"/>
    <w:rsid w:val="00861829"/>
    <w:rsid w:val="008625B3"/>
    <w:rsid w:val="00862958"/>
    <w:rsid w:val="00862E48"/>
    <w:rsid w:val="008636AD"/>
    <w:rsid w:val="00863A37"/>
    <w:rsid w:val="00863AB8"/>
    <w:rsid w:val="008646F2"/>
    <w:rsid w:val="00864C35"/>
    <w:rsid w:val="00864F48"/>
    <w:rsid w:val="00865BEE"/>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0D6C"/>
    <w:rsid w:val="00892F2C"/>
    <w:rsid w:val="0089340F"/>
    <w:rsid w:val="00893CFC"/>
    <w:rsid w:val="008944D2"/>
    <w:rsid w:val="00894B89"/>
    <w:rsid w:val="008951CD"/>
    <w:rsid w:val="00895326"/>
    <w:rsid w:val="00895891"/>
    <w:rsid w:val="0089643A"/>
    <w:rsid w:val="0089676D"/>
    <w:rsid w:val="00896F62"/>
    <w:rsid w:val="00897C27"/>
    <w:rsid w:val="00897C75"/>
    <w:rsid w:val="008A0F70"/>
    <w:rsid w:val="008A1221"/>
    <w:rsid w:val="008A1461"/>
    <w:rsid w:val="008A1EB9"/>
    <w:rsid w:val="008A1EDB"/>
    <w:rsid w:val="008A2565"/>
    <w:rsid w:val="008A4148"/>
    <w:rsid w:val="008A4BD9"/>
    <w:rsid w:val="008A6101"/>
    <w:rsid w:val="008A66C8"/>
    <w:rsid w:val="008A6BE9"/>
    <w:rsid w:val="008A75E8"/>
    <w:rsid w:val="008A7669"/>
    <w:rsid w:val="008B0FC2"/>
    <w:rsid w:val="008B1869"/>
    <w:rsid w:val="008B21A6"/>
    <w:rsid w:val="008B2CC8"/>
    <w:rsid w:val="008B2CEF"/>
    <w:rsid w:val="008B2EAF"/>
    <w:rsid w:val="008B3AEF"/>
    <w:rsid w:val="008B502D"/>
    <w:rsid w:val="008B61E5"/>
    <w:rsid w:val="008B6760"/>
    <w:rsid w:val="008B6CFD"/>
    <w:rsid w:val="008C0277"/>
    <w:rsid w:val="008C0339"/>
    <w:rsid w:val="008C1097"/>
    <w:rsid w:val="008C1130"/>
    <w:rsid w:val="008C145B"/>
    <w:rsid w:val="008C1914"/>
    <w:rsid w:val="008C3591"/>
    <w:rsid w:val="008C4AD4"/>
    <w:rsid w:val="008C54CC"/>
    <w:rsid w:val="008C5E08"/>
    <w:rsid w:val="008C5FE5"/>
    <w:rsid w:val="008C6406"/>
    <w:rsid w:val="008C6D97"/>
    <w:rsid w:val="008C7A64"/>
    <w:rsid w:val="008D01EE"/>
    <w:rsid w:val="008D0647"/>
    <w:rsid w:val="008D13D1"/>
    <w:rsid w:val="008D18E6"/>
    <w:rsid w:val="008D1DC5"/>
    <w:rsid w:val="008D2C6D"/>
    <w:rsid w:val="008D3144"/>
    <w:rsid w:val="008D3CCA"/>
    <w:rsid w:val="008D467E"/>
    <w:rsid w:val="008D5094"/>
    <w:rsid w:val="008D694A"/>
    <w:rsid w:val="008D6C3C"/>
    <w:rsid w:val="008D6D03"/>
    <w:rsid w:val="008D7A9B"/>
    <w:rsid w:val="008E0060"/>
    <w:rsid w:val="008E0F2A"/>
    <w:rsid w:val="008E121C"/>
    <w:rsid w:val="008E1E53"/>
    <w:rsid w:val="008E4655"/>
    <w:rsid w:val="008E4F4C"/>
    <w:rsid w:val="008E57B9"/>
    <w:rsid w:val="008E5AF9"/>
    <w:rsid w:val="008E6687"/>
    <w:rsid w:val="008E6D31"/>
    <w:rsid w:val="008E7091"/>
    <w:rsid w:val="008E76AC"/>
    <w:rsid w:val="008E76D4"/>
    <w:rsid w:val="008E7726"/>
    <w:rsid w:val="008F03AC"/>
    <w:rsid w:val="008F0D84"/>
    <w:rsid w:val="008F1EB1"/>
    <w:rsid w:val="008F1FDC"/>
    <w:rsid w:val="008F21F6"/>
    <w:rsid w:val="008F2EB0"/>
    <w:rsid w:val="008F44D5"/>
    <w:rsid w:val="008F6FA2"/>
    <w:rsid w:val="008F72E0"/>
    <w:rsid w:val="00900262"/>
    <w:rsid w:val="00900D5E"/>
    <w:rsid w:val="00900E75"/>
    <w:rsid w:val="00901457"/>
    <w:rsid w:val="00901DFC"/>
    <w:rsid w:val="00902F64"/>
    <w:rsid w:val="009031F2"/>
    <w:rsid w:val="0090325E"/>
    <w:rsid w:val="00903386"/>
    <w:rsid w:val="00903558"/>
    <w:rsid w:val="00903A85"/>
    <w:rsid w:val="00904180"/>
    <w:rsid w:val="009049C5"/>
    <w:rsid w:val="00904A12"/>
    <w:rsid w:val="00906A2D"/>
    <w:rsid w:val="00906C6C"/>
    <w:rsid w:val="00906D27"/>
    <w:rsid w:val="009070C5"/>
    <w:rsid w:val="009113F1"/>
    <w:rsid w:val="00911F4D"/>
    <w:rsid w:val="0091359D"/>
    <w:rsid w:val="009147EA"/>
    <w:rsid w:val="00914F06"/>
    <w:rsid w:val="00917201"/>
    <w:rsid w:val="00917367"/>
    <w:rsid w:val="009178BE"/>
    <w:rsid w:val="00920663"/>
    <w:rsid w:val="00923B14"/>
    <w:rsid w:val="00925993"/>
    <w:rsid w:val="00926475"/>
    <w:rsid w:val="0092685D"/>
    <w:rsid w:val="00930543"/>
    <w:rsid w:val="00931ADD"/>
    <w:rsid w:val="00931E01"/>
    <w:rsid w:val="0093297A"/>
    <w:rsid w:val="00932B77"/>
    <w:rsid w:val="00935218"/>
    <w:rsid w:val="00935985"/>
    <w:rsid w:val="00935EA3"/>
    <w:rsid w:val="00936488"/>
    <w:rsid w:val="009364F2"/>
    <w:rsid w:val="00936DEF"/>
    <w:rsid w:val="00940344"/>
    <w:rsid w:val="0094147E"/>
    <w:rsid w:val="00942327"/>
    <w:rsid w:val="009427D5"/>
    <w:rsid w:val="0094299F"/>
    <w:rsid w:val="00942C56"/>
    <w:rsid w:val="00943156"/>
    <w:rsid w:val="00943CA7"/>
    <w:rsid w:val="00944E53"/>
    <w:rsid w:val="0094513B"/>
    <w:rsid w:val="00950BFC"/>
    <w:rsid w:val="0095183F"/>
    <w:rsid w:val="00951925"/>
    <w:rsid w:val="00951F79"/>
    <w:rsid w:val="009529A6"/>
    <w:rsid w:val="00954404"/>
    <w:rsid w:val="009545F9"/>
    <w:rsid w:val="00954C36"/>
    <w:rsid w:val="00954EB1"/>
    <w:rsid w:val="009550B0"/>
    <w:rsid w:val="00955866"/>
    <w:rsid w:val="00955F64"/>
    <w:rsid w:val="009568C1"/>
    <w:rsid w:val="009572CB"/>
    <w:rsid w:val="00957503"/>
    <w:rsid w:val="00960F53"/>
    <w:rsid w:val="00961EAC"/>
    <w:rsid w:val="0096279C"/>
    <w:rsid w:val="0096342A"/>
    <w:rsid w:val="00964BE8"/>
    <w:rsid w:val="00967498"/>
    <w:rsid w:val="009677FE"/>
    <w:rsid w:val="009703FA"/>
    <w:rsid w:val="00971AE8"/>
    <w:rsid w:val="00971CC1"/>
    <w:rsid w:val="009733BB"/>
    <w:rsid w:val="0097499D"/>
    <w:rsid w:val="00974AB5"/>
    <w:rsid w:val="00974D17"/>
    <w:rsid w:val="00975624"/>
    <w:rsid w:val="00976EC7"/>
    <w:rsid w:val="00976FD7"/>
    <w:rsid w:val="009820D7"/>
    <w:rsid w:val="00982701"/>
    <w:rsid w:val="0098286E"/>
    <w:rsid w:val="00982A7B"/>
    <w:rsid w:val="00982FE1"/>
    <w:rsid w:val="00983FB3"/>
    <w:rsid w:val="00984124"/>
    <w:rsid w:val="009843A8"/>
    <w:rsid w:val="009844C9"/>
    <w:rsid w:val="009851BF"/>
    <w:rsid w:val="009851CD"/>
    <w:rsid w:val="00986A5E"/>
    <w:rsid w:val="00986A71"/>
    <w:rsid w:val="0098706D"/>
    <w:rsid w:val="0098764A"/>
    <w:rsid w:val="00987F88"/>
    <w:rsid w:val="00991B54"/>
    <w:rsid w:val="009935FB"/>
    <w:rsid w:val="00993D83"/>
    <w:rsid w:val="00993E0F"/>
    <w:rsid w:val="00996173"/>
    <w:rsid w:val="00996E66"/>
    <w:rsid w:val="009971F5"/>
    <w:rsid w:val="00997985"/>
    <w:rsid w:val="00997E69"/>
    <w:rsid w:val="009A0187"/>
    <w:rsid w:val="009A06A2"/>
    <w:rsid w:val="009A0748"/>
    <w:rsid w:val="009A235E"/>
    <w:rsid w:val="009A26AD"/>
    <w:rsid w:val="009A3DAA"/>
    <w:rsid w:val="009A4D1C"/>
    <w:rsid w:val="009A4F41"/>
    <w:rsid w:val="009A678F"/>
    <w:rsid w:val="009B079A"/>
    <w:rsid w:val="009B0E38"/>
    <w:rsid w:val="009B1328"/>
    <w:rsid w:val="009B2E69"/>
    <w:rsid w:val="009B303D"/>
    <w:rsid w:val="009B45B2"/>
    <w:rsid w:val="009B4F8D"/>
    <w:rsid w:val="009B50EB"/>
    <w:rsid w:val="009B5752"/>
    <w:rsid w:val="009B57F5"/>
    <w:rsid w:val="009B5A68"/>
    <w:rsid w:val="009B5DCC"/>
    <w:rsid w:val="009B7253"/>
    <w:rsid w:val="009B7686"/>
    <w:rsid w:val="009B7871"/>
    <w:rsid w:val="009C07E2"/>
    <w:rsid w:val="009C15AD"/>
    <w:rsid w:val="009C167B"/>
    <w:rsid w:val="009C17D3"/>
    <w:rsid w:val="009C1933"/>
    <w:rsid w:val="009C1A3A"/>
    <w:rsid w:val="009C22D3"/>
    <w:rsid w:val="009C2AF0"/>
    <w:rsid w:val="009C3DB8"/>
    <w:rsid w:val="009C422B"/>
    <w:rsid w:val="009C5ED5"/>
    <w:rsid w:val="009C6F08"/>
    <w:rsid w:val="009C6FF8"/>
    <w:rsid w:val="009C71DA"/>
    <w:rsid w:val="009C7500"/>
    <w:rsid w:val="009C7987"/>
    <w:rsid w:val="009C7F29"/>
    <w:rsid w:val="009D02BF"/>
    <w:rsid w:val="009D191F"/>
    <w:rsid w:val="009D2A09"/>
    <w:rsid w:val="009D37EC"/>
    <w:rsid w:val="009D4626"/>
    <w:rsid w:val="009D49B8"/>
    <w:rsid w:val="009D4BDC"/>
    <w:rsid w:val="009D5565"/>
    <w:rsid w:val="009D75F9"/>
    <w:rsid w:val="009E06C2"/>
    <w:rsid w:val="009E1320"/>
    <w:rsid w:val="009E145B"/>
    <w:rsid w:val="009E1EB8"/>
    <w:rsid w:val="009E3023"/>
    <w:rsid w:val="009E3D1C"/>
    <w:rsid w:val="009E4FB6"/>
    <w:rsid w:val="009E5113"/>
    <w:rsid w:val="009E5521"/>
    <w:rsid w:val="009E5968"/>
    <w:rsid w:val="009E5BC5"/>
    <w:rsid w:val="009E6F2E"/>
    <w:rsid w:val="009E7922"/>
    <w:rsid w:val="009F0489"/>
    <w:rsid w:val="009F15BD"/>
    <w:rsid w:val="009F252B"/>
    <w:rsid w:val="009F3C8F"/>
    <w:rsid w:val="009F418A"/>
    <w:rsid w:val="009F4462"/>
    <w:rsid w:val="009F457C"/>
    <w:rsid w:val="009F47F4"/>
    <w:rsid w:val="009F4A54"/>
    <w:rsid w:val="009F4BEC"/>
    <w:rsid w:val="009F4F37"/>
    <w:rsid w:val="009F553B"/>
    <w:rsid w:val="009F5874"/>
    <w:rsid w:val="009F59FE"/>
    <w:rsid w:val="00A00205"/>
    <w:rsid w:val="00A0042A"/>
    <w:rsid w:val="00A0251F"/>
    <w:rsid w:val="00A045AB"/>
    <w:rsid w:val="00A04D18"/>
    <w:rsid w:val="00A050DB"/>
    <w:rsid w:val="00A0515F"/>
    <w:rsid w:val="00A05764"/>
    <w:rsid w:val="00A061FC"/>
    <w:rsid w:val="00A06C25"/>
    <w:rsid w:val="00A0708C"/>
    <w:rsid w:val="00A07643"/>
    <w:rsid w:val="00A10393"/>
    <w:rsid w:val="00A10547"/>
    <w:rsid w:val="00A10857"/>
    <w:rsid w:val="00A10992"/>
    <w:rsid w:val="00A11576"/>
    <w:rsid w:val="00A119C3"/>
    <w:rsid w:val="00A12211"/>
    <w:rsid w:val="00A122C5"/>
    <w:rsid w:val="00A144D4"/>
    <w:rsid w:val="00A1772B"/>
    <w:rsid w:val="00A203D4"/>
    <w:rsid w:val="00A21B51"/>
    <w:rsid w:val="00A2261B"/>
    <w:rsid w:val="00A22FD0"/>
    <w:rsid w:val="00A23DA6"/>
    <w:rsid w:val="00A240CB"/>
    <w:rsid w:val="00A242DE"/>
    <w:rsid w:val="00A24A13"/>
    <w:rsid w:val="00A24CB4"/>
    <w:rsid w:val="00A24EB4"/>
    <w:rsid w:val="00A25A29"/>
    <w:rsid w:val="00A25FD7"/>
    <w:rsid w:val="00A26DEA"/>
    <w:rsid w:val="00A279F5"/>
    <w:rsid w:val="00A27D8B"/>
    <w:rsid w:val="00A30133"/>
    <w:rsid w:val="00A31541"/>
    <w:rsid w:val="00A3389E"/>
    <w:rsid w:val="00A3548B"/>
    <w:rsid w:val="00A366F9"/>
    <w:rsid w:val="00A3773C"/>
    <w:rsid w:val="00A4007A"/>
    <w:rsid w:val="00A40669"/>
    <w:rsid w:val="00A40880"/>
    <w:rsid w:val="00A40D1A"/>
    <w:rsid w:val="00A43041"/>
    <w:rsid w:val="00A43AFF"/>
    <w:rsid w:val="00A444D5"/>
    <w:rsid w:val="00A454E3"/>
    <w:rsid w:val="00A46303"/>
    <w:rsid w:val="00A473CD"/>
    <w:rsid w:val="00A50DBD"/>
    <w:rsid w:val="00A50F78"/>
    <w:rsid w:val="00A51DA4"/>
    <w:rsid w:val="00A52D39"/>
    <w:rsid w:val="00A532D3"/>
    <w:rsid w:val="00A537A1"/>
    <w:rsid w:val="00A571BF"/>
    <w:rsid w:val="00A57524"/>
    <w:rsid w:val="00A60C76"/>
    <w:rsid w:val="00A60F91"/>
    <w:rsid w:val="00A619C0"/>
    <w:rsid w:val="00A61D15"/>
    <w:rsid w:val="00A620BD"/>
    <w:rsid w:val="00A62302"/>
    <w:rsid w:val="00A62CF6"/>
    <w:rsid w:val="00A6411B"/>
    <w:rsid w:val="00A645DF"/>
    <w:rsid w:val="00A6492A"/>
    <w:rsid w:val="00A66313"/>
    <w:rsid w:val="00A702EA"/>
    <w:rsid w:val="00A731C3"/>
    <w:rsid w:val="00A74AD1"/>
    <w:rsid w:val="00A7793A"/>
    <w:rsid w:val="00A80C05"/>
    <w:rsid w:val="00A80C7B"/>
    <w:rsid w:val="00A80D45"/>
    <w:rsid w:val="00A81F73"/>
    <w:rsid w:val="00A82091"/>
    <w:rsid w:val="00A827B5"/>
    <w:rsid w:val="00A838EB"/>
    <w:rsid w:val="00A83B99"/>
    <w:rsid w:val="00A83EE1"/>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B2"/>
    <w:rsid w:val="00AB1AF2"/>
    <w:rsid w:val="00AB225B"/>
    <w:rsid w:val="00AB2BAD"/>
    <w:rsid w:val="00AB46ED"/>
    <w:rsid w:val="00AB4700"/>
    <w:rsid w:val="00AB526D"/>
    <w:rsid w:val="00AB566F"/>
    <w:rsid w:val="00AB604C"/>
    <w:rsid w:val="00AB6904"/>
    <w:rsid w:val="00AB6CA7"/>
    <w:rsid w:val="00AB6D57"/>
    <w:rsid w:val="00AB6DD5"/>
    <w:rsid w:val="00AC0BD4"/>
    <w:rsid w:val="00AC258A"/>
    <w:rsid w:val="00AC3B82"/>
    <w:rsid w:val="00AC3EF0"/>
    <w:rsid w:val="00AC422F"/>
    <w:rsid w:val="00AC45AE"/>
    <w:rsid w:val="00AC4D42"/>
    <w:rsid w:val="00AC4DC2"/>
    <w:rsid w:val="00AC4F55"/>
    <w:rsid w:val="00AC5002"/>
    <w:rsid w:val="00AC56E4"/>
    <w:rsid w:val="00AD01E4"/>
    <w:rsid w:val="00AD07B8"/>
    <w:rsid w:val="00AD0858"/>
    <w:rsid w:val="00AD0EE0"/>
    <w:rsid w:val="00AD17E6"/>
    <w:rsid w:val="00AD346E"/>
    <w:rsid w:val="00AD4D6E"/>
    <w:rsid w:val="00AD7D7C"/>
    <w:rsid w:val="00AE02E3"/>
    <w:rsid w:val="00AE0311"/>
    <w:rsid w:val="00AE07D3"/>
    <w:rsid w:val="00AE1231"/>
    <w:rsid w:val="00AE168C"/>
    <w:rsid w:val="00AE2B11"/>
    <w:rsid w:val="00AE3819"/>
    <w:rsid w:val="00AE5145"/>
    <w:rsid w:val="00AE5E5A"/>
    <w:rsid w:val="00AE7340"/>
    <w:rsid w:val="00AF03B7"/>
    <w:rsid w:val="00AF0BB5"/>
    <w:rsid w:val="00AF0C52"/>
    <w:rsid w:val="00AF1BBD"/>
    <w:rsid w:val="00AF246E"/>
    <w:rsid w:val="00AF29D5"/>
    <w:rsid w:val="00AF2B4E"/>
    <w:rsid w:val="00AF53F4"/>
    <w:rsid w:val="00AF5F29"/>
    <w:rsid w:val="00AF5F7A"/>
    <w:rsid w:val="00AF6F64"/>
    <w:rsid w:val="00AF778A"/>
    <w:rsid w:val="00AF794B"/>
    <w:rsid w:val="00B012C0"/>
    <w:rsid w:val="00B03620"/>
    <w:rsid w:val="00B038E7"/>
    <w:rsid w:val="00B04251"/>
    <w:rsid w:val="00B04767"/>
    <w:rsid w:val="00B04948"/>
    <w:rsid w:val="00B049D4"/>
    <w:rsid w:val="00B052C2"/>
    <w:rsid w:val="00B06FFE"/>
    <w:rsid w:val="00B07291"/>
    <w:rsid w:val="00B077F9"/>
    <w:rsid w:val="00B10207"/>
    <w:rsid w:val="00B11954"/>
    <w:rsid w:val="00B11EAF"/>
    <w:rsid w:val="00B12E79"/>
    <w:rsid w:val="00B141E7"/>
    <w:rsid w:val="00B1479E"/>
    <w:rsid w:val="00B15349"/>
    <w:rsid w:val="00B16417"/>
    <w:rsid w:val="00B16B69"/>
    <w:rsid w:val="00B2435A"/>
    <w:rsid w:val="00B25B86"/>
    <w:rsid w:val="00B26197"/>
    <w:rsid w:val="00B26280"/>
    <w:rsid w:val="00B265A1"/>
    <w:rsid w:val="00B3001F"/>
    <w:rsid w:val="00B3194B"/>
    <w:rsid w:val="00B31D3C"/>
    <w:rsid w:val="00B324EB"/>
    <w:rsid w:val="00B3344F"/>
    <w:rsid w:val="00B3466A"/>
    <w:rsid w:val="00B34C5B"/>
    <w:rsid w:val="00B351B4"/>
    <w:rsid w:val="00B351FA"/>
    <w:rsid w:val="00B35960"/>
    <w:rsid w:val="00B36D02"/>
    <w:rsid w:val="00B40D0D"/>
    <w:rsid w:val="00B41DF4"/>
    <w:rsid w:val="00B4232B"/>
    <w:rsid w:val="00B42917"/>
    <w:rsid w:val="00B42993"/>
    <w:rsid w:val="00B43325"/>
    <w:rsid w:val="00B43375"/>
    <w:rsid w:val="00B43898"/>
    <w:rsid w:val="00B45546"/>
    <w:rsid w:val="00B46BCA"/>
    <w:rsid w:val="00B47528"/>
    <w:rsid w:val="00B47723"/>
    <w:rsid w:val="00B478AA"/>
    <w:rsid w:val="00B52415"/>
    <w:rsid w:val="00B52E69"/>
    <w:rsid w:val="00B5517E"/>
    <w:rsid w:val="00B554FE"/>
    <w:rsid w:val="00B55692"/>
    <w:rsid w:val="00B55A2C"/>
    <w:rsid w:val="00B56028"/>
    <w:rsid w:val="00B5619B"/>
    <w:rsid w:val="00B565C7"/>
    <w:rsid w:val="00B5711A"/>
    <w:rsid w:val="00B57D8C"/>
    <w:rsid w:val="00B600A4"/>
    <w:rsid w:val="00B600FD"/>
    <w:rsid w:val="00B6175F"/>
    <w:rsid w:val="00B618CF"/>
    <w:rsid w:val="00B61D64"/>
    <w:rsid w:val="00B64F3D"/>
    <w:rsid w:val="00B65BFA"/>
    <w:rsid w:val="00B65F61"/>
    <w:rsid w:val="00B665CD"/>
    <w:rsid w:val="00B67FA2"/>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6614"/>
    <w:rsid w:val="00B87806"/>
    <w:rsid w:val="00B87EC9"/>
    <w:rsid w:val="00B91F5D"/>
    <w:rsid w:val="00B93640"/>
    <w:rsid w:val="00B93FF5"/>
    <w:rsid w:val="00B949DD"/>
    <w:rsid w:val="00B94C9E"/>
    <w:rsid w:val="00B94D33"/>
    <w:rsid w:val="00B94F99"/>
    <w:rsid w:val="00BA01A0"/>
    <w:rsid w:val="00BA070B"/>
    <w:rsid w:val="00BA13ED"/>
    <w:rsid w:val="00BA2E21"/>
    <w:rsid w:val="00BA3864"/>
    <w:rsid w:val="00BA4149"/>
    <w:rsid w:val="00BA4427"/>
    <w:rsid w:val="00BA5137"/>
    <w:rsid w:val="00BA64BF"/>
    <w:rsid w:val="00BA7C5F"/>
    <w:rsid w:val="00BB496B"/>
    <w:rsid w:val="00BB6133"/>
    <w:rsid w:val="00BB6691"/>
    <w:rsid w:val="00BB751A"/>
    <w:rsid w:val="00BC030D"/>
    <w:rsid w:val="00BC1B33"/>
    <w:rsid w:val="00BC24A1"/>
    <w:rsid w:val="00BC38FD"/>
    <w:rsid w:val="00BC3C53"/>
    <w:rsid w:val="00BC4C9E"/>
    <w:rsid w:val="00BC5BEC"/>
    <w:rsid w:val="00BC611B"/>
    <w:rsid w:val="00BC7EAD"/>
    <w:rsid w:val="00BD0C88"/>
    <w:rsid w:val="00BD28F0"/>
    <w:rsid w:val="00BD30D2"/>
    <w:rsid w:val="00BD3EB5"/>
    <w:rsid w:val="00BD6191"/>
    <w:rsid w:val="00BD6366"/>
    <w:rsid w:val="00BD6667"/>
    <w:rsid w:val="00BD6F6F"/>
    <w:rsid w:val="00BD7269"/>
    <w:rsid w:val="00BD72C1"/>
    <w:rsid w:val="00BE057B"/>
    <w:rsid w:val="00BE064B"/>
    <w:rsid w:val="00BE2586"/>
    <w:rsid w:val="00BE479B"/>
    <w:rsid w:val="00BE4A70"/>
    <w:rsid w:val="00BE4F21"/>
    <w:rsid w:val="00BE511F"/>
    <w:rsid w:val="00BE52B5"/>
    <w:rsid w:val="00BE6240"/>
    <w:rsid w:val="00BE6451"/>
    <w:rsid w:val="00BE6D1B"/>
    <w:rsid w:val="00BE6FCB"/>
    <w:rsid w:val="00BF2C07"/>
    <w:rsid w:val="00BF4779"/>
    <w:rsid w:val="00BF4A8F"/>
    <w:rsid w:val="00BF5A0E"/>
    <w:rsid w:val="00BF69C9"/>
    <w:rsid w:val="00BF6CC6"/>
    <w:rsid w:val="00BF737C"/>
    <w:rsid w:val="00BF7391"/>
    <w:rsid w:val="00BF7F5D"/>
    <w:rsid w:val="00C01DF8"/>
    <w:rsid w:val="00C02231"/>
    <w:rsid w:val="00C02BA1"/>
    <w:rsid w:val="00C02D7C"/>
    <w:rsid w:val="00C030AB"/>
    <w:rsid w:val="00C034CB"/>
    <w:rsid w:val="00C03D13"/>
    <w:rsid w:val="00C0509B"/>
    <w:rsid w:val="00C051A8"/>
    <w:rsid w:val="00C054BC"/>
    <w:rsid w:val="00C057B5"/>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B5B"/>
    <w:rsid w:val="00C23D5E"/>
    <w:rsid w:val="00C247C1"/>
    <w:rsid w:val="00C24D55"/>
    <w:rsid w:val="00C273C7"/>
    <w:rsid w:val="00C30D93"/>
    <w:rsid w:val="00C312D2"/>
    <w:rsid w:val="00C3136D"/>
    <w:rsid w:val="00C32B95"/>
    <w:rsid w:val="00C32CD4"/>
    <w:rsid w:val="00C357DB"/>
    <w:rsid w:val="00C362A6"/>
    <w:rsid w:val="00C36613"/>
    <w:rsid w:val="00C367C9"/>
    <w:rsid w:val="00C36AE6"/>
    <w:rsid w:val="00C40052"/>
    <w:rsid w:val="00C409D5"/>
    <w:rsid w:val="00C435C3"/>
    <w:rsid w:val="00C43D06"/>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095"/>
    <w:rsid w:val="00C63B87"/>
    <w:rsid w:val="00C63C92"/>
    <w:rsid w:val="00C63EAE"/>
    <w:rsid w:val="00C64543"/>
    <w:rsid w:val="00C656EE"/>
    <w:rsid w:val="00C70E01"/>
    <w:rsid w:val="00C71203"/>
    <w:rsid w:val="00C72780"/>
    <w:rsid w:val="00C73260"/>
    <w:rsid w:val="00C74B5F"/>
    <w:rsid w:val="00C7540C"/>
    <w:rsid w:val="00C7629F"/>
    <w:rsid w:val="00C766F0"/>
    <w:rsid w:val="00C771BE"/>
    <w:rsid w:val="00C77E63"/>
    <w:rsid w:val="00C82256"/>
    <w:rsid w:val="00C823AC"/>
    <w:rsid w:val="00C83796"/>
    <w:rsid w:val="00C851C0"/>
    <w:rsid w:val="00C856E8"/>
    <w:rsid w:val="00C85990"/>
    <w:rsid w:val="00C8661B"/>
    <w:rsid w:val="00C8683E"/>
    <w:rsid w:val="00C87F56"/>
    <w:rsid w:val="00C9262B"/>
    <w:rsid w:val="00C928A4"/>
    <w:rsid w:val="00C93310"/>
    <w:rsid w:val="00C939C5"/>
    <w:rsid w:val="00C93C63"/>
    <w:rsid w:val="00C95040"/>
    <w:rsid w:val="00C9528B"/>
    <w:rsid w:val="00C95C54"/>
    <w:rsid w:val="00C96974"/>
    <w:rsid w:val="00C97581"/>
    <w:rsid w:val="00C979BF"/>
    <w:rsid w:val="00CA03C8"/>
    <w:rsid w:val="00CA0630"/>
    <w:rsid w:val="00CA0DFD"/>
    <w:rsid w:val="00CA139A"/>
    <w:rsid w:val="00CA19FA"/>
    <w:rsid w:val="00CA24A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578"/>
    <w:rsid w:val="00CB379B"/>
    <w:rsid w:val="00CB3BF4"/>
    <w:rsid w:val="00CB4074"/>
    <w:rsid w:val="00CB454A"/>
    <w:rsid w:val="00CB4F88"/>
    <w:rsid w:val="00CB5DD0"/>
    <w:rsid w:val="00CB7A4D"/>
    <w:rsid w:val="00CC01D4"/>
    <w:rsid w:val="00CC06BA"/>
    <w:rsid w:val="00CC1D10"/>
    <w:rsid w:val="00CC269A"/>
    <w:rsid w:val="00CC356F"/>
    <w:rsid w:val="00CC4AD9"/>
    <w:rsid w:val="00CC4C10"/>
    <w:rsid w:val="00CC51D4"/>
    <w:rsid w:val="00CC564F"/>
    <w:rsid w:val="00CC65DA"/>
    <w:rsid w:val="00CC6C62"/>
    <w:rsid w:val="00CD000D"/>
    <w:rsid w:val="00CD0185"/>
    <w:rsid w:val="00CD1043"/>
    <w:rsid w:val="00CD13F3"/>
    <w:rsid w:val="00CD14B9"/>
    <w:rsid w:val="00CD1962"/>
    <w:rsid w:val="00CD2AF0"/>
    <w:rsid w:val="00CD2F5D"/>
    <w:rsid w:val="00CD46B3"/>
    <w:rsid w:val="00CD5DFF"/>
    <w:rsid w:val="00CD692C"/>
    <w:rsid w:val="00CD6C8C"/>
    <w:rsid w:val="00CE03C3"/>
    <w:rsid w:val="00CE11CC"/>
    <w:rsid w:val="00CE18A4"/>
    <w:rsid w:val="00CE2AA7"/>
    <w:rsid w:val="00CE31D4"/>
    <w:rsid w:val="00CE4916"/>
    <w:rsid w:val="00CE5AA0"/>
    <w:rsid w:val="00CE5CBD"/>
    <w:rsid w:val="00CE6651"/>
    <w:rsid w:val="00CE7B36"/>
    <w:rsid w:val="00CF0103"/>
    <w:rsid w:val="00CF14E9"/>
    <w:rsid w:val="00CF174F"/>
    <w:rsid w:val="00CF18FA"/>
    <w:rsid w:val="00CF21B9"/>
    <w:rsid w:val="00CF2A2D"/>
    <w:rsid w:val="00CF6BF9"/>
    <w:rsid w:val="00D00748"/>
    <w:rsid w:val="00D01169"/>
    <w:rsid w:val="00D0287A"/>
    <w:rsid w:val="00D02A5C"/>
    <w:rsid w:val="00D03800"/>
    <w:rsid w:val="00D042BC"/>
    <w:rsid w:val="00D05FFA"/>
    <w:rsid w:val="00D065D3"/>
    <w:rsid w:val="00D10063"/>
    <w:rsid w:val="00D10DD2"/>
    <w:rsid w:val="00D11C4B"/>
    <w:rsid w:val="00D12AEC"/>
    <w:rsid w:val="00D13799"/>
    <w:rsid w:val="00D14142"/>
    <w:rsid w:val="00D14C94"/>
    <w:rsid w:val="00D15F72"/>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057"/>
    <w:rsid w:val="00D35A33"/>
    <w:rsid w:val="00D3636B"/>
    <w:rsid w:val="00D363F5"/>
    <w:rsid w:val="00D36A6A"/>
    <w:rsid w:val="00D37634"/>
    <w:rsid w:val="00D400F9"/>
    <w:rsid w:val="00D41024"/>
    <w:rsid w:val="00D426DB"/>
    <w:rsid w:val="00D428AA"/>
    <w:rsid w:val="00D42EFC"/>
    <w:rsid w:val="00D443BE"/>
    <w:rsid w:val="00D45CA6"/>
    <w:rsid w:val="00D464BF"/>
    <w:rsid w:val="00D46635"/>
    <w:rsid w:val="00D52BDB"/>
    <w:rsid w:val="00D5356B"/>
    <w:rsid w:val="00D53E26"/>
    <w:rsid w:val="00D53E5F"/>
    <w:rsid w:val="00D542E8"/>
    <w:rsid w:val="00D553D3"/>
    <w:rsid w:val="00D557EE"/>
    <w:rsid w:val="00D56955"/>
    <w:rsid w:val="00D57074"/>
    <w:rsid w:val="00D57D9C"/>
    <w:rsid w:val="00D60EE3"/>
    <w:rsid w:val="00D60EE7"/>
    <w:rsid w:val="00D613F8"/>
    <w:rsid w:val="00D6230D"/>
    <w:rsid w:val="00D62F75"/>
    <w:rsid w:val="00D62FBA"/>
    <w:rsid w:val="00D630BE"/>
    <w:rsid w:val="00D6322D"/>
    <w:rsid w:val="00D64DB4"/>
    <w:rsid w:val="00D65421"/>
    <w:rsid w:val="00D65EBE"/>
    <w:rsid w:val="00D67BFF"/>
    <w:rsid w:val="00D70E31"/>
    <w:rsid w:val="00D711B2"/>
    <w:rsid w:val="00D72DA3"/>
    <w:rsid w:val="00D755F8"/>
    <w:rsid w:val="00D76752"/>
    <w:rsid w:val="00D76D7A"/>
    <w:rsid w:val="00D77688"/>
    <w:rsid w:val="00D77DDE"/>
    <w:rsid w:val="00D81F81"/>
    <w:rsid w:val="00D829B1"/>
    <w:rsid w:val="00D8377A"/>
    <w:rsid w:val="00D84D15"/>
    <w:rsid w:val="00D85297"/>
    <w:rsid w:val="00D85B77"/>
    <w:rsid w:val="00D87054"/>
    <w:rsid w:val="00D87308"/>
    <w:rsid w:val="00D902C0"/>
    <w:rsid w:val="00D905E2"/>
    <w:rsid w:val="00D9080F"/>
    <w:rsid w:val="00D91823"/>
    <w:rsid w:val="00D94CCE"/>
    <w:rsid w:val="00D95055"/>
    <w:rsid w:val="00D95AA4"/>
    <w:rsid w:val="00D971C5"/>
    <w:rsid w:val="00D979E4"/>
    <w:rsid w:val="00DA0339"/>
    <w:rsid w:val="00DA31BE"/>
    <w:rsid w:val="00DA345A"/>
    <w:rsid w:val="00DA61BD"/>
    <w:rsid w:val="00DA653F"/>
    <w:rsid w:val="00DA67B1"/>
    <w:rsid w:val="00DA6B14"/>
    <w:rsid w:val="00DA6EF0"/>
    <w:rsid w:val="00DA78EC"/>
    <w:rsid w:val="00DB020A"/>
    <w:rsid w:val="00DB182C"/>
    <w:rsid w:val="00DB2582"/>
    <w:rsid w:val="00DB2B06"/>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0CCF"/>
    <w:rsid w:val="00DD236B"/>
    <w:rsid w:val="00DD3302"/>
    <w:rsid w:val="00DD3943"/>
    <w:rsid w:val="00DD4F0E"/>
    <w:rsid w:val="00DD54ED"/>
    <w:rsid w:val="00DD5F22"/>
    <w:rsid w:val="00DD763B"/>
    <w:rsid w:val="00DE0C49"/>
    <w:rsid w:val="00DE1A82"/>
    <w:rsid w:val="00DE1D45"/>
    <w:rsid w:val="00DE211C"/>
    <w:rsid w:val="00DE4ACD"/>
    <w:rsid w:val="00DE6419"/>
    <w:rsid w:val="00DE6975"/>
    <w:rsid w:val="00DE74ED"/>
    <w:rsid w:val="00DE7B7E"/>
    <w:rsid w:val="00DF0BF0"/>
    <w:rsid w:val="00DF1CB4"/>
    <w:rsid w:val="00DF3CA2"/>
    <w:rsid w:val="00DF44D6"/>
    <w:rsid w:val="00DF5747"/>
    <w:rsid w:val="00DF5772"/>
    <w:rsid w:val="00DF6A7B"/>
    <w:rsid w:val="00DF71DC"/>
    <w:rsid w:val="00DF753B"/>
    <w:rsid w:val="00DF7651"/>
    <w:rsid w:val="00DF78A4"/>
    <w:rsid w:val="00DF7E9D"/>
    <w:rsid w:val="00E002F6"/>
    <w:rsid w:val="00E01375"/>
    <w:rsid w:val="00E01463"/>
    <w:rsid w:val="00E01A6B"/>
    <w:rsid w:val="00E02991"/>
    <w:rsid w:val="00E0310D"/>
    <w:rsid w:val="00E03B99"/>
    <w:rsid w:val="00E04F2F"/>
    <w:rsid w:val="00E052C8"/>
    <w:rsid w:val="00E05E0A"/>
    <w:rsid w:val="00E060BE"/>
    <w:rsid w:val="00E062E2"/>
    <w:rsid w:val="00E07825"/>
    <w:rsid w:val="00E10452"/>
    <w:rsid w:val="00E10E29"/>
    <w:rsid w:val="00E16AAC"/>
    <w:rsid w:val="00E17301"/>
    <w:rsid w:val="00E17B89"/>
    <w:rsid w:val="00E20297"/>
    <w:rsid w:val="00E22C7D"/>
    <w:rsid w:val="00E22F8F"/>
    <w:rsid w:val="00E24857"/>
    <w:rsid w:val="00E25479"/>
    <w:rsid w:val="00E2593C"/>
    <w:rsid w:val="00E26F95"/>
    <w:rsid w:val="00E27608"/>
    <w:rsid w:val="00E3092E"/>
    <w:rsid w:val="00E3419F"/>
    <w:rsid w:val="00E34497"/>
    <w:rsid w:val="00E348B6"/>
    <w:rsid w:val="00E36456"/>
    <w:rsid w:val="00E3651B"/>
    <w:rsid w:val="00E36524"/>
    <w:rsid w:val="00E40697"/>
    <w:rsid w:val="00E40B05"/>
    <w:rsid w:val="00E419E2"/>
    <w:rsid w:val="00E4205B"/>
    <w:rsid w:val="00E4302C"/>
    <w:rsid w:val="00E43578"/>
    <w:rsid w:val="00E442C8"/>
    <w:rsid w:val="00E444CE"/>
    <w:rsid w:val="00E44594"/>
    <w:rsid w:val="00E44D6B"/>
    <w:rsid w:val="00E45320"/>
    <w:rsid w:val="00E46C1A"/>
    <w:rsid w:val="00E47066"/>
    <w:rsid w:val="00E474A8"/>
    <w:rsid w:val="00E4759E"/>
    <w:rsid w:val="00E47A98"/>
    <w:rsid w:val="00E512DA"/>
    <w:rsid w:val="00E521C9"/>
    <w:rsid w:val="00E534CF"/>
    <w:rsid w:val="00E538D3"/>
    <w:rsid w:val="00E553F7"/>
    <w:rsid w:val="00E5565C"/>
    <w:rsid w:val="00E569A6"/>
    <w:rsid w:val="00E56D4F"/>
    <w:rsid w:val="00E573E1"/>
    <w:rsid w:val="00E57794"/>
    <w:rsid w:val="00E609EA"/>
    <w:rsid w:val="00E61918"/>
    <w:rsid w:val="00E62983"/>
    <w:rsid w:val="00E65533"/>
    <w:rsid w:val="00E658DB"/>
    <w:rsid w:val="00E66A00"/>
    <w:rsid w:val="00E66A24"/>
    <w:rsid w:val="00E66EF8"/>
    <w:rsid w:val="00E6757C"/>
    <w:rsid w:val="00E6777D"/>
    <w:rsid w:val="00E70525"/>
    <w:rsid w:val="00E7099A"/>
    <w:rsid w:val="00E71517"/>
    <w:rsid w:val="00E72226"/>
    <w:rsid w:val="00E73CF4"/>
    <w:rsid w:val="00E76552"/>
    <w:rsid w:val="00E76680"/>
    <w:rsid w:val="00E77C52"/>
    <w:rsid w:val="00E80AA0"/>
    <w:rsid w:val="00E81AA5"/>
    <w:rsid w:val="00E81CB4"/>
    <w:rsid w:val="00E82046"/>
    <w:rsid w:val="00E82A33"/>
    <w:rsid w:val="00E82D21"/>
    <w:rsid w:val="00E8393E"/>
    <w:rsid w:val="00E83DD8"/>
    <w:rsid w:val="00E83F58"/>
    <w:rsid w:val="00E84F6C"/>
    <w:rsid w:val="00E8585B"/>
    <w:rsid w:val="00E86C55"/>
    <w:rsid w:val="00E873F9"/>
    <w:rsid w:val="00E87CCE"/>
    <w:rsid w:val="00E87F41"/>
    <w:rsid w:val="00E90B7E"/>
    <w:rsid w:val="00E90E21"/>
    <w:rsid w:val="00E913DD"/>
    <w:rsid w:val="00E92880"/>
    <w:rsid w:val="00E9330F"/>
    <w:rsid w:val="00E94954"/>
    <w:rsid w:val="00E957EA"/>
    <w:rsid w:val="00E95B62"/>
    <w:rsid w:val="00E97083"/>
    <w:rsid w:val="00E9728D"/>
    <w:rsid w:val="00E973B0"/>
    <w:rsid w:val="00E97E91"/>
    <w:rsid w:val="00EA20BE"/>
    <w:rsid w:val="00EA396E"/>
    <w:rsid w:val="00EA3BF1"/>
    <w:rsid w:val="00EA3F15"/>
    <w:rsid w:val="00EA3F78"/>
    <w:rsid w:val="00EA49DF"/>
    <w:rsid w:val="00EA61C9"/>
    <w:rsid w:val="00EA6424"/>
    <w:rsid w:val="00EA69C9"/>
    <w:rsid w:val="00EA7847"/>
    <w:rsid w:val="00EA7BB7"/>
    <w:rsid w:val="00EB0421"/>
    <w:rsid w:val="00EB16F4"/>
    <w:rsid w:val="00EB204D"/>
    <w:rsid w:val="00EB29E1"/>
    <w:rsid w:val="00EB2AD3"/>
    <w:rsid w:val="00EB2F92"/>
    <w:rsid w:val="00EB352A"/>
    <w:rsid w:val="00EB3D1E"/>
    <w:rsid w:val="00EB432F"/>
    <w:rsid w:val="00EB4C2F"/>
    <w:rsid w:val="00EB502F"/>
    <w:rsid w:val="00EB5054"/>
    <w:rsid w:val="00EC0085"/>
    <w:rsid w:val="00EC1171"/>
    <w:rsid w:val="00EC24EC"/>
    <w:rsid w:val="00EC5748"/>
    <w:rsid w:val="00EC5A4B"/>
    <w:rsid w:val="00EC688C"/>
    <w:rsid w:val="00ED0150"/>
    <w:rsid w:val="00ED0D19"/>
    <w:rsid w:val="00ED130C"/>
    <w:rsid w:val="00ED1C85"/>
    <w:rsid w:val="00ED2AFF"/>
    <w:rsid w:val="00ED2B8B"/>
    <w:rsid w:val="00ED2C04"/>
    <w:rsid w:val="00ED5D82"/>
    <w:rsid w:val="00ED5FF2"/>
    <w:rsid w:val="00ED6607"/>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5DE2"/>
    <w:rsid w:val="00F0030B"/>
    <w:rsid w:val="00F0035C"/>
    <w:rsid w:val="00F00B67"/>
    <w:rsid w:val="00F00C90"/>
    <w:rsid w:val="00F00FF2"/>
    <w:rsid w:val="00F01296"/>
    <w:rsid w:val="00F01852"/>
    <w:rsid w:val="00F01EB4"/>
    <w:rsid w:val="00F02C0E"/>
    <w:rsid w:val="00F044B6"/>
    <w:rsid w:val="00F04810"/>
    <w:rsid w:val="00F04C88"/>
    <w:rsid w:val="00F04F0D"/>
    <w:rsid w:val="00F0759E"/>
    <w:rsid w:val="00F10088"/>
    <w:rsid w:val="00F11188"/>
    <w:rsid w:val="00F13E43"/>
    <w:rsid w:val="00F14A13"/>
    <w:rsid w:val="00F153B2"/>
    <w:rsid w:val="00F154CF"/>
    <w:rsid w:val="00F158E1"/>
    <w:rsid w:val="00F16A43"/>
    <w:rsid w:val="00F178D8"/>
    <w:rsid w:val="00F17914"/>
    <w:rsid w:val="00F17B18"/>
    <w:rsid w:val="00F2236B"/>
    <w:rsid w:val="00F224BD"/>
    <w:rsid w:val="00F22626"/>
    <w:rsid w:val="00F231C2"/>
    <w:rsid w:val="00F2375C"/>
    <w:rsid w:val="00F246AE"/>
    <w:rsid w:val="00F270E9"/>
    <w:rsid w:val="00F2718C"/>
    <w:rsid w:val="00F304FE"/>
    <w:rsid w:val="00F30572"/>
    <w:rsid w:val="00F3147E"/>
    <w:rsid w:val="00F31863"/>
    <w:rsid w:val="00F3199B"/>
    <w:rsid w:val="00F35F07"/>
    <w:rsid w:val="00F37A1B"/>
    <w:rsid w:val="00F37FCF"/>
    <w:rsid w:val="00F40882"/>
    <w:rsid w:val="00F421B0"/>
    <w:rsid w:val="00F46780"/>
    <w:rsid w:val="00F50305"/>
    <w:rsid w:val="00F50AC4"/>
    <w:rsid w:val="00F51218"/>
    <w:rsid w:val="00F51A86"/>
    <w:rsid w:val="00F51C53"/>
    <w:rsid w:val="00F52701"/>
    <w:rsid w:val="00F532BA"/>
    <w:rsid w:val="00F54493"/>
    <w:rsid w:val="00F55075"/>
    <w:rsid w:val="00F5566F"/>
    <w:rsid w:val="00F559EF"/>
    <w:rsid w:val="00F55A19"/>
    <w:rsid w:val="00F55CFD"/>
    <w:rsid w:val="00F56125"/>
    <w:rsid w:val="00F56D8F"/>
    <w:rsid w:val="00F57145"/>
    <w:rsid w:val="00F57709"/>
    <w:rsid w:val="00F57A1D"/>
    <w:rsid w:val="00F57CCB"/>
    <w:rsid w:val="00F6205E"/>
    <w:rsid w:val="00F62A1B"/>
    <w:rsid w:val="00F64373"/>
    <w:rsid w:val="00F678DC"/>
    <w:rsid w:val="00F70043"/>
    <w:rsid w:val="00F72B25"/>
    <w:rsid w:val="00F73E95"/>
    <w:rsid w:val="00F74C38"/>
    <w:rsid w:val="00F7693A"/>
    <w:rsid w:val="00F76BB6"/>
    <w:rsid w:val="00F76C1D"/>
    <w:rsid w:val="00F7760D"/>
    <w:rsid w:val="00F77B04"/>
    <w:rsid w:val="00F77D2D"/>
    <w:rsid w:val="00F800C1"/>
    <w:rsid w:val="00F80317"/>
    <w:rsid w:val="00F821A3"/>
    <w:rsid w:val="00F827A3"/>
    <w:rsid w:val="00F83A62"/>
    <w:rsid w:val="00F84552"/>
    <w:rsid w:val="00F86162"/>
    <w:rsid w:val="00F868C3"/>
    <w:rsid w:val="00F87F8E"/>
    <w:rsid w:val="00F901F3"/>
    <w:rsid w:val="00F91043"/>
    <w:rsid w:val="00F91625"/>
    <w:rsid w:val="00F9198E"/>
    <w:rsid w:val="00F91C11"/>
    <w:rsid w:val="00F9246F"/>
    <w:rsid w:val="00F9309A"/>
    <w:rsid w:val="00F9314A"/>
    <w:rsid w:val="00F940B2"/>
    <w:rsid w:val="00F95AF6"/>
    <w:rsid w:val="00F95D08"/>
    <w:rsid w:val="00F95E53"/>
    <w:rsid w:val="00F96E3B"/>
    <w:rsid w:val="00F9742E"/>
    <w:rsid w:val="00FA1462"/>
    <w:rsid w:val="00FA2DA9"/>
    <w:rsid w:val="00FA50AF"/>
    <w:rsid w:val="00FA55E2"/>
    <w:rsid w:val="00FA5BD7"/>
    <w:rsid w:val="00FA75EC"/>
    <w:rsid w:val="00FB19E8"/>
    <w:rsid w:val="00FB1DA9"/>
    <w:rsid w:val="00FB24A5"/>
    <w:rsid w:val="00FB2A38"/>
    <w:rsid w:val="00FB2A7C"/>
    <w:rsid w:val="00FB397E"/>
    <w:rsid w:val="00FB41DE"/>
    <w:rsid w:val="00FB5CA9"/>
    <w:rsid w:val="00FB5EC8"/>
    <w:rsid w:val="00FB61D1"/>
    <w:rsid w:val="00FB6C27"/>
    <w:rsid w:val="00FB714E"/>
    <w:rsid w:val="00FB7A02"/>
    <w:rsid w:val="00FC342E"/>
    <w:rsid w:val="00FC3CA3"/>
    <w:rsid w:val="00FC4B39"/>
    <w:rsid w:val="00FC4BFD"/>
    <w:rsid w:val="00FC524D"/>
    <w:rsid w:val="00FC5798"/>
    <w:rsid w:val="00FC58EF"/>
    <w:rsid w:val="00FC5ADC"/>
    <w:rsid w:val="00FC64D4"/>
    <w:rsid w:val="00FC783B"/>
    <w:rsid w:val="00FC785C"/>
    <w:rsid w:val="00FD1049"/>
    <w:rsid w:val="00FD1785"/>
    <w:rsid w:val="00FD2F46"/>
    <w:rsid w:val="00FD30C0"/>
    <w:rsid w:val="00FD33DF"/>
    <w:rsid w:val="00FD3CBE"/>
    <w:rsid w:val="00FD5069"/>
    <w:rsid w:val="00FD5CB5"/>
    <w:rsid w:val="00FD6967"/>
    <w:rsid w:val="00FE2F07"/>
    <w:rsid w:val="00FE304A"/>
    <w:rsid w:val="00FE38A0"/>
    <w:rsid w:val="00FE39D7"/>
    <w:rsid w:val="00FE460F"/>
    <w:rsid w:val="00FE4ECD"/>
    <w:rsid w:val="00FE5949"/>
    <w:rsid w:val="00FE6205"/>
    <w:rsid w:val="00FE70EF"/>
    <w:rsid w:val="00FE76D4"/>
    <w:rsid w:val="00FE771C"/>
    <w:rsid w:val="00FE7EAA"/>
    <w:rsid w:val="00FF0A41"/>
    <w:rsid w:val="00FF2D46"/>
    <w:rsid w:val="00FF3010"/>
    <w:rsid w:val="00FF4689"/>
    <w:rsid w:val="00FF6E8F"/>
    <w:rsid w:val="00FF70D1"/>
    <w:rsid w:val="00FF75C5"/>
    <w:rsid w:val="00FF7A97"/>
    <w:rsid w:val="7B365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1F13C12"/>
  <w15:chartTrackingRefBased/>
  <w15:docId w15:val="{DE8127AD-84E4-4AC6-BEDE-4BA7E83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uiPriority w:val="9"/>
    <w:qFormat/>
    <w:rsid w:val="00F74C38"/>
    <w:pPr>
      <w:keepNext/>
      <w:numPr>
        <w:numId w:val="2"/>
      </w:numPr>
      <w:ind w:left="0"/>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2127"/>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F01296"/>
    <w:pPr>
      <w:spacing w:before="240"/>
      <w:ind w:left="567"/>
    </w:pPr>
    <w:rPr>
      <w:rFonts w:eastAsia="Calibri" w:cs="Arial"/>
      <w:i/>
      <w:iCs/>
      <w:color w:val="000000"/>
      <w:sz w:val="20"/>
      <w:szCs w:val="22"/>
      <w:lang w:val="es-CO" w:eastAsia="en-US"/>
    </w:rPr>
  </w:style>
  <w:style w:type="character" w:customStyle="1" w:styleId="CitaCar">
    <w:name w:val="Cita Car"/>
    <w:basedOn w:val="Fuentedeprrafopredeter"/>
    <w:link w:val="Cita"/>
    <w:uiPriority w:val="29"/>
    <w:rsid w:val="00F01296"/>
    <w:rPr>
      <w:rFonts w:ascii="Bookman Old Style" w:eastAsia="Calibri" w:hAnsi="Bookman Old Style"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CharStyle44">
    <w:name w:val="Char Style 44"/>
    <w:basedOn w:val="Fuentedeprrafopredeter"/>
    <w:link w:val="Style43"/>
    <w:uiPriority w:val="99"/>
    <w:rsid w:val="00AC5002"/>
    <w:rPr>
      <w:rFonts w:ascii="Courier New" w:hAnsi="Courier New" w:cs="Courier New"/>
      <w:b/>
      <w:bCs/>
      <w:spacing w:val="20"/>
      <w:sz w:val="15"/>
      <w:szCs w:val="15"/>
      <w:shd w:val="clear" w:color="auto" w:fill="FFFFFF"/>
    </w:rPr>
  </w:style>
  <w:style w:type="character" w:customStyle="1" w:styleId="CharStyle45">
    <w:name w:val="Char Style 45"/>
    <w:basedOn w:val="CharStyle44"/>
    <w:uiPriority w:val="99"/>
    <w:rsid w:val="00AC5002"/>
    <w:rPr>
      <w:rFonts w:ascii="Arial" w:hAnsi="Arial" w:cs="Arial"/>
      <w:b w:val="0"/>
      <w:bCs w:val="0"/>
      <w:spacing w:val="-10"/>
      <w:sz w:val="16"/>
      <w:szCs w:val="16"/>
      <w:shd w:val="clear" w:color="auto" w:fill="FFFFFF"/>
      <w:lang w:val="en-US" w:eastAsia="en-US"/>
    </w:rPr>
  </w:style>
  <w:style w:type="character" w:customStyle="1" w:styleId="CharStyle46">
    <w:name w:val="Char Style 46"/>
    <w:basedOn w:val="CharStyle44"/>
    <w:uiPriority w:val="99"/>
    <w:rsid w:val="00AC5002"/>
    <w:rPr>
      <w:rFonts w:ascii="Arial" w:hAnsi="Arial" w:cs="Arial"/>
      <w:b/>
      <w:bCs/>
      <w:i/>
      <w:iCs/>
      <w:smallCaps/>
      <w:spacing w:val="-10"/>
      <w:sz w:val="15"/>
      <w:szCs w:val="15"/>
      <w:shd w:val="clear" w:color="auto" w:fill="FFFFFF"/>
      <w:lang w:val="en-US" w:eastAsia="en-US"/>
    </w:rPr>
  </w:style>
  <w:style w:type="character" w:customStyle="1" w:styleId="CharStyle47">
    <w:name w:val="Char Style 47"/>
    <w:basedOn w:val="CharStyle44"/>
    <w:uiPriority w:val="99"/>
    <w:rsid w:val="00AC5002"/>
    <w:rPr>
      <w:rFonts w:ascii="Courier New" w:hAnsi="Courier New" w:cs="Courier New"/>
      <w:b/>
      <w:bCs/>
      <w:spacing w:val="0"/>
      <w:sz w:val="17"/>
      <w:szCs w:val="17"/>
      <w:shd w:val="clear" w:color="auto" w:fill="FFFFFF"/>
    </w:rPr>
  </w:style>
  <w:style w:type="character" w:customStyle="1" w:styleId="CharStyle48">
    <w:name w:val="Char Style 48"/>
    <w:basedOn w:val="CharStyle44"/>
    <w:uiPriority w:val="99"/>
    <w:rsid w:val="00AC5002"/>
    <w:rPr>
      <w:rFonts w:ascii="Arial" w:hAnsi="Arial" w:cs="Arial"/>
      <w:b/>
      <w:bCs/>
      <w:i/>
      <w:iCs/>
      <w:spacing w:val="-10"/>
      <w:sz w:val="15"/>
      <w:szCs w:val="15"/>
      <w:shd w:val="clear" w:color="auto" w:fill="FFFFFF"/>
      <w:lang w:val="en-US" w:eastAsia="en-US"/>
    </w:rPr>
  </w:style>
  <w:style w:type="character" w:customStyle="1" w:styleId="CharStyle49">
    <w:name w:val="Char Style 49"/>
    <w:basedOn w:val="CharStyle44"/>
    <w:uiPriority w:val="99"/>
    <w:rsid w:val="00AC5002"/>
    <w:rPr>
      <w:rFonts w:ascii="Arial" w:hAnsi="Arial" w:cs="Arial"/>
      <w:b w:val="0"/>
      <w:bCs w:val="0"/>
      <w:i/>
      <w:iCs/>
      <w:spacing w:val="0"/>
      <w:sz w:val="11"/>
      <w:szCs w:val="11"/>
      <w:shd w:val="clear" w:color="auto" w:fill="FFFFFF"/>
      <w:lang w:val="en-US" w:eastAsia="en-US"/>
    </w:rPr>
  </w:style>
  <w:style w:type="paragraph" w:customStyle="1" w:styleId="Style43">
    <w:name w:val="Style 43"/>
    <w:basedOn w:val="Normal"/>
    <w:link w:val="CharStyle44"/>
    <w:uiPriority w:val="99"/>
    <w:rsid w:val="00AC5002"/>
    <w:pPr>
      <w:widowControl w:val="0"/>
      <w:shd w:val="clear" w:color="auto" w:fill="FFFFFF"/>
      <w:spacing w:before="0" w:after="0" w:line="125" w:lineRule="exact"/>
    </w:pPr>
    <w:rPr>
      <w:rFonts w:ascii="Courier New" w:hAnsi="Courier New" w:cs="Courier New"/>
      <w:b/>
      <w:bCs/>
      <w:spacing w:val="20"/>
      <w:sz w:val="15"/>
      <w:szCs w:val="15"/>
      <w:lang w:val="es-CO" w:eastAsia="es-CO"/>
    </w:rPr>
  </w:style>
  <w:style w:type="character" w:customStyle="1" w:styleId="CharStyle73">
    <w:name w:val="Char Style 73"/>
    <w:basedOn w:val="CharStyle44"/>
    <w:uiPriority w:val="99"/>
    <w:rsid w:val="00987F88"/>
    <w:rPr>
      <w:rFonts w:ascii="Arial" w:hAnsi="Arial" w:cs="Arial"/>
      <w:b w:val="0"/>
      <w:bCs w:val="0"/>
      <w:spacing w:val="0"/>
      <w:sz w:val="19"/>
      <w:szCs w:val="19"/>
      <w:u w:val="none"/>
      <w:shd w:val="clear" w:color="auto" w:fill="FFFFFF"/>
    </w:rPr>
  </w:style>
  <w:style w:type="character" w:customStyle="1" w:styleId="CharStyle74">
    <w:name w:val="Char Style 74"/>
    <w:basedOn w:val="CharStyle44"/>
    <w:uiPriority w:val="99"/>
    <w:rsid w:val="00987F88"/>
    <w:rPr>
      <w:rFonts w:ascii="Arial" w:hAnsi="Arial" w:cs="Arial"/>
      <w:b w:val="0"/>
      <w:bCs w:val="0"/>
      <w:spacing w:val="-10"/>
      <w:sz w:val="21"/>
      <w:szCs w:val="21"/>
      <w:u w:val="none"/>
      <w:shd w:val="clear" w:color="auto" w:fill="FFFFFF"/>
    </w:rPr>
  </w:style>
  <w:style w:type="character" w:customStyle="1" w:styleId="CharStyle75">
    <w:name w:val="Char Style 75"/>
    <w:basedOn w:val="CharStyle44"/>
    <w:uiPriority w:val="99"/>
    <w:rsid w:val="00987F88"/>
    <w:rPr>
      <w:rFonts w:ascii="Arial" w:hAnsi="Arial" w:cs="Arial"/>
      <w:b/>
      <w:bCs/>
      <w:spacing w:val="-10"/>
      <w:sz w:val="21"/>
      <w:szCs w:val="21"/>
      <w:u w:val="none"/>
      <w:shd w:val="clear" w:color="auto" w:fill="FFFFFF"/>
    </w:rPr>
  </w:style>
  <w:style w:type="character" w:customStyle="1" w:styleId="CharStyle101">
    <w:name w:val="Char Style 101"/>
    <w:basedOn w:val="CharStyle44"/>
    <w:uiPriority w:val="99"/>
    <w:rsid w:val="00D042BC"/>
    <w:rPr>
      <w:rFonts w:ascii="Arial" w:hAnsi="Arial" w:cs="Arial"/>
      <w:b/>
      <w:bCs/>
      <w:spacing w:val="20"/>
      <w:sz w:val="21"/>
      <w:szCs w:val="21"/>
      <w:u w:val="none"/>
      <w:shd w:val="clear" w:color="auto" w:fill="FFFFFF"/>
    </w:rPr>
  </w:style>
  <w:style w:type="character" w:customStyle="1" w:styleId="CharStyle109">
    <w:name w:val="Char Style 109"/>
    <w:basedOn w:val="CharStyle44"/>
    <w:uiPriority w:val="99"/>
    <w:rsid w:val="00AC258A"/>
    <w:rPr>
      <w:rFonts w:ascii="Arial" w:hAnsi="Arial" w:cs="Arial"/>
      <w:b/>
      <w:bCs/>
      <w:spacing w:val="0"/>
      <w:sz w:val="22"/>
      <w:szCs w:val="22"/>
      <w:shd w:val="clear" w:color="auto" w:fill="FFFFFF"/>
      <w:lang w:val="en-US" w:eastAsia="en-US"/>
    </w:rPr>
  </w:style>
  <w:style w:type="character" w:customStyle="1" w:styleId="CharStyle131">
    <w:name w:val="Char Style 131"/>
    <w:basedOn w:val="CharStyle44"/>
    <w:uiPriority w:val="99"/>
    <w:rsid w:val="008211BA"/>
    <w:rPr>
      <w:rFonts w:ascii="Arial" w:hAnsi="Arial" w:cs="Arial"/>
      <w:b w:val="0"/>
      <w:bCs w:val="0"/>
      <w:i/>
      <w:iCs/>
      <w:spacing w:val="0"/>
      <w:sz w:val="21"/>
      <w:szCs w:val="21"/>
      <w:u w:val="none"/>
      <w:shd w:val="clear" w:color="auto" w:fill="FFFFFF"/>
    </w:rPr>
  </w:style>
  <w:style w:type="paragraph" w:customStyle="1" w:styleId="paragraph">
    <w:name w:val="paragraph"/>
    <w:basedOn w:val="Normal"/>
    <w:rsid w:val="00735BB3"/>
    <w:pPr>
      <w:spacing w:before="0" w:after="0"/>
      <w:jc w:val="left"/>
    </w:pPr>
    <w:rPr>
      <w:rFonts w:ascii="Times New Roman" w:hAnsi="Times New Roman"/>
      <w:lang w:val="es-CO" w:eastAsia="es-CO"/>
    </w:rPr>
  </w:style>
  <w:style w:type="character" w:customStyle="1" w:styleId="normaltextrun1">
    <w:name w:val="normaltextrun1"/>
    <w:basedOn w:val="Fuentedeprrafopredeter"/>
    <w:rsid w:val="00735BB3"/>
  </w:style>
  <w:style w:type="character" w:customStyle="1" w:styleId="eop">
    <w:name w:val="eop"/>
    <w:basedOn w:val="Fuentedeprrafopredeter"/>
    <w:rsid w:val="00735BB3"/>
  </w:style>
  <w:style w:type="paragraph" w:customStyle="1" w:styleId="xmsonormal">
    <w:name w:val="x_msonormal"/>
    <w:basedOn w:val="Normal"/>
    <w:rsid w:val="009A06A2"/>
    <w:pPr>
      <w:spacing w:before="100" w:beforeAutospacing="1" w:after="100" w:afterAutospacing="1"/>
      <w:jc w:val="left"/>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574">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61974758">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1564597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336887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632865">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543731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4995930">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45768340">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555334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6785538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33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oyectospc\AppData\Local\Temp\Rar$DIa5204.38729\Calculo%20Perdidas%202017%20CREG%20015%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a:t>SENDA DE REDUCCION DE PERDIDAS </a:t>
            </a:r>
          </a:p>
        </c:rich>
      </c:tx>
      <c:overlay val="0"/>
      <c:spPr>
        <a:noFill/>
        <a:ln>
          <a:noFill/>
        </a:ln>
        <a:effectLst/>
      </c:spPr>
    </c:title>
    <c:autoTitleDeleted val="0"/>
    <c:plotArea>
      <c:layout/>
      <c:lineChart>
        <c:grouping val="standard"/>
        <c:varyColors val="0"/>
        <c:ser>
          <c:idx val="0"/>
          <c:order val="0"/>
          <c:tx>
            <c:strRef>
              <c:f>'[Calculo Perdidas 2017 CREG 015 2018.xlsx]Hoja1'!$D$1</c:f>
              <c:strCache>
                <c:ptCount val="1"/>
              </c:strCache>
            </c:strRef>
          </c:tx>
          <c:marker>
            <c:symbol val="diamond"/>
            <c:size val="6"/>
            <c:spPr>
              <a:solidFill>
                <a:schemeClr val="accent2"/>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'[Calculo Perdidas 2017 CREG 015 2018.xlsx]Hoja1'!$C$2:$C$6</c:f>
              <c:strCache>
                <c:ptCount val="5"/>
                <c:pt idx="0">
                  <c:v>Año 1</c:v>
                </c:pt>
                <c:pt idx="1">
                  <c:v>Año 2</c:v>
                </c:pt>
                <c:pt idx="2">
                  <c:v>Año 3</c:v>
                </c:pt>
                <c:pt idx="3">
                  <c:v>Año 4</c:v>
                </c:pt>
                <c:pt idx="4">
                  <c:v>Año 5</c:v>
                </c:pt>
              </c:strCache>
            </c:strRef>
          </c:cat>
          <c:val>
            <c:numRef>
              <c:f>'[Calculo Perdidas 2017 CREG 015 2018.xlsx]Hoja1'!$D$2:$D$6</c:f>
              <c:numCache>
                <c:formatCode>0.00%</c:formatCode>
                <c:ptCount val="5"/>
                <c:pt idx="0">
                  <c:v>0.16700000000000001</c:v>
                </c:pt>
                <c:pt idx="1">
                  <c:v>0.16389999999999999</c:v>
                </c:pt>
                <c:pt idx="2">
                  <c:v>0.16</c:v>
                </c:pt>
                <c:pt idx="3">
                  <c:v>0.15620000000000001</c:v>
                </c:pt>
                <c:pt idx="4">
                  <c:v>0.1525</c:v>
                </c:pt>
              </c:numCache>
            </c:numRef>
          </c:val>
          <c:smooth val="1"/>
          <c:extLst>
            <c:ext xmlns:c16="http://schemas.microsoft.com/office/drawing/2014/chart" uri="{C3380CC4-5D6E-409C-BE32-E72D297353CC}">
              <c16:uniqueId val="{00000000-0108-4DC1-B02D-BB3CEAC060DD}"/>
            </c:ext>
          </c:extLst>
        </c:ser>
        <c:dLbls>
          <c:dLblPos val="t"/>
          <c:showLegendKey val="0"/>
          <c:showVal val="1"/>
          <c:showCatName val="0"/>
          <c:showSerName val="0"/>
          <c:showPercent val="0"/>
          <c:showBubbleSize val="0"/>
        </c:dLbls>
        <c:marker val="1"/>
        <c:smooth val="0"/>
        <c:axId val="-434298128"/>
        <c:axId val="-434285616"/>
      </c:lineChart>
      <c:catAx>
        <c:axId val="-434298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s-CO"/>
          </a:p>
        </c:txPr>
        <c:crossAx val="-434285616"/>
        <c:crossesAt val="0"/>
        <c:auto val="1"/>
        <c:lblAlgn val="ctr"/>
        <c:lblOffset val="100"/>
        <c:noMultiLvlLbl val="0"/>
      </c:catAx>
      <c:valAx>
        <c:axId val="-434285616"/>
        <c:scaling>
          <c:orientation val="minMax"/>
          <c:min val="0.150000000000000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CO"/>
                  <a:t>pORCENTAJE</a:t>
                </a:r>
                <a:r>
                  <a:rPr lang="es-CO" baseline="0"/>
                  <a:t> DE PERDIDAS </a:t>
                </a:r>
                <a:endParaRPr lang="es-CO"/>
              </a:p>
            </c:rich>
          </c:tx>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4298128"/>
        <c:crosses val="autoZero"/>
        <c:crossBetween val="between"/>
        <c:majorUnit val="2.0000000000000005E-3"/>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12" ma:contentTypeDescription="Crear nuevo documento." ma:contentTypeScope="" ma:versionID="d141050eb41e489b36a9196f16167714">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39bf358c7609574bd43f2d44b199a1fc"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E981-F916-42C9-A677-862CD0932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7140C-D9F5-4E1F-8BE7-EA021EDDE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216C2-DA52-4A8D-9A45-8DC3677EDD00}">
  <ds:schemaRefs>
    <ds:schemaRef ds:uri="http://schemas.microsoft.com/sharepoint/v3/contenttype/forms"/>
  </ds:schemaRefs>
</ds:datastoreItem>
</file>

<file path=customXml/itemProps4.xml><?xml version="1.0" encoding="utf-8"?>
<ds:datastoreItem xmlns:ds="http://schemas.openxmlformats.org/officeDocument/2006/customXml" ds:itemID="{9DE94983-AEA6-4B8C-9D6D-B5A7A0D2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6085</Words>
  <Characters>33472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39479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2022-04-21T22:28:00Z</cp:lastPrinted>
  <dcterms:created xsi:type="dcterms:W3CDTF">2022-05-18T20:29:00Z</dcterms:created>
  <dcterms:modified xsi:type="dcterms:W3CDTF">2022-05-18T20:29:00Z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