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91185D"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3997"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E9533E">
        <w:rPr>
          <w:rFonts w:ascii="Bookman Old Style" w:eastAsia="Times New Roman" w:hAnsi="Bookman Old Style" w:cs="Times New Roman"/>
          <w:sz w:val="24"/>
          <w:szCs w:val="24"/>
          <w:lang w:val="es-ES" w:eastAsia="es-ES"/>
        </w:rPr>
        <w:t>Roscogas</w:t>
      </w:r>
      <w:r w:rsidR="00F5339F">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S</w:t>
      </w:r>
      <w:r w:rsidR="00F5339F">
        <w:rPr>
          <w:rFonts w:ascii="Bookman Old Style" w:eastAsia="Times New Roman" w:hAnsi="Bookman Old Style" w:cs="Times New Roman"/>
          <w:sz w:val="24"/>
          <w:szCs w:val="24"/>
          <w:lang w:val="es-ES" w:eastAsia="es-ES"/>
        </w:rPr>
        <w:t>.A.</w:t>
      </w:r>
      <w:r w:rsidRPr="00A33677">
        <w:rPr>
          <w:rFonts w:ascii="Bookman Old Style" w:eastAsia="Times New Roman" w:hAnsi="Bookman Old Style" w:cs="Times New Roman"/>
          <w:sz w:val="24"/>
          <w:szCs w:val="24"/>
          <w:lang w:val="es-ES" w:eastAsia="es-ES"/>
        </w:rPr>
        <w:t xml:space="preserve"> E.S.P. contra la Resolución C</w:t>
      </w:r>
      <w:r>
        <w:rPr>
          <w:rFonts w:ascii="Bookman Old Style" w:eastAsia="Times New Roman" w:hAnsi="Bookman Old Style" w:cs="Times New Roman"/>
          <w:sz w:val="24"/>
          <w:szCs w:val="24"/>
          <w:lang w:val="es-ES" w:eastAsia="es-ES"/>
        </w:rPr>
        <w:t>REG 048 de 2019</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91185D"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91185D"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91185D"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91185D"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91185D"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91185D"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lastRenderedPageBreak/>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w:t>
      </w:r>
      <w:r w:rsidRPr="00FB2E5A">
        <w:rPr>
          <w:rFonts w:ascii="Bookman Old Style" w:hAnsi="Bookman Old Style" w:cs="Arial"/>
          <w:spacing w:val="-5"/>
        </w:rPr>
        <w:lastRenderedPageBreak/>
        <w:t>-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w:t>
      </w:r>
      <w:r w:rsidR="00BA1BA8">
        <w:rPr>
          <w:rFonts w:ascii="Bookman Old Style" w:hAnsi="Bookman Old Style" w:cs="Arial"/>
          <w:spacing w:val="-5"/>
        </w:rPr>
        <w:t xml:space="preserve"> de 2011</w:t>
      </w:r>
      <w:r w:rsidRPr="00FB2E5A">
        <w:rPr>
          <w:rFonts w:ascii="Bookman Old Style" w:hAnsi="Bookman Old Style" w:cs="Arial"/>
          <w:spacing w:val="-5"/>
        </w:rPr>
        <w:t xml:space="preserve">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 xml:space="preserve">11 </w:t>
      </w:r>
      <w:r w:rsidR="00BA1BA8">
        <w:rPr>
          <w:rFonts w:ascii="Bookman Old Style" w:hAnsi="Bookman Old Style" w:cs="Arial"/>
          <w:spacing w:val="-5"/>
        </w:rPr>
        <w:t>de la Resolución CREG 023 de 2008,</w:t>
      </w:r>
      <w:r>
        <w:rPr>
          <w:rFonts w:ascii="Bookman Old Style" w:hAnsi="Bookman Old Style" w:cs="Arial"/>
          <w:spacing w:val="-5"/>
        </w:rPr>
        <w:t xml:space="preserve"> reglamento de distribución y comercialización minorista de GLP</w:t>
      </w:r>
      <w:r w:rsidR="00BA1BA8">
        <w:rPr>
          <w:rFonts w:ascii="Bookman Old Style" w:hAnsi="Bookman Old Style" w:cs="Arial"/>
          <w:spacing w:val="-5"/>
        </w:rPr>
        <w:t>,</w:t>
      </w:r>
      <w:r>
        <w:rPr>
          <w:rFonts w:ascii="Bookman Old Style" w:hAnsi="Bookman Old Style" w:cs="Arial"/>
          <w:spacing w:val="-5"/>
        </w:rPr>
        <w:t xml:space="preserve"> </w:t>
      </w:r>
      <w:r w:rsidR="00BA1BA8">
        <w:rPr>
          <w:rFonts w:ascii="Bookman Old Style" w:hAnsi="Bookman Old Style" w:cs="Arial"/>
          <w:spacing w:val="-5"/>
        </w:rPr>
        <w:t xml:space="preserve">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E644D5"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Así las cosas</w:t>
      </w:r>
      <w:r w:rsidR="00DE5054" w:rsidRPr="00A33677">
        <w:rPr>
          <w:rFonts w:ascii="Bookman Old Style" w:hAnsi="Bookman Old Style" w:cs="Arial"/>
          <w:spacing w:val="-5"/>
        </w:rPr>
        <w:t>,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w:t>
      </w:r>
      <w:r w:rsidRPr="00A33677">
        <w:rPr>
          <w:rFonts w:ascii="Bookman Old Style" w:hAnsi="Bookman Old Style" w:cs="Arial"/>
          <w:spacing w:val="-5"/>
        </w:rPr>
        <w:lastRenderedPageBreak/>
        <w:t xml:space="preserve">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I-201</w:t>
      </w:r>
      <w:r w:rsidR="006E3CAF" w:rsidRPr="00A33677">
        <w:rPr>
          <w:rFonts w:ascii="Bookman Old Style" w:hAnsi="Bookman Old Style" w:cs="Arial"/>
          <w:spacing w:val="-5"/>
        </w:rPr>
        <w:t>9-002387, I-2019-002506,</w:t>
      </w:r>
      <w:r w:rsidR="00F46EA4" w:rsidRPr="00A33677">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w:t>
      </w:r>
      <w:r w:rsidR="00BA1BA8" w:rsidRPr="00A33677">
        <w:rPr>
          <w:rFonts w:ascii="Bookman Old Style" w:hAnsi="Bookman Old Style" w:cs="Arial"/>
          <w:spacing w:val="-5"/>
        </w:rPr>
        <w:t>201</w:t>
      </w:r>
      <w:r w:rsidR="00BA1BA8">
        <w:rPr>
          <w:rFonts w:ascii="Bookman Old Style" w:hAnsi="Bookman Old Style" w:cs="Arial"/>
          <w:spacing w:val="-5"/>
        </w:rPr>
        <w:t>6</w:t>
      </w:r>
      <w:r w:rsidR="00BA1BA8" w:rsidRPr="00A33677">
        <w:rPr>
          <w:rFonts w:ascii="Bookman Old Style" w:hAnsi="Bookman Old Style" w:cs="Arial"/>
          <w:spacing w:val="-5"/>
        </w:rPr>
        <w:t xml:space="preserve"> </w:t>
      </w:r>
      <w:r w:rsidRPr="00A33677">
        <w:rPr>
          <w:rFonts w:ascii="Bookman Old Style" w:hAnsi="Bookman Old Style" w:cs="Arial"/>
          <w:spacing w:val="-5"/>
        </w:rPr>
        <w:t xml:space="preserve">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lastRenderedPageBreak/>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5434BA"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5434BA"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5434BA"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COMBUSTIBLES LíQUlDOS DE COLOMBIA S.A. E.S.P.</w:t>
            </w:r>
          </w:p>
        </w:tc>
      </w:tr>
    </w:tbl>
    <w:p w:rsidR="00BE5DEF" w:rsidRPr="00BE5DEF" w:rsidRDefault="004F557E" w:rsidP="00EB2D23">
      <w:pPr>
        <w:pStyle w:val="Textoindependiente2"/>
        <w:spacing w:after="0" w:line="240" w:lineRule="auto"/>
        <w:ind w:left="0" w:right="567"/>
        <w:jc w:val="both"/>
        <w:rPr>
          <w:rFonts w:ascii="Bookman Old Style" w:hAnsi="Bookman Old Style"/>
          <w:i/>
          <w:sz w:val="22"/>
          <w:szCs w:val="22"/>
        </w:rPr>
      </w:pPr>
      <w:r>
        <w:rPr>
          <w:rFonts w:ascii="Bookman Old Style" w:hAnsi="Bookman Old Style"/>
          <w:i/>
          <w:sz w:val="22"/>
          <w:szCs w:val="22"/>
        </w:rPr>
        <w:t xml:space="preserve">             </w:t>
      </w:r>
      <w:r w:rsidR="00BE5DEF" w:rsidRPr="00BE5DEF">
        <w:rPr>
          <w:rFonts w:ascii="Bookman Old Style" w:hAnsi="Bookman Old Style"/>
          <w:i/>
          <w:sz w:val="22"/>
          <w:szCs w:val="22"/>
        </w:rPr>
        <w:t>Fuente: Reporte estado de pendientes SUI</w:t>
      </w:r>
    </w:p>
    <w:p w:rsid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SUI/Administracion/Estado de reporte de Informacion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4F557E" w:rsidP="007F3FC2">
      <w:pPr>
        <w:pStyle w:val="Textoindependiente2"/>
        <w:spacing w:after="0" w:line="240" w:lineRule="auto"/>
        <w:ind w:left="0"/>
        <w:jc w:val="both"/>
        <w:rPr>
          <w:rFonts w:ascii="Bookman Old Style" w:hAnsi="Bookman Old Style"/>
          <w:i/>
          <w:sz w:val="22"/>
          <w:szCs w:val="22"/>
        </w:rPr>
      </w:pPr>
      <w:r>
        <w:rPr>
          <w:rFonts w:ascii="Bookman Old Style" w:hAnsi="Bookman Old Style"/>
          <w:i/>
          <w:sz w:val="22"/>
          <w:szCs w:val="22"/>
        </w:rPr>
        <w:t xml:space="preserve">             </w:t>
      </w:r>
      <w:r w:rsidR="00BE5DEF" w:rsidRPr="00BE5DEF">
        <w:rPr>
          <w:rFonts w:ascii="Bookman Old Style" w:hAnsi="Bookman Old Style"/>
          <w:i/>
          <w:sz w:val="22"/>
          <w:szCs w:val="22"/>
        </w:rPr>
        <w:t>Fuente: Reporte estado de pendientes SUI</w:t>
      </w:r>
    </w:p>
    <w:p w:rsidR="00BE5DEF" w:rsidRPr="00BE5DEF" w:rsidRDefault="00BE5DEF" w:rsidP="007F3FC2">
      <w:pPr>
        <w:pStyle w:val="Textoindependiente2"/>
        <w:spacing w:after="0" w:line="240" w:lineRule="auto"/>
        <w:ind w:left="851"/>
        <w:jc w:val="both"/>
        <w:rPr>
          <w:rFonts w:ascii="Bookman Old Style" w:hAnsi="Bookman Old Style"/>
          <w:i/>
          <w:sz w:val="22"/>
          <w:szCs w:val="22"/>
        </w:rPr>
      </w:pPr>
      <w:r w:rsidRPr="00BE5DEF">
        <w:rPr>
          <w:rFonts w:ascii="Bookman Old Style" w:hAnsi="Bookman Old Style"/>
          <w:i/>
          <w:sz w:val="22"/>
          <w:szCs w:val="22"/>
        </w:rPr>
        <w:t>Reporte: SUI/Administracion/Estado de reporte de Informacion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w:t>
      </w:r>
      <w:r w:rsidRPr="005434BA">
        <w:rPr>
          <w:rFonts w:ascii="Bookman Old Style" w:hAnsi="Bookman Old Style" w:cs="Arial"/>
          <w:spacing w:val="-5"/>
        </w:rPr>
        <w:t xml:space="preserve">CREG </w:t>
      </w:r>
      <w:r w:rsidR="00F64216" w:rsidRPr="005434BA">
        <w:rPr>
          <w:rFonts w:ascii="Bookman Old Style" w:hAnsi="Bookman Old Style" w:cs="Arial"/>
          <w:spacing w:val="-5"/>
        </w:rPr>
        <w:t>048 de 2019</w:t>
      </w:r>
      <w:r w:rsidRPr="005434BA">
        <w:rPr>
          <w:rFonts w:ascii="Bookman Old Style" w:hAnsi="Bookman Old Style" w:cs="Arial"/>
          <w:spacing w:val="-5"/>
        </w:rPr>
        <w:t xml:space="preserve">, aplicable para el </w:t>
      </w:r>
      <w:r w:rsidR="00F64216" w:rsidRPr="005434BA">
        <w:rPr>
          <w:rFonts w:ascii="Bookman Old Style" w:hAnsi="Bookman Old Style" w:cs="Arial"/>
          <w:spacing w:val="-5"/>
        </w:rPr>
        <w:t>sexto</w:t>
      </w:r>
      <w:r w:rsidRPr="00A33677">
        <w:rPr>
          <w:rFonts w:ascii="Bookman Old Style" w:hAnsi="Bookman Old Style" w:cs="Arial"/>
          <w:spacing w:val="-5"/>
        </w:rPr>
        <w:t xml:space="preserve"> período de compra. Los cálculos </w:t>
      </w:r>
      <w:r w:rsidRPr="00A33677">
        <w:rPr>
          <w:rFonts w:ascii="Bookman Old Style" w:hAnsi="Bookman Old Style" w:cs="Arial"/>
          <w:spacing w:val="-5"/>
        </w:rPr>
        <w:lastRenderedPageBreak/>
        <w:t>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217" w:type="dxa"/>
        <w:jc w:val="center"/>
        <w:tblCellMar>
          <w:left w:w="70" w:type="dxa"/>
          <w:right w:w="70" w:type="dxa"/>
        </w:tblCellMar>
        <w:tblLook w:val="04A0" w:firstRow="1" w:lastRow="0" w:firstColumn="1" w:lastColumn="0" w:noHBand="0" w:noVBand="1"/>
      </w:tblPr>
      <w:tblGrid>
        <w:gridCol w:w="1987"/>
        <w:gridCol w:w="3115"/>
        <w:gridCol w:w="3115"/>
      </w:tblGrid>
      <w:tr w:rsidR="00A33677" w:rsidRPr="00A33677" w:rsidTr="00992441">
        <w:trPr>
          <w:trHeight w:val="370"/>
          <w:tblHeader/>
          <w:jc w:val="center"/>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Código SUI</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Agente</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 xml:space="preserve">Capacidad de compra </w:t>
            </w:r>
            <m:oMath>
              <m:r>
                <m:rPr>
                  <m:sty m:val="bi"/>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
                      <w:iCs/>
                      <w:color w:val="000000"/>
                      <w:lang w:eastAsia="es-CO"/>
                    </w:rPr>
                  </m:ctrlPr>
                </m:sSubPr>
                <m:e>
                  <m:r>
                    <m:rPr>
                      <m:sty m:val="bi"/>
                    </m:rPr>
                    <w:rPr>
                      <w:rFonts w:ascii="Cambria Math" w:eastAsia="Times New Roman" w:hAnsi="Cambria Math" w:cs="Times New Roman"/>
                      <w:color w:val="000000"/>
                      <w:lang w:eastAsia="es-CO"/>
                    </w:rPr>
                    <m:t>C</m:t>
                  </m:r>
                </m:e>
                <m:sub>
                  <m:r>
                    <m:rPr>
                      <m:sty m:val="bi"/>
                    </m:rPr>
                    <w:rPr>
                      <w:rFonts w:ascii="Cambria Math" w:eastAsia="Times New Roman" w:hAnsi="Cambria Math" w:cs="Times New Roman"/>
                      <w:color w:val="000000"/>
                      <w:lang w:eastAsia="es-CO"/>
                    </w:rPr>
                    <m:t>i,t</m:t>
                  </m:r>
                </m:sub>
              </m:sSub>
            </m:oMath>
          </w:p>
        </w:tc>
      </w:tr>
      <w:tr w:rsidR="00992441" w:rsidRPr="00A33677" w:rsidTr="00340885">
        <w:trPr>
          <w:trHeight w:val="370"/>
          <w:tblHeader/>
          <w:jc w:val="center"/>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441" w:rsidRPr="00992441" w:rsidRDefault="00992441" w:rsidP="00340885">
            <w:pPr>
              <w:spacing w:after="0"/>
              <w:rPr>
                <w:rFonts w:ascii="Bookman Old Style" w:hAnsi="Bookman Old Style"/>
              </w:rPr>
            </w:pPr>
            <w:r w:rsidRPr="00992441">
              <w:rPr>
                <w:rFonts w:ascii="Bookman Old Style" w:hAnsi="Bookman Old Style"/>
              </w:rPr>
              <w:t>22167</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992441" w:rsidRPr="00992441" w:rsidRDefault="00992441" w:rsidP="00340885">
            <w:pPr>
              <w:spacing w:after="0"/>
              <w:rPr>
                <w:rFonts w:ascii="Bookman Old Style" w:hAnsi="Bookman Old Style"/>
              </w:rPr>
            </w:pPr>
            <w:r w:rsidRPr="00992441">
              <w:rPr>
                <w:rFonts w:ascii="Bookman Old Style" w:hAnsi="Bookman Old Style"/>
              </w:rPr>
              <w:t>Roscogas S.A. E.S.P</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992441" w:rsidRPr="00992441" w:rsidRDefault="00992441" w:rsidP="00340885">
            <w:pPr>
              <w:spacing w:after="0"/>
              <w:jc w:val="center"/>
              <w:rPr>
                <w:rFonts w:ascii="Bookman Old Style" w:hAnsi="Bookman Old Style"/>
              </w:rPr>
            </w:pPr>
            <w:r w:rsidRPr="00992441">
              <w:rPr>
                <w:rFonts w:ascii="Bookman Old Style" w:hAnsi="Bookman Old Style"/>
              </w:rPr>
              <w:t>10,863,388</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 xml:space="preserve">omisión a través de </w:t>
      </w:r>
      <w:r w:rsidR="00F5339F">
        <w:rPr>
          <w:rFonts w:ascii="Bookman Old Style" w:eastAsia="Times New Roman" w:hAnsi="Bookman Old Style" w:cs="Arial"/>
          <w:spacing w:val="-5"/>
          <w:sz w:val="24"/>
          <w:szCs w:val="24"/>
        </w:rPr>
        <w:t xml:space="preserve">comunicación </w:t>
      </w:r>
      <w:r w:rsidRPr="00A33677">
        <w:rPr>
          <w:rFonts w:ascii="Bookman Old Style" w:eastAsia="Times New Roman" w:hAnsi="Bookman Old Style" w:cs="Arial"/>
          <w:spacing w:val="-5"/>
          <w:sz w:val="24"/>
          <w:szCs w:val="24"/>
        </w:rPr>
        <w:t xml:space="preserve">con radicado número </w:t>
      </w:r>
      <w:r>
        <w:rPr>
          <w:rFonts w:ascii="Bookman Old Style" w:eastAsia="Times New Roman" w:hAnsi="Bookman Old Style" w:cs="Arial"/>
          <w:spacing w:val="-5"/>
          <w:sz w:val="24"/>
          <w:szCs w:val="24"/>
        </w:rPr>
        <w:t>E-2019-</w:t>
      </w:r>
      <w:r w:rsidR="00F5339F">
        <w:rPr>
          <w:rFonts w:ascii="Bookman Old Style" w:eastAsia="Times New Roman" w:hAnsi="Bookman Old Style" w:cs="Arial"/>
          <w:spacing w:val="-5"/>
          <w:sz w:val="24"/>
          <w:szCs w:val="24"/>
        </w:rPr>
        <w:t>00</w:t>
      </w:r>
      <w:r w:rsidR="00992441">
        <w:rPr>
          <w:rFonts w:ascii="Bookman Old Style" w:eastAsia="Times New Roman" w:hAnsi="Bookman Old Style" w:cs="Arial"/>
          <w:spacing w:val="-5"/>
          <w:sz w:val="24"/>
          <w:szCs w:val="24"/>
        </w:rPr>
        <w:t>5740</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992441">
        <w:rPr>
          <w:rFonts w:ascii="Bookman Old Style" w:eastAsia="Times New Roman" w:hAnsi="Bookman Old Style" w:cs="Arial"/>
          <w:spacing w:val="-5"/>
          <w:sz w:val="24"/>
          <w:szCs w:val="24"/>
        </w:rPr>
        <w:t>22</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Pr="00A33677">
        <w:rPr>
          <w:rFonts w:ascii="Bookman Old Style" w:eastAsia="Times New Roman" w:hAnsi="Bookman Old Style" w:cs="Arial"/>
          <w:spacing w:val="-5"/>
          <w:sz w:val="24"/>
          <w:szCs w:val="24"/>
        </w:rPr>
        <w:t xml:space="preserve">, el representante legal de la empresa </w:t>
      </w:r>
      <w:r w:rsidR="00992441" w:rsidRPr="004F557E">
        <w:rPr>
          <w:rFonts w:ascii="Bookman Old Style" w:eastAsia="Times New Roman" w:hAnsi="Bookman Old Style" w:cs="Arial"/>
          <w:spacing w:val="-5"/>
          <w:sz w:val="24"/>
          <w:szCs w:val="24"/>
        </w:rPr>
        <w:t>Roscogas</w:t>
      </w:r>
      <w:r w:rsidR="00BA1BA8" w:rsidRPr="004F557E">
        <w:rPr>
          <w:rFonts w:ascii="Bookman Old Style" w:eastAsia="Times New Roman" w:hAnsi="Bookman Old Style" w:cs="Arial"/>
          <w:spacing w:val="-5"/>
          <w:sz w:val="24"/>
          <w:szCs w:val="24"/>
        </w:rPr>
        <w:t xml:space="preserve"> S.A.</w:t>
      </w:r>
      <w:r w:rsidRPr="004F557E">
        <w:rPr>
          <w:rFonts w:ascii="Bookman Old Style" w:eastAsia="Times New Roman" w:hAnsi="Bookman Old Style" w:cs="Arial"/>
          <w:spacing w:val="-5"/>
          <w:sz w:val="24"/>
          <w:szCs w:val="24"/>
        </w:rPr>
        <w:t xml:space="preserve"> E.S.P.</w:t>
      </w:r>
      <w:r w:rsidRPr="00A33677">
        <w:rPr>
          <w:rFonts w:ascii="Bookman Old Style" w:eastAsia="Times New Roman" w:hAnsi="Bookman Old Style" w:cs="Arial"/>
          <w:spacing w:val="-5"/>
          <w:sz w:val="24"/>
          <w:szCs w:val="24"/>
        </w:rPr>
        <w:t xml:space="preserve"> 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rsidR="00A33677" w:rsidRPr="00A33677" w:rsidRDefault="00A33677"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992441">
        <w:rPr>
          <w:rFonts w:ascii="Bookman Old Style" w:eastAsia="MS Mincho" w:hAnsi="Bookman Old Style" w:cs="Arial"/>
          <w:i/>
          <w:lang w:val="es-ES"/>
        </w:rPr>
        <w:t xml:space="preserve">(…) </w:t>
      </w:r>
      <w:r w:rsidR="00992441" w:rsidRPr="00992441">
        <w:rPr>
          <w:rFonts w:ascii="Bookman Old Style" w:eastAsia="MS Mincho" w:hAnsi="Bookman Old Style" w:cs="Arial"/>
          <w:i/>
          <w:lang w:val="es-ES"/>
        </w:rPr>
        <w:t>interpongo recurso de reposición a la r</w:t>
      </w:r>
      <w:r w:rsidR="00992441">
        <w:rPr>
          <w:rFonts w:ascii="Bookman Old Style" w:eastAsia="MS Mincho" w:hAnsi="Bookman Old Style" w:cs="Arial"/>
          <w:i/>
          <w:lang w:val="es-ES"/>
        </w:rPr>
        <w:t>esolución 048 de Mayo 2 de 2019</w:t>
      </w:r>
      <w:r w:rsidR="00992441" w:rsidRPr="00992441">
        <w:rPr>
          <w:rFonts w:ascii="Bookman Old Style" w:eastAsia="MS Mincho" w:hAnsi="Bookman Old Style" w:cs="Arial"/>
          <w:i/>
          <w:lang w:val="es-ES"/>
        </w:rPr>
        <w:t>, notificada el día 16 de mayo de 2019 y emitida por la Comisión de Regulación de Energía y Gas, CREG, con el fin que se reconsideren las cantidades asignadas como capacidad de compra a</w:t>
      </w:r>
      <w:r w:rsidR="00992441">
        <w:rPr>
          <w:rFonts w:ascii="Bookman Old Style" w:eastAsia="MS Mincho" w:hAnsi="Bookman Old Style" w:cs="Arial"/>
          <w:i/>
          <w:lang w:val="es-ES"/>
        </w:rPr>
        <w:t xml:space="preserve"> nuestra compañía. </w:t>
      </w:r>
      <w:r w:rsidR="00992441" w:rsidRPr="00992441">
        <w:rPr>
          <w:rFonts w:ascii="Bookman Old Style" w:eastAsia="MS Mincho" w:hAnsi="Bookman Old Style" w:cs="Arial"/>
          <w:i/>
          <w:lang w:val="es-ES"/>
        </w:rPr>
        <w:t>Lo anterior debido a que por errores involuntarios y otros ajenos a nosotros estuvimos por fuera de la fecha establecida para el corte de la toma de cantidades de cilindros estacionarios. Y esto nos afecta en la capacidad de compra en un</w:t>
      </w:r>
      <w:r w:rsidR="00992441">
        <w:rPr>
          <w:rFonts w:ascii="Bookman Old Style" w:eastAsia="MS Mincho" w:hAnsi="Bookman Old Style" w:cs="Arial"/>
          <w:i/>
          <w:lang w:val="es-ES"/>
        </w:rPr>
        <w:t xml:space="preserve"> total de 70.960 kilos</w:t>
      </w:r>
      <w:r w:rsidR="00F5339F" w:rsidRPr="00F5339F">
        <w:rPr>
          <w:rFonts w:ascii="Bookman Old Style" w:eastAsia="MS Mincho" w:hAnsi="Bookman Old Style" w:cs="Arial"/>
          <w:i/>
          <w:lang w:val="es-ES"/>
        </w:rPr>
        <w:t>.</w:t>
      </w:r>
      <w:r w:rsidR="00992441">
        <w:rPr>
          <w:rFonts w:ascii="Bookman Old Style" w:eastAsia="MS Mincho" w:hAnsi="Bookman Old Style" w:cs="Arial"/>
          <w:i/>
          <w:lang w:val="es-ES"/>
        </w:rPr>
        <w:t>”</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rsidR="00F5339F" w:rsidRPr="00F5339F" w:rsidRDefault="00F5339F" w:rsidP="00F5339F">
      <w:pPr>
        <w:spacing w:after="0" w:line="240" w:lineRule="auto"/>
        <w:ind w:left="-142" w:right="-142"/>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La Resolución CREG 048 de 2019 fue notificada a la </w:t>
      </w:r>
      <w:r w:rsidRPr="004F557E">
        <w:rPr>
          <w:rFonts w:ascii="Bookman Old Style" w:eastAsia="Times New Roman" w:hAnsi="Bookman Old Style" w:cs="Arial"/>
          <w:spacing w:val="-5"/>
          <w:sz w:val="24"/>
          <w:szCs w:val="24"/>
        </w:rPr>
        <w:t xml:space="preserve">empresa </w:t>
      </w:r>
      <w:r w:rsidR="00992441" w:rsidRPr="004F557E">
        <w:rPr>
          <w:rFonts w:ascii="Bookman Old Style" w:eastAsia="Times New Roman" w:hAnsi="Bookman Old Style" w:cs="Arial"/>
          <w:spacing w:val="-5"/>
          <w:sz w:val="24"/>
          <w:szCs w:val="24"/>
        </w:rPr>
        <w:t>Roscogas</w:t>
      </w:r>
      <w:r w:rsidR="00BA1BA8">
        <w:rPr>
          <w:rFonts w:ascii="Bookman Old Style" w:eastAsia="Times New Roman" w:hAnsi="Bookman Old Style" w:cs="Arial"/>
          <w:spacing w:val="-5"/>
          <w:sz w:val="24"/>
          <w:szCs w:val="24"/>
        </w:rPr>
        <w:t xml:space="preserve"> S.A. E.S.P.</w:t>
      </w:r>
      <w:r w:rsidR="00992441">
        <w:rPr>
          <w:rFonts w:ascii="Bookman Old Style" w:eastAsia="Times New Roman" w:hAnsi="Bookman Old Style" w:cs="Arial"/>
          <w:spacing w:val="-5"/>
          <w:sz w:val="24"/>
          <w:szCs w:val="24"/>
        </w:rPr>
        <w:t xml:space="preserve"> </w:t>
      </w:r>
      <w:r w:rsidRPr="00F5339F">
        <w:rPr>
          <w:rFonts w:ascii="Bookman Old Style" w:eastAsia="Times New Roman" w:hAnsi="Bookman Old Style" w:cs="Arial"/>
          <w:spacing w:val="-5"/>
          <w:sz w:val="24"/>
          <w:szCs w:val="24"/>
        </w:rPr>
        <w:t>mediante notificación personal I-2018-</w:t>
      </w:r>
      <w:r w:rsidR="00992441">
        <w:rPr>
          <w:rFonts w:ascii="Bookman Old Style" w:eastAsia="Times New Roman" w:hAnsi="Bookman Old Style" w:cs="Arial"/>
          <w:spacing w:val="-5"/>
          <w:sz w:val="24"/>
          <w:szCs w:val="24"/>
        </w:rPr>
        <w:t>003173</w:t>
      </w:r>
      <w:r w:rsidRPr="00F5339F">
        <w:rPr>
          <w:rFonts w:ascii="Bookman Old Style" w:eastAsia="Times New Roman" w:hAnsi="Bookman Old Style" w:cs="Arial"/>
          <w:spacing w:val="-5"/>
          <w:sz w:val="24"/>
          <w:szCs w:val="24"/>
        </w:rPr>
        <w:t xml:space="preserve"> de </w:t>
      </w:r>
      <w:r w:rsidR="00992441">
        <w:rPr>
          <w:rFonts w:ascii="Bookman Old Style" w:eastAsia="Times New Roman" w:hAnsi="Bookman Old Style" w:cs="Arial"/>
          <w:spacing w:val="-5"/>
          <w:sz w:val="24"/>
          <w:szCs w:val="24"/>
        </w:rPr>
        <w:t>16</w:t>
      </w:r>
      <w:r w:rsidRPr="00F5339F">
        <w:rPr>
          <w:rFonts w:ascii="Bookman Old Style" w:eastAsia="Times New Roman" w:hAnsi="Bookman Old Style" w:cs="Arial"/>
          <w:spacing w:val="-5"/>
          <w:sz w:val="24"/>
          <w:szCs w:val="24"/>
        </w:rPr>
        <w:t xml:space="preserve"> de mayo de 2019 atendiendo lo dispuesto en el artículo 67</w:t>
      </w:r>
      <w:r w:rsidRPr="00F5339F">
        <w:rPr>
          <w:rFonts w:ascii="Bookman Old Style" w:eastAsia="Times New Roman" w:hAnsi="Bookman Old Style" w:cs="Arial"/>
          <w:spacing w:val="-5"/>
          <w:sz w:val="24"/>
          <w:szCs w:val="24"/>
          <w:vertAlign w:val="superscript"/>
        </w:rPr>
        <w:footnoteReference w:id="4"/>
      </w:r>
      <w:r w:rsidRPr="00F5339F">
        <w:rPr>
          <w:rFonts w:ascii="Bookman Old Style" w:eastAsia="Times New Roman" w:hAnsi="Bookman Old Style" w:cs="Arial"/>
          <w:spacing w:val="-5"/>
          <w:sz w:val="24"/>
          <w:szCs w:val="24"/>
        </w:rPr>
        <w:t xml:space="preserve"> de la Ley 1437 de 2011. </w:t>
      </w:r>
    </w:p>
    <w:p w:rsidR="00F5339F" w:rsidRPr="00F5339F" w:rsidRDefault="00F5339F" w:rsidP="00F5339F">
      <w:pPr>
        <w:spacing w:after="0" w:line="240" w:lineRule="auto"/>
        <w:ind w:left="-142" w:right="-142"/>
        <w:jc w:val="both"/>
        <w:rPr>
          <w:rFonts w:ascii="Bookman Old Style" w:eastAsia="Times New Roman" w:hAnsi="Bookman Old Style" w:cs="Arial"/>
          <w:spacing w:val="-5"/>
          <w:sz w:val="24"/>
          <w:szCs w:val="24"/>
        </w:rPr>
      </w:pPr>
    </w:p>
    <w:p w:rsidR="00F5339F" w:rsidRDefault="00F5339F" w:rsidP="00B80630">
      <w:pPr>
        <w:spacing w:after="0" w:line="240" w:lineRule="auto"/>
        <w:ind w:left="-142" w:right="-142"/>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Una vez establecida la fecha de notificación y verificada la fecha de interposición del recurso, se establece que el recurso de reposición fue interpuesto en tiempo, toda vez que el plazo máximo vencía el día </w:t>
      </w:r>
      <w:r w:rsidR="00992441">
        <w:rPr>
          <w:rFonts w:ascii="Bookman Old Style" w:eastAsia="Times New Roman" w:hAnsi="Bookman Old Style" w:cs="Arial"/>
          <w:spacing w:val="-5"/>
          <w:sz w:val="24"/>
          <w:szCs w:val="24"/>
        </w:rPr>
        <w:t>23</w:t>
      </w:r>
      <w:r w:rsidRPr="00F5339F">
        <w:rPr>
          <w:rFonts w:ascii="Bookman Old Style" w:eastAsia="Times New Roman" w:hAnsi="Bookman Old Style" w:cs="Arial"/>
          <w:spacing w:val="-5"/>
          <w:sz w:val="24"/>
          <w:szCs w:val="24"/>
        </w:rPr>
        <w:t xml:space="preserve"> de mayo del 2019.  </w:t>
      </w:r>
    </w:p>
    <w:p w:rsidR="00F5339F" w:rsidRPr="00A33677" w:rsidRDefault="00F5339F" w:rsidP="00D428CA">
      <w:pPr>
        <w:spacing w:after="0" w:line="240" w:lineRule="auto"/>
        <w:ind w:right="-142"/>
        <w:jc w:val="both"/>
        <w:rPr>
          <w:rFonts w:ascii="Bookman Old Style" w:eastAsia="Times New Roman" w:hAnsi="Bookman Old Style" w:cs="Arial"/>
          <w:spacing w:val="-5"/>
          <w:sz w:val="24"/>
          <w:szCs w:val="24"/>
        </w:rPr>
      </w:pPr>
    </w:p>
    <w:p w:rsidR="004F557E" w:rsidRDefault="004F557E"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992441" w:rsidRPr="005434BA">
        <w:rPr>
          <w:rFonts w:ascii="Bookman Old Style" w:eastAsia="Times New Roman" w:hAnsi="Bookman Old Style" w:cs="Times New Roman"/>
          <w:sz w:val="24"/>
          <w:szCs w:val="24"/>
          <w:lang w:val="es-ES" w:eastAsia="es-ES"/>
        </w:rPr>
        <w:t>Roscogas</w:t>
      </w:r>
      <w:r w:rsidR="009C6FFF">
        <w:rPr>
          <w:rFonts w:ascii="Bookman Old Style" w:eastAsia="Times New Roman" w:hAnsi="Bookman Old Style" w:cs="Times New Roman"/>
          <w:sz w:val="24"/>
          <w:szCs w:val="24"/>
          <w:lang w:val="es-ES" w:eastAsia="es-ES"/>
        </w:rPr>
        <w:t xml:space="preserve"> S.A. E.S.P.</w:t>
      </w:r>
      <w:r w:rsidRPr="00A33677">
        <w:rPr>
          <w:rFonts w:ascii="Bookman Old Style" w:eastAsia="Times New Roman" w:hAnsi="Bookman Old Style" w:cs="Times New Roman"/>
          <w:sz w:val="24"/>
          <w:szCs w:val="24"/>
          <w:lang w:val="es-ES" w:eastAsia="es-ES"/>
        </w:rPr>
        <w:t xml:space="preserve"> hacen referencia a lo siguiente:</w:t>
      </w:r>
    </w:p>
    <w:p w:rsidR="007F3FC2" w:rsidRDefault="007F3FC2"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992441" w:rsidRDefault="007F3FC2"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00992441">
        <w:rPr>
          <w:rFonts w:ascii="Bookman Old Style" w:eastAsia="Times New Roman" w:hAnsi="Bookman Old Style" w:cs="Times New Roman"/>
          <w:i/>
          <w:lang w:val="es-ES" w:eastAsia="es-ES"/>
        </w:rPr>
        <w:t xml:space="preserve">Como </w:t>
      </w:r>
      <w:r w:rsidR="00992441" w:rsidRPr="00992441">
        <w:rPr>
          <w:rFonts w:ascii="Bookman Old Style" w:eastAsia="Times New Roman" w:hAnsi="Bookman Old Style" w:cs="Times New Roman"/>
          <w:i/>
          <w:lang w:val="es-ES" w:eastAsia="es-ES"/>
        </w:rPr>
        <w:t>se evidencia en la</w:t>
      </w:r>
      <w:r w:rsidR="00992441">
        <w:rPr>
          <w:rFonts w:ascii="Bookman Old Style" w:eastAsia="Times New Roman" w:hAnsi="Bookman Old Style" w:cs="Times New Roman"/>
          <w:i/>
          <w:lang w:val="es-ES" w:eastAsia="es-ES"/>
        </w:rPr>
        <w:t xml:space="preserve"> formula anterior, el número</w:t>
      </w:r>
      <w:r w:rsidR="00992441">
        <w:rPr>
          <w:rFonts w:ascii="Bookman Old Style" w:eastAsia="Times New Roman" w:hAnsi="Bookman Old Style" w:cs="Times New Roman"/>
          <w:i/>
          <w:lang w:val="es-ES" w:eastAsia="es-ES"/>
        </w:rPr>
        <w:tab/>
        <w:t xml:space="preserve">de tanques estacionarios de la </w:t>
      </w:r>
      <w:r w:rsidR="00992441" w:rsidRPr="00992441">
        <w:rPr>
          <w:rFonts w:ascii="Bookman Old Style" w:eastAsia="Times New Roman" w:hAnsi="Bookman Old Style" w:cs="Times New Roman"/>
          <w:i/>
          <w:lang w:val="es-ES" w:eastAsia="es-ES"/>
        </w:rPr>
        <w:t>compañía jueg</w:t>
      </w:r>
      <w:r w:rsidR="00992441">
        <w:rPr>
          <w:rFonts w:ascii="Bookman Old Style" w:eastAsia="Times New Roman" w:hAnsi="Bookman Old Style" w:cs="Times New Roman"/>
          <w:i/>
          <w:lang w:val="es-ES" w:eastAsia="es-ES"/>
        </w:rPr>
        <w:t xml:space="preserve">a un papel muy importante en la “CAPACIDAD TOTAL DE </w:t>
      </w:r>
      <w:r w:rsidR="00992441" w:rsidRPr="00992441">
        <w:rPr>
          <w:rFonts w:ascii="Bookman Old Style" w:eastAsia="Times New Roman" w:hAnsi="Bookman Old Style" w:cs="Times New Roman"/>
          <w:i/>
          <w:lang w:val="es-ES" w:eastAsia="es-ES"/>
        </w:rPr>
        <w:t>COMPRA DEL DISTRIBUIDOR” y revisan</w:t>
      </w:r>
      <w:r w:rsidR="00992441">
        <w:rPr>
          <w:rFonts w:ascii="Bookman Old Style" w:eastAsia="Times New Roman" w:hAnsi="Bookman Old Style" w:cs="Times New Roman"/>
          <w:i/>
          <w:lang w:val="es-ES" w:eastAsia="es-ES"/>
        </w:rPr>
        <w:t>do esa FORMULA en LA RESOLUCION</w:t>
      </w:r>
      <w:r w:rsidR="00992441" w:rsidRPr="00992441">
        <w:rPr>
          <w:rFonts w:ascii="Bookman Old Style" w:eastAsia="Times New Roman" w:hAnsi="Bookman Old Style" w:cs="Times New Roman"/>
          <w:i/>
          <w:lang w:val="es-ES" w:eastAsia="es-ES"/>
        </w:rPr>
        <w:t xml:space="preserve"> # 048 de mayo 2 de 2019 del ministerio de Minas se observa que no se tiene en cuenta la cantidad de tanques estacionarios de nuestra compañía. Ya que solo nos asigna un total de 10.863.388 Kilo que es el resultante de nuestros cilindros.</w:t>
      </w: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Desde la implementación de esta norma, siempre se le han tenido en cuenta los tanques estacionarios a ROSCOGAS SA ESP. Para el cálculo de la capacidad de compra. Como se puede evidenciar en las resoluciones CREG #048 del 13 Abril de 2018, La cual asigno (208 tanques, cap. total 75.980 y Cap.TEit = 957.348 kilos),</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y la resolución CREG #125 de octubre 12 de 2018 que asigno (196 tanques, cap. Total 70.960 894.096 Cap. TEit — 894.096 kilos).</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Por concepto de Tanques estacionarios respectivamente.</w:t>
      </w: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Para esta resolución nuestra cantidad de tanques es de reportados en el SUI y atendidos por el distribuidor. Es de 206 tanques para una capacidad total de 70.960 kilos Se adjunta pantallazo del SUI (anexo 1)</w:t>
      </w:r>
    </w:p>
    <w:p w:rsidR="00992441" w:rsidRDefault="00992441" w:rsidP="00B8063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 xml:space="preserve">Teniendo en cuenta lo anterior, en el periodo julio D diciembre de 2019 </w:t>
      </w:r>
      <w:r>
        <w:rPr>
          <w:rFonts w:ascii="Bookman Old Style" w:eastAsia="Times New Roman" w:hAnsi="Bookman Old Style" w:cs="Times New Roman"/>
          <w:i/>
          <w:lang w:val="es-ES" w:eastAsia="es-ES"/>
        </w:rPr>
        <w:t>ROSCOGAS dispone</w:t>
      </w:r>
      <w:r w:rsidRPr="00992441">
        <w:rPr>
          <w:rFonts w:ascii="Bookman Old Style" w:eastAsia="Times New Roman" w:hAnsi="Bookman Old Style" w:cs="Times New Roman"/>
          <w:i/>
          <w:lang w:val="es-ES" w:eastAsia="es-ES"/>
        </w:rPr>
        <w:t xml:space="preserve"> de una capacidad total de 10863338 kg en cilindros</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y</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una capacidad de70960 kg en tanques estacionarios Para un total de 10 934 298 que es lo que debemos tener para la nueva resolución</w:t>
      </w: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CERTIFICAMOS que ROSCOGAS S.A. E S P no ha modificado su parque de tanques estacionarios por ningún motivo (venta, enajenación etc.) en los últimos semestres. Por tal razón en las últimas resoluciones los tuvieron en cuenta para la asignación de la capacidad de compra.</w:t>
      </w: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 xml:space="preserve">La resolución que enuncia la obtención de la información reportada de tanques estacionarios, según CIRCULAR CONJUNTA SSPD - CREG 1 DE 2004, modificada por la </w:t>
      </w:r>
      <w:r>
        <w:rPr>
          <w:rFonts w:ascii="Bookman Old Style" w:eastAsia="Times New Roman" w:hAnsi="Bookman Old Style" w:cs="Times New Roman"/>
          <w:i/>
          <w:lang w:val="es-ES" w:eastAsia="es-ES"/>
        </w:rPr>
        <w:t>CIRCULAR CONJUNTA SSPD - CREG 1 DE 2017 (…)</w:t>
      </w: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Se identifica que los reportes se realizan trimestre vencido, por lo cual evidenciamos que no se están teniendo en cuenta los reportes realizados durante el cuarto trimestre del año 2018.</w:t>
      </w: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lastRenderedPageBreak/>
        <w:t>Si bien es cierto que nuestra información por un error involuntario fue cargada días después de tomada la muestra para los datos oficiales.</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También es cierto que se solicitó mediante carta a la CREG de fecha 2 de mayo de los corrientes, con radicado CREG E-2019-005029. Que se tuviese en cuenta esta información ya que por también se presentaron fallas en el link del SUI. Como lo decimos en nuestra comunicación citada (adjunto copia).</w:t>
      </w:r>
    </w:p>
    <w:p w:rsidR="00992441" w:rsidRDefault="00992441" w:rsidP="00B8063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De igual manera para soportarle anteriormente dicho, se</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encuentran los soportes cargados al sistema único de información SUI, en los</w:t>
      </w:r>
      <w:r>
        <w:rPr>
          <w:rFonts w:ascii="Bookman Old Style" w:eastAsia="Times New Roman" w:hAnsi="Bookman Old Style" w:cs="Times New Roman"/>
          <w:i/>
          <w:lang w:val="es-ES" w:eastAsia="es-ES"/>
        </w:rPr>
        <w:t xml:space="preserve"> formatos comerciales de venta, q</w:t>
      </w:r>
      <w:r w:rsidRPr="00992441">
        <w:rPr>
          <w:rFonts w:ascii="Bookman Old Style" w:eastAsia="Times New Roman" w:hAnsi="Bookman Old Style" w:cs="Times New Roman"/>
          <w:i/>
          <w:lang w:val="es-ES" w:eastAsia="es-ES"/>
        </w:rPr>
        <w:t>ue mes a mes, nuestra compañía sube a la plataforma,</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 xml:space="preserve">en </w:t>
      </w:r>
      <w:r>
        <w:rPr>
          <w:rFonts w:ascii="Bookman Old Style" w:eastAsia="Times New Roman" w:hAnsi="Bookman Old Style" w:cs="Times New Roman"/>
          <w:i/>
          <w:lang w:val="es-ES" w:eastAsia="es-ES"/>
        </w:rPr>
        <w:t>donde se relacionan las ventas q</w:t>
      </w:r>
      <w:r w:rsidRPr="00992441">
        <w:rPr>
          <w:rFonts w:ascii="Bookman Old Style" w:eastAsia="Times New Roman" w:hAnsi="Bookman Old Style" w:cs="Times New Roman"/>
          <w:i/>
          <w:lang w:val="es-ES" w:eastAsia="es-ES"/>
        </w:rPr>
        <w:t>ue realiza la empresa</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 xml:space="preserve">los usuarios, entiéndase formato D3 (ventas del distribuidor) </w:t>
      </w:r>
      <w:r>
        <w:rPr>
          <w:rFonts w:ascii="Bookman Old Style" w:eastAsia="Times New Roman" w:hAnsi="Bookman Old Style" w:cs="Times New Roman"/>
          <w:i/>
          <w:lang w:val="es-ES" w:eastAsia="es-ES"/>
        </w:rPr>
        <w:t>ANEXO LO ANUNCIADO (…)</w:t>
      </w: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No tener en cuenta la capacidad de compra real de ROSCOGASSA ESP, iría</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en</w:t>
      </w:r>
      <w:r>
        <w:rPr>
          <w:rFonts w:ascii="Bookman Old Style" w:eastAsia="Times New Roman" w:hAnsi="Bookman Old Style" w:cs="Times New Roman"/>
          <w:i/>
          <w:lang w:val="es-ES" w:eastAsia="es-ES"/>
        </w:rPr>
        <w:t xml:space="preserve"> contravía </w:t>
      </w:r>
      <w:r w:rsidRPr="00992441">
        <w:rPr>
          <w:rFonts w:ascii="Bookman Old Style" w:eastAsia="Times New Roman" w:hAnsi="Bookman Old Style" w:cs="Times New Roman"/>
          <w:i/>
          <w:lang w:val="es-ES" w:eastAsia="es-ES"/>
        </w:rPr>
        <w:t>de</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la</w:t>
      </w:r>
      <w:r>
        <w:rPr>
          <w:rFonts w:ascii="Bookman Old Style" w:eastAsia="Times New Roman" w:hAnsi="Bookman Old Style" w:cs="Times New Roman"/>
          <w:i/>
          <w:lang w:val="es-ES" w:eastAsia="es-ES"/>
        </w:rPr>
        <w:t xml:space="preserve"> filosofía </w:t>
      </w:r>
      <w:r w:rsidRPr="00992441">
        <w:rPr>
          <w:rFonts w:ascii="Bookman Old Style" w:eastAsia="Times New Roman" w:hAnsi="Bookman Old Style" w:cs="Times New Roman"/>
          <w:i/>
          <w:lang w:val="es-ES" w:eastAsia="es-ES"/>
        </w:rPr>
        <w:t>de</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la</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regulación</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y normatividad vigente, la cual busca establecer</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y</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fortalecer</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mecanismos</w:t>
      </w:r>
      <w:r>
        <w:rPr>
          <w:rFonts w:ascii="Bookman Old Style" w:eastAsia="Times New Roman" w:hAnsi="Bookman Old Style" w:cs="Times New Roman"/>
          <w:i/>
          <w:lang w:val="es-ES" w:eastAsia="es-ES"/>
        </w:rPr>
        <w:t xml:space="preserve"> y medidas encentra de </w:t>
      </w:r>
      <w:r w:rsidRPr="00992441">
        <w:rPr>
          <w:rFonts w:ascii="Bookman Old Style" w:eastAsia="Times New Roman" w:hAnsi="Bookman Old Style" w:cs="Times New Roman"/>
          <w:i/>
          <w:lang w:val="es-ES" w:eastAsia="es-ES"/>
        </w:rPr>
        <w:t>la ilegalidad, mediante un</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ejercicio ejemplar de asignación</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de</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producto</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las empresas legalmente constituidas</w:t>
      </w:r>
      <w:r w:rsidR="000A7284">
        <w:rPr>
          <w:rFonts w:ascii="Bookman Old Style" w:eastAsia="Times New Roman" w:hAnsi="Bookman Old Style" w:cs="Times New Roman"/>
          <w:i/>
          <w:lang w:val="es-ES" w:eastAsia="es-ES"/>
        </w:rPr>
        <w:t xml:space="preserve"> (…)</w:t>
      </w: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92441" w:rsidRPr="00992441" w:rsidRDefault="00992441"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 xml:space="preserve">Es procedente señalar </w:t>
      </w:r>
      <w:r w:rsidR="000A7284" w:rsidRPr="00992441">
        <w:rPr>
          <w:rFonts w:ascii="Bookman Old Style" w:eastAsia="Times New Roman" w:hAnsi="Bookman Old Style" w:cs="Times New Roman"/>
          <w:i/>
          <w:lang w:val="es-ES" w:eastAsia="es-ES"/>
        </w:rPr>
        <w:t>que</w:t>
      </w:r>
      <w:r w:rsidRPr="00992441">
        <w:rPr>
          <w:rFonts w:ascii="Bookman Old Style" w:eastAsia="Times New Roman" w:hAnsi="Bookman Old Style" w:cs="Times New Roman"/>
          <w:i/>
          <w:lang w:val="es-ES" w:eastAsia="es-ES"/>
        </w:rPr>
        <w:t xml:space="preserve"> </w:t>
      </w:r>
      <w:r w:rsidR="000A7284" w:rsidRPr="00992441">
        <w:rPr>
          <w:rFonts w:ascii="Bookman Old Style" w:eastAsia="Times New Roman" w:hAnsi="Bookman Old Style" w:cs="Times New Roman"/>
          <w:i/>
          <w:lang w:val="es-ES" w:eastAsia="es-ES"/>
        </w:rPr>
        <w:t>sería</w:t>
      </w:r>
      <w:r w:rsidRPr="00992441">
        <w:rPr>
          <w:rFonts w:ascii="Bookman Old Style" w:eastAsia="Times New Roman" w:hAnsi="Bookman Old Style" w:cs="Times New Roman"/>
          <w:i/>
          <w:lang w:val="es-ES" w:eastAsia="es-ES"/>
        </w:rPr>
        <w:t xml:space="preserve"> injusto para algunas compañías </w:t>
      </w:r>
      <w:r w:rsidR="000A7284" w:rsidRPr="00992441">
        <w:rPr>
          <w:rFonts w:ascii="Bookman Old Style" w:eastAsia="Times New Roman" w:hAnsi="Bookman Old Style" w:cs="Times New Roman"/>
          <w:i/>
          <w:lang w:val="es-ES" w:eastAsia="es-ES"/>
        </w:rPr>
        <w:t>que</w:t>
      </w:r>
      <w:r w:rsidRPr="00992441">
        <w:rPr>
          <w:rFonts w:ascii="Bookman Old Style" w:eastAsia="Times New Roman" w:hAnsi="Bookman Old Style" w:cs="Times New Roman"/>
          <w:i/>
          <w:lang w:val="es-ES" w:eastAsia="es-ES"/>
        </w:rPr>
        <w:t xml:space="preserve"> por problemas del</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sui</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o</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por ajustes internos ajenos</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a</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la realidad,</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 xml:space="preserve">se les castigue no tomando al menos el reporte inmediatamente anterior, lo cual </w:t>
      </w:r>
      <w:r w:rsidR="000A7284" w:rsidRPr="00992441">
        <w:rPr>
          <w:rFonts w:ascii="Bookman Old Style" w:eastAsia="Times New Roman" w:hAnsi="Bookman Old Style" w:cs="Times New Roman"/>
          <w:i/>
          <w:lang w:val="es-ES" w:eastAsia="es-ES"/>
        </w:rPr>
        <w:t>iría</w:t>
      </w:r>
      <w:r w:rsidRPr="00992441">
        <w:rPr>
          <w:rFonts w:ascii="Bookman Old Style" w:eastAsia="Times New Roman" w:hAnsi="Bookman Old Style" w:cs="Times New Roman"/>
          <w:i/>
          <w:lang w:val="es-ES" w:eastAsia="es-ES"/>
        </w:rPr>
        <w:t xml:space="preserve"> en </w:t>
      </w:r>
      <w:r w:rsidR="000A7284" w:rsidRPr="00992441">
        <w:rPr>
          <w:rFonts w:ascii="Bookman Old Style" w:eastAsia="Times New Roman" w:hAnsi="Bookman Old Style" w:cs="Times New Roman"/>
          <w:i/>
          <w:lang w:val="es-ES" w:eastAsia="es-ES"/>
        </w:rPr>
        <w:t>contravía</w:t>
      </w:r>
      <w:r w:rsidRPr="00992441">
        <w:rPr>
          <w:rFonts w:ascii="Bookman Old Style" w:eastAsia="Times New Roman" w:hAnsi="Bookman Old Style" w:cs="Times New Roman"/>
          <w:i/>
          <w:lang w:val="es-ES" w:eastAsia="es-ES"/>
        </w:rPr>
        <w:t xml:space="preserve"> de</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la</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verdad</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 xml:space="preserve">y la justicia </w:t>
      </w:r>
      <w:r w:rsidR="000A7284" w:rsidRPr="00992441">
        <w:rPr>
          <w:rFonts w:ascii="Bookman Old Style" w:eastAsia="Times New Roman" w:hAnsi="Bookman Old Style" w:cs="Times New Roman"/>
          <w:i/>
          <w:lang w:val="es-ES" w:eastAsia="es-ES"/>
        </w:rPr>
        <w:t>que</w:t>
      </w:r>
      <w:r w:rsidR="000A7284">
        <w:rPr>
          <w:rFonts w:ascii="Bookman Old Style" w:eastAsia="Times New Roman" w:hAnsi="Bookman Old Style" w:cs="Times New Roman"/>
          <w:i/>
          <w:lang w:val="es-ES" w:eastAsia="es-ES"/>
        </w:rPr>
        <w:t xml:space="preserve"> siempre h</w:t>
      </w:r>
      <w:r w:rsidRPr="00992441">
        <w:rPr>
          <w:rFonts w:ascii="Bookman Old Style" w:eastAsia="Times New Roman" w:hAnsi="Bookman Old Style" w:cs="Times New Roman"/>
          <w:i/>
          <w:lang w:val="es-ES" w:eastAsia="es-ES"/>
        </w:rPr>
        <w:t>a tratado de defender las CREG</w:t>
      </w:r>
      <w:r w:rsidR="000A7284">
        <w:rPr>
          <w:rFonts w:ascii="Bookman Old Style" w:eastAsia="Times New Roman" w:hAnsi="Bookman Old Style" w:cs="Times New Roman"/>
          <w:i/>
          <w:lang w:val="es-ES" w:eastAsia="es-ES"/>
        </w:rPr>
        <w:t xml:space="preserve"> </w:t>
      </w:r>
      <w:r w:rsidRPr="00992441">
        <w:rPr>
          <w:rFonts w:ascii="Bookman Old Style" w:eastAsia="Times New Roman" w:hAnsi="Bookman Old Style" w:cs="Times New Roman"/>
          <w:i/>
          <w:lang w:val="es-ES" w:eastAsia="es-ES"/>
        </w:rPr>
        <w:t xml:space="preserve">y la SSPD Indicamos </w:t>
      </w:r>
      <w:r w:rsidR="000A7284" w:rsidRPr="00992441">
        <w:rPr>
          <w:rFonts w:ascii="Bookman Old Style" w:eastAsia="Times New Roman" w:hAnsi="Bookman Old Style" w:cs="Times New Roman"/>
          <w:i/>
          <w:lang w:val="es-ES" w:eastAsia="es-ES"/>
        </w:rPr>
        <w:t>que</w:t>
      </w:r>
      <w:r w:rsidRPr="00992441">
        <w:rPr>
          <w:rFonts w:ascii="Bookman Old Style" w:eastAsia="Times New Roman" w:hAnsi="Bookman Old Style" w:cs="Times New Roman"/>
          <w:i/>
          <w:lang w:val="es-ES" w:eastAsia="es-ES"/>
        </w:rPr>
        <w:t xml:space="preserve"> el proceso de reporte debe ser acumulativo y no dinámico </w:t>
      </w:r>
      <w:r w:rsidR="000A7284" w:rsidRPr="00992441">
        <w:rPr>
          <w:rFonts w:ascii="Bookman Old Style" w:eastAsia="Times New Roman" w:hAnsi="Bookman Old Style" w:cs="Times New Roman"/>
          <w:i/>
          <w:lang w:val="es-ES" w:eastAsia="es-ES"/>
        </w:rPr>
        <w:t>porque</w:t>
      </w:r>
      <w:r w:rsidRPr="00992441">
        <w:rPr>
          <w:rFonts w:ascii="Bookman Old Style" w:eastAsia="Times New Roman" w:hAnsi="Bookman Old Style" w:cs="Times New Roman"/>
          <w:i/>
          <w:lang w:val="es-ES" w:eastAsia="es-ES"/>
        </w:rPr>
        <w:t xml:space="preserve"> podrían presentarse distorsiones por parte de la administración</w:t>
      </w:r>
    </w:p>
    <w:p w:rsidR="000A7284" w:rsidRDefault="000A7284"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B80630" w:rsidRDefault="00992441" w:rsidP="000A728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992441">
        <w:rPr>
          <w:rFonts w:ascii="Bookman Old Style" w:eastAsia="Times New Roman" w:hAnsi="Bookman Old Style" w:cs="Times New Roman"/>
          <w:i/>
          <w:lang w:val="es-ES" w:eastAsia="es-ES"/>
        </w:rPr>
        <w:t>Conforme a los hechos descritos y ya sustentados anteriormente, consideramos que la capacidad de compra que se debería asignar a nuestra compañía es de 10.934.000 kilogramos para el periodo en mención.</w:t>
      </w:r>
      <w:r w:rsidR="00B80630">
        <w:rPr>
          <w:rFonts w:ascii="Bookman Old Style" w:eastAsia="Times New Roman" w:hAnsi="Bookman Old Style" w:cs="Times New Roman"/>
          <w:i/>
          <w:lang w:val="es-ES" w:eastAsia="es-ES"/>
        </w:rPr>
        <w:t>”</w:t>
      </w:r>
    </w:p>
    <w:p w:rsidR="00D428CA" w:rsidRDefault="00D428CA" w:rsidP="00D428CA">
      <w:pPr>
        <w:pStyle w:val="Textoindependiente2"/>
        <w:spacing w:after="0" w:line="240" w:lineRule="auto"/>
        <w:ind w:left="0" w:right="-142"/>
        <w:jc w:val="both"/>
        <w:rPr>
          <w:rFonts w:ascii="Bookman Old Style" w:hAnsi="Bookman Old Style"/>
          <w:i/>
          <w:sz w:val="22"/>
          <w:szCs w:val="22"/>
        </w:rPr>
      </w:pPr>
    </w:p>
    <w:p w:rsidR="007F3FC2" w:rsidRDefault="007F3FC2" w:rsidP="00D428CA">
      <w:pPr>
        <w:spacing w:after="0" w:line="240" w:lineRule="auto"/>
        <w:ind w:left="-142" w:right="-142"/>
        <w:jc w:val="both"/>
        <w:rPr>
          <w:rFonts w:ascii="Bookman Old Style" w:hAnsi="Bookman Old Style" w:cs="Arial"/>
          <w:spacing w:val="-5"/>
        </w:rPr>
      </w:pPr>
      <w:r w:rsidRPr="005434BA">
        <w:rPr>
          <w:rFonts w:ascii="Bookman Old Style" w:hAnsi="Bookman Old Style" w:cs="Arial"/>
          <w:spacing w:val="-5"/>
          <w:sz w:val="24"/>
          <w:szCs w:val="24"/>
        </w:rPr>
        <w:t xml:space="preserve">Para sustentar estos </w:t>
      </w:r>
      <w:r w:rsidRPr="009C6FFF">
        <w:rPr>
          <w:rFonts w:ascii="Bookman Old Style" w:eastAsia="Times New Roman" w:hAnsi="Bookman Old Style" w:cs="Times New Roman"/>
          <w:sz w:val="24"/>
          <w:szCs w:val="24"/>
          <w:lang w:val="es-ES" w:eastAsia="es-ES"/>
        </w:rPr>
        <w:t>argumentos</w:t>
      </w:r>
      <w:r w:rsidR="009C6FFF">
        <w:rPr>
          <w:rFonts w:ascii="Bookman Old Style" w:eastAsia="Times New Roman" w:hAnsi="Bookman Old Style" w:cs="Times New Roman"/>
          <w:sz w:val="24"/>
          <w:szCs w:val="24"/>
          <w:lang w:val="es-ES" w:eastAsia="es-ES"/>
        </w:rPr>
        <w:t xml:space="preserve"> la </w:t>
      </w:r>
      <w:r w:rsidR="009C6FFF" w:rsidRPr="004F557E">
        <w:rPr>
          <w:rFonts w:ascii="Bookman Old Style" w:eastAsia="Times New Roman" w:hAnsi="Bookman Old Style" w:cs="Times New Roman"/>
          <w:sz w:val="24"/>
          <w:szCs w:val="24"/>
          <w:lang w:val="es-ES" w:eastAsia="es-ES"/>
        </w:rPr>
        <w:t>empresa</w:t>
      </w:r>
      <w:r w:rsidRPr="004F557E">
        <w:rPr>
          <w:rFonts w:ascii="Bookman Old Style" w:hAnsi="Bookman Old Style" w:cs="Arial"/>
          <w:spacing w:val="-5"/>
          <w:sz w:val="24"/>
          <w:szCs w:val="24"/>
        </w:rPr>
        <w:t xml:space="preserve"> </w:t>
      </w:r>
      <w:r w:rsidR="000A7284" w:rsidRPr="004F557E">
        <w:rPr>
          <w:rFonts w:ascii="Bookman Old Style" w:hAnsi="Bookman Old Style" w:cs="Arial"/>
          <w:spacing w:val="-5"/>
          <w:sz w:val="24"/>
          <w:szCs w:val="24"/>
        </w:rPr>
        <w:t>Roscogas</w:t>
      </w:r>
      <w:r w:rsidR="009C6FFF">
        <w:rPr>
          <w:rFonts w:ascii="Bookman Old Style" w:hAnsi="Bookman Old Style" w:cs="Arial"/>
          <w:spacing w:val="-5"/>
          <w:sz w:val="24"/>
          <w:szCs w:val="24"/>
        </w:rPr>
        <w:t xml:space="preserve"> S.A. E.S.P.</w:t>
      </w:r>
      <w:r w:rsidRPr="005434BA">
        <w:rPr>
          <w:rFonts w:ascii="Bookman Old Style" w:hAnsi="Bookman Old Style" w:cs="Arial"/>
          <w:spacing w:val="-5"/>
          <w:sz w:val="24"/>
          <w:szCs w:val="24"/>
        </w:rPr>
        <w:t xml:space="preserve"> adjuntó los siguientes soportes</w:t>
      </w:r>
      <w:r>
        <w:rPr>
          <w:rFonts w:ascii="Bookman Old Style" w:hAnsi="Bookman Old Style" w:cs="Arial"/>
          <w:spacing w:val="-5"/>
        </w:rPr>
        <w:t>:</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D428CA" w:rsidRDefault="000A7284" w:rsidP="00B8063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Pr="000A7284">
        <w:rPr>
          <w:rFonts w:ascii="Bookman Old Style" w:eastAsia="Times New Roman" w:hAnsi="Bookman Old Style" w:cs="Times New Roman"/>
          <w:i/>
          <w:lang w:val="es-ES" w:eastAsia="es-ES"/>
        </w:rPr>
        <w:t>Solicito se t</w:t>
      </w:r>
      <w:r>
        <w:rPr>
          <w:rFonts w:ascii="Bookman Old Style" w:eastAsia="Times New Roman" w:hAnsi="Bookman Old Style" w:cs="Times New Roman"/>
          <w:i/>
          <w:lang w:val="es-ES" w:eastAsia="es-ES"/>
        </w:rPr>
        <w:t>enga como tales, los reportes al</w:t>
      </w:r>
      <w:r w:rsidRPr="000A7284">
        <w:rPr>
          <w:rFonts w:ascii="Bookman Old Style" w:eastAsia="Times New Roman" w:hAnsi="Bookman Old Style" w:cs="Times New Roman"/>
          <w:i/>
          <w:lang w:val="es-ES" w:eastAsia="es-ES"/>
        </w:rPr>
        <w:t xml:space="preserve"> SUI en cuanto a los reportes técnico operativos de reporte de información de tanques estacionarios atendidos por el distribuidor C10, las comunicaciones enviadas a la superintendencia de servicios públicos domiciliarios (anexos 2 y 3), La comunicación radicada a la CREG y las ventas históricas de ROSCOGAS S.A. E S P formato 03.</w:t>
      </w:r>
      <w:r w:rsidR="00D428CA">
        <w:rPr>
          <w:rFonts w:ascii="Bookman Old Style" w:eastAsia="Times New Roman" w:hAnsi="Bookman Old Style" w:cs="Times New Roman"/>
          <w:i/>
          <w:lang w:val="es-ES" w:eastAsia="es-ES"/>
        </w:rPr>
        <w:t>”</w:t>
      </w: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Teniendo en cuenta que dentro de los argumentos expuestos por la empresa a efectos de sustentar su recurso de reposición se encontraban elementos relacionados con una posible diferencia de información del Sistema Único de Información – SUI remitida por la Superintendencia de Servicios Públicos Domiciliarios a efectos de definir la capacidad de compra por la existencia de  un cargue de información de activos</w:t>
      </w:r>
      <w:r>
        <w:rPr>
          <w:rFonts w:ascii="Bookman Old Style" w:eastAsia="Times New Roman" w:hAnsi="Bookman Old Style" w:cs="Times New Roman"/>
          <w:sz w:val="24"/>
          <w:szCs w:val="24"/>
          <w:lang w:val="es-ES" w:eastAsia="es-ES"/>
        </w:rPr>
        <w:t xml:space="preserve"> en materia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adjuntando los soportes correspondientes; esta Comisión de acuerdo con las facultades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0</w:t>
      </w:r>
      <w:r w:rsidR="00BD7BE2">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4F557E" w:rsidRDefault="004F557E"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4F557E" w:rsidRPr="007F3FC2" w:rsidRDefault="004F557E"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Oficiar a la Superintendencia de Servicios Públicos Domiciliarios para que en el término de hasta (5) días calendario siguientes al recibo de la presente auto 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Superintendencia de Servicios Públicos 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0B4631">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w:t>
      </w:r>
      <w:r w:rsidRPr="004F557E">
        <w:rPr>
          <w:rFonts w:ascii="Bookman Old Style" w:eastAsia="Times New Roman" w:hAnsi="Bookman Old Style" w:cs="Times New Roman"/>
          <w:sz w:val="24"/>
          <w:szCs w:val="24"/>
          <w:lang w:val="es-ES" w:eastAsia="es-ES"/>
        </w:rPr>
        <w:t xml:space="preserve">Resolución CREG </w:t>
      </w:r>
      <w:r w:rsidR="00252FBF" w:rsidRPr="004F557E">
        <w:rPr>
          <w:rFonts w:ascii="Bookman Old Style" w:eastAsia="Times New Roman" w:hAnsi="Bookman Old Style" w:cs="Times New Roman"/>
          <w:sz w:val="24"/>
          <w:szCs w:val="24"/>
          <w:lang w:val="es-ES" w:eastAsia="es-ES"/>
        </w:rPr>
        <w:t>048 de 2019</w:t>
      </w:r>
      <w:r w:rsidRPr="004F557E">
        <w:rPr>
          <w:rFonts w:ascii="Bookman Old Style" w:eastAsia="Times New Roman" w:hAnsi="Bookman Old Style" w:cs="Times New Roman"/>
          <w:sz w:val="24"/>
          <w:szCs w:val="24"/>
          <w:lang w:val="es-ES" w:eastAsia="es-ES"/>
        </w:rPr>
        <w:t>, a efectos de que esta Comisión revise la definición de la capacidad de compra para la empresa</w:t>
      </w:r>
      <w:r w:rsidR="000A7284" w:rsidRPr="004F557E">
        <w:rPr>
          <w:rFonts w:ascii="Bookman Old Style" w:eastAsia="Times New Roman" w:hAnsi="Bookman Old Style" w:cs="Times New Roman"/>
          <w:sz w:val="24"/>
          <w:szCs w:val="24"/>
          <w:lang w:val="es-ES" w:eastAsia="es-ES"/>
        </w:rPr>
        <w:t xml:space="preserve"> Rosocogas</w:t>
      </w:r>
      <w:r w:rsidR="009C6FFF" w:rsidRPr="004F557E">
        <w:rPr>
          <w:rFonts w:ascii="Bookman Old Style" w:eastAsia="Times New Roman" w:hAnsi="Bookman Old Style" w:cs="Times New Roman"/>
          <w:sz w:val="24"/>
          <w:szCs w:val="24"/>
          <w:lang w:val="es-ES" w:eastAsia="es-ES"/>
        </w:rPr>
        <w:t xml:space="preserve"> S.A. E.S.P.</w:t>
      </w:r>
      <w:r w:rsidRPr="004F557E">
        <w:rPr>
          <w:rFonts w:ascii="Bookman Old Style" w:eastAsia="Times New Roman" w:hAnsi="Bookman Old Style" w:cs="Times New Roman"/>
          <w:sz w:val="24"/>
          <w:szCs w:val="24"/>
          <w:lang w:val="es-ES" w:eastAsia="es-ES"/>
        </w:rPr>
        <w:t>, toda vez que considera</w:t>
      </w:r>
      <w:r w:rsidRPr="007F3FC2">
        <w:rPr>
          <w:rFonts w:ascii="Bookman Old Style" w:eastAsia="Times New Roman" w:hAnsi="Bookman Old Style" w:cs="Times New Roman"/>
          <w:sz w:val="24"/>
          <w:szCs w:val="24"/>
          <w:lang w:val="es-ES" w:eastAsia="es-ES"/>
        </w:rPr>
        <w:t xml:space="preserve"> que existen diferencias en la información a nivel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reportados en el SUI que fueron tenidos en cuenta por la CREG para realizar dicho cálculo.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lastRenderedPageBreak/>
        <w:t xml:space="preserve">En este sentido, los argumentos de la empresa buscan justificar que la definición de la capacidad de compra debe llevarse a cabo con el reporte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realizado por esta empresa de acuerdo con los </w:t>
      </w:r>
      <w:r w:rsidR="00BD7BE2">
        <w:rPr>
          <w:rFonts w:ascii="Bookman Old Style" w:eastAsia="Times New Roman" w:hAnsi="Bookman Old Style" w:cs="Times New Roman"/>
          <w:sz w:val="24"/>
          <w:szCs w:val="24"/>
          <w:lang w:val="es-ES" w:eastAsia="es-ES"/>
        </w:rPr>
        <w:t>argumentos expuestos</w:t>
      </w:r>
      <w:r w:rsidRPr="007F3FC2">
        <w:rPr>
          <w:rFonts w:ascii="Bookman Old Style" w:eastAsia="Times New Roman" w:hAnsi="Bookman Old Style" w:cs="Times New Roman"/>
          <w:sz w:val="24"/>
          <w:szCs w:val="24"/>
          <w:lang w:val="es-ES" w:eastAsia="es-ES"/>
        </w:rPr>
        <w:t xml:space="preserve"> en el recurso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del Sistema Único de Información – SUI remitida a la Comisión por parte de la Superintendencia de Servicios Públicos Domiciliarios, así como atendiendo el procedimiento previsto en el artículo 8 de la Resolución CREG 063 de 2016, lo cual se refleja en la Resolución </w:t>
      </w:r>
      <w:r w:rsidRPr="005434BA">
        <w:rPr>
          <w:rFonts w:ascii="Bookman Old Style" w:eastAsia="Times New Roman" w:hAnsi="Bookman Old Style" w:cs="Times New Roman"/>
          <w:sz w:val="24"/>
          <w:szCs w:val="24"/>
          <w:lang w:val="es-ES" w:eastAsia="es-ES"/>
        </w:rPr>
        <w:t xml:space="preserve">CREG </w:t>
      </w:r>
      <w:r w:rsidR="00F64216" w:rsidRPr="005434BA">
        <w:rPr>
          <w:rFonts w:ascii="Bookman Old Style" w:eastAsia="Times New Roman" w:hAnsi="Bookman Old Style" w:cs="Times New Roman"/>
          <w:sz w:val="24"/>
          <w:szCs w:val="24"/>
          <w:lang w:val="es-ES" w:eastAsia="es-ES"/>
        </w:rPr>
        <w:t>048 de 2019</w:t>
      </w:r>
      <w:r w:rsidRPr="009C6FFF">
        <w:rPr>
          <w:rFonts w:ascii="Bookman Old Style" w:eastAsia="Times New Roman" w:hAnsi="Bookman Old Style" w:cs="Times New Roman"/>
          <w:sz w:val="24"/>
          <w:szCs w:val="24"/>
          <w:lang w:val="es-ES" w:eastAsia="es-ES"/>
        </w:rPr>
        <w:t xml:space="preserve"> y</w:t>
      </w:r>
      <w:r w:rsidRPr="007F3FC2">
        <w:rPr>
          <w:rFonts w:ascii="Bookman Old Style" w:eastAsia="Times New Roman" w:hAnsi="Bookman Old Style" w:cs="Times New Roman"/>
          <w:sz w:val="24"/>
          <w:szCs w:val="24"/>
          <w:lang w:val="es-ES" w:eastAsia="es-ES"/>
        </w:rPr>
        <w:t xml:space="preserve"> su anexo.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340885"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340885">
        <w:rPr>
          <w:rFonts w:ascii="Bookman Old Style" w:eastAsia="Times New Roman" w:hAnsi="Bookman Old Style" w:cs="Times New Roman"/>
          <w:sz w:val="24"/>
          <w:szCs w:val="24"/>
          <w:lang w:val="es-ES" w:eastAsia="es-ES"/>
        </w:rPr>
        <w:t xml:space="preserve">En respuesta al auto de pruebas mediante comunicación </w:t>
      </w:r>
      <w:r w:rsidR="00F05A6A" w:rsidRPr="00340885">
        <w:rPr>
          <w:rFonts w:ascii="Bookman Old Style" w:eastAsia="Times New Roman" w:hAnsi="Bookman Old Style" w:cs="Times New Roman"/>
          <w:sz w:val="24"/>
          <w:szCs w:val="24"/>
          <w:lang w:val="es-ES" w:eastAsia="es-ES"/>
        </w:rPr>
        <w:t>20192300451791</w:t>
      </w:r>
      <w:r w:rsidRPr="00340885">
        <w:rPr>
          <w:rFonts w:ascii="Bookman Old Style" w:eastAsia="Times New Roman" w:hAnsi="Bookman Old Style" w:cs="Times New Roman"/>
          <w:sz w:val="24"/>
          <w:szCs w:val="24"/>
          <w:lang w:val="es-ES" w:eastAsia="es-ES"/>
        </w:rPr>
        <w:t xml:space="preserve"> radicado</w:t>
      </w:r>
      <w:r w:rsidR="00340885" w:rsidRPr="00340885">
        <w:rPr>
          <w:rFonts w:ascii="Bookman Old Style" w:eastAsia="Times New Roman" w:hAnsi="Bookman Old Style" w:cs="Times New Roman"/>
          <w:sz w:val="24"/>
          <w:szCs w:val="24"/>
          <w:lang w:val="es-ES" w:eastAsia="es-ES"/>
        </w:rPr>
        <w:t>s</w:t>
      </w:r>
      <w:r w:rsidRPr="00340885">
        <w:rPr>
          <w:rFonts w:ascii="Bookman Old Style" w:eastAsia="Times New Roman" w:hAnsi="Bookman Old Style" w:cs="Times New Roman"/>
          <w:sz w:val="24"/>
          <w:szCs w:val="24"/>
          <w:lang w:val="es-ES" w:eastAsia="es-ES"/>
        </w:rPr>
        <w:t xml:space="preserve"> CREG </w:t>
      </w:r>
      <w:r w:rsidR="00340885" w:rsidRPr="005434BA">
        <w:rPr>
          <w:rFonts w:ascii="Bookman Old Style" w:eastAsia="Times New Roman" w:hAnsi="Bookman Old Style" w:cs="Times New Roman"/>
          <w:sz w:val="24"/>
          <w:szCs w:val="24"/>
          <w:lang w:val="es-ES" w:eastAsia="es-ES"/>
        </w:rPr>
        <w:t>E-2019-006575 y E-2019-006578</w:t>
      </w:r>
      <w:r w:rsidR="00252FBF" w:rsidRPr="005434BA">
        <w:rPr>
          <w:rFonts w:ascii="Bookman Old Style" w:eastAsia="Times New Roman" w:hAnsi="Bookman Old Style" w:cs="Times New Roman"/>
          <w:sz w:val="24"/>
          <w:szCs w:val="24"/>
          <w:lang w:val="es-ES" w:eastAsia="es-ES"/>
        </w:rPr>
        <w:t>,</w:t>
      </w:r>
      <w:r w:rsidRPr="009C6FFF">
        <w:rPr>
          <w:rFonts w:ascii="Bookman Old Style" w:eastAsia="Times New Roman" w:hAnsi="Bookman Old Style" w:cs="Times New Roman"/>
          <w:sz w:val="24"/>
          <w:szCs w:val="24"/>
          <w:lang w:val="es-ES" w:eastAsia="es-ES"/>
        </w:rPr>
        <w:t xml:space="preserve"> la Superintendencia de Servicios Públicos Domiciliarios expuso lo siguiente parta el caso de la empresa </w:t>
      </w:r>
      <w:r w:rsidR="00F05A6A" w:rsidRPr="005434BA">
        <w:rPr>
          <w:rFonts w:ascii="Bookman Old Style" w:eastAsia="Times New Roman" w:hAnsi="Bookman Old Style" w:cs="Times New Roman"/>
          <w:sz w:val="24"/>
          <w:szCs w:val="24"/>
          <w:lang w:val="es-ES" w:eastAsia="es-ES"/>
        </w:rPr>
        <w:t>Roscogas S.A. E.S.P</w:t>
      </w:r>
      <w:r w:rsidRPr="005434BA">
        <w:rPr>
          <w:rFonts w:ascii="Bookman Old Style" w:eastAsia="Times New Roman" w:hAnsi="Bookman Old Style" w:cs="Times New Roman"/>
          <w:sz w:val="24"/>
          <w:szCs w:val="24"/>
          <w:lang w:val="es-ES" w:eastAsia="es-ES"/>
        </w:rPr>
        <w:t>:</w:t>
      </w:r>
    </w:p>
    <w:p w:rsidR="00D85312" w:rsidRDefault="00D85312" w:rsidP="007F3FC2">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D85312" w:rsidRPr="000A7284" w:rsidRDefault="00D85312" w:rsidP="007F3FC2">
      <w:pPr>
        <w:spacing w:after="0" w:line="240" w:lineRule="auto"/>
        <w:ind w:left="-142" w:right="-142"/>
        <w:jc w:val="both"/>
        <w:rPr>
          <w:rFonts w:ascii="Bookman Old Style" w:eastAsia="Times New Roman" w:hAnsi="Bookman Old Style" w:cs="Times New Roman"/>
          <w:sz w:val="24"/>
          <w:szCs w:val="24"/>
          <w:highlight w:val="yellow"/>
          <w:lang w:val="es-ES" w:eastAsia="es-ES"/>
        </w:rPr>
      </w:pPr>
      <w:r w:rsidRPr="00D85312">
        <w:rPr>
          <w:rFonts w:ascii="Bookman Old Style" w:eastAsia="Times New Roman" w:hAnsi="Bookman Old Style" w:cs="Times New Roman"/>
          <w:noProof/>
          <w:sz w:val="24"/>
          <w:szCs w:val="24"/>
          <w:highlight w:val="yellow"/>
          <w:lang w:eastAsia="es-CO"/>
        </w:rPr>
        <w:drawing>
          <wp:inline distT="0" distB="0" distL="0" distR="0">
            <wp:extent cx="5941060" cy="2402427"/>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2402427"/>
                    </a:xfrm>
                    <a:prstGeom prst="rect">
                      <a:avLst/>
                    </a:prstGeom>
                    <a:noFill/>
                    <a:ln>
                      <a:noFill/>
                    </a:ln>
                  </pic:spPr>
                </pic:pic>
              </a:graphicData>
            </a:graphic>
          </wp:inline>
        </w:drawing>
      </w:r>
    </w:p>
    <w:p w:rsidR="007F3FC2" w:rsidRDefault="00D85312" w:rsidP="007F3FC2">
      <w:pPr>
        <w:spacing w:after="0" w:line="240" w:lineRule="auto"/>
        <w:ind w:left="-142" w:right="-142"/>
        <w:jc w:val="both"/>
        <w:rPr>
          <w:rFonts w:ascii="Bookman Old Style" w:eastAsia="Times New Roman" w:hAnsi="Bookman Old Style" w:cs="Times New Roman"/>
          <w:sz w:val="24"/>
          <w:szCs w:val="24"/>
          <w:highlight w:val="yellow"/>
          <w:lang w:val="es-ES" w:eastAsia="es-ES"/>
        </w:rPr>
      </w:pPr>
      <w:r w:rsidRPr="00D85312">
        <w:rPr>
          <w:rFonts w:ascii="Bookman Old Style" w:eastAsia="Times New Roman" w:hAnsi="Bookman Old Style" w:cs="Times New Roman"/>
          <w:noProof/>
          <w:sz w:val="24"/>
          <w:szCs w:val="24"/>
          <w:highlight w:val="yellow"/>
          <w:lang w:eastAsia="es-CO"/>
        </w:rPr>
        <w:drawing>
          <wp:inline distT="0" distB="0" distL="0" distR="0">
            <wp:extent cx="5941060" cy="2235582"/>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2235582"/>
                    </a:xfrm>
                    <a:prstGeom prst="rect">
                      <a:avLst/>
                    </a:prstGeom>
                    <a:noFill/>
                    <a:ln>
                      <a:noFill/>
                    </a:ln>
                  </pic:spPr>
                </pic:pic>
              </a:graphicData>
            </a:graphic>
          </wp:inline>
        </w:drawing>
      </w:r>
    </w:p>
    <w:p w:rsidR="00D85312" w:rsidRDefault="00D85312"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r w:rsidRPr="00D85312">
        <w:rPr>
          <w:rFonts w:ascii="Bookman Old Style" w:eastAsia="Times New Roman" w:hAnsi="Bookman Old Style" w:cs="Times New Roman"/>
          <w:noProof/>
          <w:sz w:val="24"/>
          <w:szCs w:val="24"/>
          <w:highlight w:val="yellow"/>
          <w:lang w:eastAsia="es-CO"/>
        </w:rPr>
        <w:drawing>
          <wp:inline distT="0" distB="0" distL="0" distR="0">
            <wp:extent cx="5650865" cy="1310514"/>
            <wp:effectExtent l="0" t="0" r="6985"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4095" cy="1313582"/>
                    </a:xfrm>
                    <a:prstGeom prst="rect">
                      <a:avLst/>
                    </a:prstGeom>
                    <a:noFill/>
                    <a:ln>
                      <a:noFill/>
                    </a:ln>
                  </pic:spPr>
                </pic:pic>
              </a:graphicData>
            </a:graphic>
          </wp:inline>
        </w:drawing>
      </w:r>
    </w:p>
    <w:p w:rsidR="00D85312" w:rsidRDefault="00D85312"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p>
    <w:p w:rsidR="00D85312" w:rsidRDefault="00D85312"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r w:rsidRPr="00D85312">
        <w:rPr>
          <w:rFonts w:ascii="Bookman Old Style" w:eastAsia="Times New Roman" w:hAnsi="Bookman Old Style" w:cs="Times New Roman"/>
          <w:noProof/>
          <w:sz w:val="24"/>
          <w:szCs w:val="24"/>
          <w:highlight w:val="yellow"/>
          <w:lang w:eastAsia="es-CO"/>
        </w:rPr>
        <w:drawing>
          <wp:inline distT="0" distB="0" distL="0" distR="0">
            <wp:extent cx="5941060" cy="4085543"/>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4085543"/>
                    </a:xfrm>
                    <a:prstGeom prst="rect">
                      <a:avLst/>
                    </a:prstGeom>
                    <a:noFill/>
                    <a:ln>
                      <a:noFill/>
                    </a:ln>
                  </pic:spPr>
                </pic:pic>
              </a:graphicData>
            </a:graphic>
          </wp:inline>
        </w:drawing>
      </w:r>
    </w:p>
    <w:p w:rsidR="00D85312" w:rsidRDefault="00D85312"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048 de 2019 en relación con la definición de la capacidad de compra para la empresa </w:t>
      </w:r>
      <w:r w:rsidRPr="005434BA">
        <w:rPr>
          <w:rFonts w:ascii="Bookman Old Style" w:eastAsia="Times New Roman" w:hAnsi="Bookman Old Style" w:cs="Times New Roman"/>
          <w:sz w:val="24"/>
          <w:szCs w:val="24"/>
          <w:lang w:val="es-ES" w:eastAsia="es-ES"/>
        </w:rPr>
        <w:t>Roscogas S.A. E.S.P.</w:t>
      </w:r>
      <w:r w:rsidRPr="00D85312">
        <w:rPr>
          <w:rFonts w:ascii="Bookman Old Style" w:eastAsia="Times New Roman" w:hAnsi="Bookman Old Style" w:cs="Times New Roman"/>
          <w:sz w:val="24"/>
          <w:szCs w:val="24"/>
          <w:lang w:val="es-ES" w:eastAsia="es-ES"/>
        </w:rPr>
        <w:t xml:space="preserve"> </w:t>
      </w:r>
    </w:p>
    <w:p w:rsidR="00D85312" w:rsidRPr="00D85312" w:rsidRDefault="00D85312" w:rsidP="00D85312">
      <w:pPr>
        <w:spacing w:after="0" w:line="240" w:lineRule="auto"/>
        <w:ind w:right="-142"/>
        <w:jc w:val="both"/>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E8258A">
        <w:rPr>
          <w:rFonts w:ascii="Bookman Old Style" w:eastAsia="Times New Roman" w:hAnsi="Bookman Old Style" w:cs="Times New Roman"/>
          <w:sz w:val="24"/>
          <w:szCs w:val="24"/>
          <w:lang w:val="es-ES" w:eastAsia="es-ES"/>
        </w:rPr>
        <w:t xml:space="preserve">La Comisión de Regulación de Energía y Gas, en su </w:t>
      </w:r>
      <w:r w:rsidRPr="004F557E">
        <w:rPr>
          <w:rFonts w:ascii="Bookman Old Style" w:eastAsia="Times New Roman" w:hAnsi="Bookman Old Style" w:cs="Times New Roman"/>
          <w:sz w:val="24"/>
          <w:szCs w:val="24"/>
          <w:lang w:val="es-ES" w:eastAsia="es-ES"/>
        </w:rPr>
        <w:t>sesión No.</w:t>
      </w:r>
      <w:r w:rsidR="004F557E">
        <w:rPr>
          <w:rFonts w:ascii="Bookman Old Style" w:eastAsia="Times New Roman" w:hAnsi="Bookman Old Style" w:cs="Times New Roman"/>
          <w:sz w:val="24"/>
          <w:szCs w:val="24"/>
          <w:lang w:val="es-ES" w:eastAsia="es-ES"/>
        </w:rPr>
        <w:t>927</w:t>
      </w:r>
      <w:r w:rsidRPr="004F557E">
        <w:rPr>
          <w:rFonts w:ascii="Bookman Old Style" w:eastAsia="Times New Roman" w:hAnsi="Bookman Old Style" w:cs="Times New Roman"/>
          <w:sz w:val="24"/>
          <w:szCs w:val="24"/>
          <w:lang w:val="es-ES" w:eastAsia="es-ES"/>
        </w:rPr>
        <w:t xml:space="preserve"> del </w:t>
      </w:r>
      <w:r w:rsidR="004F557E">
        <w:rPr>
          <w:rFonts w:ascii="Bookman Old Style" w:eastAsia="Times New Roman" w:hAnsi="Bookman Old Style" w:cs="Times New Roman"/>
          <w:sz w:val="24"/>
          <w:szCs w:val="24"/>
          <w:lang w:val="es-ES" w:eastAsia="es-ES"/>
        </w:rPr>
        <w:t>25 de j</w:t>
      </w:r>
      <w:r w:rsidRPr="004F557E">
        <w:rPr>
          <w:rFonts w:ascii="Bookman Old Style" w:eastAsia="Times New Roman" w:hAnsi="Bookman Old Style" w:cs="Times New Roman"/>
          <w:sz w:val="24"/>
          <w:szCs w:val="24"/>
          <w:lang w:val="es-ES" w:eastAsia="es-ES"/>
        </w:rPr>
        <w:t>unio de 2019, acordó expedir la presente resolución.</w:t>
      </w: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85312" w:rsidRDefault="00D85312" w:rsidP="00D85312">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rsidR="00D85312" w:rsidRPr="00D85312" w:rsidRDefault="00D85312" w:rsidP="00D85312">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b/>
          <w:spacing w:val="80"/>
          <w:sz w:val="24"/>
          <w:szCs w:val="24"/>
          <w:lang w:val="es-ES" w:eastAsia="es-ES"/>
        </w:rPr>
        <w:t>RESUELVE</w:t>
      </w:r>
      <w:r w:rsidRPr="00D85312">
        <w:rPr>
          <w:rFonts w:ascii="Bookman Old Style" w:eastAsia="Times New Roman" w:hAnsi="Bookman Old Style" w:cs="Arial"/>
          <w:sz w:val="24"/>
          <w:szCs w:val="24"/>
          <w:lang w:val="es-ES" w:eastAsia="es-ES"/>
        </w:rPr>
        <w:t>:</w:t>
      </w:r>
    </w:p>
    <w:p w:rsidR="00D85312" w:rsidRPr="00D85312" w:rsidRDefault="00D85312" w:rsidP="00D85312">
      <w:pPr>
        <w:spacing w:after="0" w:line="240" w:lineRule="auto"/>
        <w:ind w:right="-142"/>
        <w:jc w:val="both"/>
        <w:rPr>
          <w:rFonts w:ascii="Bookman Old Style" w:eastAsia="Times New Roman" w:hAnsi="Bookman Old Style" w:cs="Times New Roman"/>
          <w:sz w:val="24"/>
          <w:szCs w:val="24"/>
          <w:lang w:val="es-ES" w:eastAsia="es-ES"/>
        </w:rPr>
      </w:pPr>
    </w:p>
    <w:p w:rsidR="00D85312" w:rsidRPr="00E8258A"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E8258A">
        <w:rPr>
          <w:rFonts w:ascii="Bookman Old Style" w:eastAsia="Times New Roman" w:hAnsi="Bookman Old Style" w:cs="Times New Roman"/>
          <w:b/>
          <w:sz w:val="24"/>
          <w:szCs w:val="24"/>
          <w:lang w:val="es-ES" w:eastAsia="es-ES"/>
        </w:rPr>
        <w:t>Artículo 1.</w:t>
      </w:r>
      <w:r w:rsidRPr="00E8258A">
        <w:rPr>
          <w:rFonts w:ascii="Bookman Old Style" w:eastAsia="Times New Roman" w:hAnsi="Bookman Old Style" w:cs="Times New Roman"/>
          <w:sz w:val="24"/>
          <w:szCs w:val="24"/>
          <w:lang w:val="es-ES" w:eastAsia="es-ES"/>
        </w:rPr>
        <w:t xml:space="preserve"> Modificar el artículo 1 de la Resolución CREG 048 de 2019 de la siguiente forma:</w:t>
      </w:r>
    </w:p>
    <w:p w:rsidR="00D85312" w:rsidRPr="00E8258A" w:rsidRDefault="00D85312" w:rsidP="00D85312">
      <w:pPr>
        <w:spacing w:after="0" w:line="240" w:lineRule="auto"/>
        <w:ind w:right="-142"/>
        <w:jc w:val="both"/>
        <w:rPr>
          <w:rFonts w:ascii="Bookman Old Style" w:eastAsia="Times New Roman" w:hAnsi="Bookman Old Style" w:cs="Times New Roman"/>
          <w:sz w:val="24"/>
          <w:szCs w:val="24"/>
          <w:lang w:val="es-ES" w:eastAsia="es-ES"/>
        </w:rPr>
      </w:pPr>
    </w:p>
    <w:p w:rsidR="00D85312" w:rsidRPr="00E8258A" w:rsidRDefault="00012393" w:rsidP="00D85312">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La siguiente corresponde a la Capacidad de Compra para </w:t>
      </w:r>
      <w:r w:rsidR="00C47B1F">
        <w:rPr>
          <w:rFonts w:ascii="Bookman Old Style" w:eastAsia="Times New Roman" w:hAnsi="Bookman Old Style" w:cs="Times New Roman"/>
          <w:sz w:val="24"/>
          <w:szCs w:val="24"/>
          <w:lang w:val="es-ES" w:eastAsia="es-ES"/>
        </w:rPr>
        <w:t>Roscogas S.A. E.S.P</w:t>
      </w:r>
      <w:r w:rsidR="00D85312" w:rsidRPr="00E8258A">
        <w:rPr>
          <w:rFonts w:ascii="Bookman Old Style" w:eastAsia="Times New Roman" w:hAnsi="Bookman Old Style" w:cs="Times New Roman"/>
          <w:sz w:val="24"/>
          <w:szCs w:val="24"/>
          <w:lang w:val="es-ES" w:eastAsia="es-ES"/>
        </w:rPr>
        <w:t>:</w:t>
      </w:r>
    </w:p>
    <w:p w:rsidR="00D85312" w:rsidRDefault="00D85312" w:rsidP="005434BA">
      <w:pPr>
        <w:spacing w:after="0" w:line="240" w:lineRule="auto"/>
        <w:ind w:right="-142"/>
        <w:jc w:val="both"/>
        <w:rPr>
          <w:rFonts w:ascii="Bookman Old Style" w:eastAsia="Times New Roman" w:hAnsi="Bookman Old Style" w:cs="Times New Roman"/>
          <w:sz w:val="24"/>
          <w:szCs w:val="24"/>
          <w:highlight w:val="yellow"/>
          <w:lang w:val="es-ES" w:eastAsia="es-ES"/>
        </w:rPr>
      </w:pPr>
    </w:p>
    <w:tbl>
      <w:tblPr>
        <w:tblW w:w="8217" w:type="dxa"/>
        <w:jc w:val="center"/>
        <w:tblCellMar>
          <w:left w:w="70" w:type="dxa"/>
          <w:right w:w="70" w:type="dxa"/>
        </w:tblCellMar>
        <w:tblLook w:val="04A0" w:firstRow="1" w:lastRow="0" w:firstColumn="1" w:lastColumn="0" w:noHBand="0" w:noVBand="1"/>
      </w:tblPr>
      <w:tblGrid>
        <w:gridCol w:w="1987"/>
        <w:gridCol w:w="3115"/>
        <w:gridCol w:w="3115"/>
      </w:tblGrid>
      <w:tr w:rsidR="00E8258A" w:rsidRPr="00A33677" w:rsidTr="000E5F25">
        <w:trPr>
          <w:trHeight w:val="370"/>
          <w:tblHeader/>
          <w:jc w:val="center"/>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58A" w:rsidRPr="005434BA" w:rsidRDefault="00E8258A" w:rsidP="000E5F25">
            <w:pPr>
              <w:spacing w:after="0" w:line="240" w:lineRule="auto"/>
              <w:jc w:val="center"/>
              <w:rPr>
                <w:rFonts w:ascii="Bookman Old Style" w:eastAsia="Times New Roman" w:hAnsi="Bookman Old Style" w:cs="Times New Roman"/>
                <w:b/>
                <w:bCs/>
                <w:color w:val="000000"/>
                <w:sz w:val="20"/>
                <w:szCs w:val="20"/>
                <w:lang w:eastAsia="es-CO"/>
              </w:rPr>
            </w:pPr>
            <w:r w:rsidRPr="005434BA">
              <w:rPr>
                <w:rFonts w:ascii="Bookman Old Style" w:eastAsia="Times New Roman" w:hAnsi="Bookman Old Style" w:cs="Times New Roman"/>
                <w:b/>
                <w:bCs/>
                <w:color w:val="000000"/>
                <w:sz w:val="20"/>
                <w:szCs w:val="20"/>
                <w:lang w:eastAsia="es-CO"/>
              </w:rPr>
              <w:t>Código SUI</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E8258A" w:rsidRPr="005434BA" w:rsidRDefault="00E8258A" w:rsidP="000E5F25">
            <w:pPr>
              <w:spacing w:after="0" w:line="240" w:lineRule="auto"/>
              <w:jc w:val="center"/>
              <w:rPr>
                <w:rFonts w:ascii="Bookman Old Style" w:eastAsia="Times New Roman" w:hAnsi="Bookman Old Style" w:cs="Times New Roman"/>
                <w:b/>
                <w:bCs/>
                <w:color w:val="000000"/>
                <w:sz w:val="20"/>
                <w:szCs w:val="20"/>
                <w:lang w:eastAsia="es-CO"/>
              </w:rPr>
            </w:pPr>
            <w:r w:rsidRPr="005434BA">
              <w:rPr>
                <w:rFonts w:ascii="Bookman Old Style" w:eastAsia="Times New Roman" w:hAnsi="Bookman Old Style" w:cs="Times New Roman"/>
                <w:b/>
                <w:bCs/>
                <w:color w:val="000000"/>
                <w:sz w:val="20"/>
                <w:szCs w:val="20"/>
                <w:lang w:eastAsia="es-CO"/>
              </w:rPr>
              <w:t>Agente</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E8258A" w:rsidRPr="005434BA" w:rsidRDefault="00E8258A" w:rsidP="000E5F25">
            <w:pPr>
              <w:spacing w:after="0" w:line="240" w:lineRule="auto"/>
              <w:jc w:val="center"/>
              <w:rPr>
                <w:rFonts w:ascii="Bookman Old Style" w:eastAsia="Times New Roman" w:hAnsi="Bookman Old Style" w:cs="Times New Roman"/>
                <w:b/>
                <w:bCs/>
                <w:color w:val="000000"/>
                <w:sz w:val="20"/>
                <w:szCs w:val="20"/>
                <w:lang w:eastAsia="es-CO"/>
              </w:rPr>
            </w:pPr>
            <w:r w:rsidRPr="005434BA">
              <w:rPr>
                <w:rFonts w:ascii="Bookman Old Style" w:eastAsia="Times New Roman" w:hAnsi="Bookman Old Style" w:cs="Times New Roman"/>
                <w:b/>
                <w:bCs/>
                <w:color w:val="000000"/>
                <w:sz w:val="20"/>
                <w:szCs w:val="20"/>
                <w:lang w:eastAsia="es-CO"/>
              </w:rPr>
              <w:t xml:space="preserve">Capacidad de compra </w:t>
            </w:r>
            <m:oMath>
              <m:r>
                <m:rPr>
                  <m:sty m:val="b"/>
                </m:rPr>
                <w:rPr>
                  <w:rFonts w:ascii="Cambria Math" w:eastAsia="Times New Roman" w:hAnsi="Cambria Math" w:cs="Times New Roman"/>
                  <w:color w:val="000000"/>
                  <w:sz w:val="20"/>
                  <w:szCs w:val="20"/>
                  <w:lang w:eastAsia="es-CO"/>
                </w:rPr>
                <m:t>C</m:t>
              </m:r>
              <m:sSub>
                <m:sSubPr>
                  <m:ctrlPr>
                    <w:rPr>
                      <w:rFonts w:ascii="Cambria Math" w:eastAsia="Times New Roman" w:hAnsi="Cambria Math" w:cs="Times New Roman"/>
                      <w:b/>
                      <w:bCs/>
                      <w:iCs/>
                      <w:color w:val="000000"/>
                      <w:sz w:val="20"/>
                      <w:szCs w:val="20"/>
                      <w:lang w:eastAsia="es-CO"/>
                    </w:rPr>
                  </m:ctrlPr>
                </m:sSubPr>
                <m:e>
                  <m:r>
                    <m:rPr>
                      <m:sty m:val="b"/>
                    </m:rPr>
                    <w:rPr>
                      <w:rFonts w:ascii="Cambria Math" w:eastAsia="Times New Roman" w:hAnsi="Cambria Math" w:cs="Times New Roman"/>
                      <w:color w:val="000000"/>
                      <w:sz w:val="20"/>
                      <w:szCs w:val="20"/>
                      <w:lang w:eastAsia="es-CO"/>
                    </w:rPr>
                    <m:t>C</m:t>
                  </m:r>
                </m:e>
                <m:sub>
                  <m:r>
                    <m:rPr>
                      <m:sty m:val="b"/>
                    </m:rPr>
                    <w:rPr>
                      <w:rFonts w:ascii="Cambria Math" w:eastAsia="Times New Roman" w:hAnsi="Cambria Math" w:cs="Times New Roman"/>
                      <w:color w:val="000000"/>
                      <w:sz w:val="20"/>
                      <w:szCs w:val="20"/>
                      <w:lang w:eastAsia="es-CO"/>
                    </w:rPr>
                    <m:t>i,t</m:t>
                  </m:r>
                </m:sub>
              </m:sSub>
            </m:oMath>
          </w:p>
        </w:tc>
      </w:tr>
      <w:tr w:rsidR="00E8258A" w:rsidRPr="00A33677" w:rsidTr="000E5F25">
        <w:trPr>
          <w:trHeight w:val="370"/>
          <w:tblHeader/>
          <w:jc w:val="center"/>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58A" w:rsidRPr="005434BA" w:rsidRDefault="00E8258A" w:rsidP="000E5F25">
            <w:pPr>
              <w:spacing w:after="0"/>
              <w:jc w:val="center"/>
              <w:rPr>
                <w:rFonts w:ascii="Bookman Old Style" w:hAnsi="Bookman Old Style"/>
                <w:sz w:val="20"/>
                <w:szCs w:val="20"/>
              </w:rPr>
            </w:pPr>
            <w:r w:rsidRPr="005434BA">
              <w:rPr>
                <w:rFonts w:ascii="Bookman Old Style" w:hAnsi="Bookman Old Style"/>
                <w:sz w:val="20"/>
                <w:szCs w:val="20"/>
              </w:rPr>
              <w:t>22167</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E8258A" w:rsidRPr="005434BA" w:rsidRDefault="00E8258A" w:rsidP="000E5F25">
            <w:pPr>
              <w:spacing w:after="0"/>
              <w:rPr>
                <w:rFonts w:ascii="Bookman Old Style" w:hAnsi="Bookman Old Style"/>
                <w:sz w:val="20"/>
                <w:szCs w:val="20"/>
              </w:rPr>
            </w:pPr>
            <w:r w:rsidRPr="005434BA">
              <w:rPr>
                <w:rFonts w:ascii="Bookman Old Style" w:hAnsi="Bookman Old Style"/>
                <w:sz w:val="20"/>
                <w:szCs w:val="20"/>
              </w:rPr>
              <w:t>Roscogas S.A. E.S.P</w:t>
            </w:r>
          </w:p>
        </w:tc>
        <w:tc>
          <w:tcPr>
            <w:tcW w:w="3115" w:type="dxa"/>
            <w:tcBorders>
              <w:top w:val="single" w:sz="4" w:space="0" w:color="auto"/>
              <w:left w:val="nil"/>
              <w:bottom w:val="single" w:sz="4" w:space="0" w:color="auto"/>
              <w:right w:val="single" w:sz="4" w:space="0" w:color="auto"/>
            </w:tcBorders>
            <w:shd w:val="clear" w:color="auto" w:fill="auto"/>
            <w:noWrap/>
            <w:vAlign w:val="center"/>
          </w:tcPr>
          <w:p w:rsidR="00E8258A" w:rsidRPr="005434BA" w:rsidRDefault="00E8258A" w:rsidP="000E5F25">
            <w:pPr>
              <w:spacing w:after="0"/>
              <w:jc w:val="center"/>
              <w:rPr>
                <w:rFonts w:ascii="Bookman Old Style" w:hAnsi="Bookman Old Style"/>
                <w:sz w:val="20"/>
                <w:szCs w:val="20"/>
              </w:rPr>
            </w:pPr>
            <w:r w:rsidRPr="005434BA">
              <w:rPr>
                <w:rFonts w:ascii="Bookman Old Style" w:hAnsi="Bookman Old Style"/>
                <w:sz w:val="20"/>
                <w:szCs w:val="20"/>
              </w:rPr>
              <w:t>11,</w:t>
            </w:r>
            <w:r w:rsidR="000E5F25" w:rsidRPr="005434BA">
              <w:rPr>
                <w:rFonts w:ascii="Bookman Old Style" w:hAnsi="Bookman Old Style"/>
                <w:sz w:val="20"/>
                <w:szCs w:val="20"/>
              </w:rPr>
              <w:t>132</w:t>
            </w:r>
            <w:r w:rsidRPr="005434BA">
              <w:rPr>
                <w:rFonts w:ascii="Bookman Old Style" w:hAnsi="Bookman Old Style"/>
                <w:sz w:val="20"/>
                <w:szCs w:val="20"/>
              </w:rPr>
              <w:t>,</w:t>
            </w:r>
            <w:r w:rsidR="000E5F25" w:rsidRPr="005434BA">
              <w:rPr>
                <w:rFonts w:ascii="Bookman Old Style" w:hAnsi="Bookman Old Style"/>
                <w:sz w:val="20"/>
                <w:szCs w:val="20"/>
              </w:rPr>
              <w:t>971</w:t>
            </w:r>
          </w:p>
        </w:tc>
      </w:tr>
    </w:tbl>
    <w:p w:rsidR="00D85312" w:rsidRPr="00D85312" w:rsidRDefault="00D85312" w:rsidP="00D85312">
      <w:pPr>
        <w:tabs>
          <w:tab w:val="right" w:pos="9498"/>
        </w:tabs>
        <w:spacing w:after="0" w:line="240" w:lineRule="auto"/>
        <w:ind w:right="-142"/>
        <w:jc w:val="both"/>
        <w:rPr>
          <w:rFonts w:ascii="Bookman Old Style" w:eastAsia="Times New Roman" w:hAnsi="Bookman Old Style" w:cs="Arial"/>
          <w:b/>
          <w:bCs/>
          <w:color w:val="666666"/>
          <w:sz w:val="24"/>
          <w:szCs w:val="24"/>
          <w:highlight w:val="yellow"/>
          <w:lang w:eastAsia="es-CO"/>
        </w:rPr>
      </w:pP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b/>
          <w:sz w:val="24"/>
          <w:szCs w:val="24"/>
          <w:lang w:val="es-ES" w:eastAsia="es-ES"/>
        </w:rPr>
        <w:t>Artículo 2.</w:t>
      </w:r>
      <w:r w:rsidRPr="000E5F25">
        <w:rPr>
          <w:rFonts w:ascii="Bookman Old Style" w:eastAsia="Times New Roman" w:hAnsi="Bookman Old Style" w:cs="Times New Roman"/>
          <w:sz w:val="24"/>
          <w:szCs w:val="24"/>
          <w:lang w:val="es-ES" w:eastAsia="es-ES"/>
        </w:rPr>
        <w:t xml:space="preserve"> Modificar el Anexo de la Resolución CREG </w:t>
      </w:r>
      <w:r w:rsidR="00F64216" w:rsidRPr="000E5F25">
        <w:rPr>
          <w:rFonts w:ascii="Bookman Old Style" w:eastAsia="Times New Roman" w:hAnsi="Bookman Old Style" w:cs="Times New Roman"/>
          <w:sz w:val="24"/>
          <w:szCs w:val="24"/>
          <w:lang w:val="es-ES" w:eastAsia="es-ES"/>
        </w:rPr>
        <w:t>048 de 2019</w:t>
      </w:r>
      <w:r w:rsidRPr="000E5F25">
        <w:rPr>
          <w:rFonts w:ascii="Bookman Old Style" w:eastAsia="Times New Roman" w:hAnsi="Bookman Old Style" w:cs="Times New Roman"/>
          <w:sz w:val="24"/>
          <w:szCs w:val="24"/>
          <w:lang w:val="es-ES" w:eastAsia="es-ES"/>
        </w:rPr>
        <w:t xml:space="preserve"> de la siguiente forma:</w:t>
      </w:r>
    </w:p>
    <w:p w:rsid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C47B1F" w:rsidRPr="000E5F25" w:rsidRDefault="00C47B1F"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4F557E" w:rsidRDefault="004F557E" w:rsidP="00D85312">
      <w:pPr>
        <w:spacing w:after="0" w:line="240" w:lineRule="auto"/>
        <w:ind w:left="567" w:right="-93"/>
        <w:jc w:val="center"/>
        <w:rPr>
          <w:rFonts w:ascii="Bookman Old Style" w:eastAsia="MS Mincho" w:hAnsi="Bookman Old Style" w:cs="Arial"/>
          <w:b/>
          <w:sz w:val="24"/>
          <w:szCs w:val="24"/>
          <w:lang w:val="es-ES" w:eastAsia="es-ES"/>
        </w:rPr>
      </w:pPr>
    </w:p>
    <w:p w:rsidR="00D85312" w:rsidRPr="000E5F25" w:rsidRDefault="00D85312" w:rsidP="00D85312">
      <w:pPr>
        <w:spacing w:after="0" w:line="240" w:lineRule="auto"/>
        <w:ind w:left="567" w:right="-93"/>
        <w:jc w:val="center"/>
        <w:rPr>
          <w:rFonts w:ascii="Bookman Old Style" w:eastAsia="MS Mincho" w:hAnsi="Bookman Old Style" w:cs="Arial"/>
          <w:b/>
          <w:sz w:val="24"/>
          <w:szCs w:val="24"/>
          <w:lang w:val="es-ES" w:eastAsia="es-ES"/>
        </w:rPr>
      </w:pPr>
      <w:r w:rsidRPr="000E5F25">
        <w:rPr>
          <w:rFonts w:ascii="Bookman Old Style" w:eastAsia="MS Mincho" w:hAnsi="Bookman Old Style" w:cs="Arial"/>
          <w:b/>
          <w:sz w:val="24"/>
          <w:szCs w:val="24"/>
          <w:lang w:val="es-ES" w:eastAsia="es-ES"/>
        </w:rPr>
        <w:t>CAPACIDAD DE COMPRA</w:t>
      </w: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E5F25">
        <w:rPr>
          <w:rFonts w:ascii="Bookman Old Style" w:eastAsia="Times New Roman" w:hAnsi="Bookman Old Style" w:cs="Times New Roman"/>
          <w:sz w:val="24"/>
          <w:szCs w:val="24"/>
          <w:lang w:val="es-ES" w:eastAsia="es-ES"/>
        </w:rPr>
        <w:t xml:space="preserve">, </w:t>
      </w:r>
      <w:r w:rsidR="00012393" w:rsidRPr="00C15323">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C47B1F">
        <w:rPr>
          <w:rFonts w:ascii="Bookman Old Style" w:eastAsia="Times New Roman" w:hAnsi="Bookman Old Style" w:cs="Times New Roman"/>
          <w:sz w:val="24"/>
          <w:szCs w:val="24"/>
          <w:lang w:val="es-ES" w:eastAsia="es-ES"/>
        </w:rPr>
        <w:t>Roscogas S.A. E.S.P:</w:t>
      </w:r>
    </w:p>
    <w:p w:rsidR="00D85312" w:rsidRPr="00D85312" w:rsidRDefault="00D85312" w:rsidP="005434BA">
      <w:pPr>
        <w:contextualSpacing/>
        <w:jc w:val="both"/>
        <w:rPr>
          <w:rFonts w:ascii="Bookman Old Style" w:hAnsi="Bookman Old Style"/>
          <w:highlight w:val="yellow"/>
        </w:rPr>
      </w:pPr>
    </w:p>
    <w:tbl>
      <w:tblPr>
        <w:tblStyle w:val="Tablaconcuadrcula5"/>
        <w:tblW w:w="9677" w:type="dxa"/>
        <w:jc w:val="center"/>
        <w:tblLook w:val="04A0" w:firstRow="1" w:lastRow="0" w:firstColumn="1" w:lastColumn="0" w:noHBand="0" w:noVBand="1"/>
      </w:tblPr>
      <w:tblGrid>
        <w:gridCol w:w="1021"/>
        <w:gridCol w:w="810"/>
        <w:gridCol w:w="810"/>
        <w:gridCol w:w="810"/>
        <w:gridCol w:w="810"/>
        <w:gridCol w:w="810"/>
        <w:gridCol w:w="863"/>
        <w:gridCol w:w="810"/>
        <w:gridCol w:w="810"/>
        <w:gridCol w:w="891"/>
        <w:gridCol w:w="1251"/>
      </w:tblGrid>
      <w:tr w:rsidR="000E5F25" w:rsidRPr="00D85312" w:rsidTr="000E5F25">
        <w:trPr>
          <w:trHeight w:val="325"/>
          <w:tblHeader/>
          <w:jc w:val="center"/>
        </w:trPr>
        <w:tc>
          <w:tcPr>
            <w:tcW w:w="1021"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 Lb</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15 Lb</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20 Lb</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24 Lb</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30 Lb</w:t>
            </w:r>
          </w:p>
        </w:tc>
        <w:tc>
          <w:tcPr>
            <w:tcW w:w="844"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40 Lb</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80 Lb</w:t>
            </w:r>
          </w:p>
        </w:tc>
        <w:tc>
          <w:tcPr>
            <w:tcW w:w="810"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100 Lb</w:t>
            </w:r>
          </w:p>
        </w:tc>
        <w:tc>
          <w:tcPr>
            <w:tcW w:w="891"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251"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Cap.1</w:t>
            </w:r>
            <w:r w:rsidRPr="002C2E32">
              <w:rPr>
                <w:rFonts w:ascii="Bookman Old Style" w:hAnsi="Bookman Old Style"/>
                <w:b/>
                <w:bCs/>
                <w:i/>
                <w:color w:val="000000"/>
                <w:sz w:val="16"/>
                <w:szCs w:val="16"/>
                <w:vertAlign w:val="subscript"/>
              </w:rPr>
              <w:t>i,t</w:t>
            </w:r>
          </w:p>
        </w:tc>
      </w:tr>
      <w:tr w:rsidR="000E5F25" w:rsidRPr="00D85312" w:rsidTr="000E5F25">
        <w:tblPrEx>
          <w:jc w:val="left"/>
        </w:tblPrEx>
        <w:trPr>
          <w:trHeight w:val="332"/>
        </w:trPr>
        <w:tc>
          <w:tcPr>
            <w:tcW w:w="1021"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22167</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63,145</w:t>
            </w:r>
          </w:p>
        </w:tc>
        <w:tc>
          <w:tcPr>
            <w:tcW w:w="844"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132,757</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2</w:t>
            </w:r>
          </w:p>
        </w:tc>
        <w:tc>
          <w:tcPr>
            <w:tcW w:w="810"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5,763</w:t>
            </w:r>
          </w:p>
        </w:tc>
        <w:tc>
          <w:tcPr>
            <w:tcW w:w="891"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201,667</w:t>
            </w:r>
          </w:p>
        </w:tc>
        <w:tc>
          <w:tcPr>
            <w:tcW w:w="1251" w:type="dxa"/>
            <w:noWrap/>
            <w:vAlign w:val="center"/>
          </w:tcPr>
          <w:p w:rsidR="000E5F25" w:rsidRPr="00444733" w:rsidRDefault="000E5F25" w:rsidP="000E5F25">
            <w:pPr>
              <w:jc w:val="center"/>
              <w:rPr>
                <w:rFonts w:ascii="Bookman Old Style" w:hAnsi="Bookman Old Style"/>
                <w:color w:val="000000"/>
                <w:sz w:val="16"/>
                <w:szCs w:val="16"/>
              </w:rPr>
            </w:pPr>
            <w:r w:rsidRPr="00444733">
              <w:rPr>
                <w:rFonts w:ascii="Bookman Old Style" w:hAnsi="Bookman Old Style"/>
                <w:color w:val="000000"/>
                <w:sz w:val="16"/>
                <w:szCs w:val="16"/>
              </w:rPr>
              <w:t>21,711,710</w:t>
            </w:r>
          </w:p>
        </w:tc>
      </w:tr>
    </w:tbl>
    <w:p w:rsidR="00D85312" w:rsidRPr="000E5F25" w:rsidRDefault="00D85312" w:rsidP="00D85312">
      <w:pPr>
        <w:spacing w:after="0" w:line="240" w:lineRule="auto"/>
        <w:ind w:left="-142" w:right="-142"/>
        <w:jc w:val="both"/>
        <w:rPr>
          <w:rFonts w:ascii="Bookman Old Style" w:eastAsia="Times New Roman" w:hAnsi="Bookman Old Style" w:cs="Times New Roman"/>
          <w:sz w:val="16"/>
          <w:szCs w:val="16"/>
          <w:lang w:val="es-ES" w:eastAsia="es-ES"/>
        </w:rPr>
      </w:pPr>
      <w:r w:rsidRPr="000E5F25">
        <w:rPr>
          <w:rFonts w:ascii="Bookman Old Style" w:hAnsi="Bookman Old Style" w:cs="Arial"/>
          <w:color w:val="000000" w:themeColor="text1"/>
          <w:sz w:val="16"/>
          <w:szCs w:val="16"/>
        </w:rPr>
        <w:t xml:space="preserve">NR*: No presenta registro de información en el SUI, de acuerdo con la </w:t>
      </w:r>
      <w:r w:rsidRPr="000E5F25">
        <w:rPr>
          <w:rFonts w:ascii="Bookman Old Style" w:eastAsia="Times New Roman" w:hAnsi="Bookman Old Style" w:cs="Times New Roman"/>
          <w:sz w:val="16"/>
          <w:szCs w:val="16"/>
          <w:lang w:val="es-ES" w:eastAsia="es-ES"/>
        </w:rPr>
        <w:t>información registrada al SUI, por AIC proyectos, desde 2008 hasta 2012.</w:t>
      </w: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sz w:val="24"/>
          <w:szCs w:val="24"/>
          <w:lang w:val="es-ES" w:eastAsia="es-ES"/>
        </w:rPr>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E5F25">
        <w:rPr>
          <w:rFonts w:ascii="Bookman Old Style" w:eastAsia="Times New Roman" w:hAnsi="Bookman Old Style" w:cs="Times New Roman"/>
          <w:sz w:val="24"/>
          <w:szCs w:val="24"/>
          <w:lang w:val="es-ES" w:eastAsia="es-ES"/>
        </w:rPr>
        <w:t xml:space="preserve">, </w:t>
      </w:r>
      <w:r w:rsidR="00012393" w:rsidRPr="00EA390B">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C47B1F">
        <w:rPr>
          <w:rFonts w:ascii="Bookman Old Style" w:eastAsia="Times New Roman" w:hAnsi="Bookman Old Style" w:cs="Times New Roman"/>
          <w:sz w:val="24"/>
          <w:szCs w:val="24"/>
          <w:lang w:val="es-ES" w:eastAsia="es-ES"/>
        </w:rPr>
        <w:t>Roscogas S.A. E.S.P:</w:t>
      </w:r>
    </w:p>
    <w:p w:rsidR="00D85312" w:rsidRPr="00D85312" w:rsidRDefault="00D85312" w:rsidP="00D85312">
      <w:pPr>
        <w:ind w:left="720"/>
        <w:contextualSpacing/>
        <w:jc w:val="both"/>
        <w:rPr>
          <w:rFonts w:ascii="Bookman Old Style" w:hAnsi="Bookman Old Style"/>
          <w:highlight w:val="yellow"/>
        </w:rPr>
      </w:pPr>
    </w:p>
    <w:tbl>
      <w:tblPr>
        <w:tblStyle w:val="Tablaconcuadrcula5"/>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0E5F25" w:rsidRPr="00D85312" w:rsidTr="000E5F25">
        <w:trPr>
          <w:tblHeader/>
          <w:jc w:val="center"/>
        </w:trPr>
        <w:tc>
          <w:tcPr>
            <w:tcW w:w="846"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04"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4 kg</w:t>
            </w:r>
          </w:p>
        </w:tc>
        <w:tc>
          <w:tcPr>
            <w:tcW w:w="805"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5 kg</w:t>
            </w:r>
          </w:p>
        </w:tc>
        <w:tc>
          <w:tcPr>
            <w:tcW w:w="805"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7 kg</w:t>
            </w:r>
          </w:p>
        </w:tc>
        <w:tc>
          <w:tcPr>
            <w:tcW w:w="764"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9 kg</w:t>
            </w:r>
          </w:p>
        </w:tc>
        <w:tc>
          <w:tcPr>
            <w:tcW w:w="863"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15 kg</w:t>
            </w:r>
          </w:p>
        </w:tc>
        <w:tc>
          <w:tcPr>
            <w:tcW w:w="911"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18 kg</w:t>
            </w:r>
          </w:p>
        </w:tc>
        <w:tc>
          <w:tcPr>
            <w:tcW w:w="778"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805"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911" w:type="dxa"/>
            <w:vAlign w:val="bottom"/>
          </w:tcPr>
          <w:p w:rsidR="000E5F25" w:rsidRPr="00444733" w:rsidRDefault="000E5F25" w:rsidP="000E5F25">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059" w:type="dxa"/>
            <w:vAlign w:val="bottom"/>
          </w:tcPr>
          <w:p w:rsidR="000E5F25" w:rsidRPr="00444733" w:rsidRDefault="000E5F25" w:rsidP="000E5F25">
            <w:pPr>
              <w:jc w:val="center"/>
              <w:rPr>
                <w:rFonts w:ascii="Bookman Old Style" w:hAnsi="Bookman Old Style"/>
                <w:b/>
                <w:bCs/>
                <w:color w:val="000000"/>
                <w:sz w:val="16"/>
                <w:szCs w:val="16"/>
              </w:rPr>
            </w:pPr>
            <w:r>
              <w:rPr>
                <w:rFonts w:ascii="Bookman Old Style" w:hAnsi="Bookman Old Style"/>
                <w:b/>
                <w:bCs/>
                <w:color w:val="000000"/>
                <w:sz w:val="16"/>
                <w:szCs w:val="16"/>
              </w:rPr>
              <w:t>Cap.2</w:t>
            </w:r>
            <w:r w:rsidRPr="002C2E32">
              <w:rPr>
                <w:rFonts w:ascii="Bookman Old Style" w:hAnsi="Bookman Old Style"/>
                <w:b/>
                <w:bCs/>
                <w:i/>
                <w:color w:val="000000"/>
                <w:sz w:val="16"/>
                <w:szCs w:val="16"/>
                <w:vertAlign w:val="subscript"/>
              </w:rPr>
              <w:t>i,t</w:t>
            </w:r>
          </w:p>
        </w:tc>
      </w:tr>
      <w:tr w:rsidR="000E5F25" w:rsidRPr="00D85312" w:rsidTr="000E5F25">
        <w:tblPrEx>
          <w:jc w:val="left"/>
        </w:tblPrEx>
        <w:trPr>
          <w:trHeight w:val="405"/>
        </w:trPr>
        <w:tc>
          <w:tcPr>
            <w:tcW w:w="846"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22167</w:t>
            </w:r>
          </w:p>
        </w:tc>
        <w:tc>
          <w:tcPr>
            <w:tcW w:w="804" w:type="dxa"/>
            <w:noWrap/>
            <w:vAlign w:val="center"/>
          </w:tcPr>
          <w:p w:rsidR="000E5F25" w:rsidRPr="008F082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100</w:t>
            </w:r>
          </w:p>
        </w:tc>
        <w:tc>
          <w:tcPr>
            <w:tcW w:w="805" w:type="dxa"/>
            <w:noWrap/>
            <w:vAlign w:val="center"/>
          </w:tcPr>
          <w:p w:rsidR="000E5F25" w:rsidRPr="008F082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764" w:type="dxa"/>
            <w:noWrap/>
            <w:vAlign w:val="center"/>
          </w:tcPr>
          <w:p w:rsidR="000E5F25" w:rsidRPr="008F082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63"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1,100</w:t>
            </w:r>
          </w:p>
        </w:tc>
        <w:tc>
          <w:tcPr>
            <w:tcW w:w="911"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86,035</w:t>
            </w:r>
          </w:p>
        </w:tc>
        <w:tc>
          <w:tcPr>
            <w:tcW w:w="778" w:type="dxa"/>
            <w:noWrap/>
            <w:vAlign w:val="center"/>
          </w:tcPr>
          <w:p w:rsidR="000E5F25" w:rsidRPr="008F0823" w:rsidRDefault="000E5F25" w:rsidP="000E5F25">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1,417</w:t>
            </w:r>
          </w:p>
        </w:tc>
        <w:tc>
          <w:tcPr>
            <w:tcW w:w="911"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88,652</w:t>
            </w:r>
          </w:p>
        </w:tc>
        <w:tc>
          <w:tcPr>
            <w:tcW w:w="1059" w:type="dxa"/>
            <w:noWrap/>
            <w:vAlign w:val="center"/>
          </w:tcPr>
          <w:p w:rsidR="000E5F25" w:rsidRPr="008F0823" w:rsidRDefault="000E5F25" w:rsidP="000E5F25">
            <w:pPr>
              <w:jc w:val="center"/>
              <w:rPr>
                <w:rFonts w:ascii="Bookman Old Style" w:hAnsi="Bookman Old Style"/>
                <w:color w:val="000000"/>
                <w:sz w:val="16"/>
                <w:szCs w:val="16"/>
              </w:rPr>
            </w:pPr>
            <w:r w:rsidRPr="008F0823">
              <w:rPr>
                <w:rFonts w:ascii="Bookman Old Style" w:hAnsi="Bookman Old Style"/>
                <w:color w:val="000000"/>
                <w:sz w:val="16"/>
                <w:szCs w:val="16"/>
              </w:rPr>
              <w:t>9,776,370</w:t>
            </w:r>
          </w:p>
        </w:tc>
      </w:tr>
    </w:tbl>
    <w:p w:rsidR="00D85312" w:rsidRPr="000E5F25" w:rsidRDefault="00D85312" w:rsidP="00D85312">
      <w:pPr>
        <w:spacing w:after="0" w:line="240" w:lineRule="auto"/>
        <w:ind w:left="-142" w:right="-142"/>
        <w:jc w:val="both"/>
        <w:rPr>
          <w:rFonts w:ascii="Bookman Old Style" w:hAnsi="Bookman Old Style" w:cs="Arial"/>
          <w:color w:val="000000" w:themeColor="text1"/>
          <w:sz w:val="16"/>
          <w:szCs w:val="16"/>
        </w:rPr>
      </w:pPr>
      <w:r w:rsidRPr="000E5F25">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D85312" w:rsidRDefault="00D85312" w:rsidP="000E5F25">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E5F25">
        <w:rPr>
          <w:rFonts w:ascii="Bookman Old Style" w:eastAsia="Times New Roman" w:hAnsi="Bookman Old Style" w:cs="Times New Roman"/>
          <w:sz w:val="24"/>
          <w:szCs w:val="24"/>
          <w:lang w:val="es-ES" w:eastAsia="es-ES"/>
        </w:rPr>
        <w:t xml:space="preserve">, </w:t>
      </w:r>
      <w:r w:rsidR="00012393" w:rsidRPr="00C27D6D">
        <w:rPr>
          <w:rFonts w:ascii="Bookman Old Style" w:eastAsia="Times New Roman" w:hAnsi="Bookman Old Style" w:cs="Times New Roman"/>
          <w:sz w:val="24"/>
          <w:szCs w:val="24"/>
          <w:lang w:val="es-ES" w:eastAsia="es-ES"/>
        </w:rPr>
        <w:t xml:space="preserve">a continuación se muestra el </w:t>
      </w:r>
      <w:r w:rsidR="00012393">
        <w:rPr>
          <w:rFonts w:ascii="Bookman Old Style" w:eastAsia="Times New Roman" w:hAnsi="Bookman Old Style" w:cs="Times New Roman"/>
          <w:sz w:val="24"/>
          <w:szCs w:val="24"/>
          <w:lang w:val="es-ES" w:eastAsia="es-ES"/>
        </w:rPr>
        <w:t>valor</w:t>
      </w:r>
      <w:r w:rsidR="00012393" w:rsidRPr="00C27D6D">
        <w:rPr>
          <w:rFonts w:ascii="Bookman Old Style" w:eastAsia="Times New Roman" w:hAnsi="Bookman Old Style" w:cs="Times New Roman"/>
          <w:sz w:val="24"/>
          <w:szCs w:val="24"/>
          <w:lang w:val="es-ES" w:eastAsia="es-ES"/>
        </w:rPr>
        <w:t xml:space="preserve"> para </w:t>
      </w:r>
      <w:r w:rsidR="00C47B1F">
        <w:rPr>
          <w:rFonts w:ascii="Bookman Old Style" w:eastAsia="Times New Roman" w:hAnsi="Bookman Old Style" w:cs="Times New Roman"/>
          <w:sz w:val="24"/>
          <w:szCs w:val="24"/>
          <w:lang w:val="es-ES" w:eastAsia="es-ES"/>
        </w:rPr>
        <w:t>Roscogas S.A. E.S.P:</w:t>
      </w:r>
    </w:p>
    <w:p w:rsidR="000E5F25" w:rsidRPr="000E5F25" w:rsidRDefault="000E5F25" w:rsidP="000E5F25">
      <w:pPr>
        <w:spacing w:after="0" w:line="240" w:lineRule="auto"/>
        <w:ind w:left="-142" w:right="-142"/>
        <w:jc w:val="both"/>
        <w:rPr>
          <w:rFonts w:ascii="Bookman Old Style" w:eastAsia="Times New Roman" w:hAnsi="Bookman Old Style" w:cs="Times New Roman"/>
          <w:sz w:val="24"/>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0E5F25" w:rsidRPr="00D85312" w:rsidTr="000E5F25">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25" w:rsidRPr="00131DB0" w:rsidRDefault="000E5F25" w:rsidP="000E5F25">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eastAsia="Times New Roman" w:hAnsi="Bookman Old Style" w:cs="Times New Roman"/>
                <w:b/>
                <w:bCs/>
                <w:color w:val="000000"/>
                <w:sz w:val="20"/>
                <w:szCs w:val="20"/>
                <w:lang w:eastAsia="es-CO"/>
              </w:rPr>
              <w:t>Código</w:t>
            </w:r>
            <w:r w:rsidR="00C47B1F">
              <w:rPr>
                <w:rFonts w:ascii="Bookman Old Style" w:eastAsia="Times New Roman" w:hAnsi="Bookman Old Style" w:cs="Times New Roman"/>
                <w:b/>
                <w:bCs/>
                <w:color w:val="000000"/>
                <w:sz w:val="20"/>
                <w:szCs w:val="20"/>
                <w:lang w:eastAsia="es-CO"/>
              </w:rPr>
              <w:t xml:space="preserve"> </w:t>
            </w:r>
            <w:r w:rsidRPr="00131DB0">
              <w:rPr>
                <w:rFonts w:ascii="Bookman Old Style" w:eastAsia="Times New Roman" w:hAnsi="Bookman Old Style" w:cs="Times New Roman"/>
                <w:b/>
                <w:bCs/>
                <w:color w:val="000000"/>
                <w:sz w:val="20"/>
                <w:szCs w:val="20"/>
                <w:lang w:eastAsia="es-CO"/>
              </w:rPr>
              <w:t>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0E5F25" w:rsidRPr="00131DB0" w:rsidRDefault="000E5F25" w:rsidP="000E5F25">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Cap.1</w:t>
            </w:r>
            <w:r w:rsidRPr="00131DB0">
              <w:rPr>
                <w:rFonts w:ascii="Bookman Old Style" w:hAnsi="Bookman Old Style"/>
                <w:b/>
                <w:bCs/>
                <w:i/>
                <w:color w:val="000000"/>
                <w:sz w:val="20"/>
                <w:szCs w:val="20"/>
                <w:vertAlign w:val="subscript"/>
              </w:rPr>
              <w:t>i,t</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0E5F25" w:rsidRPr="00131DB0" w:rsidRDefault="000E5F25" w:rsidP="000E5F25">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Cap.2</w:t>
            </w:r>
            <w:r w:rsidRPr="00131DB0">
              <w:rPr>
                <w:rFonts w:ascii="Bookman Old Style" w:hAnsi="Bookman Old Style"/>
                <w:b/>
                <w:bCs/>
                <w:i/>
                <w:color w:val="000000"/>
                <w:sz w:val="20"/>
                <w:szCs w:val="20"/>
                <w:vertAlign w:val="subscript"/>
              </w:rPr>
              <w:t>i,t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E5F25" w:rsidRPr="00131DB0" w:rsidRDefault="000E5F25" w:rsidP="000E5F25">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
        </w:tc>
      </w:tr>
      <w:tr w:rsidR="000E5F25" w:rsidRPr="000E5F25" w:rsidTr="000E5F25">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0E5F25" w:rsidRPr="000E5F25" w:rsidRDefault="000E5F25" w:rsidP="000E5F25">
            <w:pPr>
              <w:spacing w:after="0" w:line="240" w:lineRule="auto"/>
              <w:jc w:val="center"/>
              <w:rPr>
                <w:rFonts w:ascii="Bookman Old Style" w:eastAsia="Times New Roman" w:hAnsi="Bookman Old Style" w:cs="Times New Roman"/>
                <w:color w:val="000000"/>
                <w:sz w:val="20"/>
                <w:szCs w:val="20"/>
                <w:lang w:eastAsia="es-CO"/>
              </w:rPr>
            </w:pPr>
            <w:r w:rsidRPr="000E5F25">
              <w:rPr>
                <w:rFonts w:ascii="Bookman Old Style" w:eastAsia="Times New Roman" w:hAnsi="Bookman Old Style" w:cs="Times New Roman"/>
                <w:color w:val="000000"/>
                <w:sz w:val="20"/>
                <w:szCs w:val="20"/>
                <w:lang w:eastAsia="es-CO"/>
              </w:rPr>
              <w:t>22167</w:t>
            </w:r>
          </w:p>
        </w:tc>
        <w:tc>
          <w:tcPr>
            <w:tcW w:w="1716" w:type="dxa"/>
            <w:tcBorders>
              <w:top w:val="nil"/>
              <w:left w:val="nil"/>
              <w:bottom w:val="single" w:sz="4" w:space="0" w:color="auto"/>
              <w:right w:val="single" w:sz="4" w:space="0" w:color="auto"/>
            </w:tcBorders>
            <w:shd w:val="clear" w:color="auto" w:fill="auto"/>
            <w:noWrap/>
            <w:vAlign w:val="center"/>
          </w:tcPr>
          <w:p w:rsidR="000E5F25" w:rsidRPr="000E5F25" w:rsidRDefault="000E5F25" w:rsidP="000E5F25">
            <w:pPr>
              <w:spacing w:after="0" w:line="240" w:lineRule="auto"/>
              <w:jc w:val="center"/>
              <w:rPr>
                <w:rFonts w:ascii="Bookman Old Style" w:eastAsia="Times New Roman" w:hAnsi="Bookman Old Style" w:cs="Times New Roman"/>
                <w:color w:val="000000"/>
                <w:sz w:val="20"/>
                <w:szCs w:val="20"/>
                <w:lang w:eastAsia="es-CO"/>
              </w:rPr>
            </w:pPr>
            <w:r w:rsidRPr="000E5F25">
              <w:rPr>
                <w:rFonts w:ascii="Bookman Old Style" w:eastAsia="Times New Roman" w:hAnsi="Bookman Old Style" w:cs="Times New Roman"/>
                <w:color w:val="000000"/>
                <w:sz w:val="20"/>
                <w:szCs w:val="20"/>
                <w:lang w:eastAsia="es-CO"/>
              </w:rPr>
              <w:t>21,711,710</w:t>
            </w:r>
          </w:p>
        </w:tc>
        <w:tc>
          <w:tcPr>
            <w:tcW w:w="1716" w:type="dxa"/>
            <w:tcBorders>
              <w:top w:val="nil"/>
              <w:left w:val="nil"/>
              <w:bottom w:val="single" w:sz="4" w:space="0" w:color="auto"/>
              <w:right w:val="single" w:sz="4" w:space="0" w:color="auto"/>
            </w:tcBorders>
            <w:shd w:val="clear" w:color="auto" w:fill="auto"/>
            <w:noWrap/>
            <w:vAlign w:val="center"/>
          </w:tcPr>
          <w:p w:rsidR="000E5F25" w:rsidRPr="000E5F25" w:rsidRDefault="000E5F25" w:rsidP="000E5F25">
            <w:pPr>
              <w:spacing w:after="0" w:line="240" w:lineRule="auto"/>
              <w:jc w:val="center"/>
              <w:rPr>
                <w:rFonts w:ascii="Bookman Old Style" w:eastAsia="Times New Roman" w:hAnsi="Bookman Old Style" w:cs="Times New Roman"/>
                <w:color w:val="000000"/>
                <w:sz w:val="20"/>
                <w:szCs w:val="20"/>
                <w:lang w:eastAsia="es-CO"/>
              </w:rPr>
            </w:pPr>
            <w:r w:rsidRPr="000E5F25">
              <w:rPr>
                <w:rFonts w:ascii="Bookman Old Style" w:eastAsia="Times New Roman" w:hAnsi="Bookman Old Style" w:cs="Times New Roman"/>
                <w:color w:val="000000"/>
                <w:sz w:val="20"/>
                <w:szCs w:val="20"/>
                <w:lang w:eastAsia="es-CO"/>
              </w:rPr>
              <w:t>9,776,370</w:t>
            </w:r>
          </w:p>
        </w:tc>
        <w:tc>
          <w:tcPr>
            <w:tcW w:w="1720" w:type="dxa"/>
            <w:tcBorders>
              <w:top w:val="nil"/>
              <w:left w:val="nil"/>
              <w:bottom w:val="single" w:sz="4" w:space="0" w:color="auto"/>
              <w:right w:val="single" w:sz="4" w:space="0" w:color="auto"/>
            </w:tcBorders>
            <w:shd w:val="clear" w:color="auto" w:fill="auto"/>
            <w:noWrap/>
            <w:vAlign w:val="center"/>
          </w:tcPr>
          <w:p w:rsidR="000E5F25" w:rsidRPr="000E5F25" w:rsidRDefault="000E5F25" w:rsidP="000E5F25">
            <w:pPr>
              <w:spacing w:after="0" w:line="240" w:lineRule="auto"/>
              <w:jc w:val="center"/>
              <w:rPr>
                <w:rFonts w:ascii="Bookman Old Style" w:eastAsia="Times New Roman" w:hAnsi="Bookman Old Style" w:cs="Times New Roman"/>
                <w:color w:val="000000"/>
                <w:sz w:val="20"/>
                <w:szCs w:val="20"/>
                <w:lang w:eastAsia="es-CO"/>
              </w:rPr>
            </w:pPr>
            <w:r w:rsidRPr="000E5F25">
              <w:rPr>
                <w:rFonts w:ascii="Bookman Old Style" w:eastAsia="Times New Roman" w:hAnsi="Bookman Old Style" w:cs="Times New Roman"/>
                <w:color w:val="000000"/>
                <w:sz w:val="20"/>
                <w:szCs w:val="20"/>
                <w:lang w:eastAsia="es-CO"/>
              </w:rPr>
              <w:t>31,488,080</w:t>
            </w:r>
          </w:p>
        </w:tc>
      </w:tr>
    </w:tbl>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E5F25">
        <w:rPr>
          <w:rFonts w:ascii="Bookman Old Style" w:eastAsia="Times New Roman" w:hAnsi="Bookman Old Style" w:cs="Times New Roman"/>
          <w:sz w:val="24"/>
          <w:szCs w:val="24"/>
          <w:lang w:val="es-ES" w:eastAsia="es-ES"/>
        </w:rPr>
        <w:t xml:space="preserve">, </w:t>
      </w:r>
      <w:r w:rsidR="00012393">
        <w:rPr>
          <w:rFonts w:ascii="Bookman Old Style" w:eastAsia="Times New Roman" w:hAnsi="Bookman Old Style" w:cs="Times New Roman"/>
          <w:sz w:val="24"/>
          <w:szCs w:val="24"/>
          <w:lang w:val="es-ES" w:eastAsia="es-ES"/>
        </w:rPr>
        <w:t xml:space="preserve">donde los resultados obtenidos para </w:t>
      </w:r>
      <w:r w:rsidR="00C47B1F">
        <w:rPr>
          <w:rFonts w:ascii="Bookman Old Style" w:eastAsia="Times New Roman" w:hAnsi="Bookman Old Style" w:cs="Times New Roman"/>
          <w:sz w:val="24"/>
          <w:szCs w:val="24"/>
          <w:lang w:val="es-ES" w:eastAsia="es-ES"/>
        </w:rPr>
        <w:t>Roscogas S.A. E.S.P</w:t>
      </w:r>
      <w:r w:rsidR="00012393" w:rsidRPr="00EA390B">
        <w:rPr>
          <w:rFonts w:ascii="Bookman Old Style" w:eastAsia="Times New Roman" w:hAnsi="Bookman Old Style" w:cs="Times New Roman"/>
          <w:sz w:val="24"/>
          <w:szCs w:val="24"/>
          <w:lang w:val="es-ES" w:eastAsia="es-ES"/>
        </w:rPr>
        <w:t>.</w:t>
      </w:r>
      <w:r w:rsidR="00012393">
        <w:rPr>
          <w:rFonts w:ascii="Bookman Old Style" w:eastAsia="Times New Roman" w:hAnsi="Bookman Old Style" w:cs="Times New Roman"/>
          <w:sz w:val="24"/>
          <w:szCs w:val="24"/>
          <w:lang w:val="es-ES" w:eastAsia="es-ES"/>
        </w:rPr>
        <w:t xml:space="preserve"> son los siguientes</w:t>
      </w:r>
      <w:r w:rsidRPr="000E5F25">
        <w:rPr>
          <w:rFonts w:ascii="Bookman Old Style" w:eastAsia="Times New Roman" w:hAnsi="Bookman Old Style" w:cs="Times New Roman"/>
          <w:sz w:val="24"/>
          <w:szCs w:val="24"/>
          <w:lang w:val="es-ES" w:eastAsia="es-ES"/>
        </w:rPr>
        <w:t xml:space="preserve">. </w:t>
      </w:r>
    </w:p>
    <w:p w:rsidR="00D85312" w:rsidRPr="00D85312" w:rsidRDefault="00D85312" w:rsidP="00D85312">
      <w:pPr>
        <w:ind w:left="357"/>
        <w:contextualSpacing/>
        <w:jc w:val="both"/>
        <w:rPr>
          <w:rFonts w:ascii="Bookman Old Style" w:hAnsi="Bookman Old Style"/>
          <w:highlight w:val="yellow"/>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D85312" w:rsidRPr="000E5F25" w:rsidTr="000E5F25">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312" w:rsidRPr="005434BA" w:rsidRDefault="00D85312" w:rsidP="005434BA">
            <w:pPr>
              <w:spacing w:after="0"/>
              <w:ind w:left="67"/>
              <w:jc w:val="center"/>
              <w:rPr>
                <w:rFonts w:ascii="Bookman Old Style" w:hAnsi="Bookman Old Style"/>
                <w:b/>
                <w:bCs/>
                <w:color w:val="000000"/>
                <w:sz w:val="20"/>
                <w:szCs w:val="20"/>
                <w:lang w:eastAsia="es-CO"/>
              </w:rPr>
            </w:pPr>
            <w:r w:rsidRPr="005434BA">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D85312" w:rsidRPr="005434BA" w:rsidRDefault="00D85312" w:rsidP="005434BA">
            <w:pPr>
              <w:spacing w:after="0"/>
              <w:ind w:left="67"/>
              <w:jc w:val="center"/>
              <w:rPr>
                <w:rFonts w:ascii="Bookman Old Style" w:hAnsi="Bookman Old Style"/>
                <w:b/>
                <w:bCs/>
                <w:color w:val="000000"/>
                <w:sz w:val="20"/>
                <w:szCs w:val="20"/>
                <w:lang w:eastAsia="es-CO"/>
              </w:rPr>
            </w:pPr>
            <w:r w:rsidRPr="005434BA">
              <w:rPr>
                <w:rFonts w:ascii="Bookman Old Style" w:hAnsi="Bookman Old Style"/>
                <w:b/>
                <w:bCs/>
                <w:color w:val="000000" w:themeColor="text1"/>
                <w:sz w:val="20"/>
                <w:szCs w:val="20"/>
                <w:lang w:eastAsia="es-CO"/>
              </w:rPr>
              <w:t>Capacidad total (gl)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5434BA">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85312" w:rsidRPr="005434BA" w:rsidRDefault="00D85312" w:rsidP="005434BA">
            <w:pPr>
              <w:spacing w:after="0"/>
              <w:ind w:left="67"/>
              <w:jc w:val="center"/>
              <w:rPr>
                <w:rFonts w:ascii="Bookman Old Style" w:hAnsi="Bookman Old Style"/>
                <w:b/>
                <w:bCs/>
                <w:color w:val="000000"/>
                <w:sz w:val="20"/>
                <w:szCs w:val="20"/>
                <w:lang w:eastAsia="es-CO"/>
              </w:rPr>
            </w:pPr>
            <w:r w:rsidRPr="005434BA">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5434BA">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D85312" w:rsidRPr="005434BA" w:rsidRDefault="000E5F25" w:rsidP="005434BA">
            <w:pPr>
              <w:spacing w:after="0"/>
              <w:ind w:left="38"/>
              <w:jc w:val="center"/>
              <w:rPr>
                <w:rFonts w:ascii="Bookman Old Style" w:hAnsi="Bookman Old Style"/>
                <w:b/>
                <w:bCs/>
                <w:color w:val="000000"/>
                <w:sz w:val="20"/>
                <w:szCs w:val="20"/>
                <w:lang w:eastAsia="es-CO"/>
              </w:rPr>
            </w:pPr>
            <w:r w:rsidRPr="00C47B1F">
              <w:rPr>
                <w:rFonts w:ascii="Bookman Old Style" w:hAnsi="Bookman Old Style"/>
                <w:b/>
                <w:bCs/>
                <w:color w:val="000000"/>
                <w:sz w:val="20"/>
                <w:szCs w:val="20"/>
              </w:rPr>
              <w:t>Cap.TE</w:t>
            </w:r>
            <w:r w:rsidRPr="00C47B1F">
              <w:rPr>
                <w:rFonts w:ascii="Bookman Old Style" w:hAnsi="Bookman Old Style"/>
                <w:b/>
                <w:bCs/>
                <w:i/>
                <w:color w:val="000000"/>
                <w:sz w:val="20"/>
                <w:szCs w:val="20"/>
                <w:vertAlign w:val="subscript"/>
              </w:rPr>
              <w:t>i,t</w:t>
            </w:r>
          </w:p>
        </w:tc>
      </w:tr>
      <w:tr w:rsidR="00D85312" w:rsidRPr="00D85312" w:rsidTr="000E5F25">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D85312" w:rsidRPr="005434BA" w:rsidRDefault="000E5F25" w:rsidP="000E5F25">
            <w:pPr>
              <w:spacing w:after="0"/>
              <w:jc w:val="center"/>
              <w:rPr>
                <w:rFonts w:ascii="Bookman Old Style" w:hAnsi="Bookman Old Style"/>
                <w:color w:val="000000"/>
                <w:sz w:val="20"/>
                <w:szCs w:val="20"/>
                <w:lang w:eastAsia="es-CO"/>
              </w:rPr>
            </w:pPr>
            <w:r w:rsidRPr="005434BA">
              <w:rPr>
                <w:rFonts w:ascii="Bookman Old Style" w:hAnsi="Bookman Old Style"/>
                <w:color w:val="000000"/>
                <w:sz w:val="20"/>
                <w:szCs w:val="20"/>
                <w:lang w:eastAsia="es-CO"/>
              </w:rPr>
              <w:t>22167</w:t>
            </w:r>
          </w:p>
        </w:tc>
        <w:tc>
          <w:tcPr>
            <w:tcW w:w="1776" w:type="dxa"/>
            <w:tcBorders>
              <w:top w:val="nil"/>
              <w:left w:val="nil"/>
              <w:bottom w:val="single" w:sz="4" w:space="0" w:color="auto"/>
              <w:right w:val="single" w:sz="4" w:space="0" w:color="auto"/>
            </w:tcBorders>
            <w:shd w:val="clear" w:color="auto" w:fill="auto"/>
            <w:noWrap/>
            <w:vAlign w:val="center"/>
          </w:tcPr>
          <w:p w:rsidR="00D85312" w:rsidRPr="005434BA" w:rsidRDefault="000E5F25" w:rsidP="000E5F25">
            <w:pPr>
              <w:spacing w:after="0"/>
              <w:ind w:left="-76"/>
              <w:jc w:val="center"/>
              <w:rPr>
                <w:rFonts w:ascii="Bookman Old Style" w:hAnsi="Bookman Old Style"/>
                <w:color w:val="000000"/>
                <w:sz w:val="20"/>
                <w:szCs w:val="20"/>
                <w:lang w:eastAsia="es-CO"/>
              </w:rPr>
            </w:pPr>
            <w:r w:rsidRPr="005434BA">
              <w:rPr>
                <w:rFonts w:ascii="Bookman Old Style" w:hAnsi="Bookman Old Style"/>
                <w:color w:val="000000"/>
                <w:sz w:val="20"/>
                <w:szCs w:val="20"/>
                <w:lang w:eastAsia="es-CO"/>
              </w:rPr>
              <w:t>72,960</w:t>
            </w:r>
          </w:p>
        </w:tc>
        <w:tc>
          <w:tcPr>
            <w:tcW w:w="2092" w:type="dxa"/>
            <w:tcBorders>
              <w:top w:val="nil"/>
              <w:left w:val="nil"/>
              <w:bottom w:val="single" w:sz="4" w:space="0" w:color="auto"/>
              <w:right w:val="single" w:sz="4" w:space="0" w:color="auto"/>
            </w:tcBorders>
            <w:shd w:val="clear" w:color="auto" w:fill="auto"/>
            <w:noWrap/>
            <w:vAlign w:val="center"/>
          </w:tcPr>
          <w:p w:rsidR="00D85312" w:rsidRPr="005434BA" w:rsidRDefault="00543C41" w:rsidP="000E5F25">
            <w:pPr>
              <w:spacing w:after="0"/>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w:t>
            </w:r>
            <w:r w:rsidR="00D85312" w:rsidRPr="005434BA">
              <w:rPr>
                <w:rFonts w:ascii="Bookman Old Style" w:hAnsi="Bookman Old Style"/>
                <w:color w:val="000000"/>
                <w:sz w:val="20"/>
                <w:szCs w:val="20"/>
                <w:lang w:eastAsia="es-CO"/>
              </w:rPr>
              <w:t>06</w:t>
            </w:r>
          </w:p>
        </w:tc>
        <w:tc>
          <w:tcPr>
            <w:tcW w:w="1800" w:type="dxa"/>
            <w:tcBorders>
              <w:top w:val="nil"/>
              <w:left w:val="nil"/>
              <w:bottom w:val="single" w:sz="4" w:space="0" w:color="auto"/>
              <w:right w:val="single" w:sz="4" w:space="0" w:color="auto"/>
            </w:tcBorders>
            <w:shd w:val="clear" w:color="auto" w:fill="auto"/>
            <w:noWrap/>
            <w:vAlign w:val="center"/>
          </w:tcPr>
          <w:p w:rsidR="00D85312" w:rsidRPr="005434BA" w:rsidRDefault="000E5F25" w:rsidP="000E5F25">
            <w:pPr>
              <w:spacing w:after="0"/>
              <w:ind w:left="-76"/>
              <w:jc w:val="center"/>
              <w:rPr>
                <w:rFonts w:ascii="Bookman Old Style" w:hAnsi="Bookman Old Style"/>
                <w:color w:val="000000"/>
                <w:sz w:val="20"/>
                <w:szCs w:val="20"/>
                <w:lang w:eastAsia="es-CO"/>
              </w:rPr>
            </w:pPr>
            <w:r w:rsidRPr="005434BA">
              <w:rPr>
                <w:rFonts w:ascii="Bookman Old Style" w:hAnsi="Bookman Old Style"/>
                <w:color w:val="000000"/>
                <w:sz w:val="20"/>
                <w:szCs w:val="20"/>
                <w:lang w:eastAsia="es-CO"/>
              </w:rPr>
              <w:t>919,296</w:t>
            </w:r>
          </w:p>
        </w:tc>
      </w:tr>
    </w:tbl>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0E5F25"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E5F25">
        <w:rPr>
          <w:rFonts w:ascii="Bookman Old Style" w:eastAsia="Times New Roman" w:hAnsi="Bookman Old Style" w:cs="Times New Roman"/>
          <w:sz w:val="24"/>
          <w:szCs w:val="24"/>
          <w:lang w:val="es-ES" w:eastAsia="es-ES"/>
        </w:rPr>
        <w:t xml:space="preserve">, </w:t>
      </w:r>
      <w:r w:rsidR="00012393">
        <w:rPr>
          <w:rFonts w:ascii="Bookman Old Style" w:eastAsia="Times New Roman" w:hAnsi="Bookman Old Style" w:cs="Times New Roman"/>
          <w:sz w:val="24"/>
          <w:szCs w:val="24"/>
          <w:lang w:val="es-ES" w:eastAsia="es-ES"/>
        </w:rPr>
        <w:t xml:space="preserve">donde la capacidad de compra para </w:t>
      </w:r>
      <w:r w:rsidR="00C47B1F">
        <w:rPr>
          <w:rFonts w:ascii="Bookman Old Style" w:eastAsia="Times New Roman" w:hAnsi="Bookman Old Style" w:cs="Times New Roman"/>
          <w:sz w:val="24"/>
          <w:szCs w:val="24"/>
          <w:lang w:val="es-ES" w:eastAsia="es-ES"/>
        </w:rPr>
        <w:t>Roscogas S.A. E.S.P</w:t>
      </w:r>
      <w:r w:rsidR="00012393" w:rsidRPr="00EA390B">
        <w:rPr>
          <w:rFonts w:ascii="Bookman Old Style" w:eastAsia="Times New Roman" w:hAnsi="Bookman Old Style" w:cs="Times New Roman"/>
          <w:sz w:val="24"/>
          <w:szCs w:val="24"/>
          <w:lang w:val="es-ES" w:eastAsia="es-ES"/>
        </w:rPr>
        <w:t>.</w:t>
      </w:r>
      <w:r w:rsidR="00012393">
        <w:rPr>
          <w:rFonts w:ascii="Bookman Old Style" w:eastAsia="Times New Roman" w:hAnsi="Bookman Old Style" w:cs="Times New Roman"/>
          <w:sz w:val="24"/>
          <w:szCs w:val="24"/>
          <w:lang w:val="es-ES" w:eastAsia="es-ES"/>
        </w:rPr>
        <w:t xml:space="preserve"> corresponde a:</w:t>
      </w:r>
    </w:p>
    <w:p w:rsidR="003E7EF1" w:rsidRPr="000E5F25" w:rsidRDefault="003E7EF1" w:rsidP="00D85312">
      <w:pPr>
        <w:ind w:left="357"/>
        <w:contextualSpacing/>
        <w:jc w:val="both"/>
        <w:rPr>
          <w:rFonts w:ascii="Bookman Old Style" w:hAnsi="Bookman Old Style"/>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0E5F25" w:rsidRPr="00D85312" w:rsidTr="000E5F25">
        <w:trPr>
          <w:trHeight w:val="369"/>
          <w:tblHeader/>
          <w:jc w:val="center"/>
        </w:trPr>
        <w:tc>
          <w:tcPr>
            <w:tcW w:w="1420" w:type="dxa"/>
            <w:shd w:val="clear" w:color="auto" w:fill="auto"/>
            <w:noWrap/>
            <w:vAlign w:val="center"/>
            <w:hideMark/>
          </w:tcPr>
          <w:p w:rsidR="000E5F25" w:rsidRPr="000F619F" w:rsidRDefault="000E5F25" w:rsidP="000E5F25">
            <w:pPr>
              <w:spacing w:after="0" w:line="240" w:lineRule="auto"/>
              <w:jc w:val="center"/>
              <w:rPr>
                <w:rFonts w:ascii="Bookman Old Style" w:eastAsia="Times New Roman" w:hAnsi="Bookman Old Style" w:cs="Times New Roman"/>
                <w:b/>
                <w:bCs/>
                <w:color w:val="000000"/>
                <w:sz w:val="20"/>
                <w:szCs w:val="20"/>
                <w:lang w:eastAsia="es-CO"/>
              </w:rPr>
            </w:pPr>
            <w:r w:rsidRPr="000F619F">
              <w:rPr>
                <w:rFonts w:ascii="Bookman Old Style" w:eastAsia="Times New Roman" w:hAnsi="Bookman Old Style" w:cs="Times New Roman"/>
                <w:b/>
                <w:bCs/>
                <w:color w:val="000000"/>
                <w:sz w:val="20"/>
                <w:szCs w:val="20"/>
                <w:lang w:eastAsia="es-CO"/>
              </w:rPr>
              <w:t>Código</w:t>
            </w:r>
            <w:r>
              <w:rPr>
                <w:rFonts w:ascii="Bookman Old Style" w:eastAsia="Times New Roman" w:hAnsi="Bookman Old Style" w:cs="Times New Roman"/>
                <w:b/>
                <w:bCs/>
                <w:color w:val="000000"/>
                <w:sz w:val="20"/>
                <w:szCs w:val="20"/>
                <w:lang w:eastAsia="es-CO"/>
              </w:rPr>
              <w:t xml:space="preserve"> </w:t>
            </w:r>
            <w:r w:rsidRPr="000F619F">
              <w:rPr>
                <w:rFonts w:ascii="Bookman Old Style" w:eastAsia="Times New Roman" w:hAnsi="Bookman Old Style" w:cs="Times New Roman"/>
                <w:b/>
                <w:bCs/>
                <w:color w:val="000000"/>
                <w:sz w:val="20"/>
                <w:szCs w:val="20"/>
                <w:lang w:eastAsia="es-CO"/>
              </w:rPr>
              <w:t>SUI</w:t>
            </w:r>
          </w:p>
        </w:tc>
        <w:tc>
          <w:tcPr>
            <w:tcW w:w="1828" w:type="dxa"/>
            <w:shd w:val="clear" w:color="auto" w:fill="auto"/>
            <w:noWrap/>
            <w:vAlign w:val="center"/>
            <w:hideMark/>
          </w:tcPr>
          <w:p w:rsidR="000E5F25" w:rsidRPr="000F619F" w:rsidRDefault="000E5F25" w:rsidP="000E5F25">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
        </w:tc>
        <w:tc>
          <w:tcPr>
            <w:tcW w:w="1704" w:type="dxa"/>
            <w:shd w:val="clear" w:color="auto" w:fill="auto"/>
            <w:noWrap/>
            <w:vAlign w:val="center"/>
            <w:hideMark/>
          </w:tcPr>
          <w:p w:rsidR="000E5F25" w:rsidRPr="00131DB0" w:rsidRDefault="000E5F25" w:rsidP="000E5F25">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
        </w:tc>
        <w:tc>
          <w:tcPr>
            <w:tcW w:w="1828" w:type="dxa"/>
            <w:shd w:val="clear" w:color="auto" w:fill="auto"/>
            <w:noWrap/>
            <w:vAlign w:val="center"/>
            <w:hideMark/>
          </w:tcPr>
          <w:p w:rsidR="000E5F25" w:rsidRPr="000F619F" w:rsidRDefault="000E5F25" w:rsidP="000E5F25">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w:t>
            </w:r>
            <w:r>
              <w:rPr>
                <w:rFonts w:ascii="Bookman Old Style" w:hAnsi="Bookman Old Style"/>
                <w:b/>
                <w:bCs/>
                <w:color w:val="000000"/>
                <w:sz w:val="20"/>
                <w:szCs w:val="20"/>
              </w:rPr>
              <w:t>C</w:t>
            </w:r>
            <w:r w:rsidRPr="00131DB0">
              <w:rPr>
                <w:rFonts w:ascii="Bookman Old Style" w:hAnsi="Bookman Old Style"/>
                <w:b/>
                <w:bCs/>
                <w:i/>
                <w:color w:val="000000"/>
                <w:sz w:val="20"/>
                <w:szCs w:val="20"/>
                <w:vertAlign w:val="subscript"/>
              </w:rPr>
              <w:t>i,t</w:t>
            </w:r>
          </w:p>
        </w:tc>
      </w:tr>
      <w:tr w:rsidR="000E5F25" w:rsidRPr="00D85312" w:rsidTr="000E5F25">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F25" w:rsidRPr="005434BA" w:rsidRDefault="000E5F25" w:rsidP="000E5F25">
            <w:pPr>
              <w:spacing w:after="0" w:line="240" w:lineRule="auto"/>
              <w:jc w:val="center"/>
              <w:rPr>
                <w:rFonts w:ascii="Bookman Old Style" w:eastAsia="Times New Roman" w:hAnsi="Bookman Old Style" w:cs="Times New Roman"/>
                <w:color w:val="000000"/>
                <w:sz w:val="20"/>
                <w:szCs w:val="20"/>
                <w:lang w:eastAsia="es-CO"/>
              </w:rPr>
            </w:pPr>
            <w:r w:rsidRPr="005434BA">
              <w:rPr>
                <w:rFonts w:ascii="Bookman Old Style" w:eastAsia="Times New Roman" w:hAnsi="Bookman Old Style" w:cs="Times New Roman"/>
                <w:color w:val="000000"/>
                <w:sz w:val="20"/>
                <w:szCs w:val="20"/>
                <w:lang w:eastAsia="es-CO"/>
              </w:rPr>
              <w:t>22167</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F25" w:rsidRPr="005434BA" w:rsidRDefault="000E5F25" w:rsidP="000E5F25">
            <w:pPr>
              <w:spacing w:after="0" w:line="240" w:lineRule="auto"/>
              <w:jc w:val="right"/>
              <w:rPr>
                <w:rFonts w:ascii="Bookman Old Style" w:eastAsia="Times New Roman" w:hAnsi="Bookman Old Style" w:cs="Times New Roman"/>
                <w:color w:val="000000"/>
                <w:sz w:val="20"/>
                <w:szCs w:val="20"/>
                <w:lang w:eastAsia="es-CO"/>
              </w:rPr>
            </w:pPr>
            <w:r w:rsidRPr="005434BA">
              <w:rPr>
                <w:rFonts w:ascii="Bookman Old Style" w:eastAsia="Times New Roman" w:hAnsi="Bookman Old Style" w:cs="Times New Roman"/>
                <w:color w:val="000000"/>
                <w:sz w:val="20"/>
                <w:szCs w:val="20"/>
                <w:lang w:eastAsia="es-CO"/>
              </w:rPr>
              <w:t>31,488,080</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F25" w:rsidRPr="005434BA" w:rsidRDefault="000E5F25" w:rsidP="000E5F25">
            <w:pPr>
              <w:spacing w:after="0" w:line="240" w:lineRule="auto"/>
              <w:jc w:val="right"/>
              <w:rPr>
                <w:rFonts w:ascii="Bookman Old Style" w:eastAsia="Times New Roman" w:hAnsi="Bookman Old Style" w:cs="Times New Roman"/>
                <w:color w:val="000000"/>
                <w:sz w:val="20"/>
                <w:szCs w:val="20"/>
                <w:lang w:eastAsia="es-CO"/>
              </w:rPr>
            </w:pPr>
            <w:r w:rsidRPr="005434BA">
              <w:rPr>
                <w:rFonts w:ascii="Bookman Old Style" w:eastAsia="Times New Roman" w:hAnsi="Bookman Old Style" w:cs="Times New Roman"/>
                <w:color w:val="000000"/>
                <w:sz w:val="20"/>
                <w:szCs w:val="20"/>
                <w:lang w:eastAsia="es-CO"/>
              </w:rPr>
              <w:t>919,296</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F25" w:rsidRPr="005434BA" w:rsidRDefault="000E5F25" w:rsidP="000E5F25">
            <w:pPr>
              <w:spacing w:after="0" w:line="240" w:lineRule="auto"/>
              <w:jc w:val="right"/>
              <w:rPr>
                <w:rFonts w:ascii="Bookman Old Style" w:eastAsia="Times New Roman" w:hAnsi="Bookman Old Style" w:cs="Times New Roman"/>
                <w:color w:val="000000"/>
                <w:sz w:val="20"/>
                <w:szCs w:val="20"/>
                <w:lang w:eastAsia="es-CO"/>
              </w:rPr>
            </w:pPr>
            <w:r w:rsidRPr="005434BA">
              <w:rPr>
                <w:rFonts w:ascii="Bookman Old Style" w:hAnsi="Bookman Old Style"/>
                <w:sz w:val="20"/>
                <w:szCs w:val="20"/>
              </w:rPr>
              <w:t>11,132,971</w:t>
            </w:r>
          </w:p>
        </w:tc>
      </w:tr>
    </w:tbl>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4F557E" w:rsidRDefault="004F557E" w:rsidP="00D85312">
      <w:pPr>
        <w:spacing w:after="0" w:line="240" w:lineRule="auto"/>
        <w:ind w:left="-142" w:right="-142"/>
        <w:jc w:val="both"/>
        <w:rPr>
          <w:rFonts w:ascii="Bookman Old Style" w:eastAsia="Times New Roman" w:hAnsi="Bookman Old Style" w:cs="Times New Roman"/>
          <w:b/>
          <w:sz w:val="24"/>
          <w:szCs w:val="24"/>
          <w:lang w:val="es-ES" w:eastAsia="es-ES"/>
        </w:rPr>
      </w:pPr>
    </w:p>
    <w:p w:rsidR="004F557E" w:rsidRDefault="004F557E" w:rsidP="00D85312">
      <w:pPr>
        <w:spacing w:after="0" w:line="240" w:lineRule="auto"/>
        <w:ind w:left="-142" w:right="-142"/>
        <w:jc w:val="both"/>
        <w:rPr>
          <w:rFonts w:ascii="Bookman Old Style" w:eastAsia="Times New Roman" w:hAnsi="Bookman Old Style" w:cs="Times New Roman"/>
          <w:b/>
          <w:sz w:val="24"/>
          <w:szCs w:val="24"/>
          <w:lang w:val="es-ES" w:eastAsia="es-ES"/>
        </w:rPr>
      </w:pP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E5F25">
        <w:rPr>
          <w:rFonts w:ascii="Bookman Old Style" w:eastAsia="Times New Roman" w:hAnsi="Bookman Old Style" w:cs="Times New Roman"/>
          <w:b/>
          <w:sz w:val="24"/>
          <w:szCs w:val="24"/>
          <w:lang w:val="es-ES" w:eastAsia="es-ES"/>
        </w:rPr>
        <w:t>Artículo 3.</w:t>
      </w:r>
      <w:r w:rsidRPr="000E5F25">
        <w:rPr>
          <w:rFonts w:ascii="Bookman Old Style" w:eastAsia="Times New Roman" w:hAnsi="Bookman Old Style" w:cs="Times New Roman"/>
          <w:sz w:val="24"/>
          <w:szCs w:val="24"/>
          <w:lang w:val="es-ES" w:eastAsia="es-ES"/>
        </w:rPr>
        <w:t xml:space="preserve"> La presente resolución deberá notificarse a la empresa </w:t>
      </w:r>
      <w:r w:rsidR="000E5F25" w:rsidRPr="005434BA">
        <w:rPr>
          <w:rFonts w:ascii="Bookman Old Style" w:eastAsia="Times New Roman" w:hAnsi="Bookman Old Style" w:cs="Times New Roman"/>
          <w:sz w:val="24"/>
          <w:szCs w:val="24"/>
          <w:lang w:val="es-ES" w:eastAsia="es-ES"/>
        </w:rPr>
        <w:t xml:space="preserve">Roscogas </w:t>
      </w:r>
      <w:r w:rsidRPr="005434BA">
        <w:rPr>
          <w:rFonts w:ascii="Bookman Old Style" w:eastAsia="Times New Roman" w:hAnsi="Bookman Old Style" w:cs="Times New Roman"/>
          <w:sz w:val="24"/>
          <w:szCs w:val="24"/>
          <w:lang w:val="es-ES" w:eastAsia="es-ES"/>
        </w:rPr>
        <w:t>S.A. E.S.P.</w:t>
      </w:r>
      <w:r w:rsidRPr="000E5F25">
        <w:rPr>
          <w:rFonts w:ascii="Bookman Old Style" w:eastAsia="Times New Roman" w:hAnsi="Bookman Old Style" w:cs="Times New Roman"/>
          <w:sz w:val="24"/>
          <w:szCs w:val="24"/>
          <w:lang w:val="es-ES" w:eastAsia="es-ES"/>
        </w:rPr>
        <w:t xml:space="preserve"> Contra lo aquí dispuesto no procede recurso alguno por haber finalizado la actuación administrativa correspondiente a la presentación de recursos previsto en la Ley.</w:t>
      </w:r>
    </w:p>
    <w:p w:rsidR="00D85312" w:rsidRPr="00D85312" w:rsidRDefault="00D85312" w:rsidP="00D85312">
      <w:pPr>
        <w:spacing w:after="0" w:line="240" w:lineRule="auto"/>
        <w:ind w:left="567" w:right="-93"/>
        <w:jc w:val="center"/>
        <w:rPr>
          <w:rFonts w:ascii="Bookman Old Style" w:eastAsia="MS Mincho" w:hAnsi="Bookman Old Style" w:cs="Arial"/>
          <w:b/>
          <w:sz w:val="24"/>
          <w:szCs w:val="24"/>
          <w:lang w:val="es-ES" w:eastAsia="es-ES"/>
        </w:rPr>
      </w:pPr>
    </w:p>
    <w:p w:rsidR="00D85312" w:rsidRPr="00D85312" w:rsidRDefault="00D85312" w:rsidP="00D85312">
      <w:pPr>
        <w:spacing w:after="0" w:line="240" w:lineRule="auto"/>
        <w:ind w:left="567" w:right="-93"/>
        <w:jc w:val="center"/>
        <w:rPr>
          <w:rFonts w:ascii="Bookman Old Style" w:eastAsia="MS Mincho" w:hAnsi="Bookman Old Style" w:cs="Arial"/>
          <w:b/>
          <w:sz w:val="24"/>
          <w:szCs w:val="24"/>
          <w:lang w:val="es-ES" w:eastAsia="es-ES"/>
        </w:rPr>
      </w:pPr>
    </w:p>
    <w:p w:rsidR="00D85312" w:rsidRPr="00D85312" w:rsidRDefault="00D85312" w:rsidP="00D85312">
      <w:pPr>
        <w:spacing w:after="0" w:line="240" w:lineRule="auto"/>
        <w:contextualSpacing/>
        <w:jc w:val="center"/>
        <w:rPr>
          <w:rFonts w:ascii="Bookman Old Style" w:eastAsia="Times New Roman" w:hAnsi="Bookman Old Style" w:cs="Times New Roman"/>
          <w:b/>
          <w:sz w:val="24"/>
          <w:szCs w:val="24"/>
          <w:lang w:val="es-ES" w:eastAsia="es-ES"/>
        </w:rPr>
      </w:pPr>
      <w:r w:rsidRPr="00D85312">
        <w:rPr>
          <w:rFonts w:ascii="Bookman Old Style" w:eastAsia="Times New Roman" w:hAnsi="Bookman Old Style" w:cs="Times New Roman"/>
          <w:b/>
          <w:sz w:val="24"/>
          <w:szCs w:val="24"/>
          <w:lang w:val="es-ES" w:eastAsia="es-ES"/>
        </w:rPr>
        <w:t>NOTIFÍQUESE Y CÚMPLASE</w:t>
      </w: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Dada en Bogotá, D.C. a,</w:t>
      </w:r>
    </w:p>
    <w:p w:rsidR="00D85312" w:rsidRPr="00D85312" w:rsidRDefault="00D85312" w:rsidP="00D85312">
      <w:pPr>
        <w:spacing w:after="0" w:line="240" w:lineRule="auto"/>
        <w:contextualSpacing/>
        <w:rPr>
          <w:rFonts w:ascii="Bookman Old Style" w:eastAsia="Times New Roman" w:hAnsi="Bookman Old Style" w:cs="Times New Roman"/>
          <w:sz w:val="20"/>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0"/>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D85312" w:rsidRPr="00D85312" w:rsidTr="000E5F25">
        <w:tc>
          <w:tcPr>
            <w:tcW w:w="4964" w:type="dxa"/>
            <w:hideMark/>
          </w:tcPr>
          <w:p w:rsidR="00D85312" w:rsidRPr="00D85312" w:rsidRDefault="00012393" w:rsidP="00D85312">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D85312" w:rsidRPr="00D85312" w:rsidRDefault="00D85312" w:rsidP="00D85312">
            <w:pPr>
              <w:snapToGrid w:val="0"/>
              <w:spacing w:after="0" w:line="240" w:lineRule="auto"/>
              <w:ind w:left="141"/>
              <w:jc w:val="center"/>
              <w:rPr>
                <w:rFonts w:ascii="Bookman Old Style" w:eastAsia="Times New Roman" w:hAnsi="Bookman Old Style" w:cs="Arial"/>
                <w:b/>
                <w:bCs/>
                <w:sz w:val="24"/>
                <w:szCs w:val="24"/>
                <w:lang w:val="es-ES" w:eastAsia="es-ES"/>
              </w:rPr>
            </w:pPr>
            <w:r w:rsidRPr="00D85312">
              <w:rPr>
                <w:rFonts w:ascii="Bookman Old Style" w:eastAsia="Times New Roman" w:hAnsi="Bookman Old Style" w:cs="Arial"/>
                <w:b/>
                <w:bCs/>
                <w:sz w:val="24"/>
                <w:szCs w:val="24"/>
                <w:lang w:val="es-ES" w:eastAsia="es-ES"/>
              </w:rPr>
              <w:t>CHRISTIAN JARAMILLO HERRERA</w:t>
            </w:r>
          </w:p>
        </w:tc>
      </w:tr>
      <w:tr w:rsidR="00D85312" w:rsidRPr="00D85312" w:rsidTr="000E5F25">
        <w:tc>
          <w:tcPr>
            <w:tcW w:w="4964" w:type="dxa"/>
            <w:hideMark/>
          </w:tcPr>
          <w:p w:rsidR="00012393" w:rsidRDefault="00012393" w:rsidP="00012393">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Pr="00082D81">
              <w:rPr>
                <w:rFonts w:ascii="Bookman Old Style" w:eastAsia="Times New Roman" w:hAnsi="Bookman Old Style" w:cs="Arial"/>
                <w:sz w:val="24"/>
                <w:szCs w:val="24"/>
                <w:lang w:val="es-ES" w:eastAsia="es-ES"/>
              </w:rPr>
              <w:t xml:space="preserve"> Energía</w:t>
            </w:r>
          </w:p>
          <w:p w:rsidR="004F557E" w:rsidRPr="004F557E" w:rsidRDefault="004F557E" w:rsidP="00012393">
            <w:pPr>
              <w:snapToGrid w:val="0"/>
              <w:spacing w:after="0" w:line="240" w:lineRule="auto"/>
              <w:jc w:val="center"/>
              <w:rPr>
                <w:rFonts w:ascii="Bookman Old Style" w:eastAsia="Times New Roman" w:hAnsi="Bookman Old Style" w:cs="Arial"/>
                <w:sz w:val="24"/>
                <w:szCs w:val="24"/>
                <w:lang w:val="es-ES" w:eastAsia="es-ES"/>
              </w:rPr>
            </w:pPr>
            <w:r w:rsidRPr="004F557E">
              <w:rPr>
                <w:rFonts w:ascii="Bookman Old Style" w:hAnsi="Bookman Old Style" w:cs="Arial"/>
                <w:spacing w:val="-3"/>
                <w:sz w:val="24"/>
                <w:szCs w:val="24"/>
              </w:rPr>
              <w:t>Delegado de la Ministra de Minas y Energía</w:t>
            </w:r>
          </w:p>
          <w:p w:rsidR="00D85312" w:rsidRPr="00D85312" w:rsidRDefault="00D85312" w:rsidP="00D85312">
            <w:pPr>
              <w:snapToGrid w:val="0"/>
              <w:spacing w:after="0" w:line="240" w:lineRule="auto"/>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Presidente</w:t>
            </w:r>
          </w:p>
        </w:tc>
        <w:tc>
          <w:tcPr>
            <w:tcW w:w="4534" w:type="dxa"/>
            <w:hideMark/>
          </w:tcPr>
          <w:p w:rsidR="00D85312" w:rsidRPr="00D85312" w:rsidRDefault="00D85312" w:rsidP="00D85312">
            <w:pPr>
              <w:snapToGrid w:val="0"/>
              <w:spacing w:after="0" w:line="240" w:lineRule="auto"/>
              <w:ind w:left="567"/>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Director Ejecutivo</w:t>
            </w:r>
          </w:p>
        </w:tc>
      </w:tr>
    </w:tbl>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0A7284" w:rsidRDefault="00D85312" w:rsidP="00D85312">
      <w:pPr>
        <w:spacing w:after="0" w:line="240" w:lineRule="auto"/>
        <w:ind w:left="-142" w:right="-142"/>
        <w:rPr>
          <w:rFonts w:ascii="Bookman Old Style" w:eastAsia="Times New Roman" w:hAnsi="Bookman Old Style" w:cs="Times New Roman"/>
          <w:sz w:val="24"/>
          <w:szCs w:val="24"/>
          <w:highlight w:val="yellow"/>
          <w:lang w:val="es-ES" w:eastAsia="es-ES"/>
        </w:rPr>
      </w:pPr>
    </w:p>
    <w:sectPr w:rsidR="00D85312" w:rsidRPr="000A7284" w:rsidSect="005C1BCA">
      <w:headerReference w:type="default" r:id="rId14"/>
      <w:head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30" w:rsidRDefault="00F17630" w:rsidP="005C1BCA">
      <w:pPr>
        <w:spacing w:after="0" w:line="240" w:lineRule="auto"/>
      </w:pPr>
      <w:r>
        <w:separator/>
      </w:r>
    </w:p>
  </w:endnote>
  <w:endnote w:type="continuationSeparator" w:id="0">
    <w:p w:rsidR="00F17630" w:rsidRDefault="00F17630"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30" w:rsidRDefault="00F17630" w:rsidP="005C1BCA">
      <w:pPr>
        <w:spacing w:after="0" w:line="240" w:lineRule="auto"/>
      </w:pPr>
      <w:r>
        <w:separator/>
      </w:r>
    </w:p>
  </w:footnote>
  <w:footnote w:type="continuationSeparator" w:id="0">
    <w:p w:rsidR="00F17630" w:rsidRDefault="00F17630" w:rsidP="005C1BCA">
      <w:pPr>
        <w:spacing w:after="0" w:line="240" w:lineRule="auto"/>
      </w:pPr>
      <w:r>
        <w:continuationSeparator/>
      </w:r>
    </w:p>
  </w:footnote>
  <w:footnote w:id="1">
    <w:p w:rsidR="00C47B1F" w:rsidRPr="005C1BCA" w:rsidRDefault="00C47B1F"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C47B1F" w:rsidRPr="00FD101E" w:rsidRDefault="00C47B1F"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C47B1F" w:rsidRPr="00FD101E" w:rsidRDefault="00C47B1F"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C47B1F" w:rsidRPr="00FD101E" w:rsidRDefault="00C47B1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C47B1F" w:rsidRPr="00FD101E" w:rsidRDefault="00C47B1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C47B1F" w:rsidRPr="00FD101E" w:rsidRDefault="00C47B1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C47B1F" w:rsidRPr="00FD101E" w:rsidRDefault="00C47B1F"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C47B1F" w:rsidRPr="00575874" w:rsidRDefault="00C47B1F" w:rsidP="00DE5054">
      <w:pPr>
        <w:pStyle w:val="Textonotapie"/>
      </w:pPr>
    </w:p>
  </w:footnote>
  <w:footnote w:id="3">
    <w:p w:rsidR="00C47B1F" w:rsidRPr="005B07AE" w:rsidRDefault="00C47B1F"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C47B1F" w:rsidRPr="005527BE" w:rsidRDefault="00C47B1F" w:rsidP="00F5339F">
      <w:pPr>
        <w:pStyle w:val="Textonotapie"/>
        <w:ind w:left="0"/>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 Artículo</w:t>
      </w:r>
      <w:r w:rsidRPr="005527BE">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C47B1F" w:rsidRPr="005527BE" w:rsidRDefault="00C47B1F" w:rsidP="00F5339F">
      <w:pPr>
        <w:pStyle w:val="Textonotapie"/>
        <w:jc w:val="both"/>
        <w:rPr>
          <w:rFonts w:ascii="Bookman Old Style" w:hAnsi="Bookman Old Style" w:cs="Arial"/>
          <w:sz w:val="16"/>
          <w:szCs w:val="16"/>
        </w:rPr>
      </w:pPr>
    </w:p>
    <w:p w:rsidR="00C47B1F" w:rsidRPr="00CD67E2" w:rsidRDefault="00C47B1F" w:rsidP="00F5339F">
      <w:pPr>
        <w:pStyle w:val="Textonotapie"/>
        <w:ind w:left="0"/>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C47B1F" w:rsidRPr="00FA7CDB" w:rsidRDefault="00C47B1F"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47B1F" w:rsidRPr="00FA7CDB" w:rsidRDefault="00C47B1F"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47B1F" w:rsidRPr="00FA7CDB" w:rsidRDefault="00C47B1F"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47B1F" w:rsidRPr="00FA7CDB" w:rsidRDefault="00C47B1F"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47B1F" w:rsidRDefault="00C47B1F"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1F" w:rsidRDefault="00C47B1F" w:rsidP="001F2B83">
    <w:pPr>
      <w:pStyle w:val="Ttulo1"/>
      <w:ind w:right="6"/>
      <w:jc w:val="left"/>
      <w:rPr>
        <w:rFonts w:ascii="Bookman Old Style" w:hAnsi="Bookman Old Style" w:cs="Arial"/>
        <w:b w:val="0"/>
        <w:sz w:val="22"/>
        <w:szCs w:val="22"/>
      </w:rPr>
    </w:pPr>
  </w:p>
  <w:p w:rsidR="00C47B1F" w:rsidRPr="00951F79" w:rsidRDefault="00C47B1F"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1185D">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1185D" w:rsidRPr="0091185D">
        <w:rPr>
          <w:rFonts w:ascii="Bookman Old Style" w:hAnsi="Bookman Old Style" w:cs="Arial"/>
          <w:b w:val="0"/>
          <w:noProof/>
          <w:sz w:val="22"/>
          <w:szCs w:val="22"/>
        </w:rPr>
        <w:t>18</w:t>
      </w:r>
    </w:fldSimple>
  </w:p>
  <w:p w:rsidR="00C47B1F" w:rsidRDefault="00C47B1F"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47B1F" w:rsidRDefault="00C47B1F"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r>
      <w:rPr>
        <w:rFonts w:ascii="Bookman Old Style" w:eastAsia="Times New Roman" w:hAnsi="Bookman Old Style" w:cs="Times New Roman"/>
        <w:lang w:val="es-ES" w:eastAsia="es-ES"/>
      </w:rPr>
      <w:t xml:space="preserve">Roscogas S.A. </w:t>
    </w:r>
    <w:r w:rsidRPr="007F3FC2">
      <w:rPr>
        <w:rFonts w:ascii="Bookman Old Style" w:eastAsia="Times New Roman" w:hAnsi="Bookman Old Style" w:cs="Times New Roman"/>
        <w:lang w:val="es-ES" w:eastAsia="es-ES"/>
      </w:rPr>
      <w:t>E.S.P. contra la Resolución CREG 048 de 2019</w:t>
    </w:r>
  </w:p>
  <w:p w:rsidR="00C47B1F" w:rsidRPr="007F66B9" w:rsidRDefault="00C47B1F"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1F" w:rsidRDefault="00C47B1F"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C47B1F" w:rsidRDefault="00C47B1F">
    <w:pPr>
      <w:pStyle w:val="Encabezado"/>
      <w:jc w:val="center"/>
      <w:rPr>
        <w:rFonts w:ascii="Arial" w:hAnsi="Arial" w:cs="Arial"/>
        <w:spacing w:val="20"/>
        <w:sz w:val="20"/>
      </w:rPr>
    </w:pPr>
  </w:p>
  <w:p w:rsidR="00C47B1F" w:rsidRDefault="00C47B1F"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1"/>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2393"/>
    <w:rsid w:val="0001493D"/>
    <w:rsid w:val="0003079D"/>
    <w:rsid w:val="000372E9"/>
    <w:rsid w:val="00037534"/>
    <w:rsid w:val="00051E42"/>
    <w:rsid w:val="000651C3"/>
    <w:rsid w:val="00074962"/>
    <w:rsid w:val="000768E2"/>
    <w:rsid w:val="00086996"/>
    <w:rsid w:val="00096487"/>
    <w:rsid w:val="000A7284"/>
    <w:rsid w:val="000B2CF1"/>
    <w:rsid w:val="000B4631"/>
    <w:rsid w:val="000D4D20"/>
    <w:rsid w:val="000D77B1"/>
    <w:rsid w:val="000E43B1"/>
    <w:rsid w:val="000E5F25"/>
    <w:rsid w:val="000E7FC0"/>
    <w:rsid w:val="000F619F"/>
    <w:rsid w:val="000F74A4"/>
    <w:rsid w:val="001030F9"/>
    <w:rsid w:val="001079AA"/>
    <w:rsid w:val="00110447"/>
    <w:rsid w:val="001164AC"/>
    <w:rsid w:val="00131DB0"/>
    <w:rsid w:val="001544B0"/>
    <w:rsid w:val="00161159"/>
    <w:rsid w:val="00167E49"/>
    <w:rsid w:val="001851C6"/>
    <w:rsid w:val="00185CE7"/>
    <w:rsid w:val="00193AF1"/>
    <w:rsid w:val="001976B3"/>
    <w:rsid w:val="001A1203"/>
    <w:rsid w:val="001B0BF6"/>
    <w:rsid w:val="001B4CCB"/>
    <w:rsid w:val="001B534B"/>
    <w:rsid w:val="001B6721"/>
    <w:rsid w:val="001C513B"/>
    <w:rsid w:val="001C606A"/>
    <w:rsid w:val="001D2917"/>
    <w:rsid w:val="001E04A9"/>
    <w:rsid w:val="001E38F3"/>
    <w:rsid w:val="001E531D"/>
    <w:rsid w:val="001E5EF3"/>
    <w:rsid w:val="001F1817"/>
    <w:rsid w:val="001F2B83"/>
    <w:rsid w:val="00201D11"/>
    <w:rsid w:val="0020666C"/>
    <w:rsid w:val="002071F1"/>
    <w:rsid w:val="002168B9"/>
    <w:rsid w:val="002360EA"/>
    <w:rsid w:val="00246BDD"/>
    <w:rsid w:val="00250C34"/>
    <w:rsid w:val="00252FBF"/>
    <w:rsid w:val="0025381F"/>
    <w:rsid w:val="00253CDE"/>
    <w:rsid w:val="00257891"/>
    <w:rsid w:val="002A3000"/>
    <w:rsid w:val="002A3B53"/>
    <w:rsid w:val="002C2E32"/>
    <w:rsid w:val="002C2F59"/>
    <w:rsid w:val="002C38BA"/>
    <w:rsid w:val="002D0502"/>
    <w:rsid w:val="002E47EE"/>
    <w:rsid w:val="002E48FC"/>
    <w:rsid w:val="002E789E"/>
    <w:rsid w:val="002F68A3"/>
    <w:rsid w:val="002F6C3C"/>
    <w:rsid w:val="003164D9"/>
    <w:rsid w:val="0032228A"/>
    <w:rsid w:val="00322645"/>
    <w:rsid w:val="003253A2"/>
    <w:rsid w:val="00330B53"/>
    <w:rsid w:val="00331103"/>
    <w:rsid w:val="00331F35"/>
    <w:rsid w:val="0033303E"/>
    <w:rsid w:val="003347B1"/>
    <w:rsid w:val="003360A2"/>
    <w:rsid w:val="0033749B"/>
    <w:rsid w:val="003401B5"/>
    <w:rsid w:val="00340885"/>
    <w:rsid w:val="00351047"/>
    <w:rsid w:val="00351A5E"/>
    <w:rsid w:val="003613EA"/>
    <w:rsid w:val="003655CF"/>
    <w:rsid w:val="00370A60"/>
    <w:rsid w:val="00393342"/>
    <w:rsid w:val="0039378C"/>
    <w:rsid w:val="003B0B7A"/>
    <w:rsid w:val="003B50DF"/>
    <w:rsid w:val="003C1360"/>
    <w:rsid w:val="003D171F"/>
    <w:rsid w:val="003D682B"/>
    <w:rsid w:val="003E7EF1"/>
    <w:rsid w:val="003F59E4"/>
    <w:rsid w:val="00403E9A"/>
    <w:rsid w:val="004276D1"/>
    <w:rsid w:val="00442CE7"/>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5347"/>
    <w:rsid w:val="004F21D4"/>
    <w:rsid w:val="004F557E"/>
    <w:rsid w:val="00505CEA"/>
    <w:rsid w:val="00506375"/>
    <w:rsid w:val="00513B41"/>
    <w:rsid w:val="00516A8F"/>
    <w:rsid w:val="005237A7"/>
    <w:rsid w:val="005434BA"/>
    <w:rsid w:val="00543C41"/>
    <w:rsid w:val="00547070"/>
    <w:rsid w:val="0055674D"/>
    <w:rsid w:val="00560437"/>
    <w:rsid w:val="00560FC4"/>
    <w:rsid w:val="0056639C"/>
    <w:rsid w:val="00572628"/>
    <w:rsid w:val="00575874"/>
    <w:rsid w:val="00590C88"/>
    <w:rsid w:val="0059208B"/>
    <w:rsid w:val="005A0389"/>
    <w:rsid w:val="005C1BCA"/>
    <w:rsid w:val="005E6508"/>
    <w:rsid w:val="005F1C68"/>
    <w:rsid w:val="005F3F22"/>
    <w:rsid w:val="0060008A"/>
    <w:rsid w:val="00612755"/>
    <w:rsid w:val="006441EA"/>
    <w:rsid w:val="0065138A"/>
    <w:rsid w:val="0065201F"/>
    <w:rsid w:val="00653D00"/>
    <w:rsid w:val="00656706"/>
    <w:rsid w:val="006673C7"/>
    <w:rsid w:val="00671E24"/>
    <w:rsid w:val="0067294D"/>
    <w:rsid w:val="00677ABF"/>
    <w:rsid w:val="006948D9"/>
    <w:rsid w:val="00696941"/>
    <w:rsid w:val="006A5495"/>
    <w:rsid w:val="006B2543"/>
    <w:rsid w:val="006B68C9"/>
    <w:rsid w:val="006D6420"/>
    <w:rsid w:val="006E3CAF"/>
    <w:rsid w:val="006E4CFF"/>
    <w:rsid w:val="006F4984"/>
    <w:rsid w:val="006F6F8A"/>
    <w:rsid w:val="00701265"/>
    <w:rsid w:val="00720524"/>
    <w:rsid w:val="00723A63"/>
    <w:rsid w:val="007254EE"/>
    <w:rsid w:val="00735D6F"/>
    <w:rsid w:val="0073600E"/>
    <w:rsid w:val="00744B35"/>
    <w:rsid w:val="00760851"/>
    <w:rsid w:val="0078006D"/>
    <w:rsid w:val="00784E27"/>
    <w:rsid w:val="00785E5C"/>
    <w:rsid w:val="007860F7"/>
    <w:rsid w:val="007917F3"/>
    <w:rsid w:val="007B77DB"/>
    <w:rsid w:val="007B79E1"/>
    <w:rsid w:val="007D3453"/>
    <w:rsid w:val="007D4A88"/>
    <w:rsid w:val="007F3B34"/>
    <w:rsid w:val="007F3FC2"/>
    <w:rsid w:val="007F45BD"/>
    <w:rsid w:val="007F66B9"/>
    <w:rsid w:val="007F6CF0"/>
    <w:rsid w:val="0080052E"/>
    <w:rsid w:val="00812471"/>
    <w:rsid w:val="008315F2"/>
    <w:rsid w:val="008347D1"/>
    <w:rsid w:val="00844EAB"/>
    <w:rsid w:val="00846CC8"/>
    <w:rsid w:val="00864689"/>
    <w:rsid w:val="0087487D"/>
    <w:rsid w:val="0087723A"/>
    <w:rsid w:val="00892686"/>
    <w:rsid w:val="008932C5"/>
    <w:rsid w:val="0089470C"/>
    <w:rsid w:val="0089512B"/>
    <w:rsid w:val="008A5019"/>
    <w:rsid w:val="008C7C6D"/>
    <w:rsid w:val="008E0BB6"/>
    <w:rsid w:val="008E46D8"/>
    <w:rsid w:val="008F0823"/>
    <w:rsid w:val="008F2026"/>
    <w:rsid w:val="008F5C24"/>
    <w:rsid w:val="008F605F"/>
    <w:rsid w:val="00902DFA"/>
    <w:rsid w:val="009055F7"/>
    <w:rsid w:val="00906244"/>
    <w:rsid w:val="0091185D"/>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92441"/>
    <w:rsid w:val="009A06E3"/>
    <w:rsid w:val="009A4D2F"/>
    <w:rsid w:val="009A682D"/>
    <w:rsid w:val="009B05E8"/>
    <w:rsid w:val="009C0053"/>
    <w:rsid w:val="009C6FFF"/>
    <w:rsid w:val="009C7403"/>
    <w:rsid w:val="009D53E5"/>
    <w:rsid w:val="009D7D18"/>
    <w:rsid w:val="009E166A"/>
    <w:rsid w:val="009E2BA7"/>
    <w:rsid w:val="00A10640"/>
    <w:rsid w:val="00A220CA"/>
    <w:rsid w:val="00A33677"/>
    <w:rsid w:val="00A35B73"/>
    <w:rsid w:val="00A35D46"/>
    <w:rsid w:val="00A371B3"/>
    <w:rsid w:val="00A42417"/>
    <w:rsid w:val="00A44FAD"/>
    <w:rsid w:val="00A464A9"/>
    <w:rsid w:val="00A55137"/>
    <w:rsid w:val="00A6381B"/>
    <w:rsid w:val="00A66E25"/>
    <w:rsid w:val="00A705BC"/>
    <w:rsid w:val="00A84D12"/>
    <w:rsid w:val="00AB61B8"/>
    <w:rsid w:val="00AC44B0"/>
    <w:rsid w:val="00AC7523"/>
    <w:rsid w:val="00AC7D9C"/>
    <w:rsid w:val="00AD0ECD"/>
    <w:rsid w:val="00AD168D"/>
    <w:rsid w:val="00AE4E4C"/>
    <w:rsid w:val="00AE5D16"/>
    <w:rsid w:val="00AF279C"/>
    <w:rsid w:val="00B05FD2"/>
    <w:rsid w:val="00B17697"/>
    <w:rsid w:val="00B467DB"/>
    <w:rsid w:val="00B53FFF"/>
    <w:rsid w:val="00B57AF6"/>
    <w:rsid w:val="00B80630"/>
    <w:rsid w:val="00B8540F"/>
    <w:rsid w:val="00B87342"/>
    <w:rsid w:val="00B91B9E"/>
    <w:rsid w:val="00BA1BA8"/>
    <w:rsid w:val="00BA57DB"/>
    <w:rsid w:val="00BC35AA"/>
    <w:rsid w:val="00BC74BC"/>
    <w:rsid w:val="00BD7BE2"/>
    <w:rsid w:val="00BE5DEF"/>
    <w:rsid w:val="00C1199C"/>
    <w:rsid w:val="00C125D2"/>
    <w:rsid w:val="00C139AB"/>
    <w:rsid w:val="00C149F3"/>
    <w:rsid w:val="00C31FCA"/>
    <w:rsid w:val="00C3243A"/>
    <w:rsid w:val="00C345DC"/>
    <w:rsid w:val="00C47B1F"/>
    <w:rsid w:val="00C53D56"/>
    <w:rsid w:val="00C54EB1"/>
    <w:rsid w:val="00C60EB5"/>
    <w:rsid w:val="00C7096A"/>
    <w:rsid w:val="00C8557A"/>
    <w:rsid w:val="00CA077E"/>
    <w:rsid w:val="00CA4C24"/>
    <w:rsid w:val="00CC2C25"/>
    <w:rsid w:val="00CC6E45"/>
    <w:rsid w:val="00CD60B6"/>
    <w:rsid w:val="00CD6EF8"/>
    <w:rsid w:val="00CD74B5"/>
    <w:rsid w:val="00CF4873"/>
    <w:rsid w:val="00CF5BA8"/>
    <w:rsid w:val="00D07C49"/>
    <w:rsid w:val="00D21ABE"/>
    <w:rsid w:val="00D316EC"/>
    <w:rsid w:val="00D41337"/>
    <w:rsid w:val="00D428CA"/>
    <w:rsid w:val="00D51504"/>
    <w:rsid w:val="00D56596"/>
    <w:rsid w:val="00D65730"/>
    <w:rsid w:val="00D7068D"/>
    <w:rsid w:val="00D76C12"/>
    <w:rsid w:val="00D853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12213"/>
    <w:rsid w:val="00E132CB"/>
    <w:rsid w:val="00E16F57"/>
    <w:rsid w:val="00E411EE"/>
    <w:rsid w:val="00E51B9C"/>
    <w:rsid w:val="00E644D5"/>
    <w:rsid w:val="00E8258A"/>
    <w:rsid w:val="00E91A96"/>
    <w:rsid w:val="00E9533E"/>
    <w:rsid w:val="00EA23A0"/>
    <w:rsid w:val="00EB023A"/>
    <w:rsid w:val="00EB1577"/>
    <w:rsid w:val="00EB2D23"/>
    <w:rsid w:val="00EB3EAB"/>
    <w:rsid w:val="00EB559D"/>
    <w:rsid w:val="00EC705E"/>
    <w:rsid w:val="00EF5680"/>
    <w:rsid w:val="00F05A6A"/>
    <w:rsid w:val="00F064F7"/>
    <w:rsid w:val="00F1179A"/>
    <w:rsid w:val="00F11960"/>
    <w:rsid w:val="00F17630"/>
    <w:rsid w:val="00F30553"/>
    <w:rsid w:val="00F313E0"/>
    <w:rsid w:val="00F33A33"/>
    <w:rsid w:val="00F4478E"/>
    <w:rsid w:val="00F46EA4"/>
    <w:rsid w:val="00F5339F"/>
    <w:rsid w:val="00F60C4E"/>
    <w:rsid w:val="00F62750"/>
    <w:rsid w:val="00F62FAE"/>
    <w:rsid w:val="00F64216"/>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85312"/>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764B-27D0-4BB4-A070-13D5395C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6447</Words>
  <Characters>35460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2019-04-24T00:02:00Z</cp:lastPrinted>
  <dcterms:created xsi:type="dcterms:W3CDTF">2019-07-08T23:00:00Z</dcterms:created>
  <dcterms:modified xsi:type="dcterms:W3CDTF">2019-07-08T23:00:00Z</dcterms:modified>
</cp:coreProperties>
</file>