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57B" w:rsidRPr="00C77B93" w:rsidRDefault="0083557B" w:rsidP="00A812B1">
      <w:pPr>
        <w:jc w:val="center"/>
        <w:rPr>
          <w:snapToGrid w:val="0"/>
          <w:sz w:val="24"/>
          <w:lang w:val="es-ES_tradnl"/>
        </w:rPr>
      </w:pPr>
      <w:bookmarkStart w:id="0" w:name="_GoBack"/>
      <w:bookmarkEnd w:id="0"/>
      <w:r w:rsidRPr="00C77B93">
        <w:rPr>
          <w:snapToGrid w:val="0"/>
          <w:sz w:val="24"/>
          <w:lang w:val="es-ES_tradnl"/>
        </w:rPr>
        <w:t>Ministerio de Minas y Energía</w:t>
      </w:r>
    </w:p>
    <w:p w:rsidR="0083557B" w:rsidRPr="00437FEA" w:rsidRDefault="0083557B" w:rsidP="0083557B">
      <w:pPr>
        <w:rPr>
          <w:rFonts w:cs="Arial"/>
          <w:sz w:val="24"/>
        </w:rPr>
      </w:pPr>
    </w:p>
    <w:p w:rsidR="0083557B" w:rsidRPr="00A812B1" w:rsidRDefault="0083557B" w:rsidP="00A812B1">
      <w:pPr>
        <w:jc w:val="center"/>
        <w:rPr>
          <w:b/>
          <w:snapToGrid w:val="0"/>
          <w:sz w:val="24"/>
          <w:lang w:val="es-ES_tradnl"/>
        </w:rPr>
      </w:pPr>
      <w:bookmarkStart w:id="1" w:name="_Toc411002045"/>
      <w:bookmarkStart w:id="2" w:name="_Toc411002065"/>
      <w:bookmarkStart w:id="3" w:name="_Toc411253642"/>
      <w:r w:rsidRPr="00A812B1">
        <w:rPr>
          <w:b/>
          <w:snapToGrid w:val="0"/>
          <w:sz w:val="24"/>
          <w:lang w:val="es-ES_tradnl"/>
        </w:rPr>
        <w:t>COMISIÓN DE REGULACIÓN DE ENERGÍA Y GAS</w:t>
      </w:r>
      <w:bookmarkEnd w:id="1"/>
      <w:bookmarkEnd w:id="2"/>
      <w:bookmarkEnd w:id="3"/>
    </w:p>
    <w:p w:rsidR="0083557B" w:rsidRPr="00437FEA" w:rsidRDefault="0083557B" w:rsidP="0083557B">
      <w:pPr>
        <w:rPr>
          <w:rFonts w:cs="Arial"/>
          <w:sz w:val="24"/>
          <w:lang w:val="es-ES_tradnl"/>
        </w:rPr>
      </w:pPr>
    </w:p>
    <w:p w:rsidR="0083557B" w:rsidRPr="00437FEA" w:rsidRDefault="0083557B" w:rsidP="0083557B">
      <w:pPr>
        <w:rPr>
          <w:rFonts w:cs="Arial"/>
          <w:sz w:val="24"/>
          <w:lang w:val="es-ES_tradnl"/>
        </w:rPr>
      </w:pPr>
    </w:p>
    <w:p w:rsidR="0083557B" w:rsidRPr="00437FEA" w:rsidRDefault="0083557B" w:rsidP="0083557B">
      <w:pPr>
        <w:jc w:val="center"/>
        <w:rPr>
          <w:rFonts w:cs="Arial"/>
          <w:b/>
          <w:sz w:val="24"/>
        </w:rPr>
      </w:pPr>
      <w:r w:rsidRPr="00437FEA">
        <w:rPr>
          <w:rFonts w:cs="Arial"/>
          <w:b/>
          <w:sz w:val="24"/>
        </w:rPr>
        <w:t>RESOLUCIÓN No.                   DE 2015</w:t>
      </w:r>
    </w:p>
    <w:p w:rsidR="0083557B" w:rsidRPr="00437FEA" w:rsidRDefault="0083557B" w:rsidP="0083557B">
      <w:pPr>
        <w:tabs>
          <w:tab w:val="left" w:pos="0"/>
          <w:tab w:val="right" w:pos="9356"/>
        </w:tabs>
        <w:jc w:val="center"/>
        <w:rPr>
          <w:rFonts w:cs="Arial"/>
          <w:b/>
          <w:snapToGrid w:val="0"/>
          <w:color w:val="000000"/>
          <w:sz w:val="24"/>
          <w:lang w:val="es-ES_tradnl"/>
        </w:rPr>
      </w:pPr>
    </w:p>
    <w:p w:rsidR="0083557B" w:rsidRPr="00437FEA" w:rsidRDefault="0083557B" w:rsidP="0083557B">
      <w:pPr>
        <w:jc w:val="center"/>
        <w:rPr>
          <w:rFonts w:cs="Arial"/>
          <w:sz w:val="24"/>
        </w:rPr>
      </w:pPr>
      <w:bookmarkStart w:id="4" w:name="_Toc411002046"/>
      <w:bookmarkStart w:id="5" w:name="_Toc411002066"/>
      <w:r w:rsidRPr="00437FEA">
        <w:rPr>
          <w:rFonts w:cs="Arial"/>
          <w:sz w:val="24"/>
        </w:rPr>
        <w:t>(                                  )</w:t>
      </w:r>
      <w:bookmarkEnd w:id="4"/>
      <w:bookmarkEnd w:id="5"/>
    </w:p>
    <w:p w:rsidR="0083557B" w:rsidRPr="00437FEA" w:rsidRDefault="0083557B" w:rsidP="0083557B">
      <w:pPr>
        <w:tabs>
          <w:tab w:val="left" w:pos="0"/>
          <w:tab w:val="right" w:pos="9356"/>
        </w:tabs>
        <w:jc w:val="center"/>
        <w:rPr>
          <w:rFonts w:cs="Arial"/>
          <w:sz w:val="24"/>
          <w:lang w:val="es-ES_tradnl"/>
        </w:rPr>
      </w:pPr>
    </w:p>
    <w:p w:rsidR="006C5147" w:rsidRDefault="006C5147" w:rsidP="0083557B">
      <w:pPr>
        <w:jc w:val="center"/>
        <w:rPr>
          <w:bCs/>
          <w:sz w:val="24"/>
        </w:rPr>
      </w:pPr>
    </w:p>
    <w:p w:rsidR="006C5147" w:rsidRDefault="006C5147" w:rsidP="0083557B">
      <w:pPr>
        <w:jc w:val="center"/>
        <w:rPr>
          <w:bCs/>
          <w:sz w:val="24"/>
        </w:rPr>
      </w:pPr>
    </w:p>
    <w:p w:rsidR="006C5147" w:rsidRDefault="006C5147" w:rsidP="0083557B">
      <w:pPr>
        <w:jc w:val="center"/>
        <w:rPr>
          <w:bCs/>
          <w:sz w:val="24"/>
        </w:rPr>
      </w:pPr>
    </w:p>
    <w:p w:rsidR="0083557B" w:rsidRDefault="006C5147" w:rsidP="0083557B">
      <w:pPr>
        <w:jc w:val="center"/>
        <w:rPr>
          <w:rFonts w:cs="Arial"/>
          <w:bCs/>
          <w:snapToGrid w:val="0"/>
          <w:color w:val="000000"/>
          <w:spacing w:val="20"/>
          <w:sz w:val="24"/>
          <w:lang w:val="es-ES_tradnl"/>
        </w:rPr>
      </w:pPr>
      <w:r w:rsidRPr="003D09E0">
        <w:rPr>
          <w:bCs/>
          <w:sz w:val="24"/>
        </w:rPr>
        <w:t xml:space="preserve">Por la cual se presenta a los agentes de la cadena, usuarios y terceros interesados, las </w:t>
      </w:r>
      <w:r w:rsidRPr="003D09E0">
        <w:rPr>
          <w:sz w:val="24"/>
        </w:rPr>
        <w:t>bases sobre las cuales la Comisión efectuará los estudios para determinar la metodología tarifaria para la remuneración del transporte de combustibles líquidos y GLP por ductos</w:t>
      </w:r>
    </w:p>
    <w:p w:rsidR="00414C74" w:rsidRDefault="00414C74" w:rsidP="0083557B">
      <w:pPr>
        <w:jc w:val="center"/>
        <w:rPr>
          <w:rFonts w:cs="Arial"/>
          <w:bCs/>
          <w:snapToGrid w:val="0"/>
          <w:color w:val="000000"/>
          <w:spacing w:val="20"/>
          <w:sz w:val="24"/>
          <w:lang w:val="es-ES_tradnl"/>
        </w:rPr>
      </w:pPr>
    </w:p>
    <w:p w:rsidR="00C77B93" w:rsidRDefault="00C77B93" w:rsidP="0083557B">
      <w:pPr>
        <w:jc w:val="center"/>
        <w:rPr>
          <w:rFonts w:cs="Arial"/>
          <w:bCs/>
          <w:snapToGrid w:val="0"/>
          <w:color w:val="000000"/>
          <w:spacing w:val="20"/>
          <w:sz w:val="24"/>
          <w:lang w:val="es-ES_tradnl"/>
        </w:rPr>
      </w:pPr>
    </w:p>
    <w:p w:rsidR="006C5147" w:rsidRDefault="006C5147" w:rsidP="00A812B1">
      <w:pPr>
        <w:jc w:val="center"/>
        <w:rPr>
          <w:b/>
          <w:sz w:val="24"/>
          <w:lang w:val="es-ES_tradnl"/>
        </w:rPr>
      </w:pPr>
    </w:p>
    <w:p w:rsidR="006C5147" w:rsidRDefault="006C5147" w:rsidP="00A812B1">
      <w:pPr>
        <w:jc w:val="center"/>
        <w:rPr>
          <w:b/>
          <w:sz w:val="24"/>
          <w:lang w:val="es-ES_tradnl"/>
        </w:rPr>
      </w:pPr>
    </w:p>
    <w:p w:rsidR="0083557B" w:rsidRPr="00A812B1" w:rsidRDefault="0083557B" w:rsidP="00A812B1">
      <w:pPr>
        <w:jc w:val="center"/>
        <w:rPr>
          <w:b/>
          <w:sz w:val="24"/>
        </w:rPr>
      </w:pPr>
      <w:r w:rsidRPr="00A812B1">
        <w:rPr>
          <w:b/>
          <w:sz w:val="24"/>
        </w:rPr>
        <w:t>LA COMISIÓN DE REGULACIÓN DE ENERGÍA Y GAS</w:t>
      </w:r>
    </w:p>
    <w:p w:rsidR="0083557B" w:rsidRPr="00A812B1" w:rsidRDefault="0083557B" w:rsidP="00A812B1">
      <w:pPr>
        <w:jc w:val="center"/>
        <w:rPr>
          <w:b/>
          <w:sz w:val="24"/>
        </w:rPr>
      </w:pPr>
    </w:p>
    <w:p w:rsidR="00F855CA" w:rsidRPr="00437FEA" w:rsidRDefault="00F855CA" w:rsidP="0083557B">
      <w:pPr>
        <w:rPr>
          <w:rFonts w:cs="Arial"/>
          <w:sz w:val="24"/>
        </w:rPr>
      </w:pPr>
    </w:p>
    <w:p w:rsidR="0083557B" w:rsidRPr="00437FEA" w:rsidRDefault="00F855CA" w:rsidP="00F855CA">
      <w:pPr>
        <w:tabs>
          <w:tab w:val="left" w:pos="0"/>
        </w:tabs>
        <w:rPr>
          <w:rFonts w:eastAsia="Arial"/>
          <w:sz w:val="24"/>
        </w:rPr>
      </w:pPr>
      <w:r>
        <w:rPr>
          <w:rFonts w:eastAsia="Arial"/>
          <w:sz w:val="24"/>
        </w:rPr>
        <w:t xml:space="preserve">En </w:t>
      </w:r>
      <w:r w:rsidR="0083557B" w:rsidRPr="00437FEA">
        <w:rPr>
          <w:rFonts w:eastAsia="Arial"/>
          <w:sz w:val="24"/>
        </w:rPr>
        <w:t>ejercicio de las atribuciones legales, en</w:t>
      </w:r>
      <w:r w:rsidR="003A254B">
        <w:rPr>
          <w:rFonts w:eastAsia="Arial"/>
          <w:sz w:val="24"/>
        </w:rPr>
        <w:t xml:space="preserve"> especial las conferidas por la</w:t>
      </w:r>
      <w:r w:rsidR="0083557B" w:rsidRPr="00437FEA">
        <w:rPr>
          <w:rFonts w:eastAsia="Arial"/>
          <w:sz w:val="24"/>
        </w:rPr>
        <w:t xml:space="preserve"> Ley 142 de 1994, y en desarrollo de los </w:t>
      </w:r>
      <w:r w:rsidR="47187FC0" w:rsidRPr="00437FEA">
        <w:rPr>
          <w:rFonts w:eastAsia="Arial" w:cs="Arial"/>
          <w:sz w:val="24"/>
        </w:rPr>
        <w:t>Decretos</w:t>
      </w:r>
      <w:r w:rsidR="0083557B" w:rsidRPr="00437FEA">
        <w:rPr>
          <w:rFonts w:eastAsia="Arial"/>
          <w:sz w:val="24"/>
        </w:rPr>
        <w:t xml:space="preserve"> 1524 y 2253 de 1994, 4130 de 2011 y 1260 de 2013 y</w:t>
      </w:r>
      <w:r>
        <w:rPr>
          <w:rFonts w:eastAsia="Arial"/>
          <w:sz w:val="24"/>
        </w:rPr>
        <w:t>,</w:t>
      </w:r>
    </w:p>
    <w:p w:rsidR="0083557B" w:rsidRPr="00437FEA" w:rsidRDefault="0083557B" w:rsidP="00F855CA">
      <w:pPr>
        <w:tabs>
          <w:tab w:val="left" w:pos="624"/>
        </w:tabs>
        <w:rPr>
          <w:rFonts w:cs="Arial"/>
          <w:sz w:val="24"/>
        </w:rPr>
      </w:pPr>
    </w:p>
    <w:p w:rsidR="0083557B" w:rsidRPr="00437FEA" w:rsidRDefault="0083557B" w:rsidP="0083557B">
      <w:pPr>
        <w:rPr>
          <w:rFonts w:cs="Arial"/>
          <w:sz w:val="24"/>
        </w:rPr>
      </w:pPr>
    </w:p>
    <w:p w:rsidR="0083557B" w:rsidRPr="00A812B1" w:rsidRDefault="0083557B" w:rsidP="00A812B1">
      <w:pPr>
        <w:jc w:val="center"/>
        <w:rPr>
          <w:b/>
          <w:sz w:val="24"/>
        </w:rPr>
      </w:pPr>
      <w:r w:rsidRPr="00A812B1">
        <w:rPr>
          <w:b/>
          <w:sz w:val="24"/>
        </w:rPr>
        <w:t>C O N S I D E R A N D O  Q U E:</w:t>
      </w:r>
    </w:p>
    <w:p w:rsidR="0083557B" w:rsidRDefault="0083557B" w:rsidP="0083557B">
      <w:pPr>
        <w:pStyle w:val="TableHeading"/>
        <w:suppressLineNumbers w:val="0"/>
        <w:rPr>
          <w:rFonts w:cs="Arial"/>
          <w:bCs w:val="0"/>
          <w:sz w:val="24"/>
        </w:rPr>
      </w:pPr>
    </w:p>
    <w:p w:rsidR="00F855CA" w:rsidRPr="00437FEA" w:rsidRDefault="00F855CA" w:rsidP="0083557B">
      <w:pPr>
        <w:pStyle w:val="TableHeading"/>
        <w:suppressLineNumbers w:val="0"/>
        <w:rPr>
          <w:rFonts w:cs="Arial"/>
          <w:bCs w:val="0"/>
          <w:sz w:val="24"/>
        </w:rPr>
      </w:pPr>
    </w:p>
    <w:p w:rsidR="0083557B" w:rsidRPr="00437FEA" w:rsidRDefault="0083557B" w:rsidP="0083557B">
      <w:pPr>
        <w:rPr>
          <w:rFonts w:eastAsia="Arial" w:cs="Arial"/>
          <w:sz w:val="24"/>
        </w:rPr>
      </w:pPr>
      <w:r w:rsidRPr="00437FEA">
        <w:rPr>
          <w:rFonts w:eastAsia="Arial"/>
          <w:sz w:val="24"/>
        </w:rPr>
        <w:t xml:space="preserve">El </w:t>
      </w:r>
      <w:r w:rsidR="47187FC0" w:rsidRPr="00437FEA">
        <w:rPr>
          <w:rFonts w:eastAsia="Arial" w:cs="Arial"/>
          <w:sz w:val="24"/>
        </w:rPr>
        <w:t>artículo</w:t>
      </w:r>
      <w:r w:rsidRPr="00437FEA">
        <w:rPr>
          <w:rFonts w:eastAsia="Arial"/>
          <w:sz w:val="24"/>
        </w:rPr>
        <w:t xml:space="preserve"> 334 de la Constitución Política de Colombia, estableció la facultad del estado para intervenir en la explotación de los recursos naturales como el petróleo, en la producción y distribución de bienes como son los combustibles líquidos derivados del petróleo, y en los servicios públicos y privados</w:t>
      </w:r>
      <w:r w:rsidR="47187FC0" w:rsidRPr="00437FEA">
        <w:rPr>
          <w:rFonts w:eastAsia="Arial" w:cs="Arial"/>
          <w:sz w:val="24"/>
        </w:rPr>
        <w:t>.</w:t>
      </w:r>
    </w:p>
    <w:p w:rsidR="00DD243A" w:rsidRPr="00437FEA" w:rsidRDefault="00DD243A" w:rsidP="0083557B">
      <w:pPr>
        <w:rPr>
          <w:rFonts w:eastAsia="Arial"/>
          <w:sz w:val="24"/>
        </w:rPr>
      </w:pPr>
    </w:p>
    <w:p w:rsidR="0083557B" w:rsidRPr="00437FEA" w:rsidRDefault="10878DB7" w:rsidP="0083557B">
      <w:pPr>
        <w:rPr>
          <w:rFonts w:eastAsia="Arial" w:cs="Arial"/>
          <w:sz w:val="24"/>
        </w:rPr>
      </w:pPr>
      <w:r w:rsidRPr="00437FEA">
        <w:rPr>
          <w:rFonts w:eastAsia="Arial" w:cs="Arial"/>
          <w:sz w:val="24"/>
        </w:rPr>
        <w:t>La</w:t>
      </w:r>
      <w:r w:rsidR="0083557B" w:rsidRPr="00437FEA">
        <w:rPr>
          <w:rFonts w:eastAsia="Arial"/>
          <w:sz w:val="24"/>
        </w:rPr>
        <w:t xml:space="preserve"> Ley 142 de 1994, </w:t>
      </w:r>
      <w:r w:rsidRPr="00437FEA">
        <w:rPr>
          <w:rFonts w:eastAsia="Arial" w:cs="Arial"/>
          <w:sz w:val="24"/>
        </w:rPr>
        <w:t>definió el gas combustible,</w:t>
      </w:r>
      <w:r w:rsidR="0083557B" w:rsidRPr="00437FEA">
        <w:rPr>
          <w:rFonts w:eastAsia="Arial"/>
          <w:sz w:val="24"/>
        </w:rPr>
        <w:t xml:space="preserve"> como el servicio domiciliario y</w:t>
      </w:r>
      <w:r w:rsidR="0083557B" w:rsidRPr="00437FEA">
        <w:rPr>
          <w:rFonts w:eastAsia="Arial"/>
          <w:i/>
          <w:sz w:val="24"/>
        </w:rPr>
        <w:t xml:space="preserve"> </w:t>
      </w:r>
      <w:r w:rsidR="0083557B" w:rsidRPr="00437FEA">
        <w:rPr>
          <w:rFonts w:eastAsia="Arial"/>
          <w:sz w:val="24"/>
        </w:rPr>
        <w:t xml:space="preserve">conjunto de actividades ordenadas a la distribución de gas combustible, por tubería u otro medio, desde un sitio de acopio de grandes volúmenes o desde un gasoducto central hasta la instalación de un consumidor final, incluyendo su conexión y medición. </w:t>
      </w:r>
      <w:r w:rsidRPr="00437FEA">
        <w:rPr>
          <w:rFonts w:eastAsia="Arial" w:cs="Arial"/>
          <w:sz w:val="24"/>
        </w:rPr>
        <w:t>Así mismo</w:t>
      </w:r>
      <w:r w:rsidR="00F855CA">
        <w:rPr>
          <w:rFonts w:eastAsia="Arial" w:cs="Arial"/>
          <w:sz w:val="24"/>
        </w:rPr>
        <w:t xml:space="preserve">, cobija </w:t>
      </w:r>
      <w:r w:rsidR="0083557B" w:rsidRPr="00437FEA">
        <w:rPr>
          <w:rFonts w:eastAsia="Arial"/>
          <w:sz w:val="24"/>
        </w:rPr>
        <w:t>las actividades complementarias de comercialización desde la producción y transporte de gas por un gasoducto principal, o por otros medios, desde el sitio de generación hasta aquel en donde se conecte a una red secundaria</w:t>
      </w:r>
      <w:r w:rsidRPr="00437FEA">
        <w:rPr>
          <w:rFonts w:eastAsia="Arial" w:cs="Arial"/>
          <w:sz w:val="24"/>
        </w:rPr>
        <w:t>.</w:t>
      </w:r>
    </w:p>
    <w:p w:rsidR="00DD243A" w:rsidRPr="00437FEA" w:rsidRDefault="00DD243A" w:rsidP="0083557B">
      <w:pPr>
        <w:rPr>
          <w:rFonts w:eastAsia="Arial"/>
          <w:sz w:val="24"/>
        </w:rPr>
      </w:pPr>
    </w:p>
    <w:p w:rsidR="00F855CA" w:rsidRDefault="0083557B" w:rsidP="00414C74">
      <w:pPr>
        <w:rPr>
          <w:rFonts w:eastAsia="Arial" w:cs="Arial"/>
          <w:sz w:val="24"/>
        </w:rPr>
      </w:pPr>
      <w:r w:rsidRPr="00437FEA">
        <w:rPr>
          <w:rFonts w:eastAsia="Arial"/>
          <w:sz w:val="24"/>
        </w:rPr>
        <w:t xml:space="preserve">La misma norma atribuyó a la Comisión de Regulación de Energía y Gas </w:t>
      </w:r>
      <w:r w:rsidR="47187FC0" w:rsidRPr="00437FEA">
        <w:rPr>
          <w:rFonts w:eastAsia="Arial" w:cs="Arial"/>
          <w:sz w:val="24"/>
        </w:rPr>
        <w:t>-</w:t>
      </w:r>
      <w:r w:rsidRPr="00437FEA">
        <w:rPr>
          <w:rFonts w:eastAsia="Arial"/>
          <w:sz w:val="24"/>
        </w:rPr>
        <w:t>CREG</w:t>
      </w:r>
      <w:r w:rsidR="47187FC0" w:rsidRPr="00437FEA">
        <w:rPr>
          <w:rFonts w:eastAsia="Arial" w:cs="Arial"/>
          <w:sz w:val="24"/>
        </w:rPr>
        <w:t>-,</w:t>
      </w:r>
      <w:r w:rsidRPr="00437FEA">
        <w:rPr>
          <w:rFonts w:eastAsia="Arial"/>
          <w:sz w:val="24"/>
        </w:rPr>
        <w:t xml:space="preserve"> como el ente encargado de establecer las fórmulas para la fijación de las tarifas del servicio público domiciliario de gas combustible estableciendo además, los criterios y lineamientos que debía cumplir para llevar a cabo esta función</w:t>
      </w:r>
      <w:r w:rsidR="47187FC0" w:rsidRPr="00437FEA">
        <w:rPr>
          <w:rFonts w:eastAsia="Arial" w:cs="Arial"/>
          <w:sz w:val="24"/>
        </w:rPr>
        <w:t>.</w:t>
      </w:r>
    </w:p>
    <w:p w:rsidR="00414C74" w:rsidRDefault="00414C74" w:rsidP="00414C74">
      <w:pPr>
        <w:rPr>
          <w:rFonts w:eastAsia="Arial" w:cs="Arial"/>
          <w:sz w:val="24"/>
        </w:rPr>
      </w:pPr>
    </w:p>
    <w:p w:rsidR="00414C74" w:rsidRDefault="00414C74" w:rsidP="00414C74">
      <w:pPr>
        <w:rPr>
          <w:rFonts w:eastAsia="Arial" w:cs="Arial"/>
          <w:sz w:val="24"/>
        </w:rPr>
      </w:pPr>
    </w:p>
    <w:p w:rsidR="0083557B" w:rsidRPr="00437FEA" w:rsidRDefault="10878DB7" w:rsidP="10878DB7">
      <w:pPr>
        <w:pStyle w:val="Textoindependiente21"/>
        <w:rPr>
          <w:rFonts w:eastAsia="Arial" w:cs="Arial"/>
          <w:b w:val="0"/>
          <w:sz w:val="24"/>
          <w:szCs w:val="24"/>
        </w:rPr>
      </w:pPr>
      <w:r w:rsidRPr="00437FEA">
        <w:rPr>
          <w:rFonts w:eastAsia="Arial" w:cs="Arial"/>
          <w:b w:val="0"/>
          <w:sz w:val="24"/>
          <w:szCs w:val="24"/>
        </w:rPr>
        <w:t>En los artículos 87 y 91 de la mencionada Ley, se establecieron los cr</w:t>
      </w:r>
      <w:r w:rsidR="00F855CA">
        <w:rPr>
          <w:rFonts w:eastAsia="Arial" w:cs="Arial"/>
          <w:b w:val="0"/>
          <w:sz w:val="24"/>
          <w:szCs w:val="24"/>
        </w:rPr>
        <w:t>iterios bajo los cuales se debe</w:t>
      </w:r>
      <w:r w:rsidRPr="00437FEA">
        <w:rPr>
          <w:rFonts w:eastAsia="Arial" w:cs="Arial"/>
          <w:b w:val="0"/>
          <w:sz w:val="24"/>
          <w:szCs w:val="24"/>
        </w:rPr>
        <w:t xml:space="preserve"> definir el régimen tarifario de las empresas de servicios públicos</w:t>
      </w:r>
      <w:r w:rsidR="00437FEA" w:rsidRPr="00437FEA">
        <w:rPr>
          <w:rFonts w:eastAsia="Arial" w:cs="Arial"/>
          <w:b w:val="0"/>
          <w:sz w:val="24"/>
          <w:szCs w:val="24"/>
        </w:rPr>
        <w:t>.</w:t>
      </w:r>
    </w:p>
    <w:p w:rsidR="00DD243A" w:rsidRPr="00437FEA" w:rsidRDefault="00DD243A" w:rsidP="10878DB7">
      <w:pPr>
        <w:pStyle w:val="Textoindependiente21"/>
        <w:rPr>
          <w:rFonts w:eastAsia="Arial" w:cs="Arial"/>
          <w:b w:val="0"/>
          <w:sz w:val="24"/>
          <w:szCs w:val="24"/>
        </w:rPr>
      </w:pPr>
    </w:p>
    <w:p w:rsidR="0083557B" w:rsidRPr="00437FEA" w:rsidRDefault="10878DB7" w:rsidP="10878DB7">
      <w:pPr>
        <w:pStyle w:val="Textoindependiente21"/>
        <w:rPr>
          <w:rFonts w:eastAsia="Arial" w:cs="Arial"/>
          <w:b w:val="0"/>
          <w:sz w:val="24"/>
          <w:szCs w:val="24"/>
        </w:rPr>
      </w:pPr>
      <w:r w:rsidRPr="00437FEA">
        <w:rPr>
          <w:rFonts w:eastAsia="Arial" w:cs="Arial"/>
          <w:b w:val="0"/>
          <w:sz w:val="24"/>
          <w:szCs w:val="24"/>
        </w:rPr>
        <w:t>Adicionalmente, se incluyó como condición calcular por separado, cuando fuera posible, una fórmula para cada una de las etapas del servicio con el fin de establecer las fórmulas tarifarias.</w:t>
      </w:r>
    </w:p>
    <w:p w:rsidR="00437FEA" w:rsidRPr="00437FEA" w:rsidRDefault="00437FEA" w:rsidP="10878DB7">
      <w:pPr>
        <w:pStyle w:val="Textoindependiente21"/>
        <w:rPr>
          <w:rFonts w:eastAsia="Arial" w:cs="Arial"/>
          <w:b w:val="0"/>
          <w:sz w:val="24"/>
          <w:szCs w:val="24"/>
        </w:rPr>
      </w:pPr>
    </w:p>
    <w:p w:rsidR="0083557B" w:rsidRPr="00437FEA" w:rsidRDefault="10878DB7" w:rsidP="10878DB7">
      <w:pPr>
        <w:rPr>
          <w:rFonts w:eastAsia="Arial" w:cs="Arial"/>
          <w:sz w:val="24"/>
        </w:rPr>
      </w:pPr>
      <w:r w:rsidRPr="00437FEA">
        <w:rPr>
          <w:rFonts w:eastAsia="Arial" w:cs="Arial"/>
          <w:sz w:val="24"/>
        </w:rPr>
        <w:t>De conformidad con lo establecido en el artículo 126 de la Ley 142 de 1994, vencido el período de vigencia de las fórmulas tarifarias, éstas continuarán rigiendo mientras la Comisión no fije las nuevas.</w:t>
      </w:r>
    </w:p>
    <w:p w:rsidR="00DD243A" w:rsidRPr="00437FEA" w:rsidRDefault="00DD243A" w:rsidP="10878DB7">
      <w:pPr>
        <w:rPr>
          <w:rFonts w:eastAsia="Arial"/>
          <w:sz w:val="24"/>
        </w:rPr>
      </w:pPr>
    </w:p>
    <w:p w:rsidR="0083557B" w:rsidRPr="00437FEA" w:rsidRDefault="10878DB7" w:rsidP="0083557B">
      <w:pPr>
        <w:rPr>
          <w:rFonts w:eastAsia="Arial" w:cs="Arial"/>
          <w:sz w:val="24"/>
        </w:rPr>
      </w:pPr>
      <w:r w:rsidRPr="00437FEA">
        <w:rPr>
          <w:rFonts w:eastAsia="Arial" w:cs="Arial"/>
          <w:sz w:val="24"/>
        </w:rPr>
        <w:t>El</w:t>
      </w:r>
      <w:r w:rsidR="0083557B" w:rsidRPr="00437FEA">
        <w:rPr>
          <w:rFonts w:eastAsia="Arial"/>
          <w:sz w:val="24"/>
        </w:rPr>
        <w:t xml:space="preserve"> Gobierno Nacional reasignó algunas funciones del Ministerio de Minas y Energía </w:t>
      </w:r>
      <w:r w:rsidRPr="00437FEA">
        <w:rPr>
          <w:rFonts w:eastAsia="Arial" w:cs="Arial"/>
          <w:sz w:val="24"/>
        </w:rPr>
        <w:t>-</w:t>
      </w:r>
      <w:r w:rsidR="0083557B" w:rsidRPr="00437FEA">
        <w:rPr>
          <w:rFonts w:eastAsia="Arial"/>
          <w:sz w:val="24"/>
        </w:rPr>
        <w:t>MME</w:t>
      </w:r>
      <w:r w:rsidRPr="00437FEA">
        <w:rPr>
          <w:rFonts w:eastAsia="Arial" w:cs="Arial"/>
          <w:sz w:val="24"/>
        </w:rPr>
        <w:t>-</w:t>
      </w:r>
      <w:r w:rsidR="0083557B" w:rsidRPr="00437FEA">
        <w:rPr>
          <w:rFonts w:eastAsia="Arial"/>
          <w:sz w:val="24"/>
        </w:rPr>
        <w:t xml:space="preserve"> a la Comisión de Regulación de Energía y Gas </w:t>
      </w:r>
      <w:r w:rsidRPr="00437FEA">
        <w:rPr>
          <w:rFonts w:eastAsia="Arial" w:cs="Arial"/>
          <w:sz w:val="24"/>
        </w:rPr>
        <w:t>-</w:t>
      </w:r>
      <w:r w:rsidR="0083557B" w:rsidRPr="00437FEA">
        <w:rPr>
          <w:rFonts w:eastAsia="Arial"/>
          <w:sz w:val="24"/>
        </w:rPr>
        <w:t>CREG</w:t>
      </w:r>
      <w:r w:rsidRPr="00437FEA">
        <w:rPr>
          <w:rFonts w:eastAsia="Arial" w:cs="Arial"/>
          <w:sz w:val="24"/>
        </w:rPr>
        <w:t>-,</w:t>
      </w:r>
      <w:r w:rsidR="0083557B" w:rsidRPr="00437FEA">
        <w:rPr>
          <w:rFonts w:eastAsia="Arial"/>
          <w:sz w:val="24"/>
        </w:rPr>
        <w:t xml:space="preserve"> mediante el artículo 3 del Decreto 4130 de 2011, incluyendo entre otras, la función de regular la actividad de transporte de combustibles líquidos</w:t>
      </w:r>
      <w:r w:rsidRPr="00437FEA">
        <w:rPr>
          <w:rFonts w:eastAsia="Arial" w:cs="Arial"/>
          <w:sz w:val="24"/>
        </w:rPr>
        <w:t>.</w:t>
      </w:r>
    </w:p>
    <w:p w:rsidR="00DD243A" w:rsidRPr="00437FEA" w:rsidRDefault="00DD243A" w:rsidP="0083557B">
      <w:pPr>
        <w:rPr>
          <w:rFonts w:eastAsia="Arial"/>
          <w:sz w:val="24"/>
        </w:rPr>
      </w:pPr>
    </w:p>
    <w:p w:rsidR="0083557B" w:rsidRPr="00437FEA" w:rsidRDefault="47187FC0" w:rsidP="0083557B">
      <w:pPr>
        <w:widowControl w:val="0"/>
        <w:rPr>
          <w:rFonts w:eastAsia="Arial" w:cs="Arial"/>
          <w:sz w:val="24"/>
        </w:rPr>
      </w:pPr>
      <w:r w:rsidRPr="00437FEA">
        <w:rPr>
          <w:rFonts w:eastAsia="Arial" w:cs="Arial"/>
          <w:sz w:val="24"/>
        </w:rPr>
        <w:t>Mediante</w:t>
      </w:r>
      <w:r w:rsidR="0083557B" w:rsidRPr="00437FEA">
        <w:rPr>
          <w:rFonts w:eastAsia="Arial"/>
          <w:sz w:val="24"/>
        </w:rPr>
        <w:t xml:space="preserve"> el Decreto 1260 de 2013, se modificó la estructura de la CREG, y se determinó </w:t>
      </w:r>
      <w:r w:rsidRPr="00437FEA">
        <w:rPr>
          <w:rFonts w:eastAsia="Arial" w:cs="Arial"/>
          <w:sz w:val="24"/>
        </w:rPr>
        <w:t>como función</w:t>
      </w:r>
      <w:r w:rsidR="0083557B" w:rsidRPr="00437FEA">
        <w:rPr>
          <w:rFonts w:eastAsia="Arial"/>
          <w:sz w:val="24"/>
        </w:rPr>
        <w:t xml:space="preserve"> la de </w:t>
      </w:r>
      <w:r w:rsidRPr="00437FEA">
        <w:rPr>
          <w:rFonts w:eastAsia="Arial" w:cs="Arial"/>
          <w:sz w:val="24"/>
        </w:rPr>
        <w:t>"</w:t>
      </w:r>
      <w:r w:rsidR="0083557B" w:rsidRPr="00437FEA">
        <w:rPr>
          <w:rFonts w:eastAsia="Arial"/>
          <w:sz w:val="24"/>
        </w:rPr>
        <w:t xml:space="preserve">definir la metodología y establecer las fórmulas para la fijación de precios y las tarifas </w:t>
      </w:r>
      <w:r w:rsidRPr="00437FEA">
        <w:rPr>
          <w:rFonts w:eastAsia="Arial" w:cs="Arial"/>
          <w:sz w:val="24"/>
        </w:rPr>
        <w:t xml:space="preserve">del </w:t>
      </w:r>
      <w:r w:rsidR="0083557B" w:rsidRPr="00437FEA">
        <w:rPr>
          <w:rFonts w:eastAsia="Arial"/>
          <w:sz w:val="24"/>
        </w:rPr>
        <w:t xml:space="preserve">transporte de </w:t>
      </w:r>
      <w:r w:rsidRPr="00437FEA">
        <w:rPr>
          <w:rFonts w:eastAsia="Arial" w:cs="Arial"/>
          <w:sz w:val="24"/>
        </w:rPr>
        <w:t xml:space="preserve">combustibles, terrestre y por poliductos". </w:t>
      </w:r>
    </w:p>
    <w:p w:rsidR="00437FEA" w:rsidRPr="00437FEA" w:rsidRDefault="00437FEA" w:rsidP="0083557B">
      <w:pPr>
        <w:widowControl w:val="0"/>
        <w:rPr>
          <w:rFonts w:eastAsia="Arial" w:cs="Arial"/>
          <w:sz w:val="24"/>
        </w:rPr>
      </w:pPr>
    </w:p>
    <w:p w:rsidR="00437FEA" w:rsidRPr="00437FEA" w:rsidRDefault="00605180" w:rsidP="0083557B">
      <w:pPr>
        <w:widowControl w:val="0"/>
        <w:rPr>
          <w:rFonts w:eastAsia="Arial" w:cs="Arial"/>
          <w:sz w:val="24"/>
        </w:rPr>
      </w:pPr>
      <w:r>
        <w:rPr>
          <w:rFonts w:eastAsia="Arial" w:cs="Arial"/>
          <w:sz w:val="24"/>
        </w:rPr>
        <w:t>Adicionalmente, a</w:t>
      </w:r>
      <w:r w:rsidRPr="00437FEA">
        <w:rPr>
          <w:rFonts w:eastAsia="Arial" w:cs="Arial"/>
          <w:sz w:val="24"/>
        </w:rPr>
        <w:t xml:space="preserve"> través del Decreto 1073 de 2015, </w:t>
      </w:r>
      <w:r>
        <w:rPr>
          <w:rFonts w:eastAsia="Arial" w:cs="Arial"/>
          <w:sz w:val="24"/>
        </w:rPr>
        <w:t xml:space="preserve">el Gobierno Nacional </w:t>
      </w:r>
      <w:r w:rsidRPr="00437FEA">
        <w:rPr>
          <w:rFonts w:eastAsia="Arial" w:cs="Arial"/>
          <w:sz w:val="24"/>
        </w:rPr>
        <w:t xml:space="preserve">expidió el Decreto Único Reglamentario del Sector Administrativo Minas y Energía </w:t>
      </w:r>
      <w:r>
        <w:rPr>
          <w:rFonts w:eastAsia="Arial" w:cs="Arial"/>
          <w:sz w:val="24"/>
        </w:rPr>
        <w:t>señalando</w:t>
      </w:r>
      <w:r w:rsidRPr="00437FEA">
        <w:rPr>
          <w:rFonts w:eastAsia="Arial" w:cs="Arial"/>
          <w:sz w:val="24"/>
        </w:rPr>
        <w:t xml:space="preserve"> en su </w:t>
      </w:r>
      <w:r w:rsidRPr="00E2105E">
        <w:rPr>
          <w:rFonts w:eastAsia="Arial" w:cs="Arial"/>
          <w:sz w:val="24"/>
        </w:rPr>
        <w:t xml:space="preserve">artículo </w:t>
      </w:r>
      <w:r w:rsidRPr="00E2105E">
        <w:rPr>
          <w:sz w:val="24"/>
        </w:rPr>
        <w:t>2.2.1.1.2.2,1.3</w:t>
      </w:r>
      <w:r>
        <w:rPr>
          <w:sz w:val="24"/>
        </w:rPr>
        <w:t xml:space="preserve"> </w:t>
      </w:r>
      <w:r w:rsidRPr="00E2105E">
        <w:rPr>
          <w:sz w:val="24"/>
        </w:rPr>
        <w:t>como autoridad</w:t>
      </w:r>
      <w:r w:rsidRPr="00437FEA">
        <w:rPr>
          <w:sz w:val="24"/>
        </w:rPr>
        <w:t xml:space="preserve"> de regulación </w:t>
      </w:r>
      <w:r>
        <w:rPr>
          <w:sz w:val="24"/>
        </w:rPr>
        <w:t xml:space="preserve">a </w:t>
      </w:r>
      <w:r w:rsidRPr="00437FEA">
        <w:rPr>
          <w:sz w:val="24"/>
        </w:rPr>
        <w:t xml:space="preserve">la Comisión de Regulación de Energía y Gas –CREG- </w:t>
      </w:r>
      <w:r>
        <w:rPr>
          <w:sz w:val="24"/>
        </w:rPr>
        <w:t>tal como se había establecido</w:t>
      </w:r>
      <w:r w:rsidRPr="00437FEA">
        <w:rPr>
          <w:sz w:val="24"/>
        </w:rPr>
        <w:t xml:space="preserve"> en el Decreto 4299 de 2005, artículo 3, modificado por el Decreto Ley 4130 de 2010, artículo 3 numera</w:t>
      </w:r>
      <w:r>
        <w:rPr>
          <w:sz w:val="24"/>
        </w:rPr>
        <w:t>l</w:t>
      </w:r>
      <w:r w:rsidRPr="00437FEA">
        <w:rPr>
          <w:sz w:val="24"/>
        </w:rPr>
        <w:t xml:space="preserve"> 5. </w:t>
      </w:r>
      <w:r w:rsidR="00437FEA" w:rsidRPr="00437FEA">
        <w:rPr>
          <w:sz w:val="24"/>
        </w:rPr>
        <w:t xml:space="preserve"> </w:t>
      </w:r>
    </w:p>
    <w:p w:rsidR="00DD243A" w:rsidRPr="00437FEA" w:rsidRDefault="00DD243A" w:rsidP="0083557B">
      <w:pPr>
        <w:widowControl w:val="0"/>
        <w:rPr>
          <w:rFonts w:eastAsia="Arial"/>
          <w:sz w:val="24"/>
        </w:rPr>
      </w:pPr>
    </w:p>
    <w:p w:rsidR="0083557B" w:rsidRPr="00437FEA" w:rsidRDefault="10878DB7" w:rsidP="10878DB7">
      <w:pPr>
        <w:rPr>
          <w:rFonts w:eastAsia="Arial" w:cs="Arial"/>
          <w:sz w:val="24"/>
        </w:rPr>
      </w:pPr>
      <w:r w:rsidRPr="00437FEA">
        <w:rPr>
          <w:rFonts w:eastAsia="Arial" w:cs="Arial"/>
          <w:sz w:val="24"/>
        </w:rPr>
        <w:t>La CREG está facultada para expedir las fórmulas para la fijación de tarifas de transporte tanto en el sector de gas combustible como para el de combustibles líquidos, por lo cual se somete a consideración de los agentes, usuarios y terceros interesados las bases sobre las cuales se definirá la fórmula aplicable y la remuneración del transporte de combustibles líquidos y GLP por ductos.</w:t>
      </w:r>
    </w:p>
    <w:p w:rsidR="00DD243A" w:rsidRPr="00437FEA" w:rsidRDefault="00DD243A" w:rsidP="10878DB7">
      <w:pPr>
        <w:rPr>
          <w:rFonts w:eastAsia="Arial" w:cs="Arial"/>
          <w:sz w:val="24"/>
        </w:rPr>
      </w:pPr>
    </w:p>
    <w:p w:rsidR="0083557B" w:rsidRDefault="10878DB7" w:rsidP="0083557B">
      <w:pPr>
        <w:rPr>
          <w:rFonts w:eastAsia="Arial"/>
          <w:sz w:val="24"/>
        </w:rPr>
      </w:pPr>
      <w:r w:rsidRPr="000B687B">
        <w:rPr>
          <w:rFonts w:eastAsia="Arial" w:cs="Arial"/>
          <w:sz w:val="24"/>
        </w:rPr>
        <w:t>La</w:t>
      </w:r>
      <w:r w:rsidR="0083557B" w:rsidRPr="000B687B">
        <w:rPr>
          <w:rFonts w:eastAsia="Arial"/>
          <w:sz w:val="24"/>
        </w:rPr>
        <w:t xml:space="preserve"> Comisión de Regulación de Energía y Gas, en su Sesión No. </w:t>
      </w:r>
      <w:r w:rsidR="000B687B" w:rsidRPr="000B687B">
        <w:rPr>
          <w:rFonts w:eastAsia="Arial"/>
          <w:sz w:val="24"/>
        </w:rPr>
        <w:t>692</w:t>
      </w:r>
      <w:r w:rsidR="0083557B" w:rsidRPr="000B687B">
        <w:rPr>
          <w:rFonts w:eastAsia="Arial"/>
          <w:sz w:val="24"/>
        </w:rPr>
        <w:t xml:space="preserve"> del </w:t>
      </w:r>
      <w:r w:rsidR="000B687B" w:rsidRPr="000B687B">
        <w:rPr>
          <w:rFonts w:eastAsia="Arial"/>
          <w:sz w:val="24"/>
        </w:rPr>
        <w:t>04</w:t>
      </w:r>
      <w:r w:rsidR="0083557B" w:rsidRPr="000B687B">
        <w:rPr>
          <w:rFonts w:eastAsia="Arial"/>
          <w:sz w:val="24"/>
        </w:rPr>
        <w:t xml:space="preserve"> de </w:t>
      </w:r>
      <w:r w:rsidR="000B687B" w:rsidRPr="000B687B">
        <w:rPr>
          <w:rFonts w:eastAsia="Arial"/>
          <w:sz w:val="24"/>
        </w:rPr>
        <w:t>diciembre</w:t>
      </w:r>
      <w:r w:rsidR="0083557B" w:rsidRPr="000B687B">
        <w:rPr>
          <w:rFonts w:eastAsia="Arial"/>
          <w:sz w:val="24"/>
        </w:rPr>
        <w:t xml:space="preserve"> de 2015, acordó</w:t>
      </w:r>
      <w:r w:rsidR="00F855CA" w:rsidRPr="000B687B">
        <w:rPr>
          <w:rFonts w:eastAsia="Arial"/>
          <w:sz w:val="24"/>
        </w:rPr>
        <w:t xml:space="preserve"> expedir la presente Resolución,</w:t>
      </w:r>
    </w:p>
    <w:p w:rsidR="00F855CA" w:rsidRPr="00437FEA" w:rsidRDefault="00F855CA" w:rsidP="0083557B">
      <w:pPr>
        <w:rPr>
          <w:rFonts w:eastAsia="Arial"/>
          <w:sz w:val="24"/>
        </w:rPr>
      </w:pPr>
    </w:p>
    <w:p w:rsidR="0083557B" w:rsidRPr="00437FEA" w:rsidRDefault="0083557B" w:rsidP="0083557B">
      <w:pPr>
        <w:rPr>
          <w:rFonts w:eastAsia="Arial"/>
          <w:b/>
          <w:sz w:val="24"/>
        </w:rPr>
      </w:pPr>
    </w:p>
    <w:p w:rsidR="0083557B" w:rsidRPr="00C77B93" w:rsidRDefault="0083557B" w:rsidP="00A812B1">
      <w:pPr>
        <w:jc w:val="center"/>
        <w:rPr>
          <w:rFonts w:eastAsia="Arial"/>
          <w:b/>
          <w:sz w:val="24"/>
        </w:rPr>
      </w:pPr>
      <w:r w:rsidRPr="00C77B93">
        <w:rPr>
          <w:rFonts w:eastAsia="Arial"/>
          <w:b/>
          <w:sz w:val="24"/>
        </w:rPr>
        <w:t>R E S U E L V E:</w:t>
      </w:r>
    </w:p>
    <w:p w:rsidR="0083557B" w:rsidRPr="00437FEA" w:rsidRDefault="0083557B" w:rsidP="0083557B">
      <w:pPr>
        <w:jc w:val="center"/>
        <w:rPr>
          <w:rFonts w:eastAsia="Arial"/>
          <w:b/>
          <w:sz w:val="24"/>
        </w:rPr>
      </w:pPr>
    </w:p>
    <w:p w:rsidR="00DD243A" w:rsidRPr="00827A96" w:rsidRDefault="10878DB7" w:rsidP="10878DB7">
      <w:pPr>
        <w:spacing w:after="160" w:line="259" w:lineRule="auto"/>
        <w:rPr>
          <w:rFonts w:eastAsia="Arial"/>
          <w:sz w:val="24"/>
        </w:rPr>
      </w:pPr>
      <w:r w:rsidRPr="00437FEA">
        <w:rPr>
          <w:rFonts w:eastAsia="Arial" w:cs="Arial"/>
          <w:b/>
          <w:bCs/>
          <w:sz w:val="24"/>
        </w:rPr>
        <w:t>ARTÍCULO 1o.</w:t>
      </w:r>
      <w:r w:rsidRPr="00437FEA">
        <w:rPr>
          <w:rFonts w:eastAsia="Arial" w:cs="Arial"/>
          <w:sz w:val="24"/>
        </w:rPr>
        <w:t xml:space="preserve"> </w:t>
      </w:r>
      <w:r w:rsidRPr="00827A96">
        <w:rPr>
          <w:rFonts w:eastAsia="Arial"/>
          <w:sz w:val="24"/>
        </w:rPr>
        <w:t>Someter a consideración de los agentes, usuarios y terceros interesados las bases sobre las cuales se efectuarán los estudios para determinar la metodología de remuneración del transporte de combustibles líquidos y GLP por ductos, contenidas en el Anexo General de esta Resolución.</w:t>
      </w:r>
    </w:p>
    <w:p w:rsidR="00F855CA" w:rsidRPr="00437FEA" w:rsidRDefault="00F855CA" w:rsidP="10878DB7">
      <w:pPr>
        <w:spacing w:after="160" w:line="259" w:lineRule="auto"/>
        <w:rPr>
          <w:rFonts w:eastAsia="Arial" w:cs="Arial"/>
          <w:sz w:val="24"/>
        </w:rPr>
      </w:pPr>
    </w:p>
    <w:p w:rsidR="00DD243A" w:rsidRPr="00437FEA" w:rsidRDefault="10878DB7" w:rsidP="10878DB7">
      <w:pPr>
        <w:spacing w:after="160" w:line="259" w:lineRule="auto"/>
        <w:rPr>
          <w:rFonts w:eastAsia="Arial" w:cs="Arial"/>
          <w:sz w:val="24"/>
        </w:rPr>
      </w:pPr>
      <w:r w:rsidRPr="00437FEA">
        <w:rPr>
          <w:rFonts w:eastAsia="Arial" w:cs="Arial"/>
          <w:b/>
          <w:bCs/>
          <w:sz w:val="24"/>
        </w:rPr>
        <w:t>ARTÍCULO 2o</w:t>
      </w:r>
      <w:r w:rsidRPr="00437FEA">
        <w:rPr>
          <w:rFonts w:eastAsia="Arial" w:cs="Arial"/>
          <w:sz w:val="24"/>
        </w:rPr>
        <w:t xml:space="preserve">. Los agentes, usuarios y terceros interesados tendrán un plazo de </w:t>
      </w:r>
      <w:r w:rsidR="000B687B" w:rsidRPr="000B687B">
        <w:rPr>
          <w:rFonts w:eastAsia="Arial" w:cs="Arial"/>
          <w:sz w:val="24"/>
        </w:rPr>
        <w:t>dos</w:t>
      </w:r>
      <w:r w:rsidRPr="000B687B">
        <w:rPr>
          <w:rFonts w:eastAsia="Arial" w:cs="Arial"/>
          <w:sz w:val="24"/>
        </w:rPr>
        <w:t xml:space="preserve"> (</w:t>
      </w:r>
      <w:r w:rsidR="000B687B" w:rsidRPr="000B687B">
        <w:rPr>
          <w:rFonts w:eastAsia="Arial" w:cs="Arial"/>
          <w:sz w:val="24"/>
        </w:rPr>
        <w:t>2</w:t>
      </w:r>
      <w:r w:rsidRPr="000B687B">
        <w:rPr>
          <w:rFonts w:eastAsia="Arial" w:cs="Arial"/>
          <w:sz w:val="24"/>
        </w:rPr>
        <w:t>)</w:t>
      </w:r>
      <w:r w:rsidRPr="00437FEA">
        <w:rPr>
          <w:rFonts w:eastAsia="Arial" w:cs="Arial"/>
          <w:sz w:val="24"/>
        </w:rPr>
        <w:t xml:space="preserve"> meses a partir de la publicación de esta Resolución, para enviar a la </w:t>
      </w:r>
      <w:r w:rsidRPr="00437FEA">
        <w:rPr>
          <w:rFonts w:eastAsia="Arial" w:cs="Arial"/>
          <w:sz w:val="24"/>
        </w:rPr>
        <w:lastRenderedPageBreak/>
        <w:t xml:space="preserve">Comisión comentarios y sugerencias, escritas y sustentadas, sobre las bases contenidas en el Anexo General de la presente Resolución. </w:t>
      </w:r>
    </w:p>
    <w:p w:rsidR="10878DB7" w:rsidRPr="00437FEA" w:rsidRDefault="10878DB7" w:rsidP="10878DB7">
      <w:pPr>
        <w:spacing w:after="160" w:line="259" w:lineRule="auto"/>
        <w:rPr>
          <w:rFonts w:eastAsia="Arial" w:cs="Arial"/>
          <w:sz w:val="24"/>
        </w:rPr>
      </w:pPr>
      <w:r w:rsidRPr="00437FEA">
        <w:rPr>
          <w:rFonts w:eastAsia="Arial" w:cs="Arial"/>
          <w:b/>
          <w:bCs/>
          <w:sz w:val="24"/>
        </w:rPr>
        <w:t>ARTÍCULO 3o</w:t>
      </w:r>
      <w:r w:rsidRPr="00437FEA">
        <w:rPr>
          <w:rFonts w:eastAsia="Arial" w:cs="Arial"/>
          <w:sz w:val="24"/>
        </w:rPr>
        <w:t xml:space="preserve">. Con la presente Resolución se da inicio al impulso de la actuación administrativa y por ser un acto de trámite, previo a la expedición de las disposiciones definitivas, no deroga disposiciones regulatorias vigentes. </w:t>
      </w:r>
    </w:p>
    <w:p w:rsidR="0076075D" w:rsidRDefault="0076075D" w:rsidP="0076075D">
      <w:pPr>
        <w:spacing w:after="160" w:line="259" w:lineRule="auto"/>
        <w:jc w:val="center"/>
        <w:rPr>
          <w:rFonts w:eastAsia="Arial"/>
          <w:b/>
          <w:sz w:val="24"/>
        </w:rPr>
      </w:pPr>
    </w:p>
    <w:p w:rsidR="0083557B" w:rsidRPr="0076075D" w:rsidRDefault="0076075D" w:rsidP="0076075D">
      <w:pPr>
        <w:spacing w:after="160" w:line="259" w:lineRule="auto"/>
        <w:jc w:val="center"/>
        <w:rPr>
          <w:rFonts w:eastAsia="Arial"/>
          <w:b/>
          <w:sz w:val="24"/>
        </w:rPr>
      </w:pPr>
      <w:r w:rsidRPr="0076075D">
        <w:rPr>
          <w:rFonts w:eastAsia="Arial"/>
          <w:b/>
          <w:sz w:val="24"/>
        </w:rPr>
        <w:t>PUBL</w:t>
      </w:r>
      <w:r>
        <w:rPr>
          <w:rFonts w:eastAsia="Arial"/>
          <w:b/>
          <w:sz w:val="24"/>
        </w:rPr>
        <w:t>Í</w:t>
      </w:r>
      <w:r w:rsidRPr="0076075D">
        <w:rPr>
          <w:rFonts w:eastAsia="Arial"/>
          <w:b/>
          <w:sz w:val="24"/>
        </w:rPr>
        <w:t>QUESE Y C</w:t>
      </w:r>
      <w:r>
        <w:rPr>
          <w:rFonts w:eastAsia="Arial"/>
          <w:b/>
          <w:sz w:val="24"/>
        </w:rPr>
        <w:t>Ú</w:t>
      </w:r>
      <w:r w:rsidRPr="0076075D">
        <w:rPr>
          <w:rFonts w:eastAsia="Arial"/>
          <w:b/>
          <w:sz w:val="24"/>
        </w:rPr>
        <w:t>MPLASE</w:t>
      </w:r>
    </w:p>
    <w:p w:rsidR="0076075D" w:rsidRPr="00437FEA" w:rsidRDefault="0076075D" w:rsidP="10878DB7">
      <w:pPr>
        <w:spacing w:after="160" w:line="259" w:lineRule="auto"/>
        <w:rPr>
          <w:rFonts w:eastAsia="Arial"/>
          <w:sz w:val="24"/>
        </w:rPr>
      </w:pPr>
    </w:p>
    <w:p w:rsidR="0083557B" w:rsidRPr="00D808C8" w:rsidRDefault="0083557B" w:rsidP="00A812B1">
      <w:pPr>
        <w:rPr>
          <w:rFonts w:eastAsia="Arial"/>
          <w:sz w:val="24"/>
        </w:rPr>
      </w:pPr>
      <w:r w:rsidRPr="00D808C8">
        <w:rPr>
          <w:rFonts w:eastAsia="Arial"/>
          <w:sz w:val="24"/>
        </w:rPr>
        <w:t xml:space="preserve">Dada en Bogotá, D.C., </w:t>
      </w:r>
      <w:r w:rsidR="00C77B93">
        <w:rPr>
          <w:rFonts w:eastAsia="Arial"/>
          <w:sz w:val="24"/>
        </w:rPr>
        <w:t>a</w:t>
      </w:r>
    </w:p>
    <w:p w:rsidR="0083557B" w:rsidRPr="00437FEA" w:rsidRDefault="0083557B" w:rsidP="0083557B">
      <w:pPr>
        <w:rPr>
          <w:rFonts w:cs="Arial"/>
          <w:sz w:val="24"/>
        </w:rPr>
      </w:pPr>
    </w:p>
    <w:p w:rsidR="0083557B" w:rsidRDefault="0083557B" w:rsidP="0083557B">
      <w:pPr>
        <w:rPr>
          <w:rFonts w:cs="Arial"/>
          <w:sz w:val="24"/>
        </w:rPr>
      </w:pPr>
    </w:p>
    <w:p w:rsidR="00414C74" w:rsidRDefault="00414C74" w:rsidP="0083557B">
      <w:pPr>
        <w:rPr>
          <w:rFonts w:cs="Arial"/>
          <w:sz w:val="24"/>
        </w:rPr>
      </w:pPr>
    </w:p>
    <w:p w:rsidR="00C77B93" w:rsidRPr="00437FEA" w:rsidRDefault="00C77B93" w:rsidP="0083557B">
      <w:pPr>
        <w:rPr>
          <w:rFonts w:cs="Arial"/>
          <w:sz w:val="24"/>
        </w:rPr>
      </w:pPr>
    </w:p>
    <w:p w:rsidR="0083557B" w:rsidRDefault="0083557B" w:rsidP="0083557B">
      <w:pPr>
        <w:rPr>
          <w:rFonts w:cs="Arial"/>
          <w:sz w:val="24"/>
        </w:rPr>
      </w:pPr>
    </w:p>
    <w:tbl>
      <w:tblPr>
        <w:tblW w:w="0" w:type="auto"/>
        <w:jc w:val="center"/>
        <w:tblInd w:w="-467" w:type="dxa"/>
        <w:tblLayout w:type="fixed"/>
        <w:tblCellMar>
          <w:left w:w="70" w:type="dxa"/>
          <w:right w:w="70" w:type="dxa"/>
        </w:tblCellMar>
        <w:tblLook w:val="0000" w:firstRow="0" w:lastRow="0" w:firstColumn="0" w:lastColumn="0" w:noHBand="0" w:noVBand="0"/>
      </w:tblPr>
      <w:tblGrid>
        <w:gridCol w:w="4962"/>
        <w:gridCol w:w="4347"/>
      </w:tblGrid>
      <w:tr w:rsidR="00414C74" w:rsidRPr="00DE53B8" w:rsidTr="00C77B93">
        <w:trPr>
          <w:trHeight w:val="329"/>
          <w:jc w:val="center"/>
        </w:trPr>
        <w:tc>
          <w:tcPr>
            <w:tcW w:w="4962" w:type="dxa"/>
            <w:vAlign w:val="center"/>
          </w:tcPr>
          <w:p w:rsidR="00414C74" w:rsidRPr="00414C74" w:rsidRDefault="00414C74" w:rsidP="00C77B93">
            <w:pPr>
              <w:jc w:val="center"/>
              <w:rPr>
                <w:rFonts w:cs="Arial"/>
                <w:b/>
                <w:spacing w:val="-3"/>
                <w:sz w:val="24"/>
              </w:rPr>
            </w:pPr>
            <w:r w:rsidRPr="00414C74">
              <w:rPr>
                <w:rFonts w:cs="Arial"/>
                <w:b/>
                <w:spacing w:val="-3"/>
                <w:sz w:val="24"/>
              </w:rPr>
              <w:t>CARLOS FERNANDO ERASO CALERO</w:t>
            </w:r>
          </w:p>
        </w:tc>
        <w:tc>
          <w:tcPr>
            <w:tcW w:w="4347" w:type="dxa"/>
            <w:vAlign w:val="center"/>
          </w:tcPr>
          <w:p w:rsidR="00414C74" w:rsidRPr="00414C74" w:rsidRDefault="00C77B93" w:rsidP="00C77B93">
            <w:pPr>
              <w:tabs>
                <w:tab w:val="left" w:pos="-720"/>
              </w:tabs>
              <w:jc w:val="center"/>
              <w:rPr>
                <w:rFonts w:cs="Arial"/>
                <w:b/>
                <w:spacing w:val="-3"/>
                <w:sz w:val="24"/>
              </w:rPr>
            </w:pPr>
            <w:r>
              <w:rPr>
                <w:rFonts w:cs="Arial"/>
                <w:b/>
                <w:spacing w:val="-3"/>
                <w:sz w:val="24"/>
              </w:rPr>
              <w:t>GERMÁN CASTRO FERREIRA</w:t>
            </w:r>
          </w:p>
        </w:tc>
      </w:tr>
      <w:tr w:rsidR="00414C74" w:rsidRPr="00DE53B8" w:rsidTr="00C77B93">
        <w:trPr>
          <w:trHeight w:val="329"/>
          <w:jc w:val="center"/>
        </w:trPr>
        <w:tc>
          <w:tcPr>
            <w:tcW w:w="4962" w:type="dxa"/>
            <w:vAlign w:val="center"/>
          </w:tcPr>
          <w:p w:rsidR="00414C74" w:rsidRPr="00414C74" w:rsidRDefault="00414C74" w:rsidP="00C77B93">
            <w:pPr>
              <w:jc w:val="center"/>
              <w:rPr>
                <w:rFonts w:cs="Arial"/>
                <w:spacing w:val="-3"/>
                <w:sz w:val="24"/>
              </w:rPr>
            </w:pPr>
            <w:r w:rsidRPr="00414C74">
              <w:rPr>
                <w:rFonts w:cs="Arial"/>
                <w:spacing w:val="-3"/>
                <w:sz w:val="24"/>
              </w:rPr>
              <w:t>Viceministro de Energía</w:t>
            </w:r>
          </w:p>
        </w:tc>
        <w:tc>
          <w:tcPr>
            <w:tcW w:w="4347" w:type="dxa"/>
            <w:vAlign w:val="center"/>
          </w:tcPr>
          <w:p w:rsidR="00414C74" w:rsidRPr="00414C74" w:rsidRDefault="00414C74" w:rsidP="00C77B93">
            <w:pPr>
              <w:tabs>
                <w:tab w:val="left" w:pos="-720"/>
              </w:tabs>
              <w:jc w:val="center"/>
              <w:rPr>
                <w:rFonts w:cs="Arial"/>
                <w:spacing w:val="-3"/>
                <w:sz w:val="24"/>
              </w:rPr>
            </w:pPr>
            <w:r w:rsidRPr="00414C74">
              <w:rPr>
                <w:rFonts w:cs="Arial"/>
                <w:spacing w:val="-3"/>
                <w:sz w:val="24"/>
              </w:rPr>
              <w:t>Director Ejecutivo</w:t>
            </w:r>
            <w:r w:rsidR="00C77B93">
              <w:rPr>
                <w:rFonts w:cs="Arial"/>
                <w:spacing w:val="-3"/>
                <w:sz w:val="24"/>
              </w:rPr>
              <w:t xml:space="preserve"> (E)</w:t>
            </w:r>
          </w:p>
        </w:tc>
      </w:tr>
      <w:tr w:rsidR="00414C74" w:rsidRPr="00DE53B8" w:rsidTr="00C77B93">
        <w:trPr>
          <w:trHeight w:val="329"/>
          <w:jc w:val="center"/>
        </w:trPr>
        <w:tc>
          <w:tcPr>
            <w:tcW w:w="4962" w:type="dxa"/>
            <w:vAlign w:val="center"/>
          </w:tcPr>
          <w:p w:rsidR="00414C74" w:rsidRPr="00414C74" w:rsidRDefault="00414C74" w:rsidP="00C77B93">
            <w:pPr>
              <w:jc w:val="center"/>
              <w:rPr>
                <w:rFonts w:cs="Arial"/>
                <w:spacing w:val="-3"/>
                <w:sz w:val="24"/>
              </w:rPr>
            </w:pPr>
            <w:r w:rsidRPr="00414C74">
              <w:rPr>
                <w:rFonts w:cs="Arial"/>
                <w:spacing w:val="-3"/>
                <w:sz w:val="24"/>
              </w:rPr>
              <w:t>Delegado del Ministro de Minas y Energía</w:t>
            </w:r>
          </w:p>
          <w:p w:rsidR="00414C74" w:rsidRPr="00414C74" w:rsidRDefault="00414C74" w:rsidP="00C77B93">
            <w:pPr>
              <w:jc w:val="center"/>
              <w:rPr>
                <w:rFonts w:cs="Arial"/>
                <w:spacing w:val="-3"/>
                <w:sz w:val="24"/>
              </w:rPr>
            </w:pPr>
            <w:r w:rsidRPr="00414C74">
              <w:rPr>
                <w:rFonts w:cs="Arial"/>
                <w:spacing w:val="-3"/>
                <w:sz w:val="24"/>
              </w:rPr>
              <w:t>Presidente</w:t>
            </w:r>
          </w:p>
        </w:tc>
        <w:tc>
          <w:tcPr>
            <w:tcW w:w="4347" w:type="dxa"/>
            <w:vAlign w:val="center"/>
          </w:tcPr>
          <w:p w:rsidR="00414C74" w:rsidRPr="00414C74" w:rsidRDefault="00414C74" w:rsidP="00C77B93">
            <w:pPr>
              <w:tabs>
                <w:tab w:val="left" w:pos="-720"/>
              </w:tabs>
              <w:jc w:val="center"/>
              <w:rPr>
                <w:rFonts w:cs="Arial"/>
                <w:b/>
                <w:spacing w:val="-3"/>
                <w:sz w:val="24"/>
              </w:rPr>
            </w:pPr>
          </w:p>
        </w:tc>
      </w:tr>
    </w:tbl>
    <w:p w:rsidR="00414C74" w:rsidRDefault="00414C74" w:rsidP="00414C74">
      <w:pPr>
        <w:jc w:val="left"/>
        <w:rPr>
          <w:bCs/>
          <w:lang w:val="es-CO"/>
        </w:rPr>
      </w:pPr>
    </w:p>
    <w:p w:rsidR="00430D4B" w:rsidRPr="00437FEA" w:rsidRDefault="00430D4B" w:rsidP="0083557B">
      <w:pPr>
        <w:rPr>
          <w:rFonts w:cs="Arial"/>
          <w:sz w:val="24"/>
        </w:rPr>
      </w:pPr>
    </w:p>
    <w:p w:rsidR="0083557B" w:rsidRPr="00437FEA" w:rsidRDefault="0083557B" w:rsidP="0083557B">
      <w:pPr>
        <w:rPr>
          <w:rFonts w:cs="Arial"/>
          <w:sz w:val="24"/>
        </w:rPr>
      </w:pPr>
    </w:p>
    <w:tbl>
      <w:tblPr>
        <w:tblW w:w="10187" w:type="dxa"/>
        <w:jc w:val="center"/>
        <w:tblLayout w:type="fixed"/>
        <w:tblCellMar>
          <w:left w:w="70" w:type="dxa"/>
          <w:right w:w="70" w:type="dxa"/>
        </w:tblCellMar>
        <w:tblLook w:val="0000" w:firstRow="0" w:lastRow="0" w:firstColumn="0" w:lastColumn="0" w:noHBand="0" w:noVBand="0"/>
      </w:tblPr>
      <w:tblGrid>
        <w:gridCol w:w="5696"/>
        <w:gridCol w:w="4491"/>
      </w:tblGrid>
      <w:tr w:rsidR="0083557B" w:rsidRPr="00437FEA" w:rsidTr="0076075D">
        <w:trPr>
          <w:trHeight w:val="391"/>
          <w:jc w:val="center"/>
        </w:trPr>
        <w:tc>
          <w:tcPr>
            <w:tcW w:w="5696" w:type="dxa"/>
            <w:vAlign w:val="center"/>
          </w:tcPr>
          <w:p w:rsidR="0083557B" w:rsidRPr="00437FEA" w:rsidRDefault="0083557B" w:rsidP="002F63E2">
            <w:pPr>
              <w:snapToGrid w:val="0"/>
              <w:ind w:firstLine="27"/>
              <w:jc w:val="center"/>
              <w:rPr>
                <w:rFonts w:cs="Arial"/>
                <w:b/>
                <w:spacing w:val="-3"/>
                <w:sz w:val="24"/>
              </w:rPr>
            </w:pPr>
          </w:p>
        </w:tc>
        <w:tc>
          <w:tcPr>
            <w:tcW w:w="4491" w:type="dxa"/>
            <w:vAlign w:val="center"/>
          </w:tcPr>
          <w:p w:rsidR="0083557B" w:rsidRPr="00437FEA" w:rsidRDefault="0083557B" w:rsidP="002F63E2">
            <w:pPr>
              <w:snapToGrid w:val="0"/>
              <w:ind w:left="72"/>
              <w:jc w:val="center"/>
              <w:rPr>
                <w:rFonts w:cs="Arial"/>
                <w:b/>
                <w:spacing w:val="-3"/>
                <w:sz w:val="24"/>
              </w:rPr>
            </w:pPr>
          </w:p>
        </w:tc>
      </w:tr>
      <w:tr w:rsidR="0083557B" w:rsidRPr="00437FEA" w:rsidTr="0076075D">
        <w:trPr>
          <w:trHeight w:val="349"/>
          <w:jc w:val="center"/>
        </w:trPr>
        <w:tc>
          <w:tcPr>
            <w:tcW w:w="5696" w:type="dxa"/>
          </w:tcPr>
          <w:p w:rsidR="0083557B" w:rsidRPr="00437FEA" w:rsidRDefault="0083557B" w:rsidP="002F63E2">
            <w:pPr>
              <w:snapToGrid w:val="0"/>
              <w:ind w:firstLine="27"/>
              <w:jc w:val="center"/>
              <w:rPr>
                <w:rFonts w:cs="Arial"/>
                <w:spacing w:val="-3"/>
                <w:sz w:val="24"/>
              </w:rPr>
            </w:pPr>
          </w:p>
        </w:tc>
        <w:tc>
          <w:tcPr>
            <w:tcW w:w="4491" w:type="dxa"/>
          </w:tcPr>
          <w:p w:rsidR="0083557B" w:rsidRPr="00437FEA" w:rsidRDefault="0083557B" w:rsidP="002F63E2">
            <w:pPr>
              <w:tabs>
                <w:tab w:val="left" w:pos="-720"/>
              </w:tabs>
              <w:snapToGrid w:val="0"/>
              <w:jc w:val="center"/>
              <w:rPr>
                <w:rFonts w:cs="Arial"/>
                <w:spacing w:val="-3"/>
                <w:sz w:val="24"/>
              </w:rPr>
            </w:pPr>
          </w:p>
        </w:tc>
      </w:tr>
      <w:tr w:rsidR="0083557B" w:rsidRPr="00437FEA" w:rsidTr="0076075D">
        <w:trPr>
          <w:jc w:val="center"/>
        </w:trPr>
        <w:tc>
          <w:tcPr>
            <w:tcW w:w="5696" w:type="dxa"/>
          </w:tcPr>
          <w:p w:rsidR="0083557B" w:rsidRPr="00437FEA" w:rsidRDefault="0083557B" w:rsidP="002F63E2">
            <w:pPr>
              <w:snapToGrid w:val="0"/>
              <w:ind w:firstLine="27"/>
              <w:jc w:val="center"/>
              <w:rPr>
                <w:rFonts w:cs="Arial"/>
                <w:spacing w:val="-3"/>
                <w:sz w:val="24"/>
              </w:rPr>
            </w:pPr>
          </w:p>
        </w:tc>
        <w:tc>
          <w:tcPr>
            <w:tcW w:w="4491" w:type="dxa"/>
          </w:tcPr>
          <w:p w:rsidR="0083557B" w:rsidRPr="00437FEA" w:rsidRDefault="0083557B" w:rsidP="002F63E2">
            <w:pPr>
              <w:tabs>
                <w:tab w:val="left" w:pos="-720"/>
              </w:tabs>
              <w:snapToGrid w:val="0"/>
              <w:jc w:val="center"/>
              <w:rPr>
                <w:rFonts w:cs="Arial"/>
                <w:spacing w:val="-3"/>
                <w:sz w:val="24"/>
              </w:rPr>
            </w:pPr>
          </w:p>
        </w:tc>
      </w:tr>
      <w:tr w:rsidR="0083557B" w:rsidRPr="00437FEA" w:rsidTr="0076075D">
        <w:trPr>
          <w:jc w:val="center"/>
        </w:trPr>
        <w:tc>
          <w:tcPr>
            <w:tcW w:w="5696" w:type="dxa"/>
          </w:tcPr>
          <w:p w:rsidR="0083557B" w:rsidRPr="00437FEA" w:rsidRDefault="0083557B" w:rsidP="002F63E2">
            <w:pPr>
              <w:snapToGrid w:val="0"/>
              <w:ind w:firstLine="27"/>
              <w:jc w:val="center"/>
              <w:rPr>
                <w:rFonts w:cs="Arial"/>
                <w:spacing w:val="-3"/>
                <w:sz w:val="24"/>
              </w:rPr>
            </w:pPr>
          </w:p>
        </w:tc>
        <w:tc>
          <w:tcPr>
            <w:tcW w:w="4491" w:type="dxa"/>
          </w:tcPr>
          <w:p w:rsidR="0083557B" w:rsidRPr="00437FEA" w:rsidRDefault="0083557B" w:rsidP="002F63E2">
            <w:pPr>
              <w:tabs>
                <w:tab w:val="left" w:pos="-720"/>
              </w:tabs>
              <w:snapToGrid w:val="0"/>
              <w:jc w:val="center"/>
              <w:rPr>
                <w:rFonts w:cs="Arial"/>
                <w:spacing w:val="-3"/>
                <w:sz w:val="24"/>
              </w:rPr>
            </w:pPr>
          </w:p>
        </w:tc>
      </w:tr>
    </w:tbl>
    <w:p w:rsidR="0083557B" w:rsidRPr="00437FEA" w:rsidRDefault="0083557B" w:rsidP="0083557B">
      <w:pPr>
        <w:tabs>
          <w:tab w:val="center" w:pos="4512"/>
          <w:tab w:val="left" w:pos="7088"/>
        </w:tabs>
        <w:suppressAutoHyphens/>
        <w:ind w:right="51"/>
        <w:rPr>
          <w:rFonts w:cs="Arial"/>
          <w:b/>
          <w:color w:val="000000"/>
          <w:sz w:val="24"/>
        </w:rPr>
      </w:pPr>
    </w:p>
    <w:p w:rsidR="0083557B" w:rsidRPr="00437FEA" w:rsidRDefault="0083557B" w:rsidP="0083557B">
      <w:pPr>
        <w:tabs>
          <w:tab w:val="center" w:pos="4512"/>
          <w:tab w:val="left" w:pos="7088"/>
        </w:tabs>
        <w:suppressAutoHyphens/>
        <w:ind w:right="51"/>
        <w:rPr>
          <w:rFonts w:cs="Arial"/>
          <w:b/>
          <w:color w:val="000000"/>
          <w:sz w:val="24"/>
        </w:rPr>
      </w:pPr>
    </w:p>
    <w:p w:rsidR="0083557B" w:rsidRPr="004859E4" w:rsidRDefault="0083557B" w:rsidP="0083557B">
      <w:pPr>
        <w:jc w:val="center"/>
        <w:rPr>
          <w:rFonts w:cs="Arial"/>
          <w:b/>
        </w:rPr>
      </w:pPr>
    </w:p>
    <w:p w:rsidR="0083557B" w:rsidRPr="004859E4" w:rsidRDefault="0083557B" w:rsidP="0083557B">
      <w:pPr>
        <w:jc w:val="center"/>
        <w:rPr>
          <w:rFonts w:cs="Arial"/>
          <w:b/>
        </w:rPr>
      </w:pPr>
    </w:p>
    <w:p w:rsidR="0083557B" w:rsidRPr="004859E4" w:rsidRDefault="0083557B" w:rsidP="0083557B">
      <w:pPr>
        <w:rPr>
          <w:rFonts w:cs="Arial"/>
          <w:b/>
        </w:rPr>
      </w:pPr>
      <w:r w:rsidRPr="004859E4">
        <w:rPr>
          <w:rFonts w:cs="Arial"/>
          <w:b/>
        </w:rPr>
        <w:br w:type="page"/>
      </w:r>
    </w:p>
    <w:p w:rsidR="0083557B" w:rsidRPr="004859E4" w:rsidRDefault="0083557B" w:rsidP="0083557B">
      <w:pPr>
        <w:jc w:val="center"/>
        <w:rPr>
          <w:rFonts w:cs="Arial"/>
          <w:b/>
        </w:rPr>
      </w:pPr>
    </w:p>
    <w:p w:rsidR="0083557B" w:rsidRPr="00F855CA" w:rsidRDefault="0083557B" w:rsidP="0083557B">
      <w:pPr>
        <w:jc w:val="center"/>
        <w:rPr>
          <w:rFonts w:cs="Arial"/>
          <w:b/>
          <w:sz w:val="24"/>
        </w:rPr>
      </w:pPr>
      <w:r w:rsidRPr="00F855CA">
        <w:rPr>
          <w:rFonts w:cs="Arial"/>
          <w:b/>
          <w:sz w:val="24"/>
        </w:rPr>
        <w:t>ANEXO GENERAL</w:t>
      </w:r>
    </w:p>
    <w:p w:rsidR="0083557B" w:rsidRPr="00F855CA" w:rsidRDefault="0083557B" w:rsidP="0083557B">
      <w:pPr>
        <w:jc w:val="center"/>
        <w:rPr>
          <w:rFonts w:cs="Arial"/>
          <w:sz w:val="24"/>
        </w:rPr>
      </w:pPr>
    </w:p>
    <w:p w:rsidR="0083557B" w:rsidRDefault="0083557B" w:rsidP="0083557B">
      <w:pPr>
        <w:jc w:val="center"/>
        <w:rPr>
          <w:rFonts w:cs="Arial"/>
          <w:b/>
          <w:sz w:val="24"/>
        </w:rPr>
      </w:pPr>
      <w:r w:rsidRPr="00F855CA">
        <w:rPr>
          <w:rFonts w:cs="Arial"/>
          <w:b/>
          <w:sz w:val="24"/>
        </w:rPr>
        <w:t xml:space="preserve">BASES SOBRE LAS CUALES LA COMISIÓN EFECTUARÁ LOS ESTUDIOS PARA DETERMINAR LA METODOLOGÍA TARIFARIA PARA LA REMUNERACIÓN DEL TRANSPORTE DE COMBUSTIBLES LÍQUIDOS Y GLP POR DUCTOS </w:t>
      </w:r>
    </w:p>
    <w:p w:rsidR="009B7159" w:rsidRDefault="009B7159" w:rsidP="0083557B">
      <w:pPr>
        <w:jc w:val="center"/>
        <w:rPr>
          <w:rFonts w:cs="Arial"/>
          <w:b/>
          <w:sz w:val="24"/>
        </w:rPr>
      </w:pPr>
    </w:p>
    <w:p w:rsidR="009B7159" w:rsidRPr="009B7159" w:rsidRDefault="009B7159" w:rsidP="009B7159">
      <w:pPr>
        <w:rPr>
          <w:b/>
          <w:sz w:val="24"/>
        </w:rPr>
      </w:pPr>
      <w:r w:rsidRPr="009B7159">
        <w:rPr>
          <w:b/>
          <w:sz w:val="24"/>
        </w:rPr>
        <w:t>Contenido</w:t>
      </w:r>
    </w:p>
    <w:p w:rsidR="00667803" w:rsidRDefault="00C07636">
      <w:pPr>
        <w:pStyle w:val="TDC1"/>
        <w:tabs>
          <w:tab w:val="left" w:pos="440"/>
          <w:tab w:val="right" w:leader="dot" w:pos="9346"/>
        </w:tabs>
        <w:rPr>
          <w:rFonts w:asciiTheme="minorHAnsi" w:eastAsiaTheme="minorEastAsia" w:hAnsiTheme="minorHAnsi" w:cstheme="minorBidi"/>
          <w:b w:val="0"/>
          <w:bCs w:val="0"/>
          <w:caps w:val="0"/>
          <w:noProof/>
          <w:sz w:val="22"/>
          <w:szCs w:val="22"/>
          <w:lang w:val="es-CO" w:eastAsia="es-CO"/>
        </w:rPr>
      </w:pPr>
      <w:r>
        <w:rPr>
          <w:sz w:val="24"/>
        </w:rPr>
        <w:fldChar w:fldCharType="begin"/>
      </w:r>
      <w:r>
        <w:rPr>
          <w:sz w:val="24"/>
        </w:rPr>
        <w:instrText xml:space="preserve"> TOC \o "1-3" \h \z \u </w:instrText>
      </w:r>
      <w:r>
        <w:rPr>
          <w:sz w:val="24"/>
        </w:rPr>
        <w:fldChar w:fldCharType="separate"/>
      </w:r>
      <w:hyperlink w:anchor="_Toc437512716" w:history="1">
        <w:r w:rsidR="00667803" w:rsidRPr="0091174B">
          <w:rPr>
            <w:rStyle w:val="Hipervnculo"/>
            <w:rFonts w:eastAsia="Arial"/>
            <w:noProof/>
          </w:rPr>
          <w:t>1</w:t>
        </w:r>
        <w:r w:rsidR="00667803">
          <w:rPr>
            <w:rFonts w:asciiTheme="minorHAnsi" w:eastAsiaTheme="minorEastAsia" w:hAnsiTheme="minorHAnsi" w:cstheme="minorBidi"/>
            <w:b w:val="0"/>
            <w:bCs w:val="0"/>
            <w:caps w:val="0"/>
            <w:noProof/>
            <w:sz w:val="22"/>
            <w:szCs w:val="22"/>
            <w:lang w:val="es-CO" w:eastAsia="es-CO"/>
          </w:rPr>
          <w:tab/>
        </w:r>
        <w:r w:rsidR="00667803" w:rsidRPr="0091174B">
          <w:rPr>
            <w:rStyle w:val="Hipervnculo"/>
            <w:rFonts w:eastAsia="Arial" w:cs="Arial"/>
            <w:noProof/>
          </w:rPr>
          <w:t>OBJETIVO</w:t>
        </w:r>
        <w:r w:rsidR="00667803">
          <w:rPr>
            <w:noProof/>
            <w:webHidden/>
          </w:rPr>
          <w:tab/>
        </w:r>
        <w:r w:rsidR="00667803">
          <w:rPr>
            <w:noProof/>
            <w:webHidden/>
          </w:rPr>
          <w:fldChar w:fldCharType="begin"/>
        </w:r>
        <w:r w:rsidR="00667803">
          <w:rPr>
            <w:noProof/>
            <w:webHidden/>
          </w:rPr>
          <w:instrText xml:space="preserve"> PAGEREF _Toc437512716 \h </w:instrText>
        </w:r>
        <w:r w:rsidR="00667803">
          <w:rPr>
            <w:noProof/>
            <w:webHidden/>
          </w:rPr>
        </w:r>
        <w:r w:rsidR="00667803">
          <w:rPr>
            <w:noProof/>
            <w:webHidden/>
          </w:rPr>
          <w:fldChar w:fldCharType="separate"/>
        </w:r>
        <w:r w:rsidR="00625BEB">
          <w:rPr>
            <w:noProof/>
            <w:webHidden/>
          </w:rPr>
          <w:t>8</w:t>
        </w:r>
        <w:r w:rsidR="00667803">
          <w:rPr>
            <w:noProof/>
            <w:webHidden/>
          </w:rPr>
          <w:fldChar w:fldCharType="end"/>
        </w:r>
      </w:hyperlink>
    </w:p>
    <w:p w:rsidR="00667803" w:rsidRDefault="004B021B">
      <w:pPr>
        <w:pStyle w:val="TDC1"/>
        <w:tabs>
          <w:tab w:val="left" w:pos="440"/>
          <w:tab w:val="right" w:leader="dot" w:pos="9346"/>
        </w:tabs>
        <w:rPr>
          <w:rFonts w:asciiTheme="minorHAnsi" w:eastAsiaTheme="minorEastAsia" w:hAnsiTheme="minorHAnsi" w:cstheme="minorBidi"/>
          <w:b w:val="0"/>
          <w:bCs w:val="0"/>
          <w:caps w:val="0"/>
          <w:noProof/>
          <w:sz w:val="22"/>
          <w:szCs w:val="22"/>
          <w:lang w:val="es-CO" w:eastAsia="es-CO"/>
        </w:rPr>
      </w:pPr>
      <w:hyperlink w:anchor="_Toc437512717" w:history="1">
        <w:r w:rsidR="00667803" w:rsidRPr="0091174B">
          <w:rPr>
            <w:rStyle w:val="Hipervnculo"/>
            <w:noProof/>
          </w:rPr>
          <w:t>2</w:t>
        </w:r>
        <w:r w:rsidR="00667803">
          <w:rPr>
            <w:rFonts w:asciiTheme="minorHAnsi" w:eastAsiaTheme="minorEastAsia" w:hAnsiTheme="minorHAnsi" w:cstheme="minorBidi"/>
            <w:b w:val="0"/>
            <w:bCs w:val="0"/>
            <w:caps w:val="0"/>
            <w:noProof/>
            <w:sz w:val="22"/>
            <w:szCs w:val="22"/>
            <w:lang w:val="es-CO" w:eastAsia="es-CO"/>
          </w:rPr>
          <w:tab/>
        </w:r>
        <w:r w:rsidR="00667803" w:rsidRPr="0091174B">
          <w:rPr>
            <w:rStyle w:val="Hipervnculo"/>
            <w:rFonts w:cs="Arial"/>
            <w:noProof/>
          </w:rPr>
          <w:t>ANTECEDENTES</w:t>
        </w:r>
        <w:r w:rsidR="00667803">
          <w:rPr>
            <w:noProof/>
            <w:webHidden/>
          </w:rPr>
          <w:tab/>
        </w:r>
        <w:r w:rsidR="00667803">
          <w:rPr>
            <w:noProof/>
            <w:webHidden/>
          </w:rPr>
          <w:fldChar w:fldCharType="begin"/>
        </w:r>
        <w:r w:rsidR="00667803">
          <w:rPr>
            <w:noProof/>
            <w:webHidden/>
          </w:rPr>
          <w:instrText xml:space="preserve"> PAGEREF _Toc437512717 \h </w:instrText>
        </w:r>
        <w:r w:rsidR="00667803">
          <w:rPr>
            <w:noProof/>
            <w:webHidden/>
          </w:rPr>
        </w:r>
        <w:r w:rsidR="00667803">
          <w:rPr>
            <w:noProof/>
            <w:webHidden/>
          </w:rPr>
          <w:fldChar w:fldCharType="separate"/>
        </w:r>
        <w:r w:rsidR="00625BEB">
          <w:rPr>
            <w:noProof/>
            <w:webHidden/>
          </w:rPr>
          <w:t>8</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18" w:history="1">
        <w:r w:rsidR="00667803" w:rsidRPr="0091174B">
          <w:rPr>
            <w:rStyle w:val="Hipervnculo"/>
            <w:rFonts w:eastAsia="Arial" w:cs="Arial"/>
            <w:noProof/>
            <w14:scene3d>
              <w14:camera w14:prst="orthographicFront"/>
              <w14:lightRig w14:rig="threePt" w14:dir="t">
                <w14:rot w14:lat="0" w14:lon="0" w14:rev="0"/>
              </w14:lightRig>
            </w14:scene3d>
          </w:rPr>
          <w:t>2.1.</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eastAsia="Arial" w:cs="Arial"/>
            <w:noProof/>
          </w:rPr>
          <w:t>regulación</w:t>
        </w:r>
        <w:r w:rsidR="00667803" w:rsidRPr="0091174B">
          <w:rPr>
            <w:rStyle w:val="Hipervnculo"/>
            <w:rFonts w:eastAsia="Arial"/>
            <w:noProof/>
          </w:rPr>
          <w:t xml:space="preserve"> del sector</w:t>
        </w:r>
        <w:r w:rsidR="00667803">
          <w:rPr>
            <w:noProof/>
            <w:webHidden/>
          </w:rPr>
          <w:tab/>
        </w:r>
        <w:r w:rsidR="00667803">
          <w:rPr>
            <w:noProof/>
            <w:webHidden/>
          </w:rPr>
          <w:fldChar w:fldCharType="begin"/>
        </w:r>
        <w:r w:rsidR="00667803">
          <w:rPr>
            <w:noProof/>
            <w:webHidden/>
          </w:rPr>
          <w:instrText xml:space="preserve"> PAGEREF _Toc437512718 \h </w:instrText>
        </w:r>
        <w:r w:rsidR="00667803">
          <w:rPr>
            <w:noProof/>
            <w:webHidden/>
          </w:rPr>
        </w:r>
        <w:r w:rsidR="00667803">
          <w:rPr>
            <w:noProof/>
            <w:webHidden/>
          </w:rPr>
          <w:fldChar w:fldCharType="separate"/>
        </w:r>
        <w:r w:rsidR="00625BEB">
          <w:rPr>
            <w:noProof/>
            <w:webHidden/>
          </w:rPr>
          <w:t>9</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19" w:history="1">
        <w:r w:rsidR="00667803" w:rsidRPr="0091174B">
          <w:rPr>
            <w:rStyle w:val="Hipervnculo"/>
            <w:rFonts w:eastAsia="Arial"/>
            <w:noProof/>
            <w14:scene3d>
              <w14:camera w14:prst="orthographicFront"/>
              <w14:lightRig w14:rig="threePt" w14:dir="t">
                <w14:rot w14:lat="0" w14:lon="0" w14:rev="0"/>
              </w14:lightRig>
            </w14:scene3d>
          </w:rPr>
          <w:t>2.2.</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eastAsia="Arial"/>
            <w:noProof/>
          </w:rPr>
          <w:t>competencia de la creg</w:t>
        </w:r>
        <w:r w:rsidR="00667803">
          <w:rPr>
            <w:noProof/>
            <w:webHidden/>
          </w:rPr>
          <w:tab/>
        </w:r>
        <w:r w:rsidR="00667803">
          <w:rPr>
            <w:noProof/>
            <w:webHidden/>
          </w:rPr>
          <w:fldChar w:fldCharType="begin"/>
        </w:r>
        <w:r w:rsidR="00667803">
          <w:rPr>
            <w:noProof/>
            <w:webHidden/>
          </w:rPr>
          <w:instrText xml:space="preserve"> PAGEREF _Toc437512719 \h </w:instrText>
        </w:r>
        <w:r w:rsidR="00667803">
          <w:rPr>
            <w:noProof/>
            <w:webHidden/>
          </w:rPr>
        </w:r>
        <w:r w:rsidR="00667803">
          <w:rPr>
            <w:noProof/>
            <w:webHidden/>
          </w:rPr>
          <w:fldChar w:fldCharType="separate"/>
        </w:r>
        <w:r w:rsidR="00625BEB">
          <w:rPr>
            <w:noProof/>
            <w:webHidden/>
          </w:rPr>
          <w:t>13</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20" w:history="1">
        <w:r w:rsidR="00667803" w:rsidRPr="0091174B">
          <w:rPr>
            <w:rStyle w:val="Hipervnculo"/>
            <w:rFonts w:eastAsia="Arial"/>
            <w:noProof/>
            <w14:scene3d>
              <w14:camera w14:prst="orthographicFront"/>
              <w14:lightRig w14:rig="threePt" w14:dir="t">
                <w14:rot w14:lat="0" w14:lon="0" w14:rev="0"/>
              </w14:lightRig>
            </w14:scene3d>
          </w:rPr>
          <w:t>2.3.</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eastAsia="Arial"/>
            <w:noProof/>
          </w:rPr>
          <w:t>estudios previos</w:t>
        </w:r>
        <w:r w:rsidR="00667803">
          <w:rPr>
            <w:noProof/>
            <w:webHidden/>
          </w:rPr>
          <w:tab/>
        </w:r>
        <w:r w:rsidR="00667803">
          <w:rPr>
            <w:noProof/>
            <w:webHidden/>
          </w:rPr>
          <w:fldChar w:fldCharType="begin"/>
        </w:r>
        <w:r w:rsidR="00667803">
          <w:rPr>
            <w:noProof/>
            <w:webHidden/>
          </w:rPr>
          <w:instrText xml:space="preserve"> PAGEREF _Toc437512720 \h </w:instrText>
        </w:r>
        <w:r w:rsidR="00667803">
          <w:rPr>
            <w:noProof/>
            <w:webHidden/>
          </w:rPr>
        </w:r>
        <w:r w:rsidR="00667803">
          <w:rPr>
            <w:noProof/>
            <w:webHidden/>
          </w:rPr>
          <w:fldChar w:fldCharType="separate"/>
        </w:r>
        <w:r w:rsidR="00625BEB">
          <w:rPr>
            <w:noProof/>
            <w:webHidden/>
          </w:rPr>
          <w:t>15</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21" w:history="1">
        <w:r w:rsidR="00667803" w:rsidRPr="0091174B">
          <w:rPr>
            <w:rStyle w:val="Hipervnculo"/>
            <w:noProof/>
            <w14:scene3d>
              <w14:camera w14:prst="orthographicFront"/>
              <w14:lightRig w14:rig="threePt" w14:dir="t">
                <w14:rot w14:lat="0" w14:lon="0" w14:rev="0"/>
              </w14:lightRig>
            </w14:scene3d>
          </w:rPr>
          <w:t>2.3.1.</w:t>
        </w:r>
        <w:r w:rsidR="00667803">
          <w:rPr>
            <w:rFonts w:asciiTheme="minorHAnsi" w:eastAsiaTheme="minorEastAsia" w:hAnsiTheme="minorHAnsi" w:cstheme="minorBidi"/>
            <w:iCs w:val="0"/>
            <w:noProof/>
            <w:sz w:val="22"/>
            <w:szCs w:val="22"/>
            <w:lang w:val="es-CO" w:eastAsia="es-CO"/>
          </w:rPr>
          <w:tab/>
        </w:r>
        <w:r w:rsidR="00667803" w:rsidRPr="0091174B">
          <w:rPr>
            <w:rStyle w:val="Hipervnculo"/>
            <w:rFonts w:cs="Arial"/>
            <w:noProof/>
          </w:rPr>
          <w:t xml:space="preserve">Revisión de la metodología tarifaria para el transporte de derivados del petróleo en poliductos y establecimiento de la tasa de remuneración de los activos </w:t>
        </w:r>
        <w:r w:rsidR="00667803" w:rsidRPr="0091174B">
          <w:rPr>
            <w:rStyle w:val="Hipervnculo"/>
            <w:rFonts w:cs="Arial"/>
            <w:noProof/>
            <w:lang w:val="es-CO"/>
          </w:rPr>
          <w:t>(Econometría, 2009)</w:t>
        </w:r>
        <w:r w:rsidR="00667803">
          <w:rPr>
            <w:noProof/>
            <w:webHidden/>
          </w:rPr>
          <w:tab/>
        </w:r>
        <w:r w:rsidR="00667803">
          <w:rPr>
            <w:noProof/>
            <w:webHidden/>
          </w:rPr>
          <w:fldChar w:fldCharType="begin"/>
        </w:r>
        <w:r w:rsidR="00667803">
          <w:rPr>
            <w:noProof/>
            <w:webHidden/>
          </w:rPr>
          <w:instrText xml:space="preserve"> PAGEREF _Toc437512721 \h </w:instrText>
        </w:r>
        <w:r w:rsidR="00667803">
          <w:rPr>
            <w:noProof/>
            <w:webHidden/>
          </w:rPr>
        </w:r>
        <w:r w:rsidR="00667803">
          <w:rPr>
            <w:noProof/>
            <w:webHidden/>
          </w:rPr>
          <w:fldChar w:fldCharType="separate"/>
        </w:r>
        <w:r w:rsidR="00625BEB">
          <w:rPr>
            <w:noProof/>
            <w:webHidden/>
          </w:rPr>
          <w:t>15</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22" w:history="1">
        <w:r w:rsidR="00667803" w:rsidRPr="0091174B">
          <w:rPr>
            <w:rStyle w:val="Hipervnculo"/>
            <w:noProof/>
            <w14:scene3d>
              <w14:camera w14:prst="orthographicFront"/>
              <w14:lightRig w14:rig="threePt" w14:dir="t">
                <w14:rot w14:lat="0" w14:lon="0" w14:rev="0"/>
              </w14:lightRig>
            </w14:scene3d>
          </w:rPr>
          <w:t>2.3.2.</w:t>
        </w:r>
        <w:r w:rsidR="00667803">
          <w:rPr>
            <w:rFonts w:asciiTheme="minorHAnsi" w:eastAsiaTheme="minorEastAsia" w:hAnsiTheme="minorHAnsi" w:cstheme="minorBidi"/>
            <w:iCs w:val="0"/>
            <w:noProof/>
            <w:sz w:val="22"/>
            <w:szCs w:val="22"/>
            <w:lang w:val="es-CO" w:eastAsia="es-CO"/>
          </w:rPr>
          <w:tab/>
        </w:r>
        <w:r w:rsidR="00667803" w:rsidRPr="0091174B">
          <w:rPr>
            <w:rStyle w:val="Hipervnculo"/>
            <w:rFonts w:cs="Arial"/>
            <w:bCs/>
            <w:noProof/>
          </w:rPr>
          <w:t xml:space="preserve">Propuesta de un esquema de regulación económica para la actividad de transporte de derivados de petróleo por poliductos, </w:t>
        </w:r>
        <w:r w:rsidR="00667803" w:rsidRPr="0091174B">
          <w:rPr>
            <w:rStyle w:val="Hipervnculo"/>
            <w:rFonts w:cs="Arial"/>
            <w:noProof/>
          </w:rPr>
          <w:t>(Sumatoria S.A.S, 2013)</w:t>
        </w:r>
        <w:r w:rsidR="00667803">
          <w:rPr>
            <w:noProof/>
            <w:webHidden/>
          </w:rPr>
          <w:tab/>
        </w:r>
        <w:r w:rsidR="00667803">
          <w:rPr>
            <w:noProof/>
            <w:webHidden/>
          </w:rPr>
          <w:fldChar w:fldCharType="begin"/>
        </w:r>
        <w:r w:rsidR="00667803">
          <w:rPr>
            <w:noProof/>
            <w:webHidden/>
          </w:rPr>
          <w:instrText xml:space="preserve"> PAGEREF _Toc437512722 \h </w:instrText>
        </w:r>
        <w:r w:rsidR="00667803">
          <w:rPr>
            <w:noProof/>
            <w:webHidden/>
          </w:rPr>
        </w:r>
        <w:r w:rsidR="00667803">
          <w:rPr>
            <w:noProof/>
            <w:webHidden/>
          </w:rPr>
          <w:fldChar w:fldCharType="separate"/>
        </w:r>
        <w:r w:rsidR="00625BEB">
          <w:rPr>
            <w:noProof/>
            <w:webHidden/>
          </w:rPr>
          <w:t>16</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23" w:history="1">
        <w:r w:rsidR="00667803" w:rsidRPr="0091174B">
          <w:rPr>
            <w:rStyle w:val="Hipervnculo"/>
            <w:noProof/>
            <w14:scene3d>
              <w14:camera w14:prst="orthographicFront"/>
              <w14:lightRig w14:rig="threePt" w14:dir="t">
                <w14:rot w14:lat="0" w14:lon="0" w14:rev="0"/>
              </w14:lightRig>
            </w14:scene3d>
          </w:rPr>
          <w:t>2.3.3.</w:t>
        </w:r>
        <w:r w:rsidR="00667803">
          <w:rPr>
            <w:rFonts w:asciiTheme="minorHAnsi" w:eastAsiaTheme="minorEastAsia" w:hAnsiTheme="minorHAnsi" w:cstheme="minorBidi"/>
            <w:iCs w:val="0"/>
            <w:noProof/>
            <w:sz w:val="22"/>
            <w:szCs w:val="22"/>
            <w:lang w:val="es-CO" w:eastAsia="es-CO"/>
          </w:rPr>
          <w:tab/>
        </w:r>
        <w:r w:rsidR="00667803" w:rsidRPr="0091174B">
          <w:rPr>
            <w:rStyle w:val="Hipervnculo"/>
            <w:rFonts w:cs="Arial"/>
            <w:noProof/>
          </w:rPr>
          <w:t>Análisis base para definir la metodología de remuneración de transporte de combustibles líquidos por ductos.</w:t>
        </w:r>
        <w:r w:rsidR="00667803" w:rsidRPr="0091174B">
          <w:rPr>
            <w:rStyle w:val="Hipervnculo"/>
            <w:rFonts w:cs="Arial"/>
            <w:noProof/>
            <w:lang w:val="es-CO"/>
          </w:rPr>
          <w:t xml:space="preserve"> (SNC- Lavalin, 2014)</w:t>
        </w:r>
        <w:r w:rsidR="00667803">
          <w:rPr>
            <w:noProof/>
            <w:webHidden/>
          </w:rPr>
          <w:tab/>
        </w:r>
        <w:r w:rsidR="00667803">
          <w:rPr>
            <w:noProof/>
            <w:webHidden/>
          </w:rPr>
          <w:fldChar w:fldCharType="begin"/>
        </w:r>
        <w:r w:rsidR="00667803">
          <w:rPr>
            <w:noProof/>
            <w:webHidden/>
          </w:rPr>
          <w:instrText xml:space="preserve"> PAGEREF _Toc437512723 \h </w:instrText>
        </w:r>
        <w:r w:rsidR="00667803">
          <w:rPr>
            <w:noProof/>
            <w:webHidden/>
          </w:rPr>
        </w:r>
        <w:r w:rsidR="00667803">
          <w:rPr>
            <w:noProof/>
            <w:webHidden/>
          </w:rPr>
          <w:fldChar w:fldCharType="separate"/>
        </w:r>
        <w:r w:rsidR="00625BEB">
          <w:rPr>
            <w:noProof/>
            <w:webHidden/>
          </w:rPr>
          <w:t>17</w:t>
        </w:r>
        <w:r w:rsidR="00667803">
          <w:rPr>
            <w:noProof/>
            <w:webHidden/>
          </w:rPr>
          <w:fldChar w:fldCharType="end"/>
        </w:r>
      </w:hyperlink>
    </w:p>
    <w:p w:rsidR="00667803" w:rsidRDefault="004B021B">
      <w:pPr>
        <w:pStyle w:val="TDC1"/>
        <w:tabs>
          <w:tab w:val="left" w:pos="440"/>
          <w:tab w:val="right" w:leader="dot" w:pos="9346"/>
        </w:tabs>
        <w:rPr>
          <w:rFonts w:asciiTheme="minorHAnsi" w:eastAsiaTheme="minorEastAsia" w:hAnsiTheme="minorHAnsi" w:cstheme="minorBidi"/>
          <w:b w:val="0"/>
          <w:bCs w:val="0"/>
          <w:caps w:val="0"/>
          <w:noProof/>
          <w:sz w:val="22"/>
          <w:szCs w:val="22"/>
          <w:lang w:val="es-CO" w:eastAsia="es-CO"/>
        </w:rPr>
      </w:pPr>
      <w:hyperlink w:anchor="_Toc437512724" w:history="1">
        <w:r w:rsidR="00667803" w:rsidRPr="0091174B">
          <w:rPr>
            <w:rStyle w:val="Hipervnculo"/>
            <w:rFonts w:eastAsia="Arial"/>
            <w:noProof/>
          </w:rPr>
          <w:t>3</w:t>
        </w:r>
        <w:r w:rsidR="00667803">
          <w:rPr>
            <w:rFonts w:asciiTheme="minorHAnsi" w:eastAsiaTheme="minorEastAsia" w:hAnsiTheme="minorHAnsi" w:cstheme="minorBidi"/>
            <w:b w:val="0"/>
            <w:bCs w:val="0"/>
            <w:caps w:val="0"/>
            <w:noProof/>
            <w:sz w:val="22"/>
            <w:szCs w:val="22"/>
            <w:lang w:val="es-CO" w:eastAsia="es-CO"/>
          </w:rPr>
          <w:tab/>
        </w:r>
        <w:r w:rsidR="00667803" w:rsidRPr="0091174B">
          <w:rPr>
            <w:rStyle w:val="Hipervnculo"/>
            <w:rFonts w:eastAsia="Arial" w:cs="Arial"/>
            <w:noProof/>
          </w:rPr>
          <w:t>GENERALIDADES DEL TRANSPORTE DE COMBUSTIBLES LÍQUIDOS Y GLP POR DUCTOS</w:t>
        </w:r>
        <w:r w:rsidR="00667803">
          <w:rPr>
            <w:noProof/>
            <w:webHidden/>
          </w:rPr>
          <w:tab/>
        </w:r>
        <w:r w:rsidR="00667803">
          <w:rPr>
            <w:noProof/>
            <w:webHidden/>
          </w:rPr>
          <w:fldChar w:fldCharType="begin"/>
        </w:r>
        <w:r w:rsidR="00667803">
          <w:rPr>
            <w:noProof/>
            <w:webHidden/>
          </w:rPr>
          <w:instrText xml:space="preserve"> PAGEREF _Toc437512724 \h </w:instrText>
        </w:r>
        <w:r w:rsidR="00667803">
          <w:rPr>
            <w:noProof/>
            <w:webHidden/>
          </w:rPr>
        </w:r>
        <w:r w:rsidR="00667803">
          <w:rPr>
            <w:noProof/>
            <w:webHidden/>
          </w:rPr>
          <w:fldChar w:fldCharType="separate"/>
        </w:r>
        <w:r w:rsidR="00625BEB">
          <w:rPr>
            <w:noProof/>
            <w:webHidden/>
          </w:rPr>
          <w:t>19</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25" w:history="1">
        <w:r w:rsidR="00667803" w:rsidRPr="0091174B">
          <w:rPr>
            <w:rStyle w:val="Hipervnculo"/>
            <w:rFonts w:eastAsia="Arial"/>
            <w:noProof/>
            <w14:scene3d>
              <w14:camera w14:prst="orthographicFront"/>
              <w14:lightRig w14:rig="threePt" w14:dir="t">
                <w14:rot w14:lat="0" w14:lon="0" w14:rev="0"/>
              </w14:lightRig>
            </w14:scene3d>
          </w:rPr>
          <w:t>3.1.</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eastAsia="Arial"/>
            <w:noProof/>
          </w:rPr>
          <w:t>transporte por ducto en la cadena de valor</w:t>
        </w:r>
        <w:r w:rsidR="00667803">
          <w:rPr>
            <w:noProof/>
            <w:webHidden/>
          </w:rPr>
          <w:tab/>
        </w:r>
        <w:r w:rsidR="00667803">
          <w:rPr>
            <w:noProof/>
            <w:webHidden/>
          </w:rPr>
          <w:fldChar w:fldCharType="begin"/>
        </w:r>
        <w:r w:rsidR="00667803">
          <w:rPr>
            <w:noProof/>
            <w:webHidden/>
          </w:rPr>
          <w:instrText xml:space="preserve"> PAGEREF _Toc437512725 \h </w:instrText>
        </w:r>
        <w:r w:rsidR="00667803">
          <w:rPr>
            <w:noProof/>
            <w:webHidden/>
          </w:rPr>
        </w:r>
        <w:r w:rsidR="00667803">
          <w:rPr>
            <w:noProof/>
            <w:webHidden/>
          </w:rPr>
          <w:fldChar w:fldCharType="separate"/>
        </w:r>
        <w:r w:rsidR="00625BEB">
          <w:rPr>
            <w:noProof/>
            <w:webHidden/>
          </w:rPr>
          <w:t>19</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26" w:history="1">
        <w:r w:rsidR="00667803" w:rsidRPr="0091174B">
          <w:rPr>
            <w:rStyle w:val="Hipervnculo"/>
            <w:rFonts w:cs="Arial"/>
            <w:noProof/>
            <w:lang w:val="es-CO"/>
            <w14:scene3d>
              <w14:camera w14:prst="orthographicFront"/>
              <w14:lightRig w14:rig="threePt" w14:dir="t">
                <w14:rot w14:lat="0" w14:lon="0" w14:rev="0"/>
              </w14:lightRig>
            </w14:scene3d>
          </w:rPr>
          <w:t>3.2.</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cs="Arial"/>
            <w:noProof/>
            <w:lang w:val="es-CO"/>
          </w:rPr>
          <w:t>infraestructura de transporte por poliductos</w:t>
        </w:r>
        <w:r w:rsidR="00667803">
          <w:rPr>
            <w:noProof/>
            <w:webHidden/>
          </w:rPr>
          <w:tab/>
        </w:r>
        <w:r w:rsidR="00667803">
          <w:rPr>
            <w:noProof/>
            <w:webHidden/>
          </w:rPr>
          <w:fldChar w:fldCharType="begin"/>
        </w:r>
        <w:r w:rsidR="00667803">
          <w:rPr>
            <w:noProof/>
            <w:webHidden/>
          </w:rPr>
          <w:instrText xml:space="preserve"> PAGEREF _Toc437512726 \h </w:instrText>
        </w:r>
        <w:r w:rsidR="00667803">
          <w:rPr>
            <w:noProof/>
            <w:webHidden/>
          </w:rPr>
        </w:r>
        <w:r w:rsidR="00667803">
          <w:rPr>
            <w:noProof/>
            <w:webHidden/>
          </w:rPr>
          <w:fldChar w:fldCharType="separate"/>
        </w:r>
        <w:r w:rsidR="00625BEB">
          <w:rPr>
            <w:noProof/>
            <w:webHidden/>
          </w:rPr>
          <w:t>19</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27" w:history="1">
        <w:r w:rsidR="00667803" w:rsidRPr="0091174B">
          <w:rPr>
            <w:rStyle w:val="Hipervnculo"/>
            <w:rFonts w:cs="Arial"/>
            <w:noProof/>
            <w14:scene3d>
              <w14:camera w14:prst="orthographicFront"/>
              <w14:lightRig w14:rig="threePt" w14:dir="t">
                <w14:rot w14:lat="0" w14:lon="0" w14:rev="0"/>
              </w14:lightRig>
            </w14:scene3d>
          </w:rPr>
          <w:t>3.3.</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cs="Arial"/>
            <w:noProof/>
          </w:rPr>
          <w:t>mercado de transporte de combustibles y glp</w:t>
        </w:r>
        <w:r w:rsidR="00667803">
          <w:rPr>
            <w:noProof/>
            <w:webHidden/>
          </w:rPr>
          <w:tab/>
        </w:r>
        <w:r w:rsidR="00667803">
          <w:rPr>
            <w:noProof/>
            <w:webHidden/>
          </w:rPr>
          <w:fldChar w:fldCharType="begin"/>
        </w:r>
        <w:r w:rsidR="00667803">
          <w:rPr>
            <w:noProof/>
            <w:webHidden/>
          </w:rPr>
          <w:instrText xml:space="preserve"> PAGEREF _Toc437512727 \h </w:instrText>
        </w:r>
        <w:r w:rsidR="00667803">
          <w:rPr>
            <w:noProof/>
            <w:webHidden/>
          </w:rPr>
        </w:r>
        <w:r w:rsidR="00667803">
          <w:rPr>
            <w:noProof/>
            <w:webHidden/>
          </w:rPr>
          <w:fldChar w:fldCharType="separate"/>
        </w:r>
        <w:r w:rsidR="00625BEB">
          <w:rPr>
            <w:noProof/>
            <w:webHidden/>
          </w:rPr>
          <w:t>21</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28" w:history="1">
        <w:r w:rsidR="00667803" w:rsidRPr="0091174B">
          <w:rPr>
            <w:rStyle w:val="Hipervnculo"/>
            <w:noProof/>
            <w14:scene3d>
              <w14:camera w14:prst="orthographicFront"/>
              <w14:lightRig w14:rig="threePt" w14:dir="t">
                <w14:rot w14:lat="0" w14:lon="0" w14:rev="0"/>
              </w14:lightRig>
            </w14:scene3d>
          </w:rPr>
          <w:t>3.3.1.</w:t>
        </w:r>
        <w:r w:rsidR="00667803">
          <w:rPr>
            <w:rFonts w:asciiTheme="minorHAnsi" w:eastAsiaTheme="minorEastAsia" w:hAnsiTheme="minorHAnsi" w:cstheme="minorBidi"/>
            <w:iCs w:val="0"/>
            <w:noProof/>
            <w:sz w:val="22"/>
            <w:szCs w:val="22"/>
            <w:lang w:val="es-CO" w:eastAsia="es-CO"/>
          </w:rPr>
          <w:tab/>
        </w:r>
        <w:r w:rsidR="00667803" w:rsidRPr="0091174B">
          <w:rPr>
            <w:rStyle w:val="Hipervnculo"/>
            <w:rFonts w:cs="Arial"/>
            <w:noProof/>
          </w:rPr>
          <w:t>Transporte de GLP</w:t>
        </w:r>
        <w:r w:rsidR="00667803">
          <w:rPr>
            <w:noProof/>
            <w:webHidden/>
          </w:rPr>
          <w:tab/>
        </w:r>
        <w:r w:rsidR="00667803">
          <w:rPr>
            <w:noProof/>
            <w:webHidden/>
          </w:rPr>
          <w:fldChar w:fldCharType="begin"/>
        </w:r>
        <w:r w:rsidR="00667803">
          <w:rPr>
            <w:noProof/>
            <w:webHidden/>
          </w:rPr>
          <w:instrText xml:space="preserve"> PAGEREF _Toc437512728 \h </w:instrText>
        </w:r>
        <w:r w:rsidR="00667803">
          <w:rPr>
            <w:noProof/>
            <w:webHidden/>
          </w:rPr>
        </w:r>
        <w:r w:rsidR="00667803">
          <w:rPr>
            <w:noProof/>
            <w:webHidden/>
          </w:rPr>
          <w:fldChar w:fldCharType="separate"/>
        </w:r>
        <w:r w:rsidR="00625BEB">
          <w:rPr>
            <w:noProof/>
            <w:webHidden/>
          </w:rPr>
          <w:t>21</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29" w:history="1">
        <w:r w:rsidR="00667803" w:rsidRPr="0091174B">
          <w:rPr>
            <w:rStyle w:val="Hipervnculo"/>
            <w:noProof/>
            <w14:scene3d>
              <w14:camera w14:prst="orthographicFront"/>
              <w14:lightRig w14:rig="threePt" w14:dir="t">
                <w14:rot w14:lat="0" w14:lon="0" w14:rev="0"/>
              </w14:lightRig>
            </w14:scene3d>
          </w:rPr>
          <w:t>3.3.2.</w:t>
        </w:r>
        <w:r w:rsidR="00667803">
          <w:rPr>
            <w:rFonts w:asciiTheme="minorHAnsi" w:eastAsiaTheme="minorEastAsia" w:hAnsiTheme="minorHAnsi" w:cstheme="minorBidi"/>
            <w:iCs w:val="0"/>
            <w:noProof/>
            <w:sz w:val="22"/>
            <w:szCs w:val="22"/>
            <w:lang w:val="es-CO" w:eastAsia="es-CO"/>
          </w:rPr>
          <w:tab/>
        </w:r>
        <w:r w:rsidR="00667803" w:rsidRPr="0091174B">
          <w:rPr>
            <w:rStyle w:val="Hipervnculo"/>
            <w:rFonts w:cs="Arial"/>
            <w:noProof/>
          </w:rPr>
          <w:t>Transporte por el sistema de poliductos</w:t>
        </w:r>
        <w:r w:rsidR="00667803">
          <w:rPr>
            <w:noProof/>
            <w:webHidden/>
          </w:rPr>
          <w:tab/>
        </w:r>
        <w:r w:rsidR="00667803">
          <w:rPr>
            <w:noProof/>
            <w:webHidden/>
          </w:rPr>
          <w:fldChar w:fldCharType="begin"/>
        </w:r>
        <w:r w:rsidR="00667803">
          <w:rPr>
            <w:noProof/>
            <w:webHidden/>
          </w:rPr>
          <w:instrText xml:space="preserve"> PAGEREF _Toc437512729 \h </w:instrText>
        </w:r>
        <w:r w:rsidR="00667803">
          <w:rPr>
            <w:noProof/>
            <w:webHidden/>
          </w:rPr>
        </w:r>
        <w:r w:rsidR="00667803">
          <w:rPr>
            <w:noProof/>
            <w:webHidden/>
          </w:rPr>
          <w:fldChar w:fldCharType="separate"/>
        </w:r>
        <w:r w:rsidR="00625BEB">
          <w:rPr>
            <w:noProof/>
            <w:webHidden/>
          </w:rPr>
          <w:t>22</w:t>
        </w:r>
        <w:r w:rsidR="00667803">
          <w:rPr>
            <w:noProof/>
            <w:webHidden/>
          </w:rPr>
          <w:fldChar w:fldCharType="end"/>
        </w:r>
      </w:hyperlink>
    </w:p>
    <w:p w:rsidR="00667803" w:rsidRDefault="004B021B">
      <w:pPr>
        <w:pStyle w:val="TDC1"/>
        <w:tabs>
          <w:tab w:val="left" w:pos="440"/>
          <w:tab w:val="right" w:leader="dot" w:pos="9346"/>
        </w:tabs>
        <w:rPr>
          <w:rFonts w:asciiTheme="minorHAnsi" w:eastAsiaTheme="minorEastAsia" w:hAnsiTheme="minorHAnsi" w:cstheme="minorBidi"/>
          <w:b w:val="0"/>
          <w:bCs w:val="0"/>
          <w:caps w:val="0"/>
          <w:noProof/>
          <w:sz w:val="22"/>
          <w:szCs w:val="22"/>
          <w:lang w:val="es-CO" w:eastAsia="es-CO"/>
        </w:rPr>
      </w:pPr>
      <w:hyperlink w:anchor="_Toc437512730" w:history="1">
        <w:r w:rsidR="00667803" w:rsidRPr="0091174B">
          <w:rPr>
            <w:rStyle w:val="Hipervnculo"/>
            <w:rFonts w:eastAsia="Arial"/>
            <w:noProof/>
          </w:rPr>
          <w:t>4</w:t>
        </w:r>
        <w:r w:rsidR="00667803">
          <w:rPr>
            <w:rFonts w:asciiTheme="minorHAnsi" w:eastAsiaTheme="minorEastAsia" w:hAnsiTheme="minorHAnsi" w:cstheme="minorBidi"/>
            <w:b w:val="0"/>
            <w:bCs w:val="0"/>
            <w:caps w:val="0"/>
            <w:noProof/>
            <w:sz w:val="22"/>
            <w:szCs w:val="22"/>
            <w:lang w:val="es-CO" w:eastAsia="es-CO"/>
          </w:rPr>
          <w:tab/>
        </w:r>
        <w:r w:rsidR="00667803" w:rsidRPr="0091174B">
          <w:rPr>
            <w:rStyle w:val="Hipervnculo"/>
            <w:rFonts w:eastAsia="Arial" w:cs="Arial"/>
            <w:noProof/>
          </w:rPr>
          <w:t>METODOLOGÍA TARIFARIA VIGENTE</w:t>
        </w:r>
        <w:r w:rsidR="00667803">
          <w:rPr>
            <w:noProof/>
            <w:webHidden/>
          </w:rPr>
          <w:tab/>
        </w:r>
        <w:r w:rsidR="00667803">
          <w:rPr>
            <w:noProof/>
            <w:webHidden/>
          </w:rPr>
          <w:fldChar w:fldCharType="begin"/>
        </w:r>
        <w:r w:rsidR="00667803">
          <w:rPr>
            <w:noProof/>
            <w:webHidden/>
          </w:rPr>
          <w:instrText xml:space="preserve"> PAGEREF _Toc437512730 \h </w:instrText>
        </w:r>
        <w:r w:rsidR="00667803">
          <w:rPr>
            <w:noProof/>
            <w:webHidden/>
          </w:rPr>
        </w:r>
        <w:r w:rsidR="00667803">
          <w:rPr>
            <w:noProof/>
            <w:webHidden/>
          </w:rPr>
          <w:fldChar w:fldCharType="separate"/>
        </w:r>
        <w:r w:rsidR="00625BEB">
          <w:rPr>
            <w:noProof/>
            <w:webHidden/>
          </w:rPr>
          <w:t>24</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31" w:history="1">
        <w:r w:rsidR="00667803" w:rsidRPr="0091174B">
          <w:rPr>
            <w:rStyle w:val="Hipervnculo"/>
            <w:rFonts w:eastAsia="Arial" w:cs="Arial"/>
            <w:noProof/>
            <w14:scene3d>
              <w14:camera w14:prst="orthographicFront"/>
              <w14:lightRig w14:rig="threePt" w14:dir="t">
                <w14:rot w14:lat="0" w14:lon="0" w14:rev="0"/>
              </w14:lightRig>
            </w14:scene3d>
          </w:rPr>
          <w:t>4.1.</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eastAsia="Arial" w:cs="Arial"/>
            <w:noProof/>
          </w:rPr>
          <w:t>metodología de remuneración de transporte de glp</w:t>
        </w:r>
        <w:r w:rsidR="00667803">
          <w:rPr>
            <w:noProof/>
            <w:webHidden/>
          </w:rPr>
          <w:tab/>
        </w:r>
        <w:r w:rsidR="00667803">
          <w:rPr>
            <w:noProof/>
            <w:webHidden/>
          </w:rPr>
          <w:fldChar w:fldCharType="begin"/>
        </w:r>
        <w:r w:rsidR="00667803">
          <w:rPr>
            <w:noProof/>
            <w:webHidden/>
          </w:rPr>
          <w:instrText xml:space="preserve"> PAGEREF _Toc437512731 \h </w:instrText>
        </w:r>
        <w:r w:rsidR="00667803">
          <w:rPr>
            <w:noProof/>
            <w:webHidden/>
          </w:rPr>
        </w:r>
        <w:r w:rsidR="00667803">
          <w:rPr>
            <w:noProof/>
            <w:webHidden/>
          </w:rPr>
          <w:fldChar w:fldCharType="separate"/>
        </w:r>
        <w:r w:rsidR="00625BEB">
          <w:rPr>
            <w:noProof/>
            <w:webHidden/>
          </w:rPr>
          <w:t>24</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32" w:history="1">
        <w:r w:rsidR="00667803" w:rsidRPr="0091174B">
          <w:rPr>
            <w:rStyle w:val="Hipervnculo"/>
            <w:rFonts w:eastAsia="Arial" w:cs="Arial"/>
            <w:noProof/>
            <w14:scene3d>
              <w14:camera w14:prst="orthographicFront"/>
              <w14:lightRig w14:rig="threePt" w14:dir="t">
                <w14:rot w14:lat="0" w14:lon="0" w14:rev="0"/>
              </w14:lightRig>
            </w14:scene3d>
          </w:rPr>
          <w:t>4.2.</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eastAsia="Arial" w:cs="Arial"/>
            <w:noProof/>
          </w:rPr>
          <w:t>remuneración del transporte por poliductos de combustibles líquidos</w:t>
        </w:r>
        <w:r w:rsidR="00667803">
          <w:rPr>
            <w:noProof/>
            <w:webHidden/>
          </w:rPr>
          <w:tab/>
        </w:r>
        <w:r w:rsidR="00667803">
          <w:rPr>
            <w:noProof/>
            <w:webHidden/>
          </w:rPr>
          <w:fldChar w:fldCharType="begin"/>
        </w:r>
        <w:r w:rsidR="00667803">
          <w:rPr>
            <w:noProof/>
            <w:webHidden/>
          </w:rPr>
          <w:instrText xml:space="preserve"> PAGEREF _Toc437512732 \h </w:instrText>
        </w:r>
        <w:r w:rsidR="00667803">
          <w:rPr>
            <w:noProof/>
            <w:webHidden/>
          </w:rPr>
        </w:r>
        <w:r w:rsidR="00667803">
          <w:rPr>
            <w:noProof/>
            <w:webHidden/>
          </w:rPr>
          <w:fldChar w:fldCharType="separate"/>
        </w:r>
        <w:r w:rsidR="00625BEB">
          <w:rPr>
            <w:noProof/>
            <w:webHidden/>
          </w:rPr>
          <w:t>27</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33" w:history="1">
        <w:r w:rsidR="00667803" w:rsidRPr="0091174B">
          <w:rPr>
            <w:rStyle w:val="Hipervnculo"/>
            <w:rFonts w:eastAsia="Arial"/>
            <w:noProof/>
            <w14:scene3d>
              <w14:camera w14:prst="orthographicFront"/>
              <w14:lightRig w14:rig="threePt" w14:dir="t">
                <w14:rot w14:lat="0" w14:lon="0" w14:rev="0"/>
              </w14:lightRig>
            </w14:scene3d>
          </w:rPr>
          <w:t>4.2.1.</w:t>
        </w:r>
        <w:r w:rsidR="00667803">
          <w:rPr>
            <w:rFonts w:asciiTheme="minorHAnsi" w:eastAsiaTheme="minorEastAsia" w:hAnsiTheme="minorHAnsi" w:cstheme="minorBidi"/>
            <w:iCs w:val="0"/>
            <w:noProof/>
            <w:sz w:val="22"/>
            <w:szCs w:val="22"/>
            <w:lang w:val="es-CO" w:eastAsia="es-CO"/>
          </w:rPr>
          <w:tab/>
        </w:r>
        <w:r w:rsidR="00667803" w:rsidRPr="0091174B">
          <w:rPr>
            <w:rStyle w:val="Hipervnculo"/>
            <w:rFonts w:eastAsia="Arial" w:cs="Arial"/>
            <w:noProof/>
          </w:rPr>
          <w:t>Resolución 180088 de 2003</w:t>
        </w:r>
        <w:r w:rsidR="00667803">
          <w:rPr>
            <w:noProof/>
            <w:webHidden/>
          </w:rPr>
          <w:tab/>
        </w:r>
        <w:r w:rsidR="00667803">
          <w:rPr>
            <w:noProof/>
            <w:webHidden/>
          </w:rPr>
          <w:fldChar w:fldCharType="begin"/>
        </w:r>
        <w:r w:rsidR="00667803">
          <w:rPr>
            <w:noProof/>
            <w:webHidden/>
          </w:rPr>
          <w:instrText xml:space="preserve"> PAGEREF _Toc437512733 \h </w:instrText>
        </w:r>
        <w:r w:rsidR="00667803">
          <w:rPr>
            <w:noProof/>
            <w:webHidden/>
          </w:rPr>
        </w:r>
        <w:r w:rsidR="00667803">
          <w:rPr>
            <w:noProof/>
            <w:webHidden/>
          </w:rPr>
          <w:fldChar w:fldCharType="separate"/>
        </w:r>
        <w:r w:rsidR="00625BEB">
          <w:rPr>
            <w:noProof/>
            <w:webHidden/>
          </w:rPr>
          <w:t>28</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34" w:history="1">
        <w:r w:rsidR="00667803" w:rsidRPr="0091174B">
          <w:rPr>
            <w:rStyle w:val="Hipervnculo"/>
            <w:rFonts w:eastAsia="Arial"/>
            <w:noProof/>
            <w14:scene3d>
              <w14:camera w14:prst="orthographicFront"/>
              <w14:lightRig w14:rig="threePt" w14:dir="t">
                <w14:rot w14:lat="0" w14:lon="0" w14:rev="0"/>
              </w14:lightRig>
            </w14:scene3d>
          </w:rPr>
          <w:t>4.2.2.</w:t>
        </w:r>
        <w:r w:rsidR="00667803">
          <w:rPr>
            <w:rFonts w:asciiTheme="minorHAnsi" w:eastAsiaTheme="minorEastAsia" w:hAnsiTheme="minorHAnsi" w:cstheme="minorBidi"/>
            <w:iCs w:val="0"/>
            <w:noProof/>
            <w:sz w:val="22"/>
            <w:szCs w:val="22"/>
            <w:lang w:val="es-CO" w:eastAsia="es-CO"/>
          </w:rPr>
          <w:tab/>
        </w:r>
        <w:r w:rsidR="00667803" w:rsidRPr="0091174B">
          <w:rPr>
            <w:rStyle w:val="Hipervnculo"/>
            <w:rFonts w:eastAsia="Arial" w:cs="Arial"/>
            <w:noProof/>
          </w:rPr>
          <w:t>Modificaciones Resolución 180088 de 2003</w:t>
        </w:r>
        <w:r w:rsidR="00667803">
          <w:rPr>
            <w:noProof/>
            <w:webHidden/>
          </w:rPr>
          <w:tab/>
        </w:r>
        <w:r w:rsidR="00667803">
          <w:rPr>
            <w:noProof/>
            <w:webHidden/>
          </w:rPr>
          <w:fldChar w:fldCharType="begin"/>
        </w:r>
        <w:r w:rsidR="00667803">
          <w:rPr>
            <w:noProof/>
            <w:webHidden/>
          </w:rPr>
          <w:instrText xml:space="preserve"> PAGEREF _Toc437512734 \h </w:instrText>
        </w:r>
        <w:r w:rsidR="00667803">
          <w:rPr>
            <w:noProof/>
            <w:webHidden/>
          </w:rPr>
        </w:r>
        <w:r w:rsidR="00667803">
          <w:rPr>
            <w:noProof/>
            <w:webHidden/>
          </w:rPr>
          <w:fldChar w:fldCharType="separate"/>
        </w:r>
        <w:r w:rsidR="00625BEB">
          <w:rPr>
            <w:noProof/>
            <w:webHidden/>
          </w:rPr>
          <w:t>29</w:t>
        </w:r>
        <w:r w:rsidR="00667803">
          <w:rPr>
            <w:noProof/>
            <w:webHidden/>
          </w:rPr>
          <w:fldChar w:fldCharType="end"/>
        </w:r>
      </w:hyperlink>
    </w:p>
    <w:p w:rsidR="00667803" w:rsidRDefault="004B021B">
      <w:pPr>
        <w:pStyle w:val="TDC1"/>
        <w:tabs>
          <w:tab w:val="left" w:pos="440"/>
          <w:tab w:val="right" w:leader="dot" w:pos="9346"/>
        </w:tabs>
        <w:rPr>
          <w:rFonts w:asciiTheme="minorHAnsi" w:eastAsiaTheme="minorEastAsia" w:hAnsiTheme="minorHAnsi" w:cstheme="minorBidi"/>
          <w:b w:val="0"/>
          <w:bCs w:val="0"/>
          <w:caps w:val="0"/>
          <w:noProof/>
          <w:sz w:val="22"/>
          <w:szCs w:val="22"/>
          <w:lang w:val="es-CO" w:eastAsia="es-CO"/>
        </w:rPr>
      </w:pPr>
      <w:hyperlink w:anchor="_Toc437512735" w:history="1">
        <w:r w:rsidR="00667803" w:rsidRPr="0091174B">
          <w:rPr>
            <w:rStyle w:val="Hipervnculo"/>
            <w:rFonts w:eastAsia="Arial"/>
            <w:noProof/>
          </w:rPr>
          <w:t>5</w:t>
        </w:r>
        <w:r w:rsidR="00667803">
          <w:rPr>
            <w:rFonts w:asciiTheme="minorHAnsi" w:eastAsiaTheme="minorEastAsia" w:hAnsiTheme="minorHAnsi" w:cstheme="minorBidi"/>
            <w:b w:val="0"/>
            <w:bCs w:val="0"/>
            <w:caps w:val="0"/>
            <w:noProof/>
            <w:sz w:val="22"/>
            <w:szCs w:val="22"/>
            <w:lang w:val="es-CO" w:eastAsia="es-CO"/>
          </w:rPr>
          <w:tab/>
        </w:r>
        <w:r w:rsidR="00667803" w:rsidRPr="0091174B">
          <w:rPr>
            <w:rStyle w:val="Hipervnculo"/>
            <w:rFonts w:eastAsia="Arial" w:cs="Arial"/>
            <w:noProof/>
          </w:rPr>
          <w:t>COMPORTAMIENTO DE LAS TARIFAS PARA EL TRANSPORTE</w:t>
        </w:r>
        <w:r w:rsidR="00667803">
          <w:rPr>
            <w:noProof/>
            <w:webHidden/>
          </w:rPr>
          <w:tab/>
        </w:r>
        <w:r w:rsidR="00667803">
          <w:rPr>
            <w:noProof/>
            <w:webHidden/>
          </w:rPr>
          <w:fldChar w:fldCharType="begin"/>
        </w:r>
        <w:r w:rsidR="00667803">
          <w:rPr>
            <w:noProof/>
            <w:webHidden/>
          </w:rPr>
          <w:instrText xml:space="preserve"> PAGEREF _Toc437512735 \h </w:instrText>
        </w:r>
        <w:r w:rsidR="00667803">
          <w:rPr>
            <w:noProof/>
            <w:webHidden/>
          </w:rPr>
        </w:r>
        <w:r w:rsidR="00667803">
          <w:rPr>
            <w:noProof/>
            <w:webHidden/>
          </w:rPr>
          <w:fldChar w:fldCharType="separate"/>
        </w:r>
        <w:r w:rsidR="00625BEB">
          <w:rPr>
            <w:noProof/>
            <w:webHidden/>
          </w:rPr>
          <w:t>29</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36" w:history="1">
        <w:r w:rsidR="00667803" w:rsidRPr="0091174B">
          <w:rPr>
            <w:rStyle w:val="Hipervnculo"/>
            <w:rFonts w:cs="Arial"/>
            <w:noProof/>
            <w14:scene3d>
              <w14:camera w14:prst="orthographicFront"/>
              <w14:lightRig w14:rig="threePt" w14:dir="t">
                <w14:rot w14:lat="0" w14:lon="0" w14:rev="0"/>
              </w14:lightRig>
            </w14:scene3d>
          </w:rPr>
          <w:t>5.1.</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cs="Arial"/>
            <w:noProof/>
          </w:rPr>
          <w:t>tarifas aplicadas para transporte de glp</w:t>
        </w:r>
        <w:r w:rsidR="00667803">
          <w:rPr>
            <w:noProof/>
            <w:webHidden/>
          </w:rPr>
          <w:tab/>
        </w:r>
        <w:r w:rsidR="00667803">
          <w:rPr>
            <w:noProof/>
            <w:webHidden/>
          </w:rPr>
          <w:fldChar w:fldCharType="begin"/>
        </w:r>
        <w:r w:rsidR="00667803">
          <w:rPr>
            <w:noProof/>
            <w:webHidden/>
          </w:rPr>
          <w:instrText xml:space="preserve"> PAGEREF _Toc437512736 \h </w:instrText>
        </w:r>
        <w:r w:rsidR="00667803">
          <w:rPr>
            <w:noProof/>
            <w:webHidden/>
          </w:rPr>
        </w:r>
        <w:r w:rsidR="00667803">
          <w:rPr>
            <w:noProof/>
            <w:webHidden/>
          </w:rPr>
          <w:fldChar w:fldCharType="separate"/>
        </w:r>
        <w:r w:rsidR="00625BEB">
          <w:rPr>
            <w:noProof/>
            <w:webHidden/>
          </w:rPr>
          <w:t>29</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37" w:history="1">
        <w:r w:rsidR="00667803" w:rsidRPr="0091174B">
          <w:rPr>
            <w:rStyle w:val="Hipervnculo"/>
            <w:rFonts w:cs="Arial"/>
            <w:noProof/>
            <w14:scene3d>
              <w14:camera w14:prst="orthographicFront"/>
              <w14:lightRig w14:rig="threePt" w14:dir="t">
                <w14:rot w14:lat="0" w14:lon="0" w14:rev="0"/>
              </w14:lightRig>
            </w14:scene3d>
          </w:rPr>
          <w:t>5.2.</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cs="Arial"/>
            <w:noProof/>
          </w:rPr>
          <w:t>tarifas aplicadas al transporte por ductos de combustibles líquidos derivados del petróleo</w:t>
        </w:r>
        <w:r w:rsidR="00667803">
          <w:rPr>
            <w:noProof/>
            <w:webHidden/>
          </w:rPr>
          <w:tab/>
        </w:r>
        <w:r w:rsidR="00667803">
          <w:rPr>
            <w:noProof/>
            <w:webHidden/>
          </w:rPr>
          <w:fldChar w:fldCharType="begin"/>
        </w:r>
        <w:r w:rsidR="00667803">
          <w:rPr>
            <w:noProof/>
            <w:webHidden/>
          </w:rPr>
          <w:instrText xml:space="preserve"> PAGEREF _Toc437512737 \h </w:instrText>
        </w:r>
        <w:r w:rsidR="00667803">
          <w:rPr>
            <w:noProof/>
            <w:webHidden/>
          </w:rPr>
        </w:r>
        <w:r w:rsidR="00667803">
          <w:rPr>
            <w:noProof/>
            <w:webHidden/>
          </w:rPr>
          <w:fldChar w:fldCharType="separate"/>
        </w:r>
        <w:r w:rsidR="00625BEB">
          <w:rPr>
            <w:noProof/>
            <w:webHidden/>
          </w:rPr>
          <w:t>31</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38" w:history="1">
        <w:r w:rsidR="00667803" w:rsidRPr="0091174B">
          <w:rPr>
            <w:rStyle w:val="Hipervnculo"/>
            <w:rFonts w:eastAsia="Arial" w:cs="Arial"/>
            <w:noProof/>
            <w14:scene3d>
              <w14:camera w14:prst="orthographicFront"/>
              <w14:lightRig w14:rig="threePt" w14:dir="t">
                <w14:rot w14:lat="0" w14:lon="0" w14:rev="0"/>
              </w14:lightRig>
            </w14:scene3d>
          </w:rPr>
          <w:t>5.3.</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eastAsia="Arial" w:cs="Arial"/>
            <w:noProof/>
          </w:rPr>
          <w:t xml:space="preserve">ajustes a </w:t>
        </w:r>
        <w:r w:rsidR="00667803" w:rsidRPr="0091174B">
          <w:rPr>
            <w:rStyle w:val="Hipervnculo"/>
            <w:rFonts w:cs="Arial"/>
            <w:noProof/>
          </w:rPr>
          <w:t>tarifas de transporte mediante res</w:t>
        </w:r>
        <w:r w:rsidR="00667803" w:rsidRPr="0091174B">
          <w:rPr>
            <w:rStyle w:val="Hipervnculo"/>
            <w:rFonts w:eastAsia="Arial" w:cs="Arial"/>
            <w:noProof/>
          </w:rPr>
          <w:t>olución 181701 de 2003.</w:t>
        </w:r>
        <w:r w:rsidR="00667803">
          <w:rPr>
            <w:noProof/>
            <w:webHidden/>
          </w:rPr>
          <w:tab/>
        </w:r>
        <w:r w:rsidR="00667803">
          <w:rPr>
            <w:noProof/>
            <w:webHidden/>
          </w:rPr>
          <w:fldChar w:fldCharType="begin"/>
        </w:r>
        <w:r w:rsidR="00667803">
          <w:rPr>
            <w:noProof/>
            <w:webHidden/>
          </w:rPr>
          <w:instrText xml:space="preserve"> PAGEREF _Toc437512738 \h </w:instrText>
        </w:r>
        <w:r w:rsidR="00667803">
          <w:rPr>
            <w:noProof/>
            <w:webHidden/>
          </w:rPr>
        </w:r>
        <w:r w:rsidR="00667803">
          <w:rPr>
            <w:noProof/>
            <w:webHidden/>
          </w:rPr>
          <w:fldChar w:fldCharType="separate"/>
        </w:r>
        <w:r w:rsidR="00625BEB">
          <w:rPr>
            <w:noProof/>
            <w:webHidden/>
          </w:rPr>
          <w:t>33</w:t>
        </w:r>
        <w:r w:rsidR="00667803">
          <w:rPr>
            <w:noProof/>
            <w:webHidden/>
          </w:rPr>
          <w:fldChar w:fldCharType="end"/>
        </w:r>
      </w:hyperlink>
    </w:p>
    <w:p w:rsidR="00667803" w:rsidRDefault="004B021B">
      <w:pPr>
        <w:pStyle w:val="TDC1"/>
        <w:tabs>
          <w:tab w:val="left" w:pos="440"/>
          <w:tab w:val="right" w:leader="dot" w:pos="9346"/>
        </w:tabs>
        <w:rPr>
          <w:rFonts w:asciiTheme="minorHAnsi" w:eastAsiaTheme="minorEastAsia" w:hAnsiTheme="minorHAnsi" w:cstheme="minorBidi"/>
          <w:b w:val="0"/>
          <w:bCs w:val="0"/>
          <w:caps w:val="0"/>
          <w:noProof/>
          <w:sz w:val="22"/>
          <w:szCs w:val="22"/>
          <w:lang w:val="es-CO" w:eastAsia="es-CO"/>
        </w:rPr>
      </w:pPr>
      <w:hyperlink w:anchor="_Toc437512739" w:history="1">
        <w:r w:rsidR="00667803" w:rsidRPr="0091174B">
          <w:rPr>
            <w:rStyle w:val="Hipervnculo"/>
            <w:noProof/>
          </w:rPr>
          <w:t>6</w:t>
        </w:r>
        <w:r w:rsidR="00667803">
          <w:rPr>
            <w:rFonts w:asciiTheme="minorHAnsi" w:eastAsiaTheme="minorEastAsia" w:hAnsiTheme="minorHAnsi" w:cstheme="minorBidi"/>
            <w:b w:val="0"/>
            <w:bCs w:val="0"/>
            <w:caps w:val="0"/>
            <w:noProof/>
            <w:sz w:val="22"/>
            <w:szCs w:val="22"/>
            <w:lang w:val="es-CO" w:eastAsia="es-CO"/>
          </w:rPr>
          <w:tab/>
        </w:r>
        <w:r w:rsidR="00667803" w:rsidRPr="0091174B">
          <w:rPr>
            <w:rStyle w:val="Hipervnculo"/>
            <w:noProof/>
          </w:rPr>
          <w:t>Margen de continuidad</w:t>
        </w:r>
        <w:r w:rsidR="00667803">
          <w:rPr>
            <w:noProof/>
            <w:webHidden/>
          </w:rPr>
          <w:tab/>
        </w:r>
        <w:r w:rsidR="00667803">
          <w:rPr>
            <w:noProof/>
            <w:webHidden/>
          </w:rPr>
          <w:fldChar w:fldCharType="begin"/>
        </w:r>
        <w:r w:rsidR="00667803">
          <w:rPr>
            <w:noProof/>
            <w:webHidden/>
          </w:rPr>
          <w:instrText xml:space="preserve"> PAGEREF _Toc437512739 \h </w:instrText>
        </w:r>
        <w:r w:rsidR="00667803">
          <w:rPr>
            <w:noProof/>
            <w:webHidden/>
          </w:rPr>
        </w:r>
        <w:r w:rsidR="00667803">
          <w:rPr>
            <w:noProof/>
            <w:webHidden/>
          </w:rPr>
          <w:fldChar w:fldCharType="separate"/>
        </w:r>
        <w:r w:rsidR="00625BEB">
          <w:rPr>
            <w:noProof/>
            <w:webHidden/>
          </w:rPr>
          <w:t>37</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40" w:history="1">
        <w:r w:rsidR="00667803" w:rsidRPr="0091174B">
          <w:rPr>
            <w:rStyle w:val="Hipervnculo"/>
            <w:noProof/>
            <w14:scene3d>
              <w14:camera w14:prst="orthographicFront"/>
              <w14:lightRig w14:rig="threePt" w14:dir="t">
                <w14:rot w14:lat="0" w14:lon="0" w14:rev="0"/>
              </w14:lightRig>
            </w14:scene3d>
          </w:rPr>
          <w:t>6.1.</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proceso de liquidación</w:t>
        </w:r>
        <w:r w:rsidR="00667803">
          <w:rPr>
            <w:noProof/>
            <w:webHidden/>
          </w:rPr>
          <w:tab/>
        </w:r>
        <w:r w:rsidR="00667803">
          <w:rPr>
            <w:noProof/>
            <w:webHidden/>
          </w:rPr>
          <w:fldChar w:fldCharType="begin"/>
        </w:r>
        <w:r w:rsidR="00667803">
          <w:rPr>
            <w:noProof/>
            <w:webHidden/>
          </w:rPr>
          <w:instrText xml:space="preserve"> PAGEREF _Toc437512740 \h </w:instrText>
        </w:r>
        <w:r w:rsidR="00667803">
          <w:rPr>
            <w:noProof/>
            <w:webHidden/>
          </w:rPr>
        </w:r>
        <w:r w:rsidR="00667803">
          <w:rPr>
            <w:noProof/>
            <w:webHidden/>
          </w:rPr>
          <w:fldChar w:fldCharType="separate"/>
        </w:r>
        <w:r w:rsidR="00625BEB">
          <w:rPr>
            <w:noProof/>
            <w:webHidden/>
          </w:rPr>
          <w:t>38</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41" w:history="1">
        <w:r w:rsidR="00667803" w:rsidRPr="0091174B">
          <w:rPr>
            <w:rStyle w:val="Hipervnculo"/>
            <w:noProof/>
            <w14:scene3d>
              <w14:camera w14:prst="orthographicFront"/>
              <w14:lightRig w14:rig="threePt" w14:dir="t">
                <w14:rot w14:lat="0" w14:lon="0" w14:rev="0"/>
              </w14:lightRig>
            </w14:scene3d>
          </w:rPr>
          <w:t>6.2.</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resumen regulación margen de continuidad</w:t>
        </w:r>
        <w:r w:rsidR="00667803">
          <w:rPr>
            <w:noProof/>
            <w:webHidden/>
          </w:rPr>
          <w:tab/>
        </w:r>
        <w:r w:rsidR="00667803">
          <w:rPr>
            <w:noProof/>
            <w:webHidden/>
          </w:rPr>
          <w:fldChar w:fldCharType="begin"/>
        </w:r>
        <w:r w:rsidR="00667803">
          <w:rPr>
            <w:noProof/>
            <w:webHidden/>
          </w:rPr>
          <w:instrText xml:space="preserve"> PAGEREF _Toc437512741 \h </w:instrText>
        </w:r>
        <w:r w:rsidR="00667803">
          <w:rPr>
            <w:noProof/>
            <w:webHidden/>
          </w:rPr>
        </w:r>
        <w:r w:rsidR="00667803">
          <w:rPr>
            <w:noProof/>
            <w:webHidden/>
          </w:rPr>
          <w:fldChar w:fldCharType="separate"/>
        </w:r>
        <w:r w:rsidR="00625BEB">
          <w:rPr>
            <w:noProof/>
            <w:webHidden/>
          </w:rPr>
          <w:t>38</w:t>
        </w:r>
        <w:r w:rsidR="00667803">
          <w:rPr>
            <w:noProof/>
            <w:webHidden/>
          </w:rPr>
          <w:fldChar w:fldCharType="end"/>
        </w:r>
      </w:hyperlink>
    </w:p>
    <w:p w:rsidR="00667803" w:rsidRDefault="004B021B">
      <w:pPr>
        <w:pStyle w:val="TDC1"/>
        <w:tabs>
          <w:tab w:val="left" w:pos="440"/>
          <w:tab w:val="right" w:leader="dot" w:pos="9346"/>
        </w:tabs>
        <w:rPr>
          <w:rFonts w:asciiTheme="minorHAnsi" w:eastAsiaTheme="minorEastAsia" w:hAnsiTheme="minorHAnsi" w:cstheme="minorBidi"/>
          <w:b w:val="0"/>
          <w:bCs w:val="0"/>
          <w:caps w:val="0"/>
          <w:noProof/>
          <w:sz w:val="22"/>
          <w:szCs w:val="22"/>
          <w:lang w:val="es-CO" w:eastAsia="es-CO"/>
        </w:rPr>
      </w:pPr>
      <w:hyperlink w:anchor="_Toc437512742" w:history="1">
        <w:r w:rsidR="00667803" w:rsidRPr="0091174B">
          <w:rPr>
            <w:rStyle w:val="Hipervnculo"/>
            <w:rFonts w:eastAsia="Arial"/>
            <w:noProof/>
          </w:rPr>
          <w:t>7</w:t>
        </w:r>
        <w:r w:rsidR="00667803">
          <w:rPr>
            <w:rFonts w:asciiTheme="minorHAnsi" w:eastAsiaTheme="minorEastAsia" w:hAnsiTheme="minorHAnsi" w:cstheme="minorBidi"/>
            <w:b w:val="0"/>
            <w:bCs w:val="0"/>
            <w:caps w:val="0"/>
            <w:noProof/>
            <w:sz w:val="22"/>
            <w:szCs w:val="22"/>
            <w:lang w:val="es-CO" w:eastAsia="es-CO"/>
          </w:rPr>
          <w:tab/>
        </w:r>
        <w:r w:rsidR="00667803" w:rsidRPr="0091174B">
          <w:rPr>
            <w:rStyle w:val="Hipervnculo"/>
            <w:rFonts w:eastAsia="Arial" w:cs="Arial"/>
            <w:noProof/>
          </w:rPr>
          <w:t>TEMAS A ESTUDIAR</w:t>
        </w:r>
        <w:r w:rsidR="00667803">
          <w:rPr>
            <w:noProof/>
            <w:webHidden/>
          </w:rPr>
          <w:tab/>
        </w:r>
        <w:r w:rsidR="00667803">
          <w:rPr>
            <w:noProof/>
            <w:webHidden/>
          </w:rPr>
          <w:fldChar w:fldCharType="begin"/>
        </w:r>
        <w:r w:rsidR="00667803">
          <w:rPr>
            <w:noProof/>
            <w:webHidden/>
          </w:rPr>
          <w:instrText xml:space="preserve"> PAGEREF _Toc437512742 \h </w:instrText>
        </w:r>
        <w:r w:rsidR="00667803">
          <w:rPr>
            <w:noProof/>
            <w:webHidden/>
          </w:rPr>
        </w:r>
        <w:r w:rsidR="00667803">
          <w:rPr>
            <w:noProof/>
            <w:webHidden/>
          </w:rPr>
          <w:fldChar w:fldCharType="separate"/>
        </w:r>
        <w:r w:rsidR="00625BEB">
          <w:rPr>
            <w:noProof/>
            <w:webHidden/>
          </w:rPr>
          <w:t>39</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43" w:history="1">
        <w:r w:rsidR="00667803" w:rsidRPr="0091174B">
          <w:rPr>
            <w:rStyle w:val="Hipervnculo"/>
            <w:rFonts w:eastAsia="Arial" w:cs="Arial"/>
            <w:noProof/>
            <w:lang w:val="es-CO"/>
            <w14:scene3d>
              <w14:camera w14:prst="orthographicFront"/>
              <w14:lightRig w14:rig="threePt" w14:dir="t">
                <w14:rot w14:lat="0" w14:lon="0" w14:rev="0"/>
              </w14:lightRig>
            </w14:scene3d>
          </w:rPr>
          <w:t>7.1.</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eastAsia="Arial" w:cs="Arial"/>
            <w:noProof/>
            <w:lang w:val="es-CO"/>
          </w:rPr>
          <w:t>metodologías en la determinación de precios</w:t>
        </w:r>
        <w:r w:rsidR="00667803">
          <w:rPr>
            <w:noProof/>
            <w:webHidden/>
          </w:rPr>
          <w:tab/>
        </w:r>
        <w:r w:rsidR="00667803">
          <w:rPr>
            <w:noProof/>
            <w:webHidden/>
          </w:rPr>
          <w:fldChar w:fldCharType="begin"/>
        </w:r>
        <w:r w:rsidR="00667803">
          <w:rPr>
            <w:noProof/>
            <w:webHidden/>
          </w:rPr>
          <w:instrText xml:space="preserve"> PAGEREF _Toc437512743 \h </w:instrText>
        </w:r>
        <w:r w:rsidR="00667803">
          <w:rPr>
            <w:noProof/>
            <w:webHidden/>
          </w:rPr>
        </w:r>
        <w:r w:rsidR="00667803">
          <w:rPr>
            <w:noProof/>
            <w:webHidden/>
          </w:rPr>
          <w:fldChar w:fldCharType="separate"/>
        </w:r>
        <w:r w:rsidR="00625BEB">
          <w:rPr>
            <w:noProof/>
            <w:webHidden/>
          </w:rPr>
          <w:t>40</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44" w:history="1">
        <w:r w:rsidR="00667803" w:rsidRPr="0091174B">
          <w:rPr>
            <w:rStyle w:val="Hipervnculo"/>
            <w:noProof/>
            <w:lang w:val="es-CO"/>
            <w14:scene3d>
              <w14:camera w14:prst="orthographicFront"/>
              <w14:lightRig w14:rig="threePt" w14:dir="t">
                <w14:rot w14:lat="0" w14:lon="0" w14:rev="0"/>
              </w14:lightRig>
            </w14:scene3d>
          </w:rPr>
          <w:t>7.2.</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lang w:val="es-CO"/>
          </w:rPr>
          <w:t>esquema de cargos</w:t>
        </w:r>
        <w:r w:rsidR="00667803">
          <w:rPr>
            <w:noProof/>
            <w:webHidden/>
          </w:rPr>
          <w:tab/>
        </w:r>
        <w:r w:rsidR="00667803">
          <w:rPr>
            <w:noProof/>
            <w:webHidden/>
          </w:rPr>
          <w:fldChar w:fldCharType="begin"/>
        </w:r>
        <w:r w:rsidR="00667803">
          <w:rPr>
            <w:noProof/>
            <w:webHidden/>
          </w:rPr>
          <w:instrText xml:space="preserve"> PAGEREF _Toc437512744 \h </w:instrText>
        </w:r>
        <w:r w:rsidR="00667803">
          <w:rPr>
            <w:noProof/>
            <w:webHidden/>
          </w:rPr>
        </w:r>
        <w:r w:rsidR="00667803">
          <w:rPr>
            <w:noProof/>
            <w:webHidden/>
          </w:rPr>
          <w:fldChar w:fldCharType="separate"/>
        </w:r>
        <w:r w:rsidR="00625BEB">
          <w:rPr>
            <w:noProof/>
            <w:webHidden/>
          </w:rPr>
          <w:t>40</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45" w:history="1">
        <w:r w:rsidR="00667803" w:rsidRPr="0091174B">
          <w:rPr>
            <w:rStyle w:val="Hipervnculo"/>
            <w:rFonts w:eastAsia="Arial" w:cs="Arial"/>
            <w:noProof/>
            <w:snapToGrid w:val="0"/>
            <w:lang w:val="es-CO"/>
            <w14:scene3d>
              <w14:camera w14:prst="orthographicFront"/>
              <w14:lightRig w14:rig="threePt" w14:dir="t">
                <w14:rot w14:lat="0" w14:lon="0" w14:rev="0"/>
              </w14:lightRig>
            </w14:scene3d>
          </w:rPr>
          <w:t>7.3.</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eastAsia="Arial" w:cs="Arial"/>
            <w:noProof/>
            <w:snapToGrid w:val="0"/>
            <w:lang w:val="es-CO"/>
          </w:rPr>
          <w:t>modelo tarifario</w:t>
        </w:r>
        <w:r w:rsidR="00667803">
          <w:rPr>
            <w:noProof/>
            <w:webHidden/>
          </w:rPr>
          <w:tab/>
        </w:r>
        <w:r w:rsidR="00667803">
          <w:rPr>
            <w:noProof/>
            <w:webHidden/>
          </w:rPr>
          <w:fldChar w:fldCharType="begin"/>
        </w:r>
        <w:r w:rsidR="00667803">
          <w:rPr>
            <w:noProof/>
            <w:webHidden/>
          </w:rPr>
          <w:instrText xml:space="preserve"> PAGEREF _Toc437512745 \h </w:instrText>
        </w:r>
        <w:r w:rsidR="00667803">
          <w:rPr>
            <w:noProof/>
            <w:webHidden/>
          </w:rPr>
        </w:r>
        <w:r w:rsidR="00667803">
          <w:rPr>
            <w:noProof/>
            <w:webHidden/>
          </w:rPr>
          <w:fldChar w:fldCharType="separate"/>
        </w:r>
        <w:r w:rsidR="00625BEB">
          <w:rPr>
            <w:noProof/>
            <w:webHidden/>
          </w:rPr>
          <w:t>41</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46" w:history="1">
        <w:r w:rsidR="00667803" w:rsidRPr="0091174B">
          <w:rPr>
            <w:rStyle w:val="Hipervnculo"/>
            <w:rFonts w:eastAsia="Arial"/>
            <w:noProof/>
            <w14:scene3d>
              <w14:camera w14:prst="orthographicFront"/>
              <w14:lightRig w14:rig="threePt" w14:dir="t">
                <w14:rot w14:lat="0" w14:lon="0" w14:rev="0"/>
              </w14:lightRig>
            </w14:scene3d>
          </w:rPr>
          <w:t>7.3.1.</w:t>
        </w:r>
        <w:r w:rsidR="00667803">
          <w:rPr>
            <w:rFonts w:asciiTheme="minorHAnsi" w:eastAsiaTheme="minorEastAsia" w:hAnsiTheme="minorHAnsi" w:cstheme="minorBidi"/>
            <w:iCs w:val="0"/>
            <w:noProof/>
            <w:sz w:val="22"/>
            <w:szCs w:val="22"/>
            <w:lang w:val="es-CO" w:eastAsia="es-CO"/>
          </w:rPr>
          <w:tab/>
        </w:r>
        <w:r w:rsidR="00667803" w:rsidRPr="0091174B">
          <w:rPr>
            <w:rStyle w:val="Hipervnculo"/>
            <w:rFonts w:eastAsia="Arial" w:cs="Arial"/>
            <w:noProof/>
          </w:rPr>
          <w:t>Valoración inversión</w:t>
        </w:r>
        <w:r w:rsidR="00667803">
          <w:rPr>
            <w:noProof/>
            <w:webHidden/>
          </w:rPr>
          <w:tab/>
        </w:r>
        <w:r w:rsidR="00667803">
          <w:rPr>
            <w:noProof/>
            <w:webHidden/>
          </w:rPr>
          <w:fldChar w:fldCharType="begin"/>
        </w:r>
        <w:r w:rsidR="00667803">
          <w:rPr>
            <w:noProof/>
            <w:webHidden/>
          </w:rPr>
          <w:instrText xml:space="preserve"> PAGEREF _Toc437512746 \h </w:instrText>
        </w:r>
        <w:r w:rsidR="00667803">
          <w:rPr>
            <w:noProof/>
            <w:webHidden/>
          </w:rPr>
        </w:r>
        <w:r w:rsidR="00667803">
          <w:rPr>
            <w:noProof/>
            <w:webHidden/>
          </w:rPr>
          <w:fldChar w:fldCharType="separate"/>
        </w:r>
        <w:r w:rsidR="00625BEB">
          <w:rPr>
            <w:noProof/>
            <w:webHidden/>
          </w:rPr>
          <w:t>41</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47" w:history="1">
        <w:r w:rsidR="00667803" w:rsidRPr="0091174B">
          <w:rPr>
            <w:rStyle w:val="Hipervnculo"/>
            <w:noProof/>
            <w:lang w:eastAsia="es-CO"/>
            <w14:scene3d>
              <w14:camera w14:prst="orthographicFront"/>
              <w14:lightRig w14:rig="threePt" w14:dir="t">
                <w14:rot w14:lat="0" w14:lon="0" w14:rev="0"/>
              </w14:lightRig>
            </w14:scene3d>
          </w:rPr>
          <w:t>7.3.2.</w:t>
        </w:r>
        <w:r w:rsidR="00667803">
          <w:rPr>
            <w:rFonts w:asciiTheme="minorHAnsi" w:eastAsiaTheme="minorEastAsia" w:hAnsiTheme="minorHAnsi" w:cstheme="minorBidi"/>
            <w:iCs w:val="0"/>
            <w:noProof/>
            <w:sz w:val="22"/>
            <w:szCs w:val="22"/>
            <w:lang w:val="es-CO" w:eastAsia="es-CO"/>
          </w:rPr>
          <w:tab/>
        </w:r>
        <w:r w:rsidR="00667803" w:rsidRPr="0091174B">
          <w:rPr>
            <w:rStyle w:val="Hipervnculo"/>
            <w:rFonts w:cs="Arial"/>
            <w:noProof/>
            <w:lang w:eastAsia="es-CO"/>
          </w:rPr>
          <w:t>Fijación de la Tasa de Retorno</w:t>
        </w:r>
        <w:r w:rsidR="00667803">
          <w:rPr>
            <w:noProof/>
            <w:webHidden/>
          </w:rPr>
          <w:tab/>
        </w:r>
        <w:r w:rsidR="00667803">
          <w:rPr>
            <w:noProof/>
            <w:webHidden/>
          </w:rPr>
          <w:fldChar w:fldCharType="begin"/>
        </w:r>
        <w:r w:rsidR="00667803">
          <w:rPr>
            <w:noProof/>
            <w:webHidden/>
          </w:rPr>
          <w:instrText xml:space="preserve"> PAGEREF _Toc437512747 \h </w:instrText>
        </w:r>
        <w:r w:rsidR="00667803">
          <w:rPr>
            <w:noProof/>
            <w:webHidden/>
          </w:rPr>
        </w:r>
        <w:r w:rsidR="00667803">
          <w:rPr>
            <w:noProof/>
            <w:webHidden/>
          </w:rPr>
          <w:fldChar w:fldCharType="separate"/>
        </w:r>
        <w:r w:rsidR="00625BEB">
          <w:rPr>
            <w:noProof/>
            <w:webHidden/>
          </w:rPr>
          <w:t>42</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48" w:history="1">
        <w:r w:rsidR="00667803" w:rsidRPr="0091174B">
          <w:rPr>
            <w:rStyle w:val="Hipervnculo"/>
            <w:rFonts w:eastAsia="Arial"/>
            <w:noProof/>
            <w14:scene3d>
              <w14:camera w14:prst="orthographicFront"/>
              <w14:lightRig w14:rig="threePt" w14:dir="t">
                <w14:rot w14:lat="0" w14:lon="0" w14:rev="0"/>
              </w14:lightRig>
            </w14:scene3d>
          </w:rPr>
          <w:t>7.3.3.</w:t>
        </w:r>
        <w:r w:rsidR="00667803">
          <w:rPr>
            <w:rFonts w:asciiTheme="minorHAnsi" w:eastAsiaTheme="minorEastAsia" w:hAnsiTheme="minorHAnsi" w:cstheme="minorBidi"/>
            <w:iCs w:val="0"/>
            <w:noProof/>
            <w:sz w:val="22"/>
            <w:szCs w:val="22"/>
            <w:lang w:val="es-CO" w:eastAsia="es-CO"/>
          </w:rPr>
          <w:tab/>
        </w:r>
        <w:r w:rsidR="00667803" w:rsidRPr="0091174B">
          <w:rPr>
            <w:rStyle w:val="Hipervnculo"/>
            <w:rFonts w:eastAsia="Arial"/>
            <w:noProof/>
          </w:rPr>
          <w:t>Definición Vida útil</w:t>
        </w:r>
        <w:r w:rsidR="00667803">
          <w:rPr>
            <w:noProof/>
            <w:webHidden/>
          </w:rPr>
          <w:tab/>
        </w:r>
        <w:r w:rsidR="00667803">
          <w:rPr>
            <w:noProof/>
            <w:webHidden/>
          </w:rPr>
          <w:fldChar w:fldCharType="begin"/>
        </w:r>
        <w:r w:rsidR="00667803">
          <w:rPr>
            <w:noProof/>
            <w:webHidden/>
          </w:rPr>
          <w:instrText xml:space="preserve"> PAGEREF _Toc437512748 \h </w:instrText>
        </w:r>
        <w:r w:rsidR="00667803">
          <w:rPr>
            <w:noProof/>
            <w:webHidden/>
          </w:rPr>
        </w:r>
        <w:r w:rsidR="00667803">
          <w:rPr>
            <w:noProof/>
            <w:webHidden/>
          </w:rPr>
          <w:fldChar w:fldCharType="separate"/>
        </w:r>
        <w:r w:rsidR="00625BEB">
          <w:rPr>
            <w:noProof/>
            <w:webHidden/>
          </w:rPr>
          <w:t>42</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49" w:history="1">
        <w:r w:rsidR="00667803" w:rsidRPr="0091174B">
          <w:rPr>
            <w:rStyle w:val="Hipervnculo"/>
            <w:noProof/>
            <w14:scene3d>
              <w14:camera w14:prst="orthographicFront"/>
              <w14:lightRig w14:rig="threePt" w14:dir="t">
                <w14:rot w14:lat="0" w14:lon="0" w14:rev="0"/>
              </w14:lightRig>
            </w14:scene3d>
          </w:rPr>
          <w:t>7.3.4.</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Remuneración de inversiones almacenamiento operativo eficiente</w:t>
        </w:r>
        <w:r w:rsidR="00667803">
          <w:rPr>
            <w:noProof/>
            <w:webHidden/>
          </w:rPr>
          <w:tab/>
        </w:r>
        <w:r w:rsidR="00667803">
          <w:rPr>
            <w:noProof/>
            <w:webHidden/>
          </w:rPr>
          <w:fldChar w:fldCharType="begin"/>
        </w:r>
        <w:r w:rsidR="00667803">
          <w:rPr>
            <w:noProof/>
            <w:webHidden/>
          </w:rPr>
          <w:instrText xml:space="preserve"> PAGEREF _Toc437512749 \h </w:instrText>
        </w:r>
        <w:r w:rsidR="00667803">
          <w:rPr>
            <w:noProof/>
            <w:webHidden/>
          </w:rPr>
        </w:r>
        <w:r w:rsidR="00667803">
          <w:rPr>
            <w:noProof/>
            <w:webHidden/>
          </w:rPr>
          <w:fldChar w:fldCharType="separate"/>
        </w:r>
        <w:r w:rsidR="00625BEB">
          <w:rPr>
            <w:noProof/>
            <w:webHidden/>
          </w:rPr>
          <w:t>42</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50" w:history="1">
        <w:r w:rsidR="00667803" w:rsidRPr="0091174B">
          <w:rPr>
            <w:rStyle w:val="Hipervnculo"/>
            <w:noProof/>
            <w14:scene3d>
              <w14:camera w14:prst="orthographicFront"/>
              <w14:lightRig w14:rig="threePt" w14:dir="t">
                <w14:rot w14:lat="0" w14:lon="0" w14:rev="0"/>
              </w14:lightRig>
            </w14:scene3d>
          </w:rPr>
          <w:t>7.3.5.</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Llenado de línea</w:t>
        </w:r>
        <w:r w:rsidR="00667803">
          <w:rPr>
            <w:noProof/>
            <w:webHidden/>
          </w:rPr>
          <w:tab/>
        </w:r>
        <w:r w:rsidR="00667803">
          <w:rPr>
            <w:noProof/>
            <w:webHidden/>
          </w:rPr>
          <w:fldChar w:fldCharType="begin"/>
        </w:r>
        <w:r w:rsidR="00667803">
          <w:rPr>
            <w:noProof/>
            <w:webHidden/>
          </w:rPr>
          <w:instrText xml:space="preserve"> PAGEREF _Toc437512750 \h </w:instrText>
        </w:r>
        <w:r w:rsidR="00667803">
          <w:rPr>
            <w:noProof/>
            <w:webHidden/>
          </w:rPr>
        </w:r>
        <w:r w:rsidR="00667803">
          <w:rPr>
            <w:noProof/>
            <w:webHidden/>
          </w:rPr>
          <w:fldChar w:fldCharType="separate"/>
        </w:r>
        <w:r w:rsidR="00625BEB">
          <w:rPr>
            <w:noProof/>
            <w:webHidden/>
          </w:rPr>
          <w:t>42</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51" w:history="1">
        <w:r w:rsidR="00667803" w:rsidRPr="0091174B">
          <w:rPr>
            <w:rStyle w:val="Hipervnculo"/>
            <w:rFonts w:eastAsia="Arial" w:cs="Arial"/>
            <w:noProof/>
            <w14:scene3d>
              <w14:camera w14:prst="orthographicFront"/>
              <w14:lightRig w14:rig="threePt" w14:dir="t">
                <w14:rot w14:lat="0" w14:lon="0" w14:rev="0"/>
              </w14:lightRig>
            </w14:scene3d>
          </w:rPr>
          <w:t>7.4.</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eastAsia="Arial" w:cs="Arial"/>
            <w:noProof/>
          </w:rPr>
          <w:t>AOM</w:t>
        </w:r>
        <w:r w:rsidR="00667803">
          <w:rPr>
            <w:noProof/>
            <w:webHidden/>
          </w:rPr>
          <w:tab/>
        </w:r>
        <w:r w:rsidR="00667803">
          <w:rPr>
            <w:noProof/>
            <w:webHidden/>
          </w:rPr>
          <w:fldChar w:fldCharType="begin"/>
        </w:r>
        <w:r w:rsidR="00667803">
          <w:rPr>
            <w:noProof/>
            <w:webHidden/>
          </w:rPr>
          <w:instrText xml:space="preserve"> PAGEREF _Toc437512751 \h </w:instrText>
        </w:r>
        <w:r w:rsidR="00667803">
          <w:rPr>
            <w:noProof/>
            <w:webHidden/>
          </w:rPr>
        </w:r>
        <w:r w:rsidR="00667803">
          <w:rPr>
            <w:noProof/>
            <w:webHidden/>
          </w:rPr>
          <w:fldChar w:fldCharType="separate"/>
        </w:r>
        <w:r w:rsidR="00625BEB">
          <w:rPr>
            <w:noProof/>
            <w:webHidden/>
          </w:rPr>
          <w:t>43</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52" w:history="1">
        <w:r w:rsidR="00667803" w:rsidRPr="0091174B">
          <w:rPr>
            <w:rStyle w:val="Hipervnculo"/>
            <w:noProof/>
            <w14:scene3d>
              <w14:camera w14:prst="orthographicFront"/>
              <w14:lightRig w14:rig="threePt" w14:dir="t">
                <w14:rot w14:lat="0" w14:lon="0" w14:rev="0"/>
              </w14:lightRig>
            </w14:scene3d>
          </w:rPr>
          <w:t>7.5.</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demanda, factor de uso y eficiencia</w:t>
        </w:r>
        <w:r w:rsidR="00667803">
          <w:rPr>
            <w:noProof/>
            <w:webHidden/>
          </w:rPr>
          <w:tab/>
        </w:r>
        <w:r w:rsidR="00667803">
          <w:rPr>
            <w:noProof/>
            <w:webHidden/>
          </w:rPr>
          <w:fldChar w:fldCharType="begin"/>
        </w:r>
        <w:r w:rsidR="00667803">
          <w:rPr>
            <w:noProof/>
            <w:webHidden/>
          </w:rPr>
          <w:instrText xml:space="preserve"> PAGEREF _Toc437512752 \h </w:instrText>
        </w:r>
        <w:r w:rsidR="00667803">
          <w:rPr>
            <w:noProof/>
            <w:webHidden/>
          </w:rPr>
        </w:r>
        <w:r w:rsidR="00667803">
          <w:rPr>
            <w:noProof/>
            <w:webHidden/>
          </w:rPr>
          <w:fldChar w:fldCharType="separate"/>
        </w:r>
        <w:r w:rsidR="00625BEB">
          <w:rPr>
            <w:noProof/>
            <w:webHidden/>
          </w:rPr>
          <w:t>43</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53" w:history="1">
        <w:r w:rsidR="00667803" w:rsidRPr="0091174B">
          <w:rPr>
            <w:rStyle w:val="Hipervnculo"/>
            <w:noProof/>
            <w:lang w:val="es-CO"/>
            <w14:scene3d>
              <w14:camera w14:prst="orthographicFront"/>
              <w14:lightRig w14:rig="threePt" w14:dir="t">
                <w14:rot w14:lat="0" w14:lon="0" w14:rev="0"/>
              </w14:lightRig>
            </w14:scene3d>
          </w:rPr>
          <w:t>7.6.</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lang w:val="es-CO"/>
          </w:rPr>
          <w:t>estructuración de cargos fijos y variables.</w:t>
        </w:r>
        <w:r w:rsidR="00667803">
          <w:rPr>
            <w:noProof/>
            <w:webHidden/>
          </w:rPr>
          <w:tab/>
        </w:r>
        <w:r w:rsidR="00667803">
          <w:rPr>
            <w:noProof/>
            <w:webHidden/>
          </w:rPr>
          <w:fldChar w:fldCharType="begin"/>
        </w:r>
        <w:r w:rsidR="00667803">
          <w:rPr>
            <w:noProof/>
            <w:webHidden/>
          </w:rPr>
          <w:instrText xml:space="preserve"> PAGEREF _Toc437512753 \h </w:instrText>
        </w:r>
        <w:r w:rsidR="00667803">
          <w:rPr>
            <w:noProof/>
            <w:webHidden/>
          </w:rPr>
        </w:r>
        <w:r w:rsidR="00667803">
          <w:rPr>
            <w:noProof/>
            <w:webHidden/>
          </w:rPr>
          <w:fldChar w:fldCharType="separate"/>
        </w:r>
        <w:r w:rsidR="00625BEB">
          <w:rPr>
            <w:noProof/>
            <w:webHidden/>
          </w:rPr>
          <w:t>43</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54" w:history="1">
        <w:r w:rsidR="00667803" w:rsidRPr="0091174B">
          <w:rPr>
            <w:rStyle w:val="Hipervnculo"/>
            <w:noProof/>
            <w14:scene3d>
              <w14:camera w14:prst="orthographicFront"/>
              <w14:lightRig w14:rig="threePt" w14:dir="t">
                <w14:rot w14:lat="0" w14:lon="0" w14:rev="0"/>
              </w14:lightRig>
            </w14:scene3d>
          </w:rPr>
          <w:t>7.7.</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competitividad vs transporte sustituto</w:t>
        </w:r>
        <w:r w:rsidR="00667803">
          <w:rPr>
            <w:noProof/>
            <w:webHidden/>
          </w:rPr>
          <w:tab/>
        </w:r>
        <w:r w:rsidR="00667803">
          <w:rPr>
            <w:noProof/>
            <w:webHidden/>
          </w:rPr>
          <w:fldChar w:fldCharType="begin"/>
        </w:r>
        <w:r w:rsidR="00667803">
          <w:rPr>
            <w:noProof/>
            <w:webHidden/>
          </w:rPr>
          <w:instrText xml:space="preserve"> PAGEREF _Toc437512754 \h </w:instrText>
        </w:r>
        <w:r w:rsidR="00667803">
          <w:rPr>
            <w:noProof/>
            <w:webHidden/>
          </w:rPr>
        </w:r>
        <w:r w:rsidR="00667803">
          <w:rPr>
            <w:noProof/>
            <w:webHidden/>
          </w:rPr>
          <w:fldChar w:fldCharType="separate"/>
        </w:r>
        <w:r w:rsidR="00625BEB">
          <w:rPr>
            <w:noProof/>
            <w:webHidden/>
          </w:rPr>
          <w:t>43</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55" w:history="1">
        <w:r w:rsidR="00667803" w:rsidRPr="0091174B">
          <w:rPr>
            <w:rStyle w:val="Hipervnculo"/>
            <w:rFonts w:eastAsia="Arial"/>
            <w:noProof/>
            <w14:scene3d>
              <w14:camera w14:prst="orthographicFront"/>
              <w14:lightRig w14:rig="threePt" w14:dir="t">
                <w14:rot w14:lat="0" w14:lon="0" w14:rev="0"/>
              </w14:lightRig>
            </w14:scene3d>
          </w:rPr>
          <w:t>7.8.</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eastAsia="Arial"/>
            <w:noProof/>
          </w:rPr>
          <w:t>información contable para la regulación</w:t>
        </w:r>
        <w:r w:rsidR="00667803">
          <w:rPr>
            <w:noProof/>
            <w:webHidden/>
          </w:rPr>
          <w:tab/>
        </w:r>
        <w:r w:rsidR="00667803">
          <w:rPr>
            <w:noProof/>
            <w:webHidden/>
          </w:rPr>
          <w:fldChar w:fldCharType="begin"/>
        </w:r>
        <w:r w:rsidR="00667803">
          <w:rPr>
            <w:noProof/>
            <w:webHidden/>
          </w:rPr>
          <w:instrText xml:space="preserve"> PAGEREF _Toc437512755 \h </w:instrText>
        </w:r>
        <w:r w:rsidR="00667803">
          <w:rPr>
            <w:noProof/>
            <w:webHidden/>
          </w:rPr>
        </w:r>
        <w:r w:rsidR="00667803">
          <w:rPr>
            <w:noProof/>
            <w:webHidden/>
          </w:rPr>
          <w:fldChar w:fldCharType="separate"/>
        </w:r>
        <w:r w:rsidR="00625BEB">
          <w:rPr>
            <w:noProof/>
            <w:webHidden/>
          </w:rPr>
          <w:t>44</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56" w:history="1">
        <w:r w:rsidR="00667803" w:rsidRPr="0091174B">
          <w:rPr>
            <w:rStyle w:val="Hipervnculo"/>
            <w:rFonts w:cs="Arial"/>
            <w:noProof/>
            <w:lang w:val="es-CO"/>
            <w14:scene3d>
              <w14:camera w14:prst="orthographicFront"/>
              <w14:lightRig w14:rig="threePt" w14:dir="t">
                <w14:rot w14:lat="0" w14:lon="0" w14:rev="0"/>
              </w14:lightRig>
            </w14:scene3d>
          </w:rPr>
          <w:t>7.9.</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cs="Arial"/>
            <w:noProof/>
            <w:lang w:val="es-CO"/>
          </w:rPr>
          <w:t>remuneración de las pérdidas</w:t>
        </w:r>
        <w:r w:rsidR="00667803">
          <w:rPr>
            <w:noProof/>
            <w:webHidden/>
          </w:rPr>
          <w:tab/>
        </w:r>
        <w:r w:rsidR="00667803">
          <w:rPr>
            <w:noProof/>
            <w:webHidden/>
          </w:rPr>
          <w:fldChar w:fldCharType="begin"/>
        </w:r>
        <w:r w:rsidR="00667803">
          <w:rPr>
            <w:noProof/>
            <w:webHidden/>
          </w:rPr>
          <w:instrText xml:space="preserve"> PAGEREF _Toc437512756 \h </w:instrText>
        </w:r>
        <w:r w:rsidR="00667803">
          <w:rPr>
            <w:noProof/>
            <w:webHidden/>
          </w:rPr>
        </w:r>
        <w:r w:rsidR="00667803">
          <w:rPr>
            <w:noProof/>
            <w:webHidden/>
          </w:rPr>
          <w:fldChar w:fldCharType="separate"/>
        </w:r>
        <w:r w:rsidR="00625BEB">
          <w:rPr>
            <w:noProof/>
            <w:webHidden/>
          </w:rPr>
          <w:t>44</w:t>
        </w:r>
        <w:r w:rsidR="00667803">
          <w:rPr>
            <w:noProof/>
            <w:webHidden/>
          </w:rPr>
          <w:fldChar w:fldCharType="end"/>
        </w:r>
      </w:hyperlink>
    </w:p>
    <w:p w:rsidR="00667803" w:rsidRDefault="004B021B">
      <w:pPr>
        <w:pStyle w:val="TDC2"/>
        <w:tabs>
          <w:tab w:val="left" w:pos="1100"/>
          <w:tab w:val="right" w:leader="dot" w:pos="9346"/>
        </w:tabs>
        <w:rPr>
          <w:rFonts w:asciiTheme="minorHAnsi" w:eastAsiaTheme="minorEastAsia" w:hAnsiTheme="minorHAnsi" w:cstheme="minorBidi"/>
          <w:smallCaps w:val="0"/>
          <w:noProof/>
          <w:sz w:val="22"/>
          <w:szCs w:val="22"/>
          <w:lang w:val="es-CO" w:eastAsia="es-CO"/>
        </w:rPr>
      </w:pPr>
      <w:hyperlink w:anchor="_Toc437512757" w:history="1">
        <w:r w:rsidR="00667803" w:rsidRPr="0091174B">
          <w:rPr>
            <w:rStyle w:val="Hipervnculo"/>
            <w:rFonts w:cs="Arial"/>
            <w:noProof/>
            <w:lang w:val="es-CO"/>
            <w14:scene3d>
              <w14:camera w14:prst="orthographicFront"/>
              <w14:lightRig w14:rig="threePt" w14:dir="t">
                <w14:rot w14:lat="0" w14:lon="0" w14:rev="0"/>
              </w14:lightRig>
            </w14:scene3d>
          </w:rPr>
          <w:t>7.10.</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cs="Arial"/>
            <w:noProof/>
            <w:lang w:val="es-CO"/>
          </w:rPr>
          <w:t>señales tarifarias y expansiones al sistema</w:t>
        </w:r>
        <w:r w:rsidR="00667803">
          <w:rPr>
            <w:noProof/>
            <w:webHidden/>
          </w:rPr>
          <w:tab/>
        </w:r>
        <w:r w:rsidR="00667803">
          <w:rPr>
            <w:noProof/>
            <w:webHidden/>
          </w:rPr>
          <w:fldChar w:fldCharType="begin"/>
        </w:r>
        <w:r w:rsidR="00667803">
          <w:rPr>
            <w:noProof/>
            <w:webHidden/>
          </w:rPr>
          <w:instrText xml:space="preserve"> PAGEREF _Toc437512757 \h </w:instrText>
        </w:r>
        <w:r w:rsidR="00667803">
          <w:rPr>
            <w:noProof/>
            <w:webHidden/>
          </w:rPr>
        </w:r>
        <w:r w:rsidR="00667803">
          <w:rPr>
            <w:noProof/>
            <w:webHidden/>
          </w:rPr>
          <w:fldChar w:fldCharType="separate"/>
        </w:r>
        <w:r w:rsidR="00625BEB">
          <w:rPr>
            <w:noProof/>
            <w:webHidden/>
          </w:rPr>
          <w:t>44</w:t>
        </w:r>
        <w:r w:rsidR="00667803">
          <w:rPr>
            <w:noProof/>
            <w:webHidden/>
          </w:rPr>
          <w:fldChar w:fldCharType="end"/>
        </w:r>
      </w:hyperlink>
    </w:p>
    <w:p w:rsidR="00667803" w:rsidRDefault="004B021B">
      <w:pPr>
        <w:pStyle w:val="TDC1"/>
        <w:tabs>
          <w:tab w:val="left" w:pos="440"/>
          <w:tab w:val="right" w:leader="dot" w:pos="9346"/>
        </w:tabs>
        <w:rPr>
          <w:rFonts w:asciiTheme="minorHAnsi" w:eastAsiaTheme="minorEastAsia" w:hAnsiTheme="minorHAnsi" w:cstheme="minorBidi"/>
          <w:b w:val="0"/>
          <w:bCs w:val="0"/>
          <w:caps w:val="0"/>
          <w:noProof/>
          <w:sz w:val="22"/>
          <w:szCs w:val="22"/>
          <w:lang w:val="es-CO" w:eastAsia="es-CO"/>
        </w:rPr>
      </w:pPr>
      <w:hyperlink w:anchor="_Toc437512758" w:history="1">
        <w:r w:rsidR="00667803" w:rsidRPr="0091174B">
          <w:rPr>
            <w:rStyle w:val="Hipervnculo"/>
            <w:noProof/>
            <w:lang w:val="es-CO"/>
          </w:rPr>
          <w:t>8</w:t>
        </w:r>
        <w:r w:rsidR="00667803">
          <w:rPr>
            <w:rFonts w:asciiTheme="minorHAnsi" w:eastAsiaTheme="minorEastAsia" w:hAnsiTheme="minorHAnsi" w:cstheme="minorBidi"/>
            <w:b w:val="0"/>
            <w:bCs w:val="0"/>
            <w:caps w:val="0"/>
            <w:noProof/>
            <w:sz w:val="22"/>
            <w:szCs w:val="22"/>
            <w:lang w:val="es-CO" w:eastAsia="es-CO"/>
          </w:rPr>
          <w:tab/>
        </w:r>
        <w:r w:rsidR="00667803" w:rsidRPr="0091174B">
          <w:rPr>
            <w:rStyle w:val="Hipervnculo"/>
            <w:noProof/>
            <w:lang w:val="es-CO"/>
          </w:rPr>
          <w:t>Anexo 1. Detalles de la infraestructura de transporte por ductos</w:t>
        </w:r>
        <w:r w:rsidR="00667803">
          <w:rPr>
            <w:noProof/>
            <w:webHidden/>
          </w:rPr>
          <w:tab/>
        </w:r>
        <w:r w:rsidR="00667803">
          <w:rPr>
            <w:noProof/>
            <w:webHidden/>
          </w:rPr>
          <w:fldChar w:fldCharType="begin"/>
        </w:r>
        <w:r w:rsidR="00667803">
          <w:rPr>
            <w:noProof/>
            <w:webHidden/>
          </w:rPr>
          <w:instrText xml:space="preserve"> PAGEREF _Toc437512758 \h </w:instrText>
        </w:r>
        <w:r w:rsidR="00667803">
          <w:rPr>
            <w:noProof/>
            <w:webHidden/>
          </w:rPr>
        </w:r>
        <w:r w:rsidR="00667803">
          <w:rPr>
            <w:noProof/>
            <w:webHidden/>
          </w:rPr>
          <w:fldChar w:fldCharType="separate"/>
        </w:r>
        <w:r w:rsidR="00625BEB">
          <w:rPr>
            <w:noProof/>
            <w:webHidden/>
          </w:rPr>
          <w:t>45</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59" w:history="1">
        <w:r w:rsidR="00667803" w:rsidRPr="0091174B">
          <w:rPr>
            <w:rStyle w:val="Hipervnculo"/>
            <w:noProof/>
            <w14:scene3d>
              <w14:camera w14:prst="orthographicFront"/>
              <w14:lightRig w14:rig="threePt" w14:dir="t">
                <w14:rot w14:lat="0" w14:lon="0" w14:rev="0"/>
              </w14:lightRig>
            </w14:scene3d>
          </w:rPr>
          <w:t>8.1.</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infraestructura de transporte z</w:t>
        </w:r>
        <w:r w:rsidR="00667803" w:rsidRPr="0091174B">
          <w:rPr>
            <w:rStyle w:val="Hipervnculo"/>
            <w:noProof/>
            <w:lang w:eastAsia="es-CO"/>
          </w:rPr>
          <w:t>ona norte</w:t>
        </w:r>
        <w:r w:rsidR="00667803">
          <w:rPr>
            <w:noProof/>
            <w:webHidden/>
          </w:rPr>
          <w:tab/>
        </w:r>
        <w:r w:rsidR="00667803">
          <w:rPr>
            <w:noProof/>
            <w:webHidden/>
          </w:rPr>
          <w:fldChar w:fldCharType="begin"/>
        </w:r>
        <w:r w:rsidR="00667803">
          <w:rPr>
            <w:noProof/>
            <w:webHidden/>
          </w:rPr>
          <w:instrText xml:space="preserve"> PAGEREF _Toc437512759 \h </w:instrText>
        </w:r>
        <w:r w:rsidR="00667803">
          <w:rPr>
            <w:noProof/>
            <w:webHidden/>
          </w:rPr>
        </w:r>
        <w:r w:rsidR="00667803">
          <w:rPr>
            <w:noProof/>
            <w:webHidden/>
          </w:rPr>
          <w:fldChar w:fldCharType="separate"/>
        </w:r>
        <w:r w:rsidR="00625BEB">
          <w:rPr>
            <w:noProof/>
            <w:webHidden/>
          </w:rPr>
          <w:t>45</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60" w:history="1">
        <w:r w:rsidR="00667803" w:rsidRPr="0091174B">
          <w:rPr>
            <w:rStyle w:val="Hipervnculo"/>
            <w:noProof/>
            <w:lang w:eastAsia="es-CO"/>
            <w14:scene3d>
              <w14:camera w14:prst="orthographicFront"/>
              <w14:lightRig w14:rig="threePt" w14:dir="t">
                <w14:rot w14:lat="0" w14:lon="0" w14:rev="0"/>
              </w14:lightRig>
            </w14:scene3d>
          </w:rPr>
          <w:t>8.2.</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Infraestructura de transporte z</w:t>
        </w:r>
        <w:r w:rsidR="00667803" w:rsidRPr="0091174B">
          <w:rPr>
            <w:rStyle w:val="Hipervnculo"/>
            <w:noProof/>
            <w:lang w:eastAsia="es-CO"/>
          </w:rPr>
          <w:t>ona este</w:t>
        </w:r>
        <w:r w:rsidR="00667803">
          <w:rPr>
            <w:noProof/>
            <w:webHidden/>
          </w:rPr>
          <w:tab/>
        </w:r>
        <w:r w:rsidR="00667803">
          <w:rPr>
            <w:noProof/>
            <w:webHidden/>
          </w:rPr>
          <w:fldChar w:fldCharType="begin"/>
        </w:r>
        <w:r w:rsidR="00667803">
          <w:rPr>
            <w:noProof/>
            <w:webHidden/>
          </w:rPr>
          <w:instrText xml:space="preserve"> PAGEREF _Toc437512760 \h </w:instrText>
        </w:r>
        <w:r w:rsidR="00667803">
          <w:rPr>
            <w:noProof/>
            <w:webHidden/>
          </w:rPr>
        </w:r>
        <w:r w:rsidR="00667803">
          <w:rPr>
            <w:noProof/>
            <w:webHidden/>
          </w:rPr>
          <w:fldChar w:fldCharType="separate"/>
        </w:r>
        <w:r w:rsidR="00625BEB">
          <w:rPr>
            <w:noProof/>
            <w:webHidden/>
          </w:rPr>
          <w:t>45</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61" w:history="1">
        <w:r w:rsidR="00667803" w:rsidRPr="0091174B">
          <w:rPr>
            <w:rStyle w:val="Hipervnculo"/>
            <w:noProof/>
            <w:lang w:eastAsia="es-CO"/>
            <w14:scene3d>
              <w14:camera w14:prst="orthographicFront"/>
              <w14:lightRig w14:rig="threePt" w14:dir="t">
                <w14:rot w14:lat="0" w14:lon="0" w14:rev="0"/>
              </w14:lightRig>
            </w14:scene3d>
          </w:rPr>
          <w:t>8.3.</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infraestructura de transporte z</w:t>
        </w:r>
        <w:r w:rsidR="00667803" w:rsidRPr="0091174B">
          <w:rPr>
            <w:rStyle w:val="Hipervnculo"/>
            <w:noProof/>
            <w:lang w:eastAsia="es-CO"/>
          </w:rPr>
          <w:t>ona centro</w:t>
        </w:r>
        <w:r w:rsidR="00667803">
          <w:rPr>
            <w:noProof/>
            <w:webHidden/>
          </w:rPr>
          <w:tab/>
        </w:r>
        <w:r w:rsidR="00667803">
          <w:rPr>
            <w:noProof/>
            <w:webHidden/>
          </w:rPr>
          <w:fldChar w:fldCharType="begin"/>
        </w:r>
        <w:r w:rsidR="00667803">
          <w:rPr>
            <w:noProof/>
            <w:webHidden/>
          </w:rPr>
          <w:instrText xml:space="preserve"> PAGEREF _Toc437512761 \h </w:instrText>
        </w:r>
        <w:r w:rsidR="00667803">
          <w:rPr>
            <w:noProof/>
            <w:webHidden/>
          </w:rPr>
        </w:r>
        <w:r w:rsidR="00667803">
          <w:rPr>
            <w:noProof/>
            <w:webHidden/>
          </w:rPr>
          <w:fldChar w:fldCharType="separate"/>
        </w:r>
        <w:r w:rsidR="00625BEB">
          <w:rPr>
            <w:noProof/>
            <w:webHidden/>
          </w:rPr>
          <w:t>45</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62" w:history="1">
        <w:r w:rsidR="00667803" w:rsidRPr="0091174B">
          <w:rPr>
            <w:rStyle w:val="Hipervnculo"/>
            <w:noProof/>
            <w14:scene3d>
              <w14:camera w14:prst="orthographicFront"/>
              <w14:lightRig w14:rig="threePt" w14:dir="t">
                <w14:rot w14:lat="0" w14:lon="0" w14:rev="0"/>
              </w14:lightRig>
            </w14:scene3d>
          </w:rPr>
          <w:t>8.4.</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infraestructura de transporte zona oeste</w:t>
        </w:r>
        <w:r w:rsidR="00667803">
          <w:rPr>
            <w:noProof/>
            <w:webHidden/>
          </w:rPr>
          <w:tab/>
        </w:r>
        <w:r w:rsidR="00667803">
          <w:rPr>
            <w:noProof/>
            <w:webHidden/>
          </w:rPr>
          <w:fldChar w:fldCharType="begin"/>
        </w:r>
        <w:r w:rsidR="00667803">
          <w:rPr>
            <w:noProof/>
            <w:webHidden/>
          </w:rPr>
          <w:instrText xml:space="preserve"> PAGEREF _Toc437512762 \h </w:instrText>
        </w:r>
        <w:r w:rsidR="00667803">
          <w:rPr>
            <w:noProof/>
            <w:webHidden/>
          </w:rPr>
        </w:r>
        <w:r w:rsidR="00667803">
          <w:rPr>
            <w:noProof/>
            <w:webHidden/>
          </w:rPr>
          <w:fldChar w:fldCharType="separate"/>
        </w:r>
        <w:r w:rsidR="00625BEB">
          <w:rPr>
            <w:noProof/>
            <w:webHidden/>
          </w:rPr>
          <w:t>46</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63" w:history="1">
        <w:r w:rsidR="00667803" w:rsidRPr="0091174B">
          <w:rPr>
            <w:rStyle w:val="Hipervnculo"/>
            <w:noProof/>
            <w:lang w:eastAsia="es-CO"/>
            <w14:scene3d>
              <w14:camera w14:prst="orthographicFront"/>
              <w14:lightRig w14:rig="threePt" w14:dir="t">
                <w14:rot w14:lat="0" w14:lon="0" w14:rev="0"/>
              </w14:lightRig>
            </w14:scene3d>
          </w:rPr>
          <w:t>8.5.</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infraestructura de transporte z</w:t>
        </w:r>
        <w:r w:rsidR="00667803" w:rsidRPr="0091174B">
          <w:rPr>
            <w:rStyle w:val="Hipervnculo"/>
            <w:noProof/>
            <w:lang w:eastAsia="es-CO"/>
          </w:rPr>
          <w:t>ona sur</w:t>
        </w:r>
        <w:r w:rsidR="00667803">
          <w:rPr>
            <w:noProof/>
            <w:webHidden/>
          </w:rPr>
          <w:tab/>
        </w:r>
        <w:r w:rsidR="00667803">
          <w:rPr>
            <w:noProof/>
            <w:webHidden/>
          </w:rPr>
          <w:fldChar w:fldCharType="begin"/>
        </w:r>
        <w:r w:rsidR="00667803">
          <w:rPr>
            <w:noProof/>
            <w:webHidden/>
          </w:rPr>
          <w:instrText xml:space="preserve"> PAGEREF _Toc437512763 \h </w:instrText>
        </w:r>
        <w:r w:rsidR="00667803">
          <w:rPr>
            <w:noProof/>
            <w:webHidden/>
          </w:rPr>
        </w:r>
        <w:r w:rsidR="00667803">
          <w:rPr>
            <w:noProof/>
            <w:webHidden/>
          </w:rPr>
          <w:fldChar w:fldCharType="separate"/>
        </w:r>
        <w:r w:rsidR="00625BEB">
          <w:rPr>
            <w:noProof/>
            <w:webHidden/>
          </w:rPr>
          <w:t>46</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64" w:history="1">
        <w:r w:rsidR="00667803" w:rsidRPr="0091174B">
          <w:rPr>
            <w:rStyle w:val="Hipervnculo"/>
            <w:noProof/>
            <w14:scene3d>
              <w14:camera w14:prst="orthographicFront"/>
              <w14:lightRig w14:rig="threePt" w14:dir="t">
                <w14:rot w14:lat="0" w14:lon="0" w14:rev="0"/>
              </w14:lightRig>
            </w14:scene3d>
          </w:rPr>
          <w:t>8.6.</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infraestructura de transporte zona bogotá</w:t>
        </w:r>
        <w:r w:rsidR="00667803">
          <w:rPr>
            <w:noProof/>
            <w:webHidden/>
          </w:rPr>
          <w:tab/>
        </w:r>
        <w:r w:rsidR="00667803">
          <w:rPr>
            <w:noProof/>
            <w:webHidden/>
          </w:rPr>
          <w:fldChar w:fldCharType="begin"/>
        </w:r>
        <w:r w:rsidR="00667803">
          <w:rPr>
            <w:noProof/>
            <w:webHidden/>
          </w:rPr>
          <w:instrText xml:space="preserve"> PAGEREF _Toc437512764 \h </w:instrText>
        </w:r>
        <w:r w:rsidR="00667803">
          <w:rPr>
            <w:noProof/>
            <w:webHidden/>
          </w:rPr>
        </w:r>
        <w:r w:rsidR="00667803">
          <w:rPr>
            <w:noProof/>
            <w:webHidden/>
          </w:rPr>
          <w:fldChar w:fldCharType="separate"/>
        </w:r>
        <w:r w:rsidR="00625BEB">
          <w:rPr>
            <w:noProof/>
            <w:webHidden/>
          </w:rPr>
          <w:t>47</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65" w:history="1">
        <w:r w:rsidR="00667803" w:rsidRPr="0091174B">
          <w:rPr>
            <w:rStyle w:val="Hipervnculo"/>
            <w:rFonts w:cs="Arial"/>
            <w:noProof/>
            <w14:scene3d>
              <w14:camera w14:prst="orthographicFront"/>
              <w14:lightRig w14:rig="threePt" w14:dir="t">
                <w14:rot w14:lat="0" w14:lon="0" w14:rev="0"/>
              </w14:lightRig>
            </w14:scene3d>
          </w:rPr>
          <w:t>8.7.</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rFonts w:cs="Arial"/>
            <w:noProof/>
          </w:rPr>
          <w:t>infraestructura de almacenamiento</w:t>
        </w:r>
        <w:r w:rsidR="00667803">
          <w:rPr>
            <w:noProof/>
            <w:webHidden/>
          </w:rPr>
          <w:tab/>
        </w:r>
        <w:r w:rsidR="00667803">
          <w:rPr>
            <w:noProof/>
            <w:webHidden/>
          </w:rPr>
          <w:fldChar w:fldCharType="begin"/>
        </w:r>
        <w:r w:rsidR="00667803">
          <w:rPr>
            <w:noProof/>
            <w:webHidden/>
          </w:rPr>
          <w:instrText xml:space="preserve"> PAGEREF _Toc437512765 \h </w:instrText>
        </w:r>
        <w:r w:rsidR="00667803">
          <w:rPr>
            <w:noProof/>
            <w:webHidden/>
          </w:rPr>
        </w:r>
        <w:r w:rsidR="00667803">
          <w:rPr>
            <w:noProof/>
            <w:webHidden/>
          </w:rPr>
          <w:fldChar w:fldCharType="separate"/>
        </w:r>
        <w:r w:rsidR="00625BEB">
          <w:rPr>
            <w:noProof/>
            <w:webHidden/>
          </w:rPr>
          <w:t>47</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66" w:history="1">
        <w:r w:rsidR="00667803" w:rsidRPr="0091174B">
          <w:rPr>
            <w:rStyle w:val="Hipervnculo"/>
            <w:noProof/>
            <w14:scene3d>
              <w14:camera w14:prst="orthographicFront"/>
              <w14:lightRig w14:rig="threePt" w14:dir="t">
                <w14:rot w14:lat="0" w14:lon="0" w14:rev="0"/>
              </w14:lightRig>
            </w14:scene3d>
          </w:rPr>
          <w:t>8.8.</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caracterización de los principales tramos de poliductos</w:t>
        </w:r>
        <w:r w:rsidR="00667803">
          <w:rPr>
            <w:noProof/>
            <w:webHidden/>
          </w:rPr>
          <w:tab/>
        </w:r>
        <w:r w:rsidR="00667803">
          <w:rPr>
            <w:noProof/>
            <w:webHidden/>
          </w:rPr>
          <w:fldChar w:fldCharType="begin"/>
        </w:r>
        <w:r w:rsidR="00667803">
          <w:rPr>
            <w:noProof/>
            <w:webHidden/>
          </w:rPr>
          <w:instrText xml:space="preserve"> PAGEREF _Toc437512766 \h </w:instrText>
        </w:r>
        <w:r w:rsidR="00667803">
          <w:rPr>
            <w:noProof/>
            <w:webHidden/>
          </w:rPr>
        </w:r>
        <w:r w:rsidR="00667803">
          <w:rPr>
            <w:noProof/>
            <w:webHidden/>
          </w:rPr>
          <w:fldChar w:fldCharType="separate"/>
        </w:r>
        <w:r w:rsidR="00625BEB">
          <w:rPr>
            <w:noProof/>
            <w:webHidden/>
          </w:rPr>
          <w:t>48</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67" w:history="1">
        <w:r w:rsidR="00667803" w:rsidRPr="0091174B">
          <w:rPr>
            <w:rStyle w:val="Hipervnculo"/>
            <w:noProof/>
            <w14:scene3d>
              <w14:camera w14:prst="orthographicFront"/>
              <w14:lightRig w14:rig="threePt" w14:dir="t">
                <w14:rot w14:lat="0" w14:lon="0" w14:rev="0"/>
              </w14:lightRig>
            </w14:scene3d>
          </w:rPr>
          <w:t>8.8.1.</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Pozos Colorados – Galán</w:t>
        </w:r>
        <w:r w:rsidR="00667803">
          <w:rPr>
            <w:noProof/>
            <w:webHidden/>
          </w:rPr>
          <w:tab/>
        </w:r>
        <w:r w:rsidR="00667803">
          <w:rPr>
            <w:noProof/>
            <w:webHidden/>
          </w:rPr>
          <w:fldChar w:fldCharType="begin"/>
        </w:r>
        <w:r w:rsidR="00667803">
          <w:rPr>
            <w:noProof/>
            <w:webHidden/>
          </w:rPr>
          <w:instrText xml:space="preserve"> PAGEREF _Toc437512767 \h </w:instrText>
        </w:r>
        <w:r w:rsidR="00667803">
          <w:rPr>
            <w:noProof/>
            <w:webHidden/>
          </w:rPr>
        </w:r>
        <w:r w:rsidR="00667803">
          <w:rPr>
            <w:noProof/>
            <w:webHidden/>
          </w:rPr>
          <w:fldChar w:fldCharType="separate"/>
        </w:r>
        <w:r w:rsidR="00625BEB">
          <w:rPr>
            <w:noProof/>
            <w:webHidden/>
          </w:rPr>
          <w:t>48</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68" w:history="1">
        <w:r w:rsidR="00667803" w:rsidRPr="0091174B">
          <w:rPr>
            <w:rStyle w:val="Hipervnculo"/>
            <w:noProof/>
            <w14:scene3d>
              <w14:camera w14:prst="orthographicFront"/>
              <w14:lightRig w14:rig="threePt" w14:dir="t">
                <w14:rot w14:lat="0" w14:lon="0" w14:rev="0"/>
              </w14:lightRig>
            </w14:scene3d>
          </w:rPr>
          <w:t>8.8.2.</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Cartagena – Baranoa</w:t>
        </w:r>
        <w:r w:rsidR="00667803">
          <w:rPr>
            <w:noProof/>
            <w:webHidden/>
          </w:rPr>
          <w:tab/>
        </w:r>
        <w:r w:rsidR="00667803">
          <w:rPr>
            <w:noProof/>
            <w:webHidden/>
          </w:rPr>
          <w:fldChar w:fldCharType="begin"/>
        </w:r>
        <w:r w:rsidR="00667803">
          <w:rPr>
            <w:noProof/>
            <w:webHidden/>
          </w:rPr>
          <w:instrText xml:space="preserve"> PAGEREF _Toc437512768 \h </w:instrText>
        </w:r>
        <w:r w:rsidR="00667803">
          <w:rPr>
            <w:noProof/>
            <w:webHidden/>
          </w:rPr>
        </w:r>
        <w:r w:rsidR="00667803">
          <w:rPr>
            <w:noProof/>
            <w:webHidden/>
          </w:rPr>
          <w:fldChar w:fldCharType="separate"/>
        </w:r>
        <w:r w:rsidR="00625BEB">
          <w:rPr>
            <w:noProof/>
            <w:webHidden/>
          </w:rPr>
          <w:t>49</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69" w:history="1">
        <w:r w:rsidR="00667803" w:rsidRPr="0091174B">
          <w:rPr>
            <w:rStyle w:val="Hipervnculo"/>
            <w:noProof/>
            <w14:scene3d>
              <w14:camera w14:prst="orthographicFront"/>
              <w14:lightRig w14:rig="threePt" w14:dir="t">
                <w14:rot w14:lat="0" w14:lon="0" w14:rev="0"/>
              </w14:lightRig>
            </w14:scene3d>
          </w:rPr>
          <w:t>8.8.3.</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Buenaventura - Yumbo</w:t>
        </w:r>
        <w:r w:rsidR="00667803">
          <w:rPr>
            <w:noProof/>
            <w:webHidden/>
          </w:rPr>
          <w:tab/>
        </w:r>
        <w:r w:rsidR="00667803">
          <w:rPr>
            <w:noProof/>
            <w:webHidden/>
          </w:rPr>
          <w:fldChar w:fldCharType="begin"/>
        </w:r>
        <w:r w:rsidR="00667803">
          <w:rPr>
            <w:noProof/>
            <w:webHidden/>
          </w:rPr>
          <w:instrText xml:space="preserve"> PAGEREF _Toc437512769 \h </w:instrText>
        </w:r>
        <w:r w:rsidR="00667803">
          <w:rPr>
            <w:noProof/>
            <w:webHidden/>
          </w:rPr>
        </w:r>
        <w:r w:rsidR="00667803">
          <w:rPr>
            <w:noProof/>
            <w:webHidden/>
          </w:rPr>
          <w:fldChar w:fldCharType="separate"/>
        </w:r>
        <w:r w:rsidR="00625BEB">
          <w:rPr>
            <w:noProof/>
            <w:webHidden/>
          </w:rPr>
          <w:t>50</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70" w:history="1">
        <w:r w:rsidR="00667803" w:rsidRPr="0091174B">
          <w:rPr>
            <w:rStyle w:val="Hipervnculo"/>
            <w:noProof/>
            <w14:scene3d>
              <w14:camera w14:prst="orthographicFront"/>
              <w14:lightRig w14:rig="threePt" w14:dir="t">
                <w14:rot w14:lat="0" w14:lon="0" w14:rev="0"/>
              </w14:lightRig>
            </w14:scene3d>
          </w:rPr>
          <w:t>8.8.4.</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Galán – Bucaramanga</w:t>
        </w:r>
        <w:r w:rsidR="00667803">
          <w:rPr>
            <w:noProof/>
            <w:webHidden/>
          </w:rPr>
          <w:tab/>
        </w:r>
        <w:r w:rsidR="00667803">
          <w:rPr>
            <w:noProof/>
            <w:webHidden/>
          </w:rPr>
          <w:fldChar w:fldCharType="begin"/>
        </w:r>
        <w:r w:rsidR="00667803">
          <w:rPr>
            <w:noProof/>
            <w:webHidden/>
          </w:rPr>
          <w:instrText xml:space="preserve"> PAGEREF _Toc437512770 \h </w:instrText>
        </w:r>
        <w:r w:rsidR="00667803">
          <w:rPr>
            <w:noProof/>
            <w:webHidden/>
          </w:rPr>
        </w:r>
        <w:r w:rsidR="00667803">
          <w:rPr>
            <w:noProof/>
            <w:webHidden/>
          </w:rPr>
          <w:fldChar w:fldCharType="separate"/>
        </w:r>
        <w:r w:rsidR="00625BEB">
          <w:rPr>
            <w:noProof/>
            <w:webHidden/>
          </w:rPr>
          <w:t>50</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71" w:history="1">
        <w:r w:rsidR="00667803" w:rsidRPr="0091174B">
          <w:rPr>
            <w:rStyle w:val="Hipervnculo"/>
            <w:noProof/>
            <w14:scene3d>
              <w14:camera w14:prst="orthographicFront"/>
              <w14:lightRig w14:rig="threePt" w14:dir="t">
                <w14:rot w14:lat="0" w14:lon="0" w14:rev="0"/>
              </w14:lightRig>
            </w14:scene3d>
          </w:rPr>
          <w:t>8.8.5.</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Sistema Galán - Sebastopol</w:t>
        </w:r>
        <w:r w:rsidR="00667803">
          <w:rPr>
            <w:noProof/>
            <w:webHidden/>
          </w:rPr>
          <w:tab/>
        </w:r>
        <w:r w:rsidR="00667803">
          <w:rPr>
            <w:noProof/>
            <w:webHidden/>
          </w:rPr>
          <w:fldChar w:fldCharType="begin"/>
        </w:r>
        <w:r w:rsidR="00667803">
          <w:rPr>
            <w:noProof/>
            <w:webHidden/>
          </w:rPr>
          <w:instrText xml:space="preserve"> PAGEREF _Toc437512771 \h </w:instrText>
        </w:r>
        <w:r w:rsidR="00667803">
          <w:rPr>
            <w:noProof/>
            <w:webHidden/>
          </w:rPr>
        </w:r>
        <w:r w:rsidR="00667803">
          <w:rPr>
            <w:noProof/>
            <w:webHidden/>
          </w:rPr>
          <w:fldChar w:fldCharType="separate"/>
        </w:r>
        <w:r w:rsidR="00625BEB">
          <w:rPr>
            <w:noProof/>
            <w:webHidden/>
          </w:rPr>
          <w:t>51</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72" w:history="1">
        <w:r w:rsidR="00667803" w:rsidRPr="0091174B">
          <w:rPr>
            <w:rStyle w:val="Hipervnculo"/>
            <w:noProof/>
            <w14:scene3d>
              <w14:camera w14:prst="orthographicFront"/>
              <w14:lightRig w14:rig="threePt" w14:dir="t">
                <w14:rot w14:lat="0" w14:lon="0" w14:rev="0"/>
              </w14:lightRig>
            </w14:scene3d>
          </w:rPr>
          <w:t>8.8.6.</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Sistema Sebastopol – Puerto Salgar</w:t>
        </w:r>
        <w:r w:rsidR="00667803">
          <w:rPr>
            <w:noProof/>
            <w:webHidden/>
          </w:rPr>
          <w:tab/>
        </w:r>
        <w:r w:rsidR="00667803">
          <w:rPr>
            <w:noProof/>
            <w:webHidden/>
          </w:rPr>
          <w:fldChar w:fldCharType="begin"/>
        </w:r>
        <w:r w:rsidR="00667803">
          <w:rPr>
            <w:noProof/>
            <w:webHidden/>
          </w:rPr>
          <w:instrText xml:space="preserve"> PAGEREF _Toc437512772 \h </w:instrText>
        </w:r>
        <w:r w:rsidR="00667803">
          <w:rPr>
            <w:noProof/>
            <w:webHidden/>
          </w:rPr>
        </w:r>
        <w:r w:rsidR="00667803">
          <w:rPr>
            <w:noProof/>
            <w:webHidden/>
          </w:rPr>
          <w:fldChar w:fldCharType="separate"/>
        </w:r>
        <w:r w:rsidR="00625BEB">
          <w:rPr>
            <w:noProof/>
            <w:webHidden/>
          </w:rPr>
          <w:t>52</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73" w:history="1">
        <w:r w:rsidR="00667803" w:rsidRPr="0091174B">
          <w:rPr>
            <w:rStyle w:val="Hipervnculo"/>
            <w:noProof/>
            <w14:scene3d>
              <w14:camera w14:prst="orthographicFront"/>
              <w14:lightRig w14:rig="threePt" w14:dir="t">
                <w14:rot w14:lat="0" w14:lon="0" w14:rev="0"/>
              </w14:lightRig>
            </w14:scene3d>
          </w:rPr>
          <w:t>8.8.7.</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Propanoducto Galán – Salgar</w:t>
        </w:r>
        <w:r w:rsidR="00667803">
          <w:rPr>
            <w:noProof/>
            <w:webHidden/>
          </w:rPr>
          <w:tab/>
        </w:r>
        <w:r w:rsidR="00667803">
          <w:rPr>
            <w:noProof/>
            <w:webHidden/>
          </w:rPr>
          <w:fldChar w:fldCharType="begin"/>
        </w:r>
        <w:r w:rsidR="00667803">
          <w:rPr>
            <w:noProof/>
            <w:webHidden/>
          </w:rPr>
          <w:instrText xml:space="preserve"> PAGEREF _Toc437512773 \h </w:instrText>
        </w:r>
        <w:r w:rsidR="00667803">
          <w:rPr>
            <w:noProof/>
            <w:webHidden/>
          </w:rPr>
        </w:r>
        <w:r w:rsidR="00667803">
          <w:rPr>
            <w:noProof/>
            <w:webHidden/>
          </w:rPr>
          <w:fldChar w:fldCharType="separate"/>
        </w:r>
        <w:r w:rsidR="00625BEB">
          <w:rPr>
            <w:noProof/>
            <w:webHidden/>
          </w:rPr>
          <w:t>53</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74" w:history="1">
        <w:r w:rsidR="00667803" w:rsidRPr="0091174B">
          <w:rPr>
            <w:rStyle w:val="Hipervnculo"/>
            <w:noProof/>
            <w14:scene3d>
              <w14:camera w14:prst="orthographicFront"/>
              <w14:lightRig w14:rig="threePt" w14:dir="t">
                <w14:rot w14:lat="0" w14:lon="0" w14:rev="0"/>
              </w14:lightRig>
            </w14:scene3d>
          </w:rPr>
          <w:t>8.8.8.</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Salgar – Mansilla</w:t>
        </w:r>
        <w:r w:rsidR="00667803">
          <w:rPr>
            <w:noProof/>
            <w:webHidden/>
          </w:rPr>
          <w:tab/>
        </w:r>
        <w:r w:rsidR="00667803">
          <w:rPr>
            <w:noProof/>
            <w:webHidden/>
          </w:rPr>
          <w:fldChar w:fldCharType="begin"/>
        </w:r>
        <w:r w:rsidR="00667803">
          <w:rPr>
            <w:noProof/>
            <w:webHidden/>
          </w:rPr>
          <w:instrText xml:space="preserve"> PAGEREF _Toc437512774 \h </w:instrText>
        </w:r>
        <w:r w:rsidR="00667803">
          <w:rPr>
            <w:noProof/>
            <w:webHidden/>
          </w:rPr>
        </w:r>
        <w:r w:rsidR="00667803">
          <w:rPr>
            <w:noProof/>
            <w:webHidden/>
          </w:rPr>
          <w:fldChar w:fldCharType="separate"/>
        </w:r>
        <w:r w:rsidR="00625BEB">
          <w:rPr>
            <w:noProof/>
            <w:webHidden/>
          </w:rPr>
          <w:t>53</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75" w:history="1">
        <w:r w:rsidR="00667803" w:rsidRPr="0091174B">
          <w:rPr>
            <w:rStyle w:val="Hipervnculo"/>
            <w:noProof/>
            <w14:scene3d>
              <w14:camera w14:prst="orthographicFront"/>
              <w14:lightRig w14:rig="threePt" w14:dir="t">
                <w14:rot w14:lat="0" w14:lon="0" w14:rev="0"/>
              </w14:lightRig>
            </w14:scene3d>
          </w:rPr>
          <w:t>8.8.9.</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Propanoducto Salgar – Mansilla 8”</w:t>
        </w:r>
        <w:r w:rsidR="00667803">
          <w:rPr>
            <w:noProof/>
            <w:webHidden/>
          </w:rPr>
          <w:tab/>
        </w:r>
        <w:r w:rsidR="00667803">
          <w:rPr>
            <w:noProof/>
            <w:webHidden/>
          </w:rPr>
          <w:fldChar w:fldCharType="begin"/>
        </w:r>
        <w:r w:rsidR="00667803">
          <w:rPr>
            <w:noProof/>
            <w:webHidden/>
          </w:rPr>
          <w:instrText xml:space="preserve"> PAGEREF _Toc437512775 \h </w:instrText>
        </w:r>
        <w:r w:rsidR="00667803">
          <w:rPr>
            <w:noProof/>
            <w:webHidden/>
          </w:rPr>
        </w:r>
        <w:r w:rsidR="00667803">
          <w:rPr>
            <w:noProof/>
            <w:webHidden/>
          </w:rPr>
          <w:fldChar w:fldCharType="separate"/>
        </w:r>
        <w:r w:rsidR="00625BEB">
          <w:rPr>
            <w:noProof/>
            <w:webHidden/>
          </w:rPr>
          <w:t>54</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76" w:history="1">
        <w:r w:rsidR="00667803" w:rsidRPr="0091174B">
          <w:rPr>
            <w:rStyle w:val="Hipervnculo"/>
            <w:noProof/>
            <w14:scene3d>
              <w14:camera w14:prst="orthographicFront"/>
              <w14:lightRig w14:rig="threePt" w14:dir="t">
                <w14:rot w14:lat="0" w14:lon="0" w14:rev="0"/>
              </w14:lightRig>
            </w14:scene3d>
          </w:rPr>
          <w:t>8.8.10.</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Mansilla – Puente Aranda</w:t>
        </w:r>
        <w:r w:rsidR="00667803">
          <w:rPr>
            <w:noProof/>
            <w:webHidden/>
          </w:rPr>
          <w:tab/>
        </w:r>
        <w:r w:rsidR="00667803">
          <w:rPr>
            <w:noProof/>
            <w:webHidden/>
          </w:rPr>
          <w:fldChar w:fldCharType="begin"/>
        </w:r>
        <w:r w:rsidR="00667803">
          <w:rPr>
            <w:noProof/>
            <w:webHidden/>
          </w:rPr>
          <w:instrText xml:space="preserve"> PAGEREF _Toc437512776 \h </w:instrText>
        </w:r>
        <w:r w:rsidR="00667803">
          <w:rPr>
            <w:noProof/>
            <w:webHidden/>
          </w:rPr>
        </w:r>
        <w:r w:rsidR="00667803">
          <w:rPr>
            <w:noProof/>
            <w:webHidden/>
          </w:rPr>
          <w:fldChar w:fldCharType="separate"/>
        </w:r>
        <w:r w:rsidR="00625BEB">
          <w:rPr>
            <w:noProof/>
            <w:webHidden/>
          </w:rPr>
          <w:t>55</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77" w:history="1">
        <w:r w:rsidR="00667803" w:rsidRPr="0091174B">
          <w:rPr>
            <w:rStyle w:val="Hipervnculo"/>
            <w:noProof/>
            <w14:scene3d>
              <w14:camera w14:prst="orthographicFront"/>
              <w14:lightRig w14:rig="threePt" w14:dir="t">
                <w14:rot w14:lat="0" w14:lon="0" w14:rev="0"/>
              </w14:lightRig>
            </w14:scene3d>
          </w:rPr>
          <w:t>8.8.11.</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Puente Aranda – El Dorado</w:t>
        </w:r>
        <w:r w:rsidR="00667803">
          <w:rPr>
            <w:noProof/>
            <w:webHidden/>
          </w:rPr>
          <w:tab/>
        </w:r>
        <w:r w:rsidR="00667803">
          <w:rPr>
            <w:noProof/>
            <w:webHidden/>
          </w:rPr>
          <w:fldChar w:fldCharType="begin"/>
        </w:r>
        <w:r w:rsidR="00667803">
          <w:rPr>
            <w:noProof/>
            <w:webHidden/>
          </w:rPr>
          <w:instrText xml:space="preserve"> PAGEREF _Toc437512777 \h </w:instrText>
        </w:r>
        <w:r w:rsidR="00667803">
          <w:rPr>
            <w:noProof/>
            <w:webHidden/>
          </w:rPr>
        </w:r>
        <w:r w:rsidR="00667803">
          <w:rPr>
            <w:noProof/>
            <w:webHidden/>
          </w:rPr>
          <w:fldChar w:fldCharType="separate"/>
        </w:r>
        <w:r w:rsidR="00625BEB">
          <w:rPr>
            <w:noProof/>
            <w:webHidden/>
          </w:rPr>
          <w:t>56</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78" w:history="1">
        <w:r w:rsidR="00667803" w:rsidRPr="0091174B">
          <w:rPr>
            <w:rStyle w:val="Hipervnculo"/>
            <w:noProof/>
            <w14:scene3d>
              <w14:camera w14:prst="orthographicFront"/>
              <w14:lightRig w14:rig="threePt" w14:dir="t">
                <w14:rot w14:lat="0" w14:lon="0" w14:rev="0"/>
              </w14:lightRig>
            </w14:scene3d>
          </w:rPr>
          <w:t>8.8.12.</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Sebastopol – Medellín</w:t>
        </w:r>
        <w:r w:rsidR="00667803">
          <w:rPr>
            <w:noProof/>
            <w:webHidden/>
          </w:rPr>
          <w:tab/>
        </w:r>
        <w:r w:rsidR="00667803">
          <w:rPr>
            <w:noProof/>
            <w:webHidden/>
          </w:rPr>
          <w:fldChar w:fldCharType="begin"/>
        </w:r>
        <w:r w:rsidR="00667803">
          <w:rPr>
            <w:noProof/>
            <w:webHidden/>
          </w:rPr>
          <w:instrText xml:space="preserve"> PAGEREF _Toc437512778 \h </w:instrText>
        </w:r>
        <w:r w:rsidR="00667803">
          <w:rPr>
            <w:noProof/>
            <w:webHidden/>
          </w:rPr>
        </w:r>
        <w:r w:rsidR="00667803">
          <w:rPr>
            <w:noProof/>
            <w:webHidden/>
          </w:rPr>
          <w:fldChar w:fldCharType="separate"/>
        </w:r>
        <w:r w:rsidR="00625BEB">
          <w:rPr>
            <w:noProof/>
            <w:webHidden/>
          </w:rPr>
          <w:t>56</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79" w:history="1">
        <w:r w:rsidR="00667803" w:rsidRPr="0091174B">
          <w:rPr>
            <w:rStyle w:val="Hipervnculo"/>
            <w:noProof/>
            <w14:scene3d>
              <w14:camera w14:prst="orthographicFront"/>
              <w14:lightRig w14:rig="threePt" w14:dir="t">
                <w14:rot w14:lat="0" w14:lon="0" w14:rev="0"/>
              </w14:lightRig>
            </w14:scene3d>
          </w:rPr>
          <w:t>8.8.13.</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Medellín – Cartago – Yumbo</w:t>
        </w:r>
        <w:r w:rsidR="00667803">
          <w:rPr>
            <w:noProof/>
            <w:webHidden/>
          </w:rPr>
          <w:tab/>
        </w:r>
        <w:r w:rsidR="00667803">
          <w:rPr>
            <w:noProof/>
            <w:webHidden/>
          </w:rPr>
          <w:fldChar w:fldCharType="begin"/>
        </w:r>
        <w:r w:rsidR="00667803">
          <w:rPr>
            <w:noProof/>
            <w:webHidden/>
          </w:rPr>
          <w:instrText xml:space="preserve"> PAGEREF _Toc437512779 \h </w:instrText>
        </w:r>
        <w:r w:rsidR="00667803">
          <w:rPr>
            <w:noProof/>
            <w:webHidden/>
          </w:rPr>
        </w:r>
        <w:r w:rsidR="00667803">
          <w:rPr>
            <w:noProof/>
            <w:webHidden/>
          </w:rPr>
          <w:fldChar w:fldCharType="separate"/>
        </w:r>
        <w:r w:rsidR="00625BEB">
          <w:rPr>
            <w:noProof/>
            <w:webHidden/>
          </w:rPr>
          <w:t>57</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80" w:history="1">
        <w:r w:rsidR="00667803" w:rsidRPr="0091174B">
          <w:rPr>
            <w:rStyle w:val="Hipervnculo"/>
            <w:noProof/>
            <w14:scene3d>
              <w14:camera w14:prst="orthographicFront"/>
              <w14:lightRig w14:rig="threePt" w14:dir="t">
                <w14:rot w14:lat="0" w14:lon="0" w14:rev="0"/>
              </w14:lightRig>
            </w14:scene3d>
          </w:rPr>
          <w:t>8.8.14.</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Odeca Salgar - Manizales – Cartago</w:t>
        </w:r>
        <w:r w:rsidR="00667803">
          <w:rPr>
            <w:noProof/>
            <w:webHidden/>
          </w:rPr>
          <w:tab/>
        </w:r>
        <w:r w:rsidR="00667803">
          <w:rPr>
            <w:noProof/>
            <w:webHidden/>
          </w:rPr>
          <w:fldChar w:fldCharType="begin"/>
        </w:r>
        <w:r w:rsidR="00667803">
          <w:rPr>
            <w:noProof/>
            <w:webHidden/>
          </w:rPr>
          <w:instrText xml:space="preserve"> PAGEREF _Toc437512780 \h </w:instrText>
        </w:r>
        <w:r w:rsidR="00667803">
          <w:rPr>
            <w:noProof/>
            <w:webHidden/>
          </w:rPr>
        </w:r>
        <w:r w:rsidR="00667803">
          <w:rPr>
            <w:noProof/>
            <w:webHidden/>
          </w:rPr>
          <w:fldChar w:fldCharType="separate"/>
        </w:r>
        <w:r w:rsidR="00625BEB">
          <w:rPr>
            <w:noProof/>
            <w:webHidden/>
          </w:rPr>
          <w:t>58</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81" w:history="1">
        <w:r w:rsidR="00667803" w:rsidRPr="0091174B">
          <w:rPr>
            <w:rStyle w:val="Hipervnculo"/>
            <w:noProof/>
            <w14:scene3d>
              <w14:camera w14:prst="orthographicFront"/>
              <w14:lightRig w14:rig="threePt" w14:dir="t">
                <w14:rot w14:lat="0" w14:lon="0" w14:rev="0"/>
              </w14:lightRig>
            </w14:scene3d>
          </w:rPr>
          <w:t>8.8.15.</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Cartago – Yumbo</w:t>
        </w:r>
        <w:r w:rsidR="00667803">
          <w:rPr>
            <w:noProof/>
            <w:webHidden/>
          </w:rPr>
          <w:tab/>
        </w:r>
        <w:r w:rsidR="00667803">
          <w:rPr>
            <w:noProof/>
            <w:webHidden/>
          </w:rPr>
          <w:fldChar w:fldCharType="begin"/>
        </w:r>
        <w:r w:rsidR="00667803">
          <w:rPr>
            <w:noProof/>
            <w:webHidden/>
          </w:rPr>
          <w:instrText xml:space="preserve"> PAGEREF _Toc437512781 \h </w:instrText>
        </w:r>
        <w:r w:rsidR="00667803">
          <w:rPr>
            <w:noProof/>
            <w:webHidden/>
          </w:rPr>
        </w:r>
        <w:r w:rsidR="00667803">
          <w:rPr>
            <w:noProof/>
            <w:webHidden/>
          </w:rPr>
          <w:fldChar w:fldCharType="separate"/>
        </w:r>
        <w:r w:rsidR="00625BEB">
          <w:rPr>
            <w:noProof/>
            <w:webHidden/>
          </w:rPr>
          <w:t>59</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82" w:history="1">
        <w:r w:rsidR="00667803" w:rsidRPr="0091174B">
          <w:rPr>
            <w:rStyle w:val="Hipervnculo"/>
            <w:noProof/>
            <w14:scene3d>
              <w14:camera w14:prst="orthographicFront"/>
              <w14:lightRig w14:rig="threePt" w14:dir="t">
                <w14:rot w14:lat="0" w14:lon="0" w14:rev="0"/>
              </w14:lightRig>
            </w14:scene3d>
          </w:rPr>
          <w:t>8.8.16.</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Salgar - Neiva</w:t>
        </w:r>
        <w:r w:rsidR="00667803">
          <w:rPr>
            <w:noProof/>
            <w:webHidden/>
          </w:rPr>
          <w:tab/>
        </w:r>
        <w:r w:rsidR="00667803">
          <w:rPr>
            <w:noProof/>
            <w:webHidden/>
          </w:rPr>
          <w:fldChar w:fldCharType="begin"/>
        </w:r>
        <w:r w:rsidR="00667803">
          <w:rPr>
            <w:noProof/>
            <w:webHidden/>
          </w:rPr>
          <w:instrText xml:space="preserve"> PAGEREF _Toc437512782 \h </w:instrText>
        </w:r>
        <w:r w:rsidR="00667803">
          <w:rPr>
            <w:noProof/>
            <w:webHidden/>
          </w:rPr>
        </w:r>
        <w:r w:rsidR="00667803">
          <w:rPr>
            <w:noProof/>
            <w:webHidden/>
          </w:rPr>
          <w:fldChar w:fldCharType="separate"/>
        </w:r>
        <w:r w:rsidR="00625BEB">
          <w:rPr>
            <w:noProof/>
            <w:webHidden/>
          </w:rPr>
          <w:t>60</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83" w:history="1">
        <w:r w:rsidR="00667803" w:rsidRPr="0091174B">
          <w:rPr>
            <w:rStyle w:val="Hipervnculo"/>
            <w:noProof/>
            <w14:scene3d>
              <w14:camera w14:prst="orthographicFront"/>
              <w14:lightRig w14:rig="threePt" w14:dir="t">
                <w14:rot w14:lat="0" w14:lon="0" w14:rev="0"/>
              </w14:lightRig>
            </w14:scene3d>
          </w:rPr>
          <w:t>8.8.17.</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Sebastopol – Tocancipá</w:t>
        </w:r>
        <w:r w:rsidR="00667803">
          <w:rPr>
            <w:noProof/>
            <w:webHidden/>
          </w:rPr>
          <w:tab/>
        </w:r>
        <w:r w:rsidR="00667803">
          <w:rPr>
            <w:noProof/>
            <w:webHidden/>
          </w:rPr>
          <w:fldChar w:fldCharType="begin"/>
        </w:r>
        <w:r w:rsidR="00667803">
          <w:rPr>
            <w:noProof/>
            <w:webHidden/>
          </w:rPr>
          <w:instrText xml:space="preserve"> PAGEREF _Toc437512783 \h </w:instrText>
        </w:r>
        <w:r w:rsidR="00667803">
          <w:rPr>
            <w:noProof/>
            <w:webHidden/>
          </w:rPr>
        </w:r>
        <w:r w:rsidR="00667803">
          <w:rPr>
            <w:noProof/>
            <w:webHidden/>
          </w:rPr>
          <w:fldChar w:fldCharType="separate"/>
        </w:r>
        <w:r w:rsidR="00625BEB">
          <w:rPr>
            <w:noProof/>
            <w:webHidden/>
          </w:rPr>
          <w:t>61</w:t>
        </w:r>
        <w:r w:rsidR="00667803">
          <w:rPr>
            <w:noProof/>
            <w:webHidden/>
          </w:rPr>
          <w:fldChar w:fldCharType="end"/>
        </w:r>
      </w:hyperlink>
    </w:p>
    <w:p w:rsidR="00667803" w:rsidRDefault="004B021B">
      <w:pPr>
        <w:pStyle w:val="TDC3"/>
        <w:tabs>
          <w:tab w:val="left" w:pos="1320"/>
          <w:tab w:val="right" w:leader="dot" w:pos="9346"/>
        </w:tabs>
        <w:rPr>
          <w:rFonts w:asciiTheme="minorHAnsi" w:eastAsiaTheme="minorEastAsia" w:hAnsiTheme="minorHAnsi" w:cstheme="minorBidi"/>
          <w:iCs w:val="0"/>
          <w:noProof/>
          <w:sz w:val="22"/>
          <w:szCs w:val="22"/>
          <w:lang w:val="es-CO" w:eastAsia="es-CO"/>
        </w:rPr>
      </w:pPr>
      <w:hyperlink w:anchor="_Toc437512784" w:history="1">
        <w:r w:rsidR="00667803" w:rsidRPr="0091174B">
          <w:rPr>
            <w:rStyle w:val="Hipervnculo"/>
            <w:noProof/>
            <w14:scene3d>
              <w14:camera w14:prst="orthographicFront"/>
              <w14:lightRig w14:rig="threePt" w14:dir="t">
                <w14:rot w14:lat="0" w14:lon="0" w14:rev="0"/>
              </w14:lightRig>
            </w14:scene3d>
          </w:rPr>
          <w:t>8.8.18.</w:t>
        </w:r>
        <w:r w:rsidR="00667803">
          <w:rPr>
            <w:rFonts w:asciiTheme="minorHAnsi" w:eastAsiaTheme="minorEastAsia" w:hAnsiTheme="minorHAnsi" w:cstheme="minorBidi"/>
            <w:iCs w:val="0"/>
            <w:noProof/>
            <w:sz w:val="22"/>
            <w:szCs w:val="22"/>
            <w:lang w:val="es-CO" w:eastAsia="es-CO"/>
          </w:rPr>
          <w:tab/>
        </w:r>
        <w:r w:rsidR="00667803" w:rsidRPr="0091174B">
          <w:rPr>
            <w:rStyle w:val="Hipervnculo"/>
            <w:noProof/>
          </w:rPr>
          <w:t>Poliducto Sutamarchán – Apiay</w:t>
        </w:r>
        <w:r w:rsidR="00667803">
          <w:rPr>
            <w:noProof/>
            <w:webHidden/>
          </w:rPr>
          <w:tab/>
        </w:r>
        <w:r w:rsidR="00667803">
          <w:rPr>
            <w:noProof/>
            <w:webHidden/>
          </w:rPr>
          <w:fldChar w:fldCharType="begin"/>
        </w:r>
        <w:r w:rsidR="00667803">
          <w:rPr>
            <w:noProof/>
            <w:webHidden/>
          </w:rPr>
          <w:instrText xml:space="preserve"> PAGEREF _Toc437512784 \h </w:instrText>
        </w:r>
        <w:r w:rsidR="00667803">
          <w:rPr>
            <w:noProof/>
            <w:webHidden/>
          </w:rPr>
        </w:r>
        <w:r w:rsidR="00667803">
          <w:rPr>
            <w:noProof/>
            <w:webHidden/>
          </w:rPr>
          <w:fldChar w:fldCharType="separate"/>
        </w:r>
        <w:r w:rsidR="00625BEB">
          <w:rPr>
            <w:noProof/>
            <w:webHidden/>
          </w:rPr>
          <w:t>62</w:t>
        </w:r>
        <w:r w:rsidR="00667803">
          <w:rPr>
            <w:noProof/>
            <w:webHidden/>
          </w:rPr>
          <w:fldChar w:fldCharType="end"/>
        </w:r>
      </w:hyperlink>
    </w:p>
    <w:p w:rsidR="00667803" w:rsidRDefault="004B021B">
      <w:pPr>
        <w:pStyle w:val="TDC1"/>
        <w:tabs>
          <w:tab w:val="left" w:pos="440"/>
          <w:tab w:val="right" w:leader="dot" w:pos="9346"/>
        </w:tabs>
        <w:rPr>
          <w:rFonts w:asciiTheme="minorHAnsi" w:eastAsiaTheme="minorEastAsia" w:hAnsiTheme="minorHAnsi" w:cstheme="minorBidi"/>
          <w:b w:val="0"/>
          <w:bCs w:val="0"/>
          <w:caps w:val="0"/>
          <w:noProof/>
          <w:sz w:val="22"/>
          <w:szCs w:val="22"/>
          <w:lang w:val="es-CO" w:eastAsia="es-CO"/>
        </w:rPr>
      </w:pPr>
      <w:hyperlink w:anchor="_Toc437512785" w:history="1">
        <w:r w:rsidR="00667803" w:rsidRPr="0091174B">
          <w:rPr>
            <w:rStyle w:val="Hipervnculo"/>
            <w:noProof/>
            <w:lang w:val="es-CO"/>
          </w:rPr>
          <w:t>9</w:t>
        </w:r>
        <w:r w:rsidR="00667803">
          <w:rPr>
            <w:rFonts w:asciiTheme="minorHAnsi" w:eastAsiaTheme="minorEastAsia" w:hAnsiTheme="minorHAnsi" w:cstheme="minorBidi"/>
            <w:b w:val="0"/>
            <w:bCs w:val="0"/>
            <w:caps w:val="0"/>
            <w:noProof/>
            <w:sz w:val="22"/>
            <w:szCs w:val="22"/>
            <w:lang w:val="es-CO" w:eastAsia="es-CO"/>
          </w:rPr>
          <w:tab/>
        </w:r>
        <w:r w:rsidR="00667803" w:rsidRPr="0091174B">
          <w:rPr>
            <w:rStyle w:val="Hipervnculo"/>
            <w:noProof/>
          </w:rPr>
          <w:t>Anexo 2 Estadísticas por tramo</w:t>
        </w:r>
        <w:r w:rsidR="00667803">
          <w:rPr>
            <w:noProof/>
            <w:webHidden/>
          </w:rPr>
          <w:tab/>
        </w:r>
        <w:r w:rsidR="00667803">
          <w:rPr>
            <w:noProof/>
            <w:webHidden/>
          </w:rPr>
          <w:fldChar w:fldCharType="begin"/>
        </w:r>
        <w:r w:rsidR="00667803">
          <w:rPr>
            <w:noProof/>
            <w:webHidden/>
          </w:rPr>
          <w:instrText xml:space="preserve"> PAGEREF _Toc437512785 \h </w:instrText>
        </w:r>
        <w:r w:rsidR="00667803">
          <w:rPr>
            <w:noProof/>
            <w:webHidden/>
          </w:rPr>
        </w:r>
        <w:r w:rsidR="00667803">
          <w:rPr>
            <w:noProof/>
            <w:webHidden/>
          </w:rPr>
          <w:fldChar w:fldCharType="separate"/>
        </w:r>
        <w:r w:rsidR="00625BEB">
          <w:rPr>
            <w:noProof/>
            <w:webHidden/>
          </w:rPr>
          <w:t>63</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86" w:history="1">
        <w:r w:rsidR="00667803" w:rsidRPr="0091174B">
          <w:rPr>
            <w:rStyle w:val="Hipervnculo"/>
            <w:noProof/>
            <w14:scene3d>
              <w14:camera w14:prst="orthographicFront"/>
              <w14:lightRig w14:rig="threePt" w14:dir="t">
                <w14:rot w14:lat="0" w14:lon="0" w14:rev="0"/>
              </w14:lightRig>
            </w14:scene3d>
          </w:rPr>
          <w:t>9.1.</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Cartagena – Barranquilla.</w:t>
        </w:r>
        <w:r w:rsidR="00667803">
          <w:rPr>
            <w:noProof/>
            <w:webHidden/>
          </w:rPr>
          <w:tab/>
        </w:r>
        <w:r w:rsidR="00667803">
          <w:rPr>
            <w:noProof/>
            <w:webHidden/>
          </w:rPr>
          <w:fldChar w:fldCharType="begin"/>
        </w:r>
        <w:r w:rsidR="00667803">
          <w:rPr>
            <w:noProof/>
            <w:webHidden/>
          </w:rPr>
          <w:instrText xml:space="preserve"> PAGEREF _Toc437512786 \h </w:instrText>
        </w:r>
        <w:r w:rsidR="00667803">
          <w:rPr>
            <w:noProof/>
            <w:webHidden/>
          </w:rPr>
        </w:r>
        <w:r w:rsidR="00667803">
          <w:rPr>
            <w:noProof/>
            <w:webHidden/>
          </w:rPr>
          <w:fldChar w:fldCharType="separate"/>
        </w:r>
        <w:r w:rsidR="00625BEB">
          <w:rPr>
            <w:noProof/>
            <w:webHidden/>
          </w:rPr>
          <w:t>63</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87" w:history="1">
        <w:r w:rsidR="00667803" w:rsidRPr="0091174B">
          <w:rPr>
            <w:rStyle w:val="Hipervnculo"/>
            <w:noProof/>
            <w14:scene3d>
              <w14:camera w14:prst="orthographicFront"/>
              <w14:lightRig w14:rig="threePt" w14:dir="t">
                <w14:rot w14:lat="0" w14:lon="0" w14:rev="0"/>
              </w14:lightRig>
            </w14:scene3d>
          </w:rPr>
          <w:t>9.2.</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Pozos Colorados - Galán 14”</w:t>
        </w:r>
        <w:r w:rsidR="00667803">
          <w:rPr>
            <w:noProof/>
            <w:webHidden/>
          </w:rPr>
          <w:tab/>
        </w:r>
        <w:r w:rsidR="00667803">
          <w:rPr>
            <w:noProof/>
            <w:webHidden/>
          </w:rPr>
          <w:fldChar w:fldCharType="begin"/>
        </w:r>
        <w:r w:rsidR="00667803">
          <w:rPr>
            <w:noProof/>
            <w:webHidden/>
          </w:rPr>
          <w:instrText xml:space="preserve"> PAGEREF _Toc437512787 \h </w:instrText>
        </w:r>
        <w:r w:rsidR="00667803">
          <w:rPr>
            <w:noProof/>
            <w:webHidden/>
          </w:rPr>
        </w:r>
        <w:r w:rsidR="00667803">
          <w:rPr>
            <w:noProof/>
            <w:webHidden/>
          </w:rPr>
          <w:fldChar w:fldCharType="separate"/>
        </w:r>
        <w:r w:rsidR="00625BEB">
          <w:rPr>
            <w:noProof/>
            <w:webHidden/>
          </w:rPr>
          <w:t>63</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88" w:history="1">
        <w:r w:rsidR="00667803" w:rsidRPr="0091174B">
          <w:rPr>
            <w:rStyle w:val="Hipervnculo"/>
            <w:noProof/>
            <w14:scene3d>
              <w14:camera w14:prst="orthographicFront"/>
              <w14:lightRig w14:rig="threePt" w14:dir="t">
                <w14:rot w14:lat="0" w14:lon="0" w14:rev="0"/>
              </w14:lightRig>
            </w14:scene3d>
          </w:rPr>
          <w:t>9.3.</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Galán – Bucaramanga</w:t>
        </w:r>
        <w:r w:rsidR="00667803">
          <w:rPr>
            <w:noProof/>
            <w:webHidden/>
          </w:rPr>
          <w:tab/>
        </w:r>
        <w:r w:rsidR="00667803">
          <w:rPr>
            <w:noProof/>
            <w:webHidden/>
          </w:rPr>
          <w:fldChar w:fldCharType="begin"/>
        </w:r>
        <w:r w:rsidR="00667803">
          <w:rPr>
            <w:noProof/>
            <w:webHidden/>
          </w:rPr>
          <w:instrText xml:space="preserve"> PAGEREF _Toc437512788 \h </w:instrText>
        </w:r>
        <w:r w:rsidR="00667803">
          <w:rPr>
            <w:noProof/>
            <w:webHidden/>
          </w:rPr>
        </w:r>
        <w:r w:rsidR="00667803">
          <w:rPr>
            <w:noProof/>
            <w:webHidden/>
          </w:rPr>
          <w:fldChar w:fldCharType="separate"/>
        </w:r>
        <w:r w:rsidR="00625BEB">
          <w:rPr>
            <w:noProof/>
            <w:webHidden/>
          </w:rPr>
          <w:t>64</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89" w:history="1">
        <w:r w:rsidR="00667803" w:rsidRPr="0091174B">
          <w:rPr>
            <w:rStyle w:val="Hipervnculo"/>
            <w:noProof/>
            <w14:scene3d>
              <w14:camera w14:prst="orthographicFront"/>
              <w14:lightRig w14:rig="threePt" w14:dir="t">
                <w14:rot w14:lat="0" w14:lon="0" w14:rev="0"/>
              </w14:lightRig>
            </w14:scene3d>
          </w:rPr>
          <w:t>9.4.</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Galán - Sebastopol 16”</w:t>
        </w:r>
        <w:r w:rsidR="00667803">
          <w:rPr>
            <w:noProof/>
            <w:webHidden/>
          </w:rPr>
          <w:tab/>
        </w:r>
        <w:r w:rsidR="00667803">
          <w:rPr>
            <w:noProof/>
            <w:webHidden/>
          </w:rPr>
          <w:fldChar w:fldCharType="begin"/>
        </w:r>
        <w:r w:rsidR="00667803">
          <w:rPr>
            <w:noProof/>
            <w:webHidden/>
          </w:rPr>
          <w:instrText xml:space="preserve"> PAGEREF _Toc437512789 \h </w:instrText>
        </w:r>
        <w:r w:rsidR="00667803">
          <w:rPr>
            <w:noProof/>
            <w:webHidden/>
          </w:rPr>
        </w:r>
        <w:r w:rsidR="00667803">
          <w:rPr>
            <w:noProof/>
            <w:webHidden/>
          </w:rPr>
          <w:fldChar w:fldCharType="separate"/>
        </w:r>
        <w:r w:rsidR="00625BEB">
          <w:rPr>
            <w:noProof/>
            <w:webHidden/>
          </w:rPr>
          <w:t>65</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90" w:history="1">
        <w:r w:rsidR="00667803" w:rsidRPr="0091174B">
          <w:rPr>
            <w:rStyle w:val="Hipervnculo"/>
            <w:noProof/>
            <w14:scene3d>
              <w14:camera w14:prst="orthographicFront"/>
              <w14:lightRig w14:rig="threePt" w14:dir="t">
                <w14:rot w14:lat="0" w14:lon="0" w14:rev="0"/>
              </w14:lightRig>
            </w14:scene3d>
          </w:rPr>
          <w:t>9.5.</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Galán - Sebastopol 12”</w:t>
        </w:r>
        <w:r w:rsidR="00667803">
          <w:rPr>
            <w:noProof/>
            <w:webHidden/>
          </w:rPr>
          <w:tab/>
        </w:r>
        <w:r w:rsidR="00667803">
          <w:rPr>
            <w:noProof/>
            <w:webHidden/>
          </w:rPr>
          <w:fldChar w:fldCharType="begin"/>
        </w:r>
        <w:r w:rsidR="00667803">
          <w:rPr>
            <w:noProof/>
            <w:webHidden/>
          </w:rPr>
          <w:instrText xml:space="preserve"> PAGEREF _Toc437512790 \h </w:instrText>
        </w:r>
        <w:r w:rsidR="00667803">
          <w:rPr>
            <w:noProof/>
            <w:webHidden/>
          </w:rPr>
        </w:r>
        <w:r w:rsidR="00667803">
          <w:rPr>
            <w:noProof/>
            <w:webHidden/>
          </w:rPr>
          <w:fldChar w:fldCharType="separate"/>
        </w:r>
        <w:r w:rsidR="00625BEB">
          <w:rPr>
            <w:noProof/>
            <w:webHidden/>
          </w:rPr>
          <w:t>65</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91" w:history="1">
        <w:r w:rsidR="00667803" w:rsidRPr="0091174B">
          <w:rPr>
            <w:rStyle w:val="Hipervnculo"/>
            <w:noProof/>
            <w14:scene3d>
              <w14:camera w14:prst="orthographicFront"/>
              <w14:lightRig w14:rig="threePt" w14:dir="t">
                <w14:rot w14:lat="0" w14:lon="0" w14:rev="0"/>
              </w14:lightRig>
            </w14:scene3d>
          </w:rPr>
          <w:t>9.6.</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Galán - Puerto Salgar 8”</w:t>
        </w:r>
        <w:r w:rsidR="00667803">
          <w:rPr>
            <w:noProof/>
            <w:webHidden/>
          </w:rPr>
          <w:tab/>
        </w:r>
        <w:r w:rsidR="00667803">
          <w:rPr>
            <w:noProof/>
            <w:webHidden/>
          </w:rPr>
          <w:fldChar w:fldCharType="begin"/>
        </w:r>
        <w:r w:rsidR="00667803">
          <w:rPr>
            <w:noProof/>
            <w:webHidden/>
          </w:rPr>
          <w:instrText xml:space="preserve"> PAGEREF _Toc437512791 \h </w:instrText>
        </w:r>
        <w:r w:rsidR="00667803">
          <w:rPr>
            <w:noProof/>
            <w:webHidden/>
          </w:rPr>
        </w:r>
        <w:r w:rsidR="00667803">
          <w:rPr>
            <w:noProof/>
            <w:webHidden/>
          </w:rPr>
          <w:fldChar w:fldCharType="separate"/>
        </w:r>
        <w:r w:rsidR="00625BEB">
          <w:rPr>
            <w:noProof/>
            <w:webHidden/>
          </w:rPr>
          <w:t>66</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92" w:history="1">
        <w:r w:rsidR="00667803" w:rsidRPr="0091174B">
          <w:rPr>
            <w:rStyle w:val="Hipervnculo"/>
            <w:noProof/>
            <w14:scene3d>
              <w14:camera w14:prst="orthographicFront"/>
              <w14:lightRig w14:rig="threePt" w14:dir="t">
                <w14:rot w14:lat="0" w14:lon="0" w14:rev="0"/>
              </w14:lightRig>
            </w14:scene3d>
          </w:rPr>
          <w:t>9.7.</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Sebastopol – Medellín 12”</w:t>
        </w:r>
        <w:r w:rsidR="00667803">
          <w:rPr>
            <w:noProof/>
            <w:webHidden/>
          </w:rPr>
          <w:tab/>
        </w:r>
        <w:r w:rsidR="00667803">
          <w:rPr>
            <w:noProof/>
            <w:webHidden/>
          </w:rPr>
          <w:fldChar w:fldCharType="begin"/>
        </w:r>
        <w:r w:rsidR="00667803">
          <w:rPr>
            <w:noProof/>
            <w:webHidden/>
          </w:rPr>
          <w:instrText xml:space="preserve"> PAGEREF _Toc437512792 \h </w:instrText>
        </w:r>
        <w:r w:rsidR="00667803">
          <w:rPr>
            <w:noProof/>
            <w:webHidden/>
          </w:rPr>
        </w:r>
        <w:r w:rsidR="00667803">
          <w:rPr>
            <w:noProof/>
            <w:webHidden/>
          </w:rPr>
          <w:fldChar w:fldCharType="separate"/>
        </w:r>
        <w:r w:rsidR="00625BEB">
          <w:rPr>
            <w:noProof/>
            <w:webHidden/>
          </w:rPr>
          <w:t>67</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93" w:history="1">
        <w:r w:rsidR="00667803" w:rsidRPr="0091174B">
          <w:rPr>
            <w:rStyle w:val="Hipervnculo"/>
            <w:noProof/>
            <w14:scene3d>
              <w14:camera w14:prst="orthographicFront"/>
              <w14:lightRig w14:rig="threePt" w14:dir="t">
                <w14:rot w14:lat="0" w14:lon="0" w14:rev="0"/>
              </w14:lightRig>
            </w14:scene3d>
          </w:rPr>
          <w:t>9.8.</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Medellín - Cartago</w:t>
        </w:r>
        <w:r w:rsidR="00667803">
          <w:rPr>
            <w:noProof/>
            <w:webHidden/>
          </w:rPr>
          <w:tab/>
        </w:r>
        <w:r w:rsidR="00667803">
          <w:rPr>
            <w:noProof/>
            <w:webHidden/>
          </w:rPr>
          <w:fldChar w:fldCharType="begin"/>
        </w:r>
        <w:r w:rsidR="00667803">
          <w:rPr>
            <w:noProof/>
            <w:webHidden/>
          </w:rPr>
          <w:instrText xml:space="preserve"> PAGEREF _Toc437512793 \h </w:instrText>
        </w:r>
        <w:r w:rsidR="00667803">
          <w:rPr>
            <w:noProof/>
            <w:webHidden/>
          </w:rPr>
        </w:r>
        <w:r w:rsidR="00667803">
          <w:rPr>
            <w:noProof/>
            <w:webHidden/>
          </w:rPr>
          <w:fldChar w:fldCharType="separate"/>
        </w:r>
        <w:r w:rsidR="00625BEB">
          <w:rPr>
            <w:noProof/>
            <w:webHidden/>
          </w:rPr>
          <w:t>67</w:t>
        </w:r>
        <w:r w:rsidR="00667803">
          <w:rPr>
            <w:noProof/>
            <w:webHidden/>
          </w:rPr>
          <w:fldChar w:fldCharType="end"/>
        </w:r>
      </w:hyperlink>
    </w:p>
    <w:p w:rsidR="00667803" w:rsidRDefault="004B021B">
      <w:pPr>
        <w:pStyle w:val="TDC2"/>
        <w:tabs>
          <w:tab w:val="left" w:pos="880"/>
          <w:tab w:val="right" w:leader="dot" w:pos="9346"/>
        </w:tabs>
        <w:rPr>
          <w:rFonts w:asciiTheme="minorHAnsi" w:eastAsiaTheme="minorEastAsia" w:hAnsiTheme="minorHAnsi" w:cstheme="minorBidi"/>
          <w:smallCaps w:val="0"/>
          <w:noProof/>
          <w:sz w:val="22"/>
          <w:szCs w:val="22"/>
          <w:lang w:val="es-CO" w:eastAsia="es-CO"/>
        </w:rPr>
      </w:pPr>
      <w:hyperlink w:anchor="_Toc437512794" w:history="1">
        <w:r w:rsidR="00667803" w:rsidRPr="0091174B">
          <w:rPr>
            <w:rStyle w:val="Hipervnculo"/>
            <w:noProof/>
            <w14:scene3d>
              <w14:camera w14:prst="orthographicFront"/>
              <w14:lightRig w14:rig="threePt" w14:dir="t">
                <w14:rot w14:lat="0" w14:lon="0" w14:rev="0"/>
              </w14:lightRig>
            </w14:scene3d>
          </w:rPr>
          <w:t>9.9.</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Sebastopol – Tocancipá</w:t>
        </w:r>
        <w:r w:rsidR="00667803">
          <w:rPr>
            <w:noProof/>
            <w:webHidden/>
          </w:rPr>
          <w:tab/>
        </w:r>
        <w:r w:rsidR="00667803">
          <w:rPr>
            <w:noProof/>
            <w:webHidden/>
          </w:rPr>
          <w:fldChar w:fldCharType="begin"/>
        </w:r>
        <w:r w:rsidR="00667803">
          <w:rPr>
            <w:noProof/>
            <w:webHidden/>
          </w:rPr>
          <w:instrText xml:space="preserve"> PAGEREF _Toc437512794 \h </w:instrText>
        </w:r>
        <w:r w:rsidR="00667803">
          <w:rPr>
            <w:noProof/>
            <w:webHidden/>
          </w:rPr>
        </w:r>
        <w:r w:rsidR="00667803">
          <w:rPr>
            <w:noProof/>
            <w:webHidden/>
          </w:rPr>
          <w:fldChar w:fldCharType="separate"/>
        </w:r>
        <w:r w:rsidR="00625BEB">
          <w:rPr>
            <w:noProof/>
            <w:webHidden/>
          </w:rPr>
          <w:t>68</w:t>
        </w:r>
        <w:r w:rsidR="00667803">
          <w:rPr>
            <w:noProof/>
            <w:webHidden/>
          </w:rPr>
          <w:fldChar w:fldCharType="end"/>
        </w:r>
      </w:hyperlink>
    </w:p>
    <w:p w:rsidR="00667803" w:rsidRDefault="004B021B">
      <w:pPr>
        <w:pStyle w:val="TDC2"/>
        <w:tabs>
          <w:tab w:val="left" w:pos="1100"/>
          <w:tab w:val="right" w:leader="dot" w:pos="9346"/>
        </w:tabs>
        <w:rPr>
          <w:rFonts w:asciiTheme="minorHAnsi" w:eastAsiaTheme="minorEastAsia" w:hAnsiTheme="minorHAnsi" w:cstheme="minorBidi"/>
          <w:smallCaps w:val="0"/>
          <w:noProof/>
          <w:sz w:val="22"/>
          <w:szCs w:val="22"/>
          <w:lang w:val="es-CO" w:eastAsia="es-CO"/>
        </w:rPr>
      </w:pPr>
      <w:hyperlink w:anchor="_Toc437512795" w:history="1">
        <w:r w:rsidR="00667803" w:rsidRPr="0091174B">
          <w:rPr>
            <w:rStyle w:val="Hipervnculo"/>
            <w:noProof/>
            <w14:scene3d>
              <w14:camera w14:prst="orthographicFront"/>
              <w14:lightRig w14:rig="threePt" w14:dir="t">
                <w14:rot w14:lat="0" w14:lon="0" w14:rev="0"/>
              </w14:lightRig>
            </w14:scene3d>
          </w:rPr>
          <w:t>9.10.</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Sutamarchán – Apiay</w:t>
        </w:r>
        <w:r w:rsidR="00667803">
          <w:rPr>
            <w:noProof/>
            <w:webHidden/>
          </w:rPr>
          <w:tab/>
        </w:r>
        <w:r w:rsidR="00667803">
          <w:rPr>
            <w:noProof/>
            <w:webHidden/>
          </w:rPr>
          <w:fldChar w:fldCharType="begin"/>
        </w:r>
        <w:r w:rsidR="00667803">
          <w:rPr>
            <w:noProof/>
            <w:webHidden/>
          </w:rPr>
          <w:instrText xml:space="preserve"> PAGEREF _Toc437512795 \h </w:instrText>
        </w:r>
        <w:r w:rsidR="00667803">
          <w:rPr>
            <w:noProof/>
            <w:webHidden/>
          </w:rPr>
        </w:r>
        <w:r w:rsidR="00667803">
          <w:rPr>
            <w:noProof/>
            <w:webHidden/>
          </w:rPr>
          <w:fldChar w:fldCharType="separate"/>
        </w:r>
        <w:r w:rsidR="00625BEB">
          <w:rPr>
            <w:noProof/>
            <w:webHidden/>
          </w:rPr>
          <w:t>68</w:t>
        </w:r>
        <w:r w:rsidR="00667803">
          <w:rPr>
            <w:noProof/>
            <w:webHidden/>
          </w:rPr>
          <w:fldChar w:fldCharType="end"/>
        </w:r>
      </w:hyperlink>
    </w:p>
    <w:p w:rsidR="00667803" w:rsidRDefault="004B021B">
      <w:pPr>
        <w:pStyle w:val="TDC2"/>
        <w:tabs>
          <w:tab w:val="left" w:pos="1100"/>
          <w:tab w:val="right" w:leader="dot" w:pos="9346"/>
        </w:tabs>
        <w:rPr>
          <w:rFonts w:asciiTheme="minorHAnsi" w:eastAsiaTheme="minorEastAsia" w:hAnsiTheme="minorHAnsi" w:cstheme="minorBidi"/>
          <w:smallCaps w:val="0"/>
          <w:noProof/>
          <w:sz w:val="22"/>
          <w:szCs w:val="22"/>
          <w:lang w:val="es-CO" w:eastAsia="es-CO"/>
        </w:rPr>
      </w:pPr>
      <w:hyperlink w:anchor="_Toc437512796" w:history="1">
        <w:r w:rsidR="00667803" w:rsidRPr="0091174B">
          <w:rPr>
            <w:rStyle w:val="Hipervnculo"/>
            <w:noProof/>
            <w14:scene3d>
              <w14:camera w14:prst="orthographicFront"/>
              <w14:lightRig w14:rig="threePt" w14:dir="t">
                <w14:rot w14:lat="0" w14:lon="0" w14:rev="0"/>
              </w14:lightRig>
            </w14:scene3d>
          </w:rPr>
          <w:t>9.11.</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lang w:val="es-CO"/>
          </w:rPr>
          <w:t xml:space="preserve">Puerto </w:t>
        </w:r>
        <w:r w:rsidR="00667803" w:rsidRPr="0091174B">
          <w:rPr>
            <w:rStyle w:val="Hipervnculo"/>
            <w:noProof/>
          </w:rPr>
          <w:t>Salgar - Cartago</w:t>
        </w:r>
        <w:r w:rsidR="00667803">
          <w:rPr>
            <w:noProof/>
            <w:webHidden/>
          </w:rPr>
          <w:tab/>
        </w:r>
        <w:r w:rsidR="00667803">
          <w:rPr>
            <w:noProof/>
            <w:webHidden/>
          </w:rPr>
          <w:fldChar w:fldCharType="begin"/>
        </w:r>
        <w:r w:rsidR="00667803">
          <w:rPr>
            <w:noProof/>
            <w:webHidden/>
          </w:rPr>
          <w:instrText xml:space="preserve"> PAGEREF _Toc437512796 \h </w:instrText>
        </w:r>
        <w:r w:rsidR="00667803">
          <w:rPr>
            <w:noProof/>
            <w:webHidden/>
          </w:rPr>
        </w:r>
        <w:r w:rsidR="00667803">
          <w:rPr>
            <w:noProof/>
            <w:webHidden/>
          </w:rPr>
          <w:fldChar w:fldCharType="separate"/>
        </w:r>
        <w:r w:rsidR="00625BEB">
          <w:rPr>
            <w:noProof/>
            <w:webHidden/>
          </w:rPr>
          <w:t>69</w:t>
        </w:r>
        <w:r w:rsidR="00667803">
          <w:rPr>
            <w:noProof/>
            <w:webHidden/>
          </w:rPr>
          <w:fldChar w:fldCharType="end"/>
        </w:r>
      </w:hyperlink>
    </w:p>
    <w:p w:rsidR="00667803" w:rsidRDefault="004B021B">
      <w:pPr>
        <w:pStyle w:val="TDC2"/>
        <w:tabs>
          <w:tab w:val="left" w:pos="1100"/>
          <w:tab w:val="right" w:leader="dot" w:pos="9346"/>
        </w:tabs>
        <w:rPr>
          <w:rFonts w:asciiTheme="minorHAnsi" w:eastAsiaTheme="minorEastAsia" w:hAnsiTheme="minorHAnsi" w:cstheme="minorBidi"/>
          <w:smallCaps w:val="0"/>
          <w:noProof/>
          <w:sz w:val="22"/>
          <w:szCs w:val="22"/>
          <w:lang w:val="es-CO" w:eastAsia="es-CO"/>
        </w:rPr>
      </w:pPr>
      <w:hyperlink w:anchor="_Toc437512797" w:history="1">
        <w:r w:rsidR="00667803" w:rsidRPr="0091174B">
          <w:rPr>
            <w:rStyle w:val="Hipervnculo"/>
            <w:noProof/>
            <w14:scene3d>
              <w14:camera w14:prst="orthographicFront"/>
              <w14:lightRig w14:rig="threePt" w14:dir="t">
                <w14:rot w14:lat="0" w14:lon="0" w14:rev="0"/>
              </w14:lightRig>
            </w14:scene3d>
          </w:rPr>
          <w:t>9.12.</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Cartago – Yumbo 10”</w:t>
        </w:r>
        <w:r w:rsidR="00667803">
          <w:rPr>
            <w:noProof/>
            <w:webHidden/>
          </w:rPr>
          <w:tab/>
        </w:r>
        <w:r w:rsidR="00667803">
          <w:rPr>
            <w:noProof/>
            <w:webHidden/>
          </w:rPr>
          <w:fldChar w:fldCharType="begin"/>
        </w:r>
        <w:r w:rsidR="00667803">
          <w:rPr>
            <w:noProof/>
            <w:webHidden/>
          </w:rPr>
          <w:instrText xml:space="preserve"> PAGEREF _Toc437512797 \h </w:instrText>
        </w:r>
        <w:r w:rsidR="00667803">
          <w:rPr>
            <w:noProof/>
            <w:webHidden/>
          </w:rPr>
        </w:r>
        <w:r w:rsidR="00667803">
          <w:rPr>
            <w:noProof/>
            <w:webHidden/>
          </w:rPr>
          <w:fldChar w:fldCharType="separate"/>
        </w:r>
        <w:r w:rsidR="00625BEB">
          <w:rPr>
            <w:noProof/>
            <w:webHidden/>
          </w:rPr>
          <w:t>70</w:t>
        </w:r>
        <w:r w:rsidR="00667803">
          <w:rPr>
            <w:noProof/>
            <w:webHidden/>
          </w:rPr>
          <w:fldChar w:fldCharType="end"/>
        </w:r>
      </w:hyperlink>
    </w:p>
    <w:p w:rsidR="00667803" w:rsidRDefault="004B021B">
      <w:pPr>
        <w:pStyle w:val="TDC2"/>
        <w:tabs>
          <w:tab w:val="left" w:pos="1100"/>
          <w:tab w:val="right" w:leader="dot" w:pos="9346"/>
        </w:tabs>
        <w:rPr>
          <w:rFonts w:asciiTheme="minorHAnsi" w:eastAsiaTheme="minorEastAsia" w:hAnsiTheme="minorHAnsi" w:cstheme="minorBidi"/>
          <w:smallCaps w:val="0"/>
          <w:noProof/>
          <w:sz w:val="22"/>
          <w:szCs w:val="22"/>
          <w:lang w:val="es-CO" w:eastAsia="es-CO"/>
        </w:rPr>
      </w:pPr>
      <w:hyperlink w:anchor="_Toc437512798" w:history="1">
        <w:r w:rsidR="00667803" w:rsidRPr="0091174B">
          <w:rPr>
            <w:rStyle w:val="Hipervnculo"/>
            <w:noProof/>
            <w14:scene3d>
              <w14:camera w14:prst="orthographicFront"/>
              <w14:lightRig w14:rig="threePt" w14:dir="t">
                <w14:rot w14:lat="0" w14:lon="0" w14:rev="0"/>
              </w14:lightRig>
            </w14:scene3d>
          </w:rPr>
          <w:t>9.13.</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Cartago – Yumbo 6”</w:t>
        </w:r>
        <w:r w:rsidR="00667803">
          <w:rPr>
            <w:noProof/>
            <w:webHidden/>
          </w:rPr>
          <w:tab/>
        </w:r>
        <w:r w:rsidR="00667803">
          <w:rPr>
            <w:noProof/>
            <w:webHidden/>
          </w:rPr>
          <w:fldChar w:fldCharType="begin"/>
        </w:r>
        <w:r w:rsidR="00667803">
          <w:rPr>
            <w:noProof/>
            <w:webHidden/>
          </w:rPr>
          <w:instrText xml:space="preserve"> PAGEREF _Toc437512798 \h </w:instrText>
        </w:r>
        <w:r w:rsidR="00667803">
          <w:rPr>
            <w:noProof/>
            <w:webHidden/>
          </w:rPr>
        </w:r>
        <w:r w:rsidR="00667803">
          <w:rPr>
            <w:noProof/>
            <w:webHidden/>
          </w:rPr>
          <w:fldChar w:fldCharType="separate"/>
        </w:r>
        <w:r w:rsidR="00625BEB">
          <w:rPr>
            <w:noProof/>
            <w:webHidden/>
          </w:rPr>
          <w:t>70</w:t>
        </w:r>
        <w:r w:rsidR="00667803">
          <w:rPr>
            <w:noProof/>
            <w:webHidden/>
          </w:rPr>
          <w:fldChar w:fldCharType="end"/>
        </w:r>
      </w:hyperlink>
    </w:p>
    <w:p w:rsidR="00667803" w:rsidRDefault="004B021B">
      <w:pPr>
        <w:pStyle w:val="TDC2"/>
        <w:tabs>
          <w:tab w:val="left" w:pos="1100"/>
          <w:tab w:val="right" w:leader="dot" w:pos="9346"/>
        </w:tabs>
        <w:rPr>
          <w:rFonts w:asciiTheme="minorHAnsi" w:eastAsiaTheme="minorEastAsia" w:hAnsiTheme="minorHAnsi" w:cstheme="minorBidi"/>
          <w:smallCaps w:val="0"/>
          <w:noProof/>
          <w:sz w:val="22"/>
          <w:szCs w:val="22"/>
          <w:lang w:val="es-CO" w:eastAsia="es-CO"/>
        </w:rPr>
      </w:pPr>
      <w:hyperlink w:anchor="_Toc437512799" w:history="1">
        <w:r w:rsidR="00667803" w:rsidRPr="0091174B">
          <w:rPr>
            <w:rStyle w:val="Hipervnculo"/>
            <w:noProof/>
            <w14:scene3d>
              <w14:camera w14:prst="orthographicFront"/>
              <w14:lightRig w14:rig="threePt" w14:dir="t">
                <w14:rot w14:lat="0" w14:lon="0" w14:rev="0"/>
              </w14:lightRig>
            </w14:scene3d>
          </w:rPr>
          <w:t>9.14.</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Yumbo - Buenaventura</w:t>
        </w:r>
        <w:r w:rsidR="00667803">
          <w:rPr>
            <w:noProof/>
            <w:webHidden/>
          </w:rPr>
          <w:tab/>
        </w:r>
        <w:r w:rsidR="00667803">
          <w:rPr>
            <w:noProof/>
            <w:webHidden/>
          </w:rPr>
          <w:fldChar w:fldCharType="begin"/>
        </w:r>
        <w:r w:rsidR="00667803">
          <w:rPr>
            <w:noProof/>
            <w:webHidden/>
          </w:rPr>
          <w:instrText xml:space="preserve"> PAGEREF _Toc437512799 \h </w:instrText>
        </w:r>
        <w:r w:rsidR="00667803">
          <w:rPr>
            <w:noProof/>
            <w:webHidden/>
          </w:rPr>
        </w:r>
        <w:r w:rsidR="00667803">
          <w:rPr>
            <w:noProof/>
            <w:webHidden/>
          </w:rPr>
          <w:fldChar w:fldCharType="separate"/>
        </w:r>
        <w:r w:rsidR="00625BEB">
          <w:rPr>
            <w:noProof/>
            <w:webHidden/>
          </w:rPr>
          <w:t>71</w:t>
        </w:r>
        <w:r w:rsidR="00667803">
          <w:rPr>
            <w:noProof/>
            <w:webHidden/>
          </w:rPr>
          <w:fldChar w:fldCharType="end"/>
        </w:r>
      </w:hyperlink>
    </w:p>
    <w:p w:rsidR="00667803" w:rsidRDefault="004B021B">
      <w:pPr>
        <w:pStyle w:val="TDC2"/>
        <w:tabs>
          <w:tab w:val="left" w:pos="1100"/>
          <w:tab w:val="right" w:leader="dot" w:pos="9346"/>
        </w:tabs>
        <w:rPr>
          <w:rFonts w:asciiTheme="minorHAnsi" w:eastAsiaTheme="minorEastAsia" w:hAnsiTheme="minorHAnsi" w:cstheme="minorBidi"/>
          <w:smallCaps w:val="0"/>
          <w:noProof/>
          <w:sz w:val="22"/>
          <w:szCs w:val="22"/>
          <w:lang w:val="es-CO" w:eastAsia="es-CO"/>
        </w:rPr>
      </w:pPr>
      <w:hyperlink w:anchor="_Toc437512800" w:history="1">
        <w:r w:rsidR="00667803" w:rsidRPr="0091174B">
          <w:rPr>
            <w:rStyle w:val="Hipervnculo"/>
            <w:noProof/>
            <w14:scene3d>
              <w14:camera w14:prst="orthographicFront"/>
              <w14:lightRig w14:rig="threePt" w14:dir="t">
                <w14:rot w14:lat="0" w14:lon="0" w14:rev="0"/>
              </w14:lightRig>
            </w14:scene3d>
          </w:rPr>
          <w:t>9.15.</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lang w:val="es-CO"/>
          </w:rPr>
          <w:t xml:space="preserve">Puerto </w:t>
        </w:r>
        <w:r w:rsidR="00667803" w:rsidRPr="0091174B">
          <w:rPr>
            <w:rStyle w:val="Hipervnculo"/>
            <w:noProof/>
          </w:rPr>
          <w:t>Salgar - Gualanday</w:t>
        </w:r>
        <w:r w:rsidR="00667803">
          <w:rPr>
            <w:noProof/>
            <w:webHidden/>
          </w:rPr>
          <w:tab/>
        </w:r>
        <w:r w:rsidR="00667803">
          <w:rPr>
            <w:noProof/>
            <w:webHidden/>
          </w:rPr>
          <w:fldChar w:fldCharType="begin"/>
        </w:r>
        <w:r w:rsidR="00667803">
          <w:rPr>
            <w:noProof/>
            <w:webHidden/>
          </w:rPr>
          <w:instrText xml:space="preserve"> PAGEREF _Toc437512800 \h </w:instrText>
        </w:r>
        <w:r w:rsidR="00667803">
          <w:rPr>
            <w:noProof/>
            <w:webHidden/>
          </w:rPr>
        </w:r>
        <w:r w:rsidR="00667803">
          <w:rPr>
            <w:noProof/>
            <w:webHidden/>
          </w:rPr>
          <w:fldChar w:fldCharType="separate"/>
        </w:r>
        <w:r w:rsidR="00625BEB">
          <w:rPr>
            <w:noProof/>
            <w:webHidden/>
          </w:rPr>
          <w:t>72</w:t>
        </w:r>
        <w:r w:rsidR="00667803">
          <w:rPr>
            <w:noProof/>
            <w:webHidden/>
          </w:rPr>
          <w:fldChar w:fldCharType="end"/>
        </w:r>
      </w:hyperlink>
    </w:p>
    <w:p w:rsidR="00667803" w:rsidRDefault="004B021B">
      <w:pPr>
        <w:pStyle w:val="TDC2"/>
        <w:tabs>
          <w:tab w:val="left" w:pos="1100"/>
          <w:tab w:val="right" w:leader="dot" w:pos="9346"/>
        </w:tabs>
        <w:rPr>
          <w:rFonts w:asciiTheme="minorHAnsi" w:eastAsiaTheme="minorEastAsia" w:hAnsiTheme="minorHAnsi" w:cstheme="minorBidi"/>
          <w:smallCaps w:val="0"/>
          <w:noProof/>
          <w:sz w:val="22"/>
          <w:szCs w:val="22"/>
          <w:lang w:val="es-CO" w:eastAsia="es-CO"/>
        </w:rPr>
      </w:pPr>
      <w:hyperlink w:anchor="_Toc437512801" w:history="1">
        <w:r w:rsidR="00667803" w:rsidRPr="0091174B">
          <w:rPr>
            <w:rStyle w:val="Hipervnculo"/>
            <w:noProof/>
            <w14:scene3d>
              <w14:camera w14:prst="orthographicFront"/>
              <w14:lightRig w14:rig="threePt" w14:dir="t">
                <w14:rot w14:lat="0" w14:lon="0" w14:rev="0"/>
              </w14:lightRig>
            </w14:scene3d>
          </w:rPr>
          <w:t>9.16.</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Gualanday – Neiva</w:t>
        </w:r>
        <w:r w:rsidR="00667803">
          <w:rPr>
            <w:noProof/>
            <w:webHidden/>
          </w:rPr>
          <w:tab/>
        </w:r>
        <w:r w:rsidR="00667803">
          <w:rPr>
            <w:noProof/>
            <w:webHidden/>
          </w:rPr>
          <w:fldChar w:fldCharType="begin"/>
        </w:r>
        <w:r w:rsidR="00667803">
          <w:rPr>
            <w:noProof/>
            <w:webHidden/>
          </w:rPr>
          <w:instrText xml:space="preserve"> PAGEREF _Toc437512801 \h </w:instrText>
        </w:r>
        <w:r w:rsidR="00667803">
          <w:rPr>
            <w:noProof/>
            <w:webHidden/>
          </w:rPr>
        </w:r>
        <w:r w:rsidR="00667803">
          <w:rPr>
            <w:noProof/>
            <w:webHidden/>
          </w:rPr>
          <w:fldChar w:fldCharType="separate"/>
        </w:r>
        <w:r w:rsidR="00625BEB">
          <w:rPr>
            <w:noProof/>
            <w:webHidden/>
          </w:rPr>
          <w:t>72</w:t>
        </w:r>
        <w:r w:rsidR="00667803">
          <w:rPr>
            <w:noProof/>
            <w:webHidden/>
          </w:rPr>
          <w:fldChar w:fldCharType="end"/>
        </w:r>
      </w:hyperlink>
    </w:p>
    <w:p w:rsidR="00667803" w:rsidRDefault="004B021B">
      <w:pPr>
        <w:pStyle w:val="TDC2"/>
        <w:tabs>
          <w:tab w:val="left" w:pos="1100"/>
          <w:tab w:val="right" w:leader="dot" w:pos="9346"/>
        </w:tabs>
        <w:rPr>
          <w:rFonts w:asciiTheme="minorHAnsi" w:eastAsiaTheme="minorEastAsia" w:hAnsiTheme="minorHAnsi" w:cstheme="minorBidi"/>
          <w:smallCaps w:val="0"/>
          <w:noProof/>
          <w:sz w:val="22"/>
          <w:szCs w:val="22"/>
          <w:lang w:val="es-CO" w:eastAsia="es-CO"/>
        </w:rPr>
      </w:pPr>
      <w:hyperlink w:anchor="_Toc437512802" w:history="1">
        <w:r w:rsidR="00667803" w:rsidRPr="0091174B">
          <w:rPr>
            <w:rStyle w:val="Hipervnculo"/>
            <w:noProof/>
            <w14:scene3d>
              <w14:camera w14:prst="orthographicFront"/>
              <w14:lightRig w14:rig="threePt" w14:dir="t">
                <w14:rot w14:lat="0" w14:lon="0" w14:rev="0"/>
              </w14:lightRig>
            </w14:scene3d>
          </w:rPr>
          <w:t>9.17.</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Puerto Salgar – Mansilla 10”</w:t>
        </w:r>
        <w:r w:rsidR="00667803">
          <w:rPr>
            <w:noProof/>
            <w:webHidden/>
          </w:rPr>
          <w:tab/>
        </w:r>
        <w:r w:rsidR="00667803">
          <w:rPr>
            <w:noProof/>
            <w:webHidden/>
          </w:rPr>
          <w:fldChar w:fldCharType="begin"/>
        </w:r>
        <w:r w:rsidR="00667803">
          <w:rPr>
            <w:noProof/>
            <w:webHidden/>
          </w:rPr>
          <w:instrText xml:space="preserve"> PAGEREF _Toc437512802 \h </w:instrText>
        </w:r>
        <w:r w:rsidR="00667803">
          <w:rPr>
            <w:noProof/>
            <w:webHidden/>
          </w:rPr>
        </w:r>
        <w:r w:rsidR="00667803">
          <w:rPr>
            <w:noProof/>
            <w:webHidden/>
          </w:rPr>
          <w:fldChar w:fldCharType="separate"/>
        </w:r>
        <w:r w:rsidR="00625BEB">
          <w:rPr>
            <w:noProof/>
            <w:webHidden/>
          </w:rPr>
          <w:t>73</w:t>
        </w:r>
        <w:r w:rsidR="00667803">
          <w:rPr>
            <w:noProof/>
            <w:webHidden/>
          </w:rPr>
          <w:fldChar w:fldCharType="end"/>
        </w:r>
      </w:hyperlink>
    </w:p>
    <w:p w:rsidR="00667803" w:rsidRDefault="004B021B">
      <w:pPr>
        <w:pStyle w:val="TDC2"/>
        <w:tabs>
          <w:tab w:val="left" w:pos="1100"/>
          <w:tab w:val="right" w:leader="dot" w:pos="9346"/>
        </w:tabs>
        <w:rPr>
          <w:rFonts w:asciiTheme="minorHAnsi" w:eastAsiaTheme="minorEastAsia" w:hAnsiTheme="minorHAnsi" w:cstheme="minorBidi"/>
          <w:smallCaps w:val="0"/>
          <w:noProof/>
          <w:sz w:val="22"/>
          <w:szCs w:val="22"/>
          <w:lang w:val="es-CO" w:eastAsia="es-CO"/>
        </w:rPr>
      </w:pPr>
      <w:hyperlink w:anchor="_Toc437512803" w:history="1">
        <w:r w:rsidR="00667803" w:rsidRPr="0091174B">
          <w:rPr>
            <w:rStyle w:val="Hipervnculo"/>
            <w:noProof/>
            <w:lang w:val="es-CO"/>
            <w14:scene3d>
              <w14:camera w14:prst="orthographicFront"/>
              <w14:lightRig w14:rig="threePt" w14:dir="t">
                <w14:rot w14:lat="0" w14:lon="0" w14:rev="0"/>
              </w14:lightRig>
            </w14:scene3d>
          </w:rPr>
          <w:t>9.18.</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Puerto Salgar – Mansilla 8”</w:t>
        </w:r>
        <w:r w:rsidR="00667803">
          <w:rPr>
            <w:noProof/>
            <w:webHidden/>
          </w:rPr>
          <w:tab/>
        </w:r>
        <w:r w:rsidR="00667803">
          <w:rPr>
            <w:noProof/>
            <w:webHidden/>
          </w:rPr>
          <w:fldChar w:fldCharType="begin"/>
        </w:r>
        <w:r w:rsidR="00667803">
          <w:rPr>
            <w:noProof/>
            <w:webHidden/>
          </w:rPr>
          <w:instrText xml:space="preserve"> PAGEREF _Toc437512803 \h </w:instrText>
        </w:r>
        <w:r w:rsidR="00667803">
          <w:rPr>
            <w:noProof/>
            <w:webHidden/>
          </w:rPr>
        </w:r>
        <w:r w:rsidR="00667803">
          <w:rPr>
            <w:noProof/>
            <w:webHidden/>
          </w:rPr>
          <w:fldChar w:fldCharType="separate"/>
        </w:r>
        <w:r w:rsidR="00625BEB">
          <w:rPr>
            <w:noProof/>
            <w:webHidden/>
          </w:rPr>
          <w:t>74</w:t>
        </w:r>
        <w:r w:rsidR="00667803">
          <w:rPr>
            <w:noProof/>
            <w:webHidden/>
          </w:rPr>
          <w:fldChar w:fldCharType="end"/>
        </w:r>
      </w:hyperlink>
    </w:p>
    <w:p w:rsidR="00667803" w:rsidRDefault="004B021B">
      <w:pPr>
        <w:pStyle w:val="TDC2"/>
        <w:tabs>
          <w:tab w:val="left" w:pos="1100"/>
          <w:tab w:val="right" w:leader="dot" w:pos="9346"/>
        </w:tabs>
        <w:rPr>
          <w:rFonts w:asciiTheme="minorHAnsi" w:eastAsiaTheme="minorEastAsia" w:hAnsiTheme="minorHAnsi" w:cstheme="minorBidi"/>
          <w:smallCaps w:val="0"/>
          <w:noProof/>
          <w:sz w:val="22"/>
          <w:szCs w:val="22"/>
          <w:lang w:val="es-CO" w:eastAsia="es-CO"/>
        </w:rPr>
      </w:pPr>
      <w:hyperlink w:anchor="_Toc437512804" w:history="1">
        <w:r w:rsidR="00667803" w:rsidRPr="0091174B">
          <w:rPr>
            <w:rStyle w:val="Hipervnculo"/>
            <w:noProof/>
            <w14:scene3d>
              <w14:camera w14:prst="orthographicFront"/>
              <w14:lightRig w14:rig="threePt" w14:dir="t">
                <w14:rot w14:lat="0" w14:lon="0" w14:rev="0"/>
              </w14:lightRig>
            </w14:scene3d>
          </w:rPr>
          <w:t>9.19.</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Mansilla – Puente Aranda</w:t>
        </w:r>
        <w:r w:rsidR="00667803">
          <w:rPr>
            <w:noProof/>
            <w:webHidden/>
          </w:rPr>
          <w:tab/>
        </w:r>
        <w:r w:rsidR="00667803">
          <w:rPr>
            <w:noProof/>
            <w:webHidden/>
          </w:rPr>
          <w:fldChar w:fldCharType="begin"/>
        </w:r>
        <w:r w:rsidR="00667803">
          <w:rPr>
            <w:noProof/>
            <w:webHidden/>
          </w:rPr>
          <w:instrText xml:space="preserve"> PAGEREF _Toc437512804 \h </w:instrText>
        </w:r>
        <w:r w:rsidR="00667803">
          <w:rPr>
            <w:noProof/>
            <w:webHidden/>
          </w:rPr>
        </w:r>
        <w:r w:rsidR="00667803">
          <w:rPr>
            <w:noProof/>
            <w:webHidden/>
          </w:rPr>
          <w:fldChar w:fldCharType="separate"/>
        </w:r>
        <w:r w:rsidR="00625BEB">
          <w:rPr>
            <w:noProof/>
            <w:webHidden/>
          </w:rPr>
          <w:t>74</w:t>
        </w:r>
        <w:r w:rsidR="00667803">
          <w:rPr>
            <w:noProof/>
            <w:webHidden/>
          </w:rPr>
          <w:fldChar w:fldCharType="end"/>
        </w:r>
      </w:hyperlink>
    </w:p>
    <w:p w:rsidR="00667803" w:rsidRDefault="004B021B">
      <w:pPr>
        <w:pStyle w:val="TDC2"/>
        <w:tabs>
          <w:tab w:val="left" w:pos="1100"/>
          <w:tab w:val="right" w:leader="dot" w:pos="9346"/>
        </w:tabs>
        <w:rPr>
          <w:rFonts w:asciiTheme="minorHAnsi" w:eastAsiaTheme="minorEastAsia" w:hAnsiTheme="minorHAnsi" w:cstheme="minorBidi"/>
          <w:smallCaps w:val="0"/>
          <w:noProof/>
          <w:sz w:val="22"/>
          <w:szCs w:val="22"/>
          <w:lang w:val="es-CO" w:eastAsia="es-CO"/>
        </w:rPr>
      </w:pPr>
      <w:hyperlink w:anchor="_Toc437512805" w:history="1">
        <w:r w:rsidR="00667803" w:rsidRPr="0091174B">
          <w:rPr>
            <w:rStyle w:val="Hipervnculo"/>
            <w:noProof/>
            <w14:scene3d>
              <w14:camera w14:prst="orthographicFront"/>
              <w14:lightRig w14:rig="threePt" w14:dir="t">
                <w14:rot w14:lat="0" w14:lon="0" w14:rev="0"/>
              </w14:lightRig>
            </w14:scene3d>
          </w:rPr>
          <w:t>9.20.</w:t>
        </w:r>
        <w:r w:rsidR="00667803">
          <w:rPr>
            <w:rFonts w:asciiTheme="minorHAnsi" w:eastAsiaTheme="minorEastAsia" w:hAnsiTheme="minorHAnsi" w:cstheme="minorBidi"/>
            <w:smallCaps w:val="0"/>
            <w:noProof/>
            <w:sz w:val="22"/>
            <w:szCs w:val="22"/>
            <w:lang w:val="es-CO" w:eastAsia="es-CO"/>
          </w:rPr>
          <w:tab/>
        </w:r>
        <w:r w:rsidR="00667803" w:rsidRPr="0091174B">
          <w:rPr>
            <w:rStyle w:val="Hipervnculo"/>
            <w:noProof/>
          </w:rPr>
          <w:t>Puente Aranda – El Dorado</w:t>
        </w:r>
        <w:r w:rsidR="00667803">
          <w:rPr>
            <w:noProof/>
            <w:webHidden/>
          </w:rPr>
          <w:tab/>
        </w:r>
        <w:r w:rsidR="00667803">
          <w:rPr>
            <w:noProof/>
            <w:webHidden/>
          </w:rPr>
          <w:fldChar w:fldCharType="begin"/>
        </w:r>
        <w:r w:rsidR="00667803">
          <w:rPr>
            <w:noProof/>
            <w:webHidden/>
          </w:rPr>
          <w:instrText xml:space="preserve"> PAGEREF _Toc437512805 \h </w:instrText>
        </w:r>
        <w:r w:rsidR="00667803">
          <w:rPr>
            <w:noProof/>
            <w:webHidden/>
          </w:rPr>
        </w:r>
        <w:r w:rsidR="00667803">
          <w:rPr>
            <w:noProof/>
            <w:webHidden/>
          </w:rPr>
          <w:fldChar w:fldCharType="separate"/>
        </w:r>
        <w:r w:rsidR="00625BEB">
          <w:rPr>
            <w:noProof/>
            <w:webHidden/>
          </w:rPr>
          <w:t>75</w:t>
        </w:r>
        <w:r w:rsidR="00667803">
          <w:rPr>
            <w:noProof/>
            <w:webHidden/>
          </w:rPr>
          <w:fldChar w:fldCharType="end"/>
        </w:r>
      </w:hyperlink>
    </w:p>
    <w:p w:rsidR="00667803" w:rsidRDefault="004B021B">
      <w:pPr>
        <w:pStyle w:val="TDC1"/>
        <w:tabs>
          <w:tab w:val="left" w:pos="660"/>
          <w:tab w:val="right" w:leader="dot" w:pos="9346"/>
        </w:tabs>
        <w:rPr>
          <w:rFonts w:asciiTheme="minorHAnsi" w:eastAsiaTheme="minorEastAsia" w:hAnsiTheme="minorHAnsi" w:cstheme="minorBidi"/>
          <w:b w:val="0"/>
          <w:bCs w:val="0"/>
          <w:caps w:val="0"/>
          <w:noProof/>
          <w:sz w:val="22"/>
          <w:szCs w:val="22"/>
          <w:lang w:val="es-CO" w:eastAsia="es-CO"/>
        </w:rPr>
      </w:pPr>
      <w:hyperlink w:anchor="_Toc437512806" w:history="1">
        <w:r w:rsidR="00667803" w:rsidRPr="0091174B">
          <w:rPr>
            <w:rStyle w:val="Hipervnculo"/>
            <w:noProof/>
          </w:rPr>
          <w:t>10</w:t>
        </w:r>
        <w:r w:rsidR="00667803">
          <w:rPr>
            <w:rFonts w:asciiTheme="minorHAnsi" w:eastAsiaTheme="minorEastAsia" w:hAnsiTheme="minorHAnsi" w:cstheme="minorBidi"/>
            <w:b w:val="0"/>
            <w:bCs w:val="0"/>
            <w:caps w:val="0"/>
            <w:noProof/>
            <w:sz w:val="22"/>
            <w:szCs w:val="22"/>
            <w:lang w:val="es-CO" w:eastAsia="es-CO"/>
          </w:rPr>
          <w:tab/>
        </w:r>
        <w:r w:rsidR="00667803" w:rsidRPr="0091174B">
          <w:rPr>
            <w:rStyle w:val="Hipervnculo"/>
            <w:noProof/>
          </w:rPr>
          <w:t>Bibliografía</w:t>
        </w:r>
        <w:r w:rsidR="00667803">
          <w:rPr>
            <w:noProof/>
            <w:webHidden/>
          </w:rPr>
          <w:tab/>
        </w:r>
        <w:r w:rsidR="00667803">
          <w:rPr>
            <w:noProof/>
            <w:webHidden/>
          </w:rPr>
          <w:fldChar w:fldCharType="begin"/>
        </w:r>
        <w:r w:rsidR="00667803">
          <w:rPr>
            <w:noProof/>
            <w:webHidden/>
          </w:rPr>
          <w:instrText xml:space="preserve"> PAGEREF _Toc437512806 \h </w:instrText>
        </w:r>
        <w:r w:rsidR="00667803">
          <w:rPr>
            <w:noProof/>
            <w:webHidden/>
          </w:rPr>
        </w:r>
        <w:r w:rsidR="00667803">
          <w:rPr>
            <w:noProof/>
            <w:webHidden/>
          </w:rPr>
          <w:fldChar w:fldCharType="separate"/>
        </w:r>
        <w:r w:rsidR="00625BEB">
          <w:rPr>
            <w:noProof/>
            <w:webHidden/>
          </w:rPr>
          <w:t>76</w:t>
        </w:r>
        <w:r w:rsidR="00667803">
          <w:rPr>
            <w:noProof/>
            <w:webHidden/>
          </w:rPr>
          <w:fldChar w:fldCharType="end"/>
        </w:r>
      </w:hyperlink>
    </w:p>
    <w:p w:rsidR="00C07636" w:rsidRDefault="00C07636" w:rsidP="003A3358">
      <w:pPr>
        <w:pStyle w:val="TtulodeTDC"/>
        <w:numPr>
          <w:ilvl w:val="0"/>
          <w:numId w:val="0"/>
        </w:numPr>
        <w:rPr>
          <w:sz w:val="24"/>
        </w:rPr>
      </w:pPr>
      <w:r>
        <w:rPr>
          <w:sz w:val="24"/>
        </w:rPr>
        <w:fldChar w:fldCharType="end"/>
      </w:r>
    </w:p>
    <w:p w:rsidR="00C07636" w:rsidRDefault="00C07636" w:rsidP="003A3358">
      <w:pPr>
        <w:pStyle w:val="TtulodeTDC"/>
        <w:numPr>
          <w:ilvl w:val="0"/>
          <w:numId w:val="0"/>
        </w:numPr>
        <w:rPr>
          <w:sz w:val="24"/>
        </w:rPr>
      </w:pPr>
    </w:p>
    <w:p w:rsidR="009B7159" w:rsidRDefault="009B7159">
      <w:pPr>
        <w:jc w:val="left"/>
        <w:rPr>
          <w:rFonts w:ascii="Cambria" w:hAnsi="Cambria"/>
          <w:b/>
          <w:caps/>
          <w:color w:val="365F91"/>
          <w:sz w:val="24"/>
          <w:szCs w:val="28"/>
          <w:lang w:val="es-CO" w:eastAsia="es-CO"/>
        </w:rPr>
      </w:pPr>
      <w:r>
        <w:rPr>
          <w:sz w:val="24"/>
        </w:rPr>
        <w:br w:type="page"/>
      </w:r>
    </w:p>
    <w:p w:rsidR="0083557B" w:rsidRPr="00FB21E1" w:rsidRDefault="006C4AB9" w:rsidP="009B7159">
      <w:pPr>
        <w:rPr>
          <w:b/>
          <w:sz w:val="24"/>
        </w:rPr>
      </w:pPr>
      <w:r w:rsidRPr="009B7159">
        <w:rPr>
          <w:b/>
          <w:sz w:val="24"/>
        </w:rPr>
        <w:lastRenderedPageBreak/>
        <w:t>Lista de tablas</w:t>
      </w:r>
    </w:p>
    <w:p w:rsidR="006C4AB9" w:rsidRDefault="006C4AB9" w:rsidP="0083557B">
      <w:pPr>
        <w:jc w:val="center"/>
        <w:rPr>
          <w:rFonts w:cs="Arial"/>
          <w:b/>
          <w:sz w:val="24"/>
        </w:rPr>
      </w:pPr>
    </w:p>
    <w:p w:rsidR="00667803" w:rsidRDefault="006C4AB9">
      <w:pPr>
        <w:pStyle w:val="Tabladeilustraciones"/>
        <w:tabs>
          <w:tab w:val="right" w:leader="dot" w:pos="9346"/>
        </w:tabs>
        <w:rPr>
          <w:rFonts w:asciiTheme="minorHAnsi" w:eastAsiaTheme="minorEastAsia" w:hAnsiTheme="minorHAnsi" w:cstheme="minorBidi"/>
          <w:noProof/>
          <w:spacing w:val="0"/>
          <w:sz w:val="22"/>
          <w:szCs w:val="22"/>
          <w:lang w:eastAsia="es-CO"/>
        </w:rPr>
      </w:pPr>
      <w:r w:rsidRPr="00325A7F">
        <w:rPr>
          <w:rFonts w:cs="Arial"/>
          <w:sz w:val="22"/>
          <w:szCs w:val="22"/>
        </w:rPr>
        <w:fldChar w:fldCharType="begin"/>
      </w:r>
      <w:r w:rsidRPr="00325A7F">
        <w:rPr>
          <w:rFonts w:cs="Arial"/>
          <w:sz w:val="22"/>
          <w:szCs w:val="22"/>
        </w:rPr>
        <w:instrText xml:space="preserve"> TOC \h \z \c "Tabla" </w:instrText>
      </w:r>
      <w:r w:rsidRPr="00325A7F">
        <w:rPr>
          <w:rFonts w:cs="Arial"/>
          <w:sz w:val="22"/>
          <w:szCs w:val="22"/>
        </w:rPr>
        <w:fldChar w:fldCharType="separate"/>
      </w:r>
      <w:hyperlink w:anchor="_Toc437512807" w:history="1">
        <w:r w:rsidR="00667803" w:rsidRPr="00EE7F71">
          <w:rPr>
            <w:rStyle w:val="Hipervnculo"/>
            <w:rFonts w:eastAsia="Arial"/>
            <w:noProof/>
          </w:rPr>
          <w:t xml:space="preserve">Tabla </w:t>
        </w:r>
        <w:r w:rsidR="00667803" w:rsidRPr="00EE7F71">
          <w:rPr>
            <w:rStyle w:val="Hipervnculo"/>
            <w:rFonts w:cs="Arial"/>
            <w:noProof/>
          </w:rPr>
          <w:t>1</w:t>
        </w:r>
        <w:r w:rsidR="00667803" w:rsidRPr="00EE7F71">
          <w:rPr>
            <w:rStyle w:val="Hipervnculo"/>
            <w:rFonts w:eastAsia="Arial"/>
            <w:b/>
            <w:noProof/>
          </w:rPr>
          <w:t xml:space="preserve"> </w:t>
        </w:r>
        <w:r w:rsidR="00667803" w:rsidRPr="00EE7F71">
          <w:rPr>
            <w:rStyle w:val="Hipervnculo"/>
            <w:rFonts w:eastAsia="Arial"/>
            <w:noProof/>
          </w:rPr>
          <w:t>Principales normas. Cadena de Distribución de Combustibles Líquidos y gas licuado del petróleo por ductos</w:t>
        </w:r>
        <w:r w:rsidR="00667803">
          <w:rPr>
            <w:noProof/>
            <w:webHidden/>
          </w:rPr>
          <w:tab/>
        </w:r>
        <w:r w:rsidR="00667803">
          <w:rPr>
            <w:noProof/>
            <w:webHidden/>
          </w:rPr>
          <w:fldChar w:fldCharType="begin"/>
        </w:r>
        <w:r w:rsidR="00667803">
          <w:rPr>
            <w:noProof/>
            <w:webHidden/>
          </w:rPr>
          <w:instrText xml:space="preserve"> PAGEREF _Toc437512807 \h </w:instrText>
        </w:r>
        <w:r w:rsidR="00667803">
          <w:rPr>
            <w:noProof/>
            <w:webHidden/>
          </w:rPr>
        </w:r>
        <w:r w:rsidR="00667803">
          <w:rPr>
            <w:noProof/>
            <w:webHidden/>
          </w:rPr>
          <w:fldChar w:fldCharType="separate"/>
        </w:r>
        <w:r w:rsidR="00625BEB">
          <w:rPr>
            <w:noProof/>
            <w:webHidden/>
          </w:rPr>
          <w:t>9</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08" w:history="1">
        <w:r w:rsidR="00667803" w:rsidRPr="00EE7F71">
          <w:rPr>
            <w:rStyle w:val="Hipervnculo"/>
            <w:noProof/>
          </w:rPr>
          <w:t>Tabla 2 Objetivos y conclusiones estudio ECONOMETRÍA 2009</w:t>
        </w:r>
        <w:r w:rsidR="00667803">
          <w:rPr>
            <w:noProof/>
            <w:webHidden/>
          </w:rPr>
          <w:tab/>
        </w:r>
        <w:r w:rsidR="00667803">
          <w:rPr>
            <w:noProof/>
            <w:webHidden/>
          </w:rPr>
          <w:fldChar w:fldCharType="begin"/>
        </w:r>
        <w:r w:rsidR="00667803">
          <w:rPr>
            <w:noProof/>
            <w:webHidden/>
          </w:rPr>
          <w:instrText xml:space="preserve"> PAGEREF _Toc437512808 \h </w:instrText>
        </w:r>
        <w:r w:rsidR="00667803">
          <w:rPr>
            <w:noProof/>
            <w:webHidden/>
          </w:rPr>
        </w:r>
        <w:r w:rsidR="00667803">
          <w:rPr>
            <w:noProof/>
            <w:webHidden/>
          </w:rPr>
          <w:fldChar w:fldCharType="separate"/>
        </w:r>
        <w:r w:rsidR="00625BEB">
          <w:rPr>
            <w:noProof/>
            <w:webHidden/>
          </w:rPr>
          <w:t>15</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09" w:history="1">
        <w:r w:rsidR="00667803" w:rsidRPr="00EE7F71">
          <w:rPr>
            <w:rStyle w:val="Hipervnculo"/>
            <w:noProof/>
          </w:rPr>
          <w:t>Tabla 3 Objetivos y conclusiones estudio SUMATORIA 2013</w:t>
        </w:r>
        <w:r w:rsidR="00667803">
          <w:rPr>
            <w:noProof/>
            <w:webHidden/>
          </w:rPr>
          <w:tab/>
        </w:r>
        <w:r w:rsidR="00667803">
          <w:rPr>
            <w:noProof/>
            <w:webHidden/>
          </w:rPr>
          <w:fldChar w:fldCharType="begin"/>
        </w:r>
        <w:r w:rsidR="00667803">
          <w:rPr>
            <w:noProof/>
            <w:webHidden/>
          </w:rPr>
          <w:instrText xml:space="preserve"> PAGEREF _Toc437512809 \h </w:instrText>
        </w:r>
        <w:r w:rsidR="00667803">
          <w:rPr>
            <w:noProof/>
            <w:webHidden/>
          </w:rPr>
        </w:r>
        <w:r w:rsidR="00667803">
          <w:rPr>
            <w:noProof/>
            <w:webHidden/>
          </w:rPr>
          <w:fldChar w:fldCharType="separate"/>
        </w:r>
        <w:r w:rsidR="00625BEB">
          <w:rPr>
            <w:noProof/>
            <w:webHidden/>
          </w:rPr>
          <w:t>16</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10" w:history="1">
        <w:r w:rsidR="00667803" w:rsidRPr="00EE7F71">
          <w:rPr>
            <w:rStyle w:val="Hipervnculo"/>
            <w:noProof/>
          </w:rPr>
          <w:t>Tabla 4 Objetivos y conclusiones estudio SNC Lavalin 2014</w:t>
        </w:r>
        <w:r w:rsidR="00667803">
          <w:rPr>
            <w:noProof/>
            <w:webHidden/>
          </w:rPr>
          <w:tab/>
        </w:r>
        <w:r w:rsidR="00667803">
          <w:rPr>
            <w:noProof/>
            <w:webHidden/>
          </w:rPr>
          <w:fldChar w:fldCharType="begin"/>
        </w:r>
        <w:r w:rsidR="00667803">
          <w:rPr>
            <w:noProof/>
            <w:webHidden/>
          </w:rPr>
          <w:instrText xml:space="preserve"> PAGEREF _Toc437512810 \h </w:instrText>
        </w:r>
        <w:r w:rsidR="00667803">
          <w:rPr>
            <w:noProof/>
            <w:webHidden/>
          </w:rPr>
        </w:r>
        <w:r w:rsidR="00667803">
          <w:rPr>
            <w:noProof/>
            <w:webHidden/>
          </w:rPr>
          <w:fldChar w:fldCharType="separate"/>
        </w:r>
        <w:r w:rsidR="00625BEB">
          <w:rPr>
            <w:noProof/>
            <w:webHidden/>
          </w:rPr>
          <w:t>17</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11" w:history="1">
        <w:r w:rsidR="00667803" w:rsidRPr="00EE7F71">
          <w:rPr>
            <w:rStyle w:val="Hipervnculo"/>
            <w:rFonts w:cs="Arial"/>
            <w:noProof/>
          </w:rPr>
          <w:t>Tabla 5 Tarifas de transporte por poliductos resolución Minminas 180088 de 2003</w:t>
        </w:r>
        <w:r w:rsidR="00667803">
          <w:rPr>
            <w:noProof/>
            <w:webHidden/>
          </w:rPr>
          <w:tab/>
        </w:r>
        <w:r w:rsidR="00667803">
          <w:rPr>
            <w:noProof/>
            <w:webHidden/>
          </w:rPr>
          <w:fldChar w:fldCharType="begin"/>
        </w:r>
        <w:r w:rsidR="00667803">
          <w:rPr>
            <w:noProof/>
            <w:webHidden/>
          </w:rPr>
          <w:instrText xml:space="preserve"> PAGEREF _Toc437512811 \h </w:instrText>
        </w:r>
        <w:r w:rsidR="00667803">
          <w:rPr>
            <w:noProof/>
            <w:webHidden/>
          </w:rPr>
        </w:r>
        <w:r w:rsidR="00667803">
          <w:rPr>
            <w:noProof/>
            <w:webHidden/>
          </w:rPr>
          <w:fldChar w:fldCharType="separate"/>
        </w:r>
        <w:r w:rsidR="00625BEB">
          <w:rPr>
            <w:noProof/>
            <w:webHidden/>
          </w:rPr>
          <w:t>31</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12" w:history="1">
        <w:r w:rsidR="00667803" w:rsidRPr="00EE7F71">
          <w:rPr>
            <w:rStyle w:val="Hipervnculo"/>
            <w:rFonts w:cs="Arial"/>
            <w:bCs/>
            <w:noProof/>
          </w:rPr>
          <w:t>Tabla 6 Actualización tarifas resolución Minminas 180088 de 2003</w:t>
        </w:r>
        <w:r w:rsidR="00667803">
          <w:rPr>
            <w:noProof/>
            <w:webHidden/>
          </w:rPr>
          <w:tab/>
        </w:r>
        <w:r w:rsidR="00667803">
          <w:rPr>
            <w:noProof/>
            <w:webHidden/>
          </w:rPr>
          <w:fldChar w:fldCharType="begin"/>
        </w:r>
        <w:r w:rsidR="00667803">
          <w:rPr>
            <w:noProof/>
            <w:webHidden/>
          </w:rPr>
          <w:instrText xml:space="preserve"> PAGEREF _Toc437512812 \h </w:instrText>
        </w:r>
        <w:r w:rsidR="00667803">
          <w:rPr>
            <w:noProof/>
            <w:webHidden/>
          </w:rPr>
        </w:r>
        <w:r w:rsidR="00667803">
          <w:rPr>
            <w:noProof/>
            <w:webHidden/>
          </w:rPr>
          <w:fldChar w:fldCharType="separate"/>
        </w:r>
        <w:r w:rsidR="00625BEB">
          <w:rPr>
            <w:noProof/>
            <w:webHidden/>
          </w:rPr>
          <w:t>32</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13" w:history="1">
        <w:r w:rsidR="00667803" w:rsidRPr="00EE7F71">
          <w:rPr>
            <w:rStyle w:val="Hipervnculo"/>
            <w:rFonts w:cs="Arial"/>
            <w:noProof/>
          </w:rPr>
          <w:t>Tabla 7 Tarifas de transporte por poliductos resolución Minminas 181701 de 2003</w:t>
        </w:r>
        <w:r w:rsidR="00667803">
          <w:rPr>
            <w:noProof/>
            <w:webHidden/>
          </w:rPr>
          <w:tab/>
        </w:r>
        <w:r w:rsidR="00667803">
          <w:rPr>
            <w:noProof/>
            <w:webHidden/>
          </w:rPr>
          <w:fldChar w:fldCharType="begin"/>
        </w:r>
        <w:r w:rsidR="00667803">
          <w:rPr>
            <w:noProof/>
            <w:webHidden/>
          </w:rPr>
          <w:instrText xml:space="preserve"> PAGEREF _Toc437512813 \h </w:instrText>
        </w:r>
        <w:r w:rsidR="00667803">
          <w:rPr>
            <w:noProof/>
            <w:webHidden/>
          </w:rPr>
        </w:r>
        <w:r w:rsidR="00667803">
          <w:rPr>
            <w:noProof/>
            <w:webHidden/>
          </w:rPr>
          <w:fldChar w:fldCharType="separate"/>
        </w:r>
        <w:r w:rsidR="00625BEB">
          <w:rPr>
            <w:noProof/>
            <w:webHidden/>
          </w:rPr>
          <w:t>33</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14" w:history="1">
        <w:r w:rsidR="00667803" w:rsidRPr="00EE7F71">
          <w:rPr>
            <w:rStyle w:val="Hipervnculo"/>
            <w:noProof/>
          </w:rPr>
          <w:t>Tabla 8 Resumen resoluciones tarifas de poliductos 2006-2011</w:t>
        </w:r>
        <w:r w:rsidR="00667803">
          <w:rPr>
            <w:noProof/>
            <w:webHidden/>
          </w:rPr>
          <w:tab/>
        </w:r>
        <w:r w:rsidR="00667803">
          <w:rPr>
            <w:noProof/>
            <w:webHidden/>
          </w:rPr>
          <w:fldChar w:fldCharType="begin"/>
        </w:r>
        <w:r w:rsidR="00667803">
          <w:rPr>
            <w:noProof/>
            <w:webHidden/>
          </w:rPr>
          <w:instrText xml:space="preserve"> PAGEREF _Toc437512814 \h </w:instrText>
        </w:r>
        <w:r w:rsidR="00667803">
          <w:rPr>
            <w:noProof/>
            <w:webHidden/>
          </w:rPr>
        </w:r>
        <w:r w:rsidR="00667803">
          <w:rPr>
            <w:noProof/>
            <w:webHidden/>
          </w:rPr>
          <w:fldChar w:fldCharType="separate"/>
        </w:r>
        <w:r w:rsidR="00625BEB">
          <w:rPr>
            <w:noProof/>
            <w:webHidden/>
          </w:rPr>
          <w:t>34</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15" w:history="1">
        <w:r w:rsidR="00667803" w:rsidRPr="00EE7F71">
          <w:rPr>
            <w:rStyle w:val="Hipervnculo"/>
            <w:noProof/>
          </w:rPr>
          <w:t>Tabla 9 Resumen regulación margen de continuidad</w:t>
        </w:r>
        <w:r w:rsidR="00667803">
          <w:rPr>
            <w:noProof/>
            <w:webHidden/>
          </w:rPr>
          <w:tab/>
        </w:r>
        <w:r w:rsidR="00667803">
          <w:rPr>
            <w:noProof/>
            <w:webHidden/>
          </w:rPr>
          <w:fldChar w:fldCharType="begin"/>
        </w:r>
        <w:r w:rsidR="00667803">
          <w:rPr>
            <w:noProof/>
            <w:webHidden/>
          </w:rPr>
          <w:instrText xml:space="preserve"> PAGEREF _Toc437512815 \h </w:instrText>
        </w:r>
        <w:r w:rsidR="00667803">
          <w:rPr>
            <w:noProof/>
            <w:webHidden/>
          </w:rPr>
        </w:r>
        <w:r w:rsidR="00667803">
          <w:rPr>
            <w:noProof/>
            <w:webHidden/>
          </w:rPr>
          <w:fldChar w:fldCharType="separate"/>
        </w:r>
        <w:r w:rsidR="00625BEB">
          <w:rPr>
            <w:noProof/>
            <w:webHidden/>
          </w:rPr>
          <w:t>38</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16" w:history="1">
        <w:r w:rsidR="00667803" w:rsidRPr="00EE7F71">
          <w:rPr>
            <w:rStyle w:val="Hipervnculo"/>
            <w:noProof/>
          </w:rPr>
          <w:t>Tabla 10 Determinación de precios</w:t>
        </w:r>
        <w:r w:rsidR="00667803">
          <w:rPr>
            <w:noProof/>
            <w:webHidden/>
          </w:rPr>
          <w:tab/>
        </w:r>
        <w:r w:rsidR="00667803">
          <w:rPr>
            <w:noProof/>
            <w:webHidden/>
          </w:rPr>
          <w:fldChar w:fldCharType="begin"/>
        </w:r>
        <w:r w:rsidR="00667803">
          <w:rPr>
            <w:noProof/>
            <w:webHidden/>
          </w:rPr>
          <w:instrText xml:space="preserve"> PAGEREF _Toc437512816 \h </w:instrText>
        </w:r>
        <w:r w:rsidR="00667803">
          <w:rPr>
            <w:noProof/>
            <w:webHidden/>
          </w:rPr>
        </w:r>
        <w:r w:rsidR="00667803">
          <w:rPr>
            <w:noProof/>
            <w:webHidden/>
          </w:rPr>
          <w:fldChar w:fldCharType="separate"/>
        </w:r>
        <w:r w:rsidR="00625BEB">
          <w:rPr>
            <w:noProof/>
            <w:webHidden/>
          </w:rPr>
          <w:t>40</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17" w:history="1">
        <w:r w:rsidR="00667803" w:rsidRPr="00EE7F71">
          <w:rPr>
            <w:rStyle w:val="Hipervnculo"/>
            <w:noProof/>
          </w:rPr>
          <w:t>Tabla 11 Infraestructura de transporte zona norte</w:t>
        </w:r>
        <w:r w:rsidR="00667803">
          <w:rPr>
            <w:noProof/>
            <w:webHidden/>
          </w:rPr>
          <w:tab/>
        </w:r>
        <w:r w:rsidR="00667803">
          <w:rPr>
            <w:noProof/>
            <w:webHidden/>
          </w:rPr>
          <w:fldChar w:fldCharType="begin"/>
        </w:r>
        <w:r w:rsidR="00667803">
          <w:rPr>
            <w:noProof/>
            <w:webHidden/>
          </w:rPr>
          <w:instrText xml:space="preserve"> PAGEREF _Toc437512817 \h </w:instrText>
        </w:r>
        <w:r w:rsidR="00667803">
          <w:rPr>
            <w:noProof/>
            <w:webHidden/>
          </w:rPr>
        </w:r>
        <w:r w:rsidR="00667803">
          <w:rPr>
            <w:noProof/>
            <w:webHidden/>
          </w:rPr>
          <w:fldChar w:fldCharType="separate"/>
        </w:r>
        <w:r w:rsidR="00625BEB">
          <w:rPr>
            <w:noProof/>
            <w:webHidden/>
          </w:rPr>
          <w:t>45</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18" w:history="1">
        <w:r w:rsidR="00667803" w:rsidRPr="00EE7F71">
          <w:rPr>
            <w:rStyle w:val="Hipervnculo"/>
            <w:noProof/>
          </w:rPr>
          <w:t>Tabla 12 Infraestructura de transporte zona este</w:t>
        </w:r>
        <w:r w:rsidR="00667803">
          <w:rPr>
            <w:noProof/>
            <w:webHidden/>
          </w:rPr>
          <w:tab/>
        </w:r>
        <w:r w:rsidR="00667803">
          <w:rPr>
            <w:noProof/>
            <w:webHidden/>
          </w:rPr>
          <w:fldChar w:fldCharType="begin"/>
        </w:r>
        <w:r w:rsidR="00667803">
          <w:rPr>
            <w:noProof/>
            <w:webHidden/>
          </w:rPr>
          <w:instrText xml:space="preserve"> PAGEREF _Toc437512818 \h </w:instrText>
        </w:r>
        <w:r w:rsidR="00667803">
          <w:rPr>
            <w:noProof/>
            <w:webHidden/>
          </w:rPr>
        </w:r>
        <w:r w:rsidR="00667803">
          <w:rPr>
            <w:noProof/>
            <w:webHidden/>
          </w:rPr>
          <w:fldChar w:fldCharType="separate"/>
        </w:r>
        <w:r w:rsidR="00625BEB">
          <w:rPr>
            <w:noProof/>
            <w:webHidden/>
          </w:rPr>
          <w:t>45</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19" w:history="1">
        <w:r w:rsidR="00667803" w:rsidRPr="00EE7F71">
          <w:rPr>
            <w:rStyle w:val="Hipervnculo"/>
            <w:noProof/>
          </w:rPr>
          <w:t>Tabla 13 Infraestructura de transporte zona centro</w:t>
        </w:r>
        <w:r w:rsidR="00667803">
          <w:rPr>
            <w:noProof/>
            <w:webHidden/>
          </w:rPr>
          <w:tab/>
        </w:r>
        <w:r w:rsidR="00667803">
          <w:rPr>
            <w:noProof/>
            <w:webHidden/>
          </w:rPr>
          <w:fldChar w:fldCharType="begin"/>
        </w:r>
        <w:r w:rsidR="00667803">
          <w:rPr>
            <w:noProof/>
            <w:webHidden/>
          </w:rPr>
          <w:instrText xml:space="preserve"> PAGEREF _Toc437512819 \h </w:instrText>
        </w:r>
        <w:r w:rsidR="00667803">
          <w:rPr>
            <w:noProof/>
            <w:webHidden/>
          </w:rPr>
        </w:r>
        <w:r w:rsidR="00667803">
          <w:rPr>
            <w:noProof/>
            <w:webHidden/>
          </w:rPr>
          <w:fldChar w:fldCharType="separate"/>
        </w:r>
        <w:r w:rsidR="00625BEB">
          <w:rPr>
            <w:noProof/>
            <w:webHidden/>
          </w:rPr>
          <w:t>46</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20" w:history="1">
        <w:r w:rsidR="00667803" w:rsidRPr="00EE7F71">
          <w:rPr>
            <w:rStyle w:val="Hipervnculo"/>
            <w:noProof/>
          </w:rPr>
          <w:t>Tabla 14 Infraestructura de transporte zona oeste</w:t>
        </w:r>
        <w:r w:rsidR="00667803">
          <w:rPr>
            <w:noProof/>
            <w:webHidden/>
          </w:rPr>
          <w:tab/>
        </w:r>
        <w:r w:rsidR="00667803">
          <w:rPr>
            <w:noProof/>
            <w:webHidden/>
          </w:rPr>
          <w:fldChar w:fldCharType="begin"/>
        </w:r>
        <w:r w:rsidR="00667803">
          <w:rPr>
            <w:noProof/>
            <w:webHidden/>
          </w:rPr>
          <w:instrText xml:space="preserve"> PAGEREF _Toc437512820 \h </w:instrText>
        </w:r>
        <w:r w:rsidR="00667803">
          <w:rPr>
            <w:noProof/>
            <w:webHidden/>
          </w:rPr>
        </w:r>
        <w:r w:rsidR="00667803">
          <w:rPr>
            <w:noProof/>
            <w:webHidden/>
          </w:rPr>
          <w:fldChar w:fldCharType="separate"/>
        </w:r>
        <w:r w:rsidR="00625BEB">
          <w:rPr>
            <w:noProof/>
            <w:webHidden/>
          </w:rPr>
          <w:t>46</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21" w:history="1">
        <w:r w:rsidR="00667803" w:rsidRPr="00EE7F71">
          <w:rPr>
            <w:rStyle w:val="Hipervnculo"/>
            <w:noProof/>
          </w:rPr>
          <w:t>Tabla 15 Infraestructura de transporte zona sur</w:t>
        </w:r>
        <w:r w:rsidR="00667803">
          <w:rPr>
            <w:noProof/>
            <w:webHidden/>
          </w:rPr>
          <w:tab/>
        </w:r>
        <w:r w:rsidR="00667803">
          <w:rPr>
            <w:noProof/>
            <w:webHidden/>
          </w:rPr>
          <w:fldChar w:fldCharType="begin"/>
        </w:r>
        <w:r w:rsidR="00667803">
          <w:rPr>
            <w:noProof/>
            <w:webHidden/>
          </w:rPr>
          <w:instrText xml:space="preserve"> PAGEREF _Toc437512821 \h </w:instrText>
        </w:r>
        <w:r w:rsidR="00667803">
          <w:rPr>
            <w:noProof/>
            <w:webHidden/>
          </w:rPr>
        </w:r>
        <w:r w:rsidR="00667803">
          <w:rPr>
            <w:noProof/>
            <w:webHidden/>
          </w:rPr>
          <w:fldChar w:fldCharType="separate"/>
        </w:r>
        <w:r w:rsidR="00625BEB">
          <w:rPr>
            <w:noProof/>
            <w:webHidden/>
          </w:rPr>
          <w:t>47</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22" w:history="1">
        <w:r w:rsidR="00667803" w:rsidRPr="00EE7F71">
          <w:rPr>
            <w:rStyle w:val="Hipervnculo"/>
            <w:noProof/>
          </w:rPr>
          <w:t>Tabla 16 Infraestructura de transporte zona Bogotá</w:t>
        </w:r>
        <w:r w:rsidR="00667803">
          <w:rPr>
            <w:noProof/>
            <w:webHidden/>
          </w:rPr>
          <w:tab/>
        </w:r>
        <w:r w:rsidR="00667803">
          <w:rPr>
            <w:noProof/>
            <w:webHidden/>
          </w:rPr>
          <w:fldChar w:fldCharType="begin"/>
        </w:r>
        <w:r w:rsidR="00667803">
          <w:rPr>
            <w:noProof/>
            <w:webHidden/>
          </w:rPr>
          <w:instrText xml:space="preserve"> PAGEREF _Toc437512822 \h </w:instrText>
        </w:r>
        <w:r w:rsidR="00667803">
          <w:rPr>
            <w:noProof/>
            <w:webHidden/>
          </w:rPr>
        </w:r>
        <w:r w:rsidR="00667803">
          <w:rPr>
            <w:noProof/>
            <w:webHidden/>
          </w:rPr>
          <w:fldChar w:fldCharType="separate"/>
        </w:r>
        <w:r w:rsidR="00625BEB">
          <w:rPr>
            <w:noProof/>
            <w:webHidden/>
          </w:rPr>
          <w:t>47</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23" w:history="1">
        <w:r w:rsidR="00667803" w:rsidRPr="00EE7F71">
          <w:rPr>
            <w:rStyle w:val="Hipervnculo"/>
            <w:noProof/>
          </w:rPr>
          <w:t>Tabla 17 Infraestructura de almacenamiento CENIT (Barriles)</w:t>
        </w:r>
        <w:r w:rsidR="00667803">
          <w:rPr>
            <w:noProof/>
            <w:webHidden/>
          </w:rPr>
          <w:tab/>
        </w:r>
        <w:r w:rsidR="00667803">
          <w:rPr>
            <w:noProof/>
            <w:webHidden/>
          </w:rPr>
          <w:fldChar w:fldCharType="begin"/>
        </w:r>
        <w:r w:rsidR="00667803">
          <w:rPr>
            <w:noProof/>
            <w:webHidden/>
          </w:rPr>
          <w:instrText xml:space="preserve"> PAGEREF _Toc437512823 \h </w:instrText>
        </w:r>
        <w:r w:rsidR="00667803">
          <w:rPr>
            <w:noProof/>
            <w:webHidden/>
          </w:rPr>
        </w:r>
        <w:r w:rsidR="00667803">
          <w:rPr>
            <w:noProof/>
            <w:webHidden/>
          </w:rPr>
          <w:fldChar w:fldCharType="separate"/>
        </w:r>
        <w:r w:rsidR="00625BEB">
          <w:rPr>
            <w:noProof/>
            <w:webHidden/>
          </w:rPr>
          <w:t>47</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24" w:history="1">
        <w:r w:rsidR="00667803" w:rsidRPr="00EE7F71">
          <w:rPr>
            <w:rStyle w:val="Hipervnculo"/>
            <w:noProof/>
          </w:rPr>
          <w:t>Tabla 18  Estaciones poliducto Pozos Colorados – Galán</w:t>
        </w:r>
        <w:r w:rsidR="00667803">
          <w:rPr>
            <w:noProof/>
            <w:webHidden/>
          </w:rPr>
          <w:tab/>
        </w:r>
        <w:r w:rsidR="00667803">
          <w:rPr>
            <w:noProof/>
            <w:webHidden/>
          </w:rPr>
          <w:fldChar w:fldCharType="begin"/>
        </w:r>
        <w:r w:rsidR="00667803">
          <w:rPr>
            <w:noProof/>
            <w:webHidden/>
          </w:rPr>
          <w:instrText xml:space="preserve"> PAGEREF _Toc437512824 \h </w:instrText>
        </w:r>
        <w:r w:rsidR="00667803">
          <w:rPr>
            <w:noProof/>
            <w:webHidden/>
          </w:rPr>
        </w:r>
        <w:r w:rsidR="00667803">
          <w:rPr>
            <w:noProof/>
            <w:webHidden/>
          </w:rPr>
          <w:fldChar w:fldCharType="separate"/>
        </w:r>
        <w:r w:rsidR="00625BEB">
          <w:rPr>
            <w:noProof/>
            <w:webHidden/>
          </w:rPr>
          <w:t>49</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25" w:history="1">
        <w:r w:rsidR="00667803" w:rsidRPr="00EE7F71">
          <w:rPr>
            <w:rStyle w:val="Hipervnculo"/>
            <w:noProof/>
          </w:rPr>
          <w:t>Tabla 19  Estaciones poliducto Pozos Colorados – Galán</w:t>
        </w:r>
        <w:r w:rsidR="00667803">
          <w:rPr>
            <w:noProof/>
            <w:webHidden/>
          </w:rPr>
          <w:tab/>
        </w:r>
        <w:r w:rsidR="00667803">
          <w:rPr>
            <w:noProof/>
            <w:webHidden/>
          </w:rPr>
          <w:fldChar w:fldCharType="begin"/>
        </w:r>
        <w:r w:rsidR="00667803">
          <w:rPr>
            <w:noProof/>
            <w:webHidden/>
          </w:rPr>
          <w:instrText xml:space="preserve"> PAGEREF _Toc437512825 \h </w:instrText>
        </w:r>
        <w:r w:rsidR="00667803">
          <w:rPr>
            <w:noProof/>
            <w:webHidden/>
          </w:rPr>
        </w:r>
        <w:r w:rsidR="00667803">
          <w:rPr>
            <w:noProof/>
            <w:webHidden/>
          </w:rPr>
          <w:fldChar w:fldCharType="separate"/>
        </w:r>
        <w:r w:rsidR="00625BEB">
          <w:rPr>
            <w:noProof/>
            <w:webHidden/>
          </w:rPr>
          <w:t>49</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26" w:history="1">
        <w:r w:rsidR="00667803" w:rsidRPr="00EE7F71">
          <w:rPr>
            <w:rStyle w:val="Hipervnculo"/>
            <w:noProof/>
          </w:rPr>
          <w:t>Tabla 20  Estaciones poliducto Buenaventura - Yumbo</w:t>
        </w:r>
        <w:r w:rsidR="00667803">
          <w:rPr>
            <w:noProof/>
            <w:webHidden/>
          </w:rPr>
          <w:tab/>
        </w:r>
        <w:r w:rsidR="00667803">
          <w:rPr>
            <w:noProof/>
            <w:webHidden/>
          </w:rPr>
          <w:fldChar w:fldCharType="begin"/>
        </w:r>
        <w:r w:rsidR="00667803">
          <w:rPr>
            <w:noProof/>
            <w:webHidden/>
          </w:rPr>
          <w:instrText xml:space="preserve"> PAGEREF _Toc437512826 \h </w:instrText>
        </w:r>
        <w:r w:rsidR="00667803">
          <w:rPr>
            <w:noProof/>
            <w:webHidden/>
          </w:rPr>
        </w:r>
        <w:r w:rsidR="00667803">
          <w:rPr>
            <w:noProof/>
            <w:webHidden/>
          </w:rPr>
          <w:fldChar w:fldCharType="separate"/>
        </w:r>
        <w:r w:rsidR="00625BEB">
          <w:rPr>
            <w:noProof/>
            <w:webHidden/>
          </w:rPr>
          <w:t>50</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27" w:history="1">
        <w:r w:rsidR="00667803" w:rsidRPr="00EE7F71">
          <w:rPr>
            <w:rStyle w:val="Hipervnculo"/>
            <w:noProof/>
          </w:rPr>
          <w:t>Tabla 21  Estaciones poliducto Galán - Bucaramanga</w:t>
        </w:r>
        <w:r w:rsidR="00667803">
          <w:rPr>
            <w:noProof/>
            <w:webHidden/>
          </w:rPr>
          <w:tab/>
        </w:r>
        <w:r w:rsidR="00667803">
          <w:rPr>
            <w:noProof/>
            <w:webHidden/>
          </w:rPr>
          <w:fldChar w:fldCharType="begin"/>
        </w:r>
        <w:r w:rsidR="00667803">
          <w:rPr>
            <w:noProof/>
            <w:webHidden/>
          </w:rPr>
          <w:instrText xml:space="preserve"> PAGEREF _Toc437512827 \h </w:instrText>
        </w:r>
        <w:r w:rsidR="00667803">
          <w:rPr>
            <w:noProof/>
            <w:webHidden/>
          </w:rPr>
        </w:r>
        <w:r w:rsidR="00667803">
          <w:rPr>
            <w:noProof/>
            <w:webHidden/>
          </w:rPr>
          <w:fldChar w:fldCharType="separate"/>
        </w:r>
        <w:r w:rsidR="00625BEB">
          <w:rPr>
            <w:noProof/>
            <w:webHidden/>
          </w:rPr>
          <w:t>51</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28" w:history="1">
        <w:r w:rsidR="00667803" w:rsidRPr="00EE7F71">
          <w:rPr>
            <w:rStyle w:val="Hipervnculo"/>
            <w:noProof/>
          </w:rPr>
          <w:t>Tabla 22 Estaciones Sistema Galán - Sebastopol</w:t>
        </w:r>
        <w:r w:rsidR="00667803">
          <w:rPr>
            <w:noProof/>
            <w:webHidden/>
          </w:rPr>
          <w:tab/>
        </w:r>
        <w:r w:rsidR="00667803">
          <w:rPr>
            <w:noProof/>
            <w:webHidden/>
          </w:rPr>
          <w:fldChar w:fldCharType="begin"/>
        </w:r>
        <w:r w:rsidR="00667803">
          <w:rPr>
            <w:noProof/>
            <w:webHidden/>
          </w:rPr>
          <w:instrText xml:space="preserve"> PAGEREF _Toc437512828 \h </w:instrText>
        </w:r>
        <w:r w:rsidR="00667803">
          <w:rPr>
            <w:noProof/>
            <w:webHidden/>
          </w:rPr>
        </w:r>
        <w:r w:rsidR="00667803">
          <w:rPr>
            <w:noProof/>
            <w:webHidden/>
          </w:rPr>
          <w:fldChar w:fldCharType="separate"/>
        </w:r>
        <w:r w:rsidR="00625BEB">
          <w:rPr>
            <w:noProof/>
            <w:webHidden/>
          </w:rPr>
          <w:t>52</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29" w:history="1">
        <w:r w:rsidR="00667803" w:rsidRPr="00EE7F71">
          <w:rPr>
            <w:rStyle w:val="Hipervnculo"/>
            <w:noProof/>
          </w:rPr>
          <w:t>Tabla 23 Estaciones Sistema Sebastopol – Puerto Salgar</w:t>
        </w:r>
        <w:r w:rsidR="00667803">
          <w:rPr>
            <w:noProof/>
            <w:webHidden/>
          </w:rPr>
          <w:tab/>
        </w:r>
        <w:r w:rsidR="00667803">
          <w:rPr>
            <w:noProof/>
            <w:webHidden/>
          </w:rPr>
          <w:fldChar w:fldCharType="begin"/>
        </w:r>
        <w:r w:rsidR="00667803">
          <w:rPr>
            <w:noProof/>
            <w:webHidden/>
          </w:rPr>
          <w:instrText xml:space="preserve"> PAGEREF _Toc437512829 \h </w:instrText>
        </w:r>
        <w:r w:rsidR="00667803">
          <w:rPr>
            <w:noProof/>
            <w:webHidden/>
          </w:rPr>
        </w:r>
        <w:r w:rsidR="00667803">
          <w:rPr>
            <w:noProof/>
            <w:webHidden/>
          </w:rPr>
          <w:fldChar w:fldCharType="separate"/>
        </w:r>
        <w:r w:rsidR="00625BEB">
          <w:rPr>
            <w:noProof/>
            <w:webHidden/>
          </w:rPr>
          <w:t>53</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30" w:history="1">
        <w:r w:rsidR="00667803" w:rsidRPr="00EE7F71">
          <w:rPr>
            <w:rStyle w:val="Hipervnculo"/>
            <w:noProof/>
          </w:rPr>
          <w:t>Tabla 24 Estaciones propanoducto Galán - Salgar</w:t>
        </w:r>
        <w:r w:rsidR="00667803">
          <w:rPr>
            <w:noProof/>
            <w:webHidden/>
          </w:rPr>
          <w:tab/>
        </w:r>
        <w:r w:rsidR="00667803">
          <w:rPr>
            <w:noProof/>
            <w:webHidden/>
          </w:rPr>
          <w:fldChar w:fldCharType="begin"/>
        </w:r>
        <w:r w:rsidR="00667803">
          <w:rPr>
            <w:noProof/>
            <w:webHidden/>
          </w:rPr>
          <w:instrText xml:space="preserve"> PAGEREF _Toc437512830 \h </w:instrText>
        </w:r>
        <w:r w:rsidR="00667803">
          <w:rPr>
            <w:noProof/>
            <w:webHidden/>
          </w:rPr>
        </w:r>
        <w:r w:rsidR="00667803">
          <w:rPr>
            <w:noProof/>
            <w:webHidden/>
          </w:rPr>
          <w:fldChar w:fldCharType="separate"/>
        </w:r>
        <w:r w:rsidR="00625BEB">
          <w:rPr>
            <w:noProof/>
            <w:webHidden/>
          </w:rPr>
          <w:t>53</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31" w:history="1">
        <w:r w:rsidR="00667803" w:rsidRPr="00EE7F71">
          <w:rPr>
            <w:rStyle w:val="Hipervnculo"/>
            <w:noProof/>
          </w:rPr>
          <w:t>Tabla 25 Estaciones poliducto Salgar - Mansilla</w:t>
        </w:r>
        <w:r w:rsidR="00667803">
          <w:rPr>
            <w:noProof/>
            <w:webHidden/>
          </w:rPr>
          <w:tab/>
        </w:r>
        <w:r w:rsidR="00667803">
          <w:rPr>
            <w:noProof/>
            <w:webHidden/>
          </w:rPr>
          <w:fldChar w:fldCharType="begin"/>
        </w:r>
        <w:r w:rsidR="00667803">
          <w:rPr>
            <w:noProof/>
            <w:webHidden/>
          </w:rPr>
          <w:instrText xml:space="preserve"> PAGEREF _Toc437512831 \h </w:instrText>
        </w:r>
        <w:r w:rsidR="00667803">
          <w:rPr>
            <w:noProof/>
            <w:webHidden/>
          </w:rPr>
        </w:r>
        <w:r w:rsidR="00667803">
          <w:rPr>
            <w:noProof/>
            <w:webHidden/>
          </w:rPr>
          <w:fldChar w:fldCharType="separate"/>
        </w:r>
        <w:r w:rsidR="00625BEB">
          <w:rPr>
            <w:noProof/>
            <w:webHidden/>
          </w:rPr>
          <w:t>54</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32" w:history="1">
        <w:r w:rsidR="00667803" w:rsidRPr="00EE7F71">
          <w:rPr>
            <w:rStyle w:val="Hipervnculo"/>
            <w:noProof/>
          </w:rPr>
          <w:t>Tabla 26 Estaciones poliducto Salgar - Mansilla</w:t>
        </w:r>
        <w:r w:rsidR="00667803">
          <w:rPr>
            <w:noProof/>
            <w:webHidden/>
          </w:rPr>
          <w:tab/>
        </w:r>
        <w:r w:rsidR="00667803">
          <w:rPr>
            <w:noProof/>
            <w:webHidden/>
          </w:rPr>
          <w:fldChar w:fldCharType="begin"/>
        </w:r>
        <w:r w:rsidR="00667803">
          <w:rPr>
            <w:noProof/>
            <w:webHidden/>
          </w:rPr>
          <w:instrText xml:space="preserve"> PAGEREF _Toc437512832 \h </w:instrText>
        </w:r>
        <w:r w:rsidR="00667803">
          <w:rPr>
            <w:noProof/>
            <w:webHidden/>
          </w:rPr>
        </w:r>
        <w:r w:rsidR="00667803">
          <w:rPr>
            <w:noProof/>
            <w:webHidden/>
          </w:rPr>
          <w:fldChar w:fldCharType="separate"/>
        </w:r>
        <w:r w:rsidR="00625BEB">
          <w:rPr>
            <w:noProof/>
            <w:webHidden/>
          </w:rPr>
          <w:t>55</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33" w:history="1">
        <w:r w:rsidR="00667803" w:rsidRPr="00EE7F71">
          <w:rPr>
            <w:rStyle w:val="Hipervnculo"/>
            <w:noProof/>
          </w:rPr>
          <w:t>Tabla 27 Estaciones poliducto Medellín – Cartago - Yumbo</w:t>
        </w:r>
        <w:r w:rsidR="00667803">
          <w:rPr>
            <w:noProof/>
            <w:webHidden/>
          </w:rPr>
          <w:tab/>
        </w:r>
        <w:r w:rsidR="00667803">
          <w:rPr>
            <w:noProof/>
            <w:webHidden/>
          </w:rPr>
          <w:fldChar w:fldCharType="begin"/>
        </w:r>
        <w:r w:rsidR="00667803">
          <w:rPr>
            <w:noProof/>
            <w:webHidden/>
          </w:rPr>
          <w:instrText xml:space="preserve"> PAGEREF _Toc437512833 \h </w:instrText>
        </w:r>
        <w:r w:rsidR="00667803">
          <w:rPr>
            <w:noProof/>
            <w:webHidden/>
          </w:rPr>
        </w:r>
        <w:r w:rsidR="00667803">
          <w:rPr>
            <w:noProof/>
            <w:webHidden/>
          </w:rPr>
          <w:fldChar w:fldCharType="separate"/>
        </w:r>
        <w:r w:rsidR="00625BEB">
          <w:rPr>
            <w:noProof/>
            <w:webHidden/>
          </w:rPr>
          <w:t>58</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34" w:history="1">
        <w:r w:rsidR="00667803" w:rsidRPr="00EE7F71">
          <w:rPr>
            <w:rStyle w:val="Hipervnculo"/>
            <w:noProof/>
          </w:rPr>
          <w:t>Tabla 28 Estaciones poliducto Odeca Salgar - Manizales - Cartago</w:t>
        </w:r>
        <w:r w:rsidR="00667803">
          <w:rPr>
            <w:noProof/>
            <w:webHidden/>
          </w:rPr>
          <w:tab/>
        </w:r>
        <w:r w:rsidR="00667803">
          <w:rPr>
            <w:noProof/>
            <w:webHidden/>
          </w:rPr>
          <w:fldChar w:fldCharType="begin"/>
        </w:r>
        <w:r w:rsidR="00667803">
          <w:rPr>
            <w:noProof/>
            <w:webHidden/>
          </w:rPr>
          <w:instrText xml:space="preserve"> PAGEREF _Toc437512834 \h </w:instrText>
        </w:r>
        <w:r w:rsidR="00667803">
          <w:rPr>
            <w:noProof/>
            <w:webHidden/>
          </w:rPr>
        </w:r>
        <w:r w:rsidR="00667803">
          <w:rPr>
            <w:noProof/>
            <w:webHidden/>
          </w:rPr>
          <w:fldChar w:fldCharType="separate"/>
        </w:r>
        <w:r w:rsidR="00625BEB">
          <w:rPr>
            <w:noProof/>
            <w:webHidden/>
          </w:rPr>
          <w:t>59</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35" w:history="1">
        <w:r w:rsidR="00667803" w:rsidRPr="00EE7F71">
          <w:rPr>
            <w:rStyle w:val="Hipervnculo"/>
            <w:noProof/>
          </w:rPr>
          <w:t>Tabla 29 Estaciones poliducto Salgar - Neiva</w:t>
        </w:r>
        <w:r w:rsidR="00667803">
          <w:rPr>
            <w:noProof/>
            <w:webHidden/>
          </w:rPr>
          <w:tab/>
        </w:r>
        <w:r w:rsidR="00667803">
          <w:rPr>
            <w:noProof/>
            <w:webHidden/>
          </w:rPr>
          <w:fldChar w:fldCharType="begin"/>
        </w:r>
        <w:r w:rsidR="00667803">
          <w:rPr>
            <w:noProof/>
            <w:webHidden/>
          </w:rPr>
          <w:instrText xml:space="preserve"> PAGEREF _Toc437512835 \h </w:instrText>
        </w:r>
        <w:r w:rsidR="00667803">
          <w:rPr>
            <w:noProof/>
            <w:webHidden/>
          </w:rPr>
        </w:r>
        <w:r w:rsidR="00667803">
          <w:rPr>
            <w:noProof/>
            <w:webHidden/>
          </w:rPr>
          <w:fldChar w:fldCharType="separate"/>
        </w:r>
        <w:r w:rsidR="00625BEB">
          <w:rPr>
            <w:noProof/>
            <w:webHidden/>
          </w:rPr>
          <w:t>61</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36" w:history="1">
        <w:r w:rsidR="00667803" w:rsidRPr="00EE7F71">
          <w:rPr>
            <w:rStyle w:val="Hipervnculo"/>
            <w:noProof/>
          </w:rPr>
          <w:t>Tabla 30 Estaciones poliducto Sebastopol - Tocancipá</w:t>
        </w:r>
        <w:r w:rsidR="00667803">
          <w:rPr>
            <w:noProof/>
            <w:webHidden/>
          </w:rPr>
          <w:tab/>
        </w:r>
        <w:r w:rsidR="00667803">
          <w:rPr>
            <w:noProof/>
            <w:webHidden/>
          </w:rPr>
          <w:fldChar w:fldCharType="begin"/>
        </w:r>
        <w:r w:rsidR="00667803">
          <w:rPr>
            <w:noProof/>
            <w:webHidden/>
          </w:rPr>
          <w:instrText xml:space="preserve"> PAGEREF _Toc437512836 \h </w:instrText>
        </w:r>
        <w:r w:rsidR="00667803">
          <w:rPr>
            <w:noProof/>
            <w:webHidden/>
          </w:rPr>
        </w:r>
        <w:r w:rsidR="00667803">
          <w:rPr>
            <w:noProof/>
            <w:webHidden/>
          </w:rPr>
          <w:fldChar w:fldCharType="separate"/>
        </w:r>
        <w:r w:rsidR="00625BEB">
          <w:rPr>
            <w:noProof/>
            <w:webHidden/>
          </w:rPr>
          <w:t>61</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37" w:history="1">
        <w:r w:rsidR="00667803" w:rsidRPr="00EE7F71">
          <w:rPr>
            <w:rStyle w:val="Hipervnculo"/>
            <w:noProof/>
          </w:rPr>
          <w:t>Tabla 31 Estaciones poliducto Sutamarchán - Apiay</w:t>
        </w:r>
        <w:r w:rsidR="00667803">
          <w:rPr>
            <w:noProof/>
            <w:webHidden/>
          </w:rPr>
          <w:tab/>
        </w:r>
        <w:r w:rsidR="00667803">
          <w:rPr>
            <w:noProof/>
            <w:webHidden/>
          </w:rPr>
          <w:fldChar w:fldCharType="begin"/>
        </w:r>
        <w:r w:rsidR="00667803">
          <w:rPr>
            <w:noProof/>
            <w:webHidden/>
          </w:rPr>
          <w:instrText xml:space="preserve"> PAGEREF _Toc437512837 \h </w:instrText>
        </w:r>
        <w:r w:rsidR="00667803">
          <w:rPr>
            <w:noProof/>
            <w:webHidden/>
          </w:rPr>
        </w:r>
        <w:r w:rsidR="00667803">
          <w:rPr>
            <w:noProof/>
            <w:webHidden/>
          </w:rPr>
          <w:fldChar w:fldCharType="separate"/>
        </w:r>
        <w:r w:rsidR="00625BEB">
          <w:rPr>
            <w:noProof/>
            <w:webHidden/>
          </w:rPr>
          <w:t>62</w:t>
        </w:r>
        <w:r w:rsidR="00667803">
          <w:rPr>
            <w:noProof/>
            <w:webHidden/>
          </w:rPr>
          <w:fldChar w:fldCharType="end"/>
        </w:r>
      </w:hyperlink>
    </w:p>
    <w:p w:rsidR="006C4AB9" w:rsidRPr="00325A7F" w:rsidRDefault="006C4AB9" w:rsidP="0083557B">
      <w:pPr>
        <w:jc w:val="center"/>
        <w:rPr>
          <w:rFonts w:cs="Arial"/>
          <w:szCs w:val="22"/>
        </w:rPr>
      </w:pPr>
      <w:r w:rsidRPr="00325A7F">
        <w:rPr>
          <w:rFonts w:cs="Arial"/>
          <w:szCs w:val="22"/>
        </w:rPr>
        <w:fldChar w:fldCharType="end"/>
      </w:r>
    </w:p>
    <w:p w:rsidR="006C4AB9" w:rsidRPr="00325A7F" w:rsidRDefault="006C4AB9" w:rsidP="0083557B">
      <w:pPr>
        <w:jc w:val="center"/>
        <w:rPr>
          <w:rFonts w:cs="Arial"/>
          <w:b/>
          <w:szCs w:val="22"/>
        </w:rPr>
      </w:pPr>
    </w:p>
    <w:p w:rsidR="006C4AB9" w:rsidRPr="00325A7F" w:rsidRDefault="006C4AB9" w:rsidP="0083557B">
      <w:pPr>
        <w:jc w:val="center"/>
        <w:rPr>
          <w:rFonts w:cs="Arial"/>
          <w:b/>
          <w:szCs w:val="22"/>
        </w:rPr>
      </w:pPr>
    </w:p>
    <w:p w:rsidR="006C4AB9" w:rsidRDefault="006C4AB9" w:rsidP="0083557B">
      <w:pPr>
        <w:jc w:val="center"/>
        <w:rPr>
          <w:rFonts w:cs="Arial"/>
          <w:b/>
          <w:sz w:val="24"/>
        </w:rPr>
      </w:pPr>
    </w:p>
    <w:p w:rsidR="006C4AB9" w:rsidRDefault="006C4AB9">
      <w:pPr>
        <w:jc w:val="left"/>
        <w:rPr>
          <w:rFonts w:cs="Arial"/>
          <w:b/>
          <w:sz w:val="24"/>
        </w:rPr>
      </w:pPr>
      <w:r>
        <w:rPr>
          <w:rFonts w:cs="Arial"/>
          <w:b/>
          <w:sz w:val="24"/>
        </w:rPr>
        <w:br w:type="page"/>
      </w:r>
    </w:p>
    <w:p w:rsidR="006C4AB9" w:rsidRPr="00FB21E1" w:rsidRDefault="006C4AB9" w:rsidP="00A812B1">
      <w:pPr>
        <w:rPr>
          <w:b/>
          <w:sz w:val="24"/>
        </w:rPr>
      </w:pPr>
      <w:r w:rsidRPr="00FB21E1">
        <w:rPr>
          <w:b/>
          <w:sz w:val="24"/>
        </w:rPr>
        <w:lastRenderedPageBreak/>
        <w:t>Lista de gráficas</w:t>
      </w:r>
    </w:p>
    <w:p w:rsidR="006C4AB9" w:rsidRDefault="006C4AB9" w:rsidP="0083557B">
      <w:pPr>
        <w:jc w:val="center"/>
        <w:rPr>
          <w:rFonts w:cs="Arial"/>
          <w:b/>
          <w:sz w:val="24"/>
        </w:rPr>
      </w:pPr>
    </w:p>
    <w:p w:rsidR="00667803" w:rsidRDefault="00963451">
      <w:pPr>
        <w:pStyle w:val="Tabladeilustraciones"/>
        <w:tabs>
          <w:tab w:val="right" w:leader="dot" w:pos="9346"/>
        </w:tabs>
        <w:rPr>
          <w:rFonts w:asciiTheme="minorHAnsi" w:eastAsiaTheme="minorEastAsia" w:hAnsiTheme="minorHAnsi" w:cstheme="minorBidi"/>
          <w:noProof/>
          <w:spacing w:val="0"/>
          <w:sz w:val="22"/>
          <w:szCs w:val="22"/>
          <w:lang w:eastAsia="es-CO"/>
        </w:rPr>
      </w:pPr>
      <w:r w:rsidRPr="00FB21E1">
        <w:rPr>
          <w:rFonts w:cs="Arial"/>
          <w:b/>
          <w:sz w:val="22"/>
          <w:szCs w:val="22"/>
        </w:rPr>
        <w:fldChar w:fldCharType="begin"/>
      </w:r>
      <w:r w:rsidRPr="00FB21E1">
        <w:rPr>
          <w:rFonts w:cs="Arial"/>
          <w:b/>
          <w:sz w:val="22"/>
          <w:szCs w:val="22"/>
        </w:rPr>
        <w:instrText xml:space="preserve"> TOC \h \z \c "Gráfica" </w:instrText>
      </w:r>
      <w:r w:rsidRPr="00FB21E1">
        <w:rPr>
          <w:rFonts w:cs="Arial"/>
          <w:b/>
          <w:sz w:val="22"/>
          <w:szCs w:val="22"/>
        </w:rPr>
        <w:fldChar w:fldCharType="separate"/>
      </w:r>
      <w:hyperlink w:anchor="_Toc437512838" w:history="1">
        <w:r w:rsidR="00667803" w:rsidRPr="00144E1F">
          <w:rPr>
            <w:rStyle w:val="Hipervnculo"/>
            <w:noProof/>
          </w:rPr>
          <w:t>Gráfica 1 Cadena de producción y distribución de Combustibles Líquidos</w:t>
        </w:r>
        <w:r w:rsidR="00667803">
          <w:rPr>
            <w:noProof/>
            <w:webHidden/>
          </w:rPr>
          <w:tab/>
        </w:r>
        <w:r w:rsidR="00667803">
          <w:rPr>
            <w:noProof/>
            <w:webHidden/>
          </w:rPr>
          <w:fldChar w:fldCharType="begin"/>
        </w:r>
        <w:r w:rsidR="00667803">
          <w:rPr>
            <w:noProof/>
            <w:webHidden/>
          </w:rPr>
          <w:instrText xml:space="preserve"> PAGEREF _Toc437512838 \h </w:instrText>
        </w:r>
        <w:r w:rsidR="00667803">
          <w:rPr>
            <w:noProof/>
            <w:webHidden/>
          </w:rPr>
        </w:r>
        <w:r w:rsidR="00667803">
          <w:rPr>
            <w:noProof/>
            <w:webHidden/>
          </w:rPr>
          <w:fldChar w:fldCharType="separate"/>
        </w:r>
        <w:r w:rsidR="00625BEB">
          <w:rPr>
            <w:noProof/>
            <w:webHidden/>
          </w:rPr>
          <w:t>19</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39" w:history="1">
        <w:r w:rsidR="00667803" w:rsidRPr="00144E1F">
          <w:rPr>
            <w:rStyle w:val="Hipervnculo"/>
            <w:noProof/>
          </w:rPr>
          <w:t>Gráfica 2 Infraestructura de Transporte por ductos Colombia</w:t>
        </w:r>
        <w:r w:rsidR="00667803">
          <w:rPr>
            <w:noProof/>
            <w:webHidden/>
          </w:rPr>
          <w:tab/>
        </w:r>
        <w:r w:rsidR="00667803">
          <w:rPr>
            <w:noProof/>
            <w:webHidden/>
          </w:rPr>
          <w:fldChar w:fldCharType="begin"/>
        </w:r>
        <w:r w:rsidR="00667803">
          <w:rPr>
            <w:noProof/>
            <w:webHidden/>
          </w:rPr>
          <w:instrText xml:space="preserve"> PAGEREF _Toc437512839 \h </w:instrText>
        </w:r>
        <w:r w:rsidR="00667803">
          <w:rPr>
            <w:noProof/>
            <w:webHidden/>
          </w:rPr>
        </w:r>
        <w:r w:rsidR="00667803">
          <w:rPr>
            <w:noProof/>
            <w:webHidden/>
          </w:rPr>
          <w:fldChar w:fldCharType="separate"/>
        </w:r>
        <w:r w:rsidR="00625BEB">
          <w:rPr>
            <w:noProof/>
            <w:webHidden/>
          </w:rPr>
          <w:t>20</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40" w:history="1">
        <w:r w:rsidR="00667803" w:rsidRPr="00144E1F">
          <w:rPr>
            <w:rStyle w:val="Hipervnculo"/>
            <w:noProof/>
          </w:rPr>
          <w:t>Gráfica 3 Longitud total de la red de Poliductos y Propanoductos</w:t>
        </w:r>
        <w:r w:rsidR="00667803">
          <w:rPr>
            <w:noProof/>
            <w:webHidden/>
          </w:rPr>
          <w:tab/>
        </w:r>
        <w:r w:rsidR="00667803">
          <w:rPr>
            <w:noProof/>
            <w:webHidden/>
          </w:rPr>
          <w:fldChar w:fldCharType="begin"/>
        </w:r>
        <w:r w:rsidR="00667803">
          <w:rPr>
            <w:noProof/>
            <w:webHidden/>
          </w:rPr>
          <w:instrText xml:space="preserve"> PAGEREF _Toc437512840 \h </w:instrText>
        </w:r>
        <w:r w:rsidR="00667803">
          <w:rPr>
            <w:noProof/>
            <w:webHidden/>
          </w:rPr>
        </w:r>
        <w:r w:rsidR="00667803">
          <w:rPr>
            <w:noProof/>
            <w:webHidden/>
          </w:rPr>
          <w:fldChar w:fldCharType="separate"/>
        </w:r>
        <w:r w:rsidR="00625BEB">
          <w:rPr>
            <w:noProof/>
            <w:webHidden/>
          </w:rPr>
          <w:t>20</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41" w:history="1">
        <w:r w:rsidR="00667803" w:rsidRPr="00144E1F">
          <w:rPr>
            <w:rStyle w:val="Hipervnculo"/>
            <w:noProof/>
          </w:rPr>
          <w:t>Gráfica 4 Rutas de transporte de GLP</w:t>
        </w:r>
        <w:r w:rsidR="00667803">
          <w:rPr>
            <w:noProof/>
            <w:webHidden/>
          </w:rPr>
          <w:tab/>
        </w:r>
        <w:r w:rsidR="00667803">
          <w:rPr>
            <w:noProof/>
            <w:webHidden/>
          </w:rPr>
          <w:fldChar w:fldCharType="begin"/>
        </w:r>
        <w:r w:rsidR="00667803">
          <w:rPr>
            <w:noProof/>
            <w:webHidden/>
          </w:rPr>
          <w:instrText xml:space="preserve"> PAGEREF _Toc437512841 \h </w:instrText>
        </w:r>
        <w:r w:rsidR="00667803">
          <w:rPr>
            <w:noProof/>
            <w:webHidden/>
          </w:rPr>
        </w:r>
        <w:r w:rsidR="00667803">
          <w:rPr>
            <w:noProof/>
            <w:webHidden/>
          </w:rPr>
          <w:fldChar w:fldCharType="separate"/>
        </w:r>
        <w:r w:rsidR="00625BEB">
          <w:rPr>
            <w:noProof/>
            <w:webHidden/>
          </w:rPr>
          <w:t>21</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42" w:history="1">
        <w:r w:rsidR="00667803" w:rsidRPr="00144E1F">
          <w:rPr>
            <w:rStyle w:val="Hipervnculo"/>
            <w:noProof/>
          </w:rPr>
          <w:t>Gráfica 5 Cantidad transportada de GLP</w:t>
        </w:r>
        <w:r w:rsidR="00667803">
          <w:rPr>
            <w:noProof/>
            <w:webHidden/>
          </w:rPr>
          <w:tab/>
        </w:r>
        <w:r w:rsidR="00667803">
          <w:rPr>
            <w:noProof/>
            <w:webHidden/>
          </w:rPr>
          <w:fldChar w:fldCharType="begin"/>
        </w:r>
        <w:r w:rsidR="00667803">
          <w:rPr>
            <w:noProof/>
            <w:webHidden/>
          </w:rPr>
          <w:instrText xml:space="preserve"> PAGEREF _Toc437512842 \h </w:instrText>
        </w:r>
        <w:r w:rsidR="00667803">
          <w:rPr>
            <w:noProof/>
            <w:webHidden/>
          </w:rPr>
        </w:r>
        <w:r w:rsidR="00667803">
          <w:rPr>
            <w:noProof/>
            <w:webHidden/>
          </w:rPr>
          <w:fldChar w:fldCharType="separate"/>
        </w:r>
        <w:r w:rsidR="00625BEB">
          <w:rPr>
            <w:noProof/>
            <w:webHidden/>
          </w:rPr>
          <w:t>22</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43" w:history="1">
        <w:r w:rsidR="00667803" w:rsidRPr="00144E1F">
          <w:rPr>
            <w:rStyle w:val="Hipervnculo"/>
            <w:noProof/>
          </w:rPr>
          <w:t>Gráfica 6 Volumen transportado principales ductos (kbd)</w:t>
        </w:r>
        <w:r w:rsidR="00667803">
          <w:rPr>
            <w:noProof/>
            <w:webHidden/>
          </w:rPr>
          <w:tab/>
        </w:r>
        <w:r w:rsidR="00667803">
          <w:rPr>
            <w:noProof/>
            <w:webHidden/>
          </w:rPr>
          <w:fldChar w:fldCharType="begin"/>
        </w:r>
        <w:r w:rsidR="00667803">
          <w:rPr>
            <w:noProof/>
            <w:webHidden/>
          </w:rPr>
          <w:instrText xml:space="preserve"> PAGEREF _Toc437512843 \h </w:instrText>
        </w:r>
        <w:r w:rsidR="00667803">
          <w:rPr>
            <w:noProof/>
            <w:webHidden/>
          </w:rPr>
        </w:r>
        <w:r w:rsidR="00667803">
          <w:rPr>
            <w:noProof/>
            <w:webHidden/>
          </w:rPr>
          <w:fldChar w:fldCharType="separate"/>
        </w:r>
        <w:r w:rsidR="00625BEB">
          <w:rPr>
            <w:noProof/>
            <w:webHidden/>
          </w:rPr>
          <w:t>23</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44" w:history="1">
        <w:r w:rsidR="00667803" w:rsidRPr="00144E1F">
          <w:rPr>
            <w:rStyle w:val="Hipervnculo"/>
            <w:noProof/>
          </w:rPr>
          <w:t>Gráfica 7 Transporte a través del sistema de poliductos (%)</w:t>
        </w:r>
        <w:r w:rsidR="00667803">
          <w:rPr>
            <w:noProof/>
            <w:webHidden/>
          </w:rPr>
          <w:tab/>
        </w:r>
        <w:r w:rsidR="00667803">
          <w:rPr>
            <w:noProof/>
            <w:webHidden/>
          </w:rPr>
          <w:fldChar w:fldCharType="begin"/>
        </w:r>
        <w:r w:rsidR="00667803">
          <w:rPr>
            <w:noProof/>
            <w:webHidden/>
          </w:rPr>
          <w:instrText xml:space="preserve"> PAGEREF _Toc437512844 \h </w:instrText>
        </w:r>
        <w:r w:rsidR="00667803">
          <w:rPr>
            <w:noProof/>
            <w:webHidden/>
          </w:rPr>
        </w:r>
        <w:r w:rsidR="00667803">
          <w:rPr>
            <w:noProof/>
            <w:webHidden/>
          </w:rPr>
          <w:fldChar w:fldCharType="separate"/>
        </w:r>
        <w:r w:rsidR="00625BEB">
          <w:rPr>
            <w:noProof/>
            <w:webHidden/>
          </w:rPr>
          <w:t>24</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45" w:history="1">
        <w:r w:rsidR="00667803" w:rsidRPr="00144E1F">
          <w:rPr>
            <w:rStyle w:val="Hipervnculo"/>
            <w:noProof/>
          </w:rPr>
          <w:t>Gráfica 8 Tarifas de transporte GLP por tramo ($ por Galón)</w:t>
        </w:r>
        <w:r w:rsidR="00667803">
          <w:rPr>
            <w:noProof/>
            <w:webHidden/>
          </w:rPr>
          <w:tab/>
        </w:r>
        <w:r w:rsidR="00667803">
          <w:rPr>
            <w:noProof/>
            <w:webHidden/>
          </w:rPr>
          <w:fldChar w:fldCharType="begin"/>
        </w:r>
        <w:r w:rsidR="00667803">
          <w:rPr>
            <w:noProof/>
            <w:webHidden/>
          </w:rPr>
          <w:instrText xml:space="preserve"> PAGEREF _Toc437512845 \h </w:instrText>
        </w:r>
        <w:r w:rsidR="00667803">
          <w:rPr>
            <w:noProof/>
            <w:webHidden/>
          </w:rPr>
        </w:r>
        <w:r w:rsidR="00667803">
          <w:rPr>
            <w:noProof/>
            <w:webHidden/>
          </w:rPr>
          <w:fldChar w:fldCharType="separate"/>
        </w:r>
        <w:r w:rsidR="00625BEB">
          <w:rPr>
            <w:noProof/>
            <w:webHidden/>
          </w:rPr>
          <w:t>30</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46" w:history="1">
        <w:r w:rsidR="00667803" w:rsidRPr="00144E1F">
          <w:rPr>
            <w:rStyle w:val="Hipervnculo"/>
            <w:noProof/>
          </w:rPr>
          <w:t>Gráfica 9 Tarifas de transporte de GLP por punto de entrega ($ por Galón)</w:t>
        </w:r>
        <w:r w:rsidR="00667803">
          <w:rPr>
            <w:noProof/>
            <w:webHidden/>
          </w:rPr>
          <w:tab/>
        </w:r>
        <w:r w:rsidR="00667803">
          <w:rPr>
            <w:noProof/>
            <w:webHidden/>
          </w:rPr>
          <w:fldChar w:fldCharType="begin"/>
        </w:r>
        <w:r w:rsidR="00667803">
          <w:rPr>
            <w:noProof/>
            <w:webHidden/>
          </w:rPr>
          <w:instrText xml:space="preserve"> PAGEREF _Toc437512846 \h </w:instrText>
        </w:r>
        <w:r w:rsidR="00667803">
          <w:rPr>
            <w:noProof/>
            <w:webHidden/>
          </w:rPr>
        </w:r>
        <w:r w:rsidR="00667803">
          <w:rPr>
            <w:noProof/>
            <w:webHidden/>
          </w:rPr>
          <w:fldChar w:fldCharType="separate"/>
        </w:r>
        <w:r w:rsidR="00625BEB">
          <w:rPr>
            <w:noProof/>
            <w:webHidden/>
          </w:rPr>
          <w:t>30</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47" w:history="1">
        <w:r w:rsidR="00667803" w:rsidRPr="00144E1F">
          <w:rPr>
            <w:rStyle w:val="Hipervnculo"/>
            <w:noProof/>
          </w:rPr>
          <w:t>Gráfica 10 Estampilla transporte de GLP a San Andrés ($ por Galón)</w:t>
        </w:r>
        <w:r w:rsidR="00667803">
          <w:rPr>
            <w:noProof/>
            <w:webHidden/>
          </w:rPr>
          <w:tab/>
        </w:r>
        <w:r w:rsidR="00667803">
          <w:rPr>
            <w:noProof/>
            <w:webHidden/>
          </w:rPr>
          <w:fldChar w:fldCharType="begin"/>
        </w:r>
        <w:r w:rsidR="00667803">
          <w:rPr>
            <w:noProof/>
            <w:webHidden/>
          </w:rPr>
          <w:instrText xml:space="preserve"> PAGEREF _Toc437512847 \h </w:instrText>
        </w:r>
        <w:r w:rsidR="00667803">
          <w:rPr>
            <w:noProof/>
            <w:webHidden/>
          </w:rPr>
        </w:r>
        <w:r w:rsidR="00667803">
          <w:rPr>
            <w:noProof/>
            <w:webHidden/>
          </w:rPr>
          <w:fldChar w:fldCharType="separate"/>
        </w:r>
        <w:r w:rsidR="00625BEB">
          <w:rPr>
            <w:noProof/>
            <w:webHidden/>
          </w:rPr>
          <w:t>31</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48" w:history="1">
        <w:r w:rsidR="00667803" w:rsidRPr="00144E1F">
          <w:rPr>
            <w:rStyle w:val="Hipervnculo"/>
            <w:noProof/>
          </w:rPr>
          <w:t>Gráfica 11 Evolución tarifa de transporte para ductos troncales ($ por Galón)</w:t>
        </w:r>
        <w:r w:rsidR="00667803">
          <w:rPr>
            <w:noProof/>
            <w:webHidden/>
          </w:rPr>
          <w:tab/>
        </w:r>
        <w:r w:rsidR="00667803">
          <w:rPr>
            <w:noProof/>
            <w:webHidden/>
          </w:rPr>
          <w:fldChar w:fldCharType="begin"/>
        </w:r>
        <w:r w:rsidR="00667803">
          <w:rPr>
            <w:noProof/>
            <w:webHidden/>
          </w:rPr>
          <w:instrText xml:space="preserve"> PAGEREF _Toc437512848 \h </w:instrText>
        </w:r>
        <w:r w:rsidR="00667803">
          <w:rPr>
            <w:noProof/>
            <w:webHidden/>
          </w:rPr>
        </w:r>
        <w:r w:rsidR="00667803">
          <w:rPr>
            <w:noProof/>
            <w:webHidden/>
          </w:rPr>
          <w:fldChar w:fldCharType="separate"/>
        </w:r>
        <w:r w:rsidR="00625BEB">
          <w:rPr>
            <w:noProof/>
            <w:webHidden/>
          </w:rPr>
          <w:t>34</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49" w:history="1">
        <w:r w:rsidR="00667803" w:rsidRPr="00144E1F">
          <w:rPr>
            <w:rStyle w:val="Hipervnculo"/>
            <w:noProof/>
          </w:rPr>
          <w:t>Gráfica 12 Evolución tarifa de transporte rutas desde Galán ($ por galón)</w:t>
        </w:r>
        <w:r w:rsidR="00667803">
          <w:rPr>
            <w:noProof/>
            <w:webHidden/>
          </w:rPr>
          <w:tab/>
        </w:r>
        <w:r w:rsidR="00667803">
          <w:rPr>
            <w:noProof/>
            <w:webHidden/>
          </w:rPr>
          <w:fldChar w:fldCharType="begin"/>
        </w:r>
        <w:r w:rsidR="00667803">
          <w:rPr>
            <w:noProof/>
            <w:webHidden/>
          </w:rPr>
          <w:instrText xml:space="preserve"> PAGEREF _Toc437512849 \h </w:instrText>
        </w:r>
        <w:r w:rsidR="00667803">
          <w:rPr>
            <w:noProof/>
            <w:webHidden/>
          </w:rPr>
        </w:r>
        <w:r w:rsidR="00667803">
          <w:rPr>
            <w:noProof/>
            <w:webHidden/>
          </w:rPr>
          <w:fldChar w:fldCharType="separate"/>
        </w:r>
        <w:r w:rsidR="00625BEB">
          <w:rPr>
            <w:noProof/>
            <w:webHidden/>
          </w:rPr>
          <w:t>35</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50" w:history="1">
        <w:r w:rsidR="00667803" w:rsidRPr="00144E1F">
          <w:rPr>
            <w:rStyle w:val="Hipervnculo"/>
            <w:noProof/>
          </w:rPr>
          <w:t>Gráfica 13 Tarifa de transporte para rutas desde Galán</w:t>
        </w:r>
        <w:r w:rsidR="00667803">
          <w:rPr>
            <w:noProof/>
            <w:webHidden/>
          </w:rPr>
          <w:tab/>
        </w:r>
        <w:r w:rsidR="00667803">
          <w:rPr>
            <w:noProof/>
            <w:webHidden/>
          </w:rPr>
          <w:fldChar w:fldCharType="begin"/>
        </w:r>
        <w:r w:rsidR="00667803">
          <w:rPr>
            <w:noProof/>
            <w:webHidden/>
          </w:rPr>
          <w:instrText xml:space="preserve"> PAGEREF _Toc437512850 \h </w:instrText>
        </w:r>
        <w:r w:rsidR="00667803">
          <w:rPr>
            <w:noProof/>
            <w:webHidden/>
          </w:rPr>
        </w:r>
        <w:r w:rsidR="00667803">
          <w:rPr>
            <w:noProof/>
            <w:webHidden/>
          </w:rPr>
          <w:fldChar w:fldCharType="separate"/>
        </w:r>
        <w:r w:rsidR="00625BEB">
          <w:rPr>
            <w:noProof/>
            <w:webHidden/>
          </w:rPr>
          <w:t>36</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51" w:history="1">
        <w:r w:rsidR="00667803" w:rsidRPr="00144E1F">
          <w:rPr>
            <w:rStyle w:val="Hipervnculo"/>
            <w:noProof/>
          </w:rPr>
          <w:t>Gráfica 14 Tarifa de transporte para diferentes tramos del sistema</w:t>
        </w:r>
        <w:r w:rsidR="00667803">
          <w:rPr>
            <w:noProof/>
            <w:webHidden/>
          </w:rPr>
          <w:tab/>
        </w:r>
        <w:r w:rsidR="00667803">
          <w:rPr>
            <w:noProof/>
            <w:webHidden/>
          </w:rPr>
          <w:fldChar w:fldCharType="begin"/>
        </w:r>
        <w:r w:rsidR="00667803">
          <w:rPr>
            <w:noProof/>
            <w:webHidden/>
          </w:rPr>
          <w:instrText xml:space="preserve"> PAGEREF _Toc437512851 \h </w:instrText>
        </w:r>
        <w:r w:rsidR="00667803">
          <w:rPr>
            <w:noProof/>
            <w:webHidden/>
          </w:rPr>
        </w:r>
        <w:r w:rsidR="00667803">
          <w:rPr>
            <w:noProof/>
            <w:webHidden/>
          </w:rPr>
          <w:fldChar w:fldCharType="separate"/>
        </w:r>
        <w:r w:rsidR="00625BEB">
          <w:rPr>
            <w:noProof/>
            <w:webHidden/>
          </w:rPr>
          <w:t>36</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52" w:history="1">
        <w:r w:rsidR="00667803" w:rsidRPr="00144E1F">
          <w:rPr>
            <w:rStyle w:val="Hipervnculo"/>
            <w:noProof/>
          </w:rPr>
          <w:t>Gráfica 15 Temas a estudiar</w:t>
        </w:r>
        <w:r w:rsidR="00667803">
          <w:rPr>
            <w:noProof/>
            <w:webHidden/>
          </w:rPr>
          <w:tab/>
        </w:r>
        <w:r w:rsidR="00667803">
          <w:rPr>
            <w:noProof/>
            <w:webHidden/>
          </w:rPr>
          <w:fldChar w:fldCharType="begin"/>
        </w:r>
        <w:r w:rsidR="00667803">
          <w:rPr>
            <w:noProof/>
            <w:webHidden/>
          </w:rPr>
          <w:instrText xml:space="preserve"> PAGEREF _Toc437512852 \h </w:instrText>
        </w:r>
        <w:r w:rsidR="00667803">
          <w:rPr>
            <w:noProof/>
            <w:webHidden/>
          </w:rPr>
        </w:r>
        <w:r w:rsidR="00667803">
          <w:rPr>
            <w:noProof/>
            <w:webHidden/>
          </w:rPr>
          <w:fldChar w:fldCharType="separate"/>
        </w:r>
        <w:r w:rsidR="00625BEB">
          <w:rPr>
            <w:noProof/>
            <w:webHidden/>
          </w:rPr>
          <w:t>39</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53" w:history="1">
        <w:r w:rsidR="00667803" w:rsidRPr="00144E1F">
          <w:rPr>
            <w:rStyle w:val="Hipervnculo"/>
            <w:noProof/>
          </w:rPr>
          <w:t>Gráfica 16 Perfil Poliducto Pozos Colorados - Galán</w:t>
        </w:r>
        <w:r w:rsidR="00667803">
          <w:rPr>
            <w:noProof/>
            <w:webHidden/>
          </w:rPr>
          <w:tab/>
        </w:r>
        <w:r w:rsidR="00667803">
          <w:rPr>
            <w:noProof/>
            <w:webHidden/>
          </w:rPr>
          <w:fldChar w:fldCharType="begin"/>
        </w:r>
        <w:r w:rsidR="00667803">
          <w:rPr>
            <w:noProof/>
            <w:webHidden/>
          </w:rPr>
          <w:instrText xml:space="preserve"> PAGEREF _Toc437512853 \h </w:instrText>
        </w:r>
        <w:r w:rsidR="00667803">
          <w:rPr>
            <w:noProof/>
            <w:webHidden/>
          </w:rPr>
        </w:r>
        <w:r w:rsidR="00667803">
          <w:rPr>
            <w:noProof/>
            <w:webHidden/>
          </w:rPr>
          <w:fldChar w:fldCharType="separate"/>
        </w:r>
        <w:r w:rsidR="00625BEB">
          <w:rPr>
            <w:noProof/>
            <w:webHidden/>
          </w:rPr>
          <w:t>48</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54" w:history="1">
        <w:r w:rsidR="00667803" w:rsidRPr="00144E1F">
          <w:rPr>
            <w:rStyle w:val="Hipervnculo"/>
            <w:noProof/>
          </w:rPr>
          <w:t>Gráfica 17 Perfil Poliducto  Cartagena – Baranoa</w:t>
        </w:r>
        <w:r w:rsidR="00667803">
          <w:rPr>
            <w:noProof/>
            <w:webHidden/>
          </w:rPr>
          <w:tab/>
        </w:r>
        <w:r w:rsidR="00667803">
          <w:rPr>
            <w:noProof/>
            <w:webHidden/>
          </w:rPr>
          <w:fldChar w:fldCharType="begin"/>
        </w:r>
        <w:r w:rsidR="00667803">
          <w:rPr>
            <w:noProof/>
            <w:webHidden/>
          </w:rPr>
          <w:instrText xml:space="preserve"> PAGEREF _Toc437512854 \h </w:instrText>
        </w:r>
        <w:r w:rsidR="00667803">
          <w:rPr>
            <w:noProof/>
            <w:webHidden/>
          </w:rPr>
        </w:r>
        <w:r w:rsidR="00667803">
          <w:rPr>
            <w:noProof/>
            <w:webHidden/>
          </w:rPr>
          <w:fldChar w:fldCharType="separate"/>
        </w:r>
        <w:r w:rsidR="00625BEB">
          <w:rPr>
            <w:noProof/>
            <w:webHidden/>
          </w:rPr>
          <w:t>49</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55" w:history="1">
        <w:r w:rsidR="00667803" w:rsidRPr="00144E1F">
          <w:rPr>
            <w:rStyle w:val="Hipervnculo"/>
            <w:noProof/>
          </w:rPr>
          <w:t>Gráfica 18 Perfil Poliducto Buenaventura – Yumbo</w:t>
        </w:r>
        <w:r w:rsidR="00667803">
          <w:rPr>
            <w:noProof/>
            <w:webHidden/>
          </w:rPr>
          <w:tab/>
        </w:r>
        <w:r w:rsidR="00667803">
          <w:rPr>
            <w:noProof/>
            <w:webHidden/>
          </w:rPr>
          <w:fldChar w:fldCharType="begin"/>
        </w:r>
        <w:r w:rsidR="00667803">
          <w:rPr>
            <w:noProof/>
            <w:webHidden/>
          </w:rPr>
          <w:instrText xml:space="preserve"> PAGEREF _Toc437512855 \h </w:instrText>
        </w:r>
        <w:r w:rsidR="00667803">
          <w:rPr>
            <w:noProof/>
            <w:webHidden/>
          </w:rPr>
        </w:r>
        <w:r w:rsidR="00667803">
          <w:rPr>
            <w:noProof/>
            <w:webHidden/>
          </w:rPr>
          <w:fldChar w:fldCharType="separate"/>
        </w:r>
        <w:r w:rsidR="00625BEB">
          <w:rPr>
            <w:noProof/>
            <w:webHidden/>
          </w:rPr>
          <w:t>50</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56" w:history="1">
        <w:r w:rsidR="00667803" w:rsidRPr="00144E1F">
          <w:rPr>
            <w:rStyle w:val="Hipervnculo"/>
            <w:noProof/>
          </w:rPr>
          <w:t>Gráfica 19 Perfil Poliducto Galán Bucaramanga</w:t>
        </w:r>
        <w:r w:rsidR="00667803">
          <w:rPr>
            <w:noProof/>
            <w:webHidden/>
          </w:rPr>
          <w:tab/>
        </w:r>
        <w:r w:rsidR="00667803">
          <w:rPr>
            <w:noProof/>
            <w:webHidden/>
          </w:rPr>
          <w:fldChar w:fldCharType="begin"/>
        </w:r>
        <w:r w:rsidR="00667803">
          <w:rPr>
            <w:noProof/>
            <w:webHidden/>
          </w:rPr>
          <w:instrText xml:space="preserve"> PAGEREF _Toc437512856 \h </w:instrText>
        </w:r>
        <w:r w:rsidR="00667803">
          <w:rPr>
            <w:noProof/>
            <w:webHidden/>
          </w:rPr>
        </w:r>
        <w:r w:rsidR="00667803">
          <w:rPr>
            <w:noProof/>
            <w:webHidden/>
          </w:rPr>
          <w:fldChar w:fldCharType="separate"/>
        </w:r>
        <w:r w:rsidR="00625BEB">
          <w:rPr>
            <w:noProof/>
            <w:webHidden/>
          </w:rPr>
          <w:t>51</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57" w:history="1">
        <w:r w:rsidR="00667803" w:rsidRPr="00144E1F">
          <w:rPr>
            <w:rStyle w:val="Hipervnculo"/>
            <w:noProof/>
          </w:rPr>
          <w:t>Gráfica 20 Perfil Sistema Galán – Sebastopol</w:t>
        </w:r>
        <w:r w:rsidR="00667803">
          <w:rPr>
            <w:noProof/>
            <w:webHidden/>
          </w:rPr>
          <w:tab/>
        </w:r>
        <w:r w:rsidR="00667803">
          <w:rPr>
            <w:noProof/>
            <w:webHidden/>
          </w:rPr>
          <w:fldChar w:fldCharType="begin"/>
        </w:r>
        <w:r w:rsidR="00667803">
          <w:rPr>
            <w:noProof/>
            <w:webHidden/>
          </w:rPr>
          <w:instrText xml:space="preserve"> PAGEREF _Toc437512857 \h </w:instrText>
        </w:r>
        <w:r w:rsidR="00667803">
          <w:rPr>
            <w:noProof/>
            <w:webHidden/>
          </w:rPr>
        </w:r>
        <w:r w:rsidR="00667803">
          <w:rPr>
            <w:noProof/>
            <w:webHidden/>
          </w:rPr>
          <w:fldChar w:fldCharType="separate"/>
        </w:r>
        <w:r w:rsidR="00625BEB">
          <w:rPr>
            <w:noProof/>
            <w:webHidden/>
          </w:rPr>
          <w:t>52</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58" w:history="1">
        <w:r w:rsidR="00667803" w:rsidRPr="00144E1F">
          <w:rPr>
            <w:rStyle w:val="Hipervnculo"/>
            <w:noProof/>
          </w:rPr>
          <w:t>Gráfica 21 Perfil Sistema Sebastopol – Puerto Salgar</w:t>
        </w:r>
        <w:r w:rsidR="00667803">
          <w:rPr>
            <w:noProof/>
            <w:webHidden/>
          </w:rPr>
          <w:tab/>
        </w:r>
        <w:r w:rsidR="00667803">
          <w:rPr>
            <w:noProof/>
            <w:webHidden/>
          </w:rPr>
          <w:fldChar w:fldCharType="begin"/>
        </w:r>
        <w:r w:rsidR="00667803">
          <w:rPr>
            <w:noProof/>
            <w:webHidden/>
          </w:rPr>
          <w:instrText xml:space="preserve"> PAGEREF _Toc437512858 \h </w:instrText>
        </w:r>
        <w:r w:rsidR="00667803">
          <w:rPr>
            <w:noProof/>
            <w:webHidden/>
          </w:rPr>
        </w:r>
        <w:r w:rsidR="00667803">
          <w:rPr>
            <w:noProof/>
            <w:webHidden/>
          </w:rPr>
          <w:fldChar w:fldCharType="separate"/>
        </w:r>
        <w:r w:rsidR="00625BEB">
          <w:rPr>
            <w:noProof/>
            <w:webHidden/>
          </w:rPr>
          <w:t>52</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59" w:history="1">
        <w:r w:rsidR="00667803" w:rsidRPr="00144E1F">
          <w:rPr>
            <w:rStyle w:val="Hipervnculo"/>
            <w:noProof/>
          </w:rPr>
          <w:t>Gráfica 22 Perfil propanoducto Galán – Salgar</w:t>
        </w:r>
        <w:r w:rsidR="00667803">
          <w:rPr>
            <w:noProof/>
            <w:webHidden/>
          </w:rPr>
          <w:tab/>
        </w:r>
        <w:r w:rsidR="00667803">
          <w:rPr>
            <w:noProof/>
            <w:webHidden/>
          </w:rPr>
          <w:fldChar w:fldCharType="begin"/>
        </w:r>
        <w:r w:rsidR="00667803">
          <w:rPr>
            <w:noProof/>
            <w:webHidden/>
          </w:rPr>
          <w:instrText xml:space="preserve"> PAGEREF _Toc437512859 \h </w:instrText>
        </w:r>
        <w:r w:rsidR="00667803">
          <w:rPr>
            <w:noProof/>
            <w:webHidden/>
          </w:rPr>
        </w:r>
        <w:r w:rsidR="00667803">
          <w:rPr>
            <w:noProof/>
            <w:webHidden/>
          </w:rPr>
          <w:fldChar w:fldCharType="separate"/>
        </w:r>
        <w:r w:rsidR="00625BEB">
          <w:rPr>
            <w:noProof/>
            <w:webHidden/>
          </w:rPr>
          <w:t>53</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60" w:history="1">
        <w:r w:rsidR="00667803" w:rsidRPr="00144E1F">
          <w:rPr>
            <w:rStyle w:val="Hipervnculo"/>
            <w:noProof/>
          </w:rPr>
          <w:t>Gráfica 23 Perfil poliducto Salgar - Mansilla</w:t>
        </w:r>
        <w:r w:rsidR="00667803">
          <w:rPr>
            <w:noProof/>
            <w:webHidden/>
          </w:rPr>
          <w:tab/>
        </w:r>
        <w:r w:rsidR="00667803">
          <w:rPr>
            <w:noProof/>
            <w:webHidden/>
          </w:rPr>
          <w:fldChar w:fldCharType="begin"/>
        </w:r>
        <w:r w:rsidR="00667803">
          <w:rPr>
            <w:noProof/>
            <w:webHidden/>
          </w:rPr>
          <w:instrText xml:space="preserve"> PAGEREF _Toc437512860 \h </w:instrText>
        </w:r>
        <w:r w:rsidR="00667803">
          <w:rPr>
            <w:noProof/>
            <w:webHidden/>
          </w:rPr>
        </w:r>
        <w:r w:rsidR="00667803">
          <w:rPr>
            <w:noProof/>
            <w:webHidden/>
          </w:rPr>
          <w:fldChar w:fldCharType="separate"/>
        </w:r>
        <w:r w:rsidR="00625BEB">
          <w:rPr>
            <w:noProof/>
            <w:webHidden/>
          </w:rPr>
          <w:t>54</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61" w:history="1">
        <w:r w:rsidR="00667803" w:rsidRPr="00144E1F">
          <w:rPr>
            <w:rStyle w:val="Hipervnculo"/>
            <w:noProof/>
          </w:rPr>
          <w:t>Gráfica 24 Perfil propanoducto Salgar – Mansilla</w:t>
        </w:r>
        <w:r w:rsidR="00667803">
          <w:rPr>
            <w:noProof/>
            <w:webHidden/>
          </w:rPr>
          <w:tab/>
        </w:r>
        <w:r w:rsidR="00667803">
          <w:rPr>
            <w:noProof/>
            <w:webHidden/>
          </w:rPr>
          <w:fldChar w:fldCharType="begin"/>
        </w:r>
        <w:r w:rsidR="00667803">
          <w:rPr>
            <w:noProof/>
            <w:webHidden/>
          </w:rPr>
          <w:instrText xml:space="preserve"> PAGEREF _Toc437512861 \h </w:instrText>
        </w:r>
        <w:r w:rsidR="00667803">
          <w:rPr>
            <w:noProof/>
            <w:webHidden/>
          </w:rPr>
        </w:r>
        <w:r w:rsidR="00667803">
          <w:rPr>
            <w:noProof/>
            <w:webHidden/>
          </w:rPr>
          <w:fldChar w:fldCharType="separate"/>
        </w:r>
        <w:r w:rsidR="00625BEB">
          <w:rPr>
            <w:noProof/>
            <w:webHidden/>
          </w:rPr>
          <w:t>55</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62" w:history="1">
        <w:r w:rsidR="00667803" w:rsidRPr="00144E1F">
          <w:rPr>
            <w:rStyle w:val="Hipervnculo"/>
            <w:noProof/>
          </w:rPr>
          <w:t>Gráfica 25 Perfil Mansilla – Puente Aranda</w:t>
        </w:r>
        <w:r w:rsidR="00667803">
          <w:rPr>
            <w:noProof/>
            <w:webHidden/>
          </w:rPr>
          <w:tab/>
        </w:r>
        <w:r w:rsidR="00667803">
          <w:rPr>
            <w:noProof/>
            <w:webHidden/>
          </w:rPr>
          <w:fldChar w:fldCharType="begin"/>
        </w:r>
        <w:r w:rsidR="00667803">
          <w:rPr>
            <w:noProof/>
            <w:webHidden/>
          </w:rPr>
          <w:instrText xml:space="preserve"> PAGEREF _Toc437512862 \h </w:instrText>
        </w:r>
        <w:r w:rsidR="00667803">
          <w:rPr>
            <w:noProof/>
            <w:webHidden/>
          </w:rPr>
        </w:r>
        <w:r w:rsidR="00667803">
          <w:rPr>
            <w:noProof/>
            <w:webHidden/>
          </w:rPr>
          <w:fldChar w:fldCharType="separate"/>
        </w:r>
        <w:r w:rsidR="00625BEB">
          <w:rPr>
            <w:noProof/>
            <w:webHidden/>
          </w:rPr>
          <w:t>56</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63" w:history="1">
        <w:r w:rsidR="00667803" w:rsidRPr="00144E1F">
          <w:rPr>
            <w:rStyle w:val="Hipervnculo"/>
            <w:noProof/>
          </w:rPr>
          <w:t>Gráfica 26 Perfil poliducto Puente Aranda – El Dorado</w:t>
        </w:r>
        <w:r w:rsidR="00667803">
          <w:rPr>
            <w:noProof/>
            <w:webHidden/>
          </w:rPr>
          <w:tab/>
        </w:r>
        <w:r w:rsidR="00667803">
          <w:rPr>
            <w:noProof/>
            <w:webHidden/>
          </w:rPr>
          <w:fldChar w:fldCharType="begin"/>
        </w:r>
        <w:r w:rsidR="00667803">
          <w:rPr>
            <w:noProof/>
            <w:webHidden/>
          </w:rPr>
          <w:instrText xml:space="preserve"> PAGEREF _Toc437512863 \h </w:instrText>
        </w:r>
        <w:r w:rsidR="00667803">
          <w:rPr>
            <w:noProof/>
            <w:webHidden/>
          </w:rPr>
        </w:r>
        <w:r w:rsidR="00667803">
          <w:rPr>
            <w:noProof/>
            <w:webHidden/>
          </w:rPr>
          <w:fldChar w:fldCharType="separate"/>
        </w:r>
        <w:r w:rsidR="00625BEB">
          <w:rPr>
            <w:noProof/>
            <w:webHidden/>
          </w:rPr>
          <w:t>56</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64" w:history="1">
        <w:r w:rsidR="00667803" w:rsidRPr="00144E1F">
          <w:rPr>
            <w:rStyle w:val="Hipervnculo"/>
            <w:noProof/>
          </w:rPr>
          <w:t>Gráfica 27 Perfil poliducto Sebastopol – Medellín</w:t>
        </w:r>
        <w:r w:rsidR="00667803">
          <w:rPr>
            <w:noProof/>
            <w:webHidden/>
          </w:rPr>
          <w:tab/>
        </w:r>
        <w:r w:rsidR="00667803">
          <w:rPr>
            <w:noProof/>
            <w:webHidden/>
          </w:rPr>
          <w:fldChar w:fldCharType="begin"/>
        </w:r>
        <w:r w:rsidR="00667803">
          <w:rPr>
            <w:noProof/>
            <w:webHidden/>
          </w:rPr>
          <w:instrText xml:space="preserve"> PAGEREF _Toc437512864 \h </w:instrText>
        </w:r>
        <w:r w:rsidR="00667803">
          <w:rPr>
            <w:noProof/>
            <w:webHidden/>
          </w:rPr>
        </w:r>
        <w:r w:rsidR="00667803">
          <w:rPr>
            <w:noProof/>
            <w:webHidden/>
          </w:rPr>
          <w:fldChar w:fldCharType="separate"/>
        </w:r>
        <w:r w:rsidR="00625BEB">
          <w:rPr>
            <w:noProof/>
            <w:webHidden/>
          </w:rPr>
          <w:t>57</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65" w:history="1">
        <w:r w:rsidR="00667803" w:rsidRPr="00144E1F">
          <w:rPr>
            <w:rStyle w:val="Hipervnculo"/>
            <w:noProof/>
          </w:rPr>
          <w:t>Gráfica 28 Perfil poliducto Medellín – Cartago – Yumbo</w:t>
        </w:r>
        <w:r w:rsidR="00667803">
          <w:rPr>
            <w:noProof/>
            <w:webHidden/>
          </w:rPr>
          <w:tab/>
        </w:r>
        <w:r w:rsidR="00667803">
          <w:rPr>
            <w:noProof/>
            <w:webHidden/>
          </w:rPr>
          <w:fldChar w:fldCharType="begin"/>
        </w:r>
        <w:r w:rsidR="00667803">
          <w:rPr>
            <w:noProof/>
            <w:webHidden/>
          </w:rPr>
          <w:instrText xml:space="preserve"> PAGEREF _Toc437512865 \h </w:instrText>
        </w:r>
        <w:r w:rsidR="00667803">
          <w:rPr>
            <w:noProof/>
            <w:webHidden/>
          </w:rPr>
        </w:r>
        <w:r w:rsidR="00667803">
          <w:rPr>
            <w:noProof/>
            <w:webHidden/>
          </w:rPr>
          <w:fldChar w:fldCharType="separate"/>
        </w:r>
        <w:r w:rsidR="00625BEB">
          <w:rPr>
            <w:noProof/>
            <w:webHidden/>
          </w:rPr>
          <w:t>58</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66" w:history="1">
        <w:r w:rsidR="00667803" w:rsidRPr="00144E1F">
          <w:rPr>
            <w:rStyle w:val="Hipervnculo"/>
            <w:noProof/>
          </w:rPr>
          <w:t>Gráfica 29 Perfil poliducto Odeca Salgar - Manizales - Cartago</w:t>
        </w:r>
        <w:r w:rsidR="00667803">
          <w:rPr>
            <w:noProof/>
            <w:webHidden/>
          </w:rPr>
          <w:tab/>
        </w:r>
        <w:r w:rsidR="00667803">
          <w:rPr>
            <w:noProof/>
            <w:webHidden/>
          </w:rPr>
          <w:fldChar w:fldCharType="begin"/>
        </w:r>
        <w:r w:rsidR="00667803">
          <w:rPr>
            <w:noProof/>
            <w:webHidden/>
          </w:rPr>
          <w:instrText xml:space="preserve"> PAGEREF _Toc437512866 \h </w:instrText>
        </w:r>
        <w:r w:rsidR="00667803">
          <w:rPr>
            <w:noProof/>
            <w:webHidden/>
          </w:rPr>
        </w:r>
        <w:r w:rsidR="00667803">
          <w:rPr>
            <w:noProof/>
            <w:webHidden/>
          </w:rPr>
          <w:fldChar w:fldCharType="separate"/>
        </w:r>
        <w:r w:rsidR="00625BEB">
          <w:rPr>
            <w:noProof/>
            <w:webHidden/>
          </w:rPr>
          <w:t>59</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67" w:history="1">
        <w:r w:rsidR="00667803" w:rsidRPr="00144E1F">
          <w:rPr>
            <w:rStyle w:val="Hipervnculo"/>
            <w:noProof/>
          </w:rPr>
          <w:t>Gráfica 30 Perfil poliducto Cartago - Yumbo</w:t>
        </w:r>
        <w:r w:rsidR="00667803">
          <w:rPr>
            <w:noProof/>
            <w:webHidden/>
          </w:rPr>
          <w:tab/>
        </w:r>
        <w:r w:rsidR="00667803">
          <w:rPr>
            <w:noProof/>
            <w:webHidden/>
          </w:rPr>
          <w:fldChar w:fldCharType="begin"/>
        </w:r>
        <w:r w:rsidR="00667803">
          <w:rPr>
            <w:noProof/>
            <w:webHidden/>
          </w:rPr>
          <w:instrText xml:space="preserve"> PAGEREF _Toc437512867 \h </w:instrText>
        </w:r>
        <w:r w:rsidR="00667803">
          <w:rPr>
            <w:noProof/>
            <w:webHidden/>
          </w:rPr>
        </w:r>
        <w:r w:rsidR="00667803">
          <w:rPr>
            <w:noProof/>
            <w:webHidden/>
          </w:rPr>
          <w:fldChar w:fldCharType="separate"/>
        </w:r>
        <w:r w:rsidR="00625BEB">
          <w:rPr>
            <w:noProof/>
            <w:webHidden/>
          </w:rPr>
          <w:t>60</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68" w:history="1">
        <w:r w:rsidR="00667803" w:rsidRPr="00144E1F">
          <w:rPr>
            <w:rStyle w:val="Hipervnculo"/>
            <w:noProof/>
          </w:rPr>
          <w:t>Gráfica 31 Perfil poliducto Salgar – Neiva</w:t>
        </w:r>
        <w:r w:rsidR="00667803">
          <w:rPr>
            <w:noProof/>
            <w:webHidden/>
          </w:rPr>
          <w:tab/>
        </w:r>
        <w:r w:rsidR="00667803">
          <w:rPr>
            <w:noProof/>
            <w:webHidden/>
          </w:rPr>
          <w:fldChar w:fldCharType="begin"/>
        </w:r>
        <w:r w:rsidR="00667803">
          <w:rPr>
            <w:noProof/>
            <w:webHidden/>
          </w:rPr>
          <w:instrText xml:space="preserve"> PAGEREF _Toc437512868 \h </w:instrText>
        </w:r>
        <w:r w:rsidR="00667803">
          <w:rPr>
            <w:noProof/>
            <w:webHidden/>
          </w:rPr>
        </w:r>
        <w:r w:rsidR="00667803">
          <w:rPr>
            <w:noProof/>
            <w:webHidden/>
          </w:rPr>
          <w:fldChar w:fldCharType="separate"/>
        </w:r>
        <w:r w:rsidR="00625BEB">
          <w:rPr>
            <w:noProof/>
            <w:webHidden/>
          </w:rPr>
          <w:t>60</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69" w:history="1">
        <w:r w:rsidR="00667803" w:rsidRPr="00144E1F">
          <w:rPr>
            <w:rStyle w:val="Hipervnculo"/>
            <w:noProof/>
          </w:rPr>
          <w:t>Gráfica 32 Perfil poliducto Sebastopol - Tocancipá</w:t>
        </w:r>
        <w:r w:rsidR="00667803">
          <w:rPr>
            <w:noProof/>
            <w:webHidden/>
          </w:rPr>
          <w:tab/>
        </w:r>
        <w:r w:rsidR="00667803">
          <w:rPr>
            <w:noProof/>
            <w:webHidden/>
          </w:rPr>
          <w:fldChar w:fldCharType="begin"/>
        </w:r>
        <w:r w:rsidR="00667803">
          <w:rPr>
            <w:noProof/>
            <w:webHidden/>
          </w:rPr>
          <w:instrText xml:space="preserve"> PAGEREF _Toc437512869 \h </w:instrText>
        </w:r>
        <w:r w:rsidR="00667803">
          <w:rPr>
            <w:noProof/>
            <w:webHidden/>
          </w:rPr>
        </w:r>
        <w:r w:rsidR="00667803">
          <w:rPr>
            <w:noProof/>
            <w:webHidden/>
          </w:rPr>
          <w:fldChar w:fldCharType="separate"/>
        </w:r>
        <w:r w:rsidR="00625BEB">
          <w:rPr>
            <w:noProof/>
            <w:webHidden/>
          </w:rPr>
          <w:t>61</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70" w:history="1">
        <w:r w:rsidR="00667803" w:rsidRPr="00144E1F">
          <w:rPr>
            <w:rStyle w:val="Hipervnculo"/>
            <w:noProof/>
          </w:rPr>
          <w:t>Gráfica 33 Perfil poliducto Sutamarchán - Apiay</w:t>
        </w:r>
        <w:r w:rsidR="00667803">
          <w:rPr>
            <w:noProof/>
            <w:webHidden/>
          </w:rPr>
          <w:tab/>
        </w:r>
        <w:r w:rsidR="00667803">
          <w:rPr>
            <w:noProof/>
            <w:webHidden/>
          </w:rPr>
          <w:fldChar w:fldCharType="begin"/>
        </w:r>
        <w:r w:rsidR="00667803">
          <w:rPr>
            <w:noProof/>
            <w:webHidden/>
          </w:rPr>
          <w:instrText xml:space="preserve"> PAGEREF _Toc437512870 \h </w:instrText>
        </w:r>
        <w:r w:rsidR="00667803">
          <w:rPr>
            <w:noProof/>
            <w:webHidden/>
          </w:rPr>
        </w:r>
        <w:r w:rsidR="00667803">
          <w:rPr>
            <w:noProof/>
            <w:webHidden/>
          </w:rPr>
          <w:fldChar w:fldCharType="separate"/>
        </w:r>
        <w:r w:rsidR="00625BEB">
          <w:rPr>
            <w:noProof/>
            <w:webHidden/>
          </w:rPr>
          <w:t>62</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71" w:history="1">
        <w:r w:rsidR="00667803" w:rsidRPr="00144E1F">
          <w:rPr>
            <w:rStyle w:val="Hipervnculo"/>
            <w:noProof/>
          </w:rPr>
          <w:t>Gráfica 34 Cantidad transportada Cartagena - Barranquilla</w:t>
        </w:r>
        <w:r w:rsidR="00667803">
          <w:rPr>
            <w:noProof/>
            <w:webHidden/>
          </w:rPr>
          <w:tab/>
        </w:r>
        <w:r w:rsidR="00667803">
          <w:rPr>
            <w:noProof/>
            <w:webHidden/>
          </w:rPr>
          <w:fldChar w:fldCharType="begin"/>
        </w:r>
        <w:r w:rsidR="00667803">
          <w:rPr>
            <w:noProof/>
            <w:webHidden/>
          </w:rPr>
          <w:instrText xml:space="preserve"> PAGEREF _Toc437512871 \h </w:instrText>
        </w:r>
        <w:r w:rsidR="00667803">
          <w:rPr>
            <w:noProof/>
            <w:webHidden/>
          </w:rPr>
        </w:r>
        <w:r w:rsidR="00667803">
          <w:rPr>
            <w:noProof/>
            <w:webHidden/>
          </w:rPr>
          <w:fldChar w:fldCharType="separate"/>
        </w:r>
        <w:r w:rsidR="00625BEB">
          <w:rPr>
            <w:noProof/>
            <w:webHidden/>
          </w:rPr>
          <w:t>63</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72" w:history="1">
        <w:r w:rsidR="00667803" w:rsidRPr="00144E1F">
          <w:rPr>
            <w:rStyle w:val="Hipervnculo"/>
            <w:noProof/>
          </w:rPr>
          <w:t>Gráfica 35 Cantidad transportada Pozos Colorados - Galán</w:t>
        </w:r>
        <w:r w:rsidR="00667803">
          <w:rPr>
            <w:noProof/>
            <w:webHidden/>
          </w:rPr>
          <w:tab/>
        </w:r>
        <w:r w:rsidR="00667803">
          <w:rPr>
            <w:noProof/>
            <w:webHidden/>
          </w:rPr>
          <w:fldChar w:fldCharType="begin"/>
        </w:r>
        <w:r w:rsidR="00667803">
          <w:rPr>
            <w:noProof/>
            <w:webHidden/>
          </w:rPr>
          <w:instrText xml:space="preserve"> PAGEREF _Toc437512872 \h </w:instrText>
        </w:r>
        <w:r w:rsidR="00667803">
          <w:rPr>
            <w:noProof/>
            <w:webHidden/>
          </w:rPr>
        </w:r>
        <w:r w:rsidR="00667803">
          <w:rPr>
            <w:noProof/>
            <w:webHidden/>
          </w:rPr>
          <w:fldChar w:fldCharType="separate"/>
        </w:r>
        <w:r w:rsidR="00625BEB">
          <w:rPr>
            <w:noProof/>
            <w:webHidden/>
          </w:rPr>
          <w:t>64</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73" w:history="1">
        <w:r w:rsidR="00667803" w:rsidRPr="00144E1F">
          <w:rPr>
            <w:rStyle w:val="Hipervnculo"/>
            <w:noProof/>
          </w:rPr>
          <w:t>Gráfica 36 Cantidad transportada Galán – Bucaramanga</w:t>
        </w:r>
        <w:r w:rsidR="00667803">
          <w:rPr>
            <w:noProof/>
            <w:webHidden/>
          </w:rPr>
          <w:tab/>
        </w:r>
        <w:r w:rsidR="00667803">
          <w:rPr>
            <w:noProof/>
            <w:webHidden/>
          </w:rPr>
          <w:fldChar w:fldCharType="begin"/>
        </w:r>
        <w:r w:rsidR="00667803">
          <w:rPr>
            <w:noProof/>
            <w:webHidden/>
          </w:rPr>
          <w:instrText xml:space="preserve"> PAGEREF _Toc437512873 \h </w:instrText>
        </w:r>
        <w:r w:rsidR="00667803">
          <w:rPr>
            <w:noProof/>
            <w:webHidden/>
          </w:rPr>
        </w:r>
        <w:r w:rsidR="00667803">
          <w:rPr>
            <w:noProof/>
            <w:webHidden/>
          </w:rPr>
          <w:fldChar w:fldCharType="separate"/>
        </w:r>
        <w:r w:rsidR="00625BEB">
          <w:rPr>
            <w:noProof/>
            <w:webHidden/>
          </w:rPr>
          <w:t>64</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74" w:history="1">
        <w:r w:rsidR="00667803" w:rsidRPr="00144E1F">
          <w:rPr>
            <w:rStyle w:val="Hipervnculo"/>
            <w:noProof/>
          </w:rPr>
          <w:t>Gráfica 37 Cantidad transportada Galán – Sebastopol 16”</w:t>
        </w:r>
        <w:r w:rsidR="00667803">
          <w:rPr>
            <w:noProof/>
            <w:webHidden/>
          </w:rPr>
          <w:tab/>
        </w:r>
        <w:r w:rsidR="00667803">
          <w:rPr>
            <w:noProof/>
            <w:webHidden/>
          </w:rPr>
          <w:fldChar w:fldCharType="begin"/>
        </w:r>
        <w:r w:rsidR="00667803">
          <w:rPr>
            <w:noProof/>
            <w:webHidden/>
          </w:rPr>
          <w:instrText xml:space="preserve"> PAGEREF _Toc437512874 \h </w:instrText>
        </w:r>
        <w:r w:rsidR="00667803">
          <w:rPr>
            <w:noProof/>
            <w:webHidden/>
          </w:rPr>
        </w:r>
        <w:r w:rsidR="00667803">
          <w:rPr>
            <w:noProof/>
            <w:webHidden/>
          </w:rPr>
          <w:fldChar w:fldCharType="separate"/>
        </w:r>
        <w:r w:rsidR="00625BEB">
          <w:rPr>
            <w:noProof/>
            <w:webHidden/>
          </w:rPr>
          <w:t>65</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75" w:history="1">
        <w:r w:rsidR="00667803" w:rsidRPr="00144E1F">
          <w:rPr>
            <w:rStyle w:val="Hipervnculo"/>
            <w:noProof/>
          </w:rPr>
          <w:t>Gráfica 38 Cantidad transportada Galán – Sebastopol 12”</w:t>
        </w:r>
        <w:r w:rsidR="00667803">
          <w:rPr>
            <w:noProof/>
            <w:webHidden/>
          </w:rPr>
          <w:tab/>
        </w:r>
        <w:r w:rsidR="00667803">
          <w:rPr>
            <w:noProof/>
            <w:webHidden/>
          </w:rPr>
          <w:fldChar w:fldCharType="begin"/>
        </w:r>
        <w:r w:rsidR="00667803">
          <w:rPr>
            <w:noProof/>
            <w:webHidden/>
          </w:rPr>
          <w:instrText xml:space="preserve"> PAGEREF _Toc437512875 \h </w:instrText>
        </w:r>
        <w:r w:rsidR="00667803">
          <w:rPr>
            <w:noProof/>
            <w:webHidden/>
          </w:rPr>
        </w:r>
        <w:r w:rsidR="00667803">
          <w:rPr>
            <w:noProof/>
            <w:webHidden/>
          </w:rPr>
          <w:fldChar w:fldCharType="separate"/>
        </w:r>
        <w:r w:rsidR="00625BEB">
          <w:rPr>
            <w:noProof/>
            <w:webHidden/>
          </w:rPr>
          <w:t>66</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76" w:history="1">
        <w:r w:rsidR="00667803" w:rsidRPr="00144E1F">
          <w:rPr>
            <w:rStyle w:val="Hipervnculo"/>
            <w:noProof/>
          </w:rPr>
          <w:t>Gráfica 39 Cantidad transportada Galán – Puerto Salgar 8”</w:t>
        </w:r>
        <w:r w:rsidR="00667803">
          <w:rPr>
            <w:noProof/>
            <w:webHidden/>
          </w:rPr>
          <w:tab/>
        </w:r>
        <w:r w:rsidR="00667803">
          <w:rPr>
            <w:noProof/>
            <w:webHidden/>
          </w:rPr>
          <w:fldChar w:fldCharType="begin"/>
        </w:r>
        <w:r w:rsidR="00667803">
          <w:rPr>
            <w:noProof/>
            <w:webHidden/>
          </w:rPr>
          <w:instrText xml:space="preserve"> PAGEREF _Toc437512876 \h </w:instrText>
        </w:r>
        <w:r w:rsidR="00667803">
          <w:rPr>
            <w:noProof/>
            <w:webHidden/>
          </w:rPr>
        </w:r>
        <w:r w:rsidR="00667803">
          <w:rPr>
            <w:noProof/>
            <w:webHidden/>
          </w:rPr>
          <w:fldChar w:fldCharType="separate"/>
        </w:r>
        <w:r w:rsidR="00625BEB">
          <w:rPr>
            <w:noProof/>
            <w:webHidden/>
          </w:rPr>
          <w:t>66</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77" w:history="1">
        <w:r w:rsidR="00667803" w:rsidRPr="00144E1F">
          <w:rPr>
            <w:rStyle w:val="Hipervnculo"/>
            <w:noProof/>
          </w:rPr>
          <w:t>Gráfica 40 Cantidad transportada Sebastopol - Medellín 12”</w:t>
        </w:r>
        <w:r w:rsidR="00667803">
          <w:rPr>
            <w:noProof/>
            <w:webHidden/>
          </w:rPr>
          <w:tab/>
        </w:r>
        <w:r w:rsidR="00667803">
          <w:rPr>
            <w:noProof/>
            <w:webHidden/>
          </w:rPr>
          <w:fldChar w:fldCharType="begin"/>
        </w:r>
        <w:r w:rsidR="00667803">
          <w:rPr>
            <w:noProof/>
            <w:webHidden/>
          </w:rPr>
          <w:instrText xml:space="preserve"> PAGEREF _Toc437512877 \h </w:instrText>
        </w:r>
        <w:r w:rsidR="00667803">
          <w:rPr>
            <w:noProof/>
            <w:webHidden/>
          </w:rPr>
        </w:r>
        <w:r w:rsidR="00667803">
          <w:rPr>
            <w:noProof/>
            <w:webHidden/>
          </w:rPr>
          <w:fldChar w:fldCharType="separate"/>
        </w:r>
        <w:r w:rsidR="00625BEB">
          <w:rPr>
            <w:noProof/>
            <w:webHidden/>
          </w:rPr>
          <w:t>67</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78" w:history="1">
        <w:r w:rsidR="00667803" w:rsidRPr="00144E1F">
          <w:rPr>
            <w:rStyle w:val="Hipervnculo"/>
            <w:noProof/>
          </w:rPr>
          <w:t>Gráfica 41 Cantidad transportada Medellín – Cartago</w:t>
        </w:r>
        <w:r w:rsidR="00667803">
          <w:rPr>
            <w:noProof/>
            <w:webHidden/>
          </w:rPr>
          <w:tab/>
        </w:r>
        <w:r w:rsidR="00667803">
          <w:rPr>
            <w:noProof/>
            <w:webHidden/>
          </w:rPr>
          <w:fldChar w:fldCharType="begin"/>
        </w:r>
        <w:r w:rsidR="00667803">
          <w:rPr>
            <w:noProof/>
            <w:webHidden/>
          </w:rPr>
          <w:instrText xml:space="preserve"> PAGEREF _Toc437512878 \h </w:instrText>
        </w:r>
        <w:r w:rsidR="00667803">
          <w:rPr>
            <w:noProof/>
            <w:webHidden/>
          </w:rPr>
        </w:r>
        <w:r w:rsidR="00667803">
          <w:rPr>
            <w:noProof/>
            <w:webHidden/>
          </w:rPr>
          <w:fldChar w:fldCharType="separate"/>
        </w:r>
        <w:r w:rsidR="00625BEB">
          <w:rPr>
            <w:noProof/>
            <w:webHidden/>
          </w:rPr>
          <w:t>67</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79" w:history="1">
        <w:r w:rsidR="00667803" w:rsidRPr="00144E1F">
          <w:rPr>
            <w:rStyle w:val="Hipervnculo"/>
            <w:noProof/>
          </w:rPr>
          <w:t>Gráfica 42 Cantidad transportada Sebastopol – Tocancipá.</w:t>
        </w:r>
        <w:r w:rsidR="00667803">
          <w:rPr>
            <w:noProof/>
            <w:webHidden/>
          </w:rPr>
          <w:tab/>
        </w:r>
        <w:r w:rsidR="00667803">
          <w:rPr>
            <w:noProof/>
            <w:webHidden/>
          </w:rPr>
          <w:fldChar w:fldCharType="begin"/>
        </w:r>
        <w:r w:rsidR="00667803">
          <w:rPr>
            <w:noProof/>
            <w:webHidden/>
          </w:rPr>
          <w:instrText xml:space="preserve"> PAGEREF _Toc437512879 \h </w:instrText>
        </w:r>
        <w:r w:rsidR="00667803">
          <w:rPr>
            <w:noProof/>
            <w:webHidden/>
          </w:rPr>
        </w:r>
        <w:r w:rsidR="00667803">
          <w:rPr>
            <w:noProof/>
            <w:webHidden/>
          </w:rPr>
          <w:fldChar w:fldCharType="separate"/>
        </w:r>
        <w:r w:rsidR="00625BEB">
          <w:rPr>
            <w:noProof/>
            <w:webHidden/>
          </w:rPr>
          <w:t>68</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80" w:history="1">
        <w:r w:rsidR="00667803" w:rsidRPr="00144E1F">
          <w:rPr>
            <w:rStyle w:val="Hipervnculo"/>
            <w:noProof/>
          </w:rPr>
          <w:t>Gráfica 43 Cantidad transportada Sutamarchán – Apiay</w:t>
        </w:r>
        <w:r w:rsidR="00667803">
          <w:rPr>
            <w:noProof/>
            <w:webHidden/>
          </w:rPr>
          <w:tab/>
        </w:r>
        <w:r w:rsidR="00667803">
          <w:rPr>
            <w:noProof/>
            <w:webHidden/>
          </w:rPr>
          <w:fldChar w:fldCharType="begin"/>
        </w:r>
        <w:r w:rsidR="00667803">
          <w:rPr>
            <w:noProof/>
            <w:webHidden/>
          </w:rPr>
          <w:instrText xml:space="preserve"> PAGEREF _Toc437512880 \h </w:instrText>
        </w:r>
        <w:r w:rsidR="00667803">
          <w:rPr>
            <w:noProof/>
            <w:webHidden/>
          </w:rPr>
        </w:r>
        <w:r w:rsidR="00667803">
          <w:rPr>
            <w:noProof/>
            <w:webHidden/>
          </w:rPr>
          <w:fldChar w:fldCharType="separate"/>
        </w:r>
        <w:r w:rsidR="00625BEB">
          <w:rPr>
            <w:noProof/>
            <w:webHidden/>
          </w:rPr>
          <w:t>69</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81" w:history="1">
        <w:r w:rsidR="00667803" w:rsidRPr="00144E1F">
          <w:rPr>
            <w:rStyle w:val="Hipervnculo"/>
            <w:noProof/>
          </w:rPr>
          <w:t>Gráfica 44 Cantidad transportada Puerto Salgar – Cartago</w:t>
        </w:r>
        <w:r w:rsidR="00667803">
          <w:rPr>
            <w:noProof/>
            <w:webHidden/>
          </w:rPr>
          <w:tab/>
        </w:r>
        <w:r w:rsidR="00667803">
          <w:rPr>
            <w:noProof/>
            <w:webHidden/>
          </w:rPr>
          <w:fldChar w:fldCharType="begin"/>
        </w:r>
        <w:r w:rsidR="00667803">
          <w:rPr>
            <w:noProof/>
            <w:webHidden/>
          </w:rPr>
          <w:instrText xml:space="preserve"> PAGEREF _Toc437512881 \h </w:instrText>
        </w:r>
        <w:r w:rsidR="00667803">
          <w:rPr>
            <w:noProof/>
            <w:webHidden/>
          </w:rPr>
        </w:r>
        <w:r w:rsidR="00667803">
          <w:rPr>
            <w:noProof/>
            <w:webHidden/>
          </w:rPr>
          <w:fldChar w:fldCharType="separate"/>
        </w:r>
        <w:r w:rsidR="00625BEB">
          <w:rPr>
            <w:noProof/>
            <w:webHidden/>
          </w:rPr>
          <w:t>69</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82" w:history="1">
        <w:r w:rsidR="00667803" w:rsidRPr="00144E1F">
          <w:rPr>
            <w:rStyle w:val="Hipervnculo"/>
            <w:noProof/>
          </w:rPr>
          <w:t>Gráfica 45 Cantidad transportada Cartago – Yumbo 10”</w:t>
        </w:r>
        <w:r w:rsidR="00667803">
          <w:rPr>
            <w:noProof/>
            <w:webHidden/>
          </w:rPr>
          <w:tab/>
        </w:r>
        <w:r w:rsidR="00667803">
          <w:rPr>
            <w:noProof/>
            <w:webHidden/>
          </w:rPr>
          <w:fldChar w:fldCharType="begin"/>
        </w:r>
        <w:r w:rsidR="00667803">
          <w:rPr>
            <w:noProof/>
            <w:webHidden/>
          </w:rPr>
          <w:instrText xml:space="preserve"> PAGEREF _Toc437512882 \h </w:instrText>
        </w:r>
        <w:r w:rsidR="00667803">
          <w:rPr>
            <w:noProof/>
            <w:webHidden/>
          </w:rPr>
        </w:r>
        <w:r w:rsidR="00667803">
          <w:rPr>
            <w:noProof/>
            <w:webHidden/>
          </w:rPr>
          <w:fldChar w:fldCharType="separate"/>
        </w:r>
        <w:r w:rsidR="00625BEB">
          <w:rPr>
            <w:noProof/>
            <w:webHidden/>
          </w:rPr>
          <w:t>70</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83" w:history="1">
        <w:r w:rsidR="00667803" w:rsidRPr="00144E1F">
          <w:rPr>
            <w:rStyle w:val="Hipervnculo"/>
            <w:noProof/>
          </w:rPr>
          <w:t>Gráfica 46 Cantidad transportada Cartago – Yumbo 6”</w:t>
        </w:r>
        <w:r w:rsidR="00667803">
          <w:rPr>
            <w:noProof/>
            <w:webHidden/>
          </w:rPr>
          <w:tab/>
        </w:r>
        <w:r w:rsidR="00667803">
          <w:rPr>
            <w:noProof/>
            <w:webHidden/>
          </w:rPr>
          <w:fldChar w:fldCharType="begin"/>
        </w:r>
        <w:r w:rsidR="00667803">
          <w:rPr>
            <w:noProof/>
            <w:webHidden/>
          </w:rPr>
          <w:instrText xml:space="preserve"> PAGEREF _Toc437512883 \h </w:instrText>
        </w:r>
        <w:r w:rsidR="00667803">
          <w:rPr>
            <w:noProof/>
            <w:webHidden/>
          </w:rPr>
        </w:r>
        <w:r w:rsidR="00667803">
          <w:rPr>
            <w:noProof/>
            <w:webHidden/>
          </w:rPr>
          <w:fldChar w:fldCharType="separate"/>
        </w:r>
        <w:r w:rsidR="00625BEB">
          <w:rPr>
            <w:noProof/>
            <w:webHidden/>
          </w:rPr>
          <w:t>71</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84" w:history="1">
        <w:r w:rsidR="00667803" w:rsidRPr="00144E1F">
          <w:rPr>
            <w:rStyle w:val="Hipervnculo"/>
            <w:noProof/>
          </w:rPr>
          <w:t>Gráfica 47 Cantidad transportada Yumbo - Buenaventura</w:t>
        </w:r>
        <w:r w:rsidR="00667803">
          <w:rPr>
            <w:noProof/>
            <w:webHidden/>
          </w:rPr>
          <w:tab/>
        </w:r>
        <w:r w:rsidR="00667803">
          <w:rPr>
            <w:noProof/>
            <w:webHidden/>
          </w:rPr>
          <w:fldChar w:fldCharType="begin"/>
        </w:r>
        <w:r w:rsidR="00667803">
          <w:rPr>
            <w:noProof/>
            <w:webHidden/>
          </w:rPr>
          <w:instrText xml:space="preserve"> PAGEREF _Toc437512884 \h </w:instrText>
        </w:r>
        <w:r w:rsidR="00667803">
          <w:rPr>
            <w:noProof/>
            <w:webHidden/>
          </w:rPr>
        </w:r>
        <w:r w:rsidR="00667803">
          <w:rPr>
            <w:noProof/>
            <w:webHidden/>
          </w:rPr>
          <w:fldChar w:fldCharType="separate"/>
        </w:r>
        <w:r w:rsidR="00625BEB">
          <w:rPr>
            <w:noProof/>
            <w:webHidden/>
          </w:rPr>
          <w:t>71</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85" w:history="1">
        <w:r w:rsidR="00667803" w:rsidRPr="00144E1F">
          <w:rPr>
            <w:rStyle w:val="Hipervnculo"/>
            <w:noProof/>
          </w:rPr>
          <w:t>Gráfica 48 Cantidad transportada Puerto Salgar – Gualanday</w:t>
        </w:r>
        <w:r w:rsidR="00667803">
          <w:rPr>
            <w:noProof/>
            <w:webHidden/>
          </w:rPr>
          <w:tab/>
        </w:r>
        <w:r w:rsidR="00667803">
          <w:rPr>
            <w:noProof/>
            <w:webHidden/>
          </w:rPr>
          <w:fldChar w:fldCharType="begin"/>
        </w:r>
        <w:r w:rsidR="00667803">
          <w:rPr>
            <w:noProof/>
            <w:webHidden/>
          </w:rPr>
          <w:instrText xml:space="preserve"> PAGEREF _Toc437512885 \h </w:instrText>
        </w:r>
        <w:r w:rsidR="00667803">
          <w:rPr>
            <w:noProof/>
            <w:webHidden/>
          </w:rPr>
        </w:r>
        <w:r w:rsidR="00667803">
          <w:rPr>
            <w:noProof/>
            <w:webHidden/>
          </w:rPr>
          <w:fldChar w:fldCharType="separate"/>
        </w:r>
        <w:r w:rsidR="00625BEB">
          <w:rPr>
            <w:noProof/>
            <w:webHidden/>
          </w:rPr>
          <w:t>72</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86" w:history="1">
        <w:r w:rsidR="00667803" w:rsidRPr="00144E1F">
          <w:rPr>
            <w:rStyle w:val="Hipervnculo"/>
            <w:noProof/>
          </w:rPr>
          <w:t>Gráfica 49 Cantidad transportada Gualanday – Neiva</w:t>
        </w:r>
        <w:r w:rsidR="00667803">
          <w:rPr>
            <w:noProof/>
            <w:webHidden/>
          </w:rPr>
          <w:tab/>
        </w:r>
        <w:r w:rsidR="00667803">
          <w:rPr>
            <w:noProof/>
            <w:webHidden/>
          </w:rPr>
          <w:fldChar w:fldCharType="begin"/>
        </w:r>
        <w:r w:rsidR="00667803">
          <w:rPr>
            <w:noProof/>
            <w:webHidden/>
          </w:rPr>
          <w:instrText xml:space="preserve"> PAGEREF _Toc437512886 \h </w:instrText>
        </w:r>
        <w:r w:rsidR="00667803">
          <w:rPr>
            <w:noProof/>
            <w:webHidden/>
          </w:rPr>
        </w:r>
        <w:r w:rsidR="00667803">
          <w:rPr>
            <w:noProof/>
            <w:webHidden/>
          </w:rPr>
          <w:fldChar w:fldCharType="separate"/>
        </w:r>
        <w:r w:rsidR="00625BEB">
          <w:rPr>
            <w:noProof/>
            <w:webHidden/>
          </w:rPr>
          <w:t>73</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87" w:history="1">
        <w:r w:rsidR="00667803" w:rsidRPr="00144E1F">
          <w:rPr>
            <w:rStyle w:val="Hipervnculo"/>
            <w:noProof/>
          </w:rPr>
          <w:t>Gráfica 50 Cantidad transportada Puerto Salgar – Mansilla 10”</w:t>
        </w:r>
        <w:r w:rsidR="00667803">
          <w:rPr>
            <w:noProof/>
            <w:webHidden/>
          </w:rPr>
          <w:tab/>
        </w:r>
        <w:r w:rsidR="00667803">
          <w:rPr>
            <w:noProof/>
            <w:webHidden/>
          </w:rPr>
          <w:fldChar w:fldCharType="begin"/>
        </w:r>
        <w:r w:rsidR="00667803">
          <w:rPr>
            <w:noProof/>
            <w:webHidden/>
          </w:rPr>
          <w:instrText xml:space="preserve"> PAGEREF _Toc437512887 \h </w:instrText>
        </w:r>
        <w:r w:rsidR="00667803">
          <w:rPr>
            <w:noProof/>
            <w:webHidden/>
          </w:rPr>
        </w:r>
        <w:r w:rsidR="00667803">
          <w:rPr>
            <w:noProof/>
            <w:webHidden/>
          </w:rPr>
          <w:fldChar w:fldCharType="separate"/>
        </w:r>
        <w:r w:rsidR="00625BEB">
          <w:rPr>
            <w:noProof/>
            <w:webHidden/>
          </w:rPr>
          <w:t>73</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88" w:history="1">
        <w:r w:rsidR="00667803" w:rsidRPr="00144E1F">
          <w:rPr>
            <w:rStyle w:val="Hipervnculo"/>
            <w:noProof/>
          </w:rPr>
          <w:t>Gráfica 51 Cantidad transportada Puerto Salgar – Mansilla 8”</w:t>
        </w:r>
        <w:r w:rsidR="00667803">
          <w:rPr>
            <w:noProof/>
            <w:webHidden/>
          </w:rPr>
          <w:tab/>
        </w:r>
        <w:r w:rsidR="00667803">
          <w:rPr>
            <w:noProof/>
            <w:webHidden/>
          </w:rPr>
          <w:fldChar w:fldCharType="begin"/>
        </w:r>
        <w:r w:rsidR="00667803">
          <w:rPr>
            <w:noProof/>
            <w:webHidden/>
          </w:rPr>
          <w:instrText xml:space="preserve"> PAGEREF _Toc437512888 \h </w:instrText>
        </w:r>
        <w:r w:rsidR="00667803">
          <w:rPr>
            <w:noProof/>
            <w:webHidden/>
          </w:rPr>
        </w:r>
        <w:r w:rsidR="00667803">
          <w:rPr>
            <w:noProof/>
            <w:webHidden/>
          </w:rPr>
          <w:fldChar w:fldCharType="separate"/>
        </w:r>
        <w:r w:rsidR="00625BEB">
          <w:rPr>
            <w:noProof/>
            <w:webHidden/>
          </w:rPr>
          <w:t>74</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89" w:history="1">
        <w:r w:rsidR="00667803" w:rsidRPr="00144E1F">
          <w:rPr>
            <w:rStyle w:val="Hipervnculo"/>
            <w:noProof/>
          </w:rPr>
          <w:t>Gráfica 52 Cantidad transportada Mansilla – Puente Aranda</w:t>
        </w:r>
        <w:r w:rsidR="00667803">
          <w:rPr>
            <w:noProof/>
            <w:webHidden/>
          </w:rPr>
          <w:tab/>
        </w:r>
        <w:r w:rsidR="00667803">
          <w:rPr>
            <w:noProof/>
            <w:webHidden/>
          </w:rPr>
          <w:fldChar w:fldCharType="begin"/>
        </w:r>
        <w:r w:rsidR="00667803">
          <w:rPr>
            <w:noProof/>
            <w:webHidden/>
          </w:rPr>
          <w:instrText xml:space="preserve"> PAGEREF _Toc437512889 \h </w:instrText>
        </w:r>
        <w:r w:rsidR="00667803">
          <w:rPr>
            <w:noProof/>
            <w:webHidden/>
          </w:rPr>
        </w:r>
        <w:r w:rsidR="00667803">
          <w:rPr>
            <w:noProof/>
            <w:webHidden/>
          </w:rPr>
          <w:fldChar w:fldCharType="separate"/>
        </w:r>
        <w:r w:rsidR="00625BEB">
          <w:rPr>
            <w:noProof/>
            <w:webHidden/>
          </w:rPr>
          <w:t>74</w:t>
        </w:r>
        <w:r w:rsidR="00667803">
          <w:rPr>
            <w:noProof/>
            <w:webHidden/>
          </w:rPr>
          <w:fldChar w:fldCharType="end"/>
        </w:r>
      </w:hyperlink>
    </w:p>
    <w:p w:rsidR="00667803" w:rsidRDefault="004B021B">
      <w:pPr>
        <w:pStyle w:val="Tabladeilustraciones"/>
        <w:tabs>
          <w:tab w:val="right" w:leader="dot" w:pos="9346"/>
        </w:tabs>
        <w:rPr>
          <w:rFonts w:asciiTheme="minorHAnsi" w:eastAsiaTheme="minorEastAsia" w:hAnsiTheme="minorHAnsi" w:cstheme="minorBidi"/>
          <w:noProof/>
          <w:spacing w:val="0"/>
          <w:sz w:val="22"/>
          <w:szCs w:val="22"/>
          <w:lang w:eastAsia="es-CO"/>
        </w:rPr>
      </w:pPr>
      <w:hyperlink w:anchor="_Toc437512890" w:history="1">
        <w:r w:rsidR="00667803" w:rsidRPr="00144E1F">
          <w:rPr>
            <w:rStyle w:val="Hipervnculo"/>
            <w:noProof/>
          </w:rPr>
          <w:t>Gráfica 53 Cantidad Puente Aranda – El Dorado</w:t>
        </w:r>
        <w:r w:rsidR="00667803">
          <w:rPr>
            <w:noProof/>
            <w:webHidden/>
          </w:rPr>
          <w:tab/>
        </w:r>
        <w:r w:rsidR="00667803">
          <w:rPr>
            <w:noProof/>
            <w:webHidden/>
          </w:rPr>
          <w:fldChar w:fldCharType="begin"/>
        </w:r>
        <w:r w:rsidR="00667803">
          <w:rPr>
            <w:noProof/>
            <w:webHidden/>
          </w:rPr>
          <w:instrText xml:space="preserve"> PAGEREF _Toc437512890 \h </w:instrText>
        </w:r>
        <w:r w:rsidR="00667803">
          <w:rPr>
            <w:noProof/>
            <w:webHidden/>
          </w:rPr>
        </w:r>
        <w:r w:rsidR="00667803">
          <w:rPr>
            <w:noProof/>
            <w:webHidden/>
          </w:rPr>
          <w:fldChar w:fldCharType="separate"/>
        </w:r>
        <w:r w:rsidR="00625BEB">
          <w:rPr>
            <w:noProof/>
            <w:webHidden/>
          </w:rPr>
          <w:t>75</w:t>
        </w:r>
        <w:r w:rsidR="00667803">
          <w:rPr>
            <w:noProof/>
            <w:webHidden/>
          </w:rPr>
          <w:fldChar w:fldCharType="end"/>
        </w:r>
      </w:hyperlink>
    </w:p>
    <w:p w:rsidR="00963451" w:rsidRPr="00FB21E1" w:rsidRDefault="00963451" w:rsidP="0083557B">
      <w:pPr>
        <w:jc w:val="center"/>
        <w:rPr>
          <w:rFonts w:cs="Arial"/>
          <w:b/>
          <w:szCs w:val="22"/>
        </w:rPr>
      </w:pPr>
      <w:r w:rsidRPr="00FB21E1">
        <w:rPr>
          <w:rFonts w:cs="Arial"/>
          <w:b/>
          <w:szCs w:val="22"/>
        </w:rPr>
        <w:fldChar w:fldCharType="end"/>
      </w:r>
    </w:p>
    <w:p w:rsidR="009D486B" w:rsidRDefault="009D486B" w:rsidP="0083557B">
      <w:pPr>
        <w:jc w:val="center"/>
        <w:rPr>
          <w:rFonts w:eastAsia="Arial"/>
          <w:b/>
          <w:sz w:val="24"/>
        </w:rPr>
      </w:pPr>
    </w:p>
    <w:p w:rsidR="009D486B" w:rsidRDefault="009D486B" w:rsidP="0083557B">
      <w:pPr>
        <w:jc w:val="center"/>
        <w:rPr>
          <w:rFonts w:eastAsia="Arial"/>
          <w:b/>
          <w:sz w:val="24"/>
        </w:rPr>
      </w:pPr>
    </w:p>
    <w:p w:rsidR="0083557B" w:rsidRDefault="0083557B" w:rsidP="0083557B">
      <w:pPr>
        <w:jc w:val="center"/>
        <w:rPr>
          <w:rFonts w:eastAsia="Arial"/>
          <w:b/>
          <w:sz w:val="24"/>
        </w:rPr>
      </w:pPr>
      <w:r w:rsidRPr="00F855CA">
        <w:rPr>
          <w:rFonts w:eastAsia="Arial"/>
          <w:b/>
          <w:sz w:val="24"/>
        </w:rPr>
        <w:lastRenderedPageBreak/>
        <w:t>BASES SOBRE LAS CUALES LA COMISIÓN EFECTUARÁ LOS ESTUDIOS PARA DETERMINAR LA METODOLOGÍA TARIFARIA PARA LA REMUNERACIÓN DEL TRANSPORTE DE COMBUSTIBLES LÍQUIDOS Y GLP POR DUCTOS</w:t>
      </w:r>
    </w:p>
    <w:p w:rsidR="0076075D" w:rsidRDefault="0076075D" w:rsidP="0083557B">
      <w:pPr>
        <w:jc w:val="center"/>
        <w:rPr>
          <w:rFonts w:eastAsia="Arial"/>
          <w:b/>
          <w:sz w:val="24"/>
          <w:highlight w:val="yellow"/>
        </w:rPr>
      </w:pPr>
    </w:p>
    <w:p w:rsidR="0076075D" w:rsidRPr="00F855CA" w:rsidRDefault="0076075D" w:rsidP="0083557B">
      <w:pPr>
        <w:jc w:val="center"/>
        <w:rPr>
          <w:rFonts w:eastAsia="Arial"/>
          <w:b/>
          <w:sz w:val="24"/>
          <w:highlight w:val="yellow"/>
        </w:rPr>
      </w:pPr>
    </w:p>
    <w:p w:rsidR="0083557B" w:rsidRDefault="0083557B" w:rsidP="0076075D">
      <w:pPr>
        <w:pStyle w:val="Ttulo1"/>
        <w:ind w:left="426" w:hanging="426"/>
        <w:jc w:val="both"/>
        <w:rPr>
          <w:rFonts w:ascii="Bookman Old Style" w:eastAsia="Arial" w:hAnsi="Bookman Old Style" w:cs="Arial"/>
          <w:sz w:val="24"/>
        </w:rPr>
      </w:pPr>
      <w:bookmarkStart w:id="6" w:name="_Toc424832912"/>
      <w:bookmarkStart w:id="7" w:name="_Toc424887643"/>
      <w:bookmarkStart w:id="8" w:name="_Toc425488399"/>
      <w:bookmarkStart w:id="9" w:name="_Toc426035040"/>
      <w:bookmarkStart w:id="10" w:name="_Toc427333573"/>
      <w:bookmarkStart w:id="11" w:name="_Toc427336514"/>
      <w:bookmarkStart w:id="12" w:name="_Toc427681804"/>
      <w:bookmarkStart w:id="13" w:name="_Toc427769030"/>
      <w:bookmarkStart w:id="14" w:name="_Toc433276735"/>
      <w:bookmarkStart w:id="15" w:name="_Toc433295698"/>
      <w:bookmarkStart w:id="16" w:name="_Toc433296423"/>
      <w:bookmarkStart w:id="17" w:name="_Toc437500853"/>
      <w:bookmarkStart w:id="18" w:name="_Toc437501512"/>
      <w:bookmarkStart w:id="19" w:name="_Toc437501692"/>
      <w:bookmarkStart w:id="20" w:name="_Toc437501782"/>
      <w:bookmarkStart w:id="21" w:name="_Toc437502545"/>
      <w:bookmarkStart w:id="22" w:name="_Toc437505903"/>
      <w:bookmarkStart w:id="23" w:name="_Toc437512716"/>
      <w:r w:rsidRPr="00F855CA">
        <w:rPr>
          <w:rFonts w:ascii="Bookman Old Style" w:eastAsia="Arial" w:hAnsi="Bookman Old Style" w:cs="Arial"/>
          <w:sz w:val="24"/>
        </w:rPr>
        <w:t>OBJETIVO</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rsidR="0076075D" w:rsidRPr="0076075D" w:rsidRDefault="0076075D" w:rsidP="0076075D">
      <w:pPr>
        <w:rPr>
          <w:rFonts w:eastAsia="Arial"/>
          <w:lang w:val="es-CO"/>
        </w:rPr>
      </w:pPr>
    </w:p>
    <w:p w:rsidR="0083557B" w:rsidRPr="00F855CA" w:rsidRDefault="00F855CA" w:rsidP="10878DB7">
      <w:pPr>
        <w:rPr>
          <w:rFonts w:eastAsia="Arial"/>
          <w:sz w:val="24"/>
          <w:highlight w:val="yellow"/>
        </w:rPr>
      </w:pPr>
      <w:r>
        <w:rPr>
          <w:rFonts w:eastAsia="Arial"/>
          <w:sz w:val="24"/>
        </w:rPr>
        <w:t xml:space="preserve">Poner en conocimiento de </w:t>
      </w:r>
      <w:r w:rsidR="0083557B" w:rsidRPr="00F855CA">
        <w:rPr>
          <w:rFonts w:eastAsia="Arial"/>
          <w:sz w:val="24"/>
        </w:rPr>
        <w:t>los agentes pertenecientes a la cadena de valor de los combustibles líquidos derivados del petróleo y del GLP, usuarios y los demás interesados</w:t>
      </w:r>
      <w:r>
        <w:rPr>
          <w:rFonts w:eastAsia="Arial"/>
          <w:sz w:val="24"/>
        </w:rPr>
        <w:t>,</w:t>
      </w:r>
      <w:r w:rsidR="0083557B" w:rsidRPr="00F855CA">
        <w:rPr>
          <w:rFonts w:eastAsia="Arial"/>
          <w:sz w:val="24"/>
        </w:rPr>
        <w:t xml:space="preserve"> las bases sobre las cuales se llevarán a cabo los estudios que permitan establecer la metodología para la remuneración del transporte de combustibles líquidos y GLP por ductos</w:t>
      </w:r>
      <w:r w:rsidR="10878DB7" w:rsidRPr="00F855CA">
        <w:rPr>
          <w:rFonts w:eastAsia="Arial" w:cs="Arial"/>
          <w:sz w:val="24"/>
        </w:rPr>
        <w:t>.</w:t>
      </w:r>
    </w:p>
    <w:p w:rsidR="0083557B" w:rsidRPr="00F855CA" w:rsidRDefault="0083557B" w:rsidP="00391FB3">
      <w:pPr>
        <w:pStyle w:val="Ttulo1"/>
        <w:spacing w:before="360" w:after="240"/>
        <w:ind w:left="426" w:hanging="426"/>
        <w:jc w:val="both"/>
        <w:rPr>
          <w:rFonts w:ascii="Bookman Old Style" w:hAnsi="Bookman Old Style" w:cs="Arial"/>
          <w:sz w:val="24"/>
        </w:rPr>
      </w:pPr>
      <w:bookmarkStart w:id="24" w:name="_Toc424832913"/>
      <w:bookmarkStart w:id="25" w:name="_Toc424887644"/>
      <w:bookmarkStart w:id="26" w:name="_Toc425488400"/>
      <w:bookmarkStart w:id="27" w:name="_Toc426035041"/>
      <w:bookmarkStart w:id="28" w:name="_Toc427333574"/>
      <w:bookmarkStart w:id="29" w:name="_Toc427336515"/>
      <w:bookmarkStart w:id="30" w:name="_Toc427681805"/>
      <w:bookmarkStart w:id="31" w:name="_Toc427769031"/>
      <w:bookmarkStart w:id="32" w:name="_Toc433276736"/>
      <w:bookmarkStart w:id="33" w:name="_Toc433295699"/>
      <w:bookmarkStart w:id="34" w:name="_Toc433296424"/>
      <w:bookmarkStart w:id="35" w:name="_Toc437500854"/>
      <w:bookmarkStart w:id="36" w:name="_Toc437501513"/>
      <w:bookmarkStart w:id="37" w:name="_Toc437501693"/>
      <w:bookmarkStart w:id="38" w:name="_Toc437501783"/>
      <w:bookmarkStart w:id="39" w:name="_Toc437502546"/>
      <w:bookmarkStart w:id="40" w:name="_Toc437505904"/>
      <w:bookmarkStart w:id="41" w:name="_Toc437512717"/>
      <w:r w:rsidRPr="00F855CA">
        <w:rPr>
          <w:rFonts w:ascii="Bookman Old Style" w:hAnsi="Bookman Old Style" w:cs="Arial"/>
          <w:sz w:val="24"/>
        </w:rPr>
        <w:t>ANTECEDENTES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83557B" w:rsidRPr="00F855CA" w:rsidRDefault="0083557B" w:rsidP="0083557B">
      <w:pPr>
        <w:rPr>
          <w:rFonts w:eastAsia="Arial"/>
          <w:sz w:val="24"/>
        </w:rPr>
      </w:pPr>
      <w:r w:rsidRPr="00F855CA">
        <w:rPr>
          <w:rFonts w:eastAsia="Arial"/>
          <w:sz w:val="24"/>
        </w:rPr>
        <w:t>Las leyes 142 y 143 de 1994 establecen que el régimen tarifario estará orientado por los criterios de eficiencia económica, neutralidad, solidaridad, redistribución, suficiencia financiera, simplicidad y transparencia.</w:t>
      </w:r>
    </w:p>
    <w:p w:rsidR="00705F1E" w:rsidRDefault="00705F1E" w:rsidP="0083557B">
      <w:pPr>
        <w:rPr>
          <w:rFonts w:eastAsia="Arial"/>
          <w:sz w:val="24"/>
        </w:rPr>
      </w:pPr>
    </w:p>
    <w:p w:rsidR="00741554" w:rsidRDefault="0083557B" w:rsidP="0083557B">
      <w:pPr>
        <w:rPr>
          <w:rFonts w:eastAsia="Arial"/>
          <w:sz w:val="24"/>
        </w:rPr>
      </w:pPr>
      <w:r w:rsidRPr="00F855CA">
        <w:rPr>
          <w:rFonts w:eastAsia="Arial"/>
          <w:sz w:val="24"/>
        </w:rPr>
        <w:t>Conforme el artículo 127 de la Ley 142 de 1994 las fórmulas tarifarias tienen una vigencia de por lo menos cinco años, y sus bases se deben poner en conocimiento de terceros interesados: “la Comisión deberá poner en conocimiento de las Empresas de Servicios Públicos las bases sobre las cuales efectuará el estudio para determinar las fó</w:t>
      </w:r>
      <w:r w:rsidR="00741554">
        <w:rPr>
          <w:rFonts w:eastAsia="Arial"/>
          <w:sz w:val="24"/>
        </w:rPr>
        <w:t>rmulas del período siguiente”</w:t>
      </w:r>
      <w:r w:rsidR="0076075D">
        <w:rPr>
          <w:rFonts w:eastAsia="Arial"/>
          <w:sz w:val="24"/>
        </w:rPr>
        <w:t>.</w:t>
      </w:r>
      <w:r w:rsidR="00741554">
        <w:rPr>
          <w:rFonts w:eastAsia="Arial"/>
          <w:sz w:val="24"/>
        </w:rPr>
        <w:t xml:space="preserve"> </w:t>
      </w:r>
    </w:p>
    <w:p w:rsidR="00741554" w:rsidRDefault="00741554" w:rsidP="0083557B">
      <w:pPr>
        <w:rPr>
          <w:rFonts w:eastAsia="Arial"/>
          <w:sz w:val="24"/>
        </w:rPr>
      </w:pPr>
    </w:p>
    <w:p w:rsidR="00DD243A" w:rsidRDefault="0083557B" w:rsidP="00741554">
      <w:pPr>
        <w:rPr>
          <w:rFonts w:eastAsia="Arial"/>
          <w:sz w:val="24"/>
        </w:rPr>
      </w:pPr>
      <w:r w:rsidRPr="00F855CA">
        <w:rPr>
          <w:rFonts w:eastAsia="Arial"/>
          <w:sz w:val="24"/>
        </w:rPr>
        <w:t>Así mismo, el artículo 126 de la misma ley señala que se podrán revisar según las causales allí previstas y que vencido el período seguirán vigentes hasta tanto no se expidan las nuevas fórmulas.</w:t>
      </w:r>
    </w:p>
    <w:p w:rsidR="00741554" w:rsidRPr="00741554" w:rsidRDefault="00741554" w:rsidP="00741554">
      <w:pPr>
        <w:rPr>
          <w:rFonts w:eastAsia="Arial"/>
          <w:sz w:val="24"/>
        </w:rPr>
      </w:pPr>
    </w:p>
    <w:p w:rsidR="0083557B" w:rsidRPr="00F855CA" w:rsidRDefault="0083557B" w:rsidP="0083557B">
      <w:pPr>
        <w:tabs>
          <w:tab w:val="left" w:pos="-720"/>
        </w:tabs>
        <w:suppressAutoHyphens/>
        <w:overflowPunct w:val="0"/>
        <w:autoSpaceDE w:val="0"/>
        <w:autoSpaceDN w:val="0"/>
        <w:adjustRightInd w:val="0"/>
        <w:spacing w:after="240"/>
        <w:textAlignment w:val="baseline"/>
        <w:rPr>
          <w:rFonts w:cs="Arial"/>
          <w:sz w:val="24"/>
        </w:rPr>
      </w:pPr>
      <w:r w:rsidRPr="00F855CA">
        <w:rPr>
          <w:rFonts w:cs="Arial"/>
          <w:sz w:val="24"/>
        </w:rPr>
        <w:t>Adicionalmente, el artículo 11 del Decreto 2696 de 2004 contiene reglas especiales para la adopción de fórmulas tarifarias</w:t>
      </w:r>
      <w:r w:rsidR="00741554">
        <w:rPr>
          <w:rFonts w:cs="Arial"/>
          <w:sz w:val="24"/>
        </w:rPr>
        <w:t>.</w:t>
      </w:r>
    </w:p>
    <w:p w:rsidR="00AE04FB" w:rsidRDefault="00741554" w:rsidP="00741554">
      <w:pPr>
        <w:rPr>
          <w:rFonts w:eastAsia="Arial" w:cs="Arial"/>
          <w:sz w:val="24"/>
        </w:rPr>
      </w:pPr>
      <w:r>
        <w:rPr>
          <w:rFonts w:eastAsia="Arial"/>
          <w:sz w:val="24"/>
        </w:rPr>
        <w:t xml:space="preserve">Mediante el </w:t>
      </w:r>
      <w:r w:rsidR="00AE04FB">
        <w:rPr>
          <w:rFonts w:eastAsia="Arial"/>
          <w:sz w:val="24"/>
        </w:rPr>
        <w:t xml:space="preserve">artículo 3 del </w:t>
      </w:r>
      <w:r>
        <w:rPr>
          <w:rFonts w:eastAsia="Arial"/>
          <w:sz w:val="24"/>
        </w:rPr>
        <w:t xml:space="preserve">Decreto 4130 de 2011, el Gobierno Nacional </w:t>
      </w:r>
      <w:r w:rsidR="00AE04FB">
        <w:rPr>
          <w:rFonts w:eastAsia="Arial"/>
          <w:sz w:val="24"/>
        </w:rPr>
        <w:t xml:space="preserve">le </w:t>
      </w:r>
      <w:r w:rsidR="2AB6BB09" w:rsidRPr="00F855CA">
        <w:rPr>
          <w:rFonts w:eastAsia="Arial" w:cs="Arial"/>
          <w:sz w:val="24"/>
        </w:rPr>
        <w:t>re</w:t>
      </w:r>
      <w:r>
        <w:rPr>
          <w:rFonts w:eastAsia="Arial" w:cs="Arial"/>
          <w:sz w:val="24"/>
        </w:rPr>
        <w:t xml:space="preserve">asignó funciones </w:t>
      </w:r>
      <w:r w:rsidR="2AB6BB09" w:rsidRPr="00F855CA">
        <w:rPr>
          <w:rFonts w:eastAsia="Arial" w:cs="Arial"/>
          <w:sz w:val="24"/>
        </w:rPr>
        <w:t>a la C</w:t>
      </w:r>
      <w:r>
        <w:rPr>
          <w:rFonts w:eastAsia="Arial" w:cs="Arial"/>
          <w:sz w:val="24"/>
        </w:rPr>
        <w:t>omisión de Regulación de Energía y Gas –C</w:t>
      </w:r>
      <w:r w:rsidR="2AB6BB09" w:rsidRPr="00F855CA">
        <w:rPr>
          <w:rFonts w:eastAsia="Arial" w:cs="Arial"/>
          <w:sz w:val="24"/>
        </w:rPr>
        <w:t>REG</w:t>
      </w:r>
      <w:r>
        <w:rPr>
          <w:rFonts w:eastAsia="Arial" w:cs="Arial"/>
          <w:sz w:val="24"/>
        </w:rPr>
        <w:t>-</w:t>
      </w:r>
      <w:r w:rsidR="00AE04FB">
        <w:rPr>
          <w:rFonts w:eastAsia="Arial" w:cs="Arial"/>
          <w:sz w:val="24"/>
        </w:rPr>
        <w:t>.</w:t>
      </w:r>
    </w:p>
    <w:p w:rsidR="00AE04FB" w:rsidRDefault="00AE04FB" w:rsidP="00741554">
      <w:pPr>
        <w:rPr>
          <w:rFonts w:eastAsia="Arial" w:cs="Arial"/>
          <w:sz w:val="24"/>
        </w:rPr>
      </w:pPr>
    </w:p>
    <w:p w:rsidR="0083557B" w:rsidRPr="00F855CA" w:rsidRDefault="00AE04FB" w:rsidP="00741554">
      <w:pPr>
        <w:rPr>
          <w:rFonts w:eastAsia="Arial" w:cs="Arial"/>
          <w:sz w:val="24"/>
        </w:rPr>
      </w:pPr>
      <w:r>
        <w:rPr>
          <w:rFonts w:eastAsia="Arial" w:cs="Arial"/>
          <w:sz w:val="24"/>
        </w:rPr>
        <w:t>En particular el numeral 5 del mencionado artículo 3 establece lo siguiente:</w:t>
      </w:r>
    </w:p>
    <w:p w:rsidR="2AB6BB09" w:rsidRPr="00F855CA" w:rsidRDefault="2AB6BB09" w:rsidP="2AB6BB09">
      <w:pPr>
        <w:rPr>
          <w:rFonts w:eastAsia="Arial" w:cs="Arial"/>
          <w:sz w:val="24"/>
        </w:rPr>
      </w:pPr>
    </w:p>
    <w:p w:rsidR="0083557B" w:rsidRDefault="006C4AB9" w:rsidP="10878DB7">
      <w:pPr>
        <w:ind w:left="708"/>
        <w:rPr>
          <w:rFonts w:eastAsia="Arial"/>
          <w:sz w:val="24"/>
        </w:rPr>
      </w:pPr>
      <w:r>
        <w:rPr>
          <w:rFonts w:eastAsia="Arial"/>
          <w:sz w:val="24"/>
        </w:rPr>
        <w:t>“Artículo 3.</w:t>
      </w:r>
      <w:r w:rsidR="0083557B" w:rsidRPr="00F855CA">
        <w:rPr>
          <w:rFonts w:eastAsia="Arial"/>
          <w:sz w:val="24"/>
        </w:rPr>
        <w:t>Reasignación de funciones a la Comisión de Regulación de Energía y Gas. Reasígnense a la Comisión de Regulación de Energía y Gas las funciones de:</w:t>
      </w:r>
    </w:p>
    <w:p w:rsidR="00741554" w:rsidRDefault="00741554" w:rsidP="10878DB7">
      <w:pPr>
        <w:ind w:left="708"/>
        <w:rPr>
          <w:rFonts w:eastAsia="Arial"/>
          <w:sz w:val="24"/>
        </w:rPr>
      </w:pPr>
    </w:p>
    <w:p w:rsidR="00AE04FB" w:rsidRPr="00F855CA" w:rsidRDefault="00AE04FB" w:rsidP="10878DB7">
      <w:pPr>
        <w:ind w:left="708"/>
        <w:rPr>
          <w:rFonts w:eastAsia="Arial"/>
          <w:sz w:val="24"/>
        </w:rPr>
      </w:pPr>
      <w:r>
        <w:rPr>
          <w:rFonts w:eastAsia="Arial"/>
          <w:sz w:val="24"/>
        </w:rPr>
        <w:t>(…)</w:t>
      </w:r>
    </w:p>
    <w:p w:rsidR="0083557B" w:rsidRPr="00F855CA" w:rsidRDefault="2AB6BB09" w:rsidP="2AB6BB09">
      <w:pPr>
        <w:widowControl w:val="0"/>
        <w:ind w:left="708"/>
        <w:rPr>
          <w:rFonts w:eastAsia="Arial" w:cs="Arial"/>
          <w:sz w:val="24"/>
        </w:rPr>
      </w:pPr>
      <w:r w:rsidRPr="00F855CA">
        <w:rPr>
          <w:rFonts w:eastAsia="Arial" w:cs="Arial"/>
          <w:sz w:val="24"/>
        </w:rPr>
        <w:t>“Parcialmente las funciones asignadas en el artículo 3° del </w:t>
      </w:r>
      <w:hyperlink r:id="rId9">
        <w:r w:rsidRPr="00F855CA">
          <w:rPr>
            <w:rFonts w:eastAsia="Arial" w:cs="Arial"/>
            <w:sz w:val="24"/>
          </w:rPr>
          <w:t>Decreto 4299 de 2005</w:t>
        </w:r>
      </w:hyperlink>
      <w:r w:rsidRPr="00F855CA">
        <w:rPr>
          <w:rFonts w:eastAsia="Arial" w:cs="Arial"/>
          <w:sz w:val="24"/>
        </w:rPr>
        <w:t> al Ministerio de Minas y Energía, quedando así: Regular las actividades de refinación, importación, almacenamiento, distribución y transporte de los combustibles líquidos derivados del petróleo.” (…)</w:t>
      </w:r>
    </w:p>
    <w:p w:rsidR="2AB6BB09" w:rsidRPr="00F855CA" w:rsidRDefault="2AB6BB09" w:rsidP="2AB6BB09">
      <w:pPr>
        <w:ind w:left="708"/>
        <w:rPr>
          <w:rFonts w:eastAsia="Arial" w:cs="Arial"/>
          <w:sz w:val="24"/>
        </w:rPr>
      </w:pPr>
    </w:p>
    <w:p w:rsidR="0076075D" w:rsidRDefault="0076075D" w:rsidP="2AB6BB09">
      <w:pPr>
        <w:widowControl w:val="0"/>
        <w:rPr>
          <w:rFonts w:eastAsia="Arial" w:cs="Arial"/>
          <w:sz w:val="24"/>
        </w:rPr>
      </w:pPr>
    </w:p>
    <w:p w:rsidR="0083557B" w:rsidRPr="00F855CA" w:rsidRDefault="2AB6BB09" w:rsidP="2AB6BB09">
      <w:pPr>
        <w:widowControl w:val="0"/>
        <w:rPr>
          <w:rFonts w:eastAsia="Arial" w:cs="Arial"/>
          <w:sz w:val="24"/>
        </w:rPr>
      </w:pPr>
      <w:r w:rsidRPr="00F855CA">
        <w:rPr>
          <w:rFonts w:eastAsia="Arial" w:cs="Arial"/>
          <w:sz w:val="24"/>
        </w:rPr>
        <w:t xml:space="preserve">En el mismo orden, el Gobierno Nacional modificó la estructura de la CREG a </w:t>
      </w:r>
      <w:r w:rsidRPr="00F855CA">
        <w:rPr>
          <w:rFonts w:eastAsia="Arial" w:cs="Arial"/>
          <w:sz w:val="24"/>
        </w:rPr>
        <w:lastRenderedPageBreak/>
        <w:t xml:space="preserve">través de la expedición del Decreto 1260 de 2013, </w:t>
      </w:r>
      <w:r w:rsidR="00AE04FB">
        <w:rPr>
          <w:rFonts w:eastAsia="Arial" w:cs="Arial"/>
          <w:sz w:val="24"/>
        </w:rPr>
        <w:t>consagrando en el inciso segundo del artículo 2 lo siguiente</w:t>
      </w:r>
      <w:r w:rsidRPr="00F855CA">
        <w:rPr>
          <w:rFonts w:eastAsia="Arial" w:cs="Arial"/>
          <w:sz w:val="24"/>
        </w:rPr>
        <w:t>:</w:t>
      </w:r>
    </w:p>
    <w:p w:rsidR="2AB6BB09" w:rsidRPr="0076075D" w:rsidRDefault="2AB6BB09" w:rsidP="2AB6BB09">
      <w:pPr>
        <w:rPr>
          <w:rFonts w:eastAsia="Arial" w:cs="Arial"/>
          <w:sz w:val="28"/>
        </w:rPr>
      </w:pPr>
    </w:p>
    <w:p w:rsidR="0083557B" w:rsidRDefault="0083557B" w:rsidP="0083557B">
      <w:pPr>
        <w:widowControl w:val="0"/>
        <w:ind w:left="708"/>
        <w:rPr>
          <w:rFonts w:eastAsia="Arial"/>
          <w:sz w:val="24"/>
        </w:rPr>
      </w:pPr>
      <w:r w:rsidRPr="00F855CA">
        <w:rPr>
          <w:rFonts w:eastAsia="Arial"/>
          <w:sz w:val="24"/>
        </w:rPr>
        <w:t>“Articulo 2 (…) Igualmente tiene por objeto expedir la regulación económica para las actividades de la cadena de combustibles líquidos derivados de hidrocarburos, en los términos y condiciones señalados en la ley”.</w:t>
      </w:r>
    </w:p>
    <w:p w:rsidR="00AE04FB" w:rsidRPr="0076075D" w:rsidRDefault="00AE04FB" w:rsidP="0083557B">
      <w:pPr>
        <w:widowControl w:val="0"/>
        <w:ind w:left="708"/>
        <w:rPr>
          <w:rFonts w:eastAsia="Arial"/>
          <w:sz w:val="28"/>
        </w:rPr>
      </w:pPr>
    </w:p>
    <w:p w:rsidR="00AE04FB" w:rsidRDefault="006C14FA" w:rsidP="2AB6BB09">
      <w:pPr>
        <w:widowControl w:val="0"/>
        <w:rPr>
          <w:rFonts w:eastAsia="Arial" w:cs="Arial"/>
          <w:sz w:val="24"/>
        </w:rPr>
      </w:pPr>
      <w:r>
        <w:rPr>
          <w:rFonts w:eastAsia="Arial" w:cs="Arial"/>
          <w:sz w:val="24"/>
        </w:rPr>
        <w:t>De igual forma, e</w:t>
      </w:r>
      <w:r w:rsidR="2AB6BB09" w:rsidRPr="00F855CA">
        <w:rPr>
          <w:rFonts w:eastAsia="Arial" w:cs="Arial"/>
          <w:sz w:val="24"/>
        </w:rPr>
        <w:t>l literal b) </w:t>
      </w:r>
      <w:r w:rsidR="00AE04FB">
        <w:rPr>
          <w:rFonts w:eastAsia="Arial" w:cs="Arial"/>
          <w:sz w:val="24"/>
        </w:rPr>
        <w:t xml:space="preserve">del artículo 4 del Decreto 1260 de 2013 </w:t>
      </w:r>
      <w:r w:rsidR="2AB6BB09" w:rsidRPr="00F855CA">
        <w:rPr>
          <w:rFonts w:eastAsia="Arial" w:cs="Arial"/>
          <w:sz w:val="24"/>
        </w:rPr>
        <w:t xml:space="preserve">establece específicamente las funciones en relación con el sector combustibles líquidos derivados del petróleo. </w:t>
      </w:r>
    </w:p>
    <w:p w:rsidR="00AE04FB" w:rsidRPr="0076075D" w:rsidRDefault="00AE04FB" w:rsidP="2AB6BB09">
      <w:pPr>
        <w:widowControl w:val="0"/>
        <w:rPr>
          <w:rFonts w:eastAsia="Arial" w:cs="Arial"/>
          <w:sz w:val="28"/>
        </w:rPr>
      </w:pPr>
    </w:p>
    <w:p w:rsidR="0083557B" w:rsidRPr="00F855CA" w:rsidRDefault="005F533E" w:rsidP="2AB6BB09">
      <w:pPr>
        <w:widowControl w:val="0"/>
        <w:rPr>
          <w:rFonts w:eastAsia="Arial" w:cs="Arial"/>
          <w:sz w:val="24"/>
        </w:rPr>
      </w:pPr>
      <w:r>
        <w:rPr>
          <w:rFonts w:eastAsia="Arial" w:cs="Arial"/>
          <w:sz w:val="24"/>
        </w:rPr>
        <w:t>En particular, en el</w:t>
      </w:r>
      <w:r w:rsidR="2AB6BB09" w:rsidRPr="00F855CA">
        <w:rPr>
          <w:rFonts w:eastAsia="Arial" w:cs="Arial"/>
          <w:sz w:val="24"/>
        </w:rPr>
        <w:t xml:space="preserve"> numeral</w:t>
      </w:r>
      <w:r>
        <w:rPr>
          <w:rFonts w:eastAsia="Arial" w:cs="Arial"/>
          <w:sz w:val="24"/>
        </w:rPr>
        <w:t xml:space="preserve"> 8 </w:t>
      </w:r>
      <w:r w:rsidR="006C14FA">
        <w:rPr>
          <w:rFonts w:eastAsia="Arial" w:cs="Arial"/>
          <w:sz w:val="24"/>
        </w:rPr>
        <w:t xml:space="preserve">se menciona la competencia de </w:t>
      </w:r>
      <w:r w:rsidR="2AB6BB09" w:rsidRPr="00F855CA">
        <w:rPr>
          <w:rFonts w:eastAsia="Arial" w:cs="Arial"/>
          <w:sz w:val="24"/>
        </w:rPr>
        <w:t xml:space="preserve">la </w:t>
      </w:r>
      <w:r>
        <w:rPr>
          <w:rFonts w:eastAsia="Arial" w:cs="Arial"/>
          <w:sz w:val="24"/>
        </w:rPr>
        <w:t>CREG en cuanto a la actividad de transporte de combustibles, terrestre y por poliductos así</w:t>
      </w:r>
      <w:r w:rsidR="2AB6BB09" w:rsidRPr="00F855CA">
        <w:rPr>
          <w:rFonts w:eastAsia="Arial" w:cs="Arial"/>
          <w:sz w:val="24"/>
        </w:rPr>
        <w:t>:</w:t>
      </w:r>
    </w:p>
    <w:p w:rsidR="2AB6BB09" w:rsidRPr="0076075D" w:rsidRDefault="2AB6BB09" w:rsidP="2AB6BB09">
      <w:pPr>
        <w:rPr>
          <w:rFonts w:eastAsia="Arial" w:cs="Arial"/>
          <w:sz w:val="28"/>
        </w:rPr>
      </w:pPr>
    </w:p>
    <w:p w:rsidR="0083557B" w:rsidRPr="00F855CA" w:rsidRDefault="00AE04FB" w:rsidP="0083557B">
      <w:pPr>
        <w:widowControl w:val="0"/>
        <w:ind w:left="720"/>
        <w:rPr>
          <w:rFonts w:cs="Arial"/>
          <w:sz w:val="24"/>
        </w:rPr>
      </w:pPr>
      <w:r>
        <w:rPr>
          <w:rFonts w:cs="Arial"/>
          <w:sz w:val="24"/>
        </w:rPr>
        <w:t>“</w:t>
      </w:r>
      <w:r w:rsidR="001D1BBE">
        <w:rPr>
          <w:rFonts w:cs="Arial"/>
          <w:sz w:val="24"/>
        </w:rPr>
        <w:t>8</w:t>
      </w:r>
      <w:r w:rsidR="0083557B" w:rsidRPr="00F855CA">
        <w:rPr>
          <w:rFonts w:cs="Arial"/>
          <w:sz w:val="24"/>
        </w:rPr>
        <w:t>. Definir la metodología y establecer las fórmulas para la fijación de los precios y las tarifas de</w:t>
      </w:r>
      <w:r w:rsidR="005F533E">
        <w:rPr>
          <w:rFonts w:cs="Arial"/>
          <w:sz w:val="24"/>
        </w:rPr>
        <w:t xml:space="preserve">l </w:t>
      </w:r>
      <w:r w:rsidR="0083557B" w:rsidRPr="00F855CA">
        <w:rPr>
          <w:rFonts w:cs="Arial"/>
          <w:sz w:val="24"/>
        </w:rPr>
        <w:t>transporte de combustibles</w:t>
      </w:r>
      <w:r w:rsidR="005F533E">
        <w:rPr>
          <w:rFonts w:cs="Arial"/>
          <w:sz w:val="24"/>
        </w:rPr>
        <w:t>, terrestre y por poliductos</w:t>
      </w:r>
      <w:r w:rsidR="0083557B" w:rsidRPr="00F855CA">
        <w:rPr>
          <w:rFonts w:cs="Arial"/>
          <w:sz w:val="24"/>
        </w:rPr>
        <w:t>.</w:t>
      </w:r>
      <w:r>
        <w:rPr>
          <w:rFonts w:cs="Arial"/>
          <w:sz w:val="24"/>
        </w:rPr>
        <w:t>”</w:t>
      </w:r>
      <w:r w:rsidR="0083557B" w:rsidRPr="00F855CA">
        <w:rPr>
          <w:rFonts w:cs="Arial"/>
          <w:sz w:val="24"/>
        </w:rPr>
        <w:t xml:space="preserve"> </w:t>
      </w:r>
    </w:p>
    <w:p w:rsidR="0083557B" w:rsidRPr="0076075D" w:rsidRDefault="0083557B" w:rsidP="0083557B">
      <w:pPr>
        <w:widowControl w:val="0"/>
        <w:ind w:left="720"/>
        <w:rPr>
          <w:rFonts w:cs="Arial"/>
          <w:sz w:val="28"/>
        </w:rPr>
      </w:pPr>
    </w:p>
    <w:p w:rsidR="006C14FA" w:rsidRPr="00437FEA" w:rsidRDefault="006C14FA" w:rsidP="006C14FA">
      <w:pPr>
        <w:widowControl w:val="0"/>
        <w:rPr>
          <w:rFonts w:eastAsia="Arial" w:cs="Arial"/>
          <w:sz w:val="24"/>
        </w:rPr>
      </w:pPr>
      <w:r>
        <w:rPr>
          <w:rFonts w:eastAsia="Arial" w:cs="Arial"/>
          <w:sz w:val="24"/>
        </w:rPr>
        <w:t>Adicionalmente, a</w:t>
      </w:r>
      <w:r w:rsidRPr="00437FEA">
        <w:rPr>
          <w:rFonts w:eastAsia="Arial" w:cs="Arial"/>
          <w:sz w:val="24"/>
        </w:rPr>
        <w:t xml:space="preserve"> través del Decreto 1073 de 2015, </w:t>
      </w:r>
      <w:r>
        <w:rPr>
          <w:rFonts w:eastAsia="Arial" w:cs="Arial"/>
          <w:sz w:val="24"/>
        </w:rPr>
        <w:t xml:space="preserve">el Gobierno Nacional </w:t>
      </w:r>
      <w:r w:rsidRPr="00437FEA">
        <w:rPr>
          <w:rFonts w:eastAsia="Arial" w:cs="Arial"/>
          <w:sz w:val="24"/>
        </w:rPr>
        <w:t xml:space="preserve">expidió el Decreto Único Reglamentario del Sector Administrativo Minas y Energía retomando en su </w:t>
      </w:r>
      <w:r w:rsidRPr="00E2105E">
        <w:rPr>
          <w:rFonts w:eastAsia="Arial" w:cs="Arial"/>
          <w:sz w:val="24"/>
        </w:rPr>
        <w:t xml:space="preserve">artículo </w:t>
      </w:r>
      <w:r w:rsidRPr="00E2105E">
        <w:rPr>
          <w:sz w:val="24"/>
        </w:rPr>
        <w:t>2.2.1.1.2.2,1.3 como autoridad</w:t>
      </w:r>
      <w:r w:rsidRPr="00437FEA">
        <w:rPr>
          <w:sz w:val="24"/>
        </w:rPr>
        <w:t xml:space="preserve"> de regulación la Comisión de Regulación de Energía y Gas –CREG- según lo dispuesto en el Decreto 4299 de 2005, artículo 3, modificado por el Decreto Ley 4130 de 2010, artículo 3 numera</w:t>
      </w:r>
      <w:r w:rsidR="001D1BBE">
        <w:rPr>
          <w:sz w:val="24"/>
        </w:rPr>
        <w:t>l</w:t>
      </w:r>
      <w:r w:rsidRPr="00437FEA">
        <w:rPr>
          <w:sz w:val="24"/>
        </w:rPr>
        <w:t xml:space="preserve"> 5. </w:t>
      </w:r>
    </w:p>
    <w:p w:rsidR="00AE04FB" w:rsidRPr="0076075D" w:rsidRDefault="00AE04FB" w:rsidP="0083557B">
      <w:pPr>
        <w:rPr>
          <w:rFonts w:eastAsia="Arial" w:cs="Arial"/>
          <w:sz w:val="32"/>
        </w:rPr>
      </w:pPr>
    </w:p>
    <w:p w:rsidR="0083557B" w:rsidRPr="00F855CA" w:rsidRDefault="10878DB7" w:rsidP="0083557B">
      <w:pPr>
        <w:rPr>
          <w:rFonts w:eastAsia="Arial"/>
          <w:sz w:val="24"/>
        </w:rPr>
      </w:pPr>
      <w:r w:rsidRPr="00F855CA">
        <w:rPr>
          <w:rFonts w:eastAsia="Arial" w:cs="Arial"/>
          <w:sz w:val="24"/>
        </w:rPr>
        <w:t>En tal contexto</w:t>
      </w:r>
      <w:r w:rsidR="0083557B" w:rsidRPr="00F855CA">
        <w:rPr>
          <w:rFonts w:eastAsia="Arial"/>
          <w:sz w:val="24"/>
        </w:rPr>
        <w:t xml:space="preserve">, la Comisión de Regulación de Energía y Gas ha desarrollado las presentes bases para poner a consideración de los agentes de la cadena de combustibles líquidos y GLP </w:t>
      </w:r>
      <w:r w:rsidR="00B1053D">
        <w:rPr>
          <w:rFonts w:eastAsia="Arial"/>
          <w:sz w:val="24"/>
        </w:rPr>
        <w:t>así como</w:t>
      </w:r>
      <w:r w:rsidR="0083557B" w:rsidRPr="00F855CA">
        <w:rPr>
          <w:rFonts w:eastAsia="Arial"/>
          <w:sz w:val="24"/>
        </w:rPr>
        <w:t xml:space="preserve"> otros interesados, una propuesta</w:t>
      </w:r>
      <w:r w:rsidR="00B1053D">
        <w:rPr>
          <w:rFonts w:eastAsia="Arial"/>
          <w:sz w:val="24"/>
        </w:rPr>
        <w:t xml:space="preserve"> de los temas a estudiar con el fin de presentar una metodología tarifaria que defina</w:t>
      </w:r>
      <w:r w:rsidR="0083557B" w:rsidRPr="00F855CA">
        <w:rPr>
          <w:rFonts w:eastAsia="Arial"/>
          <w:sz w:val="24"/>
        </w:rPr>
        <w:t xml:space="preserve"> la remuneración del</w:t>
      </w:r>
      <w:r w:rsidR="005F533E">
        <w:rPr>
          <w:rFonts w:eastAsia="Arial"/>
          <w:sz w:val="24"/>
        </w:rPr>
        <w:t xml:space="preserve"> transporte por ductos para combustibles l</w:t>
      </w:r>
      <w:r w:rsidR="0083557B" w:rsidRPr="00F855CA">
        <w:rPr>
          <w:rFonts w:eastAsia="Arial"/>
          <w:sz w:val="24"/>
        </w:rPr>
        <w:t xml:space="preserve">íquidos y GLP. En el caso del GLP, </w:t>
      </w:r>
      <w:r w:rsidR="00B1053D">
        <w:rPr>
          <w:rFonts w:eastAsia="Arial"/>
          <w:sz w:val="24"/>
        </w:rPr>
        <w:t>tiene como elemento destacado y referencia</w:t>
      </w:r>
      <w:r w:rsidR="0083557B" w:rsidRPr="00F855CA">
        <w:rPr>
          <w:rFonts w:eastAsia="Arial"/>
          <w:sz w:val="24"/>
        </w:rPr>
        <w:t xml:space="preserve"> el análisis de la experiencia resultante de la aplicación de la fórmula contenida en la Resolución CREG 122 de 2008. </w:t>
      </w:r>
    </w:p>
    <w:p w:rsidR="0083557B" w:rsidRPr="005936E8" w:rsidRDefault="0083557B" w:rsidP="0083557B">
      <w:pPr>
        <w:rPr>
          <w:rFonts w:cs="Arial"/>
          <w:sz w:val="24"/>
        </w:rPr>
      </w:pPr>
    </w:p>
    <w:p w:rsidR="0083557B" w:rsidRPr="00193645" w:rsidRDefault="00C12D72" w:rsidP="00391FB3">
      <w:pPr>
        <w:pStyle w:val="Ttulo2"/>
        <w:rPr>
          <w:rFonts w:eastAsia="Arial" w:cs="Arial"/>
          <w:sz w:val="24"/>
          <w:szCs w:val="24"/>
        </w:rPr>
      </w:pPr>
      <w:bookmarkStart w:id="42" w:name="_Toc424832914"/>
      <w:bookmarkStart w:id="43" w:name="_Toc424887645"/>
      <w:bookmarkStart w:id="44" w:name="_Toc425488401"/>
      <w:bookmarkStart w:id="45" w:name="_Toc426035042"/>
      <w:bookmarkStart w:id="46" w:name="_Toc427333575"/>
      <w:bookmarkStart w:id="47" w:name="_Toc427336516"/>
      <w:bookmarkStart w:id="48" w:name="_Toc427681806"/>
      <w:bookmarkStart w:id="49" w:name="_Toc433276737"/>
      <w:bookmarkStart w:id="50" w:name="_Toc433295700"/>
      <w:bookmarkStart w:id="51" w:name="_Toc433296425"/>
      <w:bookmarkStart w:id="52" w:name="_Toc437500855"/>
      <w:bookmarkStart w:id="53" w:name="_Toc437501514"/>
      <w:bookmarkStart w:id="54" w:name="_Toc437501694"/>
      <w:bookmarkStart w:id="55" w:name="_Toc437501784"/>
      <w:bookmarkStart w:id="56" w:name="_Toc437502547"/>
      <w:bookmarkStart w:id="57" w:name="_Toc437505905"/>
      <w:bookmarkStart w:id="58" w:name="_Toc437512718"/>
      <w:r>
        <w:rPr>
          <w:rFonts w:eastAsia="Arial" w:cs="Arial"/>
          <w:sz w:val="24"/>
          <w:szCs w:val="24"/>
        </w:rPr>
        <w:t>r</w:t>
      </w:r>
      <w:r w:rsidR="0083557B" w:rsidRPr="00193645">
        <w:rPr>
          <w:rFonts w:eastAsia="Arial" w:cs="Arial"/>
          <w:sz w:val="24"/>
          <w:szCs w:val="24"/>
        </w:rPr>
        <w:t>egulación</w:t>
      </w:r>
      <w:r w:rsidR="0083557B" w:rsidRPr="00193645">
        <w:rPr>
          <w:rFonts w:eastAsia="Arial"/>
          <w:sz w:val="24"/>
          <w:szCs w:val="24"/>
        </w:rPr>
        <w:t xml:space="preserve"> del sector</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5936E8" w:rsidRDefault="0083557B" w:rsidP="00E326FB">
      <w:pPr>
        <w:rPr>
          <w:rFonts w:eastAsia="Arial"/>
          <w:sz w:val="24"/>
        </w:rPr>
      </w:pPr>
      <w:r w:rsidRPr="00193645">
        <w:rPr>
          <w:rFonts w:eastAsia="Arial"/>
          <w:sz w:val="24"/>
        </w:rPr>
        <w:t xml:space="preserve">La </w:t>
      </w:r>
      <w:r w:rsidR="000E4189" w:rsidRPr="000A00F1">
        <w:rPr>
          <w:rFonts w:eastAsia="Arial"/>
          <w:sz w:val="24"/>
        </w:rPr>
        <w:fldChar w:fldCharType="begin"/>
      </w:r>
      <w:r w:rsidR="000E4189" w:rsidRPr="00325A7F">
        <w:rPr>
          <w:rFonts w:eastAsia="Arial"/>
          <w:sz w:val="24"/>
        </w:rPr>
        <w:instrText xml:space="preserve"> REF _Ref433290450 \h </w:instrText>
      </w:r>
      <w:r w:rsidR="000A00F1" w:rsidRPr="00325A7F">
        <w:rPr>
          <w:rFonts w:eastAsia="Arial"/>
          <w:sz w:val="24"/>
        </w:rPr>
        <w:instrText xml:space="preserve"> \* MERGEFORMAT </w:instrText>
      </w:r>
      <w:r w:rsidR="000E4189" w:rsidRPr="000A00F1">
        <w:rPr>
          <w:rFonts w:eastAsia="Arial"/>
          <w:sz w:val="24"/>
        </w:rPr>
      </w:r>
      <w:r w:rsidR="000E4189" w:rsidRPr="000A00F1">
        <w:rPr>
          <w:rFonts w:eastAsia="Arial"/>
          <w:sz w:val="24"/>
        </w:rPr>
        <w:fldChar w:fldCharType="separate"/>
      </w:r>
      <w:r w:rsidR="00625BEB" w:rsidRPr="00625BEB">
        <w:rPr>
          <w:rFonts w:eastAsia="Arial"/>
          <w:sz w:val="24"/>
        </w:rPr>
        <w:t>Tabla</w:t>
      </w:r>
      <w:r w:rsidR="00625BEB" w:rsidRPr="000A00F1">
        <w:rPr>
          <w:rFonts w:eastAsia="Arial"/>
        </w:rPr>
        <w:t xml:space="preserve"> </w:t>
      </w:r>
      <w:r w:rsidR="00625BEB">
        <w:rPr>
          <w:rFonts w:cs="Arial"/>
          <w:noProof/>
        </w:rPr>
        <w:t>1</w:t>
      </w:r>
      <w:r w:rsidR="000E4189" w:rsidRPr="000A00F1">
        <w:rPr>
          <w:rFonts w:eastAsia="Arial"/>
          <w:sz w:val="24"/>
        </w:rPr>
        <w:fldChar w:fldCharType="end"/>
      </w:r>
      <w:r w:rsidR="00463342" w:rsidRPr="000A00F1">
        <w:rPr>
          <w:rFonts w:cs="Arial"/>
          <w:sz w:val="24"/>
        </w:rPr>
        <w:t xml:space="preserve"> </w:t>
      </w:r>
      <w:r w:rsidR="005936E8" w:rsidRPr="00193645">
        <w:rPr>
          <w:rFonts w:eastAsia="Arial"/>
          <w:sz w:val="24"/>
        </w:rPr>
        <w:t>relaciona la</w:t>
      </w:r>
      <w:r w:rsidRPr="00193645">
        <w:rPr>
          <w:rFonts w:eastAsia="Arial"/>
          <w:sz w:val="24"/>
        </w:rPr>
        <w:t xml:space="preserve">s principales </w:t>
      </w:r>
      <w:r w:rsidR="005936E8" w:rsidRPr="00193645">
        <w:rPr>
          <w:rFonts w:eastAsia="Arial"/>
          <w:sz w:val="24"/>
        </w:rPr>
        <w:t xml:space="preserve">normas </w:t>
      </w:r>
      <w:r w:rsidRPr="00193645">
        <w:rPr>
          <w:rFonts w:eastAsia="Arial"/>
          <w:sz w:val="24"/>
        </w:rPr>
        <w:t>que hacen parte del marco regulatorio de la cadena de valor de los combustibles líquidos</w:t>
      </w:r>
      <w:r w:rsidR="007D2B62">
        <w:rPr>
          <w:rFonts w:eastAsia="Arial"/>
          <w:sz w:val="24"/>
        </w:rPr>
        <w:t xml:space="preserve"> y gas licuado del petróleo por ductos</w:t>
      </w:r>
      <w:r w:rsidRPr="00193645">
        <w:rPr>
          <w:rFonts w:eastAsia="Arial"/>
          <w:sz w:val="24"/>
        </w:rPr>
        <w:t>.</w:t>
      </w:r>
    </w:p>
    <w:p w:rsidR="00667803" w:rsidRDefault="00667803" w:rsidP="00E326FB">
      <w:pPr>
        <w:rPr>
          <w:rFonts w:eastAsia="Arial"/>
          <w:sz w:val="24"/>
        </w:rPr>
      </w:pPr>
    </w:p>
    <w:tbl>
      <w:tblPr>
        <w:tblW w:w="9320" w:type="dxa"/>
        <w:tblInd w:w="55" w:type="dxa"/>
        <w:tblCellMar>
          <w:left w:w="70" w:type="dxa"/>
          <w:right w:w="70" w:type="dxa"/>
        </w:tblCellMar>
        <w:tblLook w:val="04A0" w:firstRow="1" w:lastRow="0" w:firstColumn="1" w:lastColumn="0" w:noHBand="0" w:noVBand="1"/>
      </w:tblPr>
      <w:tblGrid>
        <w:gridCol w:w="3393"/>
        <w:gridCol w:w="5927"/>
      </w:tblGrid>
      <w:tr w:rsidR="00EA0CBD" w:rsidRPr="00962653" w:rsidTr="00EA0CBD">
        <w:trPr>
          <w:trHeight w:val="315"/>
          <w:tblHeader/>
        </w:trPr>
        <w:tc>
          <w:tcPr>
            <w:tcW w:w="9320"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EA0CBD" w:rsidRPr="00667803" w:rsidRDefault="00EA0CBD" w:rsidP="00667803">
            <w:pPr>
              <w:pStyle w:val="Epgrafe"/>
              <w:keepNext/>
              <w:spacing w:line="240" w:lineRule="auto"/>
              <w:ind w:left="708" w:hanging="708"/>
              <w:contextualSpacing/>
              <w:rPr>
                <w:rFonts w:eastAsia="Arial"/>
                <w:b/>
                <w:szCs w:val="24"/>
              </w:rPr>
            </w:pPr>
            <w:bookmarkStart w:id="59" w:name="_Ref433290450"/>
            <w:bookmarkStart w:id="60" w:name="_Toc433276702"/>
            <w:bookmarkStart w:id="61" w:name="_Ref433290446"/>
            <w:bookmarkStart w:id="62" w:name="_Toc433295788"/>
            <w:bookmarkStart w:id="63" w:name="_Toc437512807"/>
            <w:bookmarkStart w:id="64" w:name="_Toc433296390"/>
            <w:r w:rsidRPr="000A00F1">
              <w:rPr>
                <w:rFonts w:eastAsia="Arial"/>
                <w:szCs w:val="24"/>
              </w:rPr>
              <w:t xml:space="preserve">Tabla </w:t>
            </w:r>
            <w:r w:rsidRPr="000A00F1">
              <w:rPr>
                <w:szCs w:val="24"/>
              </w:rPr>
              <w:fldChar w:fldCharType="begin"/>
            </w:r>
            <w:r w:rsidRPr="000A00F1">
              <w:rPr>
                <w:rFonts w:cs="Arial"/>
                <w:szCs w:val="24"/>
              </w:rPr>
              <w:instrText xml:space="preserve"> SEQ Tabla \* ARABIC </w:instrText>
            </w:r>
            <w:r w:rsidRPr="000A00F1">
              <w:rPr>
                <w:rFonts w:cs="Arial"/>
                <w:szCs w:val="24"/>
              </w:rPr>
              <w:fldChar w:fldCharType="separate"/>
            </w:r>
            <w:r w:rsidR="00625BEB">
              <w:rPr>
                <w:rFonts w:cs="Arial"/>
                <w:noProof/>
                <w:szCs w:val="24"/>
              </w:rPr>
              <w:t>1</w:t>
            </w:r>
            <w:r w:rsidRPr="000A00F1">
              <w:rPr>
                <w:szCs w:val="24"/>
              </w:rPr>
              <w:fldChar w:fldCharType="end"/>
            </w:r>
            <w:bookmarkEnd w:id="59"/>
            <w:r w:rsidRPr="00193645">
              <w:rPr>
                <w:rFonts w:eastAsia="Arial"/>
                <w:b/>
                <w:szCs w:val="24"/>
              </w:rPr>
              <w:t xml:space="preserve"> </w:t>
            </w:r>
            <w:r w:rsidRPr="00A56932">
              <w:rPr>
                <w:rFonts w:eastAsia="Arial"/>
                <w:szCs w:val="24"/>
              </w:rPr>
              <w:t>Principales normas. Cadena de Distribución de Combustibles Líquidos y gas licuado del petróleo por ductos</w:t>
            </w:r>
            <w:bookmarkEnd w:id="60"/>
            <w:bookmarkEnd w:id="61"/>
            <w:bookmarkEnd w:id="62"/>
            <w:bookmarkEnd w:id="63"/>
            <w:bookmarkEnd w:id="64"/>
          </w:p>
        </w:tc>
      </w:tr>
      <w:tr w:rsidR="00962653" w:rsidRPr="00962653" w:rsidTr="00EA0CBD">
        <w:trPr>
          <w:trHeight w:val="315"/>
          <w:tblHeader/>
        </w:trPr>
        <w:tc>
          <w:tcPr>
            <w:tcW w:w="33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962653" w:rsidRPr="00EA0CBD" w:rsidRDefault="00962653" w:rsidP="00962653">
            <w:pPr>
              <w:jc w:val="center"/>
              <w:rPr>
                <w:bCs/>
                <w:color w:val="000000"/>
                <w:szCs w:val="22"/>
                <w:lang w:val="es-CO" w:eastAsia="es-CO"/>
              </w:rPr>
            </w:pPr>
            <w:r w:rsidRPr="00EA0CBD">
              <w:rPr>
                <w:bCs/>
                <w:color w:val="000000"/>
                <w:szCs w:val="22"/>
                <w:lang w:val="es-ES_tradnl" w:eastAsia="es-CO"/>
              </w:rPr>
              <w:t>NORMA</w:t>
            </w:r>
          </w:p>
        </w:tc>
        <w:tc>
          <w:tcPr>
            <w:tcW w:w="5927" w:type="dxa"/>
            <w:tcBorders>
              <w:top w:val="single" w:sz="8" w:space="0" w:color="auto"/>
              <w:left w:val="nil"/>
              <w:bottom w:val="single" w:sz="8" w:space="0" w:color="auto"/>
              <w:right w:val="single" w:sz="8" w:space="0" w:color="auto"/>
            </w:tcBorders>
            <w:shd w:val="clear" w:color="auto" w:fill="auto"/>
            <w:vAlign w:val="center"/>
            <w:hideMark/>
          </w:tcPr>
          <w:p w:rsidR="00962653" w:rsidRPr="00EA0CBD" w:rsidRDefault="00962653" w:rsidP="00962653">
            <w:pPr>
              <w:jc w:val="center"/>
              <w:rPr>
                <w:bCs/>
                <w:color w:val="000000"/>
                <w:szCs w:val="22"/>
                <w:lang w:val="es-CO" w:eastAsia="es-CO"/>
              </w:rPr>
            </w:pPr>
            <w:r w:rsidRPr="00EA0CBD">
              <w:rPr>
                <w:bCs/>
                <w:color w:val="000000"/>
                <w:szCs w:val="22"/>
                <w:lang w:val="es-ES_tradnl" w:eastAsia="es-CO"/>
              </w:rPr>
              <w:t>DESCRIPCIÓN</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Constitución Política</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Normas constitucionales sobre el régimen económico</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lastRenderedPageBreak/>
              <w:t>Decreto 1056 de 1953</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medio del cual se expide el código de petróleos</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Ley 39 de 1987</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medio de la cual se dictan disposiciones sobre la distribución del petróleo y sus derivados.</w:t>
            </w:r>
          </w:p>
        </w:tc>
      </w:tr>
      <w:tr w:rsidR="00962653" w:rsidRPr="00962653" w:rsidTr="00F02FBB">
        <w:trPr>
          <w:trHeight w:val="21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283 de 1990 (Derogado parcialmente por el Decreto 4299 de 2005, artículo 42.) (Derogado por el Decreto 1521 de 1998, artículo 55.) (Modificado por el Decreto 353 de 1991.)</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medio del cual se reglamenta el almacenamiento, manejo, transporte, distribución de combustibles líquidos derivados del petróleo y el transporte por carrotanques de petróleo crudo</w:t>
            </w:r>
          </w:p>
        </w:tc>
      </w:tr>
      <w:tr w:rsidR="00962653" w:rsidRPr="00962653" w:rsidTr="00F02FBB">
        <w:trPr>
          <w:trHeight w:val="21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353 de 1991  (Derogado por el Decreto 4299 de 2005, artículo 42 y por el Decreto 1521 de 1998, artículo 55.) (Modificado por el Decreto 1677 de 1992)</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el cual se reglamenta la Ley 26 de 1989 y se modifica parcialmente el Decreto 283 de 1990.</w:t>
            </w:r>
          </w:p>
        </w:tc>
      </w:tr>
      <w:tr w:rsidR="00962653" w:rsidRPr="00962653" w:rsidTr="00F02FBB">
        <w:trPr>
          <w:trHeight w:val="3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Ley 142 de 1994</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Ley de servicios públicos domiciliarios.</w:t>
            </w:r>
          </w:p>
        </w:tc>
      </w:tr>
      <w:tr w:rsidR="00962653" w:rsidRPr="00962653" w:rsidTr="00F02FBB">
        <w:trPr>
          <w:trHeight w:val="12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1521 de 1998 (Derogado parcialmente por el Decreto 4299 de 2005, Artículo 42)</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medio del cual se reglamenta el almacenamiento, manejo, transporte y distribución de combustibles líquidos derivados del petróleo, para estaciones de servicio.</w:t>
            </w:r>
          </w:p>
        </w:tc>
      </w:tr>
      <w:tr w:rsidR="00962653" w:rsidRPr="00962653" w:rsidTr="00F02FBB">
        <w:trPr>
          <w:trHeight w:val="12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1503 de 2002 (Modificado por el Decreto 3563 de 2003.)</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medio del cual se reglamenta la marcación de los combustibles líquidos derivados del petróleo en los procesos de almacenamiento, manejo, transporte y distribución.</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2935 de 2002</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medio del cual se reglamenta el artículo 14 de la Ley 681 de 2001.</w:t>
            </w:r>
          </w:p>
        </w:tc>
      </w:tr>
      <w:tr w:rsidR="00962653" w:rsidRPr="00962653" w:rsidTr="00F02FBB">
        <w:trPr>
          <w:trHeight w:val="15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1760 de 2003</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el cual se escinde la Empresa Colombiana de Petróleos, Ecopetrol, se modifica su estructura orgánica y se crean la Agencia Nacional de Hidrocarburos y la sociedad Promotora de Energía de Colombia S. A</w:t>
            </w:r>
          </w:p>
        </w:tc>
      </w:tr>
      <w:tr w:rsidR="00962653" w:rsidRPr="00962653" w:rsidTr="00F02FBB">
        <w:trPr>
          <w:trHeight w:val="18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 xml:space="preserve">Decreto 2988 de 2003 (Derogado parcialmente por el Decreto 550 de 2007.) (Modificado por el Decreto 4483 de 2006 y por el Decreto 4227 de 2004.) </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medio del cual se modifica y adiciona el Decreto número 2935 del 3 de diciembre de 2002</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3563 de 2003</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el cual se modifican los artículos 10 y 11 del Decreto 1503 del 19 de julio de 2002</w:t>
            </w:r>
          </w:p>
        </w:tc>
      </w:tr>
      <w:tr w:rsidR="00962653" w:rsidRPr="00962653" w:rsidTr="00F02FBB">
        <w:trPr>
          <w:trHeight w:val="3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lastRenderedPageBreak/>
              <w:t>Ley 812 de 2003</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Plan Nacional de Desarrollo 2003-2006</w:t>
            </w:r>
          </w:p>
        </w:tc>
      </w:tr>
      <w:tr w:rsidR="00962653" w:rsidRPr="00962653" w:rsidTr="00F02FBB">
        <w:trPr>
          <w:trHeight w:val="9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Resolución 18 0088 de 2003</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la cual se reglamentan las tarifas máximas en pesos por kilómetro – galón para el Sistema de Poliductos y se fijan otras disposiciones</w:t>
            </w:r>
          </w:p>
        </w:tc>
      </w:tr>
      <w:tr w:rsidR="00962653" w:rsidRPr="00962653" w:rsidTr="00F02FBB">
        <w:trPr>
          <w:trHeight w:val="3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 xml:space="preserve">Decreto 3862 de 2005 </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el cual se reglamenta la Ley 693 de 2001.</w:t>
            </w:r>
          </w:p>
        </w:tc>
      </w:tr>
      <w:tr w:rsidR="00962653" w:rsidRPr="00962653" w:rsidTr="00F02FBB">
        <w:trPr>
          <w:trHeight w:val="9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4299 de 2005</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medio del cual se reglamenta el artículo 61 de la Ley 812 de 2003 y se establecen otras disposiciones.</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 xml:space="preserve">Decreto 2165 de 2006 </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el cual modifica parcialmente el Decreto 4299 de 2005.</w:t>
            </w:r>
          </w:p>
        </w:tc>
      </w:tr>
      <w:tr w:rsidR="00962653" w:rsidRPr="00962653" w:rsidTr="00F02FBB">
        <w:trPr>
          <w:trHeight w:val="3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3322 de 2006</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el cual se reglamenta la Ley 26 de 1989</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409 de 2006</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el cual se modifica la estructura de Ecopetrol y se dictan otras disposiciones</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Ley 1118 de 2006</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la cual se modifica la naturaleza jurídica de Ecopetrol S. A. y se dictan otras disposiciones</w:t>
            </w:r>
          </w:p>
        </w:tc>
      </w:tr>
      <w:tr w:rsidR="00962653" w:rsidRPr="00962653" w:rsidTr="00F02FBB">
        <w:trPr>
          <w:trHeight w:val="12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Resolución 18 0230 de 2006</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la cual se modifica parcialmente y se adiciona el artículo 1º de la Resolución 18 0088 de 2003, modificado por la Resolución 18 1701 de 2003</w:t>
            </w:r>
          </w:p>
        </w:tc>
      </w:tr>
      <w:tr w:rsidR="00962653" w:rsidRPr="00962653" w:rsidTr="00F02FBB">
        <w:trPr>
          <w:trHeight w:val="9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1333 de 2007 (Derogado parcialmente por el Decreto 1717 de 2008.)</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el cual se modifica el Decreto 4299 de 2005 y se establecen otras disposiciones.</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 xml:space="preserve">Ley 1151 de 2007 </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la cual se expide el Plan Nacional de Desarrollo 2006-2010.</w:t>
            </w:r>
          </w:p>
        </w:tc>
      </w:tr>
      <w:tr w:rsidR="00962653" w:rsidRPr="00962653" w:rsidTr="00F02FBB">
        <w:trPr>
          <w:trHeight w:val="15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 xml:space="preserve">Resolución 18 2113 de 2007 </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 xml:space="preserve">Por la cual se establecen los procedimientos, términos y condiciones para el Sistema de Información de la Cadena de Distribución de Combustibles Líquidos Derivados del Petróleo – SICOM. </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1717 de 2008</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el cual se modifica el Decreto 4299 de 2005 y se establecen otras disposiciones</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Ley 1205 de 2008</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medio de la cual se mejora la calidad de vida a través de la calidad de la calidad del diésel.</w:t>
            </w:r>
          </w:p>
        </w:tc>
      </w:tr>
      <w:tr w:rsidR="00962653" w:rsidRPr="00962653" w:rsidTr="00F02FBB">
        <w:trPr>
          <w:trHeight w:val="12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Resolución CREG 122 de 2008</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MX" w:eastAsia="es-CO"/>
              </w:rPr>
              <w:t>Por la cual se adoptan los criterios generales para determinar la remuneración de la actividad de Transporte de Gas Licuado del Petróleo  (GLP) por ductos.</w:t>
            </w:r>
          </w:p>
        </w:tc>
      </w:tr>
      <w:tr w:rsidR="00962653" w:rsidRPr="00962653" w:rsidTr="00F02FBB">
        <w:trPr>
          <w:trHeight w:val="24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lastRenderedPageBreak/>
              <w:t>Resolución CREG 092 de 2009</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eastAsia="es-CO"/>
              </w:rPr>
              <w:t>Por la cual se adoptan disposiciones sobre las obligaciones de los transportadores de Gas Licuado del Petróleo -GLP- a través de ductos en el continente y en forma marítima entre el continente y el archipiélago de San Andrés, Providencia y Santa Catalina y se dictan otras disposiciones sobre libre acceso a los sistemas de transporte</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Ley 1430 de 2010</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medio de la cual se dictan normas tributarias de control y para la competitividad.</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4130 de 2011</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la cual se reasignan unas funciones del Ministerio de Minas y Energía a otras entidades</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Ley 1450 de 2011</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la cual se expide el Plan Nacional de Desarrollo, 2010-2014.</w:t>
            </w:r>
          </w:p>
        </w:tc>
      </w:tr>
      <w:tr w:rsidR="00962653" w:rsidRPr="00962653" w:rsidTr="00F02FBB">
        <w:trPr>
          <w:trHeight w:val="15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2713 de 2012</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el cual se reglamenta el artículo 69 de la Ley 1151 de 2007, el artículo 101 de la Ley 1450 de 2011, en relación con el Fondo de Estabilización de Precios de los Combustibles, FEPC y se dictan otras disposiciones.</w:t>
            </w:r>
          </w:p>
        </w:tc>
      </w:tr>
      <w:tr w:rsidR="00962653" w:rsidRPr="00962653" w:rsidTr="00F02FBB">
        <w:trPr>
          <w:trHeight w:val="18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Ley 1506 de 2012</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medio de la cual se dictan disposiciones en materia de servicios públicos domiciliarios de energía eléctrica, gas combustible por redes, acueducto, alcantarillado y aseo para hacer frente a cualquier desastre o calamidad que afecte a la población nacional y su forma de vida</w:t>
            </w:r>
          </w:p>
        </w:tc>
      </w:tr>
      <w:tr w:rsidR="00962653" w:rsidRPr="00962653" w:rsidTr="00F02FBB">
        <w:trPr>
          <w:trHeight w:val="9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 xml:space="preserve">Resolución 12 4061 de 2012 </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la cual se establece la tarifa máxima en pesos por kilómetro-galón para el poliducto Chichimene-Apiay.</w:t>
            </w:r>
          </w:p>
        </w:tc>
      </w:tr>
      <w:tr w:rsidR="00962653" w:rsidRPr="00962653" w:rsidTr="00F02FBB">
        <w:trPr>
          <w:trHeight w:val="9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Resolución 91867 de 2012</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 xml:space="preserve">Por la cual se definen las tarifas de transporte terrestre para biocombustibles. </w:t>
            </w:r>
          </w:p>
        </w:tc>
      </w:tr>
      <w:tr w:rsidR="00962653" w:rsidRPr="00962653" w:rsidTr="00F02FBB">
        <w:trPr>
          <w:trHeight w:val="615"/>
        </w:trPr>
        <w:tc>
          <w:tcPr>
            <w:tcW w:w="3393" w:type="dxa"/>
            <w:tcBorders>
              <w:top w:val="nil"/>
              <w:left w:val="single" w:sz="8" w:space="0" w:color="auto"/>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1260 de 2013</w:t>
            </w:r>
          </w:p>
        </w:tc>
        <w:tc>
          <w:tcPr>
            <w:tcW w:w="5927" w:type="dxa"/>
            <w:tcBorders>
              <w:top w:val="nil"/>
              <w:left w:val="nil"/>
              <w:bottom w:val="single" w:sz="8"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el cual se modifica la estructura de la Comisión de Regulación de Energía y Gas CREG</w:t>
            </w:r>
          </w:p>
        </w:tc>
      </w:tr>
      <w:tr w:rsidR="00962653" w:rsidRPr="00962653" w:rsidTr="00F02FBB">
        <w:trPr>
          <w:trHeight w:val="915"/>
        </w:trPr>
        <w:tc>
          <w:tcPr>
            <w:tcW w:w="3393" w:type="dxa"/>
            <w:tcBorders>
              <w:top w:val="nil"/>
              <w:left w:val="single" w:sz="8" w:space="0" w:color="auto"/>
              <w:bottom w:val="single" w:sz="4"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1617 de 2013 (Modificado por el Decreto 2881 de 2013.)</w:t>
            </w:r>
          </w:p>
        </w:tc>
        <w:tc>
          <w:tcPr>
            <w:tcW w:w="5927" w:type="dxa"/>
            <w:tcBorders>
              <w:top w:val="nil"/>
              <w:left w:val="nil"/>
              <w:bottom w:val="single" w:sz="4" w:space="0" w:color="auto"/>
              <w:right w:val="single" w:sz="8"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el cual se modifica y adiciona el Decreto 381 del 16 de febrero de 2012.</w:t>
            </w:r>
          </w:p>
        </w:tc>
      </w:tr>
      <w:tr w:rsidR="00962653" w:rsidRPr="00A56932" w:rsidTr="00F02FBB">
        <w:trPr>
          <w:trHeight w:val="1800"/>
        </w:trPr>
        <w:tc>
          <w:tcPr>
            <w:tcW w:w="3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Decreto 568 de 2013 (Modificado por el Decreto 3037 de 2013.) (En concordancia con la Ley 1739 de 2014, artículos 69 y 70.)</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Por el cual se reglamenta parcialmente la Ley 1607 de 2012.</w:t>
            </w:r>
          </w:p>
        </w:tc>
      </w:tr>
      <w:tr w:rsidR="00962653" w:rsidRPr="00962653" w:rsidTr="00F02FBB">
        <w:trPr>
          <w:trHeight w:val="315"/>
        </w:trPr>
        <w:tc>
          <w:tcPr>
            <w:tcW w:w="3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A56932">
              <w:rPr>
                <w:color w:val="000000"/>
                <w:szCs w:val="22"/>
                <w:lang w:val="es-CO" w:eastAsia="es-CO"/>
              </w:rPr>
              <w:lastRenderedPageBreak/>
              <w:t>Ley</w:t>
            </w:r>
            <w:r w:rsidRPr="00962653">
              <w:rPr>
                <w:color w:val="000000"/>
                <w:szCs w:val="22"/>
                <w:lang w:val="pt-BR" w:eastAsia="es-CO"/>
              </w:rPr>
              <w:t xml:space="preserve"> 1753 de 2015. </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62653" w:rsidRPr="00962653" w:rsidRDefault="00962653" w:rsidP="00962653">
            <w:pPr>
              <w:jc w:val="left"/>
              <w:rPr>
                <w:color w:val="000000"/>
                <w:szCs w:val="22"/>
                <w:lang w:val="es-CO" w:eastAsia="es-CO"/>
              </w:rPr>
            </w:pPr>
            <w:r w:rsidRPr="00962653">
              <w:rPr>
                <w:color w:val="000000"/>
                <w:szCs w:val="22"/>
                <w:lang w:val="es-ES_tradnl" w:eastAsia="es-CO"/>
              </w:rPr>
              <w:t>Plan Nacional de Desarrollo 2014-2018</w:t>
            </w:r>
          </w:p>
        </w:tc>
      </w:tr>
      <w:tr w:rsidR="009251BB" w:rsidRPr="00962653" w:rsidTr="00F02FBB">
        <w:trPr>
          <w:trHeight w:val="315"/>
        </w:trPr>
        <w:tc>
          <w:tcPr>
            <w:tcW w:w="3393" w:type="dxa"/>
            <w:tcBorders>
              <w:top w:val="single" w:sz="4" w:space="0" w:color="auto"/>
              <w:left w:val="single" w:sz="4" w:space="0" w:color="auto"/>
              <w:bottom w:val="single" w:sz="4" w:space="0" w:color="auto"/>
              <w:right w:val="single" w:sz="4" w:space="0" w:color="auto"/>
            </w:tcBorders>
            <w:shd w:val="clear" w:color="auto" w:fill="auto"/>
            <w:vAlign w:val="center"/>
          </w:tcPr>
          <w:p w:rsidR="009251BB" w:rsidRPr="00962653" w:rsidRDefault="00107CC5" w:rsidP="00107CC5">
            <w:pPr>
              <w:jc w:val="left"/>
              <w:rPr>
                <w:color w:val="000000"/>
                <w:szCs w:val="22"/>
                <w:lang w:val="pt-BR" w:eastAsia="es-CO"/>
              </w:rPr>
            </w:pPr>
            <w:r w:rsidRPr="00437FEA">
              <w:rPr>
                <w:rFonts w:eastAsia="Arial" w:cs="Arial"/>
                <w:sz w:val="24"/>
              </w:rPr>
              <w:t>Decreto 1073 de 2015</w:t>
            </w:r>
          </w:p>
        </w:tc>
        <w:tc>
          <w:tcPr>
            <w:tcW w:w="5927" w:type="dxa"/>
            <w:tcBorders>
              <w:top w:val="single" w:sz="4" w:space="0" w:color="auto"/>
              <w:left w:val="single" w:sz="4" w:space="0" w:color="auto"/>
              <w:bottom w:val="single" w:sz="4" w:space="0" w:color="auto"/>
              <w:right w:val="single" w:sz="4" w:space="0" w:color="auto"/>
            </w:tcBorders>
            <w:shd w:val="clear" w:color="auto" w:fill="auto"/>
            <w:vAlign w:val="center"/>
          </w:tcPr>
          <w:p w:rsidR="009251BB" w:rsidRPr="00962653" w:rsidRDefault="00107CC5" w:rsidP="00107CC5">
            <w:pPr>
              <w:jc w:val="left"/>
              <w:rPr>
                <w:color w:val="000000"/>
                <w:szCs w:val="22"/>
                <w:lang w:val="es-ES_tradnl" w:eastAsia="es-CO"/>
              </w:rPr>
            </w:pPr>
            <w:r w:rsidRPr="00437FEA">
              <w:rPr>
                <w:rFonts w:eastAsia="Arial" w:cs="Arial"/>
                <w:sz w:val="24"/>
              </w:rPr>
              <w:t>Decreto Único Reglamentario del Sector Administrativo Minas y Energía</w:t>
            </w:r>
            <w:r>
              <w:rPr>
                <w:rFonts w:eastAsia="Arial" w:cs="Arial"/>
                <w:sz w:val="24"/>
              </w:rPr>
              <w:t>.</w:t>
            </w:r>
          </w:p>
        </w:tc>
      </w:tr>
    </w:tbl>
    <w:p w:rsidR="00E326FB" w:rsidRPr="00032000" w:rsidRDefault="00032000" w:rsidP="00E326FB">
      <w:pPr>
        <w:rPr>
          <w:rFonts w:eastAsia="Arial"/>
          <w:sz w:val="16"/>
        </w:rPr>
      </w:pPr>
      <w:r w:rsidRPr="00032000">
        <w:rPr>
          <w:rFonts w:eastAsia="Arial"/>
          <w:sz w:val="16"/>
        </w:rPr>
        <w:t>Fuente CREG</w:t>
      </w:r>
    </w:p>
    <w:p w:rsidR="0083557B" w:rsidRPr="003D09E0" w:rsidRDefault="0083557B" w:rsidP="00456D24">
      <w:pPr>
        <w:jc w:val="left"/>
        <w:rPr>
          <w:rFonts w:cs="Arial"/>
          <w:sz w:val="24"/>
        </w:rPr>
      </w:pPr>
    </w:p>
    <w:p w:rsidR="0083557B" w:rsidRPr="003D09E0" w:rsidRDefault="003D09E0" w:rsidP="003D09E0">
      <w:pPr>
        <w:rPr>
          <w:rFonts w:eastAsia="Arial"/>
          <w:sz w:val="24"/>
        </w:rPr>
      </w:pPr>
      <w:r>
        <w:rPr>
          <w:rFonts w:eastAsia="Arial"/>
          <w:sz w:val="24"/>
        </w:rPr>
        <w:t xml:space="preserve">De las normas referenciadas resulta pertinente señalar que el </w:t>
      </w:r>
      <w:r w:rsidR="0083557B" w:rsidRPr="003D09E0">
        <w:rPr>
          <w:rFonts w:eastAsia="Arial"/>
          <w:sz w:val="24"/>
        </w:rPr>
        <w:t>Decreto 4299 del 25 de noviembre de 2005, modificado por los Decretos 1333 de 2007, 1717 de 2008</w:t>
      </w:r>
      <w:r>
        <w:rPr>
          <w:rFonts w:eastAsia="Arial"/>
          <w:sz w:val="24"/>
        </w:rPr>
        <w:t xml:space="preserve"> y 4915 de 2011, reglamentó el a</w:t>
      </w:r>
      <w:r w:rsidR="0083557B" w:rsidRPr="003D09E0">
        <w:rPr>
          <w:rFonts w:eastAsia="Arial"/>
          <w:sz w:val="24"/>
        </w:rPr>
        <w:t>rtículo 61 de la Ley 812 de 2003. Este decreto establece los requisitos, las obligaciones, las relaciones entre los agentes y el régimen sancionatorio aplicables a los agentes de la cadena de distribución de combustibles líquidos derivados del petróleo</w:t>
      </w:r>
      <w:r>
        <w:rPr>
          <w:rFonts w:eastAsia="Arial"/>
          <w:sz w:val="24"/>
        </w:rPr>
        <w:t>.</w:t>
      </w:r>
    </w:p>
    <w:p w:rsidR="0083557B" w:rsidRPr="003D09E0" w:rsidRDefault="0083557B" w:rsidP="0083557B">
      <w:pPr>
        <w:rPr>
          <w:rFonts w:cs="Arial"/>
          <w:sz w:val="24"/>
        </w:rPr>
      </w:pPr>
    </w:p>
    <w:p w:rsidR="0083557B" w:rsidRPr="003D09E0" w:rsidRDefault="003D09E0" w:rsidP="0083557B">
      <w:pPr>
        <w:rPr>
          <w:rFonts w:eastAsia="Arial"/>
          <w:sz w:val="24"/>
        </w:rPr>
      </w:pPr>
      <w:r>
        <w:rPr>
          <w:rFonts w:eastAsia="Arial"/>
          <w:sz w:val="24"/>
        </w:rPr>
        <w:t>El p</w:t>
      </w:r>
      <w:r w:rsidR="00456D24">
        <w:rPr>
          <w:rFonts w:eastAsia="Arial"/>
          <w:sz w:val="24"/>
        </w:rPr>
        <w:t>arágrafo 1 del a</w:t>
      </w:r>
      <w:r w:rsidR="0083557B" w:rsidRPr="003D09E0">
        <w:rPr>
          <w:rFonts w:eastAsia="Arial"/>
          <w:sz w:val="24"/>
        </w:rPr>
        <w:t xml:space="preserve">rtículo 1° del Decreto 4299 establece que “la refinación, almacenamiento, manejo, transporte y distribución de los combustibles líquidos derivados del petróleo son considerados </w:t>
      </w:r>
      <w:r w:rsidR="0083557B" w:rsidRPr="003D09E0">
        <w:rPr>
          <w:rFonts w:eastAsia="Arial"/>
          <w:b/>
          <w:sz w:val="24"/>
        </w:rPr>
        <w:t>servicios públicos</w:t>
      </w:r>
      <w:r w:rsidR="0083557B" w:rsidRPr="003D09E0">
        <w:rPr>
          <w:rFonts w:eastAsia="Arial"/>
          <w:sz w:val="24"/>
        </w:rPr>
        <w:t xml:space="preserve"> que se prestarán conforme a la ley, el presente decreto y demás disposiciones que reglamenten la materia”</w:t>
      </w:r>
      <w:r w:rsidR="00996520">
        <w:rPr>
          <w:rFonts w:eastAsia="Arial"/>
          <w:sz w:val="24"/>
        </w:rPr>
        <w:t>.</w:t>
      </w:r>
    </w:p>
    <w:p w:rsidR="0083557B" w:rsidRPr="003D09E0" w:rsidRDefault="0083557B" w:rsidP="0083557B">
      <w:pPr>
        <w:rPr>
          <w:rFonts w:cs="Arial"/>
          <w:sz w:val="24"/>
        </w:rPr>
      </w:pPr>
    </w:p>
    <w:p w:rsidR="003D09E0" w:rsidRDefault="0083557B" w:rsidP="0083557B">
      <w:pPr>
        <w:rPr>
          <w:rFonts w:eastAsia="Arial"/>
          <w:sz w:val="24"/>
          <w:lang w:val="es-CO"/>
        </w:rPr>
      </w:pPr>
      <w:r w:rsidRPr="003D09E0">
        <w:rPr>
          <w:rFonts w:eastAsia="Arial"/>
          <w:sz w:val="24"/>
        </w:rPr>
        <w:t>Con respecto a la actividad de transporte por poliductos el Decreto 4299 establece que: “</w:t>
      </w:r>
      <w:r w:rsidRPr="003D09E0">
        <w:rPr>
          <w:rFonts w:eastAsia="Arial"/>
          <w:sz w:val="24"/>
          <w:lang w:val="es-CO"/>
        </w:rPr>
        <w:t xml:space="preserve">La actividad de transporte de combustibles líquidos derivados del petróleo por poliducto, se regirá por el reglamento de transporte que para el efecto expida el Ministerio de Minas y Energía”. </w:t>
      </w:r>
    </w:p>
    <w:p w:rsidR="003D09E0" w:rsidRDefault="003D09E0" w:rsidP="0083557B">
      <w:pPr>
        <w:rPr>
          <w:rFonts w:eastAsia="Arial"/>
          <w:sz w:val="24"/>
          <w:lang w:val="es-CO"/>
        </w:rPr>
      </w:pPr>
    </w:p>
    <w:p w:rsidR="00456D24" w:rsidRPr="00437FEA" w:rsidRDefault="00456D24" w:rsidP="00456D24">
      <w:pPr>
        <w:widowControl w:val="0"/>
        <w:rPr>
          <w:rFonts w:eastAsia="Arial" w:cs="Arial"/>
          <w:sz w:val="24"/>
        </w:rPr>
      </w:pPr>
      <w:r>
        <w:rPr>
          <w:rFonts w:eastAsia="Arial"/>
          <w:sz w:val="24"/>
          <w:lang w:val="es-CO"/>
        </w:rPr>
        <w:t xml:space="preserve">Posteriormente </w:t>
      </w:r>
      <w:r>
        <w:rPr>
          <w:rFonts w:eastAsia="Arial" w:cs="Arial"/>
          <w:sz w:val="24"/>
        </w:rPr>
        <w:t>a</w:t>
      </w:r>
      <w:r w:rsidRPr="00437FEA">
        <w:rPr>
          <w:rFonts w:eastAsia="Arial" w:cs="Arial"/>
          <w:sz w:val="24"/>
        </w:rPr>
        <w:t xml:space="preserve"> través del Decreto 1073 de 2015, </w:t>
      </w:r>
      <w:r>
        <w:rPr>
          <w:rFonts w:eastAsia="Arial" w:cs="Arial"/>
          <w:sz w:val="24"/>
        </w:rPr>
        <w:t xml:space="preserve">el Gobierno Nacional </w:t>
      </w:r>
      <w:r w:rsidRPr="00437FEA">
        <w:rPr>
          <w:rFonts w:eastAsia="Arial" w:cs="Arial"/>
          <w:sz w:val="24"/>
        </w:rPr>
        <w:t xml:space="preserve">expidió el Decreto Único Reglamentario del Sector Administrativo Minas y Energía retomando en su artículo </w:t>
      </w:r>
      <w:r w:rsidRPr="00437FEA">
        <w:rPr>
          <w:sz w:val="24"/>
        </w:rPr>
        <w:t>2.2.1.1.2.2,1.3 como autoridad de regulación la Comisión de Regulación de Energía y Gas –CREG- según lo dispuesto en el Decreto 4299 de 2005, artículo 3, modificado por el Decreto Ley 4130 de 2010, artículo 3 numera</w:t>
      </w:r>
      <w:r w:rsidR="000674CD">
        <w:rPr>
          <w:sz w:val="24"/>
        </w:rPr>
        <w:t>l</w:t>
      </w:r>
      <w:r w:rsidRPr="00437FEA">
        <w:rPr>
          <w:sz w:val="24"/>
        </w:rPr>
        <w:t xml:space="preserve"> 5. </w:t>
      </w:r>
    </w:p>
    <w:p w:rsidR="00456D24" w:rsidRDefault="00456D24" w:rsidP="0083557B">
      <w:pPr>
        <w:rPr>
          <w:rFonts w:eastAsia="Arial"/>
          <w:sz w:val="24"/>
          <w:lang w:val="es-CO"/>
        </w:rPr>
      </w:pPr>
    </w:p>
    <w:p w:rsidR="00456D24" w:rsidRPr="003E19F6" w:rsidRDefault="00F10674" w:rsidP="003E19F6">
      <w:pPr>
        <w:widowControl w:val="0"/>
        <w:rPr>
          <w:sz w:val="24"/>
        </w:rPr>
      </w:pPr>
      <w:r>
        <w:rPr>
          <w:sz w:val="24"/>
        </w:rPr>
        <w:t>Y p</w:t>
      </w:r>
      <w:r w:rsidR="003E19F6" w:rsidRPr="003E19F6">
        <w:rPr>
          <w:sz w:val="24"/>
        </w:rPr>
        <w:t xml:space="preserve">ara </w:t>
      </w:r>
      <w:r w:rsidR="00456D24" w:rsidRPr="003E19F6">
        <w:rPr>
          <w:sz w:val="24"/>
        </w:rPr>
        <w:t xml:space="preserve">el servicio de gas licuado del petróleo por ductos </w:t>
      </w:r>
      <w:r w:rsidR="001F1994" w:rsidRPr="003E19F6">
        <w:rPr>
          <w:sz w:val="24"/>
        </w:rPr>
        <w:t>la Ley 142 de 1994, estableció e</w:t>
      </w:r>
      <w:r w:rsidR="003E19F6" w:rsidRPr="003E19F6">
        <w:rPr>
          <w:sz w:val="24"/>
        </w:rPr>
        <w:t xml:space="preserve">n el numeral 1 del artículo 74 la función </w:t>
      </w:r>
      <w:r>
        <w:rPr>
          <w:sz w:val="24"/>
        </w:rPr>
        <w:t xml:space="preserve">a la CREG </w:t>
      </w:r>
      <w:r w:rsidR="003E19F6" w:rsidRPr="003E19F6">
        <w:rPr>
          <w:sz w:val="24"/>
        </w:rPr>
        <w:t xml:space="preserve">de regular el ejercicio de las actividades de los sectores de energía y gas combustible. </w:t>
      </w:r>
    </w:p>
    <w:p w:rsidR="003E19F6" w:rsidRPr="003E19F6" w:rsidRDefault="003E19F6" w:rsidP="003E19F6">
      <w:pPr>
        <w:widowControl w:val="0"/>
        <w:rPr>
          <w:sz w:val="24"/>
        </w:rPr>
      </w:pPr>
    </w:p>
    <w:p w:rsidR="00D57AB4" w:rsidRPr="00996520" w:rsidRDefault="00C12D72" w:rsidP="00996520">
      <w:pPr>
        <w:pStyle w:val="Ttulo2"/>
        <w:rPr>
          <w:rFonts w:eastAsia="Arial"/>
          <w:sz w:val="24"/>
        </w:rPr>
      </w:pPr>
      <w:bookmarkStart w:id="65" w:name="_Toc433276738"/>
      <w:bookmarkStart w:id="66" w:name="_Toc433295701"/>
      <w:bookmarkStart w:id="67" w:name="_Toc433296426"/>
      <w:bookmarkStart w:id="68" w:name="_Toc437500856"/>
      <w:bookmarkStart w:id="69" w:name="_Toc437501515"/>
      <w:bookmarkStart w:id="70" w:name="_Toc437501695"/>
      <w:bookmarkStart w:id="71" w:name="_Toc437501785"/>
      <w:bookmarkStart w:id="72" w:name="_Toc437502548"/>
      <w:bookmarkStart w:id="73" w:name="_Toc437505906"/>
      <w:bookmarkStart w:id="74" w:name="_Toc437512719"/>
      <w:r w:rsidRPr="00996520">
        <w:rPr>
          <w:rFonts w:eastAsia="Arial"/>
          <w:sz w:val="24"/>
        </w:rPr>
        <w:t>c</w:t>
      </w:r>
      <w:r w:rsidR="00A812B1" w:rsidRPr="00996520">
        <w:rPr>
          <w:rFonts w:eastAsia="Arial"/>
          <w:sz w:val="24"/>
        </w:rPr>
        <w:t xml:space="preserve">ompetencia de la </w:t>
      </w:r>
      <w:r w:rsidRPr="00996520">
        <w:rPr>
          <w:rFonts w:eastAsia="Arial"/>
          <w:sz w:val="24"/>
        </w:rPr>
        <w:t>creg</w:t>
      </w:r>
      <w:bookmarkEnd w:id="65"/>
      <w:bookmarkEnd w:id="66"/>
      <w:bookmarkEnd w:id="67"/>
      <w:bookmarkEnd w:id="68"/>
      <w:bookmarkEnd w:id="69"/>
      <w:bookmarkEnd w:id="70"/>
      <w:bookmarkEnd w:id="71"/>
      <w:bookmarkEnd w:id="72"/>
      <w:bookmarkEnd w:id="73"/>
      <w:bookmarkEnd w:id="74"/>
    </w:p>
    <w:p w:rsidR="006C14FA" w:rsidRPr="00E326FB" w:rsidRDefault="006C14FA" w:rsidP="19C7BDF9">
      <w:pPr>
        <w:rPr>
          <w:rFonts w:eastAsia="Bookman Old Style" w:cs="Bookman Old Style"/>
          <w:b/>
          <w:bCs/>
          <w:sz w:val="24"/>
          <w:lang w:val="es-CO"/>
        </w:rPr>
      </w:pPr>
    </w:p>
    <w:p w:rsidR="0043294A" w:rsidRDefault="0043294A" w:rsidP="0043294A">
      <w:pPr>
        <w:rPr>
          <w:sz w:val="24"/>
          <w:lang w:val="es-CO" w:eastAsia="es-CO"/>
        </w:rPr>
      </w:pPr>
      <w:r>
        <w:rPr>
          <w:sz w:val="24"/>
          <w:lang w:val="es-CO" w:eastAsia="es-CO"/>
        </w:rPr>
        <w:t>El a</w:t>
      </w:r>
      <w:r w:rsidRPr="0043294A">
        <w:rPr>
          <w:sz w:val="24"/>
          <w:lang w:val="es-CO" w:eastAsia="es-CO"/>
        </w:rPr>
        <w:t xml:space="preserve">rtículo 365 de la Constitución Política establece que los </w:t>
      </w:r>
      <w:r w:rsidRPr="005D6B97">
        <w:rPr>
          <w:sz w:val="24"/>
          <w:lang w:val="es-CO" w:eastAsia="es-CO"/>
        </w:rPr>
        <w:t xml:space="preserve">servicios públicos </w:t>
      </w:r>
      <w:r w:rsidRPr="0043294A">
        <w:rPr>
          <w:sz w:val="24"/>
          <w:lang w:val="es-CO" w:eastAsia="es-CO"/>
        </w:rPr>
        <w:t xml:space="preserve">son inherentes a la finalidad social del Estado y que es deber de éste asegurar su prestación eficiente a todos los habitantes del territorio nacional. </w:t>
      </w:r>
    </w:p>
    <w:p w:rsidR="0076075D" w:rsidRDefault="0076075D" w:rsidP="0043294A">
      <w:pPr>
        <w:rPr>
          <w:sz w:val="24"/>
        </w:rPr>
      </w:pPr>
    </w:p>
    <w:p w:rsidR="0043294A" w:rsidRPr="0043294A" w:rsidRDefault="0043294A" w:rsidP="0043294A">
      <w:pPr>
        <w:rPr>
          <w:sz w:val="24"/>
        </w:rPr>
      </w:pPr>
      <w:r w:rsidRPr="0043294A">
        <w:rPr>
          <w:sz w:val="24"/>
        </w:rPr>
        <w:t xml:space="preserve">El numeral 73.11 del </w:t>
      </w:r>
      <w:r w:rsidR="005D6B97">
        <w:rPr>
          <w:sz w:val="24"/>
        </w:rPr>
        <w:t>a</w:t>
      </w:r>
      <w:r w:rsidRPr="0043294A">
        <w:rPr>
          <w:sz w:val="24"/>
        </w:rPr>
        <w:t xml:space="preserve">rtículo 73 de la Ley 142 de 1994, atribuyó a la Comisión de Regulación de Energía y Gas la facultad de establecer las fórmulas para la fijación de las tarifas del servicio público domiciliario de gas combustible. </w:t>
      </w:r>
    </w:p>
    <w:p w:rsidR="0043294A" w:rsidRPr="0043294A" w:rsidRDefault="0043294A" w:rsidP="0043294A">
      <w:pPr>
        <w:rPr>
          <w:sz w:val="24"/>
        </w:rPr>
      </w:pPr>
    </w:p>
    <w:p w:rsidR="0043294A" w:rsidRPr="0043294A" w:rsidRDefault="0043294A" w:rsidP="0043294A">
      <w:pPr>
        <w:rPr>
          <w:sz w:val="24"/>
          <w:lang w:val="es-ES_tradnl"/>
        </w:rPr>
      </w:pPr>
      <w:r w:rsidRPr="0043294A">
        <w:rPr>
          <w:sz w:val="24"/>
          <w:lang w:val="es-ES_tradnl"/>
        </w:rPr>
        <w:lastRenderedPageBreak/>
        <w:t>E</w:t>
      </w:r>
      <w:r w:rsidR="001D00B9">
        <w:rPr>
          <w:sz w:val="24"/>
        </w:rPr>
        <w:t>l a</w:t>
      </w:r>
      <w:r w:rsidRPr="0043294A">
        <w:rPr>
          <w:sz w:val="24"/>
        </w:rPr>
        <w:t>rtículo 87 de la Ley 142 de 1994, estableció que el régimen tarifario estará orientado por los criterios de eficiencia económica, neutralidad, solidaridad, redistribución, suficiencia financiera, simplicidad y transparencia.</w:t>
      </w:r>
    </w:p>
    <w:p w:rsidR="0043294A" w:rsidRDefault="0043294A" w:rsidP="006212FE">
      <w:pPr>
        <w:pStyle w:val="pa12"/>
        <w:spacing w:before="0" w:beforeAutospacing="0" w:after="0" w:afterAutospacing="0"/>
        <w:jc w:val="both"/>
        <w:rPr>
          <w:rFonts w:ascii="Bookman Old Style" w:eastAsia="Bookman Old Style" w:hAnsi="Bookman Old Style" w:cs="Bookman Old Style"/>
        </w:rPr>
      </w:pPr>
    </w:p>
    <w:p w:rsidR="006212FE" w:rsidRPr="0043294A" w:rsidRDefault="005D6B97" w:rsidP="006212FE">
      <w:pPr>
        <w:pStyle w:val="pa12"/>
        <w:spacing w:before="0" w:beforeAutospacing="0" w:after="0" w:afterAutospacing="0"/>
        <w:jc w:val="both"/>
        <w:rPr>
          <w:rFonts w:ascii="Bookman Old Style" w:hAnsi="Bookman Old Style" w:cs="Arial"/>
          <w:lang w:val="es-ES_tradnl" w:eastAsia="es-ES"/>
        </w:rPr>
      </w:pPr>
      <w:r>
        <w:rPr>
          <w:rFonts w:ascii="Bookman Old Style" w:hAnsi="Bookman Old Style" w:cs="Arial"/>
          <w:lang w:val="es-ES_tradnl" w:eastAsia="es-ES"/>
        </w:rPr>
        <w:t>E</w:t>
      </w:r>
      <w:r w:rsidR="006212FE" w:rsidRPr="0043294A">
        <w:rPr>
          <w:rFonts w:ascii="Bookman Old Style" w:hAnsi="Bookman Old Style" w:cs="Arial"/>
          <w:lang w:val="es-ES_tradnl" w:eastAsia="es-ES"/>
        </w:rPr>
        <w:t>n el Decreto 4130 de 2011, el Presidente de la República de Colombia, en ejercicio de las facultades extraordinarias y las que le confiere el l</w:t>
      </w:r>
      <w:r w:rsidR="00032000">
        <w:rPr>
          <w:rFonts w:ascii="Bookman Old Style" w:hAnsi="Bookman Old Style" w:cs="Arial"/>
          <w:lang w:val="es-ES_tradnl" w:eastAsia="es-ES"/>
        </w:rPr>
        <w:t xml:space="preserve">iteral d. del artículo 18 de la </w:t>
      </w:r>
      <w:hyperlink r:id="rId10" w:tooltip="Haga clic para abrir TODA la Ley 1444 de 2011" w:history="1">
        <w:r w:rsidR="006212FE" w:rsidRPr="0043294A">
          <w:rPr>
            <w:rFonts w:ascii="Bookman Old Style" w:hAnsi="Bookman Old Style" w:cs="Arial"/>
            <w:lang w:val="es-ES_tradnl" w:eastAsia="es-ES"/>
          </w:rPr>
          <w:t>Ley 1444 de 2011</w:t>
        </w:r>
      </w:hyperlink>
      <w:r w:rsidR="006212FE" w:rsidRPr="0043294A">
        <w:rPr>
          <w:rFonts w:ascii="Bookman Old Style" w:hAnsi="Bookman Old Style" w:cs="Arial"/>
          <w:lang w:val="es-ES_tradnl" w:eastAsia="es-ES"/>
        </w:rPr>
        <w:t>, reasignó unas funciones del Ministerio de Minas y Energía en varias entidades, entre las cuales se encuentra la Comisión</w:t>
      </w:r>
      <w:r>
        <w:rPr>
          <w:rFonts w:ascii="Bookman Old Style" w:hAnsi="Bookman Old Style" w:cs="Arial"/>
          <w:lang w:val="es-ES_tradnl" w:eastAsia="es-ES"/>
        </w:rPr>
        <w:t xml:space="preserve"> de Regulación de Energía y Gas –CREG-</w:t>
      </w:r>
      <w:r w:rsidR="006212FE" w:rsidRPr="0043294A">
        <w:rPr>
          <w:rFonts w:ascii="Bookman Old Style" w:hAnsi="Bookman Old Style" w:cs="Arial"/>
          <w:lang w:val="es-ES_tradnl" w:eastAsia="es-ES"/>
        </w:rPr>
        <w:t>.</w:t>
      </w:r>
    </w:p>
    <w:p w:rsidR="006212FE" w:rsidRPr="0043294A" w:rsidRDefault="006212FE" w:rsidP="006212FE">
      <w:pPr>
        <w:pStyle w:val="pa12"/>
        <w:spacing w:before="0" w:beforeAutospacing="0" w:after="0" w:afterAutospacing="0"/>
        <w:jc w:val="both"/>
        <w:rPr>
          <w:rFonts w:ascii="Bookman Old Style" w:hAnsi="Bookman Old Style" w:cs="Arial"/>
          <w:lang w:val="es-ES_tradnl" w:eastAsia="es-ES"/>
        </w:rPr>
      </w:pPr>
    </w:p>
    <w:p w:rsidR="006212FE" w:rsidRPr="0043294A" w:rsidRDefault="006212FE" w:rsidP="006212FE">
      <w:pPr>
        <w:pStyle w:val="pa12"/>
        <w:spacing w:before="0" w:beforeAutospacing="0" w:after="0" w:afterAutospacing="0"/>
        <w:jc w:val="both"/>
        <w:rPr>
          <w:rFonts w:ascii="Bookman Old Style" w:hAnsi="Bookman Old Style" w:cs="Arial"/>
          <w:lang w:val="es-ES_tradnl" w:eastAsia="es-ES"/>
        </w:rPr>
      </w:pPr>
      <w:r w:rsidRPr="0043294A">
        <w:rPr>
          <w:rFonts w:ascii="Bookman Old Style" w:hAnsi="Bookman Old Style" w:cs="Arial"/>
          <w:lang w:val="es-ES_tradnl" w:eastAsia="es-ES"/>
        </w:rPr>
        <w:t>Las funciones que fueron reasignadas por este decreto con fuerza de ley, son en su orden las siguientes:</w:t>
      </w:r>
    </w:p>
    <w:p w:rsidR="006212FE" w:rsidRPr="0043294A" w:rsidRDefault="006212FE" w:rsidP="006212FE">
      <w:pPr>
        <w:pStyle w:val="pa12"/>
        <w:spacing w:before="0" w:beforeAutospacing="0" w:after="0" w:afterAutospacing="0"/>
        <w:jc w:val="both"/>
        <w:rPr>
          <w:rFonts w:ascii="Bookman Old Style" w:hAnsi="Bookman Old Style" w:cs="Arial"/>
          <w:lang w:val="es-ES_tradnl" w:eastAsia="es-ES"/>
        </w:rPr>
      </w:pPr>
    </w:p>
    <w:p w:rsidR="006212FE" w:rsidRPr="0043294A" w:rsidRDefault="006212FE" w:rsidP="00297616">
      <w:pPr>
        <w:pStyle w:val="pa12"/>
        <w:numPr>
          <w:ilvl w:val="0"/>
          <w:numId w:val="20"/>
        </w:numPr>
        <w:spacing w:before="0" w:beforeAutospacing="0" w:after="0" w:afterAutospacing="0"/>
        <w:jc w:val="both"/>
        <w:rPr>
          <w:rFonts w:ascii="Bookman Old Style" w:hAnsi="Bookman Old Style" w:cs="Arial"/>
          <w:lang w:val="es-ES_tradnl" w:eastAsia="es-ES"/>
        </w:rPr>
      </w:pPr>
      <w:r w:rsidRPr="0043294A">
        <w:rPr>
          <w:rFonts w:ascii="Bookman Old Style" w:hAnsi="Bookman Old Style" w:cs="Arial"/>
          <w:lang w:val="es-ES_tradnl" w:eastAsia="es-ES"/>
        </w:rPr>
        <w:t>Parcialmente la función de fijar los precios de los productos derivados del petróleo a lo largo de toda la cadena de producción y distribución, salvo para gasolina motor corriente, ACPM y biocombustibles;</w:t>
      </w:r>
    </w:p>
    <w:p w:rsidR="006212FE" w:rsidRPr="0043294A" w:rsidRDefault="006212FE" w:rsidP="00297616">
      <w:pPr>
        <w:pStyle w:val="pa12"/>
        <w:numPr>
          <w:ilvl w:val="0"/>
          <w:numId w:val="20"/>
        </w:numPr>
        <w:spacing w:before="0" w:beforeAutospacing="0" w:after="0" w:afterAutospacing="0"/>
        <w:jc w:val="both"/>
        <w:rPr>
          <w:rFonts w:ascii="Bookman Old Style" w:hAnsi="Bookman Old Style" w:cs="Arial"/>
          <w:lang w:val="es-ES_tradnl" w:eastAsia="es-ES"/>
        </w:rPr>
      </w:pPr>
      <w:r w:rsidRPr="0043294A">
        <w:rPr>
          <w:rFonts w:ascii="Bookman Old Style" w:hAnsi="Bookman Old Style" w:cs="Arial"/>
          <w:lang w:val="es-ES_tradnl" w:eastAsia="es-ES"/>
        </w:rPr>
        <w:t>Parcialmente la función de determinar los parámetros y la metodología para calcular el precio de los combustibles, teniendo en cuenta el margen de comercialización, el porcentaje de evaporación, pérdida o cualquier otro concepto que afecte el volumen de los mismos;</w:t>
      </w:r>
    </w:p>
    <w:p w:rsidR="006212FE" w:rsidRPr="0043294A" w:rsidRDefault="006212FE" w:rsidP="00297616">
      <w:pPr>
        <w:pStyle w:val="pa12"/>
        <w:numPr>
          <w:ilvl w:val="0"/>
          <w:numId w:val="20"/>
        </w:numPr>
        <w:spacing w:before="0" w:beforeAutospacing="0" w:after="0" w:afterAutospacing="0"/>
        <w:jc w:val="both"/>
        <w:rPr>
          <w:rFonts w:ascii="Bookman Old Style" w:hAnsi="Bookman Old Style" w:cs="Arial"/>
          <w:lang w:val="es-ES_tradnl" w:eastAsia="es-ES"/>
        </w:rPr>
      </w:pPr>
      <w:r w:rsidRPr="0043294A">
        <w:rPr>
          <w:rFonts w:ascii="Bookman Old Style" w:hAnsi="Bookman Old Style" w:cs="Arial"/>
          <w:lang w:val="es-ES_tradnl" w:eastAsia="es-ES"/>
        </w:rPr>
        <w:t>La función de realizar los estudios que se requieran para la determinación y fijación de los precios del gas natural destinado para uso como combustible automotor y demás usos inherentes a la comercialización del mismo;</w:t>
      </w:r>
    </w:p>
    <w:p w:rsidR="006212FE" w:rsidRPr="002864AD" w:rsidRDefault="006212FE" w:rsidP="00297616">
      <w:pPr>
        <w:pStyle w:val="pa12"/>
        <w:numPr>
          <w:ilvl w:val="0"/>
          <w:numId w:val="20"/>
        </w:numPr>
        <w:spacing w:before="0" w:beforeAutospacing="0" w:after="0" w:afterAutospacing="0"/>
        <w:jc w:val="both"/>
        <w:rPr>
          <w:rFonts w:ascii="Bookman Old Style" w:hAnsi="Bookman Old Style" w:cs="Arial"/>
          <w:lang w:val="es-ES_tradnl" w:eastAsia="es-ES"/>
        </w:rPr>
      </w:pPr>
      <w:r w:rsidRPr="0043294A">
        <w:rPr>
          <w:rFonts w:ascii="Bookman Old Style" w:hAnsi="Bookman Old Style" w:cs="Arial"/>
          <w:lang w:val="es-ES_tradnl" w:eastAsia="es-ES"/>
        </w:rPr>
        <w:t xml:space="preserve">La función de reglamentar las tarifas en </w:t>
      </w:r>
      <w:r w:rsidRPr="002864AD">
        <w:rPr>
          <w:rFonts w:ascii="Bookman Old Style" w:hAnsi="Bookman Old Style" w:cs="Arial"/>
          <w:lang w:val="es-ES_tradnl" w:eastAsia="es-ES"/>
        </w:rPr>
        <w:t xml:space="preserve">pesos por kilómetro/galón por concepto de transporte a </w:t>
      </w:r>
      <w:r w:rsidR="00032000" w:rsidRPr="002864AD">
        <w:rPr>
          <w:rFonts w:ascii="Bookman Old Style" w:hAnsi="Bookman Old Style" w:cs="Arial"/>
          <w:lang w:val="es-ES_tradnl" w:eastAsia="es-ES"/>
        </w:rPr>
        <w:t xml:space="preserve">través del sistema de </w:t>
      </w:r>
      <w:r w:rsidRPr="002864AD">
        <w:rPr>
          <w:rFonts w:ascii="Bookman Old Style" w:hAnsi="Bookman Old Style" w:cs="Arial"/>
          <w:lang w:val="es-ES_tradnl" w:eastAsia="es-ES"/>
        </w:rPr>
        <w:t>poliductos;</w:t>
      </w:r>
    </w:p>
    <w:p w:rsidR="006212FE" w:rsidRPr="005D6B97" w:rsidRDefault="006212FE" w:rsidP="00297616">
      <w:pPr>
        <w:pStyle w:val="pa12"/>
        <w:numPr>
          <w:ilvl w:val="0"/>
          <w:numId w:val="20"/>
        </w:numPr>
        <w:spacing w:before="0" w:beforeAutospacing="0" w:after="0" w:afterAutospacing="0"/>
        <w:jc w:val="both"/>
        <w:rPr>
          <w:rFonts w:ascii="Bookman Old Style" w:hAnsi="Bookman Old Style" w:cs="Arial"/>
          <w:u w:val="single"/>
          <w:lang w:val="es-ES_tradnl" w:eastAsia="es-ES"/>
        </w:rPr>
      </w:pPr>
      <w:r w:rsidRPr="005D6B97">
        <w:rPr>
          <w:rFonts w:ascii="Bookman Old Style" w:hAnsi="Bookman Old Style" w:cs="Arial"/>
          <w:u w:val="single"/>
          <w:lang w:val="es-ES_tradnl" w:eastAsia="es-ES"/>
        </w:rPr>
        <w:t xml:space="preserve">La función de regular las actividades de </w:t>
      </w:r>
      <w:r w:rsidRPr="005D6B97">
        <w:rPr>
          <w:rFonts w:ascii="Bookman Old Style" w:hAnsi="Bookman Old Style" w:cs="Arial"/>
          <w:lang w:val="es-ES_tradnl" w:eastAsia="es-ES"/>
        </w:rPr>
        <w:t xml:space="preserve">refinación, importación, almacenamiento, distribución y </w:t>
      </w:r>
      <w:r w:rsidRPr="005D6B97">
        <w:rPr>
          <w:rFonts w:ascii="Bookman Old Style" w:hAnsi="Bookman Old Style" w:cs="Arial"/>
          <w:u w:val="single"/>
          <w:lang w:val="es-ES_tradnl" w:eastAsia="es-ES"/>
        </w:rPr>
        <w:t>transporte de los combustibles líquidos derivados del petróleo.</w:t>
      </w:r>
    </w:p>
    <w:p w:rsidR="006212FE" w:rsidRPr="0043294A" w:rsidRDefault="006212FE" w:rsidP="006212FE">
      <w:pPr>
        <w:pStyle w:val="pa11"/>
        <w:spacing w:before="0" w:beforeAutospacing="0" w:after="0" w:afterAutospacing="0"/>
        <w:jc w:val="both"/>
        <w:rPr>
          <w:rFonts w:ascii="Bookman Old Style" w:hAnsi="Bookman Old Style" w:cs="Arial"/>
          <w:lang w:val="es-ES_tradnl" w:eastAsia="es-ES"/>
        </w:rPr>
      </w:pPr>
    </w:p>
    <w:p w:rsidR="006212FE" w:rsidRPr="0043294A" w:rsidRDefault="006212FE" w:rsidP="006212FE">
      <w:pPr>
        <w:pStyle w:val="pa12"/>
        <w:spacing w:before="0" w:beforeAutospacing="0" w:after="0" w:afterAutospacing="0"/>
        <w:jc w:val="both"/>
        <w:rPr>
          <w:rFonts w:ascii="Bookman Old Style" w:hAnsi="Bookman Old Style" w:cs="Arial"/>
          <w:lang w:val="es-ES_tradnl" w:eastAsia="es-ES"/>
        </w:rPr>
      </w:pPr>
      <w:r w:rsidRPr="0043294A">
        <w:rPr>
          <w:rFonts w:ascii="Bookman Old Style" w:hAnsi="Bookman Old Style" w:cs="Arial"/>
          <w:lang w:val="es-ES_tradnl" w:eastAsia="es-ES"/>
        </w:rPr>
        <w:t>Ahora bien, respecto al alcance de las funciones que le corresponden a la CREG en el sector de combustibles líquidos, se expidió el Decreto 1260 de 2013 estableciendo las siguientes:</w:t>
      </w:r>
    </w:p>
    <w:p w:rsidR="006212FE" w:rsidRPr="0043294A" w:rsidRDefault="006212FE" w:rsidP="006212FE">
      <w:pPr>
        <w:pStyle w:val="pa12"/>
        <w:spacing w:before="0" w:beforeAutospacing="0" w:after="0" w:afterAutospacing="0"/>
        <w:jc w:val="both"/>
        <w:rPr>
          <w:rFonts w:ascii="Bookman Old Style" w:hAnsi="Bookman Old Style" w:cs="Arial"/>
          <w:lang w:val="es-ES_tradnl" w:eastAsia="es-ES"/>
        </w:rPr>
      </w:pPr>
    </w:p>
    <w:p w:rsidR="006212FE" w:rsidRPr="0043294A" w:rsidRDefault="006212FE" w:rsidP="00297616">
      <w:pPr>
        <w:pStyle w:val="pa12"/>
        <w:numPr>
          <w:ilvl w:val="0"/>
          <w:numId w:val="21"/>
        </w:numPr>
        <w:spacing w:before="0" w:beforeAutospacing="0" w:after="0" w:afterAutospacing="0"/>
        <w:ind w:left="709" w:hanging="425"/>
        <w:jc w:val="both"/>
        <w:rPr>
          <w:rFonts w:ascii="Bookman Old Style" w:hAnsi="Bookman Old Style" w:cs="Arial"/>
          <w:lang w:val="es-ES_tradnl" w:eastAsia="es-ES"/>
        </w:rPr>
      </w:pPr>
      <w:r w:rsidRPr="005D6B97">
        <w:rPr>
          <w:rFonts w:ascii="Bookman Old Style" w:hAnsi="Bookman Old Style" w:cs="Arial"/>
          <w:u w:val="single"/>
          <w:lang w:val="es-ES_tradnl" w:eastAsia="es-ES"/>
        </w:rPr>
        <w:t>Expedir la regulación económica referente a las actividades de</w:t>
      </w:r>
      <w:r w:rsidRPr="0043294A">
        <w:rPr>
          <w:rFonts w:ascii="Bookman Old Style" w:hAnsi="Bookman Old Style" w:cs="Arial"/>
          <w:lang w:val="es-ES_tradnl" w:eastAsia="es-ES"/>
        </w:rPr>
        <w:t xml:space="preserve"> refinación, importación, almacenamiento, distribución, y </w:t>
      </w:r>
      <w:r w:rsidRPr="005D6B97">
        <w:rPr>
          <w:rFonts w:ascii="Bookman Old Style" w:hAnsi="Bookman Old Style" w:cs="Arial"/>
          <w:u w:val="single"/>
          <w:lang w:val="es-ES_tradnl" w:eastAsia="es-ES"/>
        </w:rPr>
        <w:t>transporte de combustibles líquidos derivados de hidrocarburos</w:t>
      </w:r>
      <w:r w:rsidRPr="0043294A">
        <w:rPr>
          <w:rFonts w:ascii="Bookman Old Style" w:hAnsi="Bookman Old Style" w:cs="Arial"/>
          <w:lang w:val="es-ES_tradnl" w:eastAsia="es-ES"/>
        </w:rPr>
        <w:t>, tales como gasolina motor corriente, ACPM, Jet A1, diésel marino, avigas, gasolina extra, kerosene, entre otros, salvo fijar los precios para gasolina motor corriente y ACPM;</w:t>
      </w:r>
    </w:p>
    <w:p w:rsidR="006212FE" w:rsidRPr="0043294A" w:rsidRDefault="006212FE" w:rsidP="00297616">
      <w:pPr>
        <w:pStyle w:val="pa12"/>
        <w:numPr>
          <w:ilvl w:val="0"/>
          <w:numId w:val="21"/>
        </w:numPr>
        <w:spacing w:before="0" w:beforeAutospacing="0" w:after="0" w:afterAutospacing="0"/>
        <w:ind w:left="709" w:hanging="425"/>
        <w:jc w:val="both"/>
        <w:rPr>
          <w:rFonts w:ascii="Bookman Old Style" w:hAnsi="Bookman Old Style" w:cs="Arial"/>
          <w:lang w:val="es-ES_tradnl" w:eastAsia="es-ES"/>
        </w:rPr>
      </w:pPr>
      <w:r w:rsidRPr="0043294A">
        <w:rPr>
          <w:rFonts w:ascii="Bookman Old Style" w:hAnsi="Bookman Old Style" w:cs="Arial"/>
          <w:lang w:val="es-ES_tradnl" w:eastAsia="es-ES"/>
        </w:rPr>
        <w:t>Definir los criterios y condiciones a los que deben sujetarse los diferentes agentes de la cadena de combustibles en sus relaciones contractuales y sus niveles de integración empresarial;</w:t>
      </w:r>
    </w:p>
    <w:p w:rsidR="006212FE" w:rsidRDefault="006212FE" w:rsidP="00297616">
      <w:pPr>
        <w:pStyle w:val="pa12"/>
        <w:numPr>
          <w:ilvl w:val="0"/>
          <w:numId w:val="21"/>
        </w:numPr>
        <w:spacing w:before="0" w:beforeAutospacing="0" w:after="0" w:afterAutospacing="0"/>
        <w:ind w:left="709" w:hanging="425"/>
        <w:jc w:val="both"/>
        <w:rPr>
          <w:rFonts w:ascii="Bookman Old Style" w:hAnsi="Bookman Old Style" w:cs="Arial"/>
          <w:lang w:val="es-ES_tradnl" w:eastAsia="es-ES"/>
        </w:rPr>
      </w:pPr>
      <w:r w:rsidRPr="0043294A">
        <w:rPr>
          <w:rFonts w:ascii="Bookman Old Style" w:hAnsi="Bookman Old Style" w:cs="Arial"/>
          <w:lang w:val="es-ES_tradnl" w:eastAsia="es-ES"/>
        </w:rPr>
        <w:t>Determinar la metodología para remunerar los activos que garanticen el abastecimiento estratégico de combustibles;</w:t>
      </w:r>
    </w:p>
    <w:p w:rsidR="0076075D" w:rsidRPr="0043294A" w:rsidRDefault="0076075D" w:rsidP="0076075D">
      <w:pPr>
        <w:pStyle w:val="pa12"/>
        <w:spacing w:before="0" w:beforeAutospacing="0" w:after="0" w:afterAutospacing="0"/>
        <w:ind w:left="709"/>
        <w:jc w:val="both"/>
        <w:rPr>
          <w:rFonts w:ascii="Bookman Old Style" w:hAnsi="Bookman Old Style" w:cs="Arial"/>
          <w:lang w:val="es-ES_tradnl" w:eastAsia="es-ES"/>
        </w:rPr>
      </w:pPr>
    </w:p>
    <w:p w:rsidR="006212FE" w:rsidRPr="0043294A" w:rsidRDefault="006212FE" w:rsidP="00297616">
      <w:pPr>
        <w:pStyle w:val="pa12"/>
        <w:numPr>
          <w:ilvl w:val="0"/>
          <w:numId w:val="21"/>
        </w:numPr>
        <w:spacing w:before="0" w:beforeAutospacing="0" w:after="0" w:afterAutospacing="0"/>
        <w:ind w:left="709" w:hanging="425"/>
        <w:jc w:val="both"/>
        <w:rPr>
          <w:rFonts w:ascii="Bookman Old Style" w:hAnsi="Bookman Old Style" w:cs="Arial"/>
          <w:lang w:val="es-ES_tradnl" w:eastAsia="es-ES"/>
        </w:rPr>
      </w:pPr>
      <w:r w:rsidRPr="0043294A">
        <w:rPr>
          <w:rFonts w:ascii="Bookman Old Style" w:hAnsi="Bookman Old Style" w:cs="Arial"/>
          <w:lang w:val="es-ES_tradnl" w:eastAsia="es-ES"/>
        </w:rPr>
        <w:t>Determinar los parámetros y la metodología de referencia, utilizada por el Ministerio de Minas y Energía, para fijar el precio de ingreso al productor y de venta al público de la gasolina motor corriente, el ACPM y los biocombustibles;</w:t>
      </w:r>
    </w:p>
    <w:p w:rsidR="006212FE" w:rsidRDefault="006212FE" w:rsidP="00297616">
      <w:pPr>
        <w:pStyle w:val="pa12"/>
        <w:numPr>
          <w:ilvl w:val="0"/>
          <w:numId w:val="21"/>
        </w:numPr>
        <w:spacing w:before="0" w:beforeAutospacing="0" w:after="0" w:afterAutospacing="0"/>
        <w:ind w:left="709" w:hanging="425"/>
        <w:jc w:val="both"/>
        <w:rPr>
          <w:rFonts w:ascii="Bookman Old Style" w:hAnsi="Bookman Old Style" w:cs="Arial"/>
          <w:lang w:val="es-ES_tradnl" w:eastAsia="es-ES"/>
        </w:rPr>
      </w:pPr>
      <w:r w:rsidRPr="0043294A">
        <w:rPr>
          <w:rFonts w:ascii="Bookman Old Style" w:hAnsi="Bookman Old Style" w:cs="Arial"/>
          <w:lang w:val="es-ES_tradnl" w:eastAsia="es-ES"/>
        </w:rPr>
        <w:lastRenderedPageBreak/>
        <w:t>Definir la metodología y establecer las fórmulas para la fijación de los precios y las tarifas de las actividades de refinación, importación, almacenamiento, distribución y transporte de los combustibles líquidos derivados de hidrocarburos, diferentes al precio de ingreso al productor y de venta al público de la gasolina motor corriente, el ACPM y los biocombustibles;</w:t>
      </w:r>
    </w:p>
    <w:p w:rsidR="00667803" w:rsidRPr="0043294A" w:rsidRDefault="00667803" w:rsidP="00667803">
      <w:pPr>
        <w:pStyle w:val="pa12"/>
        <w:spacing w:before="0" w:beforeAutospacing="0" w:after="0" w:afterAutospacing="0"/>
        <w:ind w:left="709"/>
        <w:jc w:val="both"/>
        <w:rPr>
          <w:rFonts w:ascii="Bookman Old Style" w:hAnsi="Bookman Old Style" w:cs="Arial"/>
          <w:lang w:val="es-ES_tradnl" w:eastAsia="es-ES"/>
        </w:rPr>
      </w:pPr>
    </w:p>
    <w:p w:rsidR="006212FE" w:rsidRDefault="006212FE" w:rsidP="00297616">
      <w:pPr>
        <w:pStyle w:val="pa12"/>
        <w:numPr>
          <w:ilvl w:val="0"/>
          <w:numId w:val="21"/>
        </w:numPr>
        <w:spacing w:before="0" w:beforeAutospacing="0" w:after="0" w:afterAutospacing="0"/>
        <w:ind w:left="709" w:hanging="425"/>
        <w:jc w:val="both"/>
        <w:rPr>
          <w:rFonts w:ascii="Bookman Old Style" w:hAnsi="Bookman Old Style" w:cs="Arial"/>
          <w:lang w:val="es-ES_tradnl" w:eastAsia="es-ES"/>
        </w:rPr>
      </w:pPr>
      <w:r w:rsidRPr="0043294A">
        <w:rPr>
          <w:rFonts w:ascii="Bookman Old Style" w:hAnsi="Bookman Old Style" w:cs="Arial"/>
          <w:lang w:val="es-ES_tradnl" w:eastAsia="es-ES"/>
        </w:rPr>
        <w:t>Fijar los precios de los productos derivados del petróleo a lo largo de toda la cadena de producción y distribución, salvo para la gasolina motor corriente, el ACPM y los biocombustibles;</w:t>
      </w:r>
    </w:p>
    <w:p w:rsidR="00667803" w:rsidRPr="0043294A" w:rsidRDefault="00667803" w:rsidP="00667803">
      <w:pPr>
        <w:pStyle w:val="pa12"/>
        <w:spacing w:before="0" w:beforeAutospacing="0" w:after="0" w:afterAutospacing="0"/>
        <w:ind w:left="709"/>
        <w:jc w:val="both"/>
        <w:rPr>
          <w:rFonts w:ascii="Bookman Old Style" w:hAnsi="Bookman Old Style" w:cs="Arial"/>
          <w:lang w:val="es-ES_tradnl" w:eastAsia="es-ES"/>
        </w:rPr>
      </w:pPr>
    </w:p>
    <w:p w:rsidR="006212FE" w:rsidRDefault="006212FE" w:rsidP="00297616">
      <w:pPr>
        <w:pStyle w:val="pa12"/>
        <w:numPr>
          <w:ilvl w:val="0"/>
          <w:numId w:val="21"/>
        </w:numPr>
        <w:spacing w:before="0" w:beforeAutospacing="0" w:after="0" w:afterAutospacing="0"/>
        <w:ind w:left="709" w:hanging="425"/>
        <w:jc w:val="both"/>
        <w:rPr>
          <w:rFonts w:ascii="Bookman Old Style" w:hAnsi="Bookman Old Style" w:cs="Arial"/>
          <w:lang w:val="es-ES_tradnl" w:eastAsia="es-ES"/>
        </w:rPr>
      </w:pPr>
      <w:r w:rsidRPr="0043294A">
        <w:rPr>
          <w:rFonts w:ascii="Bookman Old Style" w:hAnsi="Bookman Old Style" w:cs="Arial"/>
          <w:lang w:val="es-ES_tradnl" w:eastAsia="es-ES"/>
        </w:rPr>
        <w:t>Definir la metodología y establecer las fórmulas para la fijación de los precios y las tarifas de gas para uso vehicular;</w:t>
      </w:r>
    </w:p>
    <w:p w:rsidR="00667803" w:rsidRPr="0043294A" w:rsidRDefault="00667803" w:rsidP="00667803">
      <w:pPr>
        <w:pStyle w:val="pa12"/>
        <w:spacing w:before="0" w:beforeAutospacing="0" w:after="0" w:afterAutospacing="0"/>
        <w:ind w:left="709"/>
        <w:jc w:val="both"/>
        <w:rPr>
          <w:rFonts w:ascii="Bookman Old Style" w:hAnsi="Bookman Old Style" w:cs="Arial"/>
          <w:lang w:val="es-ES_tradnl" w:eastAsia="es-ES"/>
        </w:rPr>
      </w:pPr>
    </w:p>
    <w:p w:rsidR="006212FE" w:rsidRDefault="006212FE" w:rsidP="00297616">
      <w:pPr>
        <w:pStyle w:val="pa12"/>
        <w:numPr>
          <w:ilvl w:val="0"/>
          <w:numId w:val="21"/>
        </w:numPr>
        <w:spacing w:before="0" w:beforeAutospacing="0" w:after="0" w:afterAutospacing="0"/>
        <w:ind w:left="709" w:hanging="425"/>
        <w:jc w:val="both"/>
        <w:rPr>
          <w:rFonts w:ascii="Bookman Old Style" w:hAnsi="Bookman Old Style" w:cs="Arial"/>
          <w:lang w:val="es-ES_tradnl" w:eastAsia="es-ES"/>
        </w:rPr>
      </w:pPr>
      <w:r w:rsidRPr="005D6B97">
        <w:rPr>
          <w:rFonts w:ascii="Bookman Old Style" w:hAnsi="Bookman Old Style" w:cs="Arial"/>
          <w:u w:val="single"/>
          <w:lang w:val="es-ES_tradnl" w:eastAsia="es-ES"/>
        </w:rPr>
        <w:t>Definir la metodología y establecer las fórmulas para la fijación de los precios y las tarifas del transporte de combustibles, terrestre y por poliductos</w:t>
      </w:r>
      <w:r w:rsidRPr="0043294A">
        <w:rPr>
          <w:rFonts w:ascii="Bookman Old Style" w:hAnsi="Bookman Old Style" w:cs="Arial"/>
          <w:lang w:val="es-ES_tradnl" w:eastAsia="es-ES"/>
        </w:rPr>
        <w:t>;</w:t>
      </w:r>
    </w:p>
    <w:p w:rsidR="00667803" w:rsidRPr="0043294A" w:rsidRDefault="00667803" w:rsidP="00667803">
      <w:pPr>
        <w:pStyle w:val="pa12"/>
        <w:spacing w:before="0" w:beforeAutospacing="0" w:after="0" w:afterAutospacing="0"/>
        <w:ind w:left="709"/>
        <w:jc w:val="both"/>
        <w:rPr>
          <w:rFonts w:ascii="Bookman Old Style" w:hAnsi="Bookman Old Style" w:cs="Arial"/>
          <w:lang w:val="es-ES_tradnl" w:eastAsia="es-ES"/>
        </w:rPr>
      </w:pPr>
    </w:p>
    <w:p w:rsidR="006212FE" w:rsidRPr="0043294A" w:rsidRDefault="006212FE" w:rsidP="00297616">
      <w:pPr>
        <w:pStyle w:val="pa12"/>
        <w:numPr>
          <w:ilvl w:val="0"/>
          <w:numId w:val="21"/>
        </w:numPr>
        <w:spacing w:before="0" w:beforeAutospacing="0" w:after="0" w:afterAutospacing="0"/>
        <w:ind w:left="709" w:hanging="425"/>
        <w:jc w:val="both"/>
        <w:rPr>
          <w:rFonts w:ascii="Bookman Old Style" w:hAnsi="Bookman Old Style" w:cs="Arial"/>
          <w:lang w:val="es-ES_tradnl" w:eastAsia="es-ES"/>
        </w:rPr>
      </w:pPr>
      <w:r w:rsidRPr="0043294A">
        <w:rPr>
          <w:rFonts w:ascii="Bookman Old Style" w:hAnsi="Bookman Old Style" w:cs="Arial"/>
          <w:lang w:val="es-ES_tradnl" w:eastAsia="es-ES"/>
        </w:rPr>
        <w:t>Establecer las normas sobre medida de los combustibles en las diferentes actividades de la cadena.</w:t>
      </w:r>
    </w:p>
    <w:p w:rsidR="006212FE" w:rsidRPr="0043294A" w:rsidRDefault="006212FE" w:rsidP="006212FE">
      <w:pPr>
        <w:pStyle w:val="pa12"/>
        <w:spacing w:before="0" w:beforeAutospacing="0" w:after="0" w:afterAutospacing="0"/>
        <w:jc w:val="both"/>
        <w:rPr>
          <w:rFonts w:ascii="Bookman Old Style" w:hAnsi="Bookman Old Style" w:cs="Arial"/>
          <w:lang w:val="es-ES_tradnl" w:eastAsia="es-ES"/>
        </w:rPr>
      </w:pPr>
    </w:p>
    <w:p w:rsidR="006212FE" w:rsidRDefault="006212FE" w:rsidP="005D6B97">
      <w:pPr>
        <w:pStyle w:val="pa12"/>
        <w:spacing w:before="0" w:beforeAutospacing="0" w:after="0" w:afterAutospacing="0"/>
        <w:jc w:val="both"/>
        <w:rPr>
          <w:rFonts w:ascii="Bookman Old Style" w:hAnsi="Bookman Old Style" w:cs="Arial"/>
          <w:lang w:val="es-ES_tradnl" w:eastAsia="es-ES"/>
        </w:rPr>
      </w:pPr>
      <w:r w:rsidRPr="0043294A">
        <w:rPr>
          <w:rFonts w:ascii="Bookman Old Style" w:hAnsi="Bookman Old Style" w:cs="Arial"/>
          <w:lang w:val="es-ES_tradnl" w:eastAsia="es-ES"/>
        </w:rPr>
        <w:t>Conforme al marco legal</w:t>
      </w:r>
      <w:r w:rsidR="00C127E5">
        <w:rPr>
          <w:rFonts w:ascii="Bookman Old Style" w:hAnsi="Bookman Old Style" w:cs="Arial"/>
          <w:lang w:val="es-ES_tradnl" w:eastAsia="es-ES"/>
        </w:rPr>
        <w:t xml:space="preserve"> descrito,</w:t>
      </w:r>
      <w:r w:rsidRPr="0043294A">
        <w:rPr>
          <w:rFonts w:ascii="Bookman Old Style" w:hAnsi="Bookman Old Style" w:cs="Arial"/>
          <w:lang w:val="es-ES_tradnl" w:eastAsia="es-ES"/>
        </w:rPr>
        <w:t xml:space="preserve"> </w:t>
      </w:r>
      <w:r w:rsidR="00087F49">
        <w:rPr>
          <w:rFonts w:ascii="Bookman Old Style" w:hAnsi="Bookman Old Style" w:cs="Arial"/>
          <w:lang w:val="es-ES_tradnl" w:eastAsia="es-ES"/>
        </w:rPr>
        <w:t xml:space="preserve">la CREG tiene las funciones de regular el transporte de combustibles líquidos y gas licuado del petróleo, por tal razón </w:t>
      </w:r>
      <w:r w:rsidR="00C127E5">
        <w:rPr>
          <w:rFonts w:ascii="Bookman Old Style" w:hAnsi="Bookman Old Style" w:cs="Arial"/>
          <w:lang w:val="es-ES_tradnl" w:eastAsia="es-ES"/>
        </w:rPr>
        <w:t xml:space="preserve">iniciará el análisis de </w:t>
      </w:r>
      <w:r w:rsidR="00890CBB">
        <w:rPr>
          <w:rFonts w:ascii="Bookman Old Style" w:hAnsi="Bookman Old Style" w:cs="Arial"/>
          <w:lang w:val="es-ES_tradnl" w:eastAsia="es-ES"/>
        </w:rPr>
        <w:t>integración</w:t>
      </w:r>
      <w:r w:rsidR="00087F49">
        <w:rPr>
          <w:rFonts w:ascii="Bookman Old Style" w:hAnsi="Bookman Old Style" w:cs="Arial"/>
          <w:lang w:val="es-ES_tradnl" w:eastAsia="es-ES"/>
        </w:rPr>
        <w:t xml:space="preserve"> </w:t>
      </w:r>
      <w:r w:rsidR="00890CBB">
        <w:rPr>
          <w:rFonts w:ascii="Bookman Old Style" w:hAnsi="Bookman Old Style" w:cs="Arial"/>
          <w:lang w:val="es-ES_tradnl" w:eastAsia="es-ES"/>
        </w:rPr>
        <w:t xml:space="preserve">de </w:t>
      </w:r>
      <w:r w:rsidR="00087F49">
        <w:rPr>
          <w:rFonts w:ascii="Bookman Old Style" w:hAnsi="Bookman Old Style" w:cs="Arial"/>
          <w:lang w:val="es-ES_tradnl" w:eastAsia="es-ES"/>
        </w:rPr>
        <w:t xml:space="preserve">la regulación </w:t>
      </w:r>
      <w:r w:rsidR="00890CBB">
        <w:rPr>
          <w:rFonts w:ascii="Bookman Old Style" w:hAnsi="Bookman Old Style" w:cs="Arial"/>
          <w:lang w:val="es-ES_tradnl" w:eastAsia="es-ES"/>
        </w:rPr>
        <w:t xml:space="preserve">para </w:t>
      </w:r>
      <w:r w:rsidR="00087F49">
        <w:rPr>
          <w:rFonts w:ascii="Bookman Old Style" w:hAnsi="Bookman Old Style" w:cs="Arial"/>
          <w:lang w:val="es-ES_tradnl" w:eastAsia="es-ES"/>
        </w:rPr>
        <w:t>los mencionados servicios públicos.</w:t>
      </w:r>
    </w:p>
    <w:p w:rsidR="0083557B" w:rsidRDefault="0083557B" w:rsidP="00087F49">
      <w:pPr>
        <w:pStyle w:val="pa12"/>
        <w:spacing w:before="0" w:beforeAutospacing="0" w:after="0" w:afterAutospacing="0"/>
        <w:jc w:val="both"/>
        <w:rPr>
          <w:rFonts w:ascii="Bookman Old Style" w:hAnsi="Bookman Old Style" w:cs="Arial"/>
          <w:lang w:val="es-ES_tradnl" w:eastAsia="es-ES"/>
        </w:rPr>
      </w:pPr>
    </w:p>
    <w:p w:rsidR="0083557B" w:rsidRPr="006C14FA" w:rsidRDefault="0083557B" w:rsidP="00391FB3">
      <w:pPr>
        <w:pStyle w:val="Ttulo2"/>
        <w:rPr>
          <w:rFonts w:eastAsia="Arial"/>
          <w:sz w:val="24"/>
          <w:szCs w:val="24"/>
        </w:rPr>
      </w:pPr>
      <w:bookmarkStart w:id="75" w:name="_Toc424832915"/>
      <w:bookmarkStart w:id="76" w:name="_Toc424887646"/>
      <w:bookmarkStart w:id="77" w:name="_Toc425488402"/>
      <w:bookmarkStart w:id="78" w:name="_Toc426035043"/>
      <w:bookmarkStart w:id="79" w:name="_Toc427333576"/>
      <w:bookmarkStart w:id="80" w:name="_Toc427336517"/>
      <w:bookmarkStart w:id="81" w:name="_Toc427681807"/>
      <w:bookmarkStart w:id="82" w:name="_Toc433276739"/>
      <w:bookmarkStart w:id="83" w:name="_Toc433295702"/>
      <w:bookmarkStart w:id="84" w:name="_Toc433296427"/>
      <w:bookmarkStart w:id="85" w:name="_Toc437500857"/>
      <w:bookmarkStart w:id="86" w:name="_Toc437501516"/>
      <w:bookmarkStart w:id="87" w:name="_Toc437501696"/>
      <w:bookmarkStart w:id="88" w:name="_Toc437501786"/>
      <w:bookmarkStart w:id="89" w:name="_Toc437502549"/>
      <w:bookmarkStart w:id="90" w:name="_Toc437505907"/>
      <w:bookmarkStart w:id="91" w:name="_Toc437512720"/>
      <w:r w:rsidRPr="006C14FA">
        <w:rPr>
          <w:rFonts w:eastAsia="Arial"/>
          <w:sz w:val="24"/>
          <w:szCs w:val="24"/>
        </w:rPr>
        <w:t>estudios previos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CC4FA9" w:rsidRPr="006C14FA" w:rsidRDefault="00CC4FA9" w:rsidP="00CC4FA9">
      <w:pPr>
        <w:rPr>
          <w:sz w:val="24"/>
        </w:rPr>
      </w:pPr>
      <w:r w:rsidRPr="006C14FA">
        <w:rPr>
          <w:sz w:val="24"/>
        </w:rPr>
        <w:t>A nivel institucional se han realizado algunos estudios para generar recomendaciones acerca de la remuneración de la actividad de transporte por poliductos. A continuación se citan los objetivos y las principales conclusiones de</w:t>
      </w:r>
      <w:r w:rsidR="00A54EE5">
        <w:rPr>
          <w:sz w:val="24"/>
        </w:rPr>
        <w:t xml:space="preserve"> dichos estudios.</w:t>
      </w:r>
    </w:p>
    <w:p w:rsidR="00CC4FA9" w:rsidRPr="006C14FA" w:rsidRDefault="00CC4FA9" w:rsidP="00CC4FA9">
      <w:pPr>
        <w:rPr>
          <w:sz w:val="24"/>
        </w:rPr>
      </w:pPr>
    </w:p>
    <w:p w:rsidR="00A54EE5" w:rsidRPr="006C14FA" w:rsidRDefault="00A54EE5" w:rsidP="00391FB3">
      <w:pPr>
        <w:pStyle w:val="Ttulo3"/>
        <w:rPr>
          <w:rFonts w:cs="Arial"/>
          <w:sz w:val="24"/>
          <w:szCs w:val="24"/>
        </w:rPr>
      </w:pPr>
      <w:bookmarkStart w:id="92" w:name="_Toc433276740"/>
      <w:bookmarkStart w:id="93" w:name="_Toc433295703"/>
      <w:bookmarkStart w:id="94" w:name="_Toc433296428"/>
      <w:bookmarkStart w:id="95" w:name="_Toc437500858"/>
      <w:bookmarkStart w:id="96" w:name="_Toc437501517"/>
      <w:bookmarkStart w:id="97" w:name="_Toc437501697"/>
      <w:bookmarkStart w:id="98" w:name="_Toc437501787"/>
      <w:bookmarkStart w:id="99" w:name="_Toc437502550"/>
      <w:bookmarkStart w:id="100" w:name="_Toc437505908"/>
      <w:bookmarkStart w:id="101" w:name="_Toc437512721"/>
      <w:bookmarkStart w:id="102" w:name="_Toc427333577"/>
      <w:bookmarkStart w:id="103" w:name="_Toc427336518"/>
      <w:bookmarkStart w:id="104" w:name="_Toc427681808"/>
      <w:r w:rsidRPr="006C14FA">
        <w:rPr>
          <w:rFonts w:cs="Arial"/>
          <w:sz w:val="24"/>
          <w:szCs w:val="24"/>
        </w:rPr>
        <w:t xml:space="preserve">Revisión de la metodología tarifaria para el transporte de derivados del petróleo en poliductos y establecimiento de la tasa de remuneración de los activos </w:t>
      </w:r>
      <w:sdt>
        <w:sdtPr>
          <w:rPr>
            <w:rFonts w:cs="Arial"/>
            <w:sz w:val="24"/>
            <w:szCs w:val="24"/>
          </w:rPr>
          <w:id w:val="353546207"/>
          <w:citation/>
        </w:sdtPr>
        <w:sdtEndPr/>
        <w:sdtContent>
          <w:r w:rsidRPr="006C14FA">
            <w:rPr>
              <w:rFonts w:cs="Arial"/>
              <w:sz w:val="24"/>
              <w:szCs w:val="24"/>
            </w:rPr>
            <w:fldChar w:fldCharType="begin"/>
          </w:r>
          <w:r w:rsidRPr="006C14FA">
            <w:rPr>
              <w:rFonts w:cs="Arial"/>
              <w:sz w:val="24"/>
              <w:szCs w:val="24"/>
              <w:lang w:val="es-CO"/>
            </w:rPr>
            <w:instrText xml:space="preserve">CITATION Eco09 \l 9226 </w:instrText>
          </w:r>
          <w:r w:rsidRPr="006C14FA">
            <w:rPr>
              <w:rFonts w:cs="Arial"/>
              <w:sz w:val="24"/>
              <w:szCs w:val="24"/>
            </w:rPr>
            <w:fldChar w:fldCharType="separate"/>
          </w:r>
          <w:r w:rsidR="00667803" w:rsidRPr="00667803">
            <w:rPr>
              <w:rFonts w:cs="Arial"/>
              <w:noProof/>
              <w:sz w:val="24"/>
              <w:szCs w:val="24"/>
              <w:lang w:val="es-CO"/>
            </w:rPr>
            <w:t>(Econometría, 2009)</w:t>
          </w:r>
          <w:r w:rsidRPr="006C14FA">
            <w:rPr>
              <w:rFonts w:cs="Arial"/>
              <w:sz w:val="24"/>
              <w:szCs w:val="24"/>
            </w:rPr>
            <w:fldChar w:fldCharType="end"/>
          </w:r>
        </w:sdtContent>
      </w:sdt>
      <w:bookmarkEnd w:id="92"/>
      <w:bookmarkEnd w:id="93"/>
      <w:bookmarkEnd w:id="94"/>
      <w:bookmarkEnd w:id="95"/>
      <w:bookmarkEnd w:id="96"/>
      <w:bookmarkEnd w:id="97"/>
      <w:bookmarkEnd w:id="98"/>
      <w:bookmarkEnd w:id="99"/>
      <w:bookmarkEnd w:id="100"/>
      <w:bookmarkEnd w:id="101"/>
    </w:p>
    <w:p w:rsidR="00A54EE5" w:rsidRPr="006C14FA" w:rsidRDefault="00A54EE5" w:rsidP="00A54EE5">
      <w:pPr>
        <w:rPr>
          <w:rFonts w:cs="Arial"/>
          <w:sz w:val="24"/>
          <w:lang w:val="es-ES_tradnl"/>
        </w:rPr>
      </w:pPr>
    </w:p>
    <w:p w:rsidR="00A54EE5" w:rsidRPr="006C14FA" w:rsidRDefault="00A54EE5" w:rsidP="00A54EE5">
      <w:pPr>
        <w:rPr>
          <w:rFonts w:cs="Arial"/>
          <w:sz w:val="24"/>
        </w:rPr>
      </w:pPr>
      <w:r w:rsidRPr="006C14FA">
        <w:rPr>
          <w:rFonts w:cs="Arial"/>
          <w:sz w:val="24"/>
        </w:rPr>
        <w:t>En 2009 l</w:t>
      </w:r>
      <w:r w:rsidRPr="006C14FA">
        <w:rPr>
          <w:rFonts w:cs="Arial"/>
          <w:sz w:val="24"/>
          <w:lang w:val="es-ES_tradnl"/>
        </w:rPr>
        <w:t>a firma Econometría realizó en un estudio para el Departamento nacional de Planeación (DNP) y el Ministerio de Minas y Energía en el que se hacía una revisión de la metodología tarifaria para el sistema de poliductos y además se establecía la tasa de remuneración de los activos.</w:t>
      </w:r>
    </w:p>
    <w:p w:rsidR="00A812B1" w:rsidRDefault="00A812B1" w:rsidP="00A812B1">
      <w:pPr>
        <w:pStyle w:val="Epgrafe"/>
        <w:keepNext/>
      </w:pPr>
    </w:p>
    <w:p w:rsidR="00EA0CBD" w:rsidRPr="00EA0CBD" w:rsidRDefault="00EA0CBD" w:rsidP="00EA0CBD"/>
    <w:tbl>
      <w:tblPr>
        <w:tblStyle w:val="Tablaconcuadrcula"/>
        <w:tblW w:w="0" w:type="auto"/>
        <w:tblLook w:val="04A0" w:firstRow="1" w:lastRow="0" w:firstColumn="1" w:lastColumn="0" w:noHBand="0" w:noVBand="1"/>
      </w:tblPr>
      <w:tblGrid>
        <w:gridCol w:w="2660"/>
        <w:gridCol w:w="6836"/>
      </w:tblGrid>
      <w:tr w:rsidR="00EA0CBD" w:rsidRPr="006C14FA" w:rsidTr="00EA0CBD">
        <w:trPr>
          <w:tblHeader/>
        </w:trPr>
        <w:tc>
          <w:tcPr>
            <w:tcW w:w="9496" w:type="dxa"/>
            <w:gridSpan w:val="2"/>
          </w:tcPr>
          <w:p w:rsidR="00EA0CBD" w:rsidRPr="006C14FA" w:rsidRDefault="00EA0CBD" w:rsidP="00417882">
            <w:pPr>
              <w:jc w:val="center"/>
              <w:rPr>
                <w:rFonts w:cs="Arial"/>
                <w:b/>
                <w:sz w:val="24"/>
              </w:rPr>
            </w:pPr>
            <w:bookmarkStart w:id="105" w:name="_Toc437512808"/>
            <w:r>
              <w:t xml:space="preserve">Tabla </w:t>
            </w:r>
            <w:r>
              <w:fldChar w:fldCharType="begin"/>
            </w:r>
            <w:r>
              <w:instrText xml:space="preserve"> SEQ Tabla \* ARABIC </w:instrText>
            </w:r>
            <w:r>
              <w:fldChar w:fldCharType="separate"/>
            </w:r>
            <w:r w:rsidR="00625BEB">
              <w:rPr>
                <w:noProof/>
              </w:rPr>
              <w:t>2</w:t>
            </w:r>
            <w:r>
              <w:fldChar w:fldCharType="end"/>
            </w:r>
            <w:r>
              <w:t xml:space="preserve"> </w:t>
            </w:r>
            <w:r w:rsidRPr="00800E5E">
              <w:t>Objetivos y conclusiones estudio ECONOMETRÍA 2009</w:t>
            </w:r>
            <w:bookmarkEnd w:id="105"/>
          </w:p>
        </w:tc>
      </w:tr>
      <w:tr w:rsidR="00A54EE5" w:rsidRPr="006C14FA" w:rsidTr="00EA0CBD">
        <w:trPr>
          <w:tblHeader/>
        </w:trPr>
        <w:tc>
          <w:tcPr>
            <w:tcW w:w="2660" w:type="dxa"/>
          </w:tcPr>
          <w:p w:rsidR="00A54EE5" w:rsidRPr="00EA0CBD" w:rsidRDefault="00A54EE5" w:rsidP="00417882">
            <w:pPr>
              <w:jc w:val="center"/>
              <w:rPr>
                <w:rFonts w:cs="Arial"/>
                <w:sz w:val="24"/>
              </w:rPr>
            </w:pPr>
            <w:r w:rsidRPr="00EA0CBD">
              <w:rPr>
                <w:rFonts w:cs="Arial"/>
                <w:sz w:val="24"/>
              </w:rPr>
              <w:t>Objetivos</w:t>
            </w:r>
          </w:p>
        </w:tc>
        <w:tc>
          <w:tcPr>
            <w:tcW w:w="6836" w:type="dxa"/>
          </w:tcPr>
          <w:p w:rsidR="00A54EE5" w:rsidRPr="00EA0CBD" w:rsidRDefault="00A54EE5" w:rsidP="00417882">
            <w:pPr>
              <w:jc w:val="center"/>
              <w:rPr>
                <w:rFonts w:cs="Arial"/>
                <w:sz w:val="24"/>
              </w:rPr>
            </w:pPr>
            <w:r w:rsidRPr="00EA0CBD">
              <w:rPr>
                <w:rFonts w:cs="Arial"/>
                <w:sz w:val="24"/>
              </w:rPr>
              <w:t>Conclusiones</w:t>
            </w:r>
          </w:p>
        </w:tc>
      </w:tr>
      <w:tr w:rsidR="00A54EE5" w:rsidRPr="006C14FA" w:rsidTr="00417882">
        <w:tc>
          <w:tcPr>
            <w:tcW w:w="2660" w:type="dxa"/>
          </w:tcPr>
          <w:p w:rsidR="00A54EE5" w:rsidRPr="006C14FA" w:rsidRDefault="00A54EE5" w:rsidP="002864AD">
            <w:pPr>
              <w:pStyle w:val="Prrafodelista"/>
              <w:numPr>
                <w:ilvl w:val="0"/>
                <w:numId w:val="14"/>
              </w:numPr>
              <w:ind w:left="360"/>
              <w:rPr>
                <w:rFonts w:cs="Arial"/>
                <w:sz w:val="24"/>
                <w:szCs w:val="24"/>
              </w:rPr>
            </w:pPr>
            <w:r w:rsidRPr="006C14FA">
              <w:rPr>
                <w:rFonts w:cs="Arial"/>
                <w:sz w:val="24"/>
                <w:szCs w:val="24"/>
                <w:lang w:eastAsia="es-CO"/>
              </w:rPr>
              <w:t>R</w:t>
            </w:r>
            <w:r w:rsidRPr="006C14FA">
              <w:rPr>
                <w:rFonts w:cs="Arial"/>
                <w:sz w:val="24"/>
                <w:szCs w:val="24"/>
              </w:rPr>
              <w:t xml:space="preserve">evisar la regulación del Ministerio de </w:t>
            </w:r>
            <w:r w:rsidRPr="006C14FA">
              <w:rPr>
                <w:rFonts w:cs="Arial"/>
                <w:sz w:val="24"/>
                <w:szCs w:val="24"/>
              </w:rPr>
              <w:lastRenderedPageBreak/>
              <w:t xml:space="preserve">Minas y Energía para determinar las tarifas aplicadas al transporte por poliductos de combustibles. </w:t>
            </w:r>
          </w:p>
          <w:p w:rsidR="00A54EE5" w:rsidRPr="006C14FA" w:rsidRDefault="00A54EE5" w:rsidP="002864AD">
            <w:pPr>
              <w:pStyle w:val="Prrafodelista"/>
              <w:numPr>
                <w:ilvl w:val="0"/>
                <w:numId w:val="14"/>
              </w:numPr>
              <w:ind w:left="360"/>
              <w:rPr>
                <w:rFonts w:cs="Arial"/>
                <w:sz w:val="24"/>
                <w:szCs w:val="24"/>
                <w:lang w:val="es-ES_tradnl"/>
              </w:rPr>
            </w:pPr>
            <w:r w:rsidRPr="006C14FA">
              <w:rPr>
                <w:rFonts w:cs="Arial"/>
                <w:sz w:val="24"/>
                <w:szCs w:val="24"/>
              </w:rPr>
              <w:t>Proponer metodologías para determinar las tasas de remuneración de los activos para las actividades de transporte de crudos y de derivados por poliductos.</w:t>
            </w:r>
          </w:p>
          <w:p w:rsidR="00A54EE5" w:rsidRPr="006C14FA" w:rsidRDefault="00A54EE5" w:rsidP="00417882">
            <w:pPr>
              <w:pStyle w:val="Prrafodelista"/>
              <w:autoSpaceDE w:val="0"/>
              <w:autoSpaceDN w:val="0"/>
              <w:adjustRightInd w:val="0"/>
              <w:ind w:left="360"/>
              <w:contextualSpacing/>
              <w:rPr>
                <w:rFonts w:cs="Arial"/>
                <w:sz w:val="24"/>
                <w:szCs w:val="24"/>
                <w:lang w:val="es-ES_tradnl"/>
              </w:rPr>
            </w:pPr>
          </w:p>
        </w:tc>
        <w:tc>
          <w:tcPr>
            <w:tcW w:w="6836" w:type="dxa"/>
          </w:tcPr>
          <w:p w:rsidR="00A54EE5" w:rsidRPr="006C14FA" w:rsidRDefault="00A54EE5" w:rsidP="00417882">
            <w:pPr>
              <w:rPr>
                <w:rFonts w:cs="Arial"/>
                <w:sz w:val="24"/>
              </w:rPr>
            </w:pPr>
            <w:r w:rsidRPr="006C14FA">
              <w:rPr>
                <w:rFonts w:cs="Arial"/>
                <w:b/>
                <w:sz w:val="24"/>
              </w:rPr>
              <w:lastRenderedPageBreak/>
              <w:t>Contratos.</w:t>
            </w:r>
            <w:r w:rsidRPr="006C14FA">
              <w:rPr>
                <w:rFonts w:cs="Arial"/>
                <w:sz w:val="24"/>
              </w:rPr>
              <w:t xml:space="preserve"> Los agentes deben formalizar sus relaciones a través de contratos escritos u ofertas mercantiles que satisfagan los requerimientos mínimos.</w:t>
            </w:r>
          </w:p>
          <w:p w:rsidR="00A54EE5" w:rsidRPr="006C14FA" w:rsidRDefault="00A54EE5" w:rsidP="00417882">
            <w:pPr>
              <w:autoSpaceDE w:val="0"/>
              <w:autoSpaceDN w:val="0"/>
              <w:adjustRightInd w:val="0"/>
              <w:rPr>
                <w:rFonts w:cs="Arial"/>
                <w:sz w:val="24"/>
                <w:lang w:val="es-ES_tradnl"/>
              </w:rPr>
            </w:pPr>
            <w:r w:rsidRPr="006C14FA">
              <w:rPr>
                <w:rFonts w:cs="Arial"/>
                <w:b/>
                <w:bCs/>
                <w:color w:val="000000"/>
                <w:sz w:val="24"/>
                <w:lang w:val="es-CO" w:eastAsia="es-CO"/>
              </w:rPr>
              <w:t xml:space="preserve">Régimen tarifario. </w:t>
            </w:r>
            <w:r w:rsidRPr="006C14FA">
              <w:rPr>
                <w:rFonts w:cs="Arial"/>
                <w:bCs/>
                <w:color w:val="000000"/>
                <w:sz w:val="24"/>
                <w:lang w:val="es-CO" w:eastAsia="es-CO"/>
              </w:rPr>
              <w:t>R</w:t>
            </w:r>
            <w:r w:rsidRPr="006C14FA">
              <w:rPr>
                <w:rFonts w:cs="Arial"/>
                <w:color w:val="000000"/>
                <w:sz w:val="24"/>
                <w:lang w:val="es-CO" w:eastAsia="es-CO"/>
              </w:rPr>
              <w:t xml:space="preserve">égimen tarifario corresponda al </w:t>
            </w:r>
            <w:r w:rsidRPr="006C14FA">
              <w:rPr>
                <w:rFonts w:cs="Arial"/>
                <w:color w:val="000000"/>
                <w:sz w:val="24"/>
                <w:lang w:val="es-CO" w:eastAsia="es-CO"/>
              </w:rPr>
              <w:lastRenderedPageBreak/>
              <w:t>que para los servicios públicos domiciliarios la Ley 142 de 1994 define como de libertad regulada.</w:t>
            </w:r>
          </w:p>
          <w:p w:rsidR="00A54EE5" w:rsidRPr="006C14FA" w:rsidRDefault="00A54EE5" w:rsidP="00417882">
            <w:pPr>
              <w:autoSpaceDE w:val="0"/>
              <w:autoSpaceDN w:val="0"/>
              <w:adjustRightInd w:val="0"/>
              <w:rPr>
                <w:rFonts w:cs="Arial"/>
                <w:sz w:val="24"/>
              </w:rPr>
            </w:pPr>
            <w:r w:rsidRPr="006C14FA">
              <w:rPr>
                <w:rFonts w:cs="Arial"/>
                <w:b/>
                <w:bCs/>
                <w:color w:val="000000"/>
                <w:sz w:val="24"/>
                <w:lang w:val="es-CO" w:eastAsia="es-CO"/>
              </w:rPr>
              <w:t xml:space="preserve">Base conceptual de la tarifa. </w:t>
            </w:r>
            <w:r w:rsidRPr="006C14FA">
              <w:rPr>
                <w:rFonts w:cs="Arial"/>
                <w:bCs/>
                <w:color w:val="000000"/>
                <w:sz w:val="24"/>
                <w:lang w:val="es-CO" w:eastAsia="es-CO"/>
              </w:rPr>
              <w:t>C</w:t>
            </w:r>
            <w:r w:rsidRPr="006C14FA">
              <w:rPr>
                <w:rFonts w:cs="Arial"/>
                <w:color w:val="000000"/>
                <w:sz w:val="24"/>
                <w:lang w:val="es-CO" w:eastAsia="es-CO"/>
              </w:rPr>
              <w:t xml:space="preserve">osto medio de prestación del servicio de transporte por poliductos en un horizonte de dos períodos tarifarios (10 años), en el cual se considera una proyección de demanda, otra de gastos de AOM y un programa de inversiones. </w:t>
            </w:r>
          </w:p>
          <w:p w:rsidR="00A54EE5" w:rsidRPr="006C14FA" w:rsidRDefault="00A54EE5" w:rsidP="00417882">
            <w:pPr>
              <w:pStyle w:val="Default"/>
              <w:jc w:val="both"/>
              <w:rPr>
                <w:rFonts w:ascii="Bookman Old Style" w:hAnsi="Bookman Old Style"/>
              </w:rPr>
            </w:pPr>
            <w:r w:rsidRPr="006C14FA">
              <w:rPr>
                <w:rFonts w:ascii="Bookman Old Style" w:hAnsi="Bookman Old Style"/>
                <w:b/>
                <w:bCs/>
              </w:rPr>
              <w:t xml:space="preserve">Esquema tarifario. </w:t>
            </w:r>
            <w:r w:rsidRPr="006C14FA">
              <w:rPr>
                <w:rFonts w:ascii="Bookman Old Style" w:hAnsi="Bookman Old Style"/>
                <w:bCs/>
              </w:rPr>
              <w:t>El estudio propone</w:t>
            </w:r>
            <w:r w:rsidRPr="006C14FA">
              <w:rPr>
                <w:rFonts w:ascii="Bookman Old Style" w:hAnsi="Bookman Old Style"/>
                <w:b/>
                <w:bCs/>
              </w:rPr>
              <w:t xml:space="preserve"> </w:t>
            </w:r>
            <w:r w:rsidRPr="006C14FA">
              <w:rPr>
                <w:rFonts w:ascii="Bookman Old Style" w:hAnsi="Bookman Old Style"/>
              </w:rPr>
              <w:t xml:space="preserve">que las tarifas se fijen como un valor máximo por galón y por poliducto. </w:t>
            </w:r>
          </w:p>
          <w:p w:rsidR="00A54EE5" w:rsidRPr="006C14FA" w:rsidRDefault="00A54EE5" w:rsidP="00417882">
            <w:pPr>
              <w:autoSpaceDE w:val="0"/>
              <w:autoSpaceDN w:val="0"/>
              <w:adjustRightInd w:val="0"/>
              <w:rPr>
                <w:rFonts w:cs="Arial"/>
                <w:color w:val="000000"/>
                <w:sz w:val="24"/>
                <w:lang w:val="es-CO" w:eastAsia="es-CO"/>
              </w:rPr>
            </w:pPr>
            <w:r w:rsidRPr="006C14FA">
              <w:rPr>
                <w:rFonts w:cs="Arial"/>
                <w:b/>
                <w:bCs/>
                <w:color w:val="000000"/>
                <w:sz w:val="24"/>
                <w:lang w:val="es-CO" w:eastAsia="es-CO"/>
              </w:rPr>
              <w:t xml:space="preserve">Remuneración de confiabilidad del sistema. </w:t>
            </w:r>
            <w:r w:rsidRPr="006C14FA">
              <w:rPr>
                <w:rFonts w:cs="Arial"/>
                <w:bCs/>
                <w:color w:val="000000"/>
                <w:sz w:val="24"/>
                <w:lang w:val="es-CO" w:eastAsia="es-CO"/>
              </w:rPr>
              <w:t>Para</w:t>
            </w:r>
            <w:r w:rsidRPr="006C14FA">
              <w:rPr>
                <w:rFonts w:cs="Arial"/>
                <w:color w:val="000000"/>
                <w:sz w:val="24"/>
                <w:lang w:val="es-CO" w:eastAsia="es-CO"/>
              </w:rPr>
              <w:t xml:space="preserve"> las inversiones de confiabilidad como poliductos para importación o los subsistemas de poliductos que generan alternativas de abastecimiento se deben remunerar a través de un porcentaje de cargo estampilla que se puede aplicar a nivel nacional o a nivel de los mercados.</w:t>
            </w:r>
          </w:p>
          <w:p w:rsidR="00A54EE5" w:rsidRPr="006C14FA" w:rsidRDefault="00A54EE5" w:rsidP="00417882">
            <w:pPr>
              <w:pStyle w:val="Default"/>
              <w:spacing w:after="272"/>
              <w:contextualSpacing/>
              <w:jc w:val="both"/>
              <w:rPr>
                <w:rFonts w:ascii="Bookman Old Style" w:hAnsi="Bookman Old Style"/>
              </w:rPr>
            </w:pPr>
            <w:r w:rsidRPr="006C14FA">
              <w:rPr>
                <w:rFonts w:ascii="Bookman Old Style" w:hAnsi="Bookman Old Style"/>
                <w:b/>
                <w:bCs/>
              </w:rPr>
              <w:t xml:space="preserve">Detalle de la señal tarifaria. </w:t>
            </w:r>
            <w:r w:rsidRPr="006C14FA">
              <w:rPr>
                <w:rFonts w:ascii="Bookman Old Style" w:hAnsi="Bookman Old Style"/>
                <w:bCs/>
              </w:rPr>
              <w:t>Se propone</w:t>
            </w:r>
            <w:r w:rsidRPr="006C14FA">
              <w:rPr>
                <w:rFonts w:ascii="Bookman Old Style" w:hAnsi="Bookman Old Style"/>
                <w:b/>
                <w:bCs/>
              </w:rPr>
              <w:t xml:space="preserve"> </w:t>
            </w:r>
            <w:r w:rsidRPr="006C14FA">
              <w:rPr>
                <w:rFonts w:ascii="Bookman Old Style" w:hAnsi="Bookman Old Style"/>
              </w:rPr>
              <w:t xml:space="preserve">la misma separación de la regulación del servicio de transporte de GLP por poliductos; esto es, en la parte que remunera la inversión y la que remunera gastos de AOM. </w:t>
            </w:r>
          </w:p>
        </w:tc>
      </w:tr>
    </w:tbl>
    <w:p w:rsidR="0076075D" w:rsidRPr="0076075D" w:rsidRDefault="0076075D" w:rsidP="00667803">
      <w:bookmarkStart w:id="106" w:name="_Toc433276741"/>
      <w:bookmarkStart w:id="107" w:name="_Toc433295704"/>
      <w:bookmarkStart w:id="108" w:name="_Toc433296429"/>
    </w:p>
    <w:p w:rsidR="00A54EE5" w:rsidRPr="006C14FA" w:rsidRDefault="00A54EE5" w:rsidP="00391FB3">
      <w:pPr>
        <w:pStyle w:val="Ttulo3"/>
        <w:rPr>
          <w:rFonts w:cs="Arial"/>
          <w:sz w:val="24"/>
          <w:szCs w:val="24"/>
        </w:rPr>
      </w:pPr>
      <w:bookmarkStart w:id="109" w:name="_Toc437500859"/>
      <w:bookmarkStart w:id="110" w:name="_Toc437501518"/>
      <w:bookmarkStart w:id="111" w:name="_Toc437501698"/>
      <w:bookmarkStart w:id="112" w:name="_Toc437501788"/>
      <w:bookmarkStart w:id="113" w:name="_Toc437502551"/>
      <w:bookmarkStart w:id="114" w:name="_Toc437505909"/>
      <w:bookmarkStart w:id="115" w:name="_Toc437512722"/>
      <w:r w:rsidRPr="006C14FA">
        <w:rPr>
          <w:rFonts w:cs="Arial"/>
          <w:bCs/>
          <w:sz w:val="24"/>
          <w:szCs w:val="24"/>
        </w:rPr>
        <w:t xml:space="preserve">Propuesta de un esquema de regulación económica para la actividad de transporte de derivados de petróleo por poliductos, </w:t>
      </w:r>
      <w:sdt>
        <w:sdtPr>
          <w:rPr>
            <w:rFonts w:cs="Arial"/>
            <w:sz w:val="24"/>
            <w:szCs w:val="24"/>
          </w:rPr>
          <w:id w:val="294417699"/>
          <w:citation/>
        </w:sdtPr>
        <w:sdtEndPr/>
        <w:sdtContent>
          <w:r w:rsidRPr="006C14FA">
            <w:rPr>
              <w:rFonts w:cs="Arial"/>
              <w:sz w:val="24"/>
              <w:szCs w:val="24"/>
            </w:rPr>
            <w:fldChar w:fldCharType="begin"/>
          </w:r>
          <w:r w:rsidRPr="006C14FA">
            <w:rPr>
              <w:rFonts w:cs="Arial"/>
              <w:sz w:val="24"/>
              <w:szCs w:val="24"/>
            </w:rPr>
            <w:instrText xml:space="preserve"> CITATION Sum13 \l 9226 </w:instrText>
          </w:r>
          <w:r w:rsidRPr="006C14FA">
            <w:rPr>
              <w:rFonts w:cs="Arial"/>
              <w:sz w:val="24"/>
              <w:szCs w:val="24"/>
            </w:rPr>
            <w:fldChar w:fldCharType="separate"/>
          </w:r>
          <w:r w:rsidR="00667803" w:rsidRPr="00667803">
            <w:rPr>
              <w:rFonts w:cs="Arial"/>
              <w:noProof/>
              <w:sz w:val="24"/>
              <w:szCs w:val="24"/>
            </w:rPr>
            <w:t>(Sumatoria S.A.S, 2013)</w:t>
          </w:r>
          <w:r w:rsidRPr="006C14FA">
            <w:rPr>
              <w:rFonts w:cs="Arial"/>
              <w:sz w:val="24"/>
              <w:szCs w:val="24"/>
            </w:rPr>
            <w:fldChar w:fldCharType="end"/>
          </w:r>
        </w:sdtContent>
      </w:sdt>
      <w:bookmarkEnd w:id="106"/>
      <w:bookmarkEnd w:id="107"/>
      <w:bookmarkEnd w:id="108"/>
      <w:bookmarkEnd w:id="109"/>
      <w:bookmarkEnd w:id="110"/>
      <w:bookmarkEnd w:id="111"/>
      <w:bookmarkEnd w:id="112"/>
      <w:bookmarkEnd w:id="113"/>
      <w:bookmarkEnd w:id="114"/>
      <w:bookmarkEnd w:id="115"/>
    </w:p>
    <w:p w:rsidR="00A54EE5" w:rsidRPr="006C14FA" w:rsidRDefault="00A54EE5" w:rsidP="00A54EE5">
      <w:pPr>
        <w:rPr>
          <w:rFonts w:cs="Arial"/>
          <w:sz w:val="24"/>
          <w:lang w:val="es-ES_tradnl"/>
        </w:rPr>
      </w:pPr>
    </w:p>
    <w:p w:rsidR="00A54EE5" w:rsidRPr="006C14FA" w:rsidRDefault="00A54EE5" w:rsidP="00A54EE5">
      <w:pPr>
        <w:autoSpaceDE w:val="0"/>
        <w:autoSpaceDN w:val="0"/>
        <w:adjustRightInd w:val="0"/>
        <w:rPr>
          <w:color w:val="000000"/>
          <w:sz w:val="24"/>
          <w:lang w:val="es-CO" w:eastAsia="es-CO"/>
        </w:rPr>
      </w:pPr>
      <w:r w:rsidRPr="006C14FA">
        <w:rPr>
          <w:rFonts w:cs="Arial"/>
          <w:sz w:val="24"/>
          <w:lang w:val="es-ES_tradnl"/>
        </w:rPr>
        <w:t xml:space="preserve">La firma Sumatoria S.A.S realizó en 2013 un estudio para el Departamento Nacional de Planeación (DNP) que abordaba la regulación general para la actividad de transporte. </w:t>
      </w:r>
    </w:p>
    <w:p w:rsidR="00A54EE5" w:rsidRPr="006C14FA" w:rsidRDefault="00A54EE5" w:rsidP="00D247E3">
      <w:pPr>
        <w:rPr>
          <w:snapToGrid w:val="0"/>
        </w:rPr>
      </w:pPr>
    </w:p>
    <w:tbl>
      <w:tblPr>
        <w:tblStyle w:val="Tablaconcuadrcula"/>
        <w:tblW w:w="0" w:type="auto"/>
        <w:tblLook w:val="04A0" w:firstRow="1" w:lastRow="0" w:firstColumn="1" w:lastColumn="0" w:noHBand="0" w:noVBand="1"/>
      </w:tblPr>
      <w:tblGrid>
        <w:gridCol w:w="2802"/>
        <w:gridCol w:w="6694"/>
      </w:tblGrid>
      <w:tr w:rsidR="00EA0CBD" w:rsidRPr="006C14FA" w:rsidTr="00A41534">
        <w:trPr>
          <w:tblHeader/>
        </w:trPr>
        <w:tc>
          <w:tcPr>
            <w:tcW w:w="9496" w:type="dxa"/>
            <w:gridSpan w:val="2"/>
          </w:tcPr>
          <w:p w:rsidR="00EA0CBD" w:rsidRPr="006C14FA" w:rsidRDefault="00EA0CBD" w:rsidP="00417882">
            <w:pPr>
              <w:jc w:val="center"/>
              <w:rPr>
                <w:rFonts w:cs="Arial"/>
                <w:b/>
                <w:sz w:val="24"/>
              </w:rPr>
            </w:pPr>
            <w:bookmarkStart w:id="116" w:name="_Toc437512809"/>
            <w:r>
              <w:t xml:space="preserve">Tabla </w:t>
            </w:r>
            <w:r>
              <w:fldChar w:fldCharType="begin"/>
            </w:r>
            <w:r>
              <w:instrText xml:space="preserve"> SEQ Tabla \* ARABIC </w:instrText>
            </w:r>
            <w:r>
              <w:fldChar w:fldCharType="separate"/>
            </w:r>
            <w:r w:rsidR="00625BEB">
              <w:rPr>
                <w:noProof/>
              </w:rPr>
              <w:t>3</w:t>
            </w:r>
            <w:r>
              <w:fldChar w:fldCharType="end"/>
            </w:r>
            <w:r>
              <w:t xml:space="preserve"> </w:t>
            </w:r>
            <w:r w:rsidRPr="00A975D0">
              <w:t>Objetivos y conclusiones estudio SUMATORIA 2013</w:t>
            </w:r>
            <w:bookmarkEnd w:id="116"/>
          </w:p>
        </w:tc>
      </w:tr>
      <w:tr w:rsidR="00A54EE5" w:rsidRPr="006C14FA" w:rsidTr="00417882">
        <w:trPr>
          <w:tblHeader/>
        </w:trPr>
        <w:tc>
          <w:tcPr>
            <w:tcW w:w="2802" w:type="dxa"/>
          </w:tcPr>
          <w:p w:rsidR="00A54EE5" w:rsidRPr="00EA0CBD" w:rsidRDefault="00A54EE5" w:rsidP="00417882">
            <w:pPr>
              <w:jc w:val="center"/>
              <w:rPr>
                <w:rFonts w:cs="Arial"/>
                <w:sz w:val="24"/>
              </w:rPr>
            </w:pPr>
            <w:r w:rsidRPr="00EA0CBD">
              <w:rPr>
                <w:rFonts w:cs="Arial"/>
                <w:sz w:val="24"/>
              </w:rPr>
              <w:t>Objetivos</w:t>
            </w:r>
          </w:p>
        </w:tc>
        <w:tc>
          <w:tcPr>
            <w:tcW w:w="6694" w:type="dxa"/>
          </w:tcPr>
          <w:p w:rsidR="00A54EE5" w:rsidRPr="00EA0CBD" w:rsidRDefault="00A54EE5" w:rsidP="00417882">
            <w:pPr>
              <w:jc w:val="center"/>
              <w:rPr>
                <w:rFonts w:cs="Arial"/>
                <w:sz w:val="24"/>
              </w:rPr>
            </w:pPr>
            <w:r w:rsidRPr="00EA0CBD">
              <w:rPr>
                <w:rFonts w:cs="Arial"/>
                <w:sz w:val="24"/>
              </w:rPr>
              <w:t>Conclusiones</w:t>
            </w:r>
          </w:p>
        </w:tc>
      </w:tr>
      <w:tr w:rsidR="00A54EE5" w:rsidRPr="006C14FA" w:rsidTr="00417882">
        <w:tc>
          <w:tcPr>
            <w:tcW w:w="2802" w:type="dxa"/>
          </w:tcPr>
          <w:p w:rsidR="00A54EE5" w:rsidRPr="006C14FA" w:rsidRDefault="00A54EE5" w:rsidP="00297616">
            <w:pPr>
              <w:pStyle w:val="Prrafodelista"/>
              <w:numPr>
                <w:ilvl w:val="0"/>
                <w:numId w:val="16"/>
              </w:numPr>
              <w:autoSpaceDE w:val="0"/>
              <w:autoSpaceDN w:val="0"/>
              <w:adjustRightInd w:val="0"/>
              <w:spacing w:after="308"/>
              <w:contextualSpacing/>
              <w:rPr>
                <w:rFonts w:cs="Arial"/>
                <w:sz w:val="24"/>
                <w:szCs w:val="24"/>
                <w:lang w:eastAsia="es-CO"/>
              </w:rPr>
            </w:pPr>
            <w:r w:rsidRPr="006C14FA">
              <w:rPr>
                <w:rFonts w:cs="Arial"/>
                <w:sz w:val="24"/>
                <w:szCs w:val="24"/>
                <w:lang w:eastAsia="es-CO"/>
              </w:rPr>
              <w:t xml:space="preserve">Revisión de la política de la regulación y de la metodología tarifaria existente. </w:t>
            </w:r>
          </w:p>
          <w:p w:rsidR="00A54EE5" w:rsidRPr="006C14FA" w:rsidRDefault="00A54EE5" w:rsidP="00297616">
            <w:pPr>
              <w:pStyle w:val="Prrafodelista"/>
              <w:numPr>
                <w:ilvl w:val="0"/>
                <w:numId w:val="16"/>
              </w:numPr>
              <w:autoSpaceDE w:val="0"/>
              <w:autoSpaceDN w:val="0"/>
              <w:adjustRightInd w:val="0"/>
              <w:spacing w:after="308"/>
              <w:contextualSpacing/>
              <w:rPr>
                <w:rFonts w:cs="Arial"/>
                <w:sz w:val="24"/>
                <w:szCs w:val="24"/>
                <w:lang w:eastAsia="es-CO"/>
              </w:rPr>
            </w:pPr>
            <w:r w:rsidRPr="006C14FA">
              <w:rPr>
                <w:rFonts w:cs="Arial"/>
                <w:sz w:val="24"/>
                <w:szCs w:val="24"/>
                <w:lang w:eastAsia="es-CO"/>
              </w:rPr>
              <w:t xml:space="preserve">Formular una propuesta de reglamento de transporte por poliductos. </w:t>
            </w:r>
          </w:p>
          <w:p w:rsidR="00A54EE5" w:rsidRPr="006C14FA" w:rsidRDefault="00A54EE5" w:rsidP="00297616">
            <w:pPr>
              <w:pStyle w:val="Prrafodelista"/>
              <w:numPr>
                <w:ilvl w:val="0"/>
                <w:numId w:val="16"/>
              </w:numPr>
              <w:autoSpaceDE w:val="0"/>
              <w:autoSpaceDN w:val="0"/>
              <w:adjustRightInd w:val="0"/>
              <w:contextualSpacing/>
              <w:rPr>
                <w:rFonts w:cs="Arial"/>
                <w:sz w:val="24"/>
                <w:szCs w:val="24"/>
                <w:lang w:val="es-ES_tradnl"/>
              </w:rPr>
            </w:pPr>
            <w:r w:rsidRPr="006C14FA">
              <w:rPr>
                <w:rFonts w:cs="Arial"/>
                <w:sz w:val="24"/>
                <w:szCs w:val="24"/>
                <w:lang w:eastAsia="es-CO"/>
              </w:rPr>
              <w:t xml:space="preserve">Formular una propuesta de esquema tarifario. </w:t>
            </w:r>
          </w:p>
        </w:tc>
        <w:tc>
          <w:tcPr>
            <w:tcW w:w="6694" w:type="dxa"/>
          </w:tcPr>
          <w:p w:rsidR="00A54EE5" w:rsidRPr="006C14FA" w:rsidRDefault="00A54EE5" w:rsidP="00417882">
            <w:pPr>
              <w:autoSpaceDE w:val="0"/>
              <w:autoSpaceDN w:val="0"/>
              <w:adjustRightInd w:val="0"/>
              <w:rPr>
                <w:rFonts w:cs="Arial"/>
                <w:color w:val="000000"/>
                <w:sz w:val="24"/>
                <w:lang w:val="es-CO" w:eastAsia="es-CO"/>
              </w:rPr>
            </w:pPr>
            <w:r w:rsidRPr="006C14FA">
              <w:rPr>
                <w:rFonts w:cs="Arial"/>
                <w:b/>
                <w:bCs/>
                <w:color w:val="000000"/>
                <w:sz w:val="24"/>
                <w:lang w:eastAsia="es-CO"/>
              </w:rPr>
              <w:t xml:space="preserve">Sobre el Decreto de política y </w:t>
            </w:r>
            <w:r w:rsidRPr="006C14FA">
              <w:rPr>
                <w:rFonts w:cs="Arial"/>
                <w:b/>
                <w:bCs/>
                <w:color w:val="000000"/>
                <w:sz w:val="24"/>
                <w:lang w:val="es-CO" w:eastAsia="es-CO"/>
              </w:rPr>
              <w:t xml:space="preserve">el alcance de la CREG </w:t>
            </w:r>
          </w:p>
          <w:p w:rsidR="00A54EE5" w:rsidRPr="006C14FA" w:rsidRDefault="00A54EE5" w:rsidP="00417882">
            <w:pPr>
              <w:pStyle w:val="Default"/>
              <w:spacing w:after="272"/>
              <w:contextualSpacing/>
              <w:jc w:val="both"/>
              <w:rPr>
                <w:rFonts w:ascii="Bookman Old Style" w:hAnsi="Bookman Old Style"/>
              </w:rPr>
            </w:pPr>
            <w:r w:rsidRPr="006C14FA">
              <w:rPr>
                <w:rFonts w:ascii="Bookman Old Style" w:hAnsi="Bookman Old Style"/>
              </w:rPr>
              <w:t>Señalar lineamientos a la CREG para el ejercicio de esas funciones con base en el Código de Petróleos, las leyes 39 de 1987, 26 de 1989 y la ley 681 de 2001.</w:t>
            </w:r>
          </w:p>
          <w:p w:rsidR="00A54EE5" w:rsidRPr="006C14FA" w:rsidRDefault="00A54EE5" w:rsidP="00417882">
            <w:pPr>
              <w:pStyle w:val="Default"/>
              <w:spacing w:after="272"/>
              <w:contextualSpacing/>
              <w:jc w:val="both"/>
              <w:rPr>
                <w:rFonts w:ascii="Bookman Old Style" w:hAnsi="Bookman Old Style"/>
              </w:rPr>
            </w:pPr>
            <w:r w:rsidRPr="006C14FA">
              <w:rPr>
                <w:rFonts w:ascii="Bookman Old Style" w:hAnsi="Bookman Old Style"/>
              </w:rPr>
              <w:t>El decreto debe precisar el alcance de las responsabilidades en el abastecimiento de combustibles líquidos en cabeza del MME y demás autoridades, incluyendo a Ecopetrol.</w:t>
            </w:r>
          </w:p>
          <w:p w:rsidR="00A54EE5" w:rsidRPr="006C14FA" w:rsidRDefault="00A54EE5" w:rsidP="00417882">
            <w:pPr>
              <w:pStyle w:val="Default"/>
              <w:spacing w:after="272"/>
              <w:contextualSpacing/>
              <w:jc w:val="both"/>
              <w:rPr>
                <w:rFonts w:ascii="Bookman Old Style" w:hAnsi="Bookman Old Style"/>
              </w:rPr>
            </w:pPr>
            <w:r w:rsidRPr="006C14FA">
              <w:rPr>
                <w:rFonts w:ascii="Bookman Old Style" w:hAnsi="Bookman Old Style"/>
              </w:rPr>
              <w:t>Ratificar el objetivo de política orientado a la introducción de competencia a nivel de suministro.</w:t>
            </w:r>
          </w:p>
          <w:p w:rsidR="00A54EE5" w:rsidRPr="006C14FA" w:rsidRDefault="00A54EE5" w:rsidP="00417882">
            <w:pPr>
              <w:pStyle w:val="Default"/>
              <w:spacing w:after="272"/>
              <w:contextualSpacing/>
              <w:jc w:val="both"/>
              <w:rPr>
                <w:rFonts w:ascii="Bookman Old Style" w:hAnsi="Bookman Old Style"/>
                <w:bCs/>
                <w:iCs/>
              </w:rPr>
            </w:pPr>
            <w:r w:rsidRPr="006C14FA">
              <w:rPr>
                <w:rFonts w:ascii="Bookman Old Style" w:hAnsi="Bookman Old Style"/>
              </w:rPr>
              <w:t xml:space="preserve">Garantizar acceso libre a la infraestructura y la posibilidad de construcción de poliductos. </w:t>
            </w:r>
            <w:r w:rsidRPr="006C14FA">
              <w:rPr>
                <w:rFonts w:ascii="Bookman Old Style" w:hAnsi="Bookman Old Style"/>
                <w:bCs/>
                <w:iCs/>
              </w:rPr>
              <w:t xml:space="preserve">Reconocimiento de inversiones realizadas por integridad de la población y confiabilidad del servicio </w:t>
            </w:r>
            <w:r w:rsidRPr="006C14FA">
              <w:rPr>
                <w:rFonts w:ascii="Bookman Old Style" w:hAnsi="Bookman Old Style"/>
                <w:bCs/>
                <w:iCs/>
              </w:rPr>
              <w:lastRenderedPageBreak/>
              <w:t>de transporte.</w:t>
            </w:r>
          </w:p>
          <w:p w:rsidR="00A54EE5" w:rsidRPr="006C14FA" w:rsidRDefault="00A54EE5" w:rsidP="00417882">
            <w:pPr>
              <w:pStyle w:val="Default"/>
              <w:spacing w:after="272"/>
              <w:contextualSpacing/>
              <w:jc w:val="both"/>
              <w:rPr>
                <w:rFonts w:ascii="Bookman Old Style" w:hAnsi="Bookman Old Style"/>
              </w:rPr>
            </w:pPr>
            <w:r w:rsidRPr="006C14FA">
              <w:rPr>
                <w:rFonts w:ascii="Bookman Old Style" w:hAnsi="Bookman Old Style"/>
              </w:rPr>
              <w:t xml:space="preserve">Adoptar incentivos para que existan contratos formales de largo plazo de suministro de transporte. La CREG deberá examinar el mecanismo existente de subastas de importación regulado por el MME. El decreto debe fijar los lineamientos para definir la expansión de los poliductos. La expansión para beneficio de agentes particulares, debe ser libre bajo el marco del CdP. </w:t>
            </w:r>
          </w:p>
          <w:p w:rsidR="00A54EE5" w:rsidRPr="006C14FA" w:rsidRDefault="00A54EE5" w:rsidP="00417882">
            <w:pPr>
              <w:pStyle w:val="Default"/>
              <w:spacing w:after="272"/>
              <w:contextualSpacing/>
              <w:jc w:val="both"/>
              <w:rPr>
                <w:rFonts w:ascii="Bookman Old Style" w:hAnsi="Bookman Old Style"/>
              </w:rPr>
            </w:pPr>
            <w:r w:rsidRPr="006C14FA">
              <w:rPr>
                <w:rFonts w:ascii="Bookman Old Style" w:hAnsi="Bookman Old Style"/>
              </w:rPr>
              <w:t>El reglamento de transporte debe definir mecanismos para superar restricciones de transporte en casos de fuerza mayor y eventos eximentes. El MME debe establecer la finalidad del Plan de Expansión y del Plan de Continuidad, con las orientaciones de política necesarias para la UPME, la CREG y los agentes</w:t>
            </w:r>
          </w:p>
          <w:p w:rsidR="00A54EE5" w:rsidRPr="006C14FA" w:rsidRDefault="00A54EE5" w:rsidP="00417882">
            <w:pPr>
              <w:pStyle w:val="Default"/>
              <w:spacing w:after="272"/>
              <w:contextualSpacing/>
              <w:jc w:val="both"/>
              <w:rPr>
                <w:rFonts w:ascii="Bookman Old Style" w:hAnsi="Bookman Old Style"/>
                <w:bCs/>
              </w:rPr>
            </w:pPr>
            <w:r w:rsidRPr="006C14FA">
              <w:rPr>
                <w:rFonts w:ascii="Bookman Old Style" w:hAnsi="Bookman Old Style"/>
                <w:b/>
              </w:rPr>
              <w:t>Estudios sugeridos:</w:t>
            </w:r>
          </w:p>
          <w:p w:rsidR="00A54EE5" w:rsidRPr="006C14FA" w:rsidRDefault="00A54EE5" w:rsidP="00297616">
            <w:pPr>
              <w:pStyle w:val="Default"/>
              <w:numPr>
                <w:ilvl w:val="0"/>
                <w:numId w:val="17"/>
              </w:numPr>
              <w:spacing w:after="272"/>
              <w:contextualSpacing/>
              <w:jc w:val="both"/>
              <w:rPr>
                <w:rFonts w:ascii="Bookman Old Style" w:hAnsi="Bookman Old Style"/>
                <w:bCs/>
              </w:rPr>
            </w:pPr>
            <w:r w:rsidRPr="006C14FA">
              <w:rPr>
                <w:rFonts w:ascii="Bookman Old Style" w:hAnsi="Bookman Old Style"/>
                <w:bCs/>
              </w:rPr>
              <w:t>Estudio para determinar los costos eficientes de administración, operación y mantenimiento (AOM)</w:t>
            </w:r>
            <w:r w:rsidR="001B61DC">
              <w:rPr>
                <w:rFonts w:ascii="Bookman Old Style" w:hAnsi="Bookman Old Style"/>
                <w:bCs/>
              </w:rPr>
              <w:t>.</w:t>
            </w:r>
            <w:r w:rsidRPr="006C14FA">
              <w:rPr>
                <w:rFonts w:ascii="Bookman Old Style" w:hAnsi="Bookman Old Style"/>
                <w:bCs/>
              </w:rPr>
              <w:t xml:space="preserve"> </w:t>
            </w:r>
          </w:p>
          <w:p w:rsidR="00A54EE5" w:rsidRPr="006C14FA" w:rsidRDefault="00A54EE5" w:rsidP="00297616">
            <w:pPr>
              <w:pStyle w:val="Default"/>
              <w:numPr>
                <w:ilvl w:val="0"/>
                <w:numId w:val="17"/>
              </w:numPr>
              <w:spacing w:after="272"/>
              <w:contextualSpacing/>
              <w:jc w:val="both"/>
              <w:rPr>
                <w:rFonts w:ascii="Bookman Old Style" w:hAnsi="Bookman Old Style"/>
                <w:bCs/>
              </w:rPr>
            </w:pPr>
            <w:r w:rsidRPr="006C14FA">
              <w:rPr>
                <w:rFonts w:ascii="Bookman Old Style" w:hAnsi="Bookman Old Style"/>
                <w:bCs/>
              </w:rPr>
              <w:t>Estudio para determinar la base de activos a remunerar al transportador.</w:t>
            </w:r>
          </w:p>
          <w:p w:rsidR="00A54EE5" w:rsidRPr="006C14FA" w:rsidRDefault="00A54EE5" w:rsidP="00297616">
            <w:pPr>
              <w:pStyle w:val="Default"/>
              <w:numPr>
                <w:ilvl w:val="0"/>
                <w:numId w:val="17"/>
              </w:numPr>
              <w:spacing w:after="272"/>
              <w:contextualSpacing/>
              <w:jc w:val="both"/>
              <w:rPr>
                <w:rFonts w:ascii="Bookman Old Style" w:hAnsi="Bookman Old Style"/>
              </w:rPr>
            </w:pPr>
            <w:r w:rsidRPr="006C14FA">
              <w:rPr>
                <w:rFonts w:ascii="Bookman Old Style" w:hAnsi="Bookman Old Style"/>
                <w:bCs/>
              </w:rPr>
              <w:t>Estudio para determinar el nivel de pérdidas reconocido al transportador.</w:t>
            </w:r>
          </w:p>
        </w:tc>
      </w:tr>
    </w:tbl>
    <w:p w:rsidR="00A54EE5" w:rsidRPr="006C14FA" w:rsidRDefault="00A54EE5" w:rsidP="00A54EE5">
      <w:pPr>
        <w:autoSpaceDE w:val="0"/>
        <w:autoSpaceDN w:val="0"/>
        <w:adjustRightInd w:val="0"/>
        <w:rPr>
          <w:rFonts w:cs="Arial"/>
          <w:color w:val="000000"/>
          <w:sz w:val="24"/>
          <w:lang w:val="es-CO" w:eastAsia="es-CO"/>
        </w:rPr>
      </w:pPr>
    </w:p>
    <w:p w:rsidR="00CC4FA9" w:rsidRPr="006C14FA" w:rsidRDefault="00C77B93" w:rsidP="00391FB3">
      <w:pPr>
        <w:pStyle w:val="Ttulo3"/>
        <w:rPr>
          <w:rFonts w:cs="Arial"/>
          <w:sz w:val="24"/>
          <w:szCs w:val="24"/>
        </w:rPr>
      </w:pPr>
      <w:bookmarkStart w:id="117" w:name="_Toc433276742"/>
      <w:bookmarkStart w:id="118" w:name="_Toc433295705"/>
      <w:bookmarkStart w:id="119" w:name="_Toc433296430"/>
      <w:r>
        <w:rPr>
          <w:rFonts w:cs="Arial"/>
          <w:sz w:val="24"/>
          <w:szCs w:val="24"/>
        </w:rPr>
        <w:t xml:space="preserve"> </w:t>
      </w:r>
      <w:bookmarkStart w:id="120" w:name="_Toc437500860"/>
      <w:bookmarkStart w:id="121" w:name="_Toc437501519"/>
      <w:bookmarkStart w:id="122" w:name="_Toc437501699"/>
      <w:bookmarkStart w:id="123" w:name="_Toc437501789"/>
      <w:bookmarkStart w:id="124" w:name="_Toc437502552"/>
      <w:bookmarkStart w:id="125" w:name="_Toc437505910"/>
      <w:bookmarkStart w:id="126" w:name="_Toc437512723"/>
      <w:r w:rsidR="00CC4FA9" w:rsidRPr="006C14FA">
        <w:rPr>
          <w:rFonts w:cs="Arial"/>
          <w:sz w:val="24"/>
          <w:szCs w:val="24"/>
        </w:rPr>
        <w:t>Análisi</w:t>
      </w:r>
      <w:r w:rsidR="00C127E5">
        <w:rPr>
          <w:rFonts w:cs="Arial"/>
          <w:sz w:val="24"/>
          <w:szCs w:val="24"/>
        </w:rPr>
        <w:t>s base para definir la metodología de remuneración de transporte de combustibles líquidos por d</w:t>
      </w:r>
      <w:r w:rsidR="00CC4FA9" w:rsidRPr="006C14FA">
        <w:rPr>
          <w:rFonts w:cs="Arial"/>
          <w:sz w:val="24"/>
          <w:szCs w:val="24"/>
        </w:rPr>
        <w:t>uctos.</w:t>
      </w:r>
      <w:sdt>
        <w:sdtPr>
          <w:rPr>
            <w:rFonts w:cs="Arial"/>
            <w:sz w:val="24"/>
            <w:szCs w:val="24"/>
          </w:rPr>
          <w:id w:val="1227883996"/>
          <w:citation/>
        </w:sdtPr>
        <w:sdtEndPr/>
        <w:sdtContent>
          <w:r w:rsidR="00CC4FA9" w:rsidRPr="006C14FA">
            <w:rPr>
              <w:rFonts w:cs="Arial"/>
              <w:sz w:val="24"/>
              <w:szCs w:val="24"/>
            </w:rPr>
            <w:fldChar w:fldCharType="begin"/>
          </w:r>
          <w:r w:rsidR="00CC4FA9" w:rsidRPr="006C14FA">
            <w:rPr>
              <w:rFonts w:cs="Arial"/>
              <w:sz w:val="24"/>
              <w:szCs w:val="24"/>
              <w:lang w:val="es-CO"/>
            </w:rPr>
            <w:instrText xml:space="preserve"> CITATION Aná14 \l 9226 </w:instrText>
          </w:r>
          <w:r w:rsidR="00CC4FA9" w:rsidRPr="006C14FA">
            <w:rPr>
              <w:rFonts w:cs="Arial"/>
              <w:sz w:val="24"/>
              <w:szCs w:val="24"/>
            </w:rPr>
            <w:fldChar w:fldCharType="separate"/>
          </w:r>
          <w:r w:rsidR="00667803">
            <w:rPr>
              <w:rFonts w:cs="Arial"/>
              <w:noProof/>
              <w:sz w:val="24"/>
              <w:szCs w:val="24"/>
              <w:lang w:val="es-CO"/>
            </w:rPr>
            <w:t xml:space="preserve"> </w:t>
          </w:r>
          <w:r w:rsidR="00667803" w:rsidRPr="00667803">
            <w:rPr>
              <w:rFonts w:cs="Arial"/>
              <w:noProof/>
              <w:sz w:val="24"/>
              <w:szCs w:val="24"/>
              <w:lang w:val="es-CO"/>
            </w:rPr>
            <w:t>(SNC- Lavalin, 2014)</w:t>
          </w:r>
          <w:r w:rsidR="00CC4FA9" w:rsidRPr="006C14FA">
            <w:rPr>
              <w:rFonts w:cs="Arial"/>
              <w:sz w:val="24"/>
              <w:szCs w:val="24"/>
            </w:rPr>
            <w:fldChar w:fldCharType="end"/>
          </w:r>
        </w:sdtContent>
      </w:sdt>
      <w:bookmarkEnd w:id="102"/>
      <w:bookmarkEnd w:id="103"/>
      <w:bookmarkEnd w:id="104"/>
      <w:bookmarkEnd w:id="117"/>
      <w:bookmarkEnd w:id="118"/>
      <w:bookmarkEnd w:id="119"/>
      <w:bookmarkEnd w:id="120"/>
      <w:bookmarkEnd w:id="121"/>
      <w:bookmarkEnd w:id="122"/>
      <w:bookmarkEnd w:id="123"/>
      <w:bookmarkEnd w:id="124"/>
      <w:bookmarkEnd w:id="125"/>
      <w:bookmarkEnd w:id="126"/>
    </w:p>
    <w:p w:rsidR="00CC4FA9" w:rsidRPr="006C14FA" w:rsidRDefault="00CC4FA9" w:rsidP="00CC4FA9">
      <w:pPr>
        <w:rPr>
          <w:rFonts w:cs="Arial"/>
          <w:sz w:val="24"/>
          <w:lang w:val="es-ES_tradnl"/>
        </w:rPr>
      </w:pPr>
    </w:p>
    <w:p w:rsidR="00CC4FA9" w:rsidRPr="006C14FA" w:rsidRDefault="00CC4FA9" w:rsidP="00CC4FA9">
      <w:pPr>
        <w:rPr>
          <w:rFonts w:cs="Arial"/>
          <w:snapToGrid w:val="0"/>
          <w:sz w:val="24"/>
        </w:rPr>
      </w:pPr>
      <w:r w:rsidRPr="006C14FA">
        <w:rPr>
          <w:rFonts w:cs="Arial"/>
          <w:snapToGrid w:val="0"/>
          <w:sz w:val="24"/>
        </w:rPr>
        <w:t xml:space="preserve">El estudio más reciente con relación a la tarifa de poliductos lo hizo SNC Lavalin (Itansuca) para la CREG, finalizando </w:t>
      </w:r>
      <w:r w:rsidR="00C127E5">
        <w:rPr>
          <w:rFonts w:cs="Arial"/>
          <w:snapToGrid w:val="0"/>
          <w:sz w:val="24"/>
        </w:rPr>
        <w:t xml:space="preserve">en </w:t>
      </w:r>
      <w:r w:rsidRPr="006C14FA">
        <w:rPr>
          <w:rFonts w:cs="Arial"/>
          <w:snapToGrid w:val="0"/>
          <w:sz w:val="24"/>
        </w:rPr>
        <w:t>el año 2014.</w:t>
      </w:r>
    </w:p>
    <w:p w:rsidR="007541E9" w:rsidRPr="006C14FA" w:rsidRDefault="007541E9" w:rsidP="00D247E3">
      <w:pPr>
        <w:rPr>
          <w:snapToGrid w:val="0"/>
        </w:rPr>
      </w:pPr>
    </w:p>
    <w:tbl>
      <w:tblPr>
        <w:tblStyle w:val="Tablaconcuadrcula"/>
        <w:tblW w:w="0" w:type="auto"/>
        <w:tblLook w:val="04A0" w:firstRow="1" w:lastRow="0" w:firstColumn="1" w:lastColumn="0" w:noHBand="0" w:noVBand="1"/>
      </w:tblPr>
      <w:tblGrid>
        <w:gridCol w:w="3227"/>
        <w:gridCol w:w="6269"/>
      </w:tblGrid>
      <w:tr w:rsidR="00EA0CBD" w:rsidRPr="006C14FA" w:rsidTr="00D66608">
        <w:trPr>
          <w:tblHeader/>
        </w:trPr>
        <w:tc>
          <w:tcPr>
            <w:tcW w:w="9496" w:type="dxa"/>
            <w:gridSpan w:val="2"/>
          </w:tcPr>
          <w:p w:rsidR="00EA0CBD" w:rsidRPr="006C14FA" w:rsidRDefault="00EA0CBD" w:rsidP="00D37925">
            <w:pPr>
              <w:jc w:val="center"/>
              <w:rPr>
                <w:rFonts w:cs="Arial"/>
                <w:b/>
                <w:sz w:val="24"/>
              </w:rPr>
            </w:pPr>
            <w:bookmarkStart w:id="127" w:name="_Toc437512810"/>
            <w:r>
              <w:t xml:space="preserve">Tabla </w:t>
            </w:r>
            <w:r>
              <w:fldChar w:fldCharType="begin"/>
            </w:r>
            <w:r>
              <w:instrText xml:space="preserve"> SEQ Tabla \* ARABIC </w:instrText>
            </w:r>
            <w:r>
              <w:fldChar w:fldCharType="separate"/>
            </w:r>
            <w:r w:rsidR="00625BEB">
              <w:rPr>
                <w:noProof/>
              </w:rPr>
              <w:t>4</w:t>
            </w:r>
            <w:r>
              <w:fldChar w:fldCharType="end"/>
            </w:r>
            <w:r>
              <w:t xml:space="preserve"> </w:t>
            </w:r>
            <w:r w:rsidRPr="00B14D8A">
              <w:t>Objetivos y conclusiones estudio SNC Lavalin 2014</w:t>
            </w:r>
            <w:bookmarkEnd w:id="127"/>
          </w:p>
        </w:tc>
      </w:tr>
      <w:tr w:rsidR="00503590" w:rsidRPr="006C14FA" w:rsidTr="00D66608">
        <w:trPr>
          <w:tblHeader/>
        </w:trPr>
        <w:tc>
          <w:tcPr>
            <w:tcW w:w="3227" w:type="dxa"/>
          </w:tcPr>
          <w:p w:rsidR="00503590" w:rsidRPr="00EA0CBD" w:rsidRDefault="00503590" w:rsidP="00D37925">
            <w:pPr>
              <w:jc w:val="center"/>
              <w:rPr>
                <w:rFonts w:cs="Arial"/>
                <w:sz w:val="24"/>
              </w:rPr>
            </w:pPr>
            <w:r w:rsidRPr="00EA0CBD">
              <w:rPr>
                <w:rFonts w:cs="Arial"/>
                <w:sz w:val="24"/>
              </w:rPr>
              <w:t>Objetivos</w:t>
            </w:r>
          </w:p>
        </w:tc>
        <w:tc>
          <w:tcPr>
            <w:tcW w:w="6269" w:type="dxa"/>
          </w:tcPr>
          <w:p w:rsidR="00503590" w:rsidRPr="00EA0CBD" w:rsidRDefault="00503590" w:rsidP="00D37925">
            <w:pPr>
              <w:jc w:val="center"/>
              <w:rPr>
                <w:rFonts w:cs="Arial"/>
                <w:sz w:val="24"/>
              </w:rPr>
            </w:pPr>
            <w:r w:rsidRPr="00EA0CBD">
              <w:rPr>
                <w:rFonts w:cs="Arial"/>
                <w:sz w:val="24"/>
              </w:rPr>
              <w:t>Conclusiones</w:t>
            </w:r>
          </w:p>
        </w:tc>
      </w:tr>
      <w:tr w:rsidR="00503590" w:rsidRPr="006C14FA" w:rsidTr="00D37925">
        <w:tc>
          <w:tcPr>
            <w:tcW w:w="3227" w:type="dxa"/>
          </w:tcPr>
          <w:p w:rsidR="00503590" w:rsidRPr="006C14FA" w:rsidRDefault="00503590" w:rsidP="00297616">
            <w:pPr>
              <w:pStyle w:val="Prrafodelista"/>
              <w:numPr>
                <w:ilvl w:val="0"/>
                <w:numId w:val="15"/>
              </w:numPr>
              <w:rPr>
                <w:rFonts w:cs="Arial"/>
                <w:bCs/>
                <w:sz w:val="24"/>
                <w:szCs w:val="24"/>
              </w:rPr>
            </w:pPr>
            <w:r w:rsidRPr="006C14FA">
              <w:rPr>
                <w:rFonts w:cs="Arial"/>
                <w:sz w:val="24"/>
                <w:szCs w:val="24"/>
              </w:rPr>
              <w:t>Adelantar una investigación de las metodologías de remuneración del servicio de transporte de combustibles líquidos en al menos tres (3) países.</w:t>
            </w:r>
          </w:p>
          <w:p w:rsidR="00503590" w:rsidRPr="006C14FA" w:rsidRDefault="00503590" w:rsidP="00297616">
            <w:pPr>
              <w:pStyle w:val="Prrafodelista"/>
              <w:numPr>
                <w:ilvl w:val="0"/>
                <w:numId w:val="15"/>
              </w:numPr>
              <w:rPr>
                <w:rFonts w:cs="Arial"/>
                <w:bCs/>
                <w:sz w:val="24"/>
                <w:szCs w:val="24"/>
              </w:rPr>
            </w:pPr>
            <w:r w:rsidRPr="006C14FA">
              <w:rPr>
                <w:rFonts w:cs="Arial"/>
                <w:sz w:val="24"/>
                <w:szCs w:val="24"/>
              </w:rPr>
              <w:t xml:space="preserve">Revisar y analizar en el caso colombiano las metodologías de remuneración aplicadas hasta la fecha por </w:t>
            </w:r>
            <w:r w:rsidR="00C127E5">
              <w:rPr>
                <w:rFonts w:cs="Arial"/>
                <w:sz w:val="24"/>
                <w:szCs w:val="24"/>
              </w:rPr>
              <w:t xml:space="preserve">el </w:t>
            </w:r>
            <w:r w:rsidRPr="006C14FA">
              <w:rPr>
                <w:rFonts w:cs="Arial"/>
                <w:sz w:val="24"/>
                <w:szCs w:val="24"/>
              </w:rPr>
              <w:t>Ministerio de Minas y Energía.</w:t>
            </w:r>
          </w:p>
          <w:p w:rsidR="00503590" w:rsidRPr="006C14FA" w:rsidRDefault="00503590" w:rsidP="00297616">
            <w:pPr>
              <w:pStyle w:val="Prrafodelista"/>
              <w:numPr>
                <w:ilvl w:val="0"/>
                <w:numId w:val="15"/>
              </w:numPr>
              <w:rPr>
                <w:rFonts w:cs="Arial"/>
                <w:sz w:val="24"/>
                <w:szCs w:val="24"/>
              </w:rPr>
            </w:pPr>
            <w:r w:rsidRPr="006C14FA">
              <w:rPr>
                <w:rFonts w:cs="Arial"/>
                <w:sz w:val="24"/>
                <w:szCs w:val="24"/>
              </w:rPr>
              <w:lastRenderedPageBreak/>
              <w:t xml:space="preserve">Estructurar desarrollar en un modelo de cálculo cuatro diferentes alternativas de modelo tarifario. </w:t>
            </w:r>
          </w:p>
          <w:p w:rsidR="00503590" w:rsidRPr="006C14FA" w:rsidRDefault="00503590" w:rsidP="00297616">
            <w:pPr>
              <w:pStyle w:val="Prrafodelista"/>
              <w:numPr>
                <w:ilvl w:val="0"/>
                <w:numId w:val="15"/>
              </w:numPr>
              <w:rPr>
                <w:rFonts w:cs="Arial"/>
                <w:sz w:val="24"/>
                <w:szCs w:val="24"/>
                <w:lang w:val="es-ES_tradnl"/>
              </w:rPr>
            </w:pPr>
            <w:r w:rsidRPr="006C14FA">
              <w:rPr>
                <w:rFonts w:cs="Arial"/>
                <w:sz w:val="24"/>
                <w:szCs w:val="24"/>
              </w:rPr>
              <w:t>Diseñar una propuesta para la remuneración de sistemas de seguridad de abastecimiento.</w:t>
            </w:r>
          </w:p>
        </w:tc>
        <w:tc>
          <w:tcPr>
            <w:tcW w:w="6269" w:type="dxa"/>
          </w:tcPr>
          <w:p w:rsidR="001B61DC" w:rsidRPr="00327930" w:rsidRDefault="001B61DC" w:rsidP="00297616">
            <w:pPr>
              <w:pStyle w:val="Prrafodelista"/>
              <w:numPr>
                <w:ilvl w:val="0"/>
                <w:numId w:val="15"/>
              </w:numPr>
              <w:rPr>
                <w:rFonts w:cs="Arial"/>
                <w:sz w:val="24"/>
                <w:szCs w:val="24"/>
              </w:rPr>
            </w:pPr>
            <w:r w:rsidRPr="00327930">
              <w:rPr>
                <w:rFonts w:cs="Arial"/>
                <w:sz w:val="24"/>
                <w:szCs w:val="24"/>
              </w:rPr>
              <w:lastRenderedPageBreak/>
              <w:t>El esquema tarifario es particular de cada sistema o servicio que se está regulando, por lo que en su diseño se deben tener en cuenta las condiciones particulares de cada mercado al que el sistema de ductos pertenece de tal forma que se puedan alinear los objetivos de desarrollo del mercado con el esquema tarifario.</w:t>
            </w:r>
          </w:p>
          <w:p w:rsidR="001B61DC" w:rsidRPr="00327930" w:rsidRDefault="001B61DC" w:rsidP="00297616">
            <w:pPr>
              <w:pStyle w:val="Prrafodelista"/>
              <w:numPr>
                <w:ilvl w:val="0"/>
                <w:numId w:val="15"/>
              </w:numPr>
              <w:rPr>
                <w:rFonts w:cs="Arial"/>
                <w:sz w:val="24"/>
                <w:szCs w:val="24"/>
              </w:rPr>
            </w:pPr>
            <w:r w:rsidRPr="00327930">
              <w:rPr>
                <w:rFonts w:cs="Arial"/>
                <w:sz w:val="24"/>
                <w:szCs w:val="24"/>
              </w:rPr>
              <w:t>Se recomienda a la Comisión revisar en mayor detalle la metodología y criterios que se utilizarán para la valoración de los activos que se incluirán en la base tarifaria.</w:t>
            </w:r>
          </w:p>
          <w:p w:rsidR="001B61DC" w:rsidRPr="00327930" w:rsidRDefault="001B61DC" w:rsidP="00297616">
            <w:pPr>
              <w:pStyle w:val="Prrafodelista"/>
              <w:numPr>
                <w:ilvl w:val="0"/>
                <w:numId w:val="15"/>
              </w:numPr>
              <w:rPr>
                <w:rFonts w:cs="Arial"/>
                <w:sz w:val="24"/>
                <w:szCs w:val="24"/>
              </w:rPr>
            </w:pPr>
            <w:r w:rsidRPr="00327930">
              <w:rPr>
                <w:rFonts w:cs="Arial"/>
                <w:sz w:val="24"/>
                <w:szCs w:val="24"/>
              </w:rPr>
              <w:t xml:space="preserve">Si bien para el esquema actual se recomienda utilizar un modelo de transportador por contrato, se sugiere que se profundice en el diseño del mecanismo de expansión del sistema </w:t>
            </w:r>
            <w:r w:rsidRPr="00327930">
              <w:rPr>
                <w:rFonts w:cs="Arial"/>
                <w:sz w:val="24"/>
                <w:szCs w:val="24"/>
              </w:rPr>
              <w:lastRenderedPageBreak/>
              <w:t>y su remuneración, de tal forma que se garantice la oportunidad de nueva capacidad cuando sea requerida por la demanda.</w:t>
            </w:r>
          </w:p>
          <w:p w:rsidR="001B61DC" w:rsidRPr="00327930" w:rsidRDefault="001B61DC" w:rsidP="00297616">
            <w:pPr>
              <w:pStyle w:val="Prrafodelista"/>
              <w:numPr>
                <w:ilvl w:val="0"/>
                <w:numId w:val="15"/>
              </w:numPr>
              <w:rPr>
                <w:rFonts w:cs="Arial"/>
                <w:sz w:val="24"/>
                <w:szCs w:val="24"/>
              </w:rPr>
            </w:pPr>
            <w:r w:rsidRPr="00327930">
              <w:rPr>
                <w:rFonts w:cs="Arial"/>
                <w:sz w:val="24"/>
                <w:szCs w:val="24"/>
              </w:rPr>
              <w:t>El modelo de entrada y salida no arroja resultados razonables y sus beneficios no se pueden observar en el caso del sistema de poliductos colombiano. Lo anterior por la configuración radial del sistema que lleva a que las tarifas definidas bajo el esquema de entrada y salida sean similares a las de distancia.</w:t>
            </w:r>
          </w:p>
          <w:p w:rsidR="001B61DC" w:rsidRPr="00327930" w:rsidRDefault="001B61DC" w:rsidP="00297616">
            <w:pPr>
              <w:pStyle w:val="Prrafodelista"/>
              <w:numPr>
                <w:ilvl w:val="0"/>
                <w:numId w:val="15"/>
              </w:numPr>
              <w:rPr>
                <w:rFonts w:cs="Arial"/>
                <w:sz w:val="24"/>
                <w:szCs w:val="24"/>
              </w:rPr>
            </w:pPr>
            <w:r w:rsidRPr="00327930">
              <w:rPr>
                <w:rFonts w:cs="Arial"/>
                <w:sz w:val="24"/>
                <w:szCs w:val="24"/>
              </w:rPr>
              <w:t>El modelo de distancia pura resulta el más eficiente como señal económica, sin embargo es necesario considerar la barrera que puede generar este esquema para las importaciones o los agentes importadores en un ambiente de competencia en la oferta con acceso abierto al sistema de poliductos.</w:t>
            </w:r>
          </w:p>
          <w:p w:rsidR="001B61DC" w:rsidRPr="00327930" w:rsidRDefault="001B61DC" w:rsidP="00297616">
            <w:pPr>
              <w:pStyle w:val="Prrafodelista"/>
              <w:numPr>
                <w:ilvl w:val="0"/>
                <w:numId w:val="15"/>
              </w:numPr>
              <w:rPr>
                <w:rFonts w:cs="Arial"/>
                <w:sz w:val="24"/>
                <w:szCs w:val="24"/>
              </w:rPr>
            </w:pPr>
            <w:r w:rsidRPr="00327930">
              <w:rPr>
                <w:rFonts w:cs="Arial"/>
                <w:sz w:val="24"/>
                <w:szCs w:val="24"/>
              </w:rPr>
              <w:t>La combinación de distancia y estampilla puede ser una herramienta que permita eliminar barreras a los importadores, sin embargo el criterio de asignación de costos o traslado de costos a otros tramos debe ser transparente para el mercado de tal forma que exista claridad sobre las razones de la decisión regulatoria en caso de ser este el modelo que se adopte.</w:t>
            </w:r>
          </w:p>
          <w:p w:rsidR="001B61DC" w:rsidRPr="00327930" w:rsidRDefault="001B61DC" w:rsidP="00297616">
            <w:pPr>
              <w:pStyle w:val="Prrafodelista"/>
              <w:numPr>
                <w:ilvl w:val="0"/>
                <w:numId w:val="15"/>
              </w:numPr>
              <w:rPr>
                <w:rFonts w:cs="Arial"/>
                <w:sz w:val="24"/>
                <w:szCs w:val="24"/>
              </w:rPr>
            </w:pPr>
            <w:r w:rsidRPr="00327930">
              <w:rPr>
                <w:rFonts w:cs="Arial"/>
                <w:sz w:val="24"/>
                <w:szCs w:val="24"/>
              </w:rPr>
              <w:t>Por la configuración del sistema de poliductos en Colombia y considerando la necesidad que existe de promover la competencia a nivel de oferta por los beneficios que esto genera al mercado, la alternativa de estampilla puede ser el modelo más recomendable desde este punto de vista, sin embargo se debe analizar la coherencia de este esquema con las disposiciones legales.</w:t>
            </w:r>
          </w:p>
          <w:p w:rsidR="001B61DC" w:rsidRPr="00327930" w:rsidRDefault="001B61DC" w:rsidP="00297616">
            <w:pPr>
              <w:pStyle w:val="Prrafodelista"/>
              <w:numPr>
                <w:ilvl w:val="0"/>
                <w:numId w:val="15"/>
              </w:numPr>
              <w:rPr>
                <w:rFonts w:cs="Arial"/>
                <w:sz w:val="24"/>
                <w:szCs w:val="24"/>
              </w:rPr>
            </w:pPr>
            <w:r w:rsidRPr="00327930">
              <w:rPr>
                <w:rFonts w:cs="Arial"/>
                <w:sz w:val="24"/>
                <w:szCs w:val="24"/>
              </w:rPr>
              <w:t>En lo que respecta al análisis de los países, se puede concluir que el acceso es libre, transparente y que la remuneración es igual para todos los agentes que requieran el servicio. De igual manera, la metodología de cálculo es similar en todos los países estudiados y remunera los activos y gastos operacionales y de mantenimiento, descontados  a una tasa representativa del negocio.</w:t>
            </w:r>
          </w:p>
          <w:p w:rsidR="00503590" w:rsidRPr="00327930" w:rsidRDefault="001B61DC" w:rsidP="00297616">
            <w:pPr>
              <w:pStyle w:val="Prrafodelista"/>
              <w:numPr>
                <w:ilvl w:val="0"/>
                <w:numId w:val="15"/>
              </w:numPr>
              <w:rPr>
                <w:rFonts w:cs="Arial"/>
              </w:rPr>
            </w:pPr>
            <w:r w:rsidRPr="00327930">
              <w:rPr>
                <w:rFonts w:cs="Arial"/>
                <w:sz w:val="24"/>
                <w:szCs w:val="24"/>
              </w:rPr>
              <w:t>La opción de disponer de una infraestructura que garantice la continuidad y seguridad del abastecimiento se debe remunerar con un ingreso máximo garantizado y trasladada al público vía tarifa expresada en pesos por galón.</w:t>
            </w:r>
            <w:r w:rsidRPr="00866406">
              <w:rPr>
                <w:rFonts w:cs="Arial"/>
              </w:rPr>
              <w:t xml:space="preserve"> </w:t>
            </w:r>
          </w:p>
        </w:tc>
      </w:tr>
    </w:tbl>
    <w:p w:rsidR="0083557B" w:rsidRPr="006C14FA" w:rsidRDefault="0083557B" w:rsidP="0076075D">
      <w:pPr>
        <w:pStyle w:val="Ttulo1"/>
        <w:spacing w:after="240"/>
        <w:ind w:left="426" w:hanging="426"/>
        <w:jc w:val="both"/>
        <w:rPr>
          <w:rFonts w:ascii="Bookman Old Style" w:eastAsia="Arial" w:hAnsi="Bookman Old Style" w:cs="Arial"/>
          <w:sz w:val="24"/>
        </w:rPr>
      </w:pPr>
      <w:bookmarkStart w:id="128" w:name="_Toc424832916"/>
      <w:bookmarkStart w:id="129" w:name="_Toc424887647"/>
      <w:bookmarkStart w:id="130" w:name="_Toc425488406"/>
      <w:bookmarkStart w:id="131" w:name="_Toc426035047"/>
      <w:bookmarkStart w:id="132" w:name="_Toc427333580"/>
      <w:bookmarkStart w:id="133" w:name="_Toc427336521"/>
      <w:bookmarkStart w:id="134" w:name="_Toc427681811"/>
      <w:bookmarkStart w:id="135" w:name="_Toc433276743"/>
      <w:bookmarkStart w:id="136" w:name="_Toc433295706"/>
      <w:bookmarkStart w:id="137" w:name="_Toc433296431"/>
      <w:bookmarkStart w:id="138" w:name="_Toc437500861"/>
      <w:bookmarkStart w:id="139" w:name="_Toc437501520"/>
      <w:bookmarkStart w:id="140" w:name="_Toc437501700"/>
      <w:bookmarkStart w:id="141" w:name="_Toc437501790"/>
      <w:bookmarkStart w:id="142" w:name="_Toc437502553"/>
      <w:bookmarkStart w:id="143" w:name="_Toc437505911"/>
      <w:bookmarkStart w:id="144" w:name="_Toc437512724"/>
      <w:r w:rsidRPr="006C14FA">
        <w:rPr>
          <w:rFonts w:ascii="Bookman Old Style" w:eastAsia="Arial" w:hAnsi="Bookman Old Style" w:cs="Arial"/>
          <w:sz w:val="24"/>
        </w:rPr>
        <w:lastRenderedPageBreak/>
        <w:t>GENERALIDADES DEL TRANSPORTE DE COMBUSTIBLES LÍQUIDOS Y GLP POR DUCTOS</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sidR="0083557B" w:rsidRPr="006C14FA" w:rsidRDefault="00FC62CF" w:rsidP="00FC62CF">
      <w:pPr>
        <w:widowControl w:val="0"/>
        <w:rPr>
          <w:rFonts w:eastAsia="Arial" w:cs="Arial"/>
          <w:sz w:val="24"/>
          <w:lang w:val="es-CO"/>
        </w:rPr>
      </w:pPr>
      <w:r>
        <w:rPr>
          <w:rFonts w:eastAsia="Arial" w:cs="Arial"/>
          <w:sz w:val="24"/>
        </w:rPr>
        <w:t xml:space="preserve">En el artículo 2.2.1.1.2.2,3.85 del </w:t>
      </w:r>
      <w:r w:rsidR="00C127E5" w:rsidRPr="00437FEA">
        <w:rPr>
          <w:rFonts w:eastAsia="Arial" w:cs="Arial"/>
          <w:sz w:val="24"/>
        </w:rPr>
        <w:t xml:space="preserve">Decreto 1073 de 2015, </w:t>
      </w:r>
      <w:r>
        <w:rPr>
          <w:rFonts w:eastAsia="Arial" w:cs="Arial"/>
          <w:sz w:val="24"/>
        </w:rPr>
        <w:t xml:space="preserve">que hace referencia al contenido del artículo 16 del Decreto 4299 de 2005, </w:t>
      </w:r>
      <w:r w:rsidR="0083557B" w:rsidRPr="006C14FA">
        <w:rPr>
          <w:rFonts w:eastAsia="Arial" w:cs="Arial"/>
          <w:sz w:val="24"/>
          <w:lang w:val="es-CO"/>
        </w:rPr>
        <w:t xml:space="preserve">establece en el </w:t>
      </w:r>
      <w:r>
        <w:rPr>
          <w:rFonts w:eastAsia="Arial" w:cs="Arial"/>
          <w:sz w:val="24"/>
          <w:lang w:val="es-CO"/>
        </w:rPr>
        <w:t>acápite “Del Transportador”</w:t>
      </w:r>
      <w:r w:rsidR="0083557B" w:rsidRPr="006C14FA">
        <w:rPr>
          <w:rFonts w:eastAsia="Arial" w:cs="Arial"/>
          <w:sz w:val="24"/>
          <w:lang w:val="es-CO"/>
        </w:rPr>
        <w:t xml:space="preserve"> los medios a través los</w:t>
      </w:r>
      <w:r>
        <w:rPr>
          <w:rFonts w:eastAsia="Arial" w:cs="Arial"/>
          <w:sz w:val="24"/>
          <w:lang w:val="es-CO"/>
        </w:rPr>
        <w:t xml:space="preserve"> cuales se puede llevar a cabo </w:t>
      </w:r>
      <w:r w:rsidR="0083557B" w:rsidRPr="006C14FA">
        <w:rPr>
          <w:rFonts w:eastAsia="Arial" w:cs="Arial"/>
          <w:sz w:val="24"/>
          <w:lang w:val="es-CO"/>
        </w:rPr>
        <w:t>el transporte de combustibles líquidos:</w:t>
      </w:r>
    </w:p>
    <w:p w:rsidR="0083557B" w:rsidRPr="0076075D" w:rsidRDefault="0083557B" w:rsidP="0083557B">
      <w:pPr>
        <w:rPr>
          <w:rFonts w:eastAsia="Arial" w:cs="Arial"/>
          <w:sz w:val="16"/>
          <w:lang w:val="es-CO"/>
        </w:rPr>
      </w:pPr>
    </w:p>
    <w:p w:rsidR="0083557B" w:rsidRPr="006C14FA" w:rsidRDefault="0083557B" w:rsidP="002864AD">
      <w:pPr>
        <w:numPr>
          <w:ilvl w:val="0"/>
          <w:numId w:val="2"/>
        </w:numPr>
        <w:rPr>
          <w:rFonts w:cs="Arial"/>
          <w:sz w:val="24"/>
        </w:rPr>
      </w:pPr>
      <w:r w:rsidRPr="006C14FA">
        <w:rPr>
          <w:rFonts w:cs="Arial"/>
          <w:sz w:val="24"/>
        </w:rPr>
        <w:t>Terrestre</w:t>
      </w:r>
    </w:p>
    <w:p w:rsidR="0083557B" w:rsidRPr="006C14FA" w:rsidRDefault="0083557B" w:rsidP="002864AD">
      <w:pPr>
        <w:numPr>
          <w:ilvl w:val="0"/>
          <w:numId w:val="2"/>
        </w:numPr>
        <w:rPr>
          <w:rFonts w:cs="Arial"/>
          <w:sz w:val="24"/>
        </w:rPr>
      </w:pPr>
      <w:r w:rsidRPr="006C14FA">
        <w:rPr>
          <w:rFonts w:cs="Arial"/>
          <w:sz w:val="24"/>
        </w:rPr>
        <w:t>Poliductos</w:t>
      </w:r>
    </w:p>
    <w:p w:rsidR="0083557B" w:rsidRPr="006C14FA" w:rsidRDefault="0083557B" w:rsidP="002864AD">
      <w:pPr>
        <w:numPr>
          <w:ilvl w:val="0"/>
          <w:numId w:val="2"/>
        </w:numPr>
        <w:rPr>
          <w:rFonts w:cs="Arial"/>
          <w:sz w:val="24"/>
        </w:rPr>
      </w:pPr>
      <w:r w:rsidRPr="006C14FA">
        <w:rPr>
          <w:rFonts w:cs="Arial"/>
          <w:sz w:val="24"/>
        </w:rPr>
        <w:t>Marítimo</w:t>
      </w:r>
    </w:p>
    <w:p w:rsidR="0083557B" w:rsidRPr="006C14FA" w:rsidRDefault="0083557B" w:rsidP="002864AD">
      <w:pPr>
        <w:numPr>
          <w:ilvl w:val="0"/>
          <w:numId w:val="2"/>
        </w:numPr>
        <w:rPr>
          <w:rFonts w:cs="Arial"/>
          <w:sz w:val="24"/>
        </w:rPr>
      </w:pPr>
      <w:r w:rsidRPr="006C14FA">
        <w:rPr>
          <w:rFonts w:cs="Arial"/>
          <w:sz w:val="24"/>
        </w:rPr>
        <w:t>Fluvial</w:t>
      </w:r>
    </w:p>
    <w:p w:rsidR="0083557B" w:rsidRPr="006C14FA" w:rsidRDefault="0083557B" w:rsidP="002864AD">
      <w:pPr>
        <w:numPr>
          <w:ilvl w:val="0"/>
          <w:numId w:val="2"/>
        </w:numPr>
        <w:rPr>
          <w:rFonts w:cs="Arial"/>
          <w:sz w:val="24"/>
        </w:rPr>
      </w:pPr>
      <w:r w:rsidRPr="006C14FA">
        <w:rPr>
          <w:rFonts w:cs="Arial"/>
          <w:sz w:val="24"/>
        </w:rPr>
        <w:t xml:space="preserve">Férreo </w:t>
      </w:r>
    </w:p>
    <w:p w:rsidR="0083557B" w:rsidRPr="006C14FA" w:rsidRDefault="0083557B" w:rsidP="002864AD">
      <w:pPr>
        <w:numPr>
          <w:ilvl w:val="0"/>
          <w:numId w:val="2"/>
        </w:numPr>
        <w:rPr>
          <w:rFonts w:cs="Arial"/>
          <w:sz w:val="24"/>
        </w:rPr>
      </w:pPr>
      <w:r w:rsidRPr="006C14FA">
        <w:rPr>
          <w:rFonts w:cs="Arial"/>
          <w:sz w:val="24"/>
        </w:rPr>
        <w:t>Aéreo</w:t>
      </w:r>
    </w:p>
    <w:p w:rsidR="0083557B" w:rsidRPr="0076075D" w:rsidRDefault="0083557B" w:rsidP="0083557B">
      <w:pPr>
        <w:rPr>
          <w:rFonts w:cs="Arial"/>
          <w:sz w:val="16"/>
        </w:rPr>
      </w:pPr>
    </w:p>
    <w:p w:rsidR="003F05F4" w:rsidRPr="000A3AD2" w:rsidRDefault="0083557B" w:rsidP="0083557B">
      <w:pPr>
        <w:rPr>
          <w:rFonts w:cs="Arial"/>
          <w:sz w:val="24"/>
        </w:rPr>
      </w:pPr>
      <w:r w:rsidRPr="006C14FA">
        <w:rPr>
          <w:rFonts w:cs="Arial"/>
          <w:sz w:val="24"/>
        </w:rPr>
        <w:t xml:space="preserve">En Colombia el transporte por poliductos </w:t>
      </w:r>
      <w:r w:rsidR="00DD3BD0">
        <w:rPr>
          <w:rFonts w:cs="Arial"/>
          <w:sz w:val="24"/>
        </w:rPr>
        <w:t xml:space="preserve">y propanoductos </w:t>
      </w:r>
      <w:r w:rsidRPr="006C14FA">
        <w:rPr>
          <w:rFonts w:cs="Arial"/>
          <w:sz w:val="24"/>
        </w:rPr>
        <w:t>es una actividad de naturaleza monopólica</w:t>
      </w:r>
      <w:r w:rsidR="00E952C4">
        <w:rPr>
          <w:rFonts w:cs="Arial"/>
          <w:sz w:val="24"/>
        </w:rPr>
        <w:t xml:space="preserve">. </w:t>
      </w:r>
      <w:r w:rsidR="00A56932">
        <w:rPr>
          <w:rFonts w:cs="Arial"/>
          <w:sz w:val="24"/>
        </w:rPr>
        <w:t>A</w:t>
      </w:r>
      <w:r w:rsidR="00A56932" w:rsidRPr="006C14FA">
        <w:rPr>
          <w:rFonts w:cs="Arial"/>
          <w:sz w:val="24"/>
        </w:rPr>
        <w:t xml:space="preserve">ctualmente la infraestructura de poliductos es propiedad de </w:t>
      </w:r>
      <w:r w:rsidR="00A56932" w:rsidRPr="006C14FA">
        <w:rPr>
          <w:rFonts w:eastAsia="Arial" w:cs="Arial"/>
          <w:sz w:val="24"/>
          <w:lang w:val="es-CO"/>
        </w:rPr>
        <w:t>Cenit Transpor</w:t>
      </w:r>
      <w:r w:rsidR="00A56932">
        <w:rPr>
          <w:rFonts w:eastAsia="Arial" w:cs="Arial"/>
          <w:sz w:val="24"/>
          <w:lang w:val="es-CO"/>
        </w:rPr>
        <w:t>te y Logística de Hidrocarburos S.A.S.</w:t>
      </w:r>
    </w:p>
    <w:p w:rsidR="003F05F4" w:rsidRPr="0076075D" w:rsidRDefault="003F05F4" w:rsidP="0083557B">
      <w:pPr>
        <w:rPr>
          <w:rFonts w:eastAsia="Arial" w:cs="Arial"/>
          <w:sz w:val="8"/>
          <w:lang w:val="es-CO"/>
        </w:rPr>
      </w:pPr>
    </w:p>
    <w:p w:rsidR="0083557B" w:rsidRPr="00996520" w:rsidRDefault="00890566" w:rsidP="00890566">
      <w:pPr>
        <w:pStyle w:val="Ttulo2"/>
        <w:rPr>
          <w:rFonts w:eastAsia="Arial"/>
          <w:sz w:val="24"/>
        </w:rPr>
      </w:pPr>
      <w:bookmarkStart w:id="145" w:name="_Toc424832917"/>
      <w:bookmarkStart w:id="146" w:name="_Toc424887648"/>
      <w:bookmarkStart w:id="147" w:name="_Toc425488407"/>
      <w:bookmarkStart w:id="148" w:name="_Toc426035048"/>
      <w:bookmarkStart w:id="149" w:name="_Toc427333581"/>
      <w:bookmarkStart w:id="150" w:name="_Toc427336522"/>
      <w:bookmarkStart w:id="151" w:name="_Toc427681812"/>
      <w:bookmarkStart w:id="152" w:name="_Toc433276744"/>
      <w:bookmarkStart w:id="153" w:name="_Toc433295707"/>
      <w:bookmarkStart w:id="154" w:name="_Toc433296432"/>
      <w:bookmarkStart w:id="155" w:name="_Toc437500862"/>
      <w:bookmarkStart w:id="156" w:name="_Toc437501521"/>
      <w:bookmarkStart w:id="157" w:name="_Toc437501701"/>
      <w:bookmarkStart w:id="158" w:name="_Toc437501791"/>
      <w:bookmarkStart w:id="159" w:name="_Toc437502554"/>
      <w:bookmarkStart w:id="160" w:name="_Toc437505912"/>
      <w:bookmarkStart w:id="161" w:name="_Toc437512725"/>
      <w:r w:rsidRPr="00996520">
        <w:rPr>
          <w:rFonts w:eastAsia="Arial"/>
          <w:sz w:val="24"/>
        </w:rPr>
        <w:t>t</w:t>
      </w:r>
      <w:r w:rsidR="003A3358" w:rsidRPr="00996520">
        <w:rPr>
          <w:rFonts w:eastAsia="Arial"/>
          <w:sz w:val="24"/>
        </w:rPr>
        <w:t>ransporte por ducto en la cadena de valor</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83557B" w:rsidRPr="006C14FA" w:rsidRDefault="0083557B" w:rsidP="0083557B">
      <w:pPr>
        <w:rPr>
          <w:rFonts w:eastAsia="Arial" w:cs="Arial"/>
          <w:sz w:val="24"/>
          <w:lang w:val="es-CO"/>
        </w:rPr>
      </w:pPr>
      <w:r w:rsidRPr="000A00F1">
        <w:rPr>
          <w:rFonts w:eastAsia="Arial"/>
          <w:sz w:val="24"/>
        </w:rPr>
        <w:t xml:space="preserve">La </w:t>
      </w:r>
      <w:r w:rsidR="00316419" w:rsidRPr="000A00F1">
        <w:rPr>
          <w:rFonts w:eastAsia="Arial"/>
          <w:sz w:val="24"/>
        </w:rPr>
        <w:fldChar w:fldCharType="begin"/>
      </w:r>
      <w:r w:rsidR="00316419" w:rsidRPr="000A00F1">
        <w:rPr>
          <w:rFonts w:eastAsia="Arial"/>
          <w:sz w:val="24"/>
        </w:rPr>
        <w:instrText xml:space="preserve"> REF _Ref433966053 \h </w:instrText>
      </w:r>
      <w:r w:rsidR="000A00F1">
        <w:rPr>
          <w:rFonts w:eastAsia="Arial"/>
          <w:sz w:val="24"/>
        </w:rPr>
        <w:instrText xml:space="preserve"> \* MERGEFORMAT </w:instrText>
      </w:r>
      <w:r w:rsidR="00316419" w:rsidRPr="000A00F1">
        <w:rPr>
          <w:rFonts w:eastAsia="Arial"/>
          <w:sz w:val="24"/>
        </w:rPr>
      </w:r>
      <w:r w:rsidR="00316419" w:rsidRPr="000A00F1">
        <w:rPr>
          <w:rFonts w:eastAsia="Arial"/>
          <w:sz w:val="24"/>
        </w:rPr>
        <w:fldChar w:fldCharType="separate"/>
      </w:r>
      <w:r w:rsidR="00625BEB" w:rsidRPr="00625BEB">
        <w:rPr>
          <w:sz w:val="24"/>
        </w:rPr>
        <w:t xml:space="preserve">Gráfica </w:t>
      </w:r>
      <w:r w:rsidR="00625BEB" w:rsidRPr="00625BEB">
        <w:rPr>
          <w:noProof/>
          <w:sz w:val="24"/>
        </w:rPr>
        <w:t>1</w:t>
      </w:r>
      <w:r w:rsidR="00316419" w:rsidRPr="000A00F1">
        <w:rPr>
          <w:rFonts w:eastAsia="Arial"/>
          <w:sz w:val="24"/>
        </w:rPr>
        <w:fldChar w:fldCharType="end"/>
      </w:r>
      <w:r w:rsidRPr="000A00F1">
        <w:rPr>
          <w:rFonts w:eastAsia="Arial"/>
          <w:sz w:val="24"/>
        </w:rPr>
        <w:t xml:space="preserve"> muestra las</w:t>
      </w:r>
      <w:r w:rsidRPr="000A00F1">
        <w:rPr>
          <w:rFonts w:eastAsia="Arial" w:cs="Arial"/>
          <w:sz w:val="24"/>
          <w:lang w:val="es-CO"/>
        </w:rPr>
        <w:t xml:space="preserve"> diferentes etapas de </w:t>
      </w:r>
      <w:r w:rsidR="000A3AD2" w:rsidRPr="000A00F1">
        <w:rPr>
          <w:rFonts w:eastAsia="Arial" w:cs="Arial"/>
          <w:sz w:val="24"/>
          <w:lang w:val="es-CO"/>
        </w:rPr>
        <w:t>la cadena de</w:t>
      </w:r>
      <w:r w:rsidR="000A3AD2">
        <w:rPr>
          <w:rFonts w:eastAsia="Arial" w:cs="Arial"/>
          <w:sz w:val="24"/>
          <w:lang w:val="es-CO"/>
        </w:rPr>
        <w:t xml:space="preserve"> </w:t>
      </w:r>
      <w:r w:rsidR="00535247">
        <w:rPr>
          <w:rFonts w:eastAsia="Arial" w:cs="Arial"/>
          <w:sz w:val="24"/>
          <w:lang w:val="es-CO"/>
        </w:rPr>
        <w:t>valor</w:t>
      </w:r>
      <w:r w:rsidR="000A3AD2">
        <w:rPr>
          <w:rFonts w:eastAsia="Arial" w:cs="Arial"/>
          <w:sz w:val="24"/>
          <w:lang w:val="es-CO"/>
        </w:rPr>
        <w:t xml:space="preserve"> de los combustibles l</w:t>
      </w:r>
      <w:r w:rsidRPr="006C14FA">
        <w:rPr>
          <w:rFonts w:eastAsia="Arial" w:cs="Arial"/>
          <w:sz w:val="24"/>
          <w:lang w:val="es-CO"/>
        </w:rPr>
        <w:t xml:space="preserve">íquidos y la forma en que se remunera cada actividad, ya sea tramo regulado, de fijación de precio libre o libertad vigilada. La remuneración del transporte entre la refinería y las plantas de abastecimiento de los mayoristas que se realiza por los poliductos </w:t>
      </w:r>
      <w:r w:rsidR="00535247">
        <w:rPr>
          <w:rFonts w:eastAsia="Arial" w:cs="Arial"/>
          <w:sz w:val="24"/>
          <w:lang w:val="es-CO"/>
        </w:rPr>
        <w:t>hasta el momento estuvo</w:t>
      </w:r>
      <w:r w:rsidRPr="006C14FA">
        <w:rPr>
          <w:rFonts w:eastAsia="Arial" w:cs="Arial"/>
          <w:sz w:val="24"/>
          <w:lang w:val="es-CO"/>
        </w:rPr>
        <w:t xml:space="preserve"> regulada por resoluciones del Ministerio de Minas y Energía.</w:t>
      </w:r>
    </w:p>
    <w:p w:rsidR="00DD3BD0" w:rsidRPr="0076075D" w:rsidRDefault="00DD3BD0" w:rsidP="006C4AB9">
      <w:pPr>
        <w:keepNext/>
        <w:ind w:left="142"/>
        <w:jc w:val="center"/>
        <w:rPr>
          <w:sz w:val="18"/>
        </w:rPr>
      </w:pPr>
    </w:p>
    <w:p w:rsidR="006C4AB9" w:rsidRDefault="00DD3BD0" w:rsidP="006C4AB9">
      <w:pPr>
        <w:keepNext/>
        <w:ind w:left="142"/>
        <w:jc w:val="center"/>
      </w:pPr>
      <w:r>
        <w:rPr>
          <w:noProof/>
          <w:lang w:val="es-CO" w:eastAsia="es-CO"/>
        </w:rPr>
        <mc:AlternateContent>
          <mc:Choice Requires="wps">
            <w:drawing>
              <wp:anchor distT="0" distB="0" distL="114300" distR="114300" simplePos="0" relativeHeight="251674112" behindDoc="0" locked="0" layoutInCell="1" allowOverlap="1" wp14:anchorId="6A8F1A86" wp14:editId="0EF97640">
                <wp:simplePos x="0" y="0"/>
                <wp:positionH relativeFrom="column">
                  <wp:posOffset>3714502</wp:posOffset>
                </wp:positionH>
                <wp:positionV relativeFrom="paragraph">
                  <wp:posOffset>1316300</wp:posOffset>
                </wp:positionV>
                <wp:extent cx="1383526" cy="365760"/>
                <wp:effectExtent l="0" t="0" r="7620" b="0"/>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526" cy="365760"/>
                        </a:xfrm>
                        <a:prstGeom prst="rect">
                          <a:avLst/>
                        </a:prstGeom>
                        <a:solidFill>
                          <a:srgbClr val="FFFFFF"/>
                        </a:solidFill>
                        <a:ln w="9525">
                          <a:noFill/>
                          <a:miter lim="800000"/>
                          <a:headEnd/>
                          <a:tailEnd/>
                        </a:ln>
                      </wps:spPr>
                      <wps:txbx>
                        <w:txbxContent>
                          <w:p w:rsidR="001D1BBE" w:rsidRPr="00DD3BD0" w:rsidRDefault="001D1BBE">
                            <w:pPr>
                              <w:rPr>
                                <w:color w:val="C00000"/>
                                <w:sz w:val="18"/>
                              </w:rPr>
                            </w:pPr>
                            <w:r w:rsidRPr="00DD3BD0">
                              <w:rPr>
                                <w:color w:val="C00000"/>
                                <w:sz w:val="18"/>
                              </w:rPr>
                              <w:t>Foco de temas de estudio de las bases</w:t>
                            </w:r>
                            <w:r>
                              <w:rPr>
                                <w:color w:val="C00000"/>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92.5pt;margin-top:103.65pt;width:108.95pt;height:28.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" stroked="f">
                <v:textbox>
                  <w:txbxContent>
                    <w:p w:rsidR="001D1BBE" w:rsidRPr="00DD3BD0" w:rsidRDefault="001D1BBE">
                      <w:pPr>
                        <w:rPr>
                          <w:color w:val="C00000"/>
                          <w:sz w:val="18"/>
                        </w:rPr>
                      </w:pPr>
                      <w:r w:rsidRPr="00DD3BD0">
                        <w:rPr>
                          <w:color w:val="C00000"/>
                          <w:sz w:val="18"/>
                        </w:rPr>
                        <w:t>Foco de temas de estudio de las bases</w:t>
                      </w:r>
                      <w:r>
                        <w:rPr>
                          <w:color w:val="C00000"/>
                          <w:sz w:val="18"/>
                        </w:rPr>
                        <w:t>.</w:t>
                      </w:r>
                    </w:p>
                  </w:txbxContent>
                </v:textbox>
              </v:shape>
            </w:pict>
          </mc:Fallback>
        </mc:AlternateContent>
      </w:r>
      <w:r>
        <w:rPr>
          <w:noProof/>
          <w:lang w:val="es-CO" w:eastAsia="es-CO"/>
        </w:rPr>
        <mc:AlternateContent>
          <mc:Choice Requires="wps">
            <w:drawing>
              <wp:anchor distT="0" distB="0" distL="114300" distR="114300" simplePos="0" relativeHeight="251679232" behindDoc="0" locked="0" layoutInCell="1" allowOverlap="1" wp14:anchorId="133A3A7D" wp14:editId="3BE27A98">
                <wp:simplePos x="0" y="0"/>
                <wp:positionH relativeFrom="column">
                  <wp:posOffset>3078397</wp:posOffset>
                </wp:positionH>
                <wp:positionV relativeFrom="paragraph">
                  <wp:posOffset>1379524</wp:posOffset>
                </wp:positionV>
                <wp:extent cx="691764" cy="143510"/>
                <wp:effectExtent l="57150" t="57150" r="70485" b="85090"/>
                <wp:wrapNone/>
                <wp:docPr id="54" name="54 Conector recto de flecha"/>
                <wp:cNvGraphicFramePr/>
                <a:graphic xmlns:a="http://schemas.openxmlformats.org/drawingml/2006/main">
                  <a:graphicData uri="http://schemas.microsoft.com/office/word/2010/wordprocessingShape">
                    <wps:wsp>
                      <wps:cNvCnPr/>
                      <wps:spPr>
                        <a:xfrm flipH="1" flipV="1">
                          <a:off x="0" y="0"/>
                          <a:ext cx="691764" cy="143510"/>
                        </a:xfrm>
                        <a:prstGeom prst="straightConnector1">
                          <a:avLst/>
                        </a:prstGeom>
                        <a:ln>
                          <a:prstDash val="sysDash"/>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mo="http://schemas.microsoft.com/office/mac/office/2008/main" xmlns:mv="urn:schemas-microsoft-com:mac:vml" xmlns:w15="http://schemas.microsoft.com/office/word/2012/wordml">
            <w:pict>
              <v:shapetype id="_x0000_t32" coordsize="21600,21600" o:spt="32" o:oned="t" path="m,l21600,21600e" filled="f">
                <v:path arrowok="t" fillok="f" o:connecttype="none"/>
                <o:lock v:ext="edit" shapetype="t"/>
              </v:shapetype>
              <v:shape id="54 Conector recto de flecha" o:spid="_x0000_s1026" type="#_x0000_t32" style="position:absolute;margin-left:242.4pt;margin-top:108.6pt;width:54.45pt;height:11.3pt;flip:x y;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" strokecolor="#c0504d [3205]" strokeweight="2pt">
                <v:stroke dashstyle="3 1" endarrow="open"/>
                <v:shadow on="t" color="black" opacity="24903f" origin=",.5" offset="0,.55556mm"/>
              </v:shape>
            </w:pict>
          </mc:Fallback>
        </mc:AlternateContent>
      </w:r>
      <w:r>
        <w:rPr>
          <w:rFonts w:eastAsia="Arial" w:cs="Arial"/>
          <w:noProof/>
          <w:lang w:val="es-CO" w:eastAsia="es-CO"/>
        </w:rPr>
        <mc:AlternateContent>
          <mc:Choice Requires="wps">
            <w:drawing>
              <wp:anchor distT="0" distB="0" distL="114300" distR="114300" simplePos="0" relativeHeight="251668992" behindDoc="0" locked="0" layoutInCell="1" allowOverlap="1" wp14:anchorId="7A85E0FF" wp14:editId="7D159749">
                <wp:simplePos x="0" y="0"/>
                <wp:positionH relativeFrom="column">
                  <wp:posOffset>2203311</wp:posOffset>
                </wp:positionH>
                <wp:positionV relativeFrom="paragraph">
                  <wp:posOffset>243813</wp:posOffset>
                </wp:positionV>
                <wp:extent cx="1669774" cy="1137037"/>
                <wp:effectExtent l="0" t="0" r="26035" b="25400"/>
                <wp:wrapNone/>
                <wp:docPr id="28" name="28 Elipse"/>
                <wp:cNvGraphicFramePr/>
                <a:graphic xmlns:a="http://schemas.openxmlformats.org/drawingml/2006/main">
                  <a:graphicData uri="http://schemas.microsoft.com/office/word/2010/wordprocessingShape">
                    <wps:wsp>
                      <wps:cNvSpPr/>
                      <wps:spPr>
                        <a:xfrm>
                          <a:off x="0" y="0"/>
                          <a:ext cx="1669774" cy="1137037"/>
                        </a:xfrm>
                        <a:prstGeom prst="ellipse">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oval id="28 Elipse" o:spid="_x0000_s1026" style="position:absolute;margin-left:173.5pt;margin-top:19.2pt;width:131.5pt;height:89.5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" filled="f" strokecolor="#c00000" strokeweight="2pt">
                <v:stroke dashstyle="3 1"/>
              </v:oval>
            </w:pict>
          </mc:Fallback>
        </mc:AlternateContent>
      </w:r>
      <w:r w:rsidR="0083557B" w:rsidRPr="004859E4">
        <w:rPr>
          <w:rFonts w:eastAsia="Arial" w:cs="Arial"/>
          <w:noProof/>
          <w:lang w:val="es-CO" w:eastAsia="es-CO"/>
        </w:rPr>
        <w:drawing>
          <wp:inline distT="0" distB="0" distL="0" distR="0" wp14:anchorId="4059C714" wp14:editId="4F3711F9">
            <wp:extent cx="5613621" cy="2144752"/>
            <wp:effectExtent l="0" t="0" r="6350" b="8255"/>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46132"/>
                    <a:stretch/>
                  </pic:blipFill>
                  <pic:spPr bwMode="auto">
                    <a:xfrm>
                      <a:off x="0" y="0"/>
                      <a:ext cx="5610860" cy="2143697"/>
                    </a:xfrm>
                    <a:prstGeom prst="rect">
                      <a:avLst/>
                    </a:prstGeom>
                    <a:noFill/>
                    <a:ln>
                      <a:noFill/>
                    </a:ln>
                    <a:extLst>
                      <a:ext uri="{53640926-AAD7-44D8-BBD7-CCE9431645EC}">
                        <a14:shadowObscured xmlns:a14="http://schemas.microsoft.com/office/drawing/2010/main"/>
                      </a:ext>
                    </a:extLst>
                  </pic:spPr>
                </pic:pic>
              </a:graphicData>
            </a:graphic>
          </wp:inline>
        </w:drawing>
      </w:r>
    </w:p>
    <w:p w:rsidR="0083557B" w:rsidRDefault="0083557B" w:rsidP="00D247E3">
      <w:pPr>
        <w:rPr>
          <w:sz w:val="16"/>
        </w:rPr>
      </w:pPr>
      <w:r w:rsidRPr="00D247E3">
        <w:rPr>
          <w:sz w:val="16"/>
        </w:rPr>
        <w:t>Fuente: Cenit Transporte y Logística de Hidrocarburos</w:t>
      </w:r>
    </w:p>
    <w:p w:rsidR="00320344" w:rsidRDefault="00320344" w:rsidP="00320344">
      <w:pPr>
        <w:pStyle w:val="Epgrafe"/>
        <w:rPr>
          <w:noProof/>
        </w:rPr>
      </w:pPr>
      <w:bookmarkStart w:id="162" w:name="_Ref433966053"/>
      <w:bookmarkStart w:id="163" w:name="_Toc437512838"/>
      <w:r>
        <w:t xml:space="preserve">Gráfica </w:t>
      </w:r>
      <w:r>
        <w:fldChar w:fldCharType="begin"/>
      </w:r>
      <w:r>
        <w:instrText xml:space="preserve"> SEQ Gráfica \* ARABIC </w:instrText>
      </w:r>
      <w:r>
        <w:fldChar w:fldCharType="separate"/>
      </w:r>
      <w:r w:rsidR="00625BEB">
        <w:rPr>
          <w:noProof/>
        </w:rPr>
        <w:t>1</w:t>
      </w:r>
      <w:r>
        <w:fldChar w:fldCharType="end"/>
      </w:r>
      <w:bookmarkEnd w:id="162"/>
      <w:r>
        <w:t xml:space="preserve"> </w:t>
      </w:r>
      <w:r w:rsidRPr="000A0B18">
        <w:rPr>
          <w:noProof/>
        </w:rPr>
        <w:t>Cadena de producción y distribución de Combustibles Líquidos</w:t>
      </w:r>
      <w:bookmarkEnd w:id="163"/>
    </w:p>
    <w:p w:rsidR="0076075D" w:rsidRPr="0076075D" w:rsidRDefault="0076075D" w:rsidP="0076075D">
      <w:pPr>
        <w:rPr>
          <w:sz w:val="16"/>
        </w:rPr>
      </w:pPr>
    </w:p>
    <w:p w:rsidR="0083557B" w:rsidRPr="009A0AF8" w:rsidRDefault="00C12D72" w:rsidP="0076075D">
      <w:pPr>
        <w:pStyle w:val="Ttulo2"/>
        <w:spacing w:before="0"/>
        <w:rPr>
          <w:rFonts w:cs="Arial"/>
          <w:sz w:val="24"/>
          <w:szCs w:val="24"/>
          <w:lang w:val="es-CO"/>
        </w:rPr>
      </w:pPr>
      <w:bookmarkStart w:id="164" w:name="_Toc424832918"/>
      <w:bookmarkStart w:id="165" w:name="_Toc424887649"/>
      <w:bookmarkStart w:id="166" w:name="_Toc425488408"/>
      <w:bookmarkStart w:id="167" w:name="_Toc426035049"/>
      <w:bookmarkStart w:id="168" w:name="_Toc427333582"/>
      <w:bookmarkStart w:id="169" w:name="_Toc427336523"/>
      <w:bookmarkStart w:id="170" w:name="_Toc427681813"/>
      <w:bookmarkStart w:id="171" w:name="_Toc433276745"/>
      <w:bookmarkStart w:id="172" w:name="_Toc433295708"/>
      <w:bookmarkStart w:id="173" w:name="_Toc433296433"/>
      <w:bookmarkStart w:id="174" w:name="_Toc437500863"/>
      <w:bookmarkStart w:id="175" w:name="_Toc437501522"/>
      <w:bookmarkStart w:id="176" w:name="_Toc437501702"/>
      <w:bookmarkStart w:id="177" w:name="_Toc437501792"/>
      <w:bookmarkStart w:id="178" w:name="_Toc437502555"/>
      <w:bookmarkStart w:id="179" w:name="_Toc437505913"/>
      <w:bookmarkStart w:id="180" w:name="_Toc437512726"/>
      <w:r>
        <w:rPr>
          <w:rFonts w:cs="Arial"/>
          <w:sz w:val="24"/>
          <w:szCs w:val="24"/>
          <w:lang w:val="es-CO"/>
        </w:rPr>
        <w:t>i</w:t>
      </w:r>
      <w:r w:rsidR="0083557B" w:rsidRPr="009A0AF8">
        <w:rPr>
          <w:rFonts w:cs="Arial"/>
          <w:sz w:val="24"/>
          <w:szCs w:val="24"/>
          <w:lang w:val="es-CO"/>
        </w:rPr>
        <w:t>nfraestructura de transporte por poliductos</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rsidR="0083557B" w:rsidRPr="009A0AF8" w:rsidRDefault="0083557B" w:rsidP="0083557B">
      <w:pPr>
        <w:pStyle w:val="Epgrafe"/>
        <w:spacing w:line="240" w:lineRule="auto"/>
        <w:contextualSpacing/>
        <w:jc w:val="both"/>
        <w:rPr>
          <w:rFonts w:eastAsia="Arial" w:cs="Arial"/>
          <w:szCs w:val="24"/>
          <w:lang w:val="es-CO"/>
        </w:rPr>
      </w:pPr>
      <w:bookmarkStart w:id="181" w:name="_Ref418864300"/>
      <w:r w:rsidRPr="009A0AF8">
        <w:rPr>
          <w:rFonts w:eastAsia="Arial" w:cs="Arial"/>
          <w:szCs w:val="24"/>
          <w:lang w:val="es-CO"/>
        </w:rPr>
        <w:t>La</w:t>
      </w:r>
      <w:r w:rsidR="00FB5D76">
        <w:rPr>
          <w:rFonts w:eastAsia="Arial" w:cs="Arial"/>
          <w:szCs w:val="24"/>
          <w:lang w:val="es-CO"/>
        </w:rPr>
        <w:t xml:space="preserve"> </w:t>
      </w:r>
      <w:bookmarkEnd w:id="181"/>
      <w:r w:rsidR="000A00F1">
        <w:rPr>
          <w:rFonts w:eastAsia="Arial" w:cs="Arial"/>
          <w:szCs w:val="24"/>
          <w:lang w:val="es-CO"/>
        </w:rPr>
        <w:fldChar w:fldCharType="begin"/>
      </w:r>
      <w:r w:rsidR="000A00F1">
        <w:rPr>
          <w:rFonts w:eastAsia="Arial" w:cs="Arial"/>
          <w:szCs w:val="24"/>
          <w:lang w:val="es-CO"/>
        </w:rPr>
        <w:instrText xml:space="preserve"> REF _Ref437261527 \h </w:instrText>
      </w:r>
      <w:r w:rsidR="000A00F1">
        <w:rPr>
          <w:rFonts w:eastAsia="Arial" w:cs="Arial"/>
          <w:szCs w:val="24"/>
          <w:lang w:val="es-CO"/>
        </w:rPr>
      </w:r>
      <w:r w:rsidR="000A00F1">
        <w:rPr>
          <w:rFonts w:eastAsia="Arial" w:cs="Arial"/>
          <w:szCs w:val="24"/>
          <w:lang w:val="es-CO"/>
        </w:rPr>
        <w:fldChar w:fldCharType="separate"/>
      </w:r>
      <w:r w:rsidR="00625BEB">
        <w:t xml:space="preserve">Gráfica </w:t>
      </w:r>
      <w:r w:rsidR="00625BEB">
        <w:rPr>
          <w:noProof/>
        </w:rPr>
        <w:t>2</w:t>
      </w:r>
      <w:r w:rsidR="000A00F1">
        <w:rPr>
          <w:rFonts w:eastAsia="Arial" w:cs="Arial"/>
          <w:szCs w:val="24"/>
          <w:lang w:val="es-CO"/>
        </w:rPr>
        <w:fldChar w:fldCharType="end"/>
      </w:r>
      <w:r w:rsidR="000A00F1">
        <w:rPr>
          <w:rFonts w:eastAsia="Arial" w:cs="Arial"/>
          <w:szCs w:val="24"/>
          <w:lang w:val="es-CO"/>
        </w:rPr>
        <w:t xml:space="preserve"> </w:t>
      </w:r>
      <w:r w:rsidRPr="009A0AF8">
        <w:rPr>
          <w:rFonts w:eastAsia="Arial" w:cs="Arial"/>
          <w:szCs w:val="24"/>
          <w:lang w:val="es-CO"/>
        </w:rPr>
        <w:t xml:space="preserve">muestra la </w:t>
      </w:r>
      <w:r w:rsidR="00D712E6">
        <w:rPr>
          <w:rFonts w:eastAsia="Arial" w:cs="Arial"/>
          <w:szCs w:val="24"/>
          <w:lang w:val="es-CO"/>
        </w:rPr>
        <w:t>topología</w:t>
      </w:r>
      <w:r w:rsidRPr="009A0AF8">
        <w:rPr>
          <w:rFonts w:eastAsia="Arial" w:cs="Arial"/>
          <w:szCs w:val="24"/>
          <w:lang w:val="es-CO"/>
        </w:rPr>
        <w:t xml:space="preserve"> de poliductos que se encuentran en funcionam</w:t>
      </w:r>
      <w:r w:rsidR="000A3AD2">
        <w:rPr>
          <w:rFonts w:eastAsia="Arial" w:cs="Arial"/>
          <w:szCs w:val="24"/>
          <w:lang w:val="es-CO"/>
        </w:rPr>
        <w:t xml:space="preserve">iento en Colombia. Consiste en </w:t>
      </w:r>
      <w:r w:rsidRPr="009A0AF8">
        <w:rPr>
          <w:rFonts w:eastAsia="Arial" w:cs="Arial"/>
          <w:szCs w:val="24"/>
          <w:lang w:val="es-CO"/>
        </w:rPr>
        <w:t>un sistema radial c</w:t>
      </w:r>
      <w:r w:rsidR="00D712E6">
        <w:rPr>
          <w:rFonts w:eastAsia="Arial" w:cs="Arial"/>
          <w:szCs w:val="24"/>
          <w:lang w:val="es-CO"/>
        </w:rPr>
        <w:t>onectado desde Pozos Colorados,</w:t>
      </w:r>
      <w:r w:rsidRPr="009A0AF8">
        <w:rPr>
          <w:rFonts w:eastAsia="Arial" w:cs="Arial"/>
          <w:szCs w:val="24"/>
          <w:lang w:val="es-CO"/>
        </w:rPr>
        <w:t xml:space="preserve"> con varias estaciones finales, como Buenaventura, Neiva y Puente Aranda. Existe además un poliducto independiente que comunica Baranoa con Cartagena.</w:t>
      </w:r>
    </w:p>
    <w:p w:rsidR="00FB5D76" w:rsidRDefault="00276D30" w:rsidP="00FB5D76">
      <w:pPr>
        <w:keepNext/>
        <w:jc w:val="center"/>
      </w:pPr>
      <w:r w:rsidRPr="004859E4">
        <w:rPr>
          <w:rFonts w:cs="Arial"/>
          <w:noProof/>
          <w:lang w:val="es-CO" w:eastAsia="es-CO"/>
        </w:rPr>
        <w:lastRenderedPageBreak/>
        <mc:AlternateContent>
          <mc:Choice Requires="wps">
            <w:drawing>
              <wp:anchor distT="0" distB="0" distL="114300" distR="114300" simplePos="0" relativeHeight="251653632" behindDoc="0" locked="0" layoutInCell="1" allowOverlap="1" wp14:anchorId="0EB950C8" wp14:editId="765CBB88">
                <wp:simplePos x="0" y="0"/>
                <wp:positionH relativeFrom="column">
                  <wp:posOffset>-110490</wp:posOffset>
                </wp:positionH>
                <wp:positionV relativeFrom="paragraph">
                  <wp:posOffset>1974215</wp:posOffset>
                </wp:positionV>
                <wp:extent cx="722630" cy="427990"/>
                <wp:effectExtent l="0" t="0" r="20320" b="10160"/>
                <wp:wrapNone/>
                <wp:docPr id="5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630" cy="427990"/>
                        </a:xfrm>
                        <a:prstGeom prst="rect">
                          <a:avLst/>
                        </a:prstGeom>
                        <a:solidFill>
                          <a:srgbClr val="FFFFFF"/>
                        </a:solidFill>
                        <a:ln w="9525">
                          <a:solidFill>
                            <a:schemeClr val="accent3">
                              <a:lumMod val="50000"/>
                            </a:schemeClr>
                          </a:solidFill>
                          <a:miter lim="800000"/>
                          <a:headEnd/>
                          <a:tailEnd/>
                        </a:ln>
                      </wps:spPr>
                      <wps:txbx>
                        <w:txbxContent>
                          <w:p w:rsidR="001D1BBE" w:rsidRPr="00FB2E74" w:rsidRDefault="001D1BBE" w:rsidP="0083557B">
                            <w:pPr>
                              <w:rPr>
                                <w:b/>
                                <w:color w:val="4F6228" w:themeColor="accent3" w:themeShade="80"/>
                                <w:lang w:val="es-CO"/>
                              </w:rPr>
                            </w:pPr>
                            <w:r w:rsidRPr="00FB2E74">
                              <w:rPr>
                                <w:b/>
                                <w:color w:val="4F6228" w:themeColor="accent3" w:themeShade="80"/>
                                <w:lang w:val="es-CO"/>
                              </w:rPr>
                              <w:t>Zona Oeste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8.7pt;margin-top:155.45pt;width:56.9pt;height:33.7pt;z-index:251653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" strokecolor="#4e6128 [1606]">
                <v:textbox style="mso-fit-shape-to-text:t">
                  <w:txbxContent>
                    <w:p w:rsidR="001D1BBE" w:rsidRPr="00FB2E74" w:rsidRDefault="001D1BBE" w:rsidP="0083557B">
                      <w:pPr>
                        <w:rPr>
                          <w:b/>
                          <w:color w:val="4F6228" w:themeColor="accent3" w:themeShade="80"/>
                          <w:lang w:val="es-CO"/>
                        </w:rPr>
                      </w:pPr>
                      <w:r w:rsidRPr="00FB2E74">
                        <w:rPr>
                          <w:b/>
                          <w:color w:val="4F6228" w:themeColor="accent3" w:themeShade="80"/>
                          <w:lang w:val="es-CO"/>
                        </w:rPr>
                        <w:t>Zona Oeste</w:t>
                      </w:r>
                    </w:p>
                  </w:txbxContent>
                </v:textbox>
              </v:shape>
            </w:pict>
          </mc:Fallback>
        </mc:AlternateContent>
      </w:r>
      <w:r w:rsidR="0083557B" w:rsidRPr="004859E4">
        <w:rPr>
          <w:rFonts w:cs="Arial"/>
          <w:noProof/>
          <w:lang w:val="es-CO" w:eastAsia="es-CO"/>
        </w:rPr>
        <mc:AlternateContent>
          <mc:Choice Requires="wps">
            <w:drawing>
              <wp:anchor distT="0" distB="0" distL="114300" distR="114300" simplePos="0" relativeHeight="251663872" behindDoc="0" locked="0" layoutInCell="1" allowOverlap="1" wp14:anchorId="5E93370E" wp14:editId="50B40E71">
                <wp:simplePos x="0" y="0"/>
                <wp:positionH relativeFrom="column">
                  <wp:posOffset>4913492</wp:posOffset>
                </wp:positionH>
                <wp:positionV relativeFrom="paragraph">
                  <wp:posOffset>2226378</wp:posOffset>
                </wp:positionV>
                <wp:extent cx="907415" cy="398780"/>
                <wp:effectExtent l="0" t="0" r="26035" b="2032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398780"/>
                        </a:xfrm>
                        <a:prstGeom prst="rect">
                          <a:avLst/>
                        </a:prstGeom>
                        <a:solidFill>
                          <a:srgbClr val="FFFFFF"/>
                        </a:solidFill>
                        <a:ln w="9525">
                          <a:solidFill>
                            <a:schemeClr val="accent3">
                              <a:lumMod val="50000"/>
                            </a:schemeClr>
                          </a:solidFill>
                          <a:miter lim="800000"/>
                          <a:headEnd/>
                          <a:tailEnd/>
                        </a:ln>
                      </wps:spPr>
                      <wps:txbx>
                        <w:txbxContent>
                          <w:p w:rsidR="001D1BBE" w:rsidRPr="00FB2E74" w:rsidRDefault="001D1BBE" w:rsidP="0083557B">
                            <w:pPr>
                              <w:rPr>
                                <w:b/>
                                <w:color w:val="4F6228" w:themeColor="accent3" w:themeShade="80"/>
                                <w:sz w:val="20"/>
                                <w:lang w:val="es-CO"/>
                              </w:rPr>
                            </w:pPr>
                            <w:r w:rsidRPr="00FB2E74">
                              <w:rPr>
                                <w:b/>
                                <w:color w:val="4F6228" w:themeColor="accent3" w:themeShade="80"/>
                                <w:sz w:val="20"/>
                                <w:lang w:val="es-CO"/>
                              </w:rPr>
                              <w:t xml:space="preserve">Zona </w:t>
                            </w:r>
                            <w:r>
                              <w:rPr>
                                <w:b/>
                                <w:color w:val="4F6228" w:themeColor="accent3" w:themeShade="80"/>
                                <w:sz w:val="20"/>
                                <w:lang w:val="es-CO"/>
                              </w:rPr>
                              <w:t>Bogotá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386.9pt;margin-top:175.3pt;width:71.45pt;height:31.4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" strokecolor="#4e6128 [1606]">
                <v:textbox style="mso-fit-shape-to-text:t">
                  <w:txbxContent>
                    <w:p w:rsidR="001D1BBE" w:rsidRPr="00FB2E74" w:rsidRDefault="001D1BBE" w:rsidP="0083557B">
                      <w:pPr>
                        <w:rPr>
                          <w:b/>
                          <w:color w:val="4F6228" w:themeColor="accent3" w:themeShade="80"/>
                          <w:sz w:val="20"/>
                          <w:lang w:val="es-CO"/>
                        </w:rPr>
                      </w:pPr>
                      <w:r w:rsidRPr="00FB2E74">
                        <w:rPr>
                          <w:b/>
                          <w:color w:val="4F6228" w:themeColor="accent3" w:themeShade="80"/>
                          <w:sz w:val="20"/>
                          <w:lang w:val="es-CO"/>
                        </w:rPr>
                        <w:t xml:space="preserve">Zona </w:t>
                      </w:r>
                      <w:r>
                        <w:rPr>
                          <w:b/>
                          <w:color w:val="4F6228" w:themeColor="accent3" w:themeShade="80"/>
                          <w:sz w:val="20"/>
                          <w:lang w:val="es-CO"/>
                        </w:rPr>
                        <w:t>Bogotá</w:t>
                      </w:r>
                    </w:p>
                  </w:txbxContent>
                </v:textbox>
              </v:shape>
            </w:pict>
          </mc:Fallback>
        </mc:AlternateContent>
      </w:r>
      <w:r w:rsidR="0083557B" w:rsidRPr="004859E4">
        <w:rPr>
          <w:rFonts w:cs="Arial"/>
          <w:noProof/>
          <w:lang w:val="es-CO" w:eastAsia="es-CO"/>
        </w:rPr>
        <mc:AlternateContent>
          <mc:Choice Requires="wps">
            <w:drawing>
              <wp:anchor distT="0" distB="0" distL="114300" distR="114300" simplePos="0" relativeHeight="251658752" behindDoc="0" locked="0" layoutInCell="1" allowOverlap="1" wp14:anchorId="269AF6A5" wp14:editId="21F4D981">
                <wp:simplePos x="0" y="0"/>
                <wp:positionH relativeFrom="column">
                  <wp:posOffset>3327400</wp:posOffset>
                </wp:positionH>
                <wp:positionV relativeFrom="paragraph">
                  <wp:posOffset>3797139</wp:posOffset>
                </wp:positionV>
                <wp:extent cx="907415" cy="249555"/>
                <wp:effectExtent l="0" t="0" r="26035" b="17145"/>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249555"/>
                        </a:xfrm>
                        <a:prstGeom prst="rect">
                          <a:avLst/>
                        </a:prstGeom>
                        <a:solidFill>
                          <a:srgbClr val="FFFFFF"/>
                        </a:solidFill>
                        <a:ln w="9525">
                          <a:solidFill>
                            <a:schemeClr val="accent3">
                              <a:lumMod val="50000"/>
                            </a:schemeClr>
                          </a:solidFill>
                          <a:miter lim="800000"/>
                          <a:headEnd/>
                          <a:tailEnd/>
                        </a:ln>
                      </wps:spPr>
                      <wps:txbx>
                        <w:txbxContent>
                          <w:p w:rsidR="001D1BBE" w:rsidRPr="00FB2E74" w:rsidRDefault="001D1BBE" w:rsidP="0083557B">
                            <w:pPr>
                              <w:rPr>
                                <w:b/>
                                <w:color w:val="4F6228" w:themeColor="accent3" w:themeShade="80"/>
                                <w:sz w:val="20"/>
                                <w:lang w:val="es-CO"/>
                              </w:rPr>
                            </w:pPr>
                            <w:r w:rsidRPr="00FB2E74">
                              <w:rPr>
                                <w:b/>
                                <w:color w:val="4F6228" w:themeColor="accent3" w:themeShade="80"/>
                                <w:sz w:val="20"/>
                                <w:lang w:val="es-CO"/>
                              </w:rPr>
                              <w:t xml:space="preserve">Zona </w:t>
                            </w:r>
                            <w:r>
                              <w:rPr>
                                <w:b/>
                                <w:color w:val="4F6228" w:themeColor="accent3" w:themeShade="80"/>
                                <w:sz w:val="20"/>
                                <w:lang w:val="es-CO"/>
                              </w:rPr>
                              <w:t>Sur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262pt;margin-top:299pt;width:71.45pt;height:19.65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" strokecolor="#4e6128 [1606]">
                <v:textbox style="mso-fit-shape-to-text:t">
                  <w:txbxContent>
                    <w:p w:rsidR="001D1BBE" w:rsidRPr="00FB2E74" w:rsidRDefault="001D1BBE" w:rsidP="0083557B">
                      <w:pPr>
                        <w:rPr>
                          <w:b/>
                          <w:color w:val="4F6228" w:themeColor="accent3" w:themeShade="80"/>
                          <w:sz w:val="20"/>
                          <w:lang w:val="es-CO"/>
                        </w:rPr>
                      </w:pPr>
                      <w:r w:rsidRPr="00FB2E74">
                        <w:rPr>
                          <w:b/>
                          <w:color w:val="4F6228" w:themeColor="accent3" w:themeShade="80"/>
                          <w:sz w:val="20"/>
                          <w:lang w:val="es-CO"/>
                        </w:rPr>
                        <w:t xml:space="preserve">Zona </w:t>
                      </w:r>
                      <w:r>
                        <w:rPr>
                          <w:b/>
                          <w:color w:val="4F6228" w:themeColor="accent3" w:themeShade="80"/>
                          <w:sz w:val="20"/>
                          <w:lang w:val="es-CO"/>
                        </w:rPr>
                        <w:t>Sur</w:t>
                      </w:r>
                    </w:p>
                  </w:txbxContent>
                </v:textbox>
              </v:shape>
            </w:pict>
          </mc:Fallback>
        </mc:AlternateContent>
      </w:r>
      <w:r w:rsidR="0083557B" w:rsidRPr="004859E4">
        <w:rPr>
          <w:rFonts w:cs="Arial"/>
          <w:noProof/>
          <w:lang w:val="es-CO" w:eastAsia="es-CO"/>
        </w:rPr>
        <mc:AlternateContent>
          <mc:Choice Requires="wps">
            <w:drawing>
              <wp:anchor distT="0" distB="0" distL="114300" distR="114300" simplePos="0" relativeHeight="251638272" behindDoc="0" locked="0" layoutInCell="1" allowOverlap="1" wp14:anchorId="4949013B" wp14:editId="10C10655">
                <wp:simplePos x="0" y="0"/>
                <wp:positionH relativeFrom="column">
                  <wp:posOffset>618490</wp:posOffset>
                </wp:positionH>
                <wp:positionV relativeFrom="paragraph">
                  <wp:posOffset>146685</wp:posOffset>
                </wp:positionV>
                <wp:extent cx="1153160" cy="264160"/>
                <wp:effectExtent l="0" t="0" r="27940" b="2540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264160"/>
                        </a:xfrm>
                        <a:prstGeom prst="rect">
                          <a:avLst/>
                        </a:prstGeom>
                        <a:solidFill>
                          <a:srgbClr val="FFFFFF"/>
                        </a:solidFill>
                        <a:ln w="9525">
                          <a:solidFill>
                            <a:schemeClr val="accent3">
                              <a:lumMod val="50000"/>
                            </a:schemeClr>
                          </a:solidFill>
                          <a:miter lim="800000"/>
                          <a:headEnd/>
                          <a:tailEnd/>
                        </a:ln>
                      </wps:spPr>
                      <wps:txbx>
                        <w:txbxContent>
                          <w:p w:rsidR="001D1BBE" w:rsidRPr="00FB2E74" w:rsidRDefault="001D1BBE" w:rsidP="0083557B">
                            <w:pPr>
                              <w:rPr>
                                <w:b/>
                                <w:color w:val="4F6228" w:themeColor="accent3" w:themeShade="80"/>
                                <w:lang w:val="es-CO"/>
                              </w:rPr>
                            </w:pPr>
                            <w:r w:rsidRPr="00FB2E74">
                              <w:rPr>
                                <w:b/>
                                <w:color w:val="4F6228" w:themeColor="accent3" w:themeShade="80"/>
                                <w:lang w:val="es-CO"/>
                              </w:rPr>
                              <w:t>Zona Norte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left:0;text-align:left;margin-left:48.7pt;margin-top:11.55pt;width:90.8pt;height:20.8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" strokecolor="#4e6128 [1606]">
                <v:textbox style="mso-fit-shape-to-text:t">
                  <w:txbxContent>
                    <w:p w:rsidR="001D1BBE" w:rsidRPr="00FB2E74" w:rsidRDefault="001D1BBE" w:rsidP="0083557B">
                      <w:pPr>
                        <w:rPr>
                          <w:b/>
                          <w:color w:val="4F6228" w:themeColor="accent3" w:themeShade="80"/>
                          <w:lang w:val="es-CO"/>
                        </w:rPr>
                      </w:pPr>
                      <w:r w:rsidRPr="00FB2E74">
                        <w:rPr>
                          <w:b/>
                          <w:color w:val="4F6228" w:themeColor="accent3" w:themeShade="80"/>
                          <w:lang w:val="es-CO"/>
                        </w:rPr>
                        <w:t>Zona Norte</w:t>
                      </w:r>
                    </w:p>
                  </w:txbxContent>
                </v:textbox>
              </v:shape>
            </w:pict>
          </mc:Fallback>
        </mc:AlternateContent>
      </w:r>
      <w:r w:rsidR="0083557B" w:rsidRPr="004859E4">
        <w:rPr>
          <w:rFonts w:cs="Arial"/>
          <w:noProof/>
          <w:lang w:val="es-CO" w:eastAsia="es-CO"/>
        </w:rPr>
        <mc:AlternateContent>
          <mc:Choice Requires="wps">
            <w:drawing>
              <wp:anchor distT="0" distB="0" distL="114300" distR="114300" simplePos="0" relativeHeight="251648512" behindDoc="0" locked="0" layoutInCell="1" allowOverlap="1" wp14:anchorId="581CB2CF" wp14:editId="6004976C">
                <wp:simplePos x="0" y="0"/>
                <wp:positionH relativeFrom="column">
                  <wp:posOffset>1823228</wp:posOffset>
                </wp:positionH>
                <wp:positionV relativeFrom="paragraph">
                  <wp:posOffset>2385695</wp:posOffset>
                </wp:positionV>
                <wp:extent cx="1179830" cy="264160"/>
                <wp:effectExtent l="0" t="0" r="20320" b="2159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9830" cy="264160"/>
                        </a:xfrm>
                        <a:prstGeom prst="rect">
                          <a:avLst/>
                        </a:prstGeom>
                        <a:solidFill>
                          <a:srgbClr val="FFFFFF"/>
                        </a:solidFill>
                        <a:ln w="9525">
                          <a:solidFill>
                            <a:schemeClr val="accent3">
                              <a:lumMod val="50000"/>
                            </a:schemeClr>
                          </a:solidFill>
                          <a:miter lim="800000"/>
                          <a:headEnd/>
                          <a:tailEnd/>
                        </a:ln>
                      </wps:spPr>
                      <wps:txbx>
                        <w:txbxContent>
                          <w:p w:rsidR="001D1BBE" w:rsidRPr="00FB2E74" w:rsidRDefault="001D1BBE" w:rsidP="0083557B">
                            <w:pPr>
                              <w:rPr>
                                <w:b/>
                                <w:color w:val="4F6228" w:themeColor="accent3" w:themeShade="80"/>
                                <w:lang w:val="es-CO"/>
                              </w:rPr>
                            </w:pPr>
                            <w:r w:rsidRPr="00FB2E74">
                              <w:rPr>
                                <w:b/>
                                <w:color w:val="4F6228" w:themeColor="accent3" w:themeShade="80"/>
                                <w:lang w:val="es-CO"/>
                              </w:rPr>
                              <w:t>Zona Centro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143.55pt;margin-top:187.85pt;width:92.9pt;height:20.8pt;z-index:251648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" strokecolor="#4e6128 [1606]">
                <v:textbox style="mso-fit-shape-to-text:t">
                  <w:txbxContent>
                    <w:p w:rsidR="001D1BBE" w:rsidRPr="00FB2E74" w:rsidRDefault="001D1BBE" w:rsidP="0083557B">
                      <w:pPr>
                        <w:rPr>
                          <w:b/>
                          <w:color w:val="4F6228" w:themeColor="accent3" w:themeShade="80"/>
                          <w:lang w:val="es-CO"/>
                        </w:rPr>
                      </w:pPr>
                      <w:r w:rsidRPr="00FB2E74">
                        <w:rPr>
                          <w:b/>
                          <w:color w:val="4F6228" w:themeColor="accent3" w:themeShade="80"/>
                          <w:lang w:val="es-CO"/>
                        </w:rPr>
                        <w:t>Zona Centro</w:t>
                      </w:r>
                    </w:p>
                  </w:txbxContent>
                </v:textbox>
              </v:shape>
            </w:pict>
          </mc:Fallback>
        </mc:AlternateContent>
      </w:r>
      <w:r w:rsidR="0083557B" w:rsidRPr="004859E4">
        <w:rPr>
          <w:rFonts w:cs="Arial"/>
          <w:noProof/>
          <w:lang w:val="es-CO" w:eastAsia="es-CO"/>
        </w:rPr>
        <mc:AlternateContent>
          <mc:Choice Requires="wps">
            <w:drawing>
              <wp:anchor distT="0" distB="0" distL="114300" distR="114300" simplePos="0" relativeHeight="251643392" behindDoc="0" locked="0" layoutInCell="1" allowOverlap="1" wp14:anchorId="2B31FD7A" wp14:editId="37D5F2BC">
                <wp:simplePos x="0" y="0"/>
                <wp:positionH relativeFrom="column">
                  <wp:posOffset>4402455</wp:posOffset>
                </wp:positionH>
                <wp:positionV relativeFrom="paragraph">
                  <wp:posOffset>653415</wp:posOffset>
                </wp:positionV>
                <wp:extent cx="1312545" cy="264160"/>
                <wp:effectExtent l="0" t="0" r="1905" b="635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264160"/>
                        </a:xfrm>
                        <a:prstGeom prst="rect">
                          <a:avLst/>
                        </a:prstGeom>
                        <a:solidFill>
                          <a:srgbClr val="FFFFFF"/>
                        </a:solidFill>
                        <a:ln w="9525">
                          <a:noFill/>
                          <a:miter lim="800000"/>
                          <a:headEnd/>
                          <a:tailEnd/>
                        </a:ln>
                      </wps:spPr>
                      <wps:txbx>
                        <w:txbxContent>
                          <w:p w:rsidR="001D1BBE" w:rsidRPr="00FB2E74" w:rsidRDefault="001D1BBE" w:rsidP="0083557B">
                            <w:pPr>
                              <w:rPr>
                                <w:b/>
                                <w:color w:val="4F6228" w:themeColor="accent3" w:themeShade="80"/>
                                <w:lang w:val="es-CO"/>
                              </w:rPr>
                            </w:pPr>
                            <w:r w:rsidRPr="00FB2E74">
                              <w:rPr>
                                <w:b/>
                                <w:color w:val="4F6228" w:themeColor="accent3" w:themeShade="80"/>
                                <w:lang w:val="es-CO"/>
                              </w:rPr>
                              <w:t>Zona Este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46.65pt;margin-top:51.45pt;width:103.35pt;height:20.8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" stroked="f">
                <v:textbox style="mso-fit-shape-to-text:t">
                  <w:txbxContent>
                    <w:p w:rsidR="001D1BBE" w:rsidRPr="00FB2E74" w:rsidRDefault="001D1BBE" w:rsidP="0083557B">
                      <w:pPr>
                        <w:rPr>
                          <w:b/>
                          <w:color w:val="4F6228" w:themeColor="accent3" w:themeShade="80"/>
                          <w:lang w:val="es-CO"/>
                        </w:rPr>
                      </w:pPr>
                      <w:r w:rsidRPr="00FB2E74">
                        <w:rPr>
                          <w:b/>
                          <w:color w:val="4F6228" w:themeColor="accent3" w:themeShade="80"/>
                          <w:lang w:val="es-CO"/>
                        </w:rPr>
                        <w:t>Zona Este</w:t>
                      </w:r>
                    </w:p>
                  </w:txbxContent>
                </v:textbox>
              </v:shape>
            </w:pict>
          </mc:Fallback>
        </mc:AlternateContent>
      </w:r>
      <w:r w:rsidR="0083557B" w:rsidRPr="004859E4">
        <w:rPr>
          <w:rFonts w:cs="Arial"/>
          <w:noProof/>
          <w:lang w:val="es-CO" w:eastAsia="es-CO"/>
        </w:rPr>
        <w:drawing>
          <wp:inline distT="0" distB="0" distL="0" distR="0" wp14:anchorId="25CDDFBB" wp14:editId="660CBCB5">
            <wp:extent cx="5203596" cy="3932428"/>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20193" cy="3944970"/>
                    </a:xfrm>
                    <a:prstGeom prst="rect">
                      <a:avLst/>
                    </a:prstGeom>
                  </pic:spPr>
                </pic:pic>
              </a:graphicData>
            </a:graphic>
          </wp:inline>
        </w:drawing>
      </w:r>
    </w:p>
    <w:p w:rsidR="00320344" w:rsidRDefault="00320344" w:rsidP="00320344">
      <w:pPr>
        <w:keepNext/>
      </w:pPr>
    </w:p>
    <w:p w:rsidR="0083557B" w:rsidRDefault="0083557B" w:rsidP="0083557B">
      <w:pPr>
        <w:autoSpaceDE w:val="0"/>
        <w:autoSpaceDN w:val="0"/>
        <w:adjustRightInd w:val="0"/>
        <w:contextualSpacing/>
        <w:rPr>
          <w:rFonts w:cs="Arial"/>
          <w:sz w:val="16"/>
          <w:szCs w:val="16"/>
        </w:rPr>
      </w:pPr>
      <w:r w:rsidRPr="004859E4">
        <w:rPr>
          <w:rFonts w:cs="Arial"/>
          <w:sz w:val="16"/>
        </w:rPr>
        <w:t>Fuente: CREG</w:t>
      </w:r>
      <w:r w:rsidRPr="004859E4">
        <w:rPr>
          <w:rFonts w:cs="Arial"/>
          <w:sz w:val="16"/>
          <w:szCs w:val="16"/>
        </w:rPr>
        <w:t>.</w:t>
      </w:r>
    </w:p>
    <w:p w:rsidR="00320344" w:rsidRDefault="00320344" w:rsidP="00320344">
      <w:pPr>
        <w:pStyle w:val="Epgrafe"/>
        <w:rPr>
          <w:rFonts w:cs="Arial"/>
          <w:sz w:val="16"/>
          <w:szCs w:val="16"/>
        </w:rPr>
      </w:pPr>
      <w:bookmarkStart w:id="182" w:name="_Ref437261527"/>
      <w:bookmarkStart w:id="183" w:name="_Ref437017891"/>
      <w:bookmarkStart w:id="184" w:name="_Toc437512839"/>
      <w:r>
        <w:t xml:space="preserve">Gráfica </w:t>
      </w:r>
      <w:r>
        <w:fldChar w:fldCharType="begin"/>
      </w:r>
      <w:r>
        <w:instrText xml:space="preserve"> SEQ Gráfica \* ARABIC </w:instrText>
      </w:r>
      <w:r>
        <w:fldChar w:fldCharType="separate"/>
      </w:r>
      <w:r w:rsidR="00625BEB">
        <w:rPr>
          <w:noProof/>
        </w:rPr>
        <w:t>2</w:t>
      </w:r>
      <w:r>
        <w:fldChar w:fldCharType="end"/>
      </w:r>
      <w:bookmarkEnd w:id="182"/>
      <w:r>
        <w:rPr>
          <w:noProof/>
        </w:rPr>
        <w:t xml:space="preserve"> </w:t>
      </w:r>
      <w:r w:rsidRPr="000550E2">
        <w:rPr>
          <w:noProof/>
        </w:rPr>
        <w:t>Infraestructura de Transporte por ductos Colombia</w:t>
      </w:r>
      <w:bookmarkEnd w:id="183"/>
      <w:bookmarkEnd w:id="184"/>
    </w:p>
    <w:p w:rsidR="0083557B" w:rsidRDefault="0083557B" w:rsidP="0083557B">
      <w:pPr>
        <w:rPr>
          <w:rFonts w:eastAsia="Arial" w:cs="Arial"/>
          <w:sz w:val="24"/>
          <w:lang w:val="es-CO"/>
        </w:rPr>
      </w:pPr>
      <w:r w:rsidRPr="009A0AF8">
        <w:rPr>
          <w:rFonts w:eastAsia="Arial" w:cs="Arial"/>
          <w:sz w:val="24"/>
          <w:lang w:val="es-CO"/>
        </w:rPr>
        <w:t>En total se cuenta con una infraestructura total de 4</w:t>
      </w:r>
      <w:r w:rsidR="00D712E6">
        <w:rPr>
          <w:rFonts w:eastAsia="Arial" w:cs="Arial"/>
          <w:sz w:val="24"/>
          <w:lang w:val="es-CO"/>
        </w:rPr>
        <w:t>.</w:t>
      </w:r>
      <w:r w:rsidRPr="009A0AF8">
        <w:rPr>
          <w:rFonts w:eastAsia="Arial" w:cs="Arial"/>
          <w:sz w:val="24"/>
          <w:lang w:val="es-CO"/>
        </w:rPr>
        <w:t>272 kilómetros</w:t>
      </w:r>
      <w:r w:rsidR="0058606F">
        <w:rPr>
          <w:rStyle w:val="Refdenotaalpie"/>
          <w:rFonts w:eastAsia="Arial" w:cs="Arial"/>
          <w:sz w:val="24"/>
          <w:lang w:val="es-CO"/>
        </w:rPr>
        <w:footnoteReference w:id="2"/>
      </w:r>
      <w:r w:rsidRPr="009A0AF8">
        <w:rPr>
          <w:rFonts w:eastAsia="Arial" w:cs="Arial"/>
          <w:sz w:val="24"/>
          <w:lang w:val="es-CO"/>
        </w:rPr>
        <w:t xml:space="preserve"> de redes para el transporte de combustibles líquidos y GLP, discrimina</w:t>
      </w:r>
      <w:r w:rsidR="00A57B3B">
        <w:rPr>
          <w:rFonts w:eastAsia="Arial" w:cs="Arial"/>
          <w:sz w:val="24"/>
          <w:lang w:val="es-CO"/>
        </w:rPr>
        <w:t>dos como se puede apreciar en la</w:t>
      </w:r>
      <w:r w:rsidR="00A57B3B" w:rsidRPr="00325A7F">
        <w:rPr>
          <w:rFonts w:eastAsia="Arial" w:cs="Arial"/>
          <w:sz w:val="24"/>
          <w:lang w:val="es-CO"/>
        </w:rPr>
        <w:t xml:space="preserve"> </w:t>
      </w:r>
      <w:r w:rsidR="00A57B3B" w:rsidRPr="00325A7F">
        <w:rPr>
          <w:rFonts w:eastAsia="Arial" w:cs="Arial"/>
          <w:sz w:val="24"/>
          <w:lang w:val="es-CO"/>
        </w:rPr>
        <w:fldChar w:fldCharType="begin"/>
      </w:r>
      <w:r w:rsidR="00A57B3B" w:rsidRPr="00325A7F">
        <w:rPr>
          <w:rFonts w:eastAsia="Arial" w:cs="Arial"/>
          <w:sz w:val="24"/>
          <w:lang w:val="es-CO"/>
        </w:rPr>
        <w:instrText xml:space="preserve"> REF _Ref437262418 \h </w:instrText>
      </w:r>
      <w:r w:rsidR="00325A7F" w:rsidRPr="00325A7F">
        <w:rPr>
          <w:rFonts w:eastAsia="Arial" w:cs="Arial"/>
          <w:sz w:val="24"/>
          <w:lang w:val="es-CO"/>
        </w:rPr>
        <w:instrText xml:space="preserve"> \* MERGEFORMAT </w:instrText>
      </w:r>
      <w:r w:rsidR="00A57B3B" w:rsidRPr="00325A7F">
        <w:rPr>
          <w:rFonts w:eastAsia="Arial" w:cs="Arial"/>
          <w:sz w:val="24"/>
          <w:lang w:val="es-CO"/>
        </w:rPr>
      </w:r>
      <w:r w:rsidR="00A57B3B" w:rsidRPr="00325A7F">
        <w:rPr>
          <w:rFonts w:eastAsia="Arial" w:cs="Arial"/>
          <w:sz w:val="24"/>
          <w:lang w:val="es-CO"/>
        </w:rPr>
        <w:fldChar w:fldCharType="separate"/>
      </w:r>
      <w:r w:rsidR="00625BEB" w:rsidRPr="00625BEB">
        <w:rPr>
          <w:sz w:val="24"/>
        </w:rPr>
        <w:t xml:space="preserve">Gráfica </w:t>
      </w:r>
      <w:r w:rsidR="00625BEB" w:rsidRPr="00625BEB">
        <w:rPr>
          <w:noProof/>
          <w:sz w:val="24"/>
        </w:rPr>
        <w:t>3</w:t>
      </w:r>
      <w:r w:rsidR="00A57B3B" w:rsidRPr="00325A7F">
        <w:rPr>
          <w:rFonts w:eastAsia="Arial" w:cs="Arial"/>
          <w:sz w:val="24"/>
          <w:lang w:val="es-CO"/>
        </w:rPr>
        <w:fldChar w:fldCharType="end"/>
      </w:r>
      <w:r w:rsidRPr="009A0AF8">
        <w:rPr>
          <w:rFonts w:eastAsia="Arial" w:cs="Arial"/>
          <w:sz w:val="24"/>
          <w:lang w:val="es-CO"/>
        </w:rPr>
        <w:t>.</w:t>
      </w:r>
    </w:p>
    <w:p w:rsidR="000A3AD2" w:rsidRPr="009A0AF8" w:rsidRDefault="000A3AD2" w:rsidP="0083557B">
      <w:pPr>
        <w:rPr>
          <w:rFonts w:eastAsia="Arial" w:cs="Arial"/>
          <w:sz w:val="24"/>
          <w:lang w:val="es-CO"/>
        </w:rPr>
      </w:pPr>
    </w:p>
    <w:p w:rsidR="00B1053D" w:rsidRDefault="0083557B" w:rsidP="00B1053D">
      <w:pPr>
        <w:keepNext/>
        <w:ind w:left="195"/>
        <w:contextualSpacing/>
        <w:jc w:val="center"/>
      </w:pPr>
      <w:r w:rsidRPr="004859E4">
        <w:rPr>
          <w:rFonts w:cs="Arial"/>
          <w:noProof/>
          <w:lang w:val="es-CO" w:eastAsia="es-CO"/>
        </w:rPr>
        <w:drawing>
          <wp:inline distT="0" distB="0" distL="0" distR="0" wp14:anchorId="11B0594D" wp14:editId="355EA7E1">
            <wp:extent cx="5295331" cy="2640842"/>
            <wp:effectExtent l="0" t="0" r="19685" b="26670"/>
            <wp:docPr id="2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3557B" w:rsidRPr="00094D94" w:rsidRDefault="0083557B" w:rsidP="00094D94">
      <w:pPr>
        <w:rPr>
          <w:sz w:val="18"/>
        </w:rPr>
      </w:pPr>
      <w:r w:rsidRPr="00094D94">
        <w:rPr>
          <w:sz w:val="18"/>
        </w:rPr>
        <w:t xml:space="preserve">Fuente: Cenit. </w:t>
      </w:r>
    </w:p>
    <w:p w:rsidR="00320344" w:rsidRDefault="00320344" w:rsidP="00320344">
      <w:pPr>
        <w:pStyle w:val="Epgrafe"/>
        <w:rPr>
          <w:rFonts w:eastAsia="Arial" w:cs="Arial"/>
          <w:lang w:val="es-CO"/>
        </w:rPr>
      </w:pPr>
      <w:bookmarkStart w:id="185" w:name="_Ref437262418"/>
      <w:bookmarkStart w:id="186" w:name="_Toc437512840"/>
      <w:r>
        <w:t xml:space="preserve">Gráfica </w:t>
      </w:r>
      <w:r>
        <w:fldChar w:fldCharType="begin"/>
      </w:r>
      <w:r>
        <w:instrText xml:space="preserve"> SEQ Gráfica \* ARABIC </w:instrText>
      </w:r>
      <w:r>
        <w:fldChar w:fldCharType="separate"/>
      </w:r>
      <w:r w:rsidR="00625BEB">
        <w:rPr>
          <w:noProof/>
        </w:rPr>
        <w:t>3</w:t>
      </w:r>
      <w:r>
        <w:fldChar w:fldCharType="end"/>
      </w:r>
      <w:bookmarkEnd w:id="185"/>
      <w:r>
        <w:rPr>
          <w:noProof/>
        </w:rPr>
        <w:t xml:space="preserve"> </w:t>
      </w:r>
      <w:r w:rsidRPr="00945A49">
        <w:rPr>
          <w:noProof/>
        </w:rPr>
        <w:t>Longitud total de la red de Poliductos y Propanoductos</w:t>
      </w:r>
      <w:bookmarkEnd w:id="186"/>
    </w:p>
    <w:p w:rsidR="0076075D" w:rsidRDefault="0076075D" w:rsidP="000A00F1">
      <w:pPr>
        <w:pStyle w:val="Epgrafe"/>
        <w:spacing w:line="240" w:lineRule="auto"/>
        <w:contextualSpacing/>
        <w:jc w:val="both"/>
        <w:rPr>
          <w:rFonts w:eastAsia="Arial" w:cs="Arial"/>
          <w:lang w:val="es-CO"/>
        </w:rPr>
      </w:pPr>
    </w:p>
    <w:p w:rsidR="0076075D" w:rsidRDefault="0076075D" w:rsidP="000A00F1">
      <w:pPr>
        <w:pStyle w:val="Epgrafe"/>
        <w:spacing w:line="240" w:lineRule="auto"/>
        <w:contextualSpacing/>
        <w:jc w:val="both"/>
        <w:rPr>
          <w:rFonts w:eastAsia="Arial" w:cs="Arial"/>
          <w:lang w:val="es-CO"/>
        </w:rPr>
      </w:pPr>
    </w:p>
    <w:p w:rsidR="0083557B" w:rsidRPr="009A0AF8" w:rsidRDefault="00EC6AA1" w:rsidP="000A00F1">
      <w:pPr>
        <w:pStyle w:val="Epgrafe"/>
        <w:spacing w:line="240" w:lineRule="auto"/>
        <w:contextualSpacing/>
        <w:jc w:val="both"/>
        <w:rPr>
          <w:rFonts w:eastAsia="Arial" w:cs="Arial"/>
          <w:lang w:val="es-CO"/>
        </w:rPr>
      </w:pPr>
      <w:r>
        <w:rPr>
          <w:rFonts w:eastAsia="Arial" w:cs="Arial"/>
          <w:lang w:val="es-CO"/>
        </w:rPr>
        <w:t>En el</w:t>
      </w:r>
      <w:r w:rsidR="00FB21E1">
        <w:rPr>
          <w:rFonts w:eastAsia="Arial" w:cs="Arial"/>
          <w:lang w:val="es-CO"/>
        </w:rPr>
        <w:t xml:space="preserve"> </w:t>
      </w:r>
      <w:r w:rsidR="00FB21E1">
        <w:rPr>
          <w:rFonts w:eastAsia="Arial" w:cs="Arial"/>
          <w:lang w:val="es-CO"/>
        </w:rPr>
        <w:fldChar w:fldCharType="begin"/>
      </w:r>
      <w:r w:rsidR="00FB21E1">
        <w:rPr>
          <w:rFonts w:eastAsia="Arial" w:cs="Arial"/>
          <w:lang w:val="es-CO"/>
        </w:rPr>
        <w:instrText xml:space="preserve"> REF _Ref437262104 \h </w:instrText>
      </w:r>
      <w:r w:rsidR="00FB21E1">
        <w:rPr>
          <w:rFonts w:eastAsia="Arial" w:cs="Arial"/>
          <w:lang w:val="es-CO"/>
        </w:rPr>
      </w:r>
      <w:r w:rsidR="00FB21E1">
        <w:rPr>
          <w:rFonts w:eastAsia="Arial" w:cs="Arial"/>
          <w:lang w:val="es-CO"/>
        </w:rPr>
        <w:fldChar w:fldCharType="separate"/>
      </w:r>
      <w:r w:rsidR="00625BEB" w:rsidRPr="0076075D">
        <w:rPr>
          <w:lang w:val="es-CO"/>
        </w:rPr>
        <w:t xml:space="preserve">Anexo </w:t>
      </w:r>
      <w:r w:rsidR="00625BEB">
        <w:rPr>
          <w:noProof/>
          <w:lang w:val="es-CO"/>
        </w:rPr>
        <w:t>1</w:t>
      </w:r>
      <w:r w:rsidR="00FB21E1">
        <w:rPr>
          <w:rFonts w:eastAsia="Arial" w:cs="Arial"/>
          <w:lang w:val="es-CO"/>
        </w:rPr>
        <w:fldChar w:fldCharType="end"/>
      </w:r>
      <w:r w:rsidR="00FB21E1">
        <w:rPr>
          <w:rFonts w:eastAsia="Arial" w:cs="Arial"/>
          <w:lang w:val="es-CO"/>
        </w:rPr>
        <w:t xml:space="preserve"> se</w:t>
      </w:r>
      <w:r>
        <w:rPr>
          <w:rFonts w:eastAsia="Arial" w:cs="Arial"/>
          <w:lang w:val="es-CO"/>
        </w:rPr>
        <w:t xml:space="preserve"> </w:t>
      </w:r>
      <w:r w:rsidR="0083557B" w:rsidRPr="009A0AF8">
        <w:rPr>
          <w:rFonts w:eastAsia="Arial" w:cs="Arial"/>
          <w:lang w:val="es-CO"/>
        </w:rPr>
        <w:t xml:space="preserve">muestra </w:t>
      </w:r>
      <w:r w:rsidR="009241D4">
        <w:rPr>
          <w:rFonts w:eastAsia="Arial" w:cs="Arial"/>
          <w:lang w:val="es-CO"/>
        </w:rPr>
        <w:t xml:space="preserve">la caracterización de la </w:t>
      </w:r>
      <w:r w:rsidR="0083557B" w:rsidRPr="009A0AF8">
        <w:rPr>
          <w:rFonts w:eastAsia="Arial" w:cs="Arial"/>
          <w:lang w:val="es-CO"/>
        </w:rPr>
        <w:t>infraestructura para transpor</w:t>
      </w:r>
      <w:r w:rsidR="000A3AD2">
        <w:rPr>
          <w:rFonts w:eastAsia="Arial" w:cs="Arial"/>
          <w:lang w:val="es-CO"/>
        </w:rPr>
        <w:t xml:space="preserve">te de combustibles líquidos </w:t>
      </w:r>
      <w:r w:rsidR="00A87216">
        <w:rPr>
          <w:rFonts w:eastAsia="Arial" w:cs="Arial"/>
          <w:lang w:val="es-CO"/>
        </w:rPr>
        <w:t>y GLP por zonas.</w:t>
      </w:r>
    </w:p>
    <w:p w:rsidR="0083557B" w:rsidRPr="009A0AF8" w:rsidRDefault="0083557B" w:rsidP="0083557B">
      <w:pPr>
        <w:rPr>
          <w:rFonts w:eastAsia="Arial" w:cs="Arial"/>
          <w:sz w:val="24"/>
          <w:lang w:val="es-CO"/>
        </w:rPr>
      </w:pPr>
    </w:p>
    <w:p w:rsidR="0083557B" w:rsidRPr="006E0B34" w:rsidRDefault="0083557B" w:rsidP="00391FB3">
      <w:pPr>
        <w:pStyle w:val="Ttulo2"/>
        <w:rPr>
          <w:rFonts w:cs="Arial"/>
          <w:sz w:val="24"/>
          <w:szCs w:val="24"/>
        </w:rPr>
      </w:pPr>
      <w:bookmarkStart w:id="187" w:name="_Toc424832928"/>
      <w:bookmarkStart w:id="188" w:name="_Toc424887659"/>
      <w:bookmarkStart w:id="189" w:name="_Toc425488418"/>
      <w:bookmarkStart w:id="190" w:name="_Toc426035059"/>
      <w:bookmarkStart w:id="191" w:name="_Toc427333583"/>
      <w:bookmarkStart w:id="192" w:name="_Toc427336524"/>
      <w:bookmarkStart w:id="193" w:name="_Toc427681814"/>
      <w:bookmarkStart w:id="194" w:name="_Toc433276746"/>
      <w:bookmarkStart w:id="195" w:name="_Toc433295709"/>
      <w:bookmarkStart w:id="196" w:name="_Toc433296434"/>
      <w:bookmarkStart w:id="197" w:name="_Toc437500864"/>
      <w:bookmarkStart w:id="198" w:name="_Toc437501523"/>
      <w:bookmarkStart w:id="199" w:name="_Toc437501703"/>
      <w:bookmarkStart w:id="200" w:name="_Toc437501793"/>
      <w:bookmarkStart w:id="201" w:name="_Toc437502556"/>
      <w:bookmarkStart w:id="202" w:name="_Toc437505914"/>
      <w:bookmarkStart w:id="203" w:name="_Toc437512727"/>
      <w:r w:rsidRPr="006E0B34">
        <w:rPr>
          <w:rFonts w:cs="Arial"/>
          <w:sz w:val="24"/>
          <w:szCs w:val="24"/>
        </w:rPr>
        <w:t>mercado</w:t>
      </w:r>
      <w:r w:rsidR="00047DFA">
        <w:rPr>
          <w:rFonts w:cs="Arial"/>
          <w:sz w:val="24"/>
          <w:szCs w:val="24"/>
        </w:rPr>
        <w:t xml:space="preserve"> de</w:t>
      </w:r>
      <w:r w:rsidR="000A3AD2" w:rsidRPr="006E0B34">
        <w:rPr>
          <w:rFonts w:cs="Arial"/>
          <w:sz w:val="24"/>
          <w:szCs w:val="24"/>
        </w:rPr>
        <w:t xml:space="preserve"> </w:t>
      </w:r>
      <w:r w:rsidRPr="006E0B34">
        <w:rPr>
          <w:rFonts w:cs="Arial"/>
          <w:sz w:val="24"/>
          <w:szCs w:val="24"/>
        </w:rPr>
        <w:t>transporte de combustibles y</w:t>
      </w:r>
      <w:r w:rsidR="00F4108D">
        <w:rPr>
          <w:rFonts w:cs="Arial"/>
          <w:sz w:val="24"/>
          <w:szCs w:val="24"/>
        </w:rPr>
        <w:t xml:space="preserve"> glp</w:t>
      </w:r>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r w:rsidRPr="006E0B34">
        <w:rPr>
          <w:rFonts w:cs="Arial"/>
          <w:sz w:val="24"/>
          <w:szCs w:val="24"/>
        </w:rPr>
        <w:t xml:space="preserve"> </w:t>
      </w:r>
    </w:p>
    <w:p w:rsidR="0083557B" w:rsidRPr="009A0AF8" w:rsidRDefault="0083557B" w:rsidP="0083557B">
      <w:pPr>
        <w:ind w:left="195"/>
        <w:rPr>
          <w:rFonts w:cs="Arial"/>
          <w:sz w:val="24"/>
        </w:rPr>
      </w:pPr>
    </w:p>
    <w:p w:rsidR="0083557B" w:rsidRPr="009A0AF8" w:rsidRDefault="0083557B" w:rsidP="00391FB3">
      <w:pPr>
        <w:pStyle w:val="Ttulo3"/>
        <w:ind w:left="195"/>
        <w:rPr>
          <w:rFonts w:cs="Arial"/>
          <w:sz w:val="24"/>
          <w:szCs w:val="24"/>
        </w:rPr>
      </w:pPr>
      <w:bookmarkStart w:id="204" w:name="_Toc426035060"/>
      <w:bookmarkStart w:id="205" w:name="_Toc427333584"/>
      <w:bookmarkStart w:id="206" w:name="_Toc427336525"/>
      <w:bookmarkStart w:id="207" w:name="_Toc427681815"/>
      <w:bookmarkStart w:id="208" w:name="_Toc433276747"/>
      <w:bookmarkStart w:id="209" w:name="_Toc433295710"/>
      <w:bookmarkStart w:id="210" w:name="_Toc433296435"/>
      <w:bookmarkStart w:id="211" w:name="_Toc437500865"/>
      <w:bookmarkStart w:id="212" w:name="_Toc437501524"/>
      <w:bookmarkStart w:id="213" w:name="_Toc437501704"/>
      <w:bookmarkStart w:id="214" w:name="_Toc437501794"/>
      <w:bookmarkStart w:id="215" w:name="_Toc437502557"/>
      <w:bookmarkStart w:id="216" w:name="_Toc437505915"/>
      <w:bookmarkStart w:id="217" w:name="_Toc437512728"/>
      <w:bookmarkStart w:id="218" w:name="_Toc424832929"/>
      <w:bookmarkStart w:id="219" w:name="_Toc424887660"/>
      <w:bookmarkStart w:id="220" w:name="_Toc425488419"/>
      <w:r w:rsidRPr="009A0AF8">
        <w:rPr>
          <w:rFonts w:cs="Arial"/>
          <w:sz w:val="24"/>
          <w:szCs w:val="24"/>
        </w:rPr>
        <w:t>Transporte de GLP</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r w:rsidRPr="009A0AF8">
        <w:rPr>
          <w:rFonts w:cs="Arial"/>
          <w:sz w:val="24"/>
          <w:szCs w:val="24"/>
        </w:rPr>
        <w:t xml:space="preserve"> </w:t>
      </w:r>
      <w:bookmarkEnd w:id="218"/>
      <w:bookmarkEnd w:id="219"/>
      <w:bookmarkEnd w:id="220"/>
    </w:p>
    <w:p w:rsidR="0083557B" w:rsidRPr="009A0AF8" w:rsidRDefault="0083557B" w:rsidP="0083557B">
      <w:pPr>
        <w:rPr>
          <w:rFonts w:cs="Arial"/>
          <w:sz w:val="24"/>
          <w:lang w:val="es-ES_tradnl"/>
        </w:rPr>
      </w:pPr>
    </w:p>
    <w:p w:rsidR="0083557B" w:rsidRPr="009A0AF8" w:rsidRDefault="0083557B" w:rsidP="0083557B">
      <w:pPr>
        <w:rPr>
          <w:rFonts w:cs="Arial"/>
          <w:sz w:val="24"/>
          <w:lang w:val="es-ES_tradnl"/>
        </w:rPr>
      </w:pPr>
      <w:r w:rsidRPr="009A0AF8">
        <w:rPr>
          <w:rFonts w:cs="Arial"/>
          <w:sz w:val="24"/>
          <w:lang w:val="es-ES_tradnl"/>
        </w:rPr>
        <w:t>Actualmente las rutas por las que se realiza transporte de GLP son las siguientes:</w:t>
      </w:r>
    </w:p>
    <w:p w:rsidR="0083557B" w:rsidRPr="009A0AF8" w:rsidRDefault="0083557B" w:rsidP="0083557B">
      <w:pPr>
        <w:rPr>
          <w:rFonts w:cs="Arial"/>
          <w:sz w:val="24"/>
          <w:lang w:val="es-ES_tradnl"/>
        </w:rPr>
      </w:pPr>
    </w:p>
    <w:p w:rsidR="0083557B" w:rsidRPr="009A0AF8" w:rsidRDefault="0083557B" w:rsidP="002864AD">
      <w:pPr>
        <w:pStyle w:val="Prrafodelista"/>
        <w:numPr>
          <w:ilvl w:val="0"/>
          <w:numId w:val="11"/>
        </w:numPr>
        <w:ind w:left="714" w:hanging="357"/>
        <w:contextualSpacing/>
        <w:rPr>
          <w:rFonts w:cs="Arial"/>
          <w:bCs/>
          <w:color w:val="000000"/>
          <w:sz w:val="24"/>
          <w:szCs w:val="24"/>
          <w:lang w:eastAsia="es-CO"/>
        </w:rPr>
      </w:pPr>
      <w:r w:rsidRPr="009A0AF8">
        <w:rPr>
          <w:rFonts w:cs="Arial"/>
          <w:bCs/>
          <w:color w:val="000000"/>
          <w:sz w:val="24"/>
          <w:szCs w:val="24"/>
          <w:lang w:eastAsia="es-CO"/>
        </w:rPr>
        <w:t>Galán - Bucaramanga</w:t>
      </w:r>
    </w:p>
    <w:p w:rsidR="0083557B" w:rsidRPr="009A0AF8" w:rsidRDefault="0083557B" w:rsidP="002864AD">
      <w:pPr>
        <w:pStyle w:val="Prrafodelista"/>
        <w:numPr>
          <w:ilvl w:val="0"/>
          <w:numId w:val="11"/>
        </w:numPr>
        <w:contextualSpacing/>
        <w:rPr>
          <w:rFonts w:cs="Arial"/>
          <w:sz w:val="24"/>
          <w:szCs w:val="24"/>
          <w:lang w:val="es-ES_tradnl"/>
        </w:rPr>
      </w:pPr>
      <w:r w:rsidRPr="009A0AF8">
        <w:rPr>
          <w:rFonts w:cs="Arial"/>
          <w:bCs/>
          <w:color w:val="000000"/>
          <w:sz w:val="24"/>
          <w:szCs w:val="24"/>
          <w:lang w:eastAsia="es-CO"/>
        </w:rPr>
        <w:t>Galán - Salgar</w:t>
      </w:r>
    </w:p>
    <w:p w:rsidR="0083557B" w:rsidRPr="009A0AF8" w:rsidRDefault="0083557B" w:rsidP="002864AD">
      <w:pPr>
        <w:pStyle w:val="Prrafodelista"/>
        <w:numPr>
          <w:ilvl w:val="0"/>
          <w:numId w:val="11"/>
        </w:numPr>
        <w:ind w:left="714" w:hanging="357"/>
        <w:contextualSpacing/>
        <w:rPr>
          <w:rFonts w:cs="Arial"/>
          <w:bCs/>
          <w:color w:val="000000"/>
          <w:sz w:val="24"/>
          <w:szCs w:val="24"/>
          <w:lang w:eastAsia="es-CO"/>
        </w:rPr>
      </w:pPr>
      <w:r w:rsidRPr="009A0AF8">
        <w:rPr>
          <w:rFonts w:cs="Arial"/>
          <w:bCs/>
          <w:color w:val="000000"/>
          <w:sz w:val="24"/>
          <w:szCs w:val="24"/>
          <w:lang w:eastAsia="es-CO"/>
        </w:rPr>
        <w:t>Galán - Mansilla</w:t>
      </w:r>
    </w:p>
    <w:p w:rsidR="0083557B" w:rsidRPr="004E65EB" w:rsidRDefault="0083557B" w:rsidP="002864AD">
      <w:pPr>
        <w:pStyle w:val="Prrafodelista"/>
        <w:numPr>
          <w:ilvl w:val="0"/>
          <w:numId w:val="11"/>
        </w:numPr>
        <w:ind w:left="714" w:hanging="357"/>
        <w:contextualSpacing/>
        <w:rPr>
          <w:rFonts w:cs="Arial"/>
          <w:sz w:val="24"/>
          <w:szCs w:val="24"/>
          <w:lang w:val="es-ES_tradnl"/>
        </w:rPr>
      </w:pPr>
      <w:r w:rsidRPr="009A0AF8">
        <w:rPr>
          <w:rFonts w:cs="Arial"/>
          <w:bCs/>
          <w:color w:val="000000"/>
          <w:sz w:val="24"/>
          <w:szCs w:val="24"/>
          <w:lang w:eastAsia="es-CO"/>
        </w:rPr>
        <w:t xml:space="preserve">Galán </w:t>
      </w:r>
      <w:r w:rsidR="004E65EB">
        <w:rPr>
          <w:rFonts w:cs="Arial"/>
          <w:bCs/>
          <w:color w:val="000000"/>
          <w:sz w:val="24"/>
          <w:szCs w:val="24"/>
          <w:lang w:eastAsia="es-CO"/>
        </w:rPr>
        <w:t>–</w:t>
      </w:r>
      <w:r w:rsidRPr="009A0AF8">
        <w:rPr>
          <w:rFonts w:cs="Arial"/>
          <w:bCs/>
          <w:color w:val="000000"/>
          <w:sz w:val="24"/>
          <w:szCs w:val="24"/>
          <w:lang w:eastAsia="es-CO"/>
        </w:rPr>
        <w:t xml:space="preserve"> Cartago</w:t>
      </w:r>
    </w:p>
    <w:p w:rsidR="004E65EB" w:rsidRPr="0076075D" w:rsidRDefault="004E65EB" w:rsidP="002864AD">
      <w:pPr>
        <w:pStyle w:val="Prrafodelista"/>
        <w:numPr>
          <w:ilvl w:val="0"/>
          <w:numId w:val="11"/>
        </w:numPr>
        <w:ind w:left="714" w:hanging="357"/>
        <w:contextualSpacing/>
        <w:rPr>
          <w:rFonts w:cs="Arial"/>
          <w:sz w:val="24"/>
          <w:szCs w:val="24"/>
          <w:lang w:val="es-ES_tradnl"/>
        </w:rPr>
      </w:pPr>
      <w:r>
        <w:rPr>
          <w:rFonts w:cs="Arial"/>
          <w:bCs/>
          <w:color w:val="000000"/>
          <w:sz w:val="24"/>
          <w:szCs w:val="24"/>
          <w:lang w:eastAsia="es-CO"/>
        </w:rPr>
        <w:t xml:space="preserve">Cartago </w:t>
      </w:r>
      <w:r w:rsidR="0076075D">
        <w:rPr>
          <w:rFonts w:cs="Arial"/>
          <w:bCs/>
          <w:color w:val="000000"/>
          <w:sz w:val="24"/>
          <w:szCs w:val="24"/>
          <w:lang w:eastAsia="es-CO"/>
        </w:rPr>
        <w:t>–</w:t>
      </w:r>
      <w:r>
        <w:rPr>
          <w:rFonts w:cs="Arial"/>
          <w:bCs/>
          <w:color w:val="000000"/>
          <w:sz w:val="24"/>
          <w:szCs w:val="24"/>
          <w:lang w:eastAsia="es-CO"/>
        </w:rPr>
        <w:t xml:space="preserve"> Yumbo</w:t>
      </w:r>
    </w:p>
    <w:p w:rsidR="0076075D" w:rsidRDefault="0076075D" w:rsidP="0076075D">
      <w:pPr>
        <w:pStyle w:val="Prrafodelista"/>
        <w:ind w:left="714"/>
        <w:contextualSpacing/>
        <w:rPr>
          <w:rFonts w:cs="Arial"/>
          <w:bCs/>
          <w:color w:val="000000"/>
          <w:sz w:val="24"/>
          <w:szCs w:val="24"/>
          <w:lang w:eastAsia="es-CO"/>
        </w:rPr>
      </w:pPr>
    </w:p>
    <w:p w:rsidR="0076075D" w:rsidRPr="009A0AF8" w:rsidRDefault="0076075D" w:rsidP="0076075D">
      <w:pPr>
        <w:pStyle w:val="Prrafodelista"/>
        <w:ind w:left="714"/>
        <w:contextualSpacing/>
        <w:rPr>
          <w:rFonts w:cs="Arial"/>
          <w:sz w:val="24"/>
          <w:szCs w:val="24"/>
          <w:lang w:val="es-ES_tradnl"/>
        </w:rPr>
      </w:pPr>
    </w:p>
    <w:p w:rsidR="003C35F8" w:rsidRDefault="0083557B" w:rsidP="003C35F8">
      <w:pPr>
        <w:pStyle w:val="Prrafodelista"/>
        <w:keepNext/>
        <w:ind w:left="0"/>
        <w:contextualSpacing/>
        <w:jc w:val="center"/>
      </w:pPr>
      <w:r w:rsidRPr="004859E4">
        <w:rPr>
          <w:rFonts w:cs="Arial"/>
          <w:noProof/>
          <w:lang w:eastAsia="es-CO"/>
        </w:rPr>
        <w:drawing>
          <wp:inline distT="0" distB="0" distL="0" distR="0" wp14:anchorId="0B5B3277" wp14:editId="44ABBCE6">
            <wp:extent cx="4675239" cy="221103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75239" cy="2211033"/>
                    </a:xfrm>
                    <a:prstGeom prst="rect">
                      <a:avLst/>
                    </a:prstGeom>
                  </pic:spPr>
                </pic:pic>
              </a:graphicData>
            </a:graphic>
          </wp:inline>
        </w:drawing>
      </w:r>
    </w:p>
    <w:p w:rsidR="003C35F8" w:rsidRPr="004859E4" w:rsidRDefault="003C35F8" w:rsidP="003C35F8">
      <w:pPr>
        <w:pStyle w:val="Epgrafe"/>
        <w:spacing w:line="240" w:lineRule="auto"/>
        <w:contextualSpacing/>
        <w:jc w:val="both"/>
        <w:rPr>
          <w:rFonts w:cs="Arial"/>
          <w:iCs/>
          <w:sz w:val="16"/>
          <w:szCs w:val="32"/>
        </w:rPr>
      </w:pPr>
      <w:r w:rsidRPr="004859E4">
        <w:rPr>
          <w:rFonts w:cs="Arial"/>
          <w:sz w:val="16"/>
          <w:szCs w:val="18"/>
        </w:rPr>
        <w:t>Fuente: CREG</w:t>
      </w:r>
      <w:r w:rsidRPr="004859E4">
        <w:rPr>
          <w:rFonts w:cs="Arial"/>
          <w:iCs/>
          <w:sz w:val="16"/>
          <w:szCs w:val="32"/>
        </w:rPr>
        <w:t xml:space="preserve">. </w:t>
      </w:r>
    </w:p>
    <w:p w:rsidR="00B3396C" w:rsidRDefault="00320344" w:rsidP="00320344">
      <w:pPr>
        <w:pStyle w:val="Epgrafe"/>
        <w:rPr>
          <w:rFonts w:cs="Arial"/>
        </w:rPr>
      </w:pPr>
      <w:bookmarkStart w:id="221" w:name="_Toc437512841"/>
      <w:r>
        <w:t xml:space="preserve">Gráfica </w:t>
      </w:r>
      <w:r>
        <w:fldChar w:fldCharType="begin"/>
      </w:r>
      <w:r>
        <w:instrText xml:space="preserve"> SEQ Gráfica \* ARABIC </w:instrText>
      </w:r>
      <w:r>
        <w:fldChar w:fldCharType="separate"/>
      </w:r>
      <w:r w:rsidR="00625BEB">
        <w:rPr>
          <w:noProof/>
        </w:rPr>
        <w:t>4</w:t>
      </w:r>
      <w:r>
        <w:fldChar w:fldCharType="end"/>
      </w:r>
      <w:r>
        <w:rPr>
          <w:noProof/>
        </w:rPr>
        <w:t xml:space="preserve"> </w:t>
      </w:r>
      <w:r w:rsidRPr="003D047E">
        <w:rPr>
          <w:noProof/>
        </w:rPr>
        <w:t>Rutas de transporte de GLP</w:t>
      </w:r>
      <w:bookmarkEnd w:id="221"/>
    </w:p>
    <w:p w:rsidR="0076075D" w:rsidRDefault="0076075D" w:rsidP="0083557B">
      <w:pPr>
        <w:rPr>
          <w:rFonts w:cs="Arial"/>
          <w:sz w:val="24"/>
        </w:rPr>
      </w:pPr>
    </w:p>
    <w:p w:rsidR="0076075D" w:rsidRDefault="0076075D" w:rsidP="0083557B">
      <w:pPr>
        <w:rPr>
          <w:rFonts w:cs="Arial"/>
          <w:sz w:val="24"/>
        </w:rPr>
      </w:pPr>
    </w:p>
    <w:p w:rsidR="00C77B93" w:rsidRDefault="00C77B93" w:rsidP="0083557B">
      <w:pPr>
        <w:rPr>
          <w:rFonts w:cs="Arial"/>
          <w:sz w:val="24"/>
        </w:rPr>
      </w:pPr>
    </w:p>
    <w:p w:rsidR="00667803" w:rsidRDefault="0083557B" w:rsidP="0083557B">
      <w:pPr>
        <w:rPr>
          <w:rFonts w:cs="Arial"/>
          <w:sz w:val="24"/>
          <w:lang w:val="es-CO"/>
        </w:rPr>
      </w:pPr>
      <w:r w:rsidRPr="009A0AF8">
        <w:rPr>
          <w:rFonts w:cs="Arial"/>
          <w:sz w:val="24"/>
        </w:rPr>
        <w:t xml:space="preserve">De acuerdo a </w:t>
      </w:r>
      <w:r w:rsidR="004500E8">
        <w:rPr>
          <w:rFonts w:cs="Arial"/>
          <w:sz w:val="24"/>
        </w:rPr>
        <w:t>la información suministrada</w:t>
      </w:r>
      <w:r w:rsidRPr="009A0AF8">
        <w:rPr>
          <w:rFonts w:cs="Arial"/>
          <w:sz w:val="24"/>
        </w:rPr>
        <w:t xml:space="preserve"> por Cenit, </w:t>
      </w:r>
      <w:r w:rsidRPr="009A0AF8">
        <w:rPr>
          <w:rFonts w:cs="Arial"/>
          <w:sz w:val="24"/>
          <w:lang w:val="es-CO"/>
        </w:rPr>
        <w:t xml:space="preserve">el volumen promedio trasportado de GLP a través del sistema ha presentado un descenso desde abril de 2013 hasta abril de 2015, pasando de 9,3 a 7,9 kbd. </w:t>
      </w:r>
    </w:p>
    <w:p w:rsidR="00667803" w:rsidRDefault="00667803" w:rsidP="0083557B">
      <w:pPr>
        <w:rPr>
          <w:rFonts w:cs="Arial"/>
          <w:sz w:val="24"/>
          <w:lang w:val="es-CO"/>
        </w:rPr>
      </w:pPr>
    </w:p>
    <w:p w:rsidR="0083557B" w:rsidRPr="009A0AF8" w:rsidRDefault="0083557B" w:rsidP="0083557B">
      <w:pPr>
        <w:rPr>
          <w:rFonts w:cs="Arial"/>
          <w:sz w:val="24"/>
          <w:lang w:val="es-CO"/>
        </w:rPr>
      </w:pPr>
      <w:r w:rsidRPr="009A0AF8">
        <w:rPr>
          <w:rFonts w:cs="Arial"/>
          <w:sz w:val="24"/>
          <w:lang w:val="es-CO"/>
        </w:rPr>
        <w:t>El porcentaje de GLP sobre el total transportado a través del sistema de poliductos, se mantuvo alred</w:t>
      </w:r>
      <w:r w:rsidR="000A3AD2">
        <w:rPr>
          <w:rFonts w:cs="Arial"/>
          <w:sz w:val="24"/>
          <w:lang w:val="es-CO"/>
        </w:rPr>
        <w:t>edor del 2,6% para el mismo per</w:t>
      </w:r>
      <w:r w:rsidR="004E65EB">
        <w:rPr>
          <w:rFonts w:cs="Arial"/>
          <w:sz w:val="24"/>
          <w:lang w:val="es-CO"/>
        </w:rPr>
        <w:t>í</w:t>
      </w:r>
      <w:r w:rsidRPr="009A0AF8">
        <w:rPr>
          <w:rFonts w:cs="Arial"/>
          <w:sz w:val="24"/>
          <w:lang w:val="es-CO"/>
        </w:rPr>
        <w:t>odo.</w:t>
      </w:r>
    </w:p>
    <w:p w:rsidR="0083557B" w:rsidRPr="009A0AF8" w:rsidRDefault="0083557B" w:rsidP="0083557B">
      <w:pPr>
        <w:rPr>
          <w:rFonts w:cs="Arial"/>
          <w:sz w:val="24"/>
          <w:lang w:val="es-CO"/>
        </w:rPr>
      </w:pPr>
    </w:p>
    <w:p w:rsidR="003C35F8" w:rsidRDefault="0083557B" w:rsidP="003C35F8">
      <w:pPr>
        <w:keepNext/>
        <w:jc w:val="center"/>
      </w:pPr>
      <w:r w:rsidRPr="004859E4">
        <w:rPr>
          <w:rFonts w:cs="Arial"/>
          <w:noProof/>
          <w:lang w:val="es-CO" w:eastAsia="es-CO"/>
        </w:rPr>
        <w:lastRenderedPageBreak/>
        <w:drawing>
          <wp:inline distT="0" distB="0" distL="0" distR="0" wp14:anchorId="0B7A89D7" wp14:editId="7706BF1D">
            <wp:extent cx="5844746" cy="3323968"/>
            <wp:effectExtent l="0" t="0" r="381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3557B" w:rsidRDefault="0083557B" w:rsidP="00B3396C">
      <w:pPr>
        <w:jc w:val="left"/>
        <w:rPr>
          <w:rFonts w:cs="Arial"/>
          <w:sz w:val="16"/>
        </w:rPr>
      </w:pPr>
      <w:r w:rsidRPr="004859E4">
        <w:rPr>
          <w:rFonts w:cs="Arial"/>
          <w:sz w:val="16"/>
        </w:rPr>
        <w:t>Fuente: Cálculos CREG. Datos Cenit.</w:t>
      </w:r>
    </w:p>
    <w:p w:rsidR="0083557B" w:rsidRPr="004859E4" w:rsidRDefault="00320344" w:rsidP="00320344">
      <w:pPr>
        <w:pStyle w:val="Epgrafe"/>
        <w:rPr>
          <w:rFonts w:cs="Arial"/>
          <w:lang w:val="es-CO"/>
        </w:rPr>
      </w:pPr>
      <w:bookmarkStart w:id="222" w:name="_Toc437512842"/>
      <w:r>
        <w:t xml:space="preserve">Gráfica </w:t>
      </w:r>
      <w:r>
        <w:fldChar w:fldCharType="begin"/>
      </w:r>
      <w:r>
        <w:instrText xml:space="preserve"> SEQ Gráfica \* ARABIC </w:instrText>
      </w:r>
      <w:r>
        <w:fldChar w:fldCharType="separate"/>
      </w:r>
      <w:r w:rsidR="00625BEB">
        <w:rPr>
          <w:noProof/>
        </w:rPr>
        <w:t>5</w:t>
      </w:r>
      <w:r>
        <w:fldChar w:fldCharType="end"/>
      </w:r>
      <w:r>
        <w:rPr>
          <w:noProof/>
        </w:rPr>
        <w:t xml:space="preserve"> </w:t>
      </w:r>
      <w:r w:rsidRPr="00766F0D">
        <w:rPr>
          <w:noProof/>
        </w:rPr>
        <w:t>Cantidad transportada de GLP</w:t>
      </w:r>
      <w:bookmarkEnd w:id="222"/>
    </w:p>
    <w:p w:rsidR="00C77B93" w:rsidRDefault="00C77B93" w:rsidP="0083557B">
      <w:pPr>
        <w:rPr>
          <w:rFonts w:cs="Arial"/>
          <w:sz w:val="24"/>
          <w:lang w:val="es-CO"/>
        </w:rPr>
      </w:pPr>
    </w:p>
    <w:p w:rsidR="00E5576C" w:rsidRDefault="0083557B" w:rsidP="0083557B">
      <w:pPr>
        <w:rPr>
          <w:rFonts w:cs="Arial"/>
          <w:sz w:val="24"/>
          <w:lang w:val="es-CO"/>
        </w:rPr>
      </w:pPr>
      <w:r w:rsidRPr="009A0AF8">
        <w:rPr>
          <w:rFonts w:cs="Arial"/>
          <w:sz w:val="24"/>
          <w:lang w:val="es-CO"/>
        </w:rPr>
        <w:t>El descenso en el transporte de GLP puede estar explicado fundamentalmente por dos factores. E</w:t>
      </w:r>
      <w:r w:rsidR="004E65EB">
        <w:rPr>
          <w:rFonts w:cs="Arial"/>
          <w:sz w:val="24"/>
          <w:lang w:val="es-CO"/>
        </w:rPr>
        <w:t>l primero</w:t>
      </w:r>
      <w:r w:rsidRPr="009A0AF8">
        <w:rPr>
          <w:rFonts w:cs="Arial"/>
          <w:sz w:val="24"/>
          <w:lang w:val="es-CO"/>
        </w:rPr>
        <w:t>, la zona de Bogotá se está abasteciendo principalmente desde Cusiana, que ha aumentado la producción en los últimos</w:t>
      </w:r>
      <w:r w:rsidR="00425E0B">
        <w:rPr>
          <w:rFonts w:cs="Arial"/>
          <w:sz w:val="24"/>
          <w:lang w:val="es-CO"/>
        </w:rPr>
        <w:t xml:space="preserve"> años</w:t>
      </w:r>
      <w:r w:rsidR="004500E8">
        <w:rPr>
          <w:rFonts w:cs="Arial"/>
          <w:sz w:val="24"/>
          <w:lang w:val="es-CO"/>
        </w:rPr>
        <w:t>, adicionalmente respecto a temas de calidad dicha fuente se ha caracterizado por ofrecer GLP que permite atender aplicaciones industriales</w:t>
      </w:r>
      <w:r w:rsidRPr="009A0AF8">
        <w:rPr>
          <w:rFonts w:cs="Arial"/>
          <w:sz w:val="24"/>
          <w:lang w:val="es-CO"/>
        </w:rPr>
        <w:t xml:space="preserve">. </w:t>
      </w:r>
    </w:p>
    <w:p w:rsidR="00E5576C" w:rsidRDefault="00E5576C" w:rsidP="0083557B">
      <w:pPr>
        <w:rPr>
          <w:rFonts w:cs="Arial"/>
          <w:sz w:val="24"/>
          <w:lang w:val="es-CO"/>
        </w:rPr>
      </w:pPr>
    </w:p>
    <w:p w:rsidR="0083557B" w:rsidRPr="009A0AF8" w:rsidRDefault="004E65EB" w:rsidP="0083557B">
      <w:pPr>
        <w:rPr>
          <w:rFonts w:cs="Arial"/>
          <w:noProof/>
          <w:sz w:val="24"/>
          <w:lang w:val="es-CO" w:eastAsia="es-CO"/>
        </w:rPr>
      </w:pPr>
      <w:r>
        <w:rPr>
          <w:rFonts w:cs="Arial"/>
          <w:sz w:val="24"/>
          <w:lang w:val="es-CO"/>
        </w:rPr>
        <w:t>El segundo</w:t>
      </w:r>
      <w:r w:rsidR="00E5576C">
        <w:rPr>
          <w:rFonts w:cs="Arial"/>
          <w:sz w:val="24"/>
          <w:lang w:val="es-CO"/>
        </w:rPr>
        <w:t xml:space="preserve"> aspecto</w:t>
      </w:r>
      <w:r w:rsidR="0083557B" w:rsidRPr="009A0AF8">
        <w:rPr>
          <w:rFonts w:cs="Arial"/>
          <w:sz w:val="24"/>
          <w:lang w:val="es-CO"/>
        </w:rPr>
        <w:t>,</w:t>
      </w:r>
      <w:r w:rsidR="00E5576C">
        <w:rPr>
          <w:rFonts w:cs="Arial"/>
          <w:sz w:val="24"/>
          <w:lang w:val="es-CO"/>
        </w:rPr>
        <w:t xml:space="preserve"> es</w:t>
      </w:r>
      <w:r w:rsidR="0083557B" w:rsidRPr="009A0AF8">
        <w:rPr>
          <w:rFonts w:cs="Arial"/>
          <w:sz w:val="24"/>
          <w:lang w:val="es-CO"/>
        </w:rPr>
        <w:t xml:space="preserve"> la producción de GLP en la refinería de Barrancabermeja ha disminuido porque parte del GLP de la corriente de propileno ha sido enviada a Propilco en Cartagena y el remanente se </w:t>
      </w:r>
      <w:r w:rsidR="00425E0B">
        <w:rPr>
          <w:rFonts w:cs="Arial"/>
          <w:sz w:val="24"/>
          <w:lang w:val="es-CO"/>
        </w:rPr>
        <w:t>lleva</w:t>
      </w:r>
      <w:r w:rsidR="0083557B" w:rsidRPr="009A0AF8">
        <w:rPr>
          <w:rFonts w:cs="Arial"/>
          <w:sz w:val="24"/>
          <w:lang w:val="es-CO"/>
        </w:rPr>
        <w:t xml:space="preserve"> a la zona suroccidental del país.</w:t>
      </w:r>
      <w:r w:rsidR="00425E0B">
        <w:rPr>
          <w:rFonts w:cs="Arial"/>
          <w:sz w:val="24"/>
          <w:lang w:val="es-CO"/>
        </w:rPr>
        <w:t xml:space="preserve"> Como factor adicional, especialmente a nivel residencial, </w:t>
      </w:r>
      <w:r w:rsidR="0083557B" w:rsidRPr="009A0AF8">
        <w:rPr>
          <w:rFonts w:cs="Arial"/>
          <w:sz w:val="24"/>
          <w:lang w:val="es-CO"/>
        </w:rPr>
        <w:t>el consumo de GLP ha bajado explicado por la masificación del Gas Natural.</w:t>
      </w:r>
    </w:p>
    <w:p w:rsidR="0083557B" w:rsidRPr="009A0AF8" w:rsidRDefault="0083557B" w:rsidP="0083557B">
      <w:pPr>
        <w:rPr>
          <w:rFonts w:cs="Arial"/>
          <w:sz w:val="24"/>
          <w:lang w:val="es-CO"/>
        </w:rPr>
      </w:pPr>
    </w:p>
    <w:p w:rsidR="0083557B" w:rsidRPr="009A0AF8" w:rsidRDefault="0083557B" w:rsidP="00391FB3">
      <w:pPr>
        <w:pStyle w:val="Ttulo3"/>
        <w:rPr>
          <w:rFonts w:cs="Arial"/>
          <w:sz w:val="24"/>
          <w:szCs w:val="24"/>
        </w:rPr>
      </w:pPr>
      <w:bookmarkStart w:id="223" w:name="_Toc426035061"/>
      <w:bookmarkStart w:id="224" w:name="_Toc427333585"/>
      <w:bookmarkStart w:id="225" w:name="_Toc427336526"/>
      <w:bookmarkStart w:id="226" w:name="_Toc427681816"/>
      <w:bookmarkStart w:id="227" w:name="_Ref427851492"/>
      <w:bookmarkStart w:id="228" w:name="_Toc433276748"/>
      <w:bookmarkStart w:id="229" w:name="_Toc433295711"/>
      <w:bookmarkStart w:id="230" w:name="_Toc433296436"/>
      <w:bookmarkStart w:id="231" w:name="_Toc437500866"/>
      <w:bookmarkStart w:id="232" w:name="_Toc437501525"/>
      <w:bookmarkStart w:id="233" w:name="_Toc437501705"/>
      <w:bookmarkStart w:id="234" w:name="_Toc437501795"/>
      <w:bookmarkStart w:id="235" w:name="_Toc437502558"/>
      <w:bookmarkStart w:id="236" w:name="_Toc437505916"/>
      <w:bookmarkStart w:id="237" w:name="_Toc437512729"/>
      <w:r w:rsidRPr="009A0AF8">
        <w:rPr>
          <w:rFonts w:cs="Arial"/>
          <w:sz w:val="24"/>
          <w:szCs w:val="24"/>
        </w:rPr>
        <w:t>Transporte por el sistema de poliductos</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rsidR="0083557B" w:rsidRPr="009A0AF8" w:rsidRDefault="0083557B" w:rsidP="0083557B">
      <w:pPr>
        <w:contextualSpacing/>
        <w:rPr>
          <w:rFonts w:cs="Arial"/>
          <w:sz w:val="24"/>
          <w:lang w:val="es-ES_tradnl"/>
        </w:rPr>
      </w:pPr>
    </w:p>
    <w:p w:rsidR="0083557B" w:rsidRPr="009A0AF8" w:rsidRDefault="0083557B" w:rsidP="0083557B">
      <w:pPr>
        <w:contextualSpacing/>
        <w:rPr>
          <w:rFonts w:cs="Arial"/>
          <w:sz w:val="24"/>
        </w:rPr>
      </w:pPr>
      <w:r w:rsidRPr="009A0AF8">
        <w:rPr>
          <w:rFonts w:cs="Arial"/>
          <w:sz w:val="24"/>
        </w:rPr>
        <w:t xml:space="preserve">La </w:t>
      </w:r>
      <w:r w:rsidR="00A57B3B">
        <w:rPr>
          <w:rFonts w:cs="Arial"/>
          <w:sz w:val="24"/>
        </w:rPr>
        <w:fldChar w:fldCharType="begin"/>
      </w:r>
      <w:r w:rsidR="00A57B3B">
        <w:rPr>
          <w:rFonts w:cs="Arial"/>
          <w:sz w:val="24"/>
        </w:rPr>
        <w:instrText xml:space="preserve"> REF _Ref437262640 \h </w:instrText>
      </w:r>
      <w:r w:rsidR="00A57B3B">
        <w:rPr>
          <w:rFonts w:cs="Arial"/>
          <w:sz w:val="24"/>
        </w:rPr>
      </w:r>
      <w:r w:rsidR="00A57B3B">
        <w:rPr>
          <w:rFonts w:cs="Arial"/>
          <w:sz w:val="24"/>
        </w:rPr>
        <w:fldChar w:fldCharType="separate"/>
      </w:r>
      <w:r w:rsidR="00625BEB">
        <w:t xml:space="preserve">Gráfica </w:t>
      </w:r>
      <w:r w:rsidR="00625BEB">
        <w:rPr>
          <w:noProof/>
        </w:rPr>
        <w:t>6</w:t>
      </w:r>
      <w:r w:rsidR="00A57B3B">
        <w:rPr>
          <w:rFonts w:cs="Arial"/>
          <w:sz w:val="24"/>
        </w:rPr>
        <w:fldChar w:fldCharType="end"/>
      </w:r>
      <w:r w:rsidR="00A57B3B">
        <w:rPr>
          <w:rFonts w:cs="Arial"/>
          <w:sz w:val="24"/>
        </w:rPr>
        <w:t xml:space="preserve"> </w:t>
      </w:r>
      <w:r w:rsidRPr="009A0AF8">
        <w:rPr>
          <w:rFonts w:cs="Arial"/>
          <w:sz w:val="24"/>
        </w:rPr>
        <w:t>muestra la evolución del</w:t>
      </w:r>
      <w:r w:rsidR="009241D4">
        <w:rPr>
          <w:rFonts w:cs="Arial"/>
          <w:sz w:val="24"/>
        </w:rPr>
        <w:t xml:space="preserve"> volumen transportado</w:t>
      </w:r>
      <w:r w:rsidRPr="009A0AF8">
        <w:rPr>
          <w:rFonts w:cs="Arial"/>
          <w:sz w:val="24"/>
        </w:rPr>
        <w:t xml:space="preserve"> a través de los ductos troncales del sistema de transporte</w:t>
      </w:r>
      <w:r w:rsidRPr="009A0AF8">
        <w:rPr>
          <w:rStyle w:val="Refdenotaalpie"/>
          <w:rFonts w:cs="Arial"/>
          <w:sz w:val="24"/>
        </w:rPr>
        <w:footnoteReference w:id="3"/>
      </w:r>
      <w:r w:rsidRPr="009A0AF8">
        <w:rPr>
          <w:rFonts w:cs="Arial"/>
          <w:sz w:val="24"/>
        </w:rPr>
        <w:t xml:space="preserve">. Entre </w:t>
      </w:r>
      <w:r w:rsidR="00934F2B">
        <w:rPr>
          <w:rFonts w:cs="Arial"/>
          <w:sz w:val="24"/>
        </w:rPr>
        <w:t xml:space="preserve">enero de 2009 y </w:t>
      </w:r>
      <w:r w:rsidRPr="009A0AF8">
        <w:rPr>
          <w:rFonts w:cs="Arial"/>
          <w:sz w:val="24"/>
        </w:rPr>
        <w:t xml:space="preserve">abril de 2015, el sistema pasó de transportar </w:t>
      </w:r>
      <w:r w:rsidR="00934F2B">
        <w:rPr>
          <w:rFonts w:cs="Arial"/>
          <w:sz w:val="24"/>
        </w:rPr>
        <w:t>196</w:t>
      </w:r>
      <w:r w:rsidRPr="009A0AF8">
        <w:rPr>
          <w:rFonts w:cs="Arial"/>
          <w:sz w:val="24"/>
        </w:rPr>
        <w:t xml:space="preserve"> kbd a 3</w:t>
      </w:r>
      <w:r w:rsidR="00934F2B">
        <w:rPr>
          <w:rFonts w:cs="Arial"/>
          <w:sz w:val="24"/>
        </w:rPr>
        <w:t>28</w:t>
      </w:r>
      <w:r w:rsidRPr="009A0AF8">
        <w:rPr>
          <w:rFonts w:cs="Arial"/>
          <w:sz w:val="24"/>
        </w:rPr>
        <w:t xml:space="preserve"> kbd, para una variación porcentual del </w:t>
      </w:r>
      <w:r w:rsidR="00934F2B">
        <w:rPr>
          <w:rFonts w:cs="Arial"/>
          <w:sz w:val="24"/>
        </w:rPr>
        <w:t>67%</w:t>
      </w:r>
      <w:r w:rsidRPr="009A0AF8">
        <w:rPr>
          <w:rFonts w:cs="Arial"/>
          <w:sz w:val="24"/>
        </w:rPr>
        <w:t xml:space="preserve">. El tramo Galán – Sebastopol de 16 pulgadas ha sido el que más producto ha transportado para </w:t>
      </w:r>
      <w:r w:rsidR="004E65EB">
        <w:rPr>
          <w:rFonts w:cs="Arial"/>
          <w:sz w:val="24"/>
        </w:rPr>
        <w:t>todo el perí</w:t>
      </w:r>
      <w:r w:rsidR="00425E0B">
        <w:rPr>
          <w:rFonts w:cs="Arial"/>
          <w:sz w:val="24"/>
        </w:rPr>
        <w:t>od</w:t>
      </w:r>
      <w:r w:rsidR="004E65EB">
        <w:rPr>
          <w:rFonts w:cs="Arial"/>
          <w:sz w:val="24"/>
        </w:rPr>
        <w:t>o</w:t>
      </w:r>
      <w:r w:rsidRPr="009A0AF8">
        <w:rPr>
          <w:rFonts w:cs="Arial"/>
          <w:sz w:val="24"/>
        </w:rPr>
        <w:t xml:space="preserve">, con una cantidad </w:t>
      </w:r>
      <w:r w:rsidR="00425E0B">
        <w:rPr>
          <w:rFonts w:cs="Arial"/>
          <w:sz w:val="24"/>
        </w:rPr>
        <w:t xml:space="preserve">transportada </w:t>
      </w:r>
      <w:r w:rsidRPr="009A0AF8">
        <w:rPr>
          <w:rFonts w:cs="Arial"/>
          <w:sz w:val="24"/>
        </w:rPr>
        <w:t xml:space="preserve">promedio de </w:t>
      </w:r>
      <w:r w:rsidR="00934F2B">
        <w:rPr>
          <w:rFonts w:cs="Arial"/>
          <w:sz w:val="24"/>
        </w:rPr>
        <w:t>126</w:t>
      </w:r>
      <w:r w:rsidRPr="009A0AF8">
        <w:rPr>
          <w:rFonts w:cs="Arial"/>
          <w:sz w:val="24"/>
        </w:rPr>
        <w:t xml:space="preserve"> kbd.</w:t>
      </w:r>
    </w:p>
    <w:p w:rsidR="0083557B" w:rsidRDefault="0083557B" w:rsidP="0083557B">
      <w:pPr>
        <w:contextualSpacing/>
        <w:rPr>
          <w:rFonts w:cs="Arial"/>
          <w:sz w:val="24"/>
        </w:rPr>
      </w:pPr>
    </w:p>
    <w:p w:rsidR="0076075D" w:rsidRDefault="0076075D" w:rsidP="0083557B">
      <w:pPr>
        <w:contextualSpacing/>
        <w:rPr>
          <w:rFonts w:cs="Arial"/>
          <w:sz w:val="24"/>
        </w:rPr>
      </w:pPr>
    </w:p>
    <w:p w:rsidR="0076075D" w:rsidRDefault="0076075D" w:rsidP="0083557B">
      <w:pPr>
        <w:contextualSpacing/>
        <w:rPr>
          <w:rFonts w:cs="Arial"/>
          <w:sz w:val="24"/>
        </w:rPr>
      </w:pPr>
    </w:p>
    <w:p w:rsidR="0076075D" w:rsidRPr="009A0AF8" w:rsidRDefault="0076075D" w:rsidP="0083557B">
      <w:pPr>
        <w:contextualSpacing/>
        <w:rPr>
          <w:rFonts w:cs="Arial"/>
          <w:sz w:val="24"/>
        </w:rPr>
      </w:pPr>
    </w:p>
    <w:p w:rsidR="003C35F8" w:rsidRDefault="00B6661A" w:rsidP="0058606F">
      <w:pPr>
        <w:keepNext/>
        <w:contextualSpacing/>
      </w:pPr>
      <w:r>
        <w:rPr>
          <w:noProof/>
          <w:lang w:val="es-CO" w:eastAsia="es-CO"/>
        </w:rPr>
        <w:drawing>
          <wp:inline distT="0" distB="0" distL="0" distR="0" wp14:anchorId="58DEBCB6" wp14:editId="73FA71A6">
            <wp:extent cx="5827594" cy="2797791"/>
            <wp:effectExtent l="0" t="0" r="20955" b="2222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557B" w:rsidRPr="004859E4" w:rsidRDefault="0083557B" w:rsidP="0083557B">
      <w:pPr>
        <w:ind w:left="195"/>
        <w:rPr>
          <w:rFonts w:cs="Arial"/>
          <w:sz w:val="16"/>
        </w:rPr>
      </w:pPr>
      <w:r w:rsidRPr="004859E4">
        <w:rPr>
          <w:rFonts w:cs="Arial"/>
          <w:sz w:val="16"/>
        </w:rPr>
        <w:t>Fuente: Cálculos CREG. Datos Cenit</w:t>
      </w:r>
      <w:r w:rsidR="00D045C6">
        <w:rPr>
          <w:rFonts w:cs="Arial"/>
          <w:sz w:val="16"/>
        </w:rPr>
        <w:t xml:space="preserve">, </w:t>
      </w:r>
      <w:r w:rsidR="00934F2B">
        <w:rPr>
          <w:rFonts w:cs="Arial"/>
          <w:sz w:val="16"/>
        </w:rPr>
        <w:t>E</w:t>
      </w:r>
      <w:r w:rsidR="00D045C6">
        <w:rPr>
          <w:rFonts w:cs="Arial"/>
          <w:sz w:val="16"/>
        </w:rPr>
        <w:t>copetrol.</w:t>
      </w:r>
    </w:p>
    <w:p w:rsidR="00320344" w:rsidRDefault="00320344" w:rsidP="00320344">
      <w:pPr>
        <w:pStyle w:val="Epgrafe"/>
        <w:rPr>
          <w:rFonts w:cs="Arial"/>
          <w:lang w:val="es-CO"/>
        </w:rPr>
      </w:pPr>
      <w:bookmarkStart w:id="238" w:name="_Ref437262640"/>
      <w:bookmarkStart w:id="239" w:name="_Toc437512843"/>
      <w:r>
        <w:t xml:space="preserve">Gráfica </w:t>
      </w:r>
      <w:r>
        <w:fldChar w:fldCharType="begin"/>
      </w:r>
      <w:r>
        <w:instrText xml:space="preserve"> SEQ Gráfica \* ARABIC </w:instrText>
      </w:r>
      <w:r>
        <w:fldChar w:fldCharType="separate"/>
      </w:r>
      <w:r w:rsidR="00625BEB">
        <w:rPr>
          <w:noProof/>
        </w:rPr>
        <w:t>6</w:t>
      </w:r>
      <w:r>
        <w:fldChar w:fldCharType="end"/>
      </w:r>
      <w:bookmarkEnd w:id="238"/>
      <w:r>
        <w:t xml:space="preserve"> </w:t>
      </w:r>
      <w:r w:rsidRPr="004817B0">
        <w:t>Volumen transportado principales ductos (kbd)</w:t>
      </w:r>
      <w:bookmarkEnd w:id="239"/>
    </w:p>
    <w:p w:rsidR="0076075D" w:rsidRDefault="0076075D" w:rsidP="0083557B">
      <w:pPr>
        <w:rPr>
          <w:rFonts w:cs="Arial"/>
          <w:sz w:val="24"/>
          <w:lang w:val="es-CO"/>
        </w:rPr>
      </w:pPr>
    </w:p>
    <w:p w:rsidR="00667803" w:rsidRDefault="00C0421A" w:rsidP="0083557B">
      <w:pPr>
        <w:rPr>
          <w:rFonts w:cs="Arial"/>
          <w:sz w:val="24"/>
          <w:lang w:val="es-CO"/>
        </w:rPr>
      </w:pPr>
      <w:r>
        <w:rPr>
          <w:rFonts w:cs="Arial"/>
          <w:sz w:val="24"/>
          <w:lang w:val="es-CO"/>
        </w:rPr>
        <w:t xml:space="preserve">Por otra parte, la </w:t>
      </w:r>
      <w:r w:rsidR="00A57B3B">
        <w:rPr>
          <w:rFonts w:cs="Arial"/>
          <w:sz w:val="24"/>
          <w:lang w:val="es-CO"/>
        </w:rPr>
        <w:fldChar w:fldCharType="begin"/>
      </w:r>
      <w:r w:rsidR="00A57B3B">
        <w:rPr>
          <w:rFonts w:cs="Arial"/>
          <w:sz w:val="24"/>
          <w:lang w:val="es-CO"/>
        </w:rPr>
        <w:instrText xml:space="preserve"> REF _Ref437262649 \h </w:instrText>
      </w:r>
      <w:r w:rsidR="00A57B3B">
        <w:rPr>
          <w:rFonts w:cs="Arial"/>
          <w:sz w:val="24"/>
          <w:lang w:val="es-CO"/>
        </w:rPr>
      </w:r>
      <w:r w:rsidR="00A57B3B">
        <w:rPr>
          <w:rFonts w:cs="Arial"/>
          <w:sz w:val="24"/>
          <w:lang w:val="es-CO"/>
        </w:rPr>
        <w:fldChar w:fldCharType="separate"/>
      </w:r>
      <w:r w:rsidR="00625BEB">
        <w:t xml:space="preserve">Gráfica </w:t>
      </w:r>
      <w:r w:rsidR="00625BEB">
        <w:rPr>
          <w:noProof/>
        </w:rPr>
        <w:t>7</w:t>
      </w:r>
      <w:r w:rsidR="00A57B3B">
        <w:rPr>
          <w:rFonts w:cs="Arial"/>
          <w:sz w:val="24"/>
          <w:lang w:val="es-CO"/>
        </w:rPr>
        <w:fldChar w:fldCharType="end"/>
      </w:r>
      <w:r w:rsidR="00A57B3B">
        <w:rPr>
          <w:rFonts w:cs="Arial"/>
          <w:sz w:val="24"/>
          <w:lang w:val="es-CO"/>
        </w:rPr>
        <w:t xml:space="preserve"> </w:t>
      </w:r>
      <w:r w:rsidR="004E65EB">
        <w:rPr>
          <w:rFonts w:cs="Arial"/>
          <w:sz w:val="24"/>
          <w:lang w:val="es-CO"/>
        </w:rPr>
        <w:t xml:space="preserve">permite ver la </w:t>
      </w:r>
      <w:r w:rsidR="0083557B" w:rsidRPr="009A0AF8">
        <w:rPr>
          <w:rFonts w:cs="Arial"/>
          <w:sz w:val="24"/>
          <w:lang w:val="es-CO"/>
        </w:rPr>
        <w:t xml:space="preserve">participación porcentual para cada producto en el total transportado entre </w:t>
      </w:r>
      <w:r>
        <w:rPr>
          <w:rFonts w:cs="Arial"/>
          <w:sz w:val="24"/>
          <w:lang w:val="es-CO"/>
        </w:rPr>
        <w:t xml:space="preserve">enero de 2009 y </w:t>
      </w:r>
      <w:r w:rsidR="0083557B" w:rsidRPr="009A0AF8">
        <w:rPr>
          <w:rFonts w:cs="Arial"/>
          <w:sz w:val="24"/>
          <w:lang w:val="es-CO"/>
        </w:rPr>
        <w:t xml:space="preserve">abril de 2015. </w:t>
      </w:r>
    </w:p>
    <w:p w:rsidR="00667803" w:rsidRDefault="00667803" w:rsidP="0083557B">
      <w:pPr>
        <w:rPr>
          <w:rFonts w:cs="Arial"/>
          <w:sz w:val="24"/>
          <w:lang w:val="es-CO"/>
        </w:rPr>
      </w:pPr>
    </w:p>
    <w:p w:rsidR="00667803" w:rsidRDefault="0083557B" w:rsidP="0083557B">
      <w:pPr>
        <w:rPr>
          <w:rFonts w:cs="Arial"/>
          <w:sz w:val="24"/>
          <w:lang w:val="es-CO"/>
        </w:rPr>
      </w:pPr>
      <w:r w:rsidRPr="009A0AF8">
        <w:rPr>
          <w:rFonts w:cs="Arial"/>
          <w:sz w:val="24"/>
          <w:lang w:val="es-CO"/>
        </w:rPr>
        <w:t xml:space="preserve">Los rubros </w:t>
      </w:r>
      <w:r w:rsidR="00FD2963">
        <w:rPr>
          <w:rFonts w:cs="Arial"/>
          <w:sz w:val="24"/>
          <w:lang w:val="es-CO"/>
        </w:rPr>
        <w:t>con menor variación</w:t>
      </w:r>
      <w:r w:rsidRPr="009A0AF8">
        <w:rPr>
          <w:rFonts w:cs="Arial"/>
          <w:sz w:val="24"/>
          <w:lang w:val="es-CO"/>
        </w:rPr>
        <w:t xml:space="preserve"> en la gráfica son los correspondientes a Gasolina Motor regular y Nafta (incluyendo la Nafta importada), </w:t>
      </w:r>
      <w:r w:rsidR="00626F8E">
        <w:rPr>
          <w:rFonts w:cs="Arial"/>
          <w:sz w:val="24"/>
          <w:lang w:val="es-CO"/>
        </w:rPr>
        <w:t>con el 25% y el 24,1</w:t>
      </w:r>
      <w:r w:rsidR="004E65EB">
        <w:rPr>
          <w:rFonts w:cs="Arial"/>
          <w:sz w:val="24"/>
          <w:lang w:val="es-CO"/>
        </w:rPr>
        <w:t>%</w:t>
      </w:r>
      <w:r w:rsidR="00626F8E">
        <w:rPr>
          <w:rFonts w:cs="Arial"/>
          <w:sz w:val="24"/>
          <w:lang w:val="es-CO"/>
        </w:rPr>
        <w:t xml:space="preserve"> del total transp</w:t>
      </w:r>
      <w:r w:rsidR="004E65EB">
        <w:rPr>
          <w:rFonts w:cs="Arial"/>
          <w:sz w:val="24"/>
          <w:lang w:val="es-CO"/>
        </w:rPr>
        <w:t>ortado, en promedio para el perí</w:t>
      </w:r>
      <w:r w:rsidR="00626F8E">
        <w:rPr>
          <w:rFonts w:cs="Arial"/>
          <w:sz w:val="24"/>
          <w:lang w:val="es-CO"/>
        </w:rPr>
        <w:t>odo analizado.</w:t>
      </w:r>
      <w:r w:rsidR="00EA23D2">
        <w:rPr>
          <w:rFonts w:cs="Arial"/>
          <w:sz w:val="24"/>
          <w:lang w:val="es-CO"/>
        </w:rPr>
        <w:t xml:space="preserve"> </w:t>
      </w:r>
    </w:p>
    <w:p w:rsidR="00667803" w:rsidRDefault="00667803" w:rsidP="0083557B">
      <w:pPr>
        <w:rPr>
          <w:rFonts w:cs="Arial"/>
          <w:sz w:val="24"/>
          <w:lang w:val="es-CO"/>
        </w:rPr>
      </w:pPr>
    </w:p>
    <w:p w:rsidR="00626F8E" w:rsidRDefault="00EA23D2" w:rsidP="0083557B">
      <w:pPr>
        <w:rPr>
          <w:rFonts w:cs="Arial"/>
          <w:sz w:val="24"/>
          <w:lang w:val="es-CO"/>
        </w:rPr>
      </w:pPr>
      <w:r>
        <w:rPr>
          <w:rFonts w:cs="Arial"/>
          <w:sz w:val="24"/>
          <w:lang w:val="es-CO"/>
        </w:rPr>
        <w:t>La Nafta importada se empezó a transportar a través del sistema de poliductos desde marzo de 2011</w:t>
      </w:r>
      <w:r w:rsidR="00BF16A7">
        <w:rPr>
          <w:rFonts w:cs="Arial"/>
          <w:sz w:val="24"/>
          <w:lang w:val="es-CO"/>
        </w:rPr>
        <w:t>. I</w:t>
      </w:r>
      <w:r>
        <w:rPr>
          <w:rFonts w:cs="Arial"/>
          <w:sz w:val="24"/>
          <w:lang w:val="es-CO"/>
        </w:rPr>
        <w:t>nicialmente</w:t>
      </w:r>
      <w:r w:rsidR="00BF16A7">
        <w:rPr>
          <w:rFonts w:cs="Arial"/>
          <w:sz w:val="24"/>
          <w:lang w:val="es-CO"/>
        </w:rPr>
        <w:t xml:space="preserve"> el volumen transportado fue de </w:t>
      </w:r>
      <w:r>
        <w:rPr>
          <w:rFonts w:cs="Arial"/>
          <w:sz w:val="24"/>
          <w:lang w:val="es-CO"/>
        </w:rPr>
        <w:t xml:space="preserve">9,7 kbd equivalentes al </w:t>
      </w:r>
      <w:r w:rsidR="00BF16A7">
        <w:rPr>
          <w:rFonts w:cs="Arial"/>
          <w:sz w:val="24"/>
          <w:lang w:val="es-CO"/>
        </w:rPr>
        <w:t xml:space="preserve">3,7% del total transportado y </w:t>
      </w:r>
      <w:r>
        <w:rPr>
          <w:rFonts w:cs="Arial"/>
          <w:sz w:val="24"/>
          <w:lang w:val="es-CO"/>
        </w:rPr>
        <w:t>para abril de 2015</w:t>
      </w:r>
      <w:r w:rsidR="00BF16A7">
        <w:rPr>
          <w:rFonts w:cs="Arial"/>
          <w:sz w:val="24"/>
          <w:lang w:val="es-CO"/>
        </w:rPr>
        <w:t xml:space="preserve"> </w:t>
      </w:r>
      <w:r>
        <w:rPr>
          <w:rFonts w:cs="Arial"/>
          <w:sz w:val="24"/>
          <w:lang w:val="es-CO"/>
        </w:rPr>
        <w:t xml:space="preserve">se </w:t>
      </w:r>
      <w:r w:rsidR="00BF16A7">
        <w:rPr>
          <w:rFonts w:cs="Arial"/>
          <w:sz w:val="24"/>
          <w:lang w:val="es-CO"/>
        </w:rPr>
        <w:t>transportaron</w:t>
      </w:r>
      <w:r>
        <w:rPr>
          <w:rFonts w:cs="Arial"/>
          <w:sz w:val="24"/>
          <w:lang w:val="es-CO"/>
        </w:rPr>
        <w:t xml:space="preserve"> 46,6 kbd, equivalentes al 14,3% del total transportado.</w:t>
      </w:r>
    </w:p>
    <w:p w:rsidR="00626F8E" w:rsidRDefault="00626F8E" w:rsidP="0083557B">
      <w:pPr>
        <w:rPr>
          <w:rFonts w:cs="Arial"/>
          <w:sz w:val="24"/>
          <w:lang w:val="es-CO"/>
        </w:rPr>
      </w:pPr>
    </w:p>
    <w:p w:rsidR="00667803" w:rsidRDefault="0083557B" w:rsidP="0083557B">
      <w:pPr>
        <w:rPr>
          <w:rFonts w:cs="Arial"/>
          <w:sz w:val="24"/>
          <w:lang w:val="es-CO"/>
        </w:rPr>
      </w:pPr>
      <w:r w:rsidRPr="009A0AF8">
        <w:rPr>
          <w:rFonts w:cs="Arial"/>
          <w:sz w:val="24"/>
          <w:lang w:val="es-CO"/>
        </w:rPr>
        <w:t xml:space="preserve">El ACPM </w:t>
      </w:r>
      <w:r w:rsidR="00FD2963">
        <w:rPr>
          <w:rFonts w:cs="Arial"/>
          <w:sz w:val="24"/>
          <w:lang w:val="es-CO"/>
        </w:rPr>
        <w:t>sin aditivos de biocombustibles</w:t>
      </w:r>
      <w:r w:rsidRPr="009A0AF8">
        <w:rPr>
          <w:rFonts w:cs="Arial"/>
          <w:sz w:val="24"/>
          <w:lang w:val="es-CO"/>
        </w:rPr>
        <w:t xml:space="preserve"> se</w:t>
      </w:r>
      <w:r w:rsidR="00626F8E">
        <w:rPr>
          <w:rFonts w:cs="Arial"/>
          <w:sz w:val="24"/>
          <w:lang w:val="es-CO"/>
        </w:rPr>
        <w:t xml:space="preserve"> dejó de transportar desde septiembre de 2010</w:t>
      </w:r>
      <w:r w:rsidR="008C1D0C">
        <w:rPr>
          <w:rFonts w:cs="Arial"/>
          <w:sz w:val="24"/>
          <w:lang w:val="es-CO"/>
        </w:rPr>
        <w:t>,</w:t>
      </w:r>
      <w:r w:rsidRPr="009A0AF8">
        <w:rPr>
          <w:rFonts w:cs="Arial"/>
          <w:sz w:val="24"/>
          <w:lang w:val="es-CO"/>
        </w:rPr>
        <w:t xml:space="preserve"> siendo reemplazado por </w:t>
      </w:r>
      <w:r w:rsidR="008C1D0C">
        <w:rPr>
          <w:rFonts w:cs="Arial"/>
          <w:sz w:val="24"/>
          <w:lang w:val="es-CO"/>
        </w:rPr>
        <w:t>todas las clases de Biodiesel (</w:t>
      </w:r>
      <w:r w:rsidRPr="009A0AF8">
        <w:rPr>
          <w:rFonts w:cs="Arial"/>
          <w:sz w:val="24"/>
          <w:lang w:val="es-CO"/>
        </w:rPr>
        <w:t>B2</w:t>
      </w:r>
      <w:r w:rsidR="008C1D0C">
        <w:rPr>
          <w:rFonts w:cs="Arial"/>
          <w:sz w:val="24"/>
          <w:lang w:val="es-CO"/>
        </w:rPr>
        <w:t xml:space="preserve">, </w:t>
      </w:r>
      <w:r w:rsidRPr="009A0AF8">
        <w:rPr>
          <w:rFonts w:cs="Arial"/>
          <w:sz w:val="24"/>
          <w:lang w:val="es-CO"/>
        </w:rPr>
        <w:t>B2 Extra</w:t>
      </w:r>
      <w:r w:rsidR="008C1D0C">
        <w:rPr>
          <w:rFonts w:cs="Arial"/>
          <w:sz w:val="24"/>
          <w:lang w:val="es-CO"/>
        </w:rPr>
        <w:t>, B3 y B4</w:t>
      </w:r>
      <w:r w:rsidR="001D1BBE">
        <w:rPr>
          <w:rFonts w:cs="Arial"/>
          <w:sz w:val="24"/>
          <w:lang w:val="es-CO"/>
        </w:rPr>
        <w:t>)</w:t>
      </w:r>
      <w:r w:rsidR="008C1D0C">
        <w:rPr>
          <w:rFonts w:cs="Arial"/>
          <w:sz w:val="24"/>
          <w:lang w:val="es-CO"/>
        </w:rPr>
        <w:t xml:space="preserve">. </w:t>
      </w:r>
    </w:p>
    <w:p w:rsidR="00667803" w:rsidRDefault="00667803" w:rsidP="0083557B">
      <w:pPr>
        <w:rPr>
          <w:rFonts w:cs="Arial"/>
          <w:sz w:val="24"/>
          <w:lang w:val="es-CO"/>
        </w:rPr>
      </w:pPr>
    </w:p>
    <w:p w:rsidR="0083557B" w:rsidRPr="009A0AF8" w:rsidRDefault="0083557B" w:rsidP="0083557B">
      <w:pPr>
        <w:rPr>
          <w:rFonts w:cs="Arial"/>
          <w:sz w:val="24"/>
          <w:lang w:val="es-CO"/>
        </w:rPr>
      </w:pPr>
      <w:r w:rsidRPr="009A0AF8">
        <w:rPr>
          <w:rFonts w:cs="Arial"/>
          <w:sz w:val="24"/>
          <w:lang w:val="es-CO"/>
        </w:rPr>
        <w:t>Desde octubre de 2014 se transporta únicamente B2 Extra con un porcentaje de participación sobre el volumen total transportado de 24%</w:t>
      </w:r>
      <w:r w:rsidR="004E65EB">
        <w:rPr>
          <w:rFonts w:cs="Arial"/>
          <w:sz w:val="24"/>
          <w:lang w:val="es-CO"/>
        </w:rPr>
        <w:t>, para el perí</w:t>
      </w:r>
      <w:r w:rsidR="008C1D0C">
        <w:rPr>
          <w:rFonts w:cs="Arial"/>
          <w:sz w:val="24"/>
          <w:lang w:val="es-CO"/>
        </w:rPr>
        <w:t>odo</w:t>
      </w:r>
      <w:r w:rsidR="00626F8E">
        <w:rPr>
          <w:rFonts w:cs="Arial"/>
          <w:sz w:val="24"/>
          <w:lang w:val="es-CO"/>
        </w:rPr>
        <w:t xml:space="preserve"> entre octubre de 2014 y abril de 2015.</w:t>
      </w:r>
    </w:p>
    <w:p w:rsidR="0083557B" w:rsidRPr="009A0AF8" w:rsidRDefault="0083557B" w:rsidP="0083557B">
      <w:pPr>
        <w:rPr>
          <w:rFonts w:cs="Arial"/>
          <w:sz w:val="24"/>
          <w:lang w:val="es-CO"/>
        </w:rPr>
      </w:pPr>
    </w:p>
    <w:p w:rsidR="00667803" w:rsidRDefault="0083557B" w:rsidP="0083557B">
      <w:pPr>
        <w:rPr>
          <w:rFonts w:cs="Arial"/>
          <w:sz w:val="24"/>
          <w:lang w:val="es-CO"/>
        </w:rPr>
      </w:pPr>
      <w:r w:rsidRPr="009A0AF8">
        <w:rPr>
          <w:rFonts w:cs="Arial"/>
          <w:sz w:val="24"/>
          <w:lang w:val="es-CO"/>
        </w:rPr>
        <w:t>El ACEM (Aceite</w:t>
      </w:r>
      <w:r w:rsidR="003C24AC">
        <w:rPr>
          <w:rFonts w:cs="Arial"/>
          <w:sz w:val="24"/>
          <w:lang w:val="es-CO"/>
        </w:rPr>
        <w:t xml:space="preserve"> </w:t>
      </w:r>
      <w:r w:rsidRPr="009A0AF8">
        <w:rPr>
          <w:rFonts w:cs="Arial"/>
          <w:sz w:val="24"/>
          <w:lang w:val="es-CO"/>
        </w:rPr>
        <w:t>Combustible Ecológico para Motores</w:t>
      </w:r>
      <w:r w:rsidR="00626F8E">
        <w:rPr>
          <w:rFonts w:cs="Arial"/>
          <w:sz w:val="24"/>
          <w:lang w:val="es-CO"/>
        </w:rPr>
        <w:t>) representa en promedio el 12,6</w:t>
      </w:r>
      <w:r w:rsidRPr="009A0AF8">
        <w:rPr>
          <w:rFonts w:cs="Arial"/>
          <w:sz w:val="24"/>
          <w:lang w:val="es-CO"/>
        </w:rPr>
        <w:t>% del total d</w:t>
      </w:r>
      <w:r w:rsidR="00741ACD" w:rsidRPr="009A0AF8">
        <w:rPr>
          <w:rFonts w:cs="Arial"/>
          <w:sz w:val="24"/>
          <w:lang w:val="es-CO"/>
        </w:rPr>
        <w:t>el volumen transportado</w:t>
      </w:r>
      <w:r w:rsidR="00626F8E">
        <w:rPr>
          <w:rFonts w:cs="Arial"/>
          <w:sz w:val="24"/>
          <w:lang w:val="es-CO"/>
        </w:rPr>
        <w:t>. El Jet Fuel producido a nivel nacional representa el 7,4</w:t>
      </w:r>
      <w:r w:rsidR="008C1D0C">
        <w:rPr>
          <w:rFonts w:cs="Arial"/>
          <w:sz w:val="24"/>
          <w:lang w:val="es-CO"/>
        </w:rPr>
        <w:t>%</w:t>
      </w:r>
      <w:r w:rsidR="00741ACD" w:rsidRPr="009A0AF8">
        <w:rPr>
          <w:rFonts w:cs="Arial"/>
          <w:sz w:val="24"/>
          <w:lang w:val="es-CO"/>
        </w:rPr>
        <w:t xml:space="preserve"> y el JET</w:t>
      </w:r>
      <w:r w:rsidRPr="009A0AF8">
        <w:rPr>
          <w:rFonts w:cs="Arial"/>
          <w:sz w:val="24"/>
          <w:lang w:val="es-CO"/>
        </w:rPr>
        <w:t xml:space="preserve"> </w:t>
      </w:r>
      <w:r w:rsidR="008C1D0C">
        <w:rPr>
          <w:rFonts w:cs="Arial"/>
          <w:sz w:val="24"/>
          <w:lang w:val="es-CO"/>
        </w:rPr>
        <w:t xml:space="preserve">Fuel importado representa </w:t>
      </w:r>
      <w:r w:rsidR="00894A20">
        <w:rPr>
          <w:rFonts w:cs="Arial"/>
          <w:sz w:val="24"/>
          <w:lang w:val="es-CO"/>
        </w:rPr>
        <w:t xml:space="preserve">0,1%. </w:t>
      </w:r>
    </w:p>
    <w:p w:rsidR="00667803" w:rsidRDefault="00667803" w:rsidP="0083557B">
      <w:pPr>
        <w:rPr>
          <w:rFonts w:cs="Arial"/>
          <w:sz w:val="24"/>
          <w:lang w:val="es-CO"/>
        </w:rPr>
      </w:pPr>
    </w:p>
    <w:p w:rsidR="0083557B" w:rsidRPr="009A0AF8" w:rsidRDefault="0083557B" w:rsidP="0083557B">
      <w:pPr>
        <w:rPr>
          <w:rFonts w:cs="Arial"/>
          <w:sz w:val="24"/>
        </w:rPr>
      </w:pPr>
      <w:r w:rsidRPr="009A0AF8">
        <w:rPr>
          <w:rFonts w:cs="Arial"/>
          <w:sz w:val="24"/>
          <w:lang w:val="es-CO"/>
        </w:rPr>
        <w:t>El resto de productos que se transportan presentan las siguientes contribuciones promedio</w:t>
      </w:r>
      <w:r w:rsidR="004E65EB">
        <w:rPr>
          <w:rFonts w:cs="Arial"/>
          <w:sz w:val="24"/>
          <w:lang w:val="es-CO"/>
        </w:rPr>
        <w:t xml:space="preserve"> durante el </w:t>
      </w:r>
      <w:r w:rsidR="004D2466">
        <w:rPr>
          <w:rFonts w:cs="Arial"/>
          <w:sz w:val="24"/>
          <w:lang w:val="es-CO"/>
        </w:rPr>
        <w:t>periodo</w:t>
      </w:r>
      <w:r w:rsidR="00EA23D2">
        <w:rPr>
          <w:rFonts w:cs="Arial"/>
          <w:sz w:val="24"/>
          <w:lang w:val="es-CO"/>
        </w:rPr>
        <w:t xml:space="preserve"> analizado</w:t>
      </w:r>
      <w:r w:rsidRPr="009A0AF8">
        <w:rPr>
          <w:rFonts w:cs="Arial"/>
          <w:sz w:val="24"/>
          <w:lang w:val="es-CO"/>
        </w:rPr>
        <w:t xml:space="preserve">: </w:t>
      </w:r>
      <w:r w:rsidR="00894A20">
        <w:rPr>
          <w:rFonts w:cs="Arial"/>
          <w:sz w:val="24"/>
          <w:lang w:val="es-CO"/>
        </w:rPr>
        <w:t>B3 (0.4%) B4 (1,5</w:t>
      </w:r>
      <w:r w:rsidRPr="009A0AF8">
        <w:rPr>
          <w:rFonts w:cs="Arial"/>
          <w:sz w:val="24"/>
          <w:lang w:val="es-CO"/>
        </w:rPr>
        <w:t xml:space="preserve">%), </w:t>
      </w:r>
      <w:r w:rsidR="00894A20">
        <w:rPr>
          <w:rFonts w:cs="Arial"/>
          <w:sz w:val="24"/>
          <w:lang w:val="es-CO"/>
        </w:rPr>
        <w:t>Gasolina Premium (1,1%), Kerosene (0,5%) y Virgin Oil (0,5</w:t>
      </w:r>
      <w:r w:rsidRPr="009A0AF8">
        <w:rPr>
          <w:rFonts w:cs="Arial"/>
          <w:sz w:val="24"/>
          <w:lang w:val="es-CO"/>
        </w:rPr>
        <w:t>%).</w:t>
      </w:r>
    </w:p>
    <w:p w:rsidR="0083557B" w:rsidRDefault="0083557B" w:rsidP="0083557B">
      <w:pPr>
        <w:contextualSpacing/>
        <w:rPr>
          <w:rFonts w:cs="Arial"/>
          <w:sz w:val="24"/>
        </w:rPr>
      </w:pPr>
    </w:p>
    <w:p w:rsidR="0076075D" w:rsidRDefault="0076075D" w:rsidP="0083557B">
      <w:pPr>
        <w:contextualSpacing/>
        <w:rPr>
          <w:rFonts w:cs="Arial"/>
          <w:sz w:val="24"/>
        </w:rPr>
      </w:pPr>
    </w:p>
    <w:p w:rsidR="0076075D" w:rsidRDefault="0076075D" w:rsidP="0083557B">
      <w:pPr>
        <w:contextualSpacing/>
        <w:rPr>
          <w:rFonts w:cs="Arial"/>
          <w:sz w:val="24"/>
        </w:rPr>
      </w:pPr>
    </w:p>
    <w:p w:rsidR="0076075D" w:rsidRDefault="0076075D" w:rsidP="0083557B">
      <w:pPr>
        <w:contextualSpacing/>
        <w:rPr>
          <w:rFonts w:cs="Arial"/>
          <w:sz w:val="24"/>
        </w:rPr>
      </w:pPr>
    </w:p>
    <w:p w:rsidR="0076075D" w:rsidRPr="009A0AF8" w:rsidRDefault="0076075D" w:rsidP="0083557B">
      <w:pPr>
        <w:contextualSpacing/>
        <w:rPr>
          <w:rFonts w:cs="Arial"/>
          <w:sz w:val="24"/>
        </w:rPr>
      </w:pPr>
    </w:p>
    <w:p w:rsidR="001A4E6F" w:rsidRDefault="00626F8E" w:rsidP="001A4E6F">
      <w:pPr>
        <w:keepNext/>
        <w:contextualSpacing/>
        <w:jc w:val="center"/>
      </w:pPr>
      <w:r>
        <w:rPr>
          <w:noProof/>
          <w:lang w:val="es-CO" w:eastAsia="es-CO"/>
        </w:rPr>
        <w:drawing>
          <wp:inline distT="0" distB="0" distL="0" distR="0" wp14:anchorId="69E6DDD8" wp14:editId="58D9A0ED">
            <wp:extent cx="5840361" cy="2920181"/>
            <wp:effectExtent l="0" t="0" r="27305" b="1397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3557B" w:rsidRDefault="0083557B" w:rsidP="0083557B">
      <w:pPr>
        <w:ind w:left="195"/>
        <w:rPr>
          <w:rFonts w:cs="Arial"/>
          <w:sz w:val="16"/>
        </w:rPr>
      </w:pPr>
      <w:r w:rsidRPr="004859E4">
        <w:rPr>
          <w:rFonts w:cs="Arial"/>
          <w:sz w:val="16"/>
        </w:rPr>
        <w:t>Fuente: Cálc</w:t>
      </w:r>
      <w:r w:rsidR="00D045C6">
        <w:rPr>
          <w:rFonts w:cs="Arial"/>
          <w:sz w:val="16"/>
        </w:rPr>
        <w:t>ulos CREG. Datos Cenit, Ecopetrol.</w:t>
      </w:r>
    </w:p>
    <w:p w:rsidR="00320344" w:rsidRPr="004859E4" w:rsidRDefault="00320344" w:rsidP="00320344">
      <w:pPr>
        <w:pStyle w:val="Epgrafe"/>
        <w:rPr>
          <w:rFonts w:cs="Arial"/>
          <w:sz w:val="16"/>
        </w:rPr>
      </w:pPr>
      <w:bookmarkStart w:id="240" w:name="_Ref437262649"/>
      <w:bookmarkStart w:id="241" w:name="_Toc437512844"/>
      <w:r>
        <w:t xml:space="preserve">Gráfica </w:t>
      </w:r>
      <w:r>
        <w:fldChar w:fldCharType="begin"/>
      </w:r>
      <w:r>
        <w:instrText xml:space="preserve"> SEQ Gráfica \* ARABIC </w:instrText>
      </w:r>
      <w:r>
        <w:fldChar w:fldCharType="separate"/>
      </w:r>
      <w:r w:rsidR="00625BEB">
        <w:rPr>
          <w:noProof/>
        </w:rPr>
        <w:t>7</w:t>
      </w:r>
      <w:r>
        <w:fldChar w:fldCharType="end"/>
      </w:r>
      <w:bookmarkEnd w:id="240"/>
      <w:r>
        <w:t xml:space="preserve"> </w:t>
      </w:r>
      <w:r w:rsidRPr="00F61B97">
        <w:t>Transporte a través del sistema de poliductos (%)</w:t>
      </w:r>
      <w:bookmarkEnd w:id="241"/>
    </w:p>
    <w:p w:rsidR="0083557B" w:rsidRPr="009A0AF8" w:rsidRDefault="0083557B" w:rsidP="00391FB3">
      <w:pPr>
        <w:pStyle w:val="Ttulo1"/>
        <w:spacing w:before="360" w:after="240"/>
        <w:ind w:left="426" w:hanging="426"/>
        <w:jc w:val="both"/>
        <w:rPr>
          <w:rFonts w:ascii="Bookman Old Style" w:eastAsia="Arial" w:hAnsi="Bookman Old Style" w:cs="Arial"/>
          <w:sz w:val="24"/>
        </w:rPr>
      </w:pPr>
      <w:bookmarkStart w:id="242" w:name="_Toc424832932"/>
      <w:bookmarkStart w:id="243" w:name="_Toc424887663"/>
      <w:bookmarkStart w:id="244" w:name="_Toc425488423"/>
      <w:bookmarkStart w:id="245" w:name="_Toc426035063"/>
      <w:bookmarkStart w:id="246" w:name="_Toc427333586"/>
      <w:bookmarkStart w:id="247" w:name="_Toc427336527"/>
      <w:bookmarkStart w:id="248" w:name="_Toc427681817"/>
      <w:bookmarkStart w:id="249" w:name="_Toc433276749"/>
      <w:bookmarkStart w:id="250" w:name="_Toc433295712"/>
      <w:bookmarkStart w:id="251" w:name="_Toc433296437"/>
      <w:bookmarkStart w:id="252" w:name="_Toc437500867"/>
      <w:bookmarkStart w:id="253" w:name="_Toc437501526"/>
      <w:bookmarkStart w:id="254" w:name="_Toc437501706"/>
      <w:bookmarkStart w:id="255" w:name="_Toc437501796"/>
      <w:bookmarkStart w:id="256" w:name="_Toc437502559"/>
      <w:bookmarkStart w:id="257" w:name="_Toc437505917"/>
      <w:bookmarkStart w:id="258" w:name="_Toc437512730"/>
      <w:r w:rsidRPr="009A0AF8">
        <w:rPr>
          <w:rFonts w:ascii="Bookman Old Style" w:eastAsia="Arial" w:hAnsi="Bookman Old Style" w:cs="Arial"/>
          <w:sz w:val="24"/>
        </w:rPr>
        <w:t>METODOLOGÍA TARIFARIA VIGENTE</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83557B" w:rsidRPr="009A0AF8" w:rsidRDefault="0083557B" w:rsidP="0083557B">
      <w:pPr>
        <w:rPr>
          <w:rFonts w:eastAsia="Arial" w:cs="Arial"/>
          <w:sz w:val="24"/>
          <w:lang w:val="es-CO"/>
        </w:rPr>
      </w:pPr>
      <w:r w:rsidRPr="009A0AF8">
        <w:rPr>
          <w:rFonts w:eastAsia="Arial" w:cs="Arial"/>
          <w:sz w:val="24"/>
          <w:lang w:val="es-CO"/>
        </w:rPr>
        <w:t xml:space="preserve">A continuación se muestra para el caso de GLP la metodología CREG vigente para la remuneración del transporte por poliductos. En el caso de los combustibles líquidos se </w:t>
      </w:r>
      <w:r w:rsidR="003C24AC">
        <w:rPr>
          <w:rFonts w:eastAsia="Arial" w:cs="Arial"/>
          <w:sz w:val="24"/>
          <w:lang w:val="es-CO"/>
        </w:rPr>
        <w:t>presentarán</w:t>
      </w:r>
      <w:r w:rsidRPr="009A0AF8">
        <w:rPr>
          <w:rFonts w:eastAsia="Arial" w:cs="Arial"/>
          <w:sz w:val="24"/>
          <w:lang w:val="es-CO"/>
        </w:rPr>
        <w:t xml:space="preserve"> por las resoluciones del Ministerio de Minas y Energía que han reglamentado la remuneración.</w:t>
      </w:r>
    </w:p>
    <w:p w:rsidR="0083557B" w:rsidRPr="004859E4" w:rsidRDefault="0083557B" w:rsidP="0083557B">
      <w:pPr>
        <w:ind w:left="142"/>
        <w:rPr>
          <w:rFonts w:eastAsia="Arial" w:cs="Arial"/>
          <w:lang w:val="es-CO"/>
        </w:rPr>
      </w:pPr>
    </w:p>
    <w:p w:rsidR="0083557B" w:rsidRPr="00023977" w:rsidRDefault="00890566" w:rsidP="00391FB3">
      <w:pPr>
        <w:pStyle w:val="Ttulo2"/>
        <w:rPr>
          <w:rFonts w:eastAsia="Arial" w:cs="Arial"/>
          <w:sz w:val="24"/>
          <w:szCs w:val="24"/>
        </w:rPr>
      </w:pPr>
      <w:bookmarkStart w:id="259" w:name="_Toc424832933"/>
      <w:bookmarkStart w:id="260" w:name="_Toc424887664"/>
      <w:bookmarkStart w:id="261" w:name="_Toc425488424"/>
      <w:bookmarkStart w:id="262" w:name="_Toc426035064"/>
      <w:bookmarkStart w:id="263" w:name="_Toc427333587"/>
      <w:bookmarkStart w:id="264" w:name="_Toc427336528"/>
      <w:bookmarkStart w:id="265" w:name="_Toc427681818"/>
      <w:bookmarkStart w:id="266" w:name="_Toc433276750"/>
      <w:bookmarkStart w:id="267" w:name="_Toc433295713"/>
      <w:bookmarkStart w:id="268" w:name="_Toc433296438"/>
      <w:bookmarkStart w:id="269" w:name="_Toc437500868"/>
      <w:bookmarkStart w:id="270" w:name="_Toc437501527"/>
      <w:bookmarkStart w:id="271" w:name="_Toc437501707"/>
      <w:bookmarkStart w:id="272" w:name="_Toc437501797"/>
      <w:bookmarkStart w:id="273" w:name="_Toc437502560"/>
      <w:bookmarkStart w:id="274" w:name="_Toc437505918"/>
      <w:bookmarkStart w:id="275" w:name="_Toc437512731"/>
      <w:r>
        <w:rPr>
          <w:rFonts w:eastAsia="Arial" w:cs="Arial"/>
          <w:sz w:val="24"/>
          <w:szCs w:val="24"/>
        </w:rPr>
        <w:t>metodología de remuneració</w:t>
      </w:r>
      <w:r w:rsidR="0083557B" w:rsidRPr="00023977">
        <w:rPr>
          <w:rFonts w:eastAsia="Arial" w:cs="Arial"/>
          <w:sz w:val="24"/>
          <w:szCs w:val="24"/>
        </w:rPr>
        <w:t xml:space="preserve">n de transporte de </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r w:rsidR="00135F8A">
        <w:rPr>
          <w:rFonts w:eastAsia="Arial" w:cs="Arial"/>
          <w:sz w:val="24"/>
          <w:szCs w:val="24"/>
        </w:rPr>
        <w:t>glp</w:t>
      </w:r>
      <w:bookmarkEnd w:id="274"/>
      <w:bookmarkEnd w:id="275"/>
    </w:p>
    <w:p w:rsidR="00023977" w:rsidRPr="00023977" w:rsidRDefault="0083557B" w:rsidP="0083557B">
      <w:pPr>
        <w:pStyle w:val="Default"/>
        <w:jc w:val="both"/>
        <w:rPr>
          <w:rFonts w:ascii="Bookman Old Style" w:hAnsi="Bookman Old Style"/>
        </w:rPr>
      </w:pPr>
      <w:r w:rsidRPr="00023977">
        <w:rPr>
          <w:rFonts w:ascii="Bookman Old Style" w:hAnsi="Bookman Old Style"/>
        </w:rPr>
        <w:t>La CREG desde la expedición de la Ley 142 de 1994 ha tenido la competencia para establecer la metodología de remuneración del servicio de transporte de GLP por ductos</w:t>
      </w:r>
      <w:r w:rsidR="00023977" w:rsidRPr="00023977">
        <w:rPr>
          <w:rFonts w:ascii="Bookman Old Style" w:hAnsi="Bookman Old Style"/>
        </w:rPr>
        <w:t>.</w:t>
      </w:r>
    </w:p>
    <w:p w:rsidR="00023977" w:rsidRPr="00023977" w:rsidRDefault="0083557B" w:rsidP="0083557B">
      <w:pPr>
        <w:pStyle w:val="Default"/>
        <w:jc w:val="both"/>
        <w:rPr>
          <w:rFonts w:ascii="Bookman Old Style" w:hAnsi="Bookman Old Style"/>
        </w:rPr>
      </w:pPr>
      <w:r w:rsidRPr="00023977">
        <w:rPr>
          <w:rFonts w:ascii="Bookman Old Style" w:hAnsi="Bookman Old Style"/>
        </w:rPr>
        <w:t xml:space="preserve"> </w:t>
      </w:r>
    </w:p>
    <w:p w:rsidR="0083557B" w:rsidRPr="00023977" w:rsidRDefault="0083557B" w:rsidP="0083557B">
      <w:pPr>
        <w:pStyle w:val="Default"/>
        <w:jc w:val="both"/>
        <w:rPr>
          <w:rFonts w:ascii="Bookman Old Style" w:hAnsi="Bookman Old Style"/>
        </w:rPr>
      </w:pPr>
      <w:r w:rsidRPr="00023977">
        <w:rPr>
          <w:rFonts w:ascii="Bookman Old Style" w:hAnsi="Bookman Old Style"/>
        </w:rPr>
        <w:t xml:space="preserve">En </w:t>
      </w:r>
      <w:r w:rsidR="00023977" w:rsidRPr="00023977">
        <w:rPr>
          <w:rFonts w:ascii="Bookman Old Style" w:hAnsi="Bookman Old Style"/>
        </w:rPr>
        <w:t xml:space="preserve">el </w:t>
      </w:r>
      <w:r w:rsidRPr="00023977">
        <w:rPr>
          <w:rFonts w:ascii="Bookman Old Style" w:hAnsi="Bookman Old Style"/>
        </w:rPr>
        <w:t>2008, mediante la Resolución 122 la Co</w:t>
      </w:r>
      <w:r w:rsidR="00023977" w:rsidRPr="00023977">
        <w:rPr>
          <w:rFonts w:ascii="Bookman Old Style" w:hAnsi="Bookman Old Style"/>
        </w:rPr>
        <w:t>misión diseñó dicha metodología, consagrando en su</w:t>
      </w:r>
      <w:r w:rsidRPr="00023977">
        <w:rPr>
          <w:rFonts w:ascii="Bookman Old Style" w:hAnsi="Bookman Old Style"/>
        </w:rPr>
        <w:t xml:space="preserve"> artículo 2 los principios generales que </w:t>
      </w:r>
      <w:r w:rsidR="00023977" w:rsidRPr="00023977">
        <w:rPr>
          <w:rFonts w:ascii="Bookman Old Style" w:hAnsi="Bookman Old Style"/>
        </w:rPr>
        <w:t xml:space="preserve">la </w:t>
      </w:r>
      <w:r w:rsidRPr="00023977">
        <w:rPr>
          <w:rFonts w:ascii="Bookman Old Style" w:hAnsi="Bookman Old Style"/>
        </w:rPr>
        <w:t xml:space="preserve">rigen </w:t>
      </w:r>
      <w:r w:rsidR="00023977" w:rsidRPr="00023977">
        <w:rPr>
          <w:rFonts w:ascii="Bookman Old Style" w:hAnsi="Bookman Old Style"/>
        </w:rPr>
        <w:t>así:</w:t>
      </w:r>
      <w:r w:rsidRPr="00023977">
        <w:rPr>
          <w:rFonts w:ascii="Bookman Old Style" w:hAnsi="Bookman Old Style"/>
        </w:rPr>
        <w:t xml:space="preserve"> </w:t>
      </w:r>
    </w:p>
    <w:p w:rsidR="0083557B" w:rsidRPr="00023977" w:rsidRDefault="0083557B" w:rsidP="0083557B">
      <w:pPr>
        <w:pStyle w:val="Default"/>
        <w:jc w:val="both"/>
        <w:rPr>
          <w:rFonts w:ascii="Bookman Old Style" w:hAnsi="Bookman Old Style"/>
        </w:rPr>
      </w:pPr>
    </w:p>
    <w:p w:rsidR="0083557B" w:rsidRDefault="0083557B" w:rsidP="002864AD">
      <w:pPr>
        <w:pStyle w:val="Textoindependiente22"/>
        <w:numPr>
          <w:ilvl w:val="0"/>
          <w:numId w:val="9"/>
        </w:numPr>
        <w:tabs>
          <w:tab w:val="clear" w:pos="750"/>
          <w:tab w:val="num" w:pos="567"/>
        </w:tabs>
        <w:ind w:left="567" w:hanging="567"/>
        <w:rPr>
          <w:rFonts w:cs="Arial"/>
          <w:b w:val="0"/>
          <w:sz w:val="24"/>
          <w:szCs w:val="24"/>
        </w:rPr>
      </w:pPr>
      <w:r w:rsidRPr="00023977">
        <w:rPr>
          <w:rFonts w:cs="Arial"/>
          <w:b w:val="0"/>
          <w:sz w:val="24"/>
          <w:szCs w:val="24"/>
        </w:rPr>
        <w:t>Los cargos regulados adoptados deberán incorporar una señal de distancia. El cargo regulado aplicable en un Punto de Entrega será la sumatoria de los cargos regulados de cada uno de los tramos de ductos, o grupos de ductos, que sean utilizados por el respectivo Remitente y en los cuales la Comisión haya aprobado cargos.</w:t>
      </w:r>
    </w:p>
    <w:p w:rsidR="00667803" w:rsidRPr="00023977" w:rsidRDefault="00667803" w:rsidP="00667803">
      <w:pPr>
        <w:pStyle w:val="Textoindependiente22"/>
        <w:ind w:left="567"/>
        <w:rPr>
          <w:rFonts w:cs="Arial"/>
          <w:b w:val="0"/>
          <w:sz w:val="24"/>
          <w:szCs w:val="24"/>
        </w:rPr>
      </w:pPr>
    </w:p>
    <w:p w:rsidR="0083557B" w:rsidRDefault="0083557B" w:rsidP="002864AD">
      <w:pPr>
        <w:pStyle w:val="Textoindependiente22"/>
        <w:numPr>
          <w:ilvl w:val="0"/>
          <w:numId w:val="9"/>
        </w:numPr>
        <w:tabs>
          <w:tab w:val="clear" w:pos="750"/>
          <w:tab w:val="num" w:pos="567"/>
        </w:tabs>
        <w:ind w:left="567" w:hanging="567"/>
        <w:rPr>
          <w:rFonts w:cs="Arial"/>
          <w:b w:val="0"/>
          <w:sz w:val="24"/>
          <w:szCs w:val="24"/>
        </w:rPr>
      </w:pPr>
      <w:r w:rsidRPr="00023977">
        <w:rPr>
          <w:rFonts w:cs="Arial"/>
          <w:b w:val="0"/>
          <w:sz w:val="24"/>
          <w:szCs w:val="24"/>
        </w:rPr>
        <w:t xml:space="preserve">Los cargos regulados remunerarán al Transportador la infraestructura y gastos de Administración, Operación y Mantenimiento –AOM- necesarios para llevar el producto desde el Punto de Recibo del Transportador hasta el Punto de Entrega del Transportador garantizando un flujo continuo de producto, y la confiabilidad media histórica del sistema de transporte. No </w:t>
      </w:r>
      <w:r w:rsidRPr="00023977">
        <w:rPr>
          <w:rFonts w:cs="Arial"/>
          <w:b w:val="0"/>
          <w:sz w:val="24"/>
          <w:szCs w:val="24"/>
        </w:rPr>
        <w:lastRenderedPageBreak/>
        <w:t xml:space="preserve">incluyen los costos de conexión a la infraestructura del respectivo Remitente. </w:t>
      </w:r>
    </w:p>
    <w:p w:rsidR="0076075D" w:rsidRPr="00023977" w:rsidRDefault="0076075D" w:rsidP="0076075D">
      <w:pPr>
        <w:pStyle w:val="Textoindependiente22"/>
        <w:ind w:left="567"/>
        <w:rPr>
          <w:rFonts w:cs="Arial"/>
          <w:b w:val="0"/>
          <w:sz w:val="24"/>
          <w:szCs w:val="24"/>
        </w:rPr>
      </w:pPr>
    </w:p>
    <w:p w:rsidR="0083557B" w:rsidRPr="00023977" w:rsidRDefault="0083557B" w:rsidP="002864AD">
      <w:pPr>
        <w:pStyle w:val="Textoindependiente22"/>
        <w:numPr>
          <w:ilvl w:val="0"/>
          <w:numId w:val="9"/>
        </w:numPr>
        <w:tabs>
          <w:tab w:val="clear" w:pos="750"/>
          <w:tab w:val="num" w:pos="567"/>
        </w:tabs>
        <w:ind w:left="567" w:hanging="567"/>
        <w:rPr>
          <w:rFonts w:cs="Arial"/>
          <w:b w:val="0"/>
          <w:sz w:val="24"/>
          <w:szCs w:val="24"/>
        </w:rPr>
      </w:pPr>
      <w:r w:rsidRPr="00023977">
        <w:rPr>
          <w:rFonts w:cs="Arial"/>
          <w:b w:val="0"/>
          <w:sz w:val="24"/>
          <w:szCs w:val="24"/>
        </w:rPr>
        <w:t>Los cargos regulados serán cargos máximos por tram</w:t>
      </w:r>
      <w:r w:rsidR="00D931A6">
        <w:rPr>
          <w:rFonts w:cs="Arial"/>
          <w:b w:val="0"/>
          <w:sz w:val="24"/>
          <w:szCs w:val="24"/>
        </w:rPr>
        <w:t>o de ducto o grupo de ductos.</w:t>
      </w:r>
    </w:p>
    <w:p w:rsidR="0083557B" w:rsidRPr="00023977" w:rsidRDefault="0083557B" w:rsidP="002864AD">
      <w:pPr>
        <w:pStyle w:val="Textoindependiente22"/>
        <w:numPr>
          <w:ilvl w:val="0"/>
          <w:numId w:val="9"/>
        </w:numPr>
        <w:tabs>
          <w:tab w:val="clear" w:pos="750"/>
          <w:tab w:val="num" w:pos="567"/>
        </w:tabs>
        <w:ind w:left="567" w:hanging="567"/>
        <w:rPr>
          <w:rFonts w:cs="Arial"/>
          <w:b w:val="0"/>
          <w:sz w:val="24"/>
          <w:szCs w:val="24"/>
        </w:rPr>
      </w:pPr>
      <w:r w:rsidRPr="00023977">
        <w:rPr>
          <w:rFonts w:cs="Arial"/>
          <w:b w:val="0"/>
          <w:sz w:val="24"/>
          <w:szCs w:val="24"/>
        </w:rPr>
        <w:t>El modelo de transportador es por contrato. El servicio de Transporte se garantiza a aquellos Remitentes que tengan vigente un contrato de transporte con el Transportador, para entregar un volumen diario garantizado igual a la demanda diaria del Remitente o con una periodicidad diferente según las necesidades del Remitente. Las entregas se deben realizar en el Punto de Entrega del Transportador.</w:t>
      </w:r>
      <w:r w:rsidRPr="00023977">
        <w:rPr>
          <w:rFonts w:cs="Arial"/>
          <w:b w:val="0"/>
          <w:sz w:val="24"/>
          <w:szCs w:val="24"/>
          <w:highlight w:val="yellow"/>
        </w:rPr>
        <w:t xml:space="preserve"> </w:t>
      </w:r>
    </w:p>
    <w:p w:rsidR="0083557B" w:rsidRPr="00023977" w:rsidRDefault="0083557B" w:rsidP="0083557B">
      <w:pPr>
        <w:pStyle w:val="Default"/>
        <w:jc w:val="both"/>
        <w:rPr>
          <w:rFonts w:ascii="Bookman Old Style" w:hAnsi="Bookman Old Style"/>
          <w:lang w:val="es-ES_tradnl"/>
        </w:rPr>
      </w:pPr>
    </w:p>
    <w:p w:rsidR="0083557B" w:rsidRPr="00023977" w:rsidRDefault="0083557B" w:rsidP="002B67AC">
      <w:pPr>
        <w:pStyle w:val="Default"/>
        <w:ind w:firstLine="360"/>
        <w:jc w:val="both"/>
        <w:rPr>
          <w:rFonts w:ascii="Bookman Old Style" w:hAnsi="Bookman Old Style"/>
        </w:rPr>
      </w:pPr>
      <w:r w:rsidRPr="00023977">
        <w:rPr>
          <w:rFonts w:ascii="Bookman Old Style" w:hAnsi="Bookman Old Style"/>
        </w:rPr>
        <w:t>Los parámetros de la fórmula se presentan a continuación:</w:t>
      </w:r>
    </w:p>
    <w:p w:rsidR="0083557B" w:rsidRPr="004859E4" w:rsidRDefault="0083557B" w:rsidP="0083557B">
      <w:pPr>
        <w:rPr>
          <w:rFonts w:cs="Arial"/>
          <w:bCs/>
          <w:lang w:val="es-CO"/>
        </w:rPr>
      </w:pPr>
    </w:p>
    <w:p w:rsidR="0083557B" w:rsidRPr="00023977" w:rsidRDefault="0083557B" w:rsidP="0083557B">
      <w:pPr>
        <w:rPr>
          <w:rFonts w:cs="Arial"/>
          <w:bCs/>
          <w:sz w:val="24"/>
          <w:lang w:val="es-CO"/>
        </w:rPr>
      </w:pPr>
    </w:p>
    <w:p w:rsidR="0083557B" w:rsidRPr="00023977" w:rsidRDefault="0083557B" w:rsidP="0083557B">
      <w:pPr>
        <w:pStyle w:val="Textoindependiente21"/>
        <w:ind w:left="360" w:firstLine="348"/>
        <w:rPr>
          <w:rFonts w:cs="Arial"/>
          <w:b w:val="0"/>
          <w:bCs/>
          <w:sz w:val="24"/>
          <w:szCs w:val="24"/>
          <w:lang w:val="pt-BR"/>
        </w:rPr>
      </w:pPr>
      <w:r w:rsidRPr="00023977">
        <w:rPr>
          <w:rFonts w:cs="Arial"/>
          <w:b w:val="0"/>
          <w:bCs/>
          <w:sz w:val="24"/>
          <w:szCs w:val="24"/>
          <w:lang w:val="pt-BR"/>
        </w:rPr>
        <w:t>T</w:t>
      </w:r>
      <w:r w:rsidRPr="00023977">
        <w:rPr>
          <w:rFonts w:cs="Arial"/>
          <w:b w:val="0"/>
          <w:bCs/>
          <w:sz w:val="24"/>
          <w:szCs w:val="24"/>
          <w:vertAlign w:val="subscript"/>
          <w:lang w:val="pt-BR"/>
        </w:rPr>
        <w:t>Ii</w:t>
      </w:r>
      <w:r w:rsidRPr="00023977">
        <w:rPr>
          <w:rFonts w:cs="Arial"/>
          <w:b w:val="0"/>
          <w:bCs/>
          <w:sz w:val="24"/>
          <w:szCs w:val="24"/>
          <w:lang w:val="pt-BR"/>
        </w:rPr>
        <w:t xml:space="preserve"> =</w:t>
      </w:r>
      <w:r w:rsidRPr="00023977">
        <w:rPr>
          <w:rFonts w:cs="Arial"/>
          <w:b w:val="0"/>
          <w:bCs/>
          <w:sz w:val="24"/>
          <w:szCs w:val="24"/>
          <w:lang w:val="pt-BR"/>
        </w:rPr>
        <w:tab/>
      </w:r>
      <w:r w:rsidRPr="00023977">
        <w:rPr>
          <w:rFonts w:cs="Arial"/>
          <w:b w:val="0"/>
          <w:bCs/>
          <w:sz w:val="24"/>
          <w:szCs w:val="24"/>
          <w:lang w:val="pt-BR"/>
        </w:rPr>
        <w:tab/>
        <w:t xml:space="preserve">(CAEi + REi)/Di </w:t>
      </w:r>
    </w:p>
    <w:p w:rsidR="0083557B" w:rsidRPr="00023977" w:rsidRDefault="0083557B" w:rsidP="0083557B">
      <w:pPr>
        <w:pStyle w:val="Textoindependiente21"/>
        <w:ind w:left="360" w:firstLine="348"/>
        <w:rPr>
          <w:rFonts w:cs="Arial"/>
          <w:b w:val="0"/>
          <w:bCs/>
          <w:sz w:val="24"/>
          <w:szCs w:val="24"/>
          <w:lang w:val="pt-BR"/>
        </w:rPr>
      </w:pPr>
    </w:p>
    <w:p w:rsidR="0083557B" w:rsidRPr="00023977" w:rsidRDefault="0083557B" w:rsidP="0083557B">
      <w:pPr>
        <w:pStyle w:val="Textoindependiente21"/>
        <w:ind w:left="360" w:firstLine="348"/>
        <w:rPr>
          <w:rFonts w:cs="Arial"/>
          <w:b w:val="0"/>
          <w:bCs/>
          <w:sz w:val="24"/>
          <w:szCs w:val="24"/>
          <w:lang w:val="pt-BR"/>
        </w:rPr>
      </w:pPr>
      <w:r w:rsidRPr="00023977">
        <w:rPr>
          <w:rFonts w:cs="Arial"/>
          <w:b w:val="0"/>
          <w:bCs/>
          <w:sz w:val="24"/>
          <w:szCs w:val="24"/>
          <w:lang w:val="pt-BR"/>
        </w:rPr>
        <w:t>T</w:t>
      </w:r>
      <w:r w:rsidRPr="00023977">
        <w:rPr>
          <w:rFonts w:cs="Arial"/>
          <w:b w:val="0"/>
          <w:bCs/>
          <w:sz w:val="24"/>
          <w:szCs w:val="24"/>
          <w:vertAlign w:val="subscript"/>
          <w:lang w:val="pt-BR"/>
        </w:rPr>
        <w:t>AOMi</w:t>
      </w:r>
      <w:r w:rsidRPr="00023977">
        <w:rPr>
          <w:rFonts w:cs="Arial"/>
          <w:b w:val="0"/>
          <w:bCs/>
          <w:sz w:val="24"/>
          <w:szCs w:val="24"/>
          <w:lang w:val="pt-BR"/>
        </w:rPr>
        <w:t xml:space="preserve"> =</w:t>
      </w:r>
      <w:r w:rsidRPr="00023977">
        <w:rPr>
          <w:rFonts w:cs="Arial"/>
          <w:b w:val="0"/>
          <w:bCs/>
          <w:sz w:val="24"/>
          <w:szCs w:val="24"/>
          <w:lang w:val="pt-BR"/>
        </w:rPr>
        <w:tab/>
        <w:t>(AOMi )/Di</w:t>
      </w:r>
    </w:p>
    <w:p w:rsidR="0083557B" w:rsidRPr="00023977" w:rsidRDefault="0083557B" w:rsidP="0083557B">
      <w:pPr>
        <w:pStyle w:val="Textoindependiente21"/>
        <w:ind w:left="360" w:firstLine="348"/>
        <w:rPr>
          <w:rFonts w:cs="Arial"/>
          <w:b w:val="0"/>
          <w:bCs/>
          <w:sz w:val="24"/>
          <w:szCs w:val="24"/>
          <w:lang w:val="pt-BR"/>
        </w:rPr>
      </w:pPr>
    </w:p>
    <w:p w:rsidR="0083557B" w:rsidRPr="00023977" w:rsidRDefault="0083557B" w:rsidP="0083557B">
      <w:pPr>
        <w:pStyle w:val="Textoindependiente21"/>
        <w:ind w:left="360" w:firstLine="348"/>
        <w:rPr>
          <w:rFonts w:cs="Arial"/>
          <w:b w:val="0"/>
          <w:bCs/>
          <w:sz w:val="24"/>
          <w:szCs w:val="24"/>
          <w:lang w:val="pt-BR"/>
        </w:rPr>
      </w:pPr>
      <w:r w:rsidRPr="00023977">
        <w:rPr>
          <w:rFonts w:cs="Arial"/>
          <w:b w:val="0"/>
          <w:bCs/>
          <w:sz w:val="24"/>
          <w:szCs w:val="24"/>
          <w:lang w:val="pt-BR"/>
        </w:rPr>
        <w:t>Donde:</w:t>
      </w:r>
    </w:p>
    <w:p w:rsidR="0083557B" w:rsidRPr="00023977" w:rsidRDefault="0083557B" w:rsidP="0083557B">
      <w:pPr>
        <w:pStyle w:val="Textoindependiente21"/>
        <w:ind w:left="360" w:firstLine="348"/>
        <w:rPr>
          <w:rFonts w:cs="Arial"/>
          <w:b w:val="0"/>
          <w:bCs/>
          <w:sz w:val="24"/>
          <w:szCs w:val="24"/>
          <w:lang w:val="pt-BR"/>
        </w:rPr>
      </w:pPr>
    </w:p>
    <w:p w:rsidR="0083557B" w:rsidRPr="00023977" w:rsidRDefault="0083557B" w:rsidP="0083557B">
      <w:pPr>
        <w:pStyle w:val="Textoindependiente21"/>
        <w:ind w:left="1843" w:hanging="1134"/>
        <w:rPr>
          <w:rFonts w:cs="Arial"/>
          <w:b w:val="0"/>
          <w:bCs/>
          <w:sz w:val="24"/>
          <w:szCs w:val="24"/>
          <w:lang w:val="pt-BR"/>
        </w:rPr>
      </w:pPr>
      <w:r w:rsidRPr="00023977">
        <w:rPr>
          <w:rFonts w:cs="Arial"/>
          <w:b w:val="0"/>
          <w:bCs/>
          <w:sz w:val="24"/>
          <w:szCs w:val="24"/>
          <w:lang w:val="pt-BR"/>
        </w:rPr>
        <w:t>T</w:t>
      </w:r>
      <w:r w:rsidRPr="00023977">
        <w:rPr>
          <w:rFonts w:cs="Arial"/>
          <w:b w:val="0"/>
          <w:bCs/>
          <w:sz w:val="24"/>
          <w:szCs w:val="24"/>
          <w:vertAlign w:val="subscript"/>
          <w:lang w:val="pt-BR"/>
        </w:rPr>
        <w:t>Ii</w:t>
      </w:r>
      <w:r w:rsidRPr="00023977">
        <w:rPr>
          <w:rFonts w:cs="Arial"/>
          <w:b w:val="0"/>
          <w:bCs/>
          <w:sz w:val="24"/>
          <w:szCs w:val="24"/>
          <w:lang w:val="pt-BR"/>
        </w:rPr>
        <w:t xml:space="preserve">:      </w:t>
      </w:r>
      <w:r w:rsidRPr="00023977">
        <w:rPr>
          <w:rFonts w:cs="Arial"/>
          <w:b w:val="0"/>
          <w:bCs/>
          <w:sz w:val="24"/>
          <w:szCs w:val="24"/>
          <w:lang w:val="pt-BR"/>
        </w:rPr>
        <w:tab/>
        <w:t>Cargo</w:t>
      </w:r>
      <w:r w:rsidRPr="00A56932">
        <w:rPr>
          <w:rFonts w:cs="Arial"/>
          <w:b w:val="0"/>
          <w:bCs/>
          <w:sz w:val="24"/>
          <w:szCs w:val="24"/>
          <w:lang w:val="es-CO"/>
        </w:rPr>
        <w:t xml:space="preserve"> medio</w:t>
      </w:r>
      <w:r w:rsidRPr="00023977">
        <w:rPr>
          <w:rFonts w:cs="Arial"/>
          <w:b w:val="0"/>
          <w:bCs/>
          <w:sz w:val="24"/>
          <w:szCs w:val="24"/>
          <w:lang w:val="pt-BR"/>
        </w:rPr>
        <w:t xml:space="preserve"> de transporte del ducto o grupo de ductos  i ($ Col. / Kg) que remunera</w:t>
      </w:r>
      <w:r w:rsidRPr="009B7159">
        <w:rPr>
          <w:rFonts w:cs="Arial"/>
          <w:b w:val="0"/>
          <w:bCs/>
          <w:sz w:val="24"/>
          <w:szCs w:val="24"/>
          <w:lang w:val="es-ES"/>
        </w:rPr>
        <w:t xml:space="preserve"> inversión</w:t>
      </w:r>
      <w:r w:rsidR="00D931A6">
        <w:rPr>
          <w:rFonts w:cs="Arial"/>
          <w:b w:val="0"/>
          <w:bCs/>
          <w:sz w:val="24"/>
          <w:szCs w:val="24"/>
          <w:lang w:val="pt-BR"/>
        </w:rPr>
        <w:t>.</w:t>
      </w:r>
    </w:p>
    <w:p w:rsidR="0083557B" w:rsidRPr="00023977" w:rsidRDefault="0083557B" w:rsidP="0083557B">
      <w:pPr>
        <w:pStyle w:val="Textoindependiente21"/>
        <w:ind w:left="1843" w:hanging="1134"/>
        <w:rPr>
          <w:rFonts w:cs="Arial"/>
          <w:b w:val="0"/>
          <w:bCs/>
          <w:sz w:val="24"/>
          <w:szCs w:val="24"/>
          <w:lang w:val="pt-BR"/>
        </w:rPr>
      </w:pPr>
    </w:p>
    <w:p w:rsidR="0083557B" w:rsidRPr="00023977" w:rsidRDefault="0083557B" w:rsidP="0083557B">
      <w:pPr>
        <w:pStyle w:val="Textoindependiente21"/>
        <w:ind w:left="1843" w:hanging="1134"/>
        <w:rPr>
          <w:rFonts w:cs="Arial"/>
          <w:b w:val="0"/>
          <w:bCs/>
          <w:sz w:val="24"/>
          <w:szCs w:val="24"/>
          <w:lang w:val="pt-BR"/>
        </w:rPr>
      </w:pPr>
      <w:r w:rsidRPr="00023977">
        <w:rPr>
          <w:rFonts w:cs="Arial"/>
          <w:b w:val="0"/>
          <w:bCs/>
          <w:sz w:val="24"/>
          <w:szCs w:val="24"/>
          <w:lang w:val="pt-BR"/>
        </w:rPr>
        <w:t>T</w:t>
      </w:r>
      <w:r w:rsidRPr="00023977">
        <w:rPr>
          <w:rFonts w:cs="Arial"/>
          <w:b w:val="0"/>
          <w:bCs/>
          <w:sz w:val="24"/>
          <w:szCs w:val="24"/>
          <w:vertAlign w:val="subscript"/>
          <w:lang w:val="pt-BR"/>
        </w:rPr>
        <w:t>AOMi</w:t>
      </w:r>
      <w:r w:rsidRPr="00023977">
        <w:rPr>
          <w:rFonts w:cs="Arial"/>
          <w:b w:val="0"/>
          <w:bCs/>
          <w:sz w:val="24"/>
          <w:szCs w:val="24"/>
          <w:lang w:val="pt-BR"/>
        </w:rPr>
        <w:t xml:space="preserve">:  </w:t>
      </w:r>
      <w:r w:rsidRPr="00023977">
        <w:rPr>
          <w:rFonts w:cs="Arial"/>
          <w:b w:val="0"/>
          <w:bCs/>
          <w:sz w:val="24"/>
          <w:szCs w:val="24"/>
          <w:lang w:val="pt-BR"/>
        </w:rPr>
        <w:tab/>
        <w:t xml:space="preserve">Cargo </w:t>
      </w:r>
      <w:r w:rsidR="009B7159" w:rsidRPr="00023977">
        <w:rPr>
          <w:rFonts w:cs="Arial"/>
          <w:b w:val="0"/>
          <w:bCs/>
          <w:sz w:val="24"/>
          <w:szCs w:val="24"/>
          <w:lang w:val="pt-BR"/>
        </w:rPr>
        <w:t>médio</w:t>
      </w:r>
      <w:r w:rsidRPr="00023977">
        <w:rPr>
          <w:rFonts w:cs="Arial"/>
          <w:b w:val="0"/>
          <w:bCs/>
          <w:sz w:val="24"/>
          <w:szCs w:val="24"/>
          <w:lang w:val="pt-BR"/>
        </w:rPr>
        <w:t xml:space="preserve"> de transporte del ducto o grupo de ductos  i ($ Col. / Kg) que remunera los gastos de AOM</w:t>
      </w:r>
    </w:p>
    <w:p w:rsidR="0083557B" w:rsidRPr="00023977" w:rsidRDefault="0083557B" w:rsidP="0083557B">
      <w:pPr>
        <w:pStyle w:val="Textoindependiente21"/>
        <w:ind w:left="1843" w:hanging="1135"/>
        <w:rPr>
          <w:rFonts w:cs="Arial"/>
          <w:b w:val="0"/>
          <w:bCs/>
          <w:sz w:val="24"/>
          <w:szCs w:val="24"/>
        </w:rPr>
      </w:pPr>
    </w:p>
    <w:p w:rsidR="0083557B" w:rsidRPr="00023977" w:rsidRDefault="0083557B" w:rsidP="0083557B">
      <w:pPr>
        <w:pStyle w:val="Textoindependiente21"/>
        <w:ind w:left="1843" w:hanging="1135"/>
        <w:rPr>
          <w:rFonts w:cs="Arial"/>
          <w:b w:val="0"/>
          <w:bCs/>
          <w:sz w:val="24"/>
          <w:szCs w:val="24"/>
        </w:rPr>
      </w:pPr>
      <w:r w:rsidRPr="00023977">
        <w:rPr>
          <w:rFonts w:cs="Arial"/>
          <w:b w:val="0"/>
          <w:bCs/>
          <w:sz w:val="24"/>
          <w:szCs w:val="24"/>
        </w:rPr>
        <w:t xml:space="preserve">CAEi:  </w:t>
      </w:r>
      <w:r w:rsidRPr="00023977">
        <w:rPr>
          <w:rFonts w:cs="Arial"/>
          <w:b w:val="0"/>
          <w:bCs/>
          <w:sz w:val="24"/>
          <w:szCs w:val="24"/>
        </w:rPr>
        <w:tab/>
        <w:t xml:space="preserve">Costo Anual Equivalente de la inversión existente del ducto o grupo de ductos i ($ Col.) descontado sobre la Vida Útil de los activos </w:t>
      </w:r>
    </w:p>
    <w:p w:rsidR="0083557B" w:rsidRPr="00023977" w:rsidRDefault="0083557B" w:rsidP="0083557B">
      <w:pPr>
        <w:pStyle w:val="Textoindependiente21"/>
        <w:ind w:left="1843" w:hanging="1135"/>
        <w:rPr>
          <w:rFonts w:cs="Arial"/>
          <w:b w:val="0"/>
          <w:bCs/>
          <w:sz w:val="24"/>
          <w:szCs w:val="24"/>
        </w:rPr>
      </w:pPr>
    </w:p>
    <w:p w:rsidR="0083557B" w:rsidRPr="00023977" w:rsidRDefault="0083557B" w:rsidP="0083557B">
      <w:pPr>
        <w:pStyle w:val="Textoindependiente21"/>
        <w:ind w:left="1843" w:hanging="1135"/>
        <w:rPr>
          <w:rFonts w:cs="Arial"/>
          <w:b w:val="0"/>
          <w:bCs/>
          <w:sz w:val="24"/>
          <w:szCs w:val="24"/>
        </w:rPr>
      </w:pPr>
      <w:r w:rsidRPr="00023977">
        <w:rPr>
          <w:rFonts w:cs="Arial"/>
          <w:b w:val="0"/>
          <w:bCs/>
          <w:sz w:val="24"/>
          <w:szCs w:val="24"/>
        </w:rPr>
        <w:t>REi:</w:t>
      </w:r>
      <w:r w:rsidRPr="00023977">
        <w:rPr>
          <w:rFonts w:cs="Arial"/>
          <w:b w:val="0"/>
          <w:bCs/>
          <w:sz w:val="24"/>
          <w:szCs w:val="24"/>
        </w:rPr>
        <w:tab/>
        <w:t>Rentabilidad sobre el valor del Lleno de Línea ($ Col.)</w:t>
      </w:r>
    </w:p>
    <w:p w:rsidR="0083557B" w:rsidRPr="00023977" w:rsidRDefault="0083557B" w:rsidP="0083557B">
      <w:pPr>
        <w:pStyle w:val="Textoindependiente21"/>
        <w:ind w:left="1843" w:hanging="1134"/>
        <w:rPr>
          <w:rFonts w:cs="Arial"/>
          <w:b w:val="0"/>
          <w:bCs/>
          <w:sz w:val="24"/>
          <w:szCs w:val="24"/>
        </w:rPr>
      </w:pPr>
    </w:p>
    <w:p w:rsidR="0083557B" w:rsidRPr="00023977" w:rsidRDefault="0083557B" w:rsidP="0083557B">
      <w:pPr>
        <w:pStyle w:val="Textoindependiente21"/>
        <w:ind w:left="1843" w:hanging="1134"/>
        <w:rPr>
          <w:rFonts w:cs="Arial"/>
          <w:b w:val="0"/>
          <w:bCs/>
          <w:sz w:val="24"/>
          <w:szCs w:val="24"/>
        </w:rPr>
      </w:pPr>
      <w:r w:rsidRPr="00023977">
        <w:rPr>
          <w:rFonts w:cs="Arial"/>
          <w:b w:val="0"/>
          <w:bCs/>
          <w:sz w:val="24"/>
          <w:szCs w:val="24"/>
        </w:rPr>
        <w:t>AOMi:    Gastos de AOM eficientes del i-ésimo ducto o grupo de ductos más los gastos de AOM correspondientes a terrenos e inmuebles relacionados con el i-ésimo ducto o grupo de ductos ($ Col.)</w:t>
      </w:r>
    </w:p>
    <w:p w:rsidR="0083557B" w:rsidRPr="00023977" w:rsidRDefault="0083557B" w:rsidP="0083557B">
      <w:pPr>
        <w:pStyle w:val="Textoindependiente21"/>
        <w:ind w:left="1843" w:hanging="1134"/>
        <w:rPr>
          <w:rFonts w:cs="Arial"/>
          <w:b w:val="0"/>
          <w:bCs/>
          <w:sz w:val="24"/>
          <w:szCs w:val="24"/>
        </w:rPr>
      </w:pPr>
    </w:p>
    <w:p w:rsidR="0083557B" w:rsidRPr="00023977" w:rsidRDefault="0083557B" w:rsidP="0083557B">
      <w:pPr>
        <w:pStyle w:val="Textoindependiente21"/>
        <w:ind w:left="1843" w:hanging="1134"/>
        <w:rPr>
          <w:rFonts w:cs="Arial"/>
          <w:b w:val="0"/>
          <w:bCs/>
          <w:sz w:val="24"/>
          <w:szCs w:val="24"/>
        </w:rPr>
      </w:pPr>
      <w:r w:rsidRPr="00023977">
        <w:rPr>
          <w:rFonts w:cs="Arial"/>
          <w:b w:val="0"/>
          <w:bCs/>
          <w:sz w:val="24"/>
          <w:szCs w:val="24"/>
        </w:rPr>
        <w:t xml:space="preserve">Di:      </w:t>
      </w:r>
      <w:r w:rsidRPr="00023977">
        <w:rPr>
          <w:rFonts w:cs="Arial"/>
          <w:b w:val="0"/>
          <w:bCs/>
          <w:sz w:val="24"/>
          <w:szCs w:val="24"/>
        </w:rPr>
        <w:tab/>
        <w:t xml:space="preserve">Demanda anual (kilogramos) correspondiente al i-ésimo ducto o grupo de ductos.     </w:t>
      </w:r>
    </w:p>
    <w:p w:rsidR="0083557B" w:rsidRPr="00023977" w:rsidRDefault="0083557B" w:rsidP="0083557B">
      <w:pPr>
        <w:pStyle w:val="Textoindependiente21"/>
        <w:rPr>
          <w:rFonts w:cs="Arial"/>
          <w:b w:val="0"/>
          <w:bCs/>
          <w:sz w:val="24"/>
          <w:szCs w:val="24"/>
        </w:rPr>
      </w:pPr>
    </w:p>
    <w:p w:rsidR="0083557B" w:rsidRPr="00023977" w:rsidRDefault="0083557B" w:rsidP="007F677B">
      <w:pPr>
        <w:pStyle w:val="Textoindependiente21"/>
        <w:ind w:firstLine="360"/>
        <w:rPr>
          <w:rFonts w:cs="Arial"/>
          <w:b w:val="0"/>
          <w:bCs/>
          <w:sz w:val="24"/>
          <w:szCs w:val="24"/>
        </w:rPr>
      </w:pPr>
      <w:r w:rsidRPr="00023977">
        <w:rPr>
          <w:rFonts w:cs="Arial"/>
          <w:b w:val="0"/>
          <w:bCs/>
          <w:sz w:val="24"/>
          <w:szCs w:val="24"/>
        </w:rPr>
        <w:t xml:space="preserve">Para los ductos nuevos se aplica la siguiente fórmula: </w:t>
      </w:r>
    </w:p>
    <w:p w:rsidR="0083557B" w:rsidRPr="00023977" w:rsidRDefault="0083557B" w:rsidP="0083557B">
      <w:pPr>
        <w:pStyle w:val="Textoindependiente21"/>
        <w:rPr>
          <w:rFonts w:cs="Arial"/>
          <w:b w:val="0"/>
          <w:bCs/>
          <w:sz w:val="24"/>
          <w:szCs w:val="24"/>
        </w:rPr>
      </w:pPr>
    </w:p>
    <w:p w:rsidR="0083557B" w:rsidRPr="00023977" w:rsidRDefault="0083557B" w:rsidP="0083557B">
      <w:pPr>
        <w:pStyle w:val="Textoindependiente21"/>
        <w:ind w:left="360" w:firstLine="348"/>
        <w:rPr>
          <w:rFonts w:cs="Arial"/>
          <w:b w:val="0"/>
          <w:bCs/>
          <w:sz w:val="24"/>
          <w:szCs w:val="24"/>
          <w:lang w:val="pt-BR"/>
        </w:rPr>
      </w:pPr>
      <w:r w:rsidRPr="00023977">
        <w:rPr>
          <w:rFonts w:cs="Arial"/>
          <w:b w:val="0"/>
          <w:bCs/>
          <w:sz w:val="24"/>
          <w:szCs w:val="24"/>
          <w:lang w:val="pt-BR"/>
        </w:rPr>
        <w:t>T</w:t>
      </w:r>
      <w:r w:rsidRPr="00023977">
        <w:rPr>
          <w:rFonts w:cs="Arial"/>
          <w:b w:val="0"/>
          <w:bCs/>
          <w:sz w:val="24"/>
          <w:szCs w:val="24"/>
          <w:vertAlign w:val="subscript"/>
          <w:lang w:val="pt-BR"/>
        </w:rPr>
        <w:t>Ii</w:t>
      </w:r>
      <w:r w:rsidRPr="00023977">
        <w:rPr>
          <w:rFonts w:cs="Arial"/>
          <w:b w:val="0"/>
          <w:bCs/>
          <w:sz w:val="24"/>
          <w:szCs w:val="24"/>
          <w:lang w:val="pt-BR"/>
        </w:rPr>
        <w:t xml:space="preserve"> =</w:t>
      </w:r>
      <w:r w:rsidRPr="00023977">
        <w:rPr>
          <w:rFonts w:cs="Arial"/>
          <w:b w:val="0"/>
          <w:bCs/>
          <w:sz w:val="24"/>
          <w:szCs w:val="24"/>
          <w:lang w:val="pt-BR"/>
        </w:rPr>
        <w:tab/>
      </w:r>
      <w:r w:rsidRPr="00023977">
        <w:rPr>
          <w:rFonts w:cs="Arial"/>
          <w:b w:val="0"/>
          <w:bCs/>
          <w:sz w:val="24"/>
          <w:szCs w:val="24"/>
          <w:lang w:val="pt-BR"/>
        </w:rPr>
        <w:tab/>
      </w:r>
      <w:r w:rsidRPr="00023977">
        <w:rPr>
          <w:rFonts w:cs="Arial"/>
          <w:b w:val="0"/>
          <w:bCs/>
          <w:sz w:val="24"/>
          <w:szCs w:val="24"/>
          <w:lang w:val="pt-BR"/>
        </w:rPr>
        <w:tab/>
        <w:t xml:space="preserve">(VNAi + VNA[REi])/VNA[Di] </w:t>
      </w:r>
    </w:p>
    <w:p w:rsidR="0083557B" w:rsidRPr="00023977" w:rsidRDefault="0083557B" w:rsidP="0083557B">
      <w:pPr>
        <w:pStyle w:val="Textoindependiente21"/>
        <w:ind w:left="360" w:firstLine="348"/>
        <w:rPr>
          <w:rFonts w:cs="Arial"/>
          <w:b w:val="0"/>
          <w:bCs/>
          <w:sz w:val="24"/>
          <w:szCs w:val="24"/>
          <w:lang w:val="pt-BR"/>
        </w:rPr>
      </w:pPr>
    </w:p>
    <w:p w:rsidR="0083557B" w:rsidRPr="00023977" w:rsidRDefault="0083557B" w:rsidP="0083557B">
      <w:pPr>
        <w:pStyle w:val="Textoindependiente21"/>
        <w:ind w:left="360" w:firstLine="348"/>
        <w:rPr>
          <w:rFonts w:cs="Arial"/>
          <w:b w:val="0"/>
          <w:bCs/>
          <w:sz w:val="24"/>
          <w:szCs w:val="24"/>
          <w:lang w:val="pt-BR"/>
        </w:rPr>
      </w:pPr>
      <w:r w:rsidRPr="00023977">
        <w:rPr>
          <w:rFonts w:cs="Arial"/>
          <w:b w:val="0"/>
          <w:bCs/>
          <w:sz w:val="24"/>
          <w:szCs w:val="24"/>
          <w:lang w:val="pt-BR"/>
        </w:rPr>
        <w:t>T</w:t>
      </w:r>
      <w:r w:rsidRPr="00023977">
        <w:rPr>
          <w:rFonts w:cs="Arial"/>
          <w:b w:val="0"/>
          <w:bCs/>
          <w:sz w:val="24"/>
          <w:szCs w:val="24"/>
          <w:vertAlign w:val="subscript"/>
          <w:lang w:val="pt-BR"/>
        </w:rPr>
        <w:t>AOMi</w:t>
      </w:r>
      <w:r w:rsidRPr="00023977">
        <w:rPr>
          <w:rFonts w:cs="Arial"/>
          <w:b w:val="0"/>
          <w:bCs/>
          <w:sz w:val="24"/>
          <w:szCs w:val="24"/>
          <w:lang w:val="pt-BR"/>
        </w:rPr>
        <w:t xml:space="preserve"> =</w:t>
      </w:r>
      <w:r w:rsidRPr="00023977">
        <w:rPr>
          <w:rFonts w:cs="Arial"/>
          <w:b w:val="0"/>
          <w:bCs/>
          <w:sz w:val="24"/>
          <w:szCs w:val="24"/>
          <w:lang w:val="pt-BR"/>
        </w:rPr>
        <w:tab/>
      </w:r>
      <w:r w:rsidRPr="00023977">
        <w:rPr>
          <w:rFonts w:cs="Arial"/>
          <w:b w:val="0"/>
          <w:bCs/>
          <w:sz w:val="24"/>
          <w:szCs w:val="24"/>
          <w:lang w:val="pt-BR"/>
        </w:rPr>
        <w:tab/>
        <w:t>(VNA[AOMi])/VNA[Di]</w:t>
      </w:r>
    </w:p>
    <w:p w:rsidR="0083557B" w:rsidRDefault="0083557B" w:rsidP="0083557B">
      <w:pPr>
        <w:pStyle w:val="Textoindependiente21"/>
        <w:ind w:left="360" w:firstLine="348"/>
        <w:rPr>
          <w:rFonts w:cs="Arial"/>
          <w:b w:val="0"/>
          <w:bCs/>
          <w:sz w:val="24"/>
          <w:szCs w:val="24"/>
          <w:lang w:val="pt-BR"/>
        </w:rPr>
      </w:pPr>
    </w:p>
    <w:p w:rsidR="00667803" w:rsidRDefault="00667803" w:rsidP="0083557B">
      <w:pPr>
        <w:pStyle w:val="Textoindependiente21"/>
        <w:ind w:left="360" w:firstLine="348"/>
        <w:rPr>
          <w:rFonts w:cs="Arial"/>
          <w:b w:val="0"/>
          <w:bCs/>
          <w:sz w:val="24"/>
          <w:szCs w:val="24"/>
          <w:lang w:val="pt-BR"/>
        </w:rPr>
      </w:pPr>
    </w:p>
    <w:p w:rsidR="00667803" w:rsidRDefault="00667803" w:rsidP="0083557B">
      <w:pPr>
        <w:pStyle w:val="Textoindependiente21"/>
        <w:ind w:left="360" w:firstLine="348"/>
        <w:rPr>
          <w:rFonts w:cs="Arial"/>
          <w:b w:val="0"/>
          <w:bCs/>
          <w:sz w:val="24"/>
          <w:szCs w:val="24"/>
          <w:lang w:val="pt-BR"/>
        </w:rPr>
      </w:pPr>
    </w:p>
    <w:p w:rsidR="00667803" w:rsidRPr="00023977" w:rsidRDefault="00667803" w:rsidP="0083557B">
      <w:pPr>
        <w:pStyle w:val="Textoindependiente21"/>
        <w:ind w:left="360" w:firstLine="348"/>
        <w:rPr>
          <w:rFonts w:cs="Arial"/>
          <w:b w:val="0"/>
          <w:bCs/>
          <w:sz w:val="24"/>
          <w:szCs w:val="24"/>
          <w:lang w:val="pt-BR"/>
        </w:rPr>
      </w:pPr>
    </w:p>
    <w:p w:rsidR="0083557B" w:rsidRPr="00023977" w:rsidRDefault="0083557B" w:rsidP="0083557B">
      <w:pPr>
        <w:pStyle w:val="Textoindependiente21"/>
        <w:ind w:left="360" w:firstLine="348"/>
        <w:rPr>
          <w:rFonts w:cs="Arial"/>
          <w:b w:val="0"/>
          <w:bCs/>
          <w:sz w:val="24"/>
          <w:szCs w:val="24"/>
        </w:rPr>
      </w:pPr>
      <w:r w:rsidRPr="00023977">
        <w:rPr>
          <w:rFonts w:cs="Arial"/>
          <w:b w:val="0"/>
          <w:bCs/>
          <w:sz w:val="24"/>
          <w:szCs w:val="24"/>
        </w:rPr>
        <w:lastRenderedPageBreak/>
        <w:t>Donde:</w:t>
      </w:r>
    </w:p>
    <w:p w:rsidR="0083557B" w:rsidRPr="00023977" w:rsidRDefault="0083557B" w:rsidP="0083557B">
      <w:pPr>
        <w:pStyle w:val="Textoindependiente21"/>
        <w:ind w:left="360" w:firstLine="348"/>
        <w:rPr>
          <w:rFonts w:cs="Arial"/>
          <w:b w:val="0"/>
          <w:bCs/>
          <w:sz w:val="24"/>
          <w:szCs w:val="24"/>
        </w:rPr>
      </w:pPr>
    </w:p>
    <w:p w:rsidR="0083557B" w:rsidRPr="00023977" w:rsidRDefault="0083557B" w:rsidP="0083557B">
      <w:pPr>
        <w:pStyle w:val="Textoindependiente21"/>
        <w:ind w:left="2832" w:hanging="2123"/>
        <w:rPr>
          <w:rFonts w:cs="Arial"/>
          <w:b w:val="0"/>
          <w:bCs/>
          <w:sz w:val="24"/>
          <w:szCs w:val="24"/>
        </w:rPr>
      </w:pPr>
      <w:r w:rsidRPr="00023977">
        <w:rPr>
          <w:rFonts w:cs="Arial"/>
          <w:b w:val="0"/>
          <w:bCs/>
          <w:sz w:val="24"/>
          <w:szCs w:val="24"/>
        </w:rPr>
        <w:t>T</w:t>
      </w:r>
      <w:r w:rsidRPr="00023977">
        <w:rPr>
          <w:rFonts w:cs="Arial"/>
          <w:b w:val="0"/>
          <w:bCs/>
          <w:sz w:val="24"/>
          <w:szCs w:val="24"/>
          <w:vertAlign w:val="subscript"/>
        </w:rPr>
        <w:t>Ii</w:t>
      </w:r>
      <w:r w:rsidRPr="00023977">
        <w:rPr>
          <w:rFonts w:cs="Arial"/>
          <w:b w:val="0"/>
          <w:bCs/>
          <w:sz w:val="24"/>
          <w:szCs w:val="24"/>
        </w:rPr>
        <w:t xml:space="preserve">:      </w:t>
      </w:r>
      <w:r w:rsidRPr="00023977">
        <w:rPr>
          <w:rFonts w:cs="Arial"/>
          <w:b w:val="0"/>
          <w:bCs/>
          <w:sz w:val="24"/>
          <w:szCs w:val="24"/>
        </w:rPr>
        <w:tab/>
        <w:t xml:space="preserve">Cargo medio de transporte del ducto o grupo de ductos nuevos  i ($ Col. / kg) que remunera inversión </w:t>
      </w:r>
    </w:p>
    <w:p w:rsidR="0083557B" w:rsidRDefault="0083557B" w:rsidP="0083557B">
      <w:pPr>
        <w:pStyle w:val="Textoindependiente21"/>
        <w:ind w:left="2832" w:hanging="2124"/>
        <w:rPr>
          <w:rFonts w:cs="Arial"/>
          <w:b w:val="0"/>
          <w:bCs/>
          <w:sz w:val="24"/>
          <w:szCs w:val="24"/>
        </w:rPr>
      </w:pPr>
    </w:p>
    <w:p w:rsidR="0076075D" w:rsidRPr="00023977" w:rsidRDefault="0076075D" w:rsidP="0083557B">
      <w:pPr>
        <w:pStyle w:val="Textoindependiente21"/>
        <w:ind w:left="2832" w:hanging="2124"/>
        <w:rPr>
          <w:rFonts w:cs="Arial"/>
          <w:b w:val="0"/>
          <w:bCs/>
          <w:sz w:val="24"/>
          <w:szCs w:val="24"/>
        </w:rPr>
      </w:pPr>
    </w:p>
    <w:p w:rsidR="0083557B" w:rsidRPr="00023977" w:rsidRDefault="0083557B" w:rsidP="0083557B">
      <w:pPr>
        <w:pStyle w:val="Textoindependiente21"/>
        <w:ind w:left="2832" w:hanging="2124"/>
        <w:rPr>
          <w:rFonts w:cs="Arial"/>
          <w:b w:val="0"/>
          <w:bCs/>
          <w:sz w:val="24"/>
          <w:szCs w:val="24"/>
        </w:rPr>
      </w:pPr>
      <w:r w:rsidRPr="00023977">
        <w:rPr>
          <w:rFonts w:cs="Arial"/>
          <w:b w:val="0"/>
          <w:bCs/>
          <w:sz w:val="24"/>
          <w:szCs w:val="24"/>
        </w:rPr>
        <w:t>T</w:t>
      </w:r>
      <w:r w:rsidRPr="00023977">
        <w:rPr>
          <w:rFonts w:cs="Arial"/>
          <w:b w:val="0"/>
          <w:bCs/>
          <w:sz w:val="24"/>
          <w:szCs w:val="24"/>
          <w:vertAlign w:val="subscript"/>
        </w:rPr>
        <w:t>AOMi</w:t>
      </w:r>
      <w:r w:rsidRPr="00023977">
        <w:rPr>
          <w:rFonts w:cs="Arial"/>
          <w:b w:val="0"/>
          <w:bCs/>
          <w:sz w:val="24"/>
          <w:szCs w:val="24"/>
        </w:rPr>
        <w:t xml:space="preserve">:  </w:t>
      </w:r>
      <w:r w:rsidRPr="00023977">
        <w:rPr>
          <w:rFonts w:cs="Arial"/>
          <w:b w:val="0"/>
          <w:bCs/>
          <w:sz w:val="24"/>
          <w:szCs w:val="24"/>
        </w:rPr>
        <w:tab/>
        <w:t>Cargo medio de transporte del ducto o grupo de ductos nuevos  i ($ Col. / kg) que remunera los gastos de AOM</w:t>
      </w:r>
    </w:p>
    <w:p w:rsidR="0083557B" w:rsidRPr="00023977" w:rsidRDefault="0083557B" w:rsidP="0083557B">
      <w:pPr>
        <w:pStyle w:val="Textoindependiente21"/>
        <w:ind w:left="2832" w:hanging="2124"/>
        <w:rPr>
          <w:rFonts w:cs="Arial"/>
          <w:b w:val="0"/>
          <w:bCs/>
          <w:sz w:val="24"/>
          <w:szCs w:val="24"/>
        </w:rPr>
      </w:pPr>
    </w:p>
    <w:p w:rsidR="0083557B" w:rsidRPr="00023977" w:rsidRDefault="0083557B" w:rsidP="0083557B">
      <w:pPr>
        <w:pStyle w:val="Textoindependiente21"/>
        <w:ind w:left="2832" w:hanging="2124"/>
        <w:rPr>
          <w:rFonts w:cs="Arial"/>
          <w:b w:val="0"/>
          <w:bCs/>
          <w:sz w:val="24"/>
          <w:szCs w:val="24"/>
        </w:rPr>
      </w:pPr>
      <w:r w:rsidRPr="00023977">
        <w:rPr>
          <w:rFonts w:cs="Arial"/>
          <w:b w:val="0"/>
          <w:bCs/>
          <w:sz w:val="24"/>
          <w:szCs w:val="24"/>
        </w:rPr>
        <w:t xml:space="preserve">VNAi:  </w:t>
      </w:r>
      <w:r w:rsidRPr="00023977">
        <w:rPr>
          <w:rFonts w:cs="Arial"/>
          <w:b w:val="0"/>
          <w:bCs/>
          <w:sz w:val="24"/>
          <w:szCs w:val="24"/>
        </w:rPr>
        <w:tab/>
        <w:t>Valor presente neto de la proyección de inversión del ducto o grupo de ductos nuevos i ($ Col.)</w:t>
      </w:r>
    </w:p>
    <w:p w:rsidR="0083557B" w:rsidRPr="00023977" w:rsidRDefault="0083557B" w:rsidP="0083557B">
      <w:pPr>
        <w:pStyle w:val="Textoindependiente21"/>
        <w:ind w:left="2832" w:hanging="2124"/>
        <w:rPr>
          <w:rFonts w:cs="Arial"/>
          <w:b w:val="0"/>
          <w:bCs/>
          <w:sz w:val="24"/>
          <w:szCs w:val="24"/>
        </w:rPr>
      </w:pPr>
    </w:p>
    <w:p w:rsidR="0083557B" w:rsidRPr="00023977" w:rsidRDefault="0083557B" w:rsidP="0083557B">
      <w:pPr>
        <w:pStyle w:val="Textoindependiente21"/>
        <w:ind w:left="2832" w:hanging="2124"/>
        <w:rPr>
          <w:rFonts w:cs="Arial"/>
          <w:b w:val="0"/>
          <w:bCs/>
          <w:sz w:val="24"/>
          <w:szCs w:val="24"/>
        </w:rPr>
      </w:pPr>
      <w:r w:rsidRPr="00023977">
        <w:rPr>
          <w:rFonts w:cs="Arial"/>
          <w:b w:val="0"/>
          <w:bCs/>
          <w:sz w:val="24"/>
          <w:szCs w:val="24"/>
        </w:rPr>
        <w:t>VNA[REi]:</w:t>
      </w:r>
      <w:r w:rsidRPr="00023977">
        <w:rPr>
          <w:rFonts w:cs="Arial"/>
          <w:b w:val="0"/>
          <w:bCs/>
          <w:sz w:val="24"/>
          <w:szCs w:val="24"/>
        </w:rPr>
        <w:tab/>
        <w:t>Valor presente neto de la proyección de rentabilidad anual sobre el valor del Lleno de Línea, durante la Vida Útil ($ Col.)</w:t>
      </w:r>
    </w:p>
    <w:p w:rsidR="0083557B" w:rsidRPr="00023977" w:rsidRDefault="0083557B" w:rsidP="0083557B">
      <w:pPr>
        <w:pStyle w:val="Textoindependiente21"/>
        <w:ind w:left="2832" w:hanging="2124"/>
        <w:rPr>
          <w:rFonts w:cs="Arial"/>
          <w:b w:val="0"/>
          <w:bCs/>
          <w:sz w:val="24"/>
          <w:szCs w:val="24"/>
        </w:rPr>
      </w:pPr>
    </w:p>
    <w:p w:rsidR="0083557B" w:rsidRPr="00023977" w:rsidRDefault="0083557B" w:rsidP="0083557B">
      <w:pPr>
        <w:pStyle w:val="Textoindependiente21"/>
        <w:ind w:left="2832" w:hanging="2124"/>
        <w:rPr>
          <w:rFonts w:cs="Arial"/>
          <w:b w:val="0"/>
          <w:bCs/>
          <w:sz w:val="24"/>
          <w:szCs w:val="24"/>
        </w:rPr>
      </w:pPr>
      <w:r w:rsidRPr="00023977">
        <w:rPr>
          <w:rFonts w:cs="Arial"/>
          <w:b w:val="0"/>
          <w:bCs/>
          <w:sz w:val="24"/>
          <w:szCs w:val="24"/>
        </w:rPr>
        <w:t xml:space="preserve">VNA[AOMi]:   </w:t>
      </w:r>
      <w:r w:rsidRPr="00023977">
        <w:rPr>
          <w:rFonts w:cs="Arial"/>
          <w:b w:val="0"/>
          <w:bCs/>
          <w:sz w:val="24"/>
          <w:szCs w:val="24"/>
        </w:rPr>
        <w:tab/>
        <w:t xml:space="preserve">Valor presente neto de la proyección de gastos de AOM eficientes del i-ésimo ducto o grupo de ductos nuevo y de la proyección de gastos de AOM correspondientes a terrenos e inmuebles relacionados con el i-ésimo ducto o grupo de ductos durante la Vida Útil ($ Col.) </w:t>
      </w:r>
    </w:p>
    <w:p w:rsidR="0083557B" w:rsidRPr="00023977" w:rsidRDefault="0083557B" w:rsidP="0083557B">
      <w:pPr>
        <w:pStyle w:val="Textoindependiente21"/>
        <w:ind w:left="2832" w:hanging="2123"/>
        <w:rPr>
          <w:rFonts w:cs="Arial"/>
          <w:b w:val="0"/>
          <w:bCs/>
          <w:sz w:val="24"/>
          <w:szCs w:val="24"/>
        </w:rPr>
      </w:pPr>
    </w:p>
    <w:p w:rsidR="0083557B" w:rsidRPr="00023977" w:rsidRDefault="0083557B" w:rsidP="0083557B">
      <w:pPr>
        <w:pStyle w:val="Textoindependiente21"/>
        <w:ind w:left="2832" w:hanging="2123"/>
        <w:rPr>
          <w:rFonts w:cs="Arial"/>
          <w:b w:val="0"/>
          <w:bCs/>
          <w:sz w:val="24"/>
          <w:szCs w:val="24"/>
        </w:rPr>
      </w:pPr>
      <w:r w:rsidRPr="00023977">
        <w:rPr>
          <w:rFonts w:cs="Arial"/>
          <w:b w:val="0"/>
          <w:bCs/>
          <w:sz w:val="24"/>
          <w:szCs w:val="24"/>
        </w:rPr>
        <w:t xml:space="preserve">VNA[Di]: </w:t>
      </w:r>
      <w:r w:rsidRPr="00023977">
        <w:rPr>
          <w:rFonts w:cs="Arial"/>
          <w:b w:val="0"/>
          <w:bCs/>
          <w:sz w:val="24"/>
          <w:szCs w:val="24"/>
        </w:rPr>
        <w:tab/>
        <w:t xml:space="preserve">Valor presente neto de la proyección de demanda correspondiente al i-ésimo ducto o grupo de ductos nuevos durante la Vida Útil (kilogramos) </w:t>
      </w:r>
    </w:p>
    <w:p w:rsidR="0083557B" w:rsidRPr="00023977" w:rsidRDefault="0083557B" w:rsidP="0083557B">
      <w:pPr>
        <w:pStyle w:val="Textoindependiente21"/>
        <w:rPr>
          <w:rFonts w:cs="Arial"/>
          <w:b w:val="0"/>
          <w:bCs/>
          <w:sz w:val="24"/>
          <w:szCs w:val="24"/>
        </w:rPr>
      </w:pPr>
    </w:p>
    <w:p w:rsidR="0083557B" w:rsidRPr="00023977" w:rsidRDefault="0083557B" w:rsidP="0083557B">
      <w:pPr>
        <w:pStyle w:val="Textoindependiente21"/>
        <w:rPr>
          <w:rFonts w:cs="Arial"/>
          <w:b w:val="0"/>
          <w:bCs/>
          <w:sz w:val="24"/>
          <w:szCs w:val="24"/>
        </w:rPr>
      </w:pPr>
      <w:r w:rsidRPr="00023977">
        <w:rPr>
          <w:rFonts w:cs="Arial"/>
          <w:b w:val="0"/>
          <w:bCs/>
          <w:sz w:val="24"/>
          <w:szCs w:val="24"/>
        </w:rPr>
        <w:t>La resolución establece además la forma de actualizar los cargos por parte del Transportador mensualmente a partir de la Fecha Base de acuerdo con la variación del IPP, aplicando la siguiente fórmula:</w:t>
      </w:r>
    </w:p>
    <w:p w:rsidR="0083557B" w:rsidRPr="00023977" w:rsidRDefault="0083557B" w:rsidP="0083557B">
      <w:pPr>
        <w:pStyle w:val="Textoindependiente21"/>
        <w:rPr>
          <w:rFonts w:cs="Arial"/>
          <w:bCs/>
          <w:sz w:val="24"/>
          <w:szCs w:val="24"/>
        </w:rPr>
      </w:pPr>
    </w:p>
    <w:p w:rsidR="0083557B" w:rsidRPr="00023977" w:rsidRDefault="0083557B" w:rsidP="0083557B">
      <w:pPr>
        <w:pStyle w:val="Textoindependiente"/>
        <w:tabs>
          <w:tab w:val="left" w:pos="3519"/>
        </w:tabs>
        <w:ind w:left="390"/>
        <w:rPr>
          <w:sz w:val="24"/>
        </w:rPr>
      </w:pPr>
      <w:r w:rsidRPr="00023977">
        <w:rPr>
          <w:position w:val="-30"/>
          <w:sz w:val="24"/>
        </w:rPr>
        <w:object w:dxaOrig="1579" w:dyaOrig="680" w14:anchorId="0263DC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4pt;height:36pt" o:ole="" fillcolor="window">
            <v:imagedata r:id="rId18" o:title=""/>
          </v:shape>
          <o:OLEObject Type="Embed" ProgID="Equation.3" ShapeID="_x0000_i1025" DrawAspect="Content" ObjectID="_1513750679" r:id="rId19"/>
        </w:object>
      </w:r>
    </w:p>
    <w:p w:rsidR="0083557B" w:rsidRPr="00023977" w:rsidRDefault="0083557B" w:rsidP="0083557B">
      <w:pPr>
        <w:pStyle w:val="Textoindependiente"/>
        <w:rPr>
          <w:b w:val="0"/>
          <w:bCs w:val="0"/>
          <w:sz w:val="24"/>
        </w:rPr>
      </w:pPr>
    </w:p>
    <w:p w:rsidR="0083557B" w:rsidRPr="00023977" w:rsidRDefault="0083557B" w:rsidP="0083557B">
      <w:pPr>
        <w:pStyle w:val="Textoindependiente"/>
        <w:rPr>
          <w:b w:val="0"/>
          <w:bCs w:val="0"/>
          <w:i/>
          <w:iCs/>
          <w:sz w:val="24"/>
        </w:rPr>
      </w:pPr>
      <w:r w:rsidRPr="00023977">
        <w:rPr>
          <w:position w:val="-30"/>
          <w:sz w:val="24"/>
        </w:rPr>
        <w:object w:dxaOrig="3140" w:dyaOrig="680" w14:anchorId="4C156596">
          <v:shape id="_x0000_i1026" type="#_x0000_t75" style="width:168pt;height:36pt" o:ole="" fillcolor="window">
            <v:imagedata r:id="rId20" o:title=""/>
          </v:shape>
          <o:OLEObject Type="Embed" ProgID="Equation.3" ShapeID="_x0000_i1026" DrawAspect="Content" ObjectID="_1513750680" r:id="rId21"/>
        </w:object>
      </w:r>
    </w:p>
    <w:p w:rsidR="0083557B" w:rsidRPr="00023977" w:rsidRDefault="0083557B" w:rsidP="0083557B">
      <w:pPr>
        <w:pStyle w:val="Textoindependiente"/>
        <w:jc w:val="left"/>
        <w:rPr>
          <w:sz w:val="24"/>
        </w:rPr>
      </w:pPr>
    </w:p>
    <w:p w:rsidR="0083557B" w:rsidRPr="00023977" w:rsidRDefault="0083557B" w:rsidP="0083557B">
      <w:pPr>
        <w:pStyle w:val="Textoindependiente"/>
        <w:jc w:val="both"/>
        <w:rPr>
          <w:b w:val="0"/>
          <w:sz w:val="24"/>
          <w:lang w:val="es-ES_tradnl" w:eastAsia="ar-SA"/>
        </w:rPr>
      </w:pPr>
      <w:r w:rsidRPr="00023977">
        <w:rPr>
          <w:b w:val="0"/>
          <w:sz w:val="24"/>
        </w:rPr>
        <w:t>En</w:t>
      </w:r>
      <w:r w:rsidRPr="00023977">
        <w:rPr>
          <w:sz w:val="24"/>
        </w:rPr>
        <w:t xml:space="preserve"> </w:t>
      </w:r>
      <w:r w:rsidRPr="00023977">
        <w:rPr>
          <w:b w:val="0"/>
          <w:sz w:val="24"/>
          <w:lang w:val="es-ES_tradnl" w:eastAsia="ar-SA"/>
        </w:rPr>
        <w:t>donde:</w:t>
      </w:r>
    </w:p>
    <w:p w:rsidR="0083557B" w:rsidRPr="00023977" w:rsidRDefault="0083557B" w:rsidP="0083557B">
      <w:pPr>
        <w:pStyle w:val="Textoindependiente"/>
        <w:tabs>
          <w:tab w:val="left" w:pos="858"/>
        </w:tabs>
        <w:ind w:left="1418" w:hanging="1418"/>
        <w:jc w:val="both"/>
        <w:rPr>
          <w:b w:val="0"/>
          <w:sz w:val="24"/>
          <w:lang w:val="es-ES_tradnl" w:eastAsia="ar-SA"/>
        </w:rPr>
      </w:pPr>
    </w:p>
    <w:p w:rsidR="0083557B" w:rsidRPr="00023977" w:rsidRDefault="0058606F" w:rsidP="0083557B">
      <w:pPr>
        <w:pStyle w:val="Textoindependiente"/>
        <w:tabs>
          <w:tab w:val="left" w:pos="858"/>
        </w:tabs>
        <w:ind w:left="1418" w:hanging="1418"/>
        <w:jc w:val="both"/>
        <w:rPr>
          <w:b w:val="0"/>
          <w:sz w:val="24"/>
          <w:lang w:val="es-ES_tradnl" w:eastAsia="ar-SA"/>
        </w:rPr>
      </w:pPr>
      <w:r>
        <w:rPr>
          <w:b w:val="0"/>
          <w:sz w:val="24"/>
          <w:lang w:val="es-ES_tradnl" w:eastAsia="ar-SA"/>
        </w:rPr>
        <w:t>TIit</w:t>
      </w:r>
      <w:r w:rsidR="0083557B" w:rsidRPr="00023977">
        <w:rPr>
          <w:b w:val="0"/>
          <w:sz w:val="24"/>
          <w:lang w:val="es-ES_tradnl" w:eastAsia="ar-SA"/>
        </w:rPr>
        <w:t>=</w:t>
      </w:r>
      <w:r w:rsidR="0083557B" w:rsidRPr="00023977">
        <w:rPr>
          <w:b w:val="0"/>
          <w:sz w:val="24"/>
          <w:lang w:val="es-ES_tradnl" w:eastAsia="ar-SA"/>
        </w:rPr>
        <w:tab/>
      </w:r>
      <w:r>
        <w:rPr>
          <w:b w:val="0"/>
          <w:sz w:val="24"/>
          <w:lang w:val="es-ES_tradnl" w:eastAsia="ar-SA"/>
        </w:rPr>
        <w:t xml:space="preserve">       </w:t>
      </w:r>
      <w:r w:rsidR="0083557B" w:rsidRPr="00023977">
        <w:rPr>
          <w:b w:val="0"/>
          <w:sz w:val="24"/>
          <w:lang w:val="es-ES_tradnl" w:eastAsia="ar-SA"/>
        </w:rPr>
        <w:t>Cargo máximo de transporte de GLP del ducto o grupo de ductos i, expresado en pesos por kilogramo, correspondiente al mes t de prestación del servicio, y que remunera inversión.</w:t>
      </w:r>
    </w:p>
    <w:p w:rsidR="0083557B" w:rsidRPr="00023977" w:rsidRDefault="0083557B" w:rsidP="0083557B">
      <w:pPr>
        <w:pStyle w:val="Textoindependiente"/>
        <w:tabs>
          <w:tab w:val="left" w:pos="858"/>
        </w:tabs>
        <w:ind w:left="1418" w:hanging="1418"/>
        <w:jc w:val="both"/>
        <w:rPr>
          <w:b w:val="0"/>
          <w:sz w:val="24"/>
          <w:lang w:val="es-ES_tradnl" w:eastAsia="ar-SA"/>
        </w:rPr>
      </w:pPr>
    </w:p>
    <w:p w:rsidR="0083557B" w:rsidRPr="00023977" w:rsidRDefault="0058606F" w:rsidP="0083557B">
      <w:pPr>
        <w:pStyle w:val="Textoindependiente"/>
        <w:tabs>
          <w:tab w:val="left" w:pos="858"/>
        </w:tabs>
        <w:ind w:left="1418" w:hanging="1418"/>
        <w:jc w:val="both"/>
        <w:rPr>
          <w:b w:val="0"/>
          <w:sz w:val="24"/>
          <w:lang w:val="es-ES_tradnl" w:eastAsia="ar-SA"/>
        </w:rPr>
      </w:pPr>
      <w:r>
        <w:rPr>
          <w:b w:val="0"/>
          <w:sz w:val="24"/>
          <w:lang w:val="es-ES_tradnl" w:eastAsia="ar-SA"/>
        </w:rPr>
        <w:t>TAOMit</w:t>
      </w:r>
      <w:r w:rsidR="000B687B">
        <w:rPr>
          <w:b w:val="0"/>
          <w:sz w:val="24"/>
          <w:lang w:val="es-ES_tradnl" w:eastAsia="ar-SA"/>
        </w:rPr>
        <w:t xml:space="preserve">= </w:t>
      </w:r>
      <w:r>
        <w:rPr>
          <w:b w:val="0"/>
          <w:sz w:val="24"/>
          <w:lang w:val="es-ES_tradnl" w:eastAsia="ar-SA"/>
        </w:rPr>
        <w:t xml:space="preserve">   </w:t>
      </w:r>
      <w:r w:rsidR="0083557B" w:rsidRPr="00023977">
        <w:rPr>
          <w:b w:val="0"/>
          <w:sz w:val="24"/>
          <w:lang w:val="es-ES_tradnl" w:eastAsia="ar-SA"/>
        </w:rPr>
        <w:t>Cargo máximo de transporte de GLP del ducto o grupo de ductos i, expresado en pesos por kilogramo, correspondiente al mes t de prestación del servicio, y que remunera gastos de AOM.</w:t>
      </w:r>
    </w:p>
    <w:p w:rsidR="0083557B" w:rsidRPr="00023977" w:rsidRDefault="0083557B" w:rsidP="0083557B">
      <w:pPr>
        <w:pStyle w:val="Textoindependiente"/>
        <w:tabs>
          <w:tab w:val="left" w:pos="858"/>
        </w:tabs>
        <w:jc w:val="both"/>
        <w:rPr>
          <w:b w:val="0"/>
          <w:sz w:val="24"/>
          <w:lang w:val="es-ES_tradnl" w:eastAsia="ar-SA"/>
        </w:rPr>
      </w:pPr>
    </w:p>
    <w:p w:rsidR="0083557B" w:rsidRPr="00023977" w:rsidRDefault="0058606F" w:rsidP="0083557B">
      <w:pPr>
        <w:pStyle w:val="Textoindependiente"/>
        <w:tabs>
          <w:tab w:val="left" w:pos="858"/>
        </w:tabs>
        <w:ind w:left="1418" w:hanging="1418"/>
        <w:jc w:val="both"/>
        <w:rPr>
          <w:b w:val="0"/>
          <w:sz w:val="24"/>
          <w:lang w:val="es-ES_tradnl" w:eastAsia="ar-SA"/>
        </w:rPr>
      </w:pPr>
      <w:r>
        <w:rPr>
          <w:b w:val="0"/>
          <w:sz w:val="24"/>
          <w:lang w:val="es-ES_tradnl" w:eastAsia="ar-SA"/>
        </w:rPr>
        <w:t>TIio</w:t>
      </w:r>
      <w:r w:rsidR="0083557B" w:rsidRPr="00023977">
        <w:rPr>
          <w:b w:val="0"/>
          <w:sz w:val="24"/>
          <w:lang w:val="es-ES_tradnl" w:eastAsia="ar-SA"/>
        </w:rPr>
        <w:t>=</w:t>
      </w:r>
      <w:r w:rsidR="0083557B" w:rsidRPr="00023977">
        <w:rPr>
          <w:b w:val="0"/>
          <w:sz w:val="24"/>
          <w:lang w:val="es-ES_tradnl" w:eastAsia="ar-SA"/>
        </w:rPr>
        <w:tab/>
      </w:r>
      <w:r>
        <w:rPr>
          <w:b w:val="0"/>
          <w:sz w:val="24"/>
          <w:lang w:val="es-ES_tradnl" w:eastAsia="ar-SA"/>
        </w:rPr>
        <w:t xml:space="preserve">       </w:t>
      </w:r>
      <w:r w:rsidR="0083557B" w:rsidRPr="00023977">
        <w:rPr>
          <w:b w:val="0"/>
          <w:sz w:val="24"/>
          <w:lang w:val="es-ES_tradnl" w:eastAsia="ar-SA"/>
        </w:rPr>
        <w:t>Cargo máximo de transporte de GLP del ducto o grupo de ductos i aprobado por la CREG, expresado en precios de la Fecha Base, y que remunera inversión.</w:t>
      </w:r>
    </w:p>
    <w:p w:rsidR="0083557B" w:rsidRPr="00023977" w:rsidRDefault="0083557B" w:rsidP="0083557B">
      <w:pPr>
        <w:pStyle w:val="Textoindependiente"/>
        <w:tabs>
          <w:tab w:val="left" w:pos="858"/>
        </w:tabs>
        <w:jc w:val="both"/>
        <w:rPr>
          <w:b w:val="0"/>
          <w:sz w:val="24"/>
          <w:lang w:val="es-ES_tradnl" w:eastAsia="ar-SA"/>
        </w:rPr>
      </w:pPr>
    </w:p>
    <w:p w:rsidR="0083557B" w:rsidRPr="00023977" w:rsidRDefault="0058606F" w:rsidP="0083557B">
      <w:pPr>
        <w:pStyle w:val="Textoindependiente"/>
        <w:tabs>
          <w:tab w:val="left" w:pos="858"/>
        </w:tabs>
        <w:ind w:left="1418" w:hanging="1418"/>
        <w:jc w:val="both"/>
        <w:rPr>
          <w:b w:val="0"/>
          <w:sz w:val="24"/>
          <w:lang w:val="es-ES_tradnl" w:eastAsia="ar-SA"/>
        </w:rPr>
      </w:pPr>
      <w:r>
        <w:rPr>
          <w:b w:val="0"/>
          <w:sz w:val="24"/>
          <w:lang w:val="es-ES_tradnl" w:eastAsia="ar-SA"/>
        </w:rPr>
        <w:t>TAOMio</w:t>
      </w:r>
      <w:r w:rsidR="0083557B" w:rsidRPr="00023977">
        <w:rPr>
          <w:b w:val="0"/>
          <w:sz w:val="24"/>
          <w:lang w:val="es-ES_tradnl" w:eastAsia="ar-SA"/>
        </w:rPr>
        <w:t>=</w:t>
      </w:r>
      <w:r w:rsidR="0083557B" w:rsidRPr="00023977">
        <w:rPr>
          <w:b w:val="0"/>
          <w:sz w:val="24"/>
          <w:lang w:val="es-ES_tradnl" w:eastAsia="ar-SA"/>
        </w:rPr>
        <w:tab/>
        <w:t>Cargo máximo de transporte de GLP del ducto o grupo de ductos i aprobado por la CREG, expresado en precios de la Fecha Base, y que remunera gastos de AOM.</w:t>
      </w:r>
    </w:p>
    <w:p w:rsidR="0083557B" w:rsidRDefault="0083557B" w:rsidP="0083557B">
      <w:pPr>
        <w:pStyle w:val="Textoindependiente"/>
        <w:tabs>
          <w:tab w:val="left" w:pos="858"/>
        </w:tabs>
        <w:jc w:val="both"/>
        <w:rPr>
          <w:b w:val="0"/>
          <w:sz w:val="24"/>
          <w:lang w:val="es-ES_tradnl" w:eastAsia="ar-SA"/>
        </w:rPr>
      </w:pPr>
    </w:p>
    <w:p w:rsidR="00F42CA3" w:rsidRPr="00023977" w:rsidRDefault="00F42CA3" w:rsidP="0083557B">
      <w:pPr>
        <w:pStyle w:val="Textoindependiente"/>
        <w:tabs>
          <w:tab w:val="left" w:pos="858"/>
        </w:tabs>
        <w:jc w:val="both"/>
        <w:rPr>
          <w:b w:val="0"/>
          <w:sz w:val="24"/>
          <w:lang w:val="es-ES_tradnl" w:eastAsia="ar-SA"/>
        </w:rPr>
      </w:pPr>
    </w:p>
    <w:p w:rsidR="0083557B" w:rsidRPr="00023977" w:rsidRDefault="0083557B" w:rsidP="0083557B">
      <w:pPr>
        <w:pStyle w:val="Textoindependiente"/>
        <w:tabs>
          <w:tab w:val="left" w:pos="858"/>
        </w:tabs>
        <w:ind w:left="1418" w:hanging="1418"/>
        <w:jc w:val="both"/>
        <w:rPr>
          <w:b w:val="0"/>
          <w:sz w:val="24"/>
          <w:lang w:val="es-ES_tradnl" w:eastAsia="ar-SA"/>
        </w:rPr>
      </w:pPr>
      <w:r w:rsidRPr="00023977">
        <w:rPr>
          <w:b w:val="0"/>
          <w:sz w:val="24"/>
          <w:lang w:val="es-ES_tradnl" w:eastAsia="ar-SA"/>
        </w:rPr>
        <w:t>IPPt-1</w:t>
      </w:r>
      <w:r w:rsidRPr="00023977">
        <w:rPr>
          <w:b w:val="0"/>
          <w:sz w:val="24"/>
          <w:lang w:val="es-ES_tradnl" w:eastAsia="ar-SA"/>
        </w:rPr>
        <w:tab/>
        <w:t>=</w:t>
      </w:r>
      <w:r w:rsidRPr="00023977">
        <w:rPr>
          <w:b w:val="0"/>
          <w:sz w:val="24"/>
          <w:lang w:val="es-ES_tradnl" w:eastAsia="ar-SA"/>
        </w:rPr>
        <w:tab/>
        <w:t>Índice de Precios al Productor Total Nacional para el último mes t-l de prestación del servicio.</w:t>
      </w:r>
    </w:p>
    <w:p w:rsidR="0083557B" w:rsidRPr="00023977" w:rsidRDefault="0083557B" w:rsidP="0083557B">
      <w:pPr>
        <w:pStyle w:val="Textoindependiente"/>
        <w:tabs>
          <w:tab w:val="left" w:pos="858"/>
        </w:tabs>
        <w:ind w:left="1326" w:hanging="1326"/>
        <w:jc w:val="both"/>
        <w:rPr>
          <w:b w:val="0"/>
          <w:sz w:val="24"/>
          <w:lang w:val="es-ES_tradnl" w:eastAsia="ar-SA"/>
        </w:rPr>
      </w:pPr>
    </w:p>
    <w:p w:rsidR="0083557B" w:rsidRPr="00023977" w:rsidRDefault="0083557B" w:rsidP="0083557B">
      <w:pPr>
        <w:pStyle w:val="Textoindependiente"/>
        <w:tabs>
          <w:tab w:val="left" w:pos="858"/>
        </w:tabs>
        <w:ind w:left="1418" w:hanging="1418"/>
        <w:jc w:val="both"/>
        <w:rPr>
          <w:b w:val="0"/>
          <w:sz w:val="24"/>
          <w:lang w:val="es-ES_tradnl" w:eastAsia="ar-SA"/>
        </w:rPr>
      </w:pPr>
      <w:r w:rsidRPr="00023977">
        <w:rPr>
          <w:b w:val="0"/>
          <w:sz w:val="24"/>
          <w:lang w:val="es-ES_tradnl" w:eastAsia="ar-SA"/>
        </w:rPr>
        <w:t>IPPo</w:t>
      </w:r>
      <w:r w:rsidRPr="00023977">
        <w:rPr>
          <w:b w:val="0"/>
          <w:sz w:val="24"/>
          <w:lang w:val="es-ES_tradnl" w:eastAsia="ar-SA"/>
        </w:rPr>
        <w:tab/>
        <w:t>=</w:t>
      </w:r>
      <w:r w:rsidRPr="00023977">
        <w:rPr>
          <w:b w:val="0"/>
          <w:sz w:val="24"/>
          <w:lang w:val="es-ES_tradnl" w:eastAsia="ar-SA"/>
        </w:rPr>
        <w:tab/>
        <w:t>Índice de Precios al Productor Total Nacional para la Fecha Base del cargo de transporte.</w:t>
      </w:r>
    </w:p>
    <w:p w:rsidR="0083557B" w:rsidRPr="00023977" w:rsidRDefault="0083557B" w:rsidP="0083557B">
      <w:pPr>
        <w:pStyle w:val="Textoindependiente"/>
        <w:tabs>
          <w:tab w:val="left" w:pos="858"/>
        </w:tabs>
        <w:ind w:left="1326" w:hanging="1326"/>
        <w:jc w:val="both"/>
        <w:rPr>
          <w:b w:val="0"/>
          <w:sz w:val="24"/>
          <w:lang w:val="es-ES_tradnl" w:eastAsia="ar-SA"/>
        </w:rPr>
      </w:pPr>
    </w:p>
    <w:p w:rsidR="0083557B" w:rsidRPr="00023977" w:rsidRDefault="0083557B" w:rsidP="0083557B">
      <w:pPr>
        <w:pStyle w:val="Textoindependiente"/>
        <w:tabs>
          <w:tab w:val="left" w:pos="858"/>
        </w:tabs>
        <w:ind w:left="1418" w:hanging="1418"/>
        <w:jc w:val="both"/>
        <w:rPr>
          <w:b w:val="0"/>
          <w:sz w:val="24"/>
          <w:lang w:val="es-ES_tradnl" w:eastAsia="ar-SA"/>
        </w:rPr>
      </w:pPr>
      <w:r w:rsidRPr="00023977">
        <w:rPr>
          <w:b w:val="0"/>
          <w:sz w:val="24"/>
          <w:lang w:val="es-ES_tradnl" w:eastAsia="ar-SA"/>
        </w:rPr>
        <w:t>XT</w:t>
      </w:r>
      <w:r w:rsidRPr="00023977">
        <w:rPr>
          <w:b w:val="0"/>
          <w:sz w:val="24"/>
          <w:lang w:val="es-ES_tradnl" w:eastAsia="ar-SA"/>
        </w:rPr>
        <w:tab/>
        <w:t>=</w:t>
      </w:r>
      <w:r w:rsidRPr="00023977">
        <w:rPr>
          <w:b w:val="0"/>
          <w:sz w:val="24"/>
          <w:lang w:val="es-ES_tradnl" w:eastAsia="ar-SA"/>
        </w:rPr>
        <w:tab/>
        <w:t xml:space="preserve">Factor de productividad mensual de la actividad de Transporte de GLP por ductos equivalente a 0.000625. Dicho factor aplicará a partir de la entrada en vigencia de cada resolución particular que establece cargos regulados. </w:t>
      </w:r>
    </w:p>
    <w:p w:rsidR="0083557B" w:rsidRPr="00023977" w:rsidRDefault="0083557B" w:rsidP="0083557B">
      <w:pPr>
        <w:pStyle w:val="Textoindependiente"/>
        <w:ind w:left="546" w:hanging="546"/>
        <w:jc w:val="both"/>
        <w:rPr>
          <w:b w:val="0"/>
          <w:sz w:val="24"/>
          <w:lang w:val="es-ES_tradnl" w:eastAsia="ar-SA"/>
        </w:rPr>
      </w:pPr>
    </w:p>
    <w:p w:rsidR="0083557B" w:rsidRPr="00023977" w:rsidRDefault="0083557B" w:rsidP="0083557B">
      <w:pPr>
        <w:pStyle w:val="Textoindependiente"/>
        <w:tabs>
          <w:tab w:val="left" w:pos="858"/>
        </w:tabs>
        <w:ind w:left="1418" w:hanging="1418"/>
        <w:jc w:val="both"/>
        <w:rPr>
          <w:b w:val="0"/>
          <w:sz w:val="24"/>
          <w:lang w:val="es-ES_tradnl" w:eastAsia="ar-SA"/>
        </w:rPr>
      </w:pPr>
      <w:r w:rsidRPr="00023977">
        <w:rPr>
          <w:b w:val="0"/>
          <w:sz w:val="24"/>
          <w:lang w:val="es-ES_tradnl" w:eastAsia="ar-SA"/>
        </w:rPr>
        <w:t>a</w:t>
      </w:r>
      <w:r w:rsidRPr="00023977">
        <w:rPr>
          <w:b w:val="0"/>
          <w:sz w:val="24"/>
          <w:lang w:val="es-ES_tradnl" w:eastAsia="ar-SA"/>
        </w:rPr>
        <w:tab/>
        <w:t>=</w:t>
      </w:r>
      <w:r w:rsidRPr="00023977">
        <w:rPr>
          <w:b w:val="0"/>
          <w:sz w:val="24"/>
          <w:lang w:val="es-ES_tradnl" w:eastAsia="ar-SA"/>
        </w:rPr>
        <w:tab/>
        <w:t xml:space="preserve">Número de meses transcurridos desde la entrada en vigencia de la resolución que establezca cargos regulados de transporte de GLP por ducto hasta el mes t. </w:t>
      </w:r>
    </w:p>
    <w:p w:rsidR="0083557B" w:rsidRPr="00023977" w:rsidRDefault="0083557B" w:rsidP="0083557B">
      <w:pPr>
        <w:pStyle w:val="Textoindependiente21"/>
        <w:rPr>
          <w:rFonts w:cs="Arial"/>
          <w:b w:val="0"/>
          <w:bCs/>
          <w:sz w:val="24"/>
          <w:szCs w:val="24"/>
        </w:rPr>
      </w:pPr>
    </w:p>
    <w:p w:rsidR="0083557B" w:rsidRPr="00EB6DE4" w:rsidRDefault="0083557B" w:rsidP="00391FB3">
      <w:pPr>
        <w:pStyle w:val="Ttulo2"/>
        <w:rPr>
          <w:rFonts w:eastAsia="Arial" w:cs="Arial"/>
          <w:sz w:val="24"/>
          <w:szCs w:val="24"/>
        </w:rPr>
      </w:pPr>
      <w:bookmarkStart w:id="276" w:name="_Toc424832934"/>
      <w:bookmarkStart w:id="277" w:name="_Toc424887665"/>
      <w:bookmarkStart w:id="278" w:name="_Toc425488425"/>
      <w:bookmarkStart w:id="279" w:name="_Toc426035065"/>
      <w:bookmarkStart w:id="280" w:name="_Toc427333588"/>
      <w:bookmarkStart w:id="281" w:name="_Toc427336529"/>
      <w:bookmarkStart w:id="282" w:name="_Toc427681819"/>
      <w:bookmarkStart w:id="283" w:name="_Toc433276751"/>
      <w:bookmarkStart w:id="284" w:name="_Toc433295714"/>
      <w:bookmarkStart w:id="285" w:name="_Toc433296439"/>
      <w:bookmarkStart w:id="286" w:name="_Toc437500869"/>
      <w:bookmarkStart w:id="287" w:name="_Toc437501528"/>
      <w:bookmarkStart w:id="288" w:name="_Toc437501708"/>
      <w:bookmarkStart w:id="289" w:name="_Toc437501798"/>
      <w:bookmarkStart w:id="290" w:name="_Toc437502561"/>
      <w:bookmarkStart w:id="291" w:name="_Toc437505919"/>
      <w:bookmarkStart w:id="292" w:name="_Toc437512732"/>
      <w:r w:rsidRPr="00023977">
        <w:rPr>
          <w:rFonts w:eastAsia="Arial" w:cs="Arial"/>
          <w:sz w:val="24"/>
          <w:szCs w:val="24"/>
        </w:rPr>
        <w:t>remuneración del transporte por poliductos de combustibles líquidos</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rsidR="0083557B" w:rsidRPr="00023977" w:rsidRDefault="00DD13D0" w:rsidP="0083557B">
      <w:pPr>
        <w:rPr>
          <w:rFonts w:cs="Arial"/>
          <w:color w:val="333333"/>
          <w:sz w:val="24"/>
          <w:shd w:val="clear" w:color="auto" w:fill="FFFFFF"/>
          <w:lang w:eastAsia="es-CO"/>
        </w:rPr>
      </w:pPr>
      <w:r w:rsidRPr="00DD13D0">
        <w:rPr>
          <w:rFonts w:eastAsia="Arial" w:cs="Arial"/>
          <w:noProof/>
          <w:sz w:val="24"/>
          <w:lang w:val="es-CO" w:eastAsia="es-CO"/>
        </w:rPr>
        <mc:AlternateContent>
          <mc:Choice Requires="wps">
            <w:drawing>
              <wp:anchor distT="0" distB="0" distL="114300" distR="114300" simplePos="0" relativeHeight="251681280" behindDoc="0" locked="0" layoutInCell="1" allowOverlap="1" wp14:anchorId="2FFF8ECC" wp14:editId="7A15F4C2">
                <wp:simplePos x="0" y="0"/>
                <wp:positionH relativeFrom="column">
                  <wp:posOffset>3380105</wp:posOffset>
                </wp:positionH>
                <wp:positionV relativeFrom="paragraph">
                  <wp:posOffset>822668</wp:posOffset>
                </wp:positionV>
                <wp:extent cx="2458995" cy="593124"/>
                <wp:effectExtent l="0" t="0" r="0" b="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995" cy="593124"/>
                        </a:xfrm>
                        <a:prstGeom prst="rect">
                          <a:avLst/>
                        </a:prstGeom>
                        <a:solidFill>
                          <a:srgbClr val="FFFFFF"/>
                        </a:solidFill>
                        <a:ln w="9525">
                          <a:noFill/>
                          <a:miter lim="800000"/>
                          <a:headEnd/>
                          <a:tailEnd/>
                        </a:ln>
                      </wps:spPr>
                      <wps:txbx>
                        <w:txbxContent>
                          <w:p w:rsidR="001D1BBE" w:rsidRPr="00DD13D0" w:rsidRDefault="001D1BBE">
                            <w:pPr>
                              <w:rPr>
                                <w:lang w:val="es-CO"/>
                              </w:rPr>
                            </w:pPr>
                            <w:r w:rsidRPr="00DD13D0">
                              <w:rPr>
                                <w:lang w:val="es-CO"/>
                              </w:rPr>
                              <w:t>IP (t): Ingreso al productor en t</w:t>
                            </w:r>
                          </w:p>
                          <w:p w:rsidR="001D1BBE" w:rsidRPr="00DD13D0" w:rsidRDefault="001D1BBE">
                            <w:pPr>
                              <w:rPr>
                                <w:lang w:val="es-CO"/>
                              </w:rPr>
                            </w:pPr>
                            <w:r w:rsidRPr="00DD13D0">
                              <w:rPr>
                                <w:lang w:val="es-CO"/>
                              </w:rPr>
                              <w:t>PI: Impuesto a las ventas</w:t>
                            </w:r>
                          </w:p>
                          <w:p w:rsidR="001D1BBE" w:rsidRPr="00DD13D0" w:rsidRDefault="001D1BBE">
                            <w:pPr>
                              <w:rPr>
                                <w:lang w:val="es-CO"/>
                              </w:rPr>
                            </w:pPr>
                            <w:r w:rsidRPr="00DD13D0">
                              <w:rPr>
                                <w:lang w:val="es-CO"/>
                              </w:rPr>
                              <w:t>PG: Impuesto Global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66.15pt;margin-top:64.8pt;width:193.6pt;height:46.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" stroked="f">
                <v:textbox>
                  <w:txbxContent>
                    <w:p w:rsidR="001D1BBE" w:rsidRPr="00DD13D0" w:rsidRDefault="001D1BBE">
                      <w:pPr>
                        <w:rPr>
                          <w:lang w:val="es-CO"/>
                        </w:rPr>
                      </w:pPr>
                      <w:r w:rsidRPr="00DD13D0">
                        <w:rPr>
                          <w:lang w:val="es-CO"/>
                        </w:rPr>
                        <w:t>IP (t): Ingreso al productor en t</w:t>
                      </w:r>
                    </w:p>
                    <w:p w:rsidR="001D1BBE" w:rsidRPr="00DD13D0" w:rsidRDefault="001D1BBE">
                      <w:pPr>
                        <w:rPr>
                          <w:lang w:val="es-CO"/>
                        </w:rPr>
                      </w:pPr>
                      <w:r w:rsidRPr="00DD13D0">
                        <w:rPr>
                          <w:lang w:val="es-CO"/>
                        </w:rPr>
                        <w:t>PI: Impuesto a las ventas</w:t>
                      </w:r>
                    </w:p>
                    <w:p w:rsidR="001D1BBE" w:rsidRPr="00DD13D0" w:rsidRDefault="001D1BBE">
                      <w:pPr>
                        <w:rPr>
                          <w:lang w:val="es-CO"/>
                        </w:rPr>
                      </w:pPr>
                      <w:r w:rsidRPr="00DD13D0">
                        <w:rPr>
                          <w:lang w:val="es-CO"/>
                        </w:rPr>
                        <w:t>PG: Impuesto Global</w:t>
                      </w:r>
                    </w:p>
                  </w:txbxContent>
                </v:textbox>
              </v:shape>
            </w:pict>
          </mc:Fallback>
        </mc:AlternateContent>
      </w:r>
      <w:r w:rsidR="00EB6DE4">
        <w:rPr>
          <w:rFonts w:eastAsia="Arial" w:cs="Arial"/>
          <w:sz w:val="24"/>
          <w:lang w:val="es-CO"/>
        </w:rPr>
        <w:t>L</w:t>
      </w:r>
      <w:r w:rsidR="00DE4B2B">
        <w:rPr>
          <w:rFonts w:eastAsia="Arial" w:cs="Arial"/>
          <w:sz w:val="24"/>
          <w:lang w:val="es-CO"/>
        </w:rPr>
        <w:t>as R</w:t>
      </w:r>
      <w:r w:rsidR="0083557B" w:rsidRPr="00023977">
        <w:rPr>
          <w:rFonts w:eastAsia="Arial" w:cs="Arial"/>
          <w:sz w:val="24"/>
          <w:lang w:val="es-CO"/>
        </w:rPr>
        <w:t>esoluciones 83438 y 82439 de 1998</w:t>
      </w:r>
      <w:r w:rsidR="00EB6DE4">
        <w:rPr>
          <w:rFonts w:eastAsia="Arial" w:cs="Arial"/>
          <w:sz w:val="24"/>
          <w:lang w:val="es-CO"/>
        </w:rPr>
        <w:t xml:space="preserve">, establecieron </w:t>
      </w:r>
      <w:r w:rsidR="0083557B" w:rsidRPr="00023977">
        <w:rPr>
          <w:rFonts w:eastAsia="Arial" w:cs="Arial"/>
          <w:sz w:val="24"/>
          <w:lang w:val="es-CO"/>
        </w:rPr>
        <w:t xml:space="preserve">la estructura tarifaria para la fijación de precios de la Gasolina Motor Corriente y el ACPM respectivamente. En las dos resoluciones se </w:t>
      </w:r>
      <w:r w:rsidR="00EB6DE4">
        <w:rPr>
          <w:rFonts w:eastAsia="Arial" w:cs="Arial"/>
          <w:sz w:val="24"/>
          <w:lang w:val="es-CO"/>
        </w:rPr>
        <w:t xml:space="preserve">incluía </w:t>
      </w:r>
      <w:r w:rsidR="0083557B" w:rsidRPr="00023977">
        <w:rPr>
          <w:rFonts w:eastAsia="Arial" w:cs="Arial"/>
          <w:sz w:val="24"/>
          <w:lang w:val="es-CO"/>
        </w:rPr>
        <w:t>el componente PMI</w:t>
      </w:r>
      <w:r w:rsidR="0083557B" w:rsidRPr="00023977">
        <w:rPr>
          <w:rFonts w:eastAsia="Arial" w:cs="Arial"/>
          <w:sz w:val="24"/>
          <w:vertAlign w:val="subscript"/>
          <w:lang w:val="es-CO"/>
        </w:rPr>
        <w:t>t</w:t>
      </w:r>
      <w:r w:rsidR="0083557B" w:rsidRPr="00023977">
        <w:rPr>
          <w:rFonts w:eastAsia="Arial" w:cs="Arial"/>
          <w:sz w:val="24"/>
          <w:lang w:val="es-CO"/>
        </w:rPr>
        <w:t xml:space="preserve"> (</w:t>
      </w:r>
      <w:r w:rsidR="0083557B" w:rsidRPr="00023977">
        <w:rPr>
          <w:rFonts w:cs="Arial"/>
          <w:sz w:val="24"/>
          <w:shd w:val="clear" w:color="auto" w:fill="FFFFFF"/>
          <w:lang w:eastAsia="es-CO"/>
        </w:rPr>
        <w:t>precio máximo de venta al distribuidor mayorista en el periodo t) de la siguiente manera:</w:t>
      </w:r>
    </w:p>
    <w:p w:rsidR="0083557B" w:rsidRPr="00023977" w:rsidRDefault="0083557B" w:rsidP="0083557B">
      <w:pPr>
        <w:rPr>
          <w:rFonts w:cs="Arial"/>
          <w:color w:val="333333"/>
          <w:sz w:val="24"/>
          <w:shd w:val="clear" w:color="auto" w:fill="FFFFFF"/>
          <w:lang w:eastAsia="es-CO"/>
        </w:rPr>
      </w:pPr>
    </w:p>
    <w:p w:rsidR="0083557B" w:rsidRPr="00DD13D0" w:rsidRDefault="0083557B" w:rsidP="0083557B">
      <w:pPr>
        <w:rPr>
          <w:rFonts w:ascii="Cambria Math" w:eastAsia="Arial" w:hAnsi="Cambria Math" w:cs="Arial"/>
          <w:sz w:val="24"/>
          <w:lang w:val="es-CO"/>
          <w:oMath/>
        </w:rPr>
      </w:pPr>
      <m:oMath>
        <m:r>
          <w:rPr>
            <w:rFonts w:ascii="Cambria Math" w:hAnsi="Cambria Math" w:cs="Arial"/>
            <w:sz w:val="24"/>
            <w:shd w:val="clear" w:color="auto" w:fill="FFFFFF"/>
            <w:lang w:val="en-US" w:eastAsia="es-CO"/>
          </w:rPr>
          <m:t>PMI</m:t>
        </m:r>
        <m:r>
          <w:rPr>
            <w:rFonts w:ascii="Cambria Math" w:hAnsi="Cambria Math" w:cs="Arial"/>
            <w:sz w:val="24"/>
            <w:shd w:val="clear" w:color="auto" w:fill="FFFFFF"/>
            <w:lang w:val="es-CO" w:eastAsia="es-CO"/>
          </w:rPr>
          <m:t>(</m:t>
        </m:r>
        <m:r>
          <w:rPr>
            <w:rFonts w:ascii="Cambria Math" w:hAnsi="Cambria Math" w:cs="Arial"/>
            <w:sz w:val="24"/>
            <w:shd w:val="clear" w:color="auto" w:fill="FFFFFF"/>
            <w:lang w:val="en-US" w:eastAsia="es-CO"/>
          </w:rPr>
          <m:t>t</m:t>
        </m:r>
        <m:r>
          <w:rPr>
            <w:rFonts w:ascii="Cambria Math" w:hAnsi="Cambria Math" w:cs="Arial"/>
            <w:sz w:val="24"/>
            <w:shd w:val="clear" w:color="auto" w:fill="FFFFFF"/>
            <w:lang w:val="es-CO" w:eastAsia="es-CO"/>
          </w:rPr>
          <m:t>)=</m:t>
        </m:r>
        <m:r>
          <w:rPr>
            <w:rFonts w:ascii="Cambria Math" w:hAnsi="Cambria Math" w:cs="Arial"/>
            <w:sz w:val="24"/>
            <w:shd w:val="clear" w:color="auto" w:fill="FFFFFF"/>
            <w:lang w:val="en-US" w:eastAsia="es-CO"/>
          </w:rPr>
          <m:t>IP</m:t>
        </m:r>
        <m:r>
          <w:rPr>
            <w:rFonts w:ascii="Cambria Math" w:hAnsi="Cambria Math" w:cs="Arial"/>
            <w:sz w:val="24"/>
            <w:shd w:val="clear" w:color="auto" w:fill="FFFFFF"/>
            <w:lang w:val="es-CO" w:eastAsia="es-CO"/>
          </w:rPr>
          <m:t>(</m:t>
        </m:r>
        <m:r>
          <w:rPr>
            <w:rFonts w:ascii="Cambria Math" w:hAnsi="Cambria Math" w:cs="Arial"/>
            <w:sz w:val="24"/>
            <w:shd w:val="clear" w:color="auto" w:fill="FFFFFF"/>
            <w:lang w:val="en-US" w:eastAsia="es-CO"/>
          </w:rPr>
          <m:t>t</m:t>
        </m:r>
        <m:r>
          <w:rPr>
            <w:rFonts w:ascii="Cambria Math" w:hAnsi="Cambria Math" w:cs="Arial"/>
            <w:sz w:val="24"/>
            <w:shd w:val="clear" w:color="auto" w:fill="FFFFFF"/>
            <w:lang w:val="es-CO" w:eastAsia="es-CO"/>
          </w:rPr>
          <m:t>)+</m:t>
        </m:r>
        <m:r>
          <w:rPr>
            <w:rFonts w:ascii="Cambria Math" w:hAnsi="Cambria Math" w:cs="Arial"/>
            <w:sz w:val="24"/>
            <w:shd w:val="clear" w:color="auto" w:fill="FFFFFF"/>
            <w:lang w:val="en-US" w:eastAsia="es-CO"/>
          </w:rPr>
          <m:t>PI</m:t>
        </m:r>
        <m:r>
          <w:rPr>
            <w:rFonts w:ascii="Cambria Math" w:hAnsi="Cambria Math" w:cs="Arial"/>
            <w:sz w:val="24"/>
            <w:shd w:val="clear" w:color="auto" w:fill="FFFFFF"/>
            <w:lang w:val="es-CO" w:eastAsia="es-CO"/>
          </w:rPr>
          <m:t>+</m:t>
        </m:r>
        <m:r>
          <w:rPr>
            <w:rFonts w:ascii="Cambria Math" w:hAnsi="Cambria Math" w:cs="Arial"/>
            <w:sz w:val="24"/>
            <w:shd w:val="clear" w:color="auto" w:fill="FFFFFF"/>
            <w:lang w:val="en-US" w:eastAsia="es-CO"/>
          </w:rPr>
          <m:t>PG</m:t>
        </m:r>
        <m:r>
          <w:rPr>
            <w:rFonts w:ascii="Cambria Math" w:hAnsi="Cambria Math" w:cs="Arial"/>
            <w:sz w:val="24"/>
            <w:shd w:val="clear" w:color="auto" w:fill="FFFFFF"/>
            <w:lang w:val="es-CO" w:eastAsia="es-CO"/>
          </w:rPr>
          <m:t>+</m:t>
        </m:r>
        <m:r>
          <w:rPr>
            <w:rFonts w:ascii="Cambria Math" w:hAnsi="Cambria Math" w:cs="Arial"/>
            <w:sz w:val="24"/>
            <w:shd w:val="clear" w:color="auto" w:fill="FFFFFF"/>
            <w:lang w:val="en-US" w:eastAsia="es-CO"/>
          </w:rPr>
          <m:t>Tt</m:t>
        </m:r>
      </m:oMath>
      <w:r w:rsidR="00DD13D0" w:rsidRPr="00DD13D0">
        <w:rPr>
          <w:rFonts w:cs="Arial"/>
          <w:sz w:val="24"/>
          <w:shd w:val="clear" w:color="auto" w:fill="FFFFFF"/>
          <w:lang w:val="es-CO" w:eastAsia="es-CO"/>
        </w:rPr>
        <w:t xml:space="preserve">, </w:t>
      </w:r>
      <w:r w:rsidR="00DD13D0">
        <w:rPr>
          <w:rFonts w:cs="Arial"/>
          <w:sz w:val="24"/>
          <w:shd w:val="clear" w:color="auto" w:fill="FFFFFF"/>
          <w:lang w:val="es-CO" w:eastAsia="es-CO"/>
        </w:rPr>
        <w:tab/>
      </w:r>
      <w:r w:rsidR="005845C9">
        <w:rPr>
          <w:rFonts w:cs="Arial"/>
          <w:sz w:val="24"/>
          <w:shd w:val="clear" w:color="auto" w:fill="FFFFFF"/>
          <w:lang w:val="es-CO" w:eastAsia="es-CO"/>
        </w:rPr>
        <w:t xml:space="preserve">   </w:t>
      </w:r>
      <w:r w:rsidR="00DD13D0">
        <w:rPr>
          <w:rFonts w:cs="Arial"/>
          <w:sz w:val="24"/>
          <w:shd w:val="clear" w:color="auto" w:fill="FFFFFF"/>
          <w:lang w:val="es-CO" w:eastAsia="es-CO"/>
        </w:rPr>
        <w:t xml:space="preserve">En </w:t>
      </w:r>
      <w:r w:rsidR="00DD13D0" w:rsidRPr="00DD13D0">
        <w:rPr>
          <w:rFonts w:cs="Arial"/>
          <w:sz w:val="24"/>
          <w:shd w:val="clear" w:color="auto" w:fill="FFFFFF"/>
          <w:lang w:val="es-CO" w:eastAsia="es-CO"/>
        </w:rPr>
        <w:t>Donde</w:t>
      </w:r>
      <w:r w:rsidR="00DD13D0">
        <w:rPr>
          <w:rFonts w:cs="Arial"/>
          <w:sz w:val="24"/>
          <w:shd w:val="clear" w:color="auto" w:fill="FFFFFF"/>
          <w:lang w:val="es-CO" w:eastAsia="es-CO"/>
        </w:rPr>
        <w:t>:</w:t>
      </w:r>
    </w:p>
    <w:p w:rsidR="0083557B" w:rsidRPr="00DD13D0" w:rsidRDefault="0083557B" w:rsidP="0083557B">
      <w:pPr>
        <w:rPr>
          <w:rFonts w:eastAsia="Arial" w:cs="Arial"/>
          <w:sz w:val="24"/>
          <w:lang w:val="es-CO"/>
        </w:rPr>
      </w:pPr>
    </w:p>
    <w:p w:rsidR="0083557B" w:rsidRDefault="0083557B" w:rsidP="0083557B">
      <w:pPr>
        <w:rPr>
          <w:rFonts w:cs="Arial"/>
          <w:sz w:val="24"/>
        </w:rPr>
      </w:pPr>
      <w:r w:rsidRPr="00023977">
        <w:rPr>
          <w:rFonts w:eastAsia="Arial" w:cs="Arial"/>
          <w:sz w:val="24"/>
          <w:lang w:val="es-CO"/>
        </w:rPr>
        <w:t xml:space="preserve">En esta fórmula, </w:t>
      </w:r>
      <w:r w:rsidRPr="00023977">
        <w:rPr>
          <w:rFonts w:cs="Arial"/>
          <w:i/>
          <w:sz w:val="24"/>
        </w:rPr>
        <w:t>Tt</w:t>
      </w:r>
      <w:r w:rsidRPr="00023977">
        <w:rPr>
          <w:rFonts w:cs="Arial"/>
          <w:sz w:val="24"/>
        </w:rPr>
        <w:t xml:space="preserve"> corresponde al valor correspondiente al pago de la tarifa estampilla de transporte de combustibles, expresado en pesos por galón. En ese momento, para los dos combustibles (gasolina y diésel) se estableció que la tarifa de estampilla aplicable fuera de $ 159,1/gal y dicho valor sería ajustado anualmente, a partir del 1º de enero del año 2000 por el Ministerio de Minas y Energía.</w:t>
      </w:r>
    </w:p>
    <w:p w:rsidR="00DE4B2B" w:rsidRPr="00023977" w:rsidRDefault="00DE4B2B" w:rsidP="0083557B">
      <w:pPr>
        <w:rPr>
          <w:rFonts w:cs="Arial"/>
          <w:sz w:val="24"/>
        </w:rPr>
      </w:pPr>
    </w:p>
    <w:p w:rsidR="0083557B" w:rsidRPr="00023977" w:rsidRDefault="0083557B" w:rsidP="0083557B">
      <w:pPr>
        <w:widowControl w:val="0"/>
        <w:autoSpaceDE w:val="0"/>
        <w:autoSpaceDN w:val="0"/>
        <w:adjustRightInd w:val="0"/>
        <w:spacing w:before="100" w:after="100"/>
        <w:ind w:left="15" w:right="15"/>
        <w:rPr>
          <w:rFonts w:cs="Arial"/>
          <w:sz w:val="24"/>
        </w:rPr>
      </w:pPr>
      <w:r w:rsidRPr="00023977">
        <w:rPr>
          <w:rFonts w:cs="Arial"/>
          <w:sz w:val="24"/>
        </w:rPr>
        <w:t>En el caso de la gasolina motor corriente se establecía además que como parte de la fórmula del IP (ingreso al productor) se incluyera el componente TPC, correspondiente al pago de la tarifa del Poliducto Pozos Colorados - Barranca. El valor de TPC fue fijado en $ 31,4/gal y también se debía ajustar anualmente por el Ministerio de Minas y Energía.</w:t>
      </w:r>
    </w:p>
    <w:p w:rsidR="0083557B" w:rsidRDefault="0083557B" w:rsidP="00A75F73">
      <w:pPr>
        <w:widowControl w:val="0"/>
        <w:autoSpaceDE w:val="0"/>
        <w:autoSpaceDN w:val="0"/>
        <w:adjustRightInd w:val="0"/>
        <w:spacing w:before="100" w:after="100"/>
        <w:ind w:right="15"/>
        <w:rPr>
          <w:rFonts w:cs="Arial"/>
          <w:sz w:val="24"/>
        </w:rPr>
      </w:pPr>
    </w:p>
    <w:p w:rsidR="000501CD" w:rsidRDefault="00EB6DE4" w:rsidP="00A75F73">
      <w:pPr>
        <w:rPr>
          <w:rFonts w:cs="Arial"/>
          <w:iCs/>
          <w:sz w:val="24"/>
        </w:rPr>
      </w:pPr>
      <w:r>
        <w:rPr>
          <w:rFonts w:cs="Arial"/>
          <w:sz w:val="24"/>
        </w:rPr>
        <w:t>Posteriormente, e</w:t>
      </w:r>
      <w:r w:rsidR="00A75F73" w:rsidRPr="00023977">
        <w:rPr>
          <w:rFonts w:cs="Arial"/>
          <w:sz w:val="24"/>
        </w:rPr>
        <w:t>l artículo 12 de la Ley 681 de 2001 estableció que el Gobierno Nacional a través d</w:t>
      </w:r>
      <w:r w:rsidR="00A75F73" w:rsidRPr="00023977">
        <w:rPr>
          <w:rFonts w:cs="Arial"/>
          <w:iCs/>
          <w:sz w:val="24"/>
        </w:rPr>
        <w:t>el Mini</w:t>
      </w:r>
      <w:r>
        <w:rPr>
          <w:rFonts w:cs="Arial"/>
          <w:iCs/>
          <w:sz w:val="24"/>
        </w:rPr>
        <w:t>sterio de Minas y Energía, deb</w:t>
      </w:r>
      <w:r w:rsidR="00A75F73" w:rsidRPr="00023977">
        <w:rPr>
          <w:rFonts w:cs="Arial"/>
          <w:iCs/>
          <w:sz w:val="24"/>
        </w:rPr>
        <w:t xml:space="preserve">ía reglamentar las tarifas en pesos por kilómetro/galón por concepto de transporte a través del sistema de poliductos. </w:t>
      </w:r>
    </w:p>
    <w:p w:rsidR="00174911" w:rsidRDefault="00174911" w:rsidP="00A75F73">
      <w:pPr>
        <w:rPr>
          <w:rFonts w:cs="Arial"/>
          <w:iCs/>
          <w:sz w:val="24"/>
        </w:rPr>
      </w:pPr>
    </w:p>
    <w:p w:rsidR="0083557B" w:rsidRPr="00023977" w:rsidRDefault="0083557B" w:rsidP="0058606F">
      <w:pPr>
        <w:pStyle w:val="Ttulo3"/>
        <w:rPr>
          <w:rFonts w:eastAsia="Arial" w:cs="Arial"/>
          <w:sz w:val="24"/>
          <w:szCs w:val="24"/>
        </w:rPr>
      </w:pPr>
      <w:bookmarkStart w:id="293" w:name="_Toc424832935"/>
      <w:bookmarkStart w:id="294" w:name="_Toc424887666"/>
      <w:bookmarkStart w:id="295" w:name="_Toc425488426"/>
      <w:bookmarkStart w:id="296" w:name="_Toc426035066"/>
      <w:bookmarkStart w:id="297" w:name="_Toc427333589"/>
      <w:bookmarkStart w:id="298" w:name="_Toc427336530"/>
      <w:bookmarkStart w:id="299" w:name="_Toc427681820"/>
      <w:bookmarkStart w:id="300" w:name="_Toc433276752"/>
      <w:bookmarkStart w:id="301" w:name="_Toc433295715"/>
      <w:bookmarkStart w:id="302" w:name="_Toc433296440"/>
      <w:bookmarkStart w:id="303" w:name="_Toc437500870"/>
      <w:bookmarkStart w:id="304" w:name="_Toc437501529"/>
      <w:bookmarkStart w:id="305" w:name="_Toc437501709"/>
      <w:bookmarkStart w:id="306" w:name="_Toc437501799"/>
      <w:bookmarkStart w:id="307" w:name="_Toc437502562"/>
      <w:bookmarkStart w:id="308" w:name="_Toc437505920"/>
      <w:bookmarkStart w:id="309" w:name="_Toc437512733"/>
      <w:r w:rsidRPr="00023977">
        <w:rPr>
          <w:rFonts w:eastAsia="Arial" w:cs="Arial"/>
          <w:sz w:val="24"/>
          <w:szCs w:val="24"/>
        </w:rPr>
        <w:t>Resolución 180088 de 2003</w:t>
      </w:r>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83557B" w:rsidRPr="00023977" w:rsidRDefault="0083557B" w:rsidP="0058606F">
      <w:pPr>
        <w:keepNext/>
        <w:rPr>
          <w:rFonts w:eastAsia="Arial" w:cs="Arial"/>
          <w:sz w:val="24"/>
          <w:lang w:val="es-ES_tradnl"/>
        </w:rPr>
      </w:pPr>
    </w:p>
    <w:p w:rsidR="0083557B" w:rsidRPr="00023977" w:rsidRDefault="0083557B" w:rsidP="0058606F">
      <w:pPr>
        <w:keepNext/>
        <w:rPr>
          <w:rFonts w:eastAsia="Arial" w:cs="Arial"/>
          <w:sz w:val="24"/>
        </w:rPr>
      </w:pPr>
      <w:r w:rsidRPr="00023977">
        <w:rPr>
          <w:rFonts w:eastAsia="Arial" w:cs="Arial"/>
          <w:sz w:val="24"/>
          <w:lang w:val="es-ES_tradnl"/>
        </w:rPr>
        <w:t>L</w:t>
      </w:r>
      <w:r w:rsidR="00174911">
        <w:rPr>
          <w:rFonts w:eastAsia="Arial" w:cs="Arial"/>
          <w:sz w:val="24"/>
        </w:rPr>
        <w:t>a R</w:t>
      </w:r>
      <w:r w:rsidRPr="00023977">
        <w:rPr>
          <w:rFonts w:eastAsia="Arial" w:cs="Arial"/>
          <w:sz w:val="24"/>
        </w:rPr>
        <w:t xml:space="preserve">esolución 180088 define </w:t>
      </w:r>
      <w:r w:rsidRPr="00023977">
        <w:rPr>
          <w:rFonts w:cs="Arial"/>
          <w:sz w:val="24"/>
        </w:rPr>
        <w:t xml:space="preserve">Tt como el costo máximo del transporte a través del sistema de poliductos expresados en pesos por kilómetro–galón. </w:t>
      </w:r>
      <w:r w:rsidRPr="00023977">
        <w:rPr>
          <w:rFonts w:eastAsia="Arial" w:cs="Arial"/>
          <w:sz w:val="24"/>
        </w:rPr>
        <w:t>Si bien esta resolución no establece una metodología de remuneración para el transporte por poliductos, sí menciona los factores tenidos en cuenta para la construcción de las tarifas, los cuales se citan a continuación:</w:t>
      </w:r>
    </w:p>
    <w:p w:rsidR="00B3396C" w:rsidRDefault="00B3396C" w:rsidP="00B3396C">
      <w:pPr>
        <w:rPr>
          <w:rFonts w:eastAsia="Arial"/>
        </w:rPr>
      </w:pPr>
    </w:p>
    <w:p w:rsidR="0083557B" w:rsidRPr="000B687B" w:rsidRDefault="0083557B" w:rsidP="00B3396C">
      <w:pPr>
        <w:pStyle w:val="Prrafodelista"/>
        <w:numPr>
          <w:ilvl w:val="0"/>
          <w:numId w:val="29"/>
        </w:numPr>
        <w:rPr>
          <w:rFonts w:eastAsia="Arial"/>
          <w:sz w:val="24"/>
          <w:szCs w:val="24"/>
        </w:rPr>
      </w:pPr>
      <w:r w:rsidRPr="000B687B">
        <w:rPr>
          <w:rFonts w:eastAsia="Arial"/>
          <w:sz w:val="24"/>
          <w:szCs w:val="24"/>
        </w:rPr>
        <w:t>Factores de costos:</w:t>
      </w:r>
    </w:p>
    <w:p w:rsidR="0083557B" w:rsidRPr="000B687B" w:rsidRDefault="0083557B" w:rsidP="002864AD">
      <w:pPr>
        <w:pStyle w:val="Prrafodelista"/>
        <w:widowControl w:val="0"/>
        <w:numPr>
          <w:ilvl w:val="0"/>
          <w:numId w:val="4"/>
        </w:numPr>
        <w:autoSpaceDE w:val="0"/>
        <w:autoSpaceDN w:val="0"/>
        <w:adjustRightInd w:val="0"/>
        <w:spacing w:before="100" w:after="100"/>
        <w:ind w:right="15"/>
        <w:rPr>
          <w:rFonts w:cs="Arial"/>
          <w:sz w:val="24"/>
          <w:szCs w:val="24"/>
        </w:rPr>
      </w:pPr>
      <w:r w:rsidRPr="000B687B">
        <w:rPr>
          <w:rFonts w:cs="Arial"/>
          <w:sz w:val="24"/>
          <w:szCs w:val="24"/>
        </w:rPr>
        <w:t>Capital invertido en la construcción</w:t>
      </w:r>
    </w:p>
    <w:p w:rsidR="0083557B" w:rsidRPr="000B687B" w:rsidRDefault="0083557B" w:rsidP="002864AD">
      <w:pPr>
        <w:pStyle w:val="Prrafodelista"/>
        <w:widowControl w:val="0"/>
        <w:numPr>
          <w:ilvl w:val="0"/>
          <w:numId w:val="4"/>
        </w:numPr>
        <w:autoSpaceDE w:val="0"/>
        <w:autoSpaceDN w:val="0"/>
        <w:adjustRightInd w:val="0"/>
        <w:spacing w:before="100" w:after="100"/>
        <w:ind w:right="15"/>
        <w:rPr>
          <w:rFonts w:cs="Arial"/>
          <w:sz w:val="24"/>
          <w:szCs w:val="24"/>
        </w:rPr>
      </w:pPr>
      <w:r w:rsidRPr="000B687B">
        <w:rPr>
          <w:rFonts w:cs="Arial"/>
          <w:sz w:val="24"/>
          <w:szCs w:val="24"/>
        </w:rPr>
        <w:t xml:space="preserve">Gastos de sostenimiento, administración y operación </w:t>
      </w:r>
    </w:p>
    <w:p w:rsidR="0083557B" w:rsidRPr="000B687B" w:rsidRDefault="0083557B" w:rsidP="002864AD">
      <w:pPr>
        <w:pStyle w:val="Prrafodelista"/>
        <w:widowControl w:val="0"/>
        <w:numPr>
          <w:ilvl w:val="0"/>
          <w:numId w:val="4"/>
        </w:numPr>
        <w:autoSpaceDE w:val="0"/>
        <w:autoSpaceDN w:val="0"/>
        <w:adjustRightInd w:val="0"/>
        <w:spacing w:before="100" w:after="100"/>
        <w:ind w:right="15"/>
        <w:rPr>
          <w:rFonts w:cs="Arial"/>
          <w:sz w:val="24"/>
          <w:szCs w:val="24"/>
        </w:rPr>
      </w:pPr>
      <w:r w:rsidRPr="000B687B">
        <w:rPr>
          <w:rFonts w:cs="Arial"/>
          <w:sz w:val="24"/>
          <w:szCs w:val="24"/>
        </w:rPr>
        <w:t>Ganancia</w:t>
      </w:r>
    </w:p>
    <w:p w:rsidR="0083557B" w:rsidRPr="000B687B" w:rsidRDefault="0083557B" w:rsidP="00B3396C">
      <w:pPr>
        <w:pStyle w:val="Prrafodelista"/>
        <w:numPr>
          <w:ilvl w:val="0"/>
          <w:numId w:val="29"/>
        </w:numPr>
        <w:rPr>
          <w:sz w:val="24"/>
          <w:szCs w:val="24"/>
        </w:rPr>
      </w:pPr>
      <w:r w:rsidRPr="000B687B">
        <w:rPr>
          <w:sz w:val="24"/>
          <w:szCs w:val="24"/>
        </w:rPr>
        <w:t>Activos a incluir:</w:t>
      </w:r>
    </w:p>
    <w:p w:rsidR="0083557B" w:rsidRPr="000B687B" w:rsidRDefault="0083557B" w:rsidP="002864AD">
      <w:pPr>
        <w:pStyle w:val="Prrafodelista"/>
        <w:widowControl w:val="0"/>
        <w:numPr>
          <w:ilvl w:val="0"/>
          <w:numId w:val="5"/>
        </w:numPr>
        <w:autoSpaceDE w:val="0"/>
        <w:autoSpaceDN w:val="0"/>
        <w:adjustRightInd w:val="0"/>
        <w:spacing w:before="100" w:after="100"/>
        <w:ind w:right="15"/>
        <w:rPr>
          <w:rFonts w:cs="Arial"/>
          <w:sz w:val="24"/>
          <w:szCs w:val="24"/>
        </w:rPr>
      </w:pPr>
      <w:r w:rsidRPr="000B687B">
        <w:rPr>
          <w:rFonts w:cs="Arial"/>
          <w:sz w:val="24"/>
          <w:szCs w:val="24"/>
        </w:rPr>
        <w:t>Líneas de poliductos</w:t>
      </w:r>
    </w:p>
    <w:p w:rsidR="0083557B" w:rsidRPr="000B687B" w:rsidRDefault="0083557B" w:rsidP="002864AD">
      <w:pPr>
        <w:pStyle w:val="Prrafodelista"/>
        <w:widowControl w:val="0"/>
        <w:numPr>
          <w:ilvl w:val="0"/>
          <w:numId w:val="5"/>
        </w:numPr>
        <w:autoSpaceDE w:val="0"/>
        <w:autoSpaceDN w:val="0"/>
        <w:adjustRightInd w:val="0"/>
        <w:spacing w:before="100" w:after="100"/>
        <w:ind w:right="15"/>
        <w:rPr>
          <w:rFonts w:cs="Arial"/>
          <w:sz w:val="24"/>
          <w:szCs w:val="24"/>
        </w:rPr>
      </w:pPr>
      <w:r w:rsidRPr="000B687B">
        <w:rPr>
          <w:rFonts w:cs="Arial"/>
          <w:sz w:val="24"/>
          <w:szCs w:val="24"/>
        </w:rPr>
        <w:t>Equipos de bombeo</w:t>
      </w:r>
    </w:p>
    <w:p w:rsidR="0083557B" w:rsidRPr="000B687B" w:rsidRDefault="0083557B" w:rsidP="002864AD">
      <w:pPr>
        <w:pStyle w:val="Prrafodelista"/>
        <w:widowControl w:val="0"/>
        <w:numPr>
          <w:ilvl w:val="0"/>
          <w:numId w:val="5"/>
        </w:numPr>
        <w:autoSpaceDE w:val="0"/>
        <w:autoSpaceDN w:val="0"/>
        <w:adjustRightInd w:val="0"/>
        <w:spacing w:before="100" w:after="100"/>
        <w:ind w:right="15"/>
        <w:rPr>
          <w:rFonts w:cs="Arial"/>
          <w:sz w:val="24"/>
          <w:szCs w:val="24"/>
        </w:rPr>
      </w:pPr>
      <w:r w:rsidRPr="000B687B">
        <w:rPr>
          <w:rFonts w:cs="Arial"/>
          <w:sz w:val="24"/>
          <w:szCs w:val="24"/>
        </w:rPr>
        <w:t>Tanques de almacenamiento operativos</w:t>
      </w:r>
    </w:p>
    <w:p w:rsidR="0083557B" w:rsidRPr="000B687B" w:rsidRDefault="0083557B" w:rsidP="002864AD">
      <w:pPr>
        <w:pStyle w:val="Prrafodelista"/>
        <w:widowControl w:val="0"/>
        <w:numPr>
          <w:ilvl w:val="0"/>
          <w:numId w:val="5"/>
        </w:numPr>
        <w:autoSpaceDE w:val="0"/>
        <w:autoSpaceDN w:val="0"/>
        <w:adjustRightInd w:val="0"/>
        <w:spacing w:before="100" w:after="100"/>
        <w:ind w:right="15"/>
        <w:rPr>
          <w:rFonts w:cs="Arial"/>
          <w:sz w:val="24"/>
          <w:szCs w:val="24"/>
        </w:rPr>
      </w:pPr>
      <w:r w:rsidRPr="000B687B">
        <w:rPr>
          <w:rFonts w:cs="Arial"/>
          <w:sz w:val="24"/>
          <w:szCs w:val="24"/>
        </w:rPr>
        <w:t>Edificaciones y terrenos</w:t>
      </w:r>
    </w:p>
    <w:p w:rsidR="0083557B" w:rsidRPr="000B687B" w:rsidRDefault="0083557B" w:rsidP="002864AD">
      <w:pPr>
        <w:pStyle w:val="Prrafodelista"/>
        <w:widowControl w:val="0"/>
        <w:numPr>
          <w:ilvl w:val="0"/>
          <w:numId w:val="5"/>
        </w:numPr>
        <w:autoSpaceDE w:val="0"/>
        <w:autoSpaceDN w:val="0"/>
        <w:adjustRightInd w:val="0"/>
        <w:spacing w:before="100" w:after="100"/>
        <w:ind w:right="15"/>
        <w:rPr>
          <w:rFonts w:cs="Arial"/>
          <w:sz w:val="24"/>
          <w:szCs w:val="24"/>
        </w:rPr>
      </w:pPr>
      <w:r w:rsidRPr="000B687B">
        <w:rPr>
          <w:rFonts w:cs="Arial"/>
          <w:sz w:val="24"/>
          <w:szCs w:val="24"/>
        </w:rPr>
        <w:t>Otros equipos y sistemas necesarios para prestar el servicio de transporte</w:t>
      </w:r>
    </w:p>
    <w:p w:rsidR="0083557B" w:rsidRPr="000B687B" w:rsidRDefault="0083557B" w:rsidP="00B3396C">
      <w:pPr>
        <w:pStyle w:val="Prrafodelista"/>
        <w:numPr>
          <w:ilvl w:val="0"/>
          <w:numId w:val="29"/>
        </w:numPr>
        <w:rPr>
          <w:sz w:val="24"/>
          <w:szCs w:val="24"/>
        </w:rPr>
      </w:pPr>
      <w:r w:rsidRPr="000B687B">
        <w:rPr>
          <w:sz w:val="24"/>
          <w:szCs w:val="24"/>
        </w:rPr>
        <w:t>Inversiones:</w:t>
      </w:r>
    </w:p>
    <w:p w:rsidR="0083557B" w:rsidRPr="000B687B" w:rsidRDefault="0083557B" w:rsidP="00B3396C">
      <w:pPr>
        <w:pStyle w:val="Prrafodelista"/>
        <w:widowControl w:val="0"/>
        <w:numPr>
          <w:ilvl w:val="0"/>
          <w:numId w:val="6"/>
        </w:numPr>
        <w:autoSpaceDE w:val="0"/>
        <w:autoSpaceDN w:val="0"/>
        <w:adjustRightInd w:val="0"/>
        <w:spacing w:before="100" w:after="100"/>
        <w:ind w:left="993" w:right="15"/>
        <w:rPr>
          <w:rFonts w:cs="Arial"/>
          <w:sz w:val="24"/>
          <w:szCs w:val="24"/>
        </w:rPr>
      </w:pPr>
      <w:r w:rsidRPr="000B687B">
        <w:rPr>
          <w:rFonts w:cs="Arial"/>
          <w:sz w:val="24"/>
          <w:szCs w:val="24"/>
        </w:rPr>
        <w:t>La inversión en activos de transporte en servicio a la fecha de revisión tarifaria</w:t>
      </w:r>
    </w:p>
    <w:p w:rsidR="0083557B" w:rsidRPr="000B687B" w:rsidRDefault="0083557B" w:rsidP="00B3396C">
      <w:pPr>
        <w:pStyle w:val="Prrafodelista"/>
        <w:widowControl w:val="0"/>
        <w:numPr>
          <w:ilvl w:val="0"/>
          <w:numId w:val="6"/>
        </w:numPr>
        <w:autoSpaceDE w:val="0"/>
        <w:autoSpaceDN w:val="0"/>
        <w:adjustRightInd w:val="0"/>
        <w:spacing w:before="100" w:after="100"/>
        <w:ind w:left="993" w:right="15"/>
        <w:rPr>
          <w:rFonts w:cs="Arial"/>
          <w:sz w:val="24"/>
          <w:szCs w:val="24"/>
        </w:rPr>
      </w:pPr>
      <w:r w:rsidRPr="000B687B">
        <w:rPr>
          <w:rFonts w:cs="Arial"/>
          <w:sz w:val="24"/>
          <w:szCs w:val="24"/>
        </w:rPr>
        <w:t>Las inversiones en activos propios de transporte, que se proyectan realizar durante un período de 5 años a partir de la fecha de revisión tarifaria de acuerdo con el plan de expansión</w:t>
      </w:r>
    </w:p>
    <w:p w:rsidR="0083557B" w:rsidRPr="000B687B" w:rsidRDefault="0083557B" w:rsidP="00283206">
      <w:pPr>
        <w:pStyle w:val="Prrafodelista"/>
        <w:numPr>
          <w:ilvl w:val="0"/>
          <w:numId w:val="29"/>
        </w:numPr>
        <w:rPr>
          <w:sz w:val="24"/>
          <w:szCs w:val="24"/>
        </w:rPr>
      </w:pPr>
      <w:r w:rsidRPr="000B687B">
        <w:rPr>
          <w:sz w:val="24"/>
          <w:szCs w:val="24"/>
        </w:rPr>
        <w:t>Metodología:</w:t>
      </w:r>
    </w:p>
    <w:p w:rsidR="0083557B" w:rsidRPr="000B687B" w:rsidRDefault="0083557B" w:rsidP="0058606F">
      <w:pPr>
        <w:pStyle w:val="Prrafodelista"/>
        <w:widowControl w:val="0"/>
        <w:numPr>
          <w:ilvl w:val="0"/>
          <w:numId w:val="7"/>
        </w:numPr>
        <w:autoSpaceDE w:val="0"/>
        <w:autoSpaceDN w:val="0"/>
        <w:adjustRightInd w:val="0"/>
        <w:spacing w:before="100" w:after="100"/>
        <w:ind w:left="993" w:right="15"/>
        <w:rPr>
          <w:rFonts w:cs="Arial"/>
          <w:sz w:val="24"/>
          <w:szCs w:val="24"/>
        </w:rPr>
      </w:pPr>
      <w:r w:rsidRPr="000B687B">
        <w:rPr>
          <w:rFonts w:cs="Arial"/>
          <w:sz w:val="24"/>
          <w:szCs w:val="24"/>
        </w:rPr>
        <w:t>En el cálculo de los costos base para la definición de las tarifas, el costo económico se calculó como el valor de la inversión reconocida en la revisión tarifaria anterior (cálculo tarifa estampilla en dic./98), más el valor de las inversiones efectivamente ejecutadas en dicho período, debidamente actualizadas a la fecha de la revisión tarifaria</w:t>
      </w:r>
    </w:p>
    <w:p w:rsidR="0083557B" w:rsidRPr="000B687B" w:rsidRDefault="0083557B" w:rsidP="0058606F">
      <w:pPr>
        <w:pStyle w:val="Prrafodelista"/>
        <w:widowControl w:val="0"/>
        <w:numPr>
          <w:ilvl w:val="0"/>
          <w:numId w:val="7"/>
        </w:numPr>
        <w:autoSpaceDE w:val="0"/>
        <w:autoSpaceDN w:val="0"/>
        <w:adjustRightInd w:val="0"/>
        <w:spacing w:before="100" w:after="100"/>
        <w:ind w:left="993" w:right="15"/>
        <w:rPr>
          <w:rFonts w:cs="Arial"/>
          <w:sz w:val="24"/>
          <w:szCs w:val="24"/>
        </w:rPr>
      </w:pPr>
      <w:r w:rsidRPr="000B687B">
        <w:rPr>
          <w:rFonts w:cs="Arial"/>
          <w:sz w:val="24"/>
          <w:szCs w:val="24"/>
        </w:rPr>
        <w:t>Para los costos de administración, operación y mantenimiento se utilizaron los menores costos reales operativos de los últimos cinco años para cada uno de los poliductos</w:t>
      </w:r>
    </w:p>
    <w:p w:rsidR="0083557B" w:rsidRPr="000B687B" w:rsidRDefault="0083557B" w:rsidP="00283206">
      <w:pPr>
        <w:pStyle w:val="Prrafodelista"/>
        <w:numPr>
          <w:ilvl w:val="0"/>
          <w:numId w:val="29"/>
        </w:numPr>
        <w:rPr>
          <w:sz w:val="24"/>
          <w:szCs w:val="24"/>
        </w:rPr>
      </w:pPr>
      <w:r w:rsidRPr="000B687B">
        <w:rPr>
          <w:sz w:val="24"/>
          <w:szCs w:val="24"/>
        </w:rPr>
        <w:t xml:space="preserve">Criterios especiales: </w:t>
      </w:r>
    </w:p>
    <w:p w:rsidR="0083557B" w:rsidRPr="000B687B" w:rsidRDefault="0083557B" w:rsidP="0058606F">
      <w:pPr>
        <w:pStyle w:val="Prrafodelista"/>
        <w:widowControl w:val="0"/>
        <w:numPr>
          <w:ilvl w:val="0"/>
          <w:numId w:val="8"/>
        </w:numPr>
        <w:autoSpaceDE w:val="0"/>
        <w:autoSpaceDN w:val="0"/>
        <w:adjustRightInd w:val="0"/>
        <w:spacing w:before="100" w:after="100"/>
        <w:ind w:left="993" w:right="15"/>
        <w:rPr>
          <w:rFonts w:cs="Arial"/>
          <w:sz w:val="24"/>
          <w:szCs w:val="24"/>
        </w:rPr>
      </w:pPr>
      <w:r w:rsidRPr="000B687B">
        <w:rPr>
          <w:rFonts w:cs="Arial"/>
          <w:sz w:val="24"/>
          <w:szCs w:val="24"/>
        </w:rPr>
        <w:t>Las tarifas para el año base se calcularon aplicando la metodología de flujo de caja descontado para un período de análisis de 20 años y una tasa de costo de capital después de impuestos en dólares para este tipo de inversión de 12%.</w:t>
      </w:r>
    </w:p>
    <w:p w:rsidR="0083557B" w:rsidRDefault="0083557B" w:rsidP="0058606F">
      <w:pPr>
        <w:pStyle w:val="Prrafodelista"/>
        <w:widowControl w:val="0"/>
        <w:numPr>
          <w:ilvl w:val="0"/>
          <w:numId w:val="8"/>
        </w:numPr>
        <w:autoSpaceDE w:val="0"/>
        <w:autoSpaceDN w:val="0"/>
        <w:adjustRightInd w:val="0"/>
        <w:spacing w:before="100" w:after="100"/>
        <w:ind w:left="993" w:right="15"/>
        <w:rPr>
          <w:rFonts w:cs="Arial"/>
          <w:sz w:val="24"/>
          <w:szCs w:val="24"/>
        </w:rPr>
      </w:pPr>
      <w:r w:rsidRPr="000B687B">
        <w:rPr>
          <w:rFonts w:cs="Arial"/>
          <w:sz w:val="24"/>
          <w:szCs w:val="24"/>
        </w:rPr>
        <w:t xml:space="preserve">El flujo de caja anual se calculó como la diferencia entre el ingreso tarifario y la suma de los costos operativos reconocidos, las nuevas inversiones programadas para los siguientes 5 años y los impuestos de </w:t>
      </w:r>
      <w:r w:rsidRPr="000B687B">
        <w:rPr>
          <w:rFonts w:cs="Arial"/>
          <w:sz w:val="24"/>
          <w:szCs w:val="24"/>
        </w:rPr>
        <w:lastRenderedPageBreak/>
        <w:t>renta correspondientes a cada año.</w:t>
      </w:r>
    </w:p>
    <w:p w:rsidR="0083557B" w:rsidRPr="000B687B" w:rsidRDefault="0083557B" w:rsidP="00667803">
      <w:pPr>
        <w:pStyle w:val="Prrafodelista"/>
        <w:widowControl w:val="0"/>
        <w:numPr>
          <w:ilvl w:val="0"/>
          <w:numId w:val="8"/>
        </w:numPr>
        <w:autoSpaceDE w:val="0"/>
        <w:autoSpaceDN w:val="0"/>
        <w:adjustRightInd w:val="0"/>
        <w:spacing w:before="100" w:after="100"/>
        <w:ind w:left="993" w:right="15"/>
        <w:rPr>
          <w:rFonts w:cs="Arial"/>
          <w:sz w:val="24"/>
          <w:szCs w:val="24"/>
        </w:rPr>
      </w:pPr>
      <w:r w:rsidRPr="000B687B">
        <w:rPr>
          <w:rFonts w:cs="Arial"/>
          <w:sz w:val="24"/>
          <w:szCs w:val="24"/>
        </w:rPr>
        <w:t>El ingreso anual y los costos operativos se calcularon con base en una proyección anual, para un horizonte de 20 años, de los volúmenes a transportar y/o almacenar teniendo en cuenta la capacidad de los poliductos y tanques en servicio y de las ampliaciones incluidas en el programa de inversiones.</w:t>
      </w:r>
    </w:p>
    <w:p w:rsidR="0083557B" w:rsidRPr="000B687B" w:rsidRDefault="0083557B" w:rsidP="00667803">
      <w:pPr>
        <w:pStyle w:val="Prrafodelista"/>
        <w:widowControl w:val="0"/>
        <w:numPr>
          <w:ilvl w:val="0"/>
          <w:numId w:val="8"/>
        </w:numPr>
        <w:autoSpaceDE w:val="0"/>
        <w:autoSpaceDN w:val="0"/>
        <w:adjustRightInd w:val="0"/>
        <w:spacing w:before="100" w:after="100"/>
        <w:ind w:left="993" w:right="15"/>
        <w:rPr>
          <w:rFonts w:cs="Arial"/>
          <w:sz w:val="24"/>
          <w:szCs w:val="24"/>
        </w:rPr>
      </w:pPr>
      <w:r w:rsidRPr="000B687B">
        <w:rPr>
          <w:rFonts w:cs="Arial"/>
          <w:sz w:val="24"/>
          <w:szCs w:val="24"/>
        </w:rPr>
        <w:t>La proyección de volúmenes utilizados corresponden a los escenarios de la UPME.</w:t>
      </w:r>
    </w:p>
    <w:p w:rsidR="0083557B" w:rsidRPr="00023977" w:rsidRDefault="0083557B" w:rsidP="00667803">
      <w:pPr>
        <w:pStyle w:val="Prrafodelista"/>
        <w:widowControl w:val="0"/>
        <w:numPr>
          <w:ilvl w:val="0"/>
          <w:numId w:val="8"/>
        </w:numPr>
        <w:autoSpaceDE w:val="0"/>
        <w:autoSpaceDN w:val="0"/>
        <w:adjustRightInd w:val="0"/>
        <w:spacing w:before="100" w:after="100"/>
        <w:ind w:left="993" w:right="15"/>
        <w:rPr>
          <w:rFonts w:cs="Arial"/>
          <w:sz w:val="24"/>
          <w:szCs w:val="24"/>
        </w:rPr>
      </w:pPr>
      <w:r w:rsidRPr="000B687B">
        <w:rPr>
          <w:rFonts w:cs="Arial"/>
          <w:sz w:val="24"/>
          <w:szCs w:val="24"/>
        </w:rPr>
        <w:t>Las tarifas de transporte incluyen el costo del transporte de las pérdidas normativas (tolerancia</w:t>
      </w:r>
      <w:r w:rsidRPr="00023977">
        <w:rPr>
          <w:rFonts w:cs="Arial"/>
          <w:sz w:val="24"/>
          <w:szCs w:val="24"/>
        </w:rPr>
        <w:t xml:space="preserve">) (0.5%) para los tramos que salen de las refinerías. </w:t>
      </w:r>
    </w:p>
    <w:p w:rsidR="0083557B" w:rsidRPr="00023977" w:rsidRDefault="0083557B" w:rsidP="00667803">
      <w:pPr>
        <w:pStyle w:val="Prrafodelista"/>
        <w:widowControl w:val="0"/>
        <w:numPr>
          <w:ilvl w:val="0"/>
          <w:numId w:val="8"/>
        </w:numPr>
        <w:autoSpaceDE w:val="0"/>
        <w:autoSpaceDN w:val="0"/>
        <w:adjustRightInd w:val="0"/>
        <w:spacing w:before="100" w:after="100"/>
        <w:ind w:left="993" w:right="15"/>
        <w:rPr>
          <w:rFonts w:cs="Arial"/>
          <w:sz w:val="24"/>
          <w:szCs w:val="24"/>
        </w:rPr>
      </w:pPr>
      <w:r w:rsidRPr="00023977">
        <w:rPr>
          <w:rFonts w:cs="Arial"/>
          <w:sz w:val="24"/>
          <w:szCs w:val="24"/>
        </w:rPr>
        <w:t>Como una señal para la expansión de la red de poliductos del país, se incorporó la financiación del lleno de línea del poliducto Sebastopol-Tocancipá, que para el 2003 estaba próximo a entrar en operación.</w:t>
      </w:r>
    </w:p>
    <w:p w:rsidR="0083557B" w:rsidRDefault="0083557B" w:rsidP="00667803">
      <w:pPr>
        <w:pStyle w:val="Prrafodelista"/>
        <w:widowControl w:val="0"/>
        <w:numPr>
          <w:ilvl w:val="0"/>
          <w:numId w:val="8"/>
        </w:numPr>
        <w:autoSpaceDE w:val="0"/>
        <w:autoSpaceDN w:val="0"/>
        <w:adjustRightInd w:val="0"/>
        <w:spacing w:before="100" w:after="100"/>
        <w:ind w:left="993" w:right="15"/>
        <w:rPr>
          <w:rFonts w:cs="Arial"/>
          <w:sz w:val="24"/>
          <w:szCs w:val="24"/>
        </w:rPr>
      </w:pPr>
      <w:r w:rsidRPr="00023977">
        <w:rPr>
          <w:rFonts w:cs="Arial"/>
          <w:sz w:val="24"/>
          <w:szCs w:val="24"/>
        </w:rPr>
        <w:t>Las inversiones de algunos poliductos estratégicos (Pozos Colorados–Galán y Cartago–Yumbo, entre otros) fueron distribuidas en aquellos sectores por los cuales se transportan los mayores volúmenes (Galán-Sebastopol principalmente), con el fin de mitigar el efecto tarifario sobre el sur del país y dar una señal que permita la entrada de nuevos agentes al abastecimiento del país.</w:t>
      </w:r>
    </w:p>
    <w:p w:rsidR="00135F8A" w:rsidRPr="00023977" w:rsidRDefault="00135F8A" w:rsidP="0058606F">
      <w:pPr>
        <w:pStyle w:val="Prrafodelista"/>
        <w:widowControl w:val="0"/>
        <w:autoSpaceDE w:val="0"/>
        <w:autoSpaceDN w:val="0"/>
        <w:adjustRightInd w:val="0"/>
        <w:spacing w:before="100" w:after="100"/>
        <w:ind w:left="735" w:right="15"/>
        <w:rPr>
          <w:rFonts w:cs="Arial"/>
          <w:sz w:val="24"/>
          <w:szCs w:val="24"/>
        </w:rPr>
      </w:pPr>
    </w:p>
    <w:p w:rsidR="00135F8A" w:rsidRPr="00023977" w:rsidRDefault="00135F8A" w:rsidP="00135F8A">
      <w:pPr>
        <w:pStyle w:val="Ttulo3"/>
        <w:rPr>
          <w:rFonts w:eastAsia="Arial" w:cs="Arial"/>
          <w:sz w:val="24"/>
          <w:szCs w:val="24"/>
        </w:rPr>
      </w:pPr>
      <w:bookmarkStart w:id="310" w:name="_Toc437505921"/>
      <w:bookmarkStart w:id="311" w:name="_Toc437512734"/>
      <w:r>
        <w:rPr>
          <w:rFonts w:eastAsia="Arial" w:cs="Arial"/>
          <w:sz w:val="24"/>
          <w:szCs w:val="24"/>
        </w:rPr>
        <w:t xml:space="preserve">Modificaciones </w:t>
      </w:r>
      <w:r w:rsidRPr="00023977">
        <w:rPr>
          <w:rFonts w:eastAsia="Arial" w:cs="Arial"/>
          <w:sz w:val="24"/>
          <w:szCs w:val="24"/>
        </w:rPr>
        <w:t>Resolución 180088 de 2003</w:t>
      </w:r>
      <w:bookmarkEnd w:id="310"/>
      <w:bookmarkEnd w:id="311"/>
    </w:p>
    <w:p w:rsidR="0083557B" w:rsidRPr="00023977" w:rsidRDefault="0083557B" w:rsidP="0083557B">
      <w:pPr>
        <w:rPr>
          <w:rFonts w:eastAsia="Arial" w:cs="Arial"/>
          <w:sz w:val="24"/>
        </w:rPr>
      </w:pPr>
    </w:p>
    <w:p w:rsidR="0083557B" w:rsidRPr="00023977" w:rsidRDefault="0083557B" w:rsidP="0083557B">
      <w:pPr>
        <w:rPr>
          <w:rFonts w:eastAsia="Arial" w:cs="Arial"/>
          <w:sz w:val="24"/>
        </w:rPr>
      </w:pPr>
      <w:r w:rsidRPr="00023977">
        <w:rPr>
          <w:rFonts w:eastAsia="Arial" w:cs="Arial"/>
          <w:sz w:val="24"/>
        </w:rPr>
        <w:t xml:space="preserve">Posteriormente, el Ministerio de Minas y Energía ha emitido resoluciones que modifican o adicionan la </w:t>
      </w:r>
      <w:r w:rsidR="00174911">
        <w:rPr>
          <w:rFonts w:eastAsia="Arial" w:cs="Arial"/>
          <w:sz w:val="24"/>
        </w:rPr>
        <w:t xml:space="preserve">Resolución </w:t>
      </w:r>
      <w:r w:rsidRPr="00023977">
        <w:rPr>
          <w:rFonts w:eastAsia="Arial" w:cs="Arial"/>
          <w:sz w:val="24"/>
        </w:rPr>
        <w:t xml:space="preserve">180088 en los rubros correspondientes al transporte por poliductos. La siguiente modificación se realizó con la Resolución 180209 de 2009, </w:t>
      </w:r>
      <w:r w:rsidR="00174911">
        <w:rPr>
          <w:rFonts w:eastAsia="Arial" w:cs="Arial"/>
          <w:sz w:val="24"/>
        </w:rPr>
        <w:t xml:space="preserve">la cual fue derogada a través de la </w:t>
      </w:r>
      <w:r w:rsidRPr="00023977">
        <w:rPr>
          <w:rFonts w:eastAsia="Arial" w:cs="Arial"/>
          <w:sz w:val="24"/>
        </w:rPr>
        <w:t>Resolución 181701 de 2003.</w:t>
      </w:r>
      <w:r w:rsidR="00814ACB" w:rsidRPr="00023977">
        <w:rPr>
          <w:rFonts w:eastAsia="Arial" w:cs="Arial"/>
          <w:sz w:val="24"/>
        </w:rPr>
        <w:t xml:space="preserve"> Estos cambios se explican en detalle en el siguiente aparte que muestra la evolución de las tarifas.</w:t>
      </w:r>
    </w:p>
    <w:p w:rsidR="0083557B" w:rsidRPr="00023977" w:rsidRDefault="0083557B" w:rsidP="0083557B">
      <w:pPr>
        <w:rPr>
          <w:rFonts w:eastAsia="Arial" w:cs="Arial"/>
          <w:sz w:val="24"/>
        </w:rPr>
      </w:pPr>
    </w:p>
    <w:p w:rsidR="0083557B" w:rsidRPr="00023977" w:rsidRDefault="0083557B" w:rsidP="00391FB3">
      <w:pPr>
        <w:pStyle w:val="Ttulo1"/>
        <w:spacing w:before="360" w:after="240"/>
        <w:ind w:left="426" w:hanging="426"/>
        <w:jc w:val="both"/>
        <w:rPr>
          <w:rFonts w:ascii="Bookman Old Style" w:eastAsia="Arial" w:hAnsi="Bookman Old Style" w:cs="Arial"/>
          <w:sz w:val="24"/>
        </w:rPr>
      </w:pPr>
      <w:bookmarkStart w:id="312" w:name="_Toc424832936"/>
      <w:bookmarkStart w:id="313" w:name="_Toc424887667"/>
      <w:bookmarkStart w:id="314" w:name="_Toc425488427"/>
      <w:bookmarkStart w:id="315" w:name="_Toc426035067"/>
      <w:bookmarkStart w:id="316" w:name="_Toc427333590"/>
      <w:bookmarkStart w:id="317" w:name="_Toc427336531"/>
      <w:bookmarkStart w:id="318" w:name="_Toc427681821"/>
      <w:bookmarkStart w:id="319" w:name="_Toc433276753"/>
      <w:bookmarkStart w:id="320" w:name="_Toc433295716"/>
      <w:bookmarkStart w:id="321" w:name="_Toc433296441"/>
      <w:bookmarkStart w:id="322" w:name="_Toc437500871"/>
      <w:bookmarkStart w:id="323" w:name="_Toc437501530"/>
      <w:bookmarkStart w:id="324" w:name="_Toc437501710"/>
      <w:bookmarkStart w:id="325" w:name="_Toc437501800"/>
      <w:bookmarkStart w:id="326" w:name="_Toc437502563"/>
      <w:bookmarkStart w:id="327" w:name="_Toc437505922"/>
      <w:bookmarkStart w:id="328" w:name="_Toc437512735"/>
      <w:r w:rsidRPr="00023977">
        <w:rPr>
          <w:rFonts w:ascii="Bookman Old Style" w:eastAsia="Arial" w:hAnsi="Bookman Old Style" w:cs="Arial"/>
          <w:sz w:val="24"/>
        </w:rPr>
        <w:t>COMPORTAMIENTO DE LAS TARIFAS PARA EL TRANSPORTE</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sidRPr="00023977">
        <w:rPr>
          <w:rFonts w:ascii="Bookman Old Style" w:eastAsia="Arial" w:hAnsi="Bookman Old Style" w:cs="Arial"/>
          <w:sz w:val="24"/>
        </w:rPr>
        <w:t xml:space="preserve"> </w:t>
      </w:r>
    </w:p>
    <w:p w:rsidR="0083557B" w:rsidRPr="00023977" w:rsidRDefault="0083557B" w:rsidP="0083557B">
      <w:pPr>
        <w:rPr>
          <w:rFonts w:eastAsia="Arial" w:cs="Arial"/>
          <w:sz w:val="24"/>
          <w:lang w:val="es-CO"/>
        </w:rPr>
      </w:pPr>
    </w:p>
    <w:p w:rsidR="0083557B" w:rsidRPr="00023977" w:rsidRDefault="0083557B" w:rsidP="0083557B">
      <w:pPr>
        <w:pStyle w:val="Prrafodelista"/>
        <w:ind w:left="0"/>
        <w:rPr>
          <w:rFonts w:cs="Arial"/>
          <w:sz w:val="24"/>
          <w:szCs w:val="24"/>
        </w:rPr>
      </w:pPr>
      <w:r w:rsidRPr="00023977">
        <w:rPr>
          <w:rFonts w:cs="Arial"/>
          <w:sz w:val="24"/>
          <w:szCs w:val="24"/>
        </w:rPr>
        <w:t xml:space="preserve">A continuación se presentan las tarifas para el transporte por ductos </w:t>
      </w:r>
      <w:r w:rsidR="00667803">
        <w:rPr>
          <w:rFonts w:cs="Arial"/>
          <w:sz w:val="24"/>
          <w:szCs w:val="24"/>
        </w:rPr>
        <w:t>para</w:t>
      </w:r>
      <w:r w:rsidRPr="00023977">
        <w:rPr>
          <w:rFonts w:cs="Arial"/>
          <w:sz w:val="24"/>
          <w:szCs w:val="24"/>
        </w:rPr>
        <w:t xml:space="preserve"> GLP y de los combustibles líquidos.</w:t>
      </w:r>
    </w:p>
    <w:p w:rsidR="0083557B" w:rsidRPr="00023977" w:rsidRDefault="0083557B" w:rsidP="00667803">
      <w:pPr>
        <w:rPr>
          <w:rFonts w:cs="Arial"/>
          <w:sz w:val="24"/>
          <w:lang w:val="es-CO"/>
        </w:rPr>
      </w:pPr>
    </w:p>
    <w:p w:rsidR="0083557B" w:rsidRPr="00023977" w:rsidRDefault="00135F8A" w:rsidP="00391FB3">
      <w:pPr>
        <w:pStyle w:val="Ttulo2"/>
        <w:rPr>
          <w:rFonts w:cs="Arial"/>
          <w:sz w:val="24"/>
          <w:szCs w:val="24"/>
        </w:rPr>
      </w:pPr>
      <w:bookmarkStart w:id="329" w:name="_Toc424832937"/>
      <w:bookmarkStart w:id="330" w:name="_Toc424887668"/>
      <w:bookmarkStart w:id="331" w:name="_Toc425488428"/>
      <w:bookmarkStart w:id="332" w:name="_Toc426035068"/>
      <w:bookmarkStart w:id="333" w:name="_Toc427333591"/>
      <w:bookmarkStart w:id="334" w:name="_Toc427336532"/>
      <w:bookmarkStart w:id="335" w:name="_Toc427681822"/>
      <w:bookmarkStart w:id="336" w:name="_Toc433276754"/>
      <w:bookmarkStart w:id="337" w:name="_Toc433295717"/>
      <w:bookmarkStart w:id="338" w:name="_Toc433296442"/>
      <w:bookmarkStart w:id="339" w:name="_Toc437500872"/>
      <w:bookmarkStart w:id="340" w:name="_Toc437501531"/>
      <w:bookmarkStart w:id="341" w:name="_Toc437501711"/>
      <w:bookmarkStart w:id="342" w:name="_Toc437501801"/>
      <w:bookmarkStart w:id="343" w:name="_Toc437502564"/>
      <w:bookmarkStart w:id="344" w:name="_Toc437505923"/>
      <w:bookmarkStart w:id="345" w:name="_Toc437512736"/>
      <w:r>
        <w:rPr>
          <w:rFonts w:cs="Arial"/>
          <w:sz w:val="24"/>
          <w:szCs w:val="24"/>
        </w:rPr>
        <w:t>t</w:t>
      </w:r>
      <w:r w:rsidR="0083557B" w:rsidRPr="00023977">
        <w:rPr>
          <w:rFonts w:cs="Arial"/>
          <w:sz w:val="24"/>
          <w:szCs w:val="24"/>
        </w:rPr>
        <w:t xml:space="preserve">arifas aplicadas para transporte de </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Pr>
          <w:rFonts w:cs="Arial"/>
          <w:sz w:val="24"/>
          <w:szCs w:val="24"/>
        </w:rPr>
        <w:t>glp</w:t>
      </w:r>
      <w:bookmarkEnd w:id="344"/>
      <w:bookmarkEnd w:id="345"/>
    </w:p>
    <w:p w:rsidR="0083557B" w:rsidRPr="00023977" w:rsidRDefault="0083557B" w:rsidP="0083557B">
      <w:pPr>
        <w:ind w:left="195"/>
        <w:rPr>
          <w:rFonts w:cs="Arial"/>
          <w:sz w:val="24"/>
          <w:lang w:val="es-ES_tradnl"/>
        </w:rPr>
      </w:pPr>
    </w:p>
    <w:p w:rsidR="0083557B" w:rsidRPr="00023977" w:rsidRDefault="0083557B" w:rsidP="0083557B">
      <w:pPr>
        <w:rPr>
          <w:rFonts w:cs="Arial"/>
          <w:sz w:val="24"/>
          <w:lang w:val="es-ES_tradnl"/>
        </w:rPr>
      </w:pPr>
      <w:r w:rsidRPr="00023977">
        <w:rPr>
          <w:rFonts w:cs="Arial"/>
          <w:sz w:val="24"/>
          <w:lang w:val="es-ES_tradnl"/>
        </w:rPr>
        <w:t>En el caso del GLP las tarifas por tramo se presentan en la</w:t>
      </w:r>
      <w:r w:rsidR="001C4AA1">
        <w:rPr>
          <w:rFonts w:cs="Arial"/>
          <w:sz w:val="24"/>
          <w:lang w:val="es-ES_tradnl"/>
        </w:rPr>
        <w:t xml:space="preserve"> </w:t>
      </w:r>
      <w:r w:rsidR="00463342">
        <w:rPr>
          <w:rFonts w:cs="Arial"/>
          <w:sz w:val="24"/>
          <w:lang w:val="es-ES_tradnl"/>
        </w:rPr>
        <w:fldChar w:fldCharType="begin"/>
      </w:r>
      <w:r w:rsidR="00463342">
        <w:rPr>
          <w:rFonts w:cs="Arial"/>
          <w:sz w:val="24"/>
          <w:lang w:val="es-ES_tradnl"/>
        </w:rPr>
        <w:instrText xml:space="preserve"> REF _Ref433971097 \h </w:instrText>
      </w:r>
      <w:r w:rsidR="00463342">
        <w:rPr>
          <w:rFonts w:cs="Arial"/>
          <w:sz w:val="24"/>
          <w:lang w:val="es-ES_tradnl"/>
        </w:rPr>
      </w:r>
      <w:r w:rsidR="00463342">
        <w:rPr>
          <w:rFonts w:cs="Arial"/>
          <w:sz w:val="24"/>
          <w:lang w:val="es-ES_tradnl"/>
        </w:rPr>
        <w:fldChar w:fldCharType="separate"/>
      </w:r>
      <w:r w:rsidR="00625BEB">
        <w:t xml:space="preserve">Gráfica </w:t>
      </w:r>
      <w:r w:rsidR="00625BEB">
        <w:rPr>
          <w:noProof/>
        </w:rPr>
        <w:t>8</w:t>
      </w:r>
      <w:r w:rsidR="00463342">
        <w:rPr>
          <w:rFonts w:cs="Arial"/>
          <w:sz w:val="24"/>
          <w:lang w:val="es-ES_tradnl"/>
        </w:rPr>
        <w:fldChar w:fldCharType="end"/>
      </w:r>
      <w:r w:rsidR="00463342">
        <w:rPr>
          <w:rFonts w:cs="Arial"/>
          <w:sz w:val="24"/>
          <w:lang w:val="es-ES_tradnl"/>
        </w:rPr>
        <w:t>.</w:t>
      </w:r>
      <w:r w:rsidRPr="00023977">
        <w:rPr>
          <w:rFonts w:cs="Arial"/>
          <w:sz w:val="24"/>
          <w:lang w:val="es-ES_tradnl"/>
        </w:rPr>
        <w:t xml:space="preserve"> Los tramos Puerto Salgar – Cartago y las entregas en Manizales y Pereira presentan los mismos valores a pagar des</w:t>
      </w:r>
      <w:r w:rsidR="0071143C">
        <w:rPr>
          <w:rFonts w:cs="Arial"/>
          <w:sz w:val="24"/>
          <w:lang w:val="es-ES_tradnl"/>
        </w:rPr>
        <w:t>de octubre de 2013. Para el perí</w:t>
      </w:r>
      <w:r w:rsidRPr="00023977">
        <w:rPr>
          <w:rFonts w:cs="Arial"/>
          <w:sz w:val="24"/>
          <w:lang w:val="es-ES_tradnl"/>
        </w:rPr>
        <w:t xml:space="preserve">odo que cubre desde abril de 2013 hasta mayo de 2015, el cambio porcentual para todos los tramos excepto las entregas en Manizales y Pereira fue alrededor de 7%. En el caso de Manizales y Pereira las tarifas </w:t>
      </w:r>
      <w:r w:rsidR="001C4AA1">
        <w:rPr>
          <w:rFonts w:cs="Arial"/>
          <w:sz w:val="24"/>
          <w:lang w:val="es-ES_tradnl"/>
        </w:rPr>
        <w:t>aumentaron</w:t>
      </w:r>
      <w:r w:rsidRPr="00023977">
        <w:rPr>
          <w:rFonts w:cs="Arial"/>
          <w:sz w:val="24"/>
          <w:lang w:val="es-ES_tradnl"/>
        </w:rPr>
        <w:t xml:space="preserve"> el 30%.</w:t>
      </w:r>
    </w:p>
    <w:p w:rsidR="0083557B" w:rsidRDefault="0083557B" w:rsidP="0083557B">
      <w:pPr>
        <w:ind w:left="195"/>
        <w:rPr>
          <w:rFonts w:cs="Arial"/>
          <w:lang w:val="es-ES_tradnl"/>
        </w:rPr>
      </w:pPr>
    </w:p>
    <w:p w:rsidR="001A4E6F" w:rsidRDefault="0083557B" w:rsidP="001A4E6F">
      <w:pPr>
        <w:keepNext/>
        <w:jc w:val="center"/>
      </w:pPr>
      <w:r w:rsidRPr="004859E4">
        <w:rPr>
          <w:rFonts w:cs="Arial"/>
          <w:noProof/>
          <w:lang w:val="es-CO" w:eastAsia="es-CO"/>
        </w:rPr>
        <w:lastRenderedPageBreak/>
        <w:drawing>
          <wp:inline distT="0" distB="0" distL="0" distR="0" wp14:anchorId="375BAFB6" wp14:editId="5370AEE9">
            <wp:extent cx="5844746" cy="3002692"/>
            <wp:effectExtent l="0" t="0" r="22860" b="26670"/>
            <wp:docPr id="75" name="Gráfico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541E9" w:rsidRPr="007541E9" w:rsidRDefault="007541E9" w:rsidP="00283206">
      <w:pPr>
        <w:rPr>
          <w:b/>
          <w:lang w:val="es-CO"/>
        </w:rPr>
      </w:pPr>
      <w:r w:rsidRPr="00283206">
        <w:rPr>
          <w:sz w:val="18"/>
        </w:rPr>
        <w:t>Fuente: Cálculos CREG. Datos Cenit</w:t>
      </w:r>
    </w:p>
    <w:p w:rsidR="00625DA7" w:rsidRDefault="00625DA7" w:rsidP="00625DA7">
      <w:pPr>
        <w:pStyle w:val="Epgrafe"/>
        <w:rPr>
          <w:rFonts w:cs="Arial"/>
          <w:lang w:val="es-ES_tradnl"/>
        </w:rPr>
      </w:pPr>
      <w:bookmarkStart w:id="346" w:name="_Ref433971097"/>
      <w:bookmarkStart w:id="347" w:name="_Toc437512845"/>
      <w:r>
        <w:t xml:space="preserve">Gráfica </w:t>
      </w:r>
      <w:r>
        <w:fldChar w:fldCharType="begin"/>
      </w:r>
      <w:r>
        <w:instrText xml:space="preserve"> SEQ Gráfica \* ARABIC </w:instrText>
      </w:r>
      <w:r>
        <w:fldChar w:fldCharType="separate"/>
      </w:r>
      <w:r w:rsidR="00625BEB">
        <w:rPr>
          <w:noProof/>
        </w:rPr>
        <w:t>8</w:t>
      </w:r>
      <w:r>
        <w:fldChar w:fldCharType="end"/>
      </w:r>
      <w:bookmarkEnd w:id="346"/>
      <w:r>
        <w:t xml:space="preserve"> </w:t>
      </w:r>
      <w:r w:rsidRPr="00116A9F">
        <w:t>Tarifas de transporte GLP por tramo ($ por Galón)</w:t>
      </w:r>
      <w:bookmarkEnd w:id="347"/>
    </w:p>
    <w:p w:rsidR="00F42CA3" w:rsidRDefault="00F42CA3" w:rsidP="0083557B">
      <w:pPr>
        <w:rPr>
          <w:rFonts w:cs="Arial"/>
          <w:sz w:val="24"/>
          <w:lang w:val="es-ES_tradnl"/>
        </w:rPr>
      </w:pPr>
    </w:p>
    <w:p w:rsidR="000D5CF9" w:rsidRDefault="0083557B" w:rsidP="0083557B">
      <w:pPr>
        <w:rPr>
          <w:rFonts w:cs="Arial"/>
          <w:sz w:val="24"/>
          <w:lang w:val="es-ES_tradnl"/>
        </w:rPr>
      </w:pPr>
      <w:r w:rsidRPr="00023977">
        <w:rPr>
          <w:rFonts w:cs="Arial"/>
          <w:sz w:val="24"/>
          <w:lang w:val="es-ES_tradnl"/>
        </w:rPr>
        <w:t>Los precios finales en cada sitio de entrega, se pueden ver en la</w:t>
      </w:r>
      <w:r w:rsidR="002E0E65">
        <w:rPr>
          <w:rFonts w:cs="Arial"/>
          <w:sz w:val="24"/>
          <w:lang w:val="es-ES_tradnl"/>
        </w:rPr>
        <w:t xml:space="preserve"> </w:t>
      </w:r>
      <w:r w:rsidR="002E0E65">
        <w:rPr>
          <w:rFonts w:cs="Arial"/>
          <w:sz w:val="24"/>
          <w:lang w:val="es-ES_tradnl"/>
        </w:rPr>
        <w:fldChar w:fldCharType="begin"/>
      </w:r>
      <w:r w:rsidR="002E0E65">
        <w:rPr>
          <w:rFonts w:cs="Arial"/>
          <w:sz w:val="24"/>
          <w:lang w:val="es-ES_tradnl"/>
        </w:rPr>
        <w:instrText xml:space="preserve"> REF _Ref437262869 \h </w:instrText>
      </w:r>
      <w:r w:rsidR="002E0E65">
        <w:rPr>
          <w:rFonts w:cs="Arial"/>
          <w:sz w:val="24"/>
          <w:lang w:val="es-ES_tradnl"/>
        </w:rPr>
      </w:r>
      <w:r w:rsidR="002E0E65">
        <w:rPr>
          <w:rFonts w:cs="Arial"/>
          <w:sz w:val="24"/>
          <w:lang w:val="es-ES_tradnl"/>
        </w:rPr>
        <w:fldChar w:fldCharType="separate"/>
      </w:r>
      <w:r w:rsidR="00625BEB">
        <w:t xml:space="preserve">Gráfica </w:t>
      </w:r>
      <w:r w:rsidR="00625BEB">
        <w:rPr>
          <w:noProof/>
        </w:rPr>
        <w:t>9</w:t>
      </w:r>
      <w:r w:rsidR="002E0E65">
        <w:rPr>
          <w:rFonts w:cs="Arial"/>
          <w:sz w:val="24"/>
          <w:lang w:val="es-ES_tradnl"/>
        </w:rPr>
        <w:fldChar w:fldCharType="end"/>
      </w:r>
      <w:r w:rsidRPr="00023977">
        <w:rPr>
          <w:rFonts w:cs="Arial"/>
          <w:sz w:val="24"/>
          <w:lang w:val="es-ES_tradnl"/>
        </w:rPr>
        <w:t>. El punto más alejado del sistema, Yumbo</w:t>
      </w:r>
      <w:r w:rsidR="0071143C">
        <w:rPr>
          <w:rFonts w:cs="Arial"/>
          <w:sz w:val="24"/>
          <w:lang w:val="es-ES_tradnl"/>
        </w:rPr>
        <w:t>,</w:t>
      </w:r>
      <w:r w:rsidRPr="00023977">
        <w:rPr>
          <w:rFonts w:cs="Arial"/>
          <w:sz w:val="24"/>
          <w:lang w:val="es-ES_tradnl"/>
        </w:rPr>
        <w:t xml:space="preserve"> presenta el costo más alto de transporte, en promedio $ 588 por galón. </w:t>
      </w:r>
    </w:p>
    <w:p w:rsidR="000D5CF9" w:rsidRDefault="000D5CF9" w:rsidP="0083557B">
      <w:pPr>
        <w:rPr>
          <w:rFonts w:cs="Arial"/>
          <w:sz w:val="24"/>
          <w:lang w:val="es-ES_tradnl"/>
        </w:rPr>
      </w:pPr>
    </w:p>
    <w:p w:rsidR="0083557B" w:rsidRPr="00023977" w:rsidRDefault="0083557B" w:rsidP="0083557B">
      <w:pPr>
        <w:rPr>
          <w:rFonts w:cs="Arial"/>
          <w:sz w:val="24"/>
          <w:lang w:val="es-ES_tradnl"/>
        </w:rPr>
      </w:pPr>
      <w:r w:rsidRPr="00023977">
        <w:rPr>
          <w:rFonts w:cs="Arial"/>
          <w:sz w:val="24"/>
          <w:lang w:val="es-ES_tradnl"/>
        </w:rPr>
        <w:t xml:space="preserve">De manera análoga al análisis por tramos el </w:t>
      </w:r>
      <w:r w:rsidR="001C4AA1">
        <w:rPr>
          <w:rFonts w:cs="Arial"/>
          <w:sz w:val="24"/>
          <w:lang w:val="es-ES_tradnl"/>
        </w:rPr>
        <w:t>crecimiento de</w:t>
      </w:r>
      <w:r w:rsidRPr="00023977">
        <w:rPr>
          <w:rFonts w:cs="Arial"/>
          <w:sz w:val="24"/>
          <w:lang w:val="es-ES_tradnl"/>
        </w:rPr>
        <w:t xml:space="preserve"> las tarifas de transporte para todos los puntos de entrega con excepción de Pereira y Manizales fue cercano al 7%. Para Manizales y Pereira el cambio en los precios fue de 21%.</w:t>
      </w:r>
    </w:p>
    <w:p w:rsidR="0083557B" w:rsidRPr="00023977" w:rsidRDefault="0083557B" w:rsidP="0083557B">
      <w:pPr>
        <w:rPr>
          <w:rFonts w:cs="Arial"/>
          <w:sz w:val="24"/>
          <w:lang w:val="es-ES_tradnl"/>
        </w:rPr>
      </w:pPr>
    </w:p>
    <w:p w:rsidR="001A4E6F" w:rsidRDefault="009A2A6E" w:rsidP="001A4E6F">
      <w:pPr>
        <w:keepNext/>
        <w:jc w:val="center"/>
      </w:pPr>
      <w:r>
        <w:rPr>
          <w:noProof/>
          <w:lang w:val="es-CO" w:eastAsia="es-CO"/>
        </w:rPr>
        <w:drawing>
          <wp:inline distT="0" distB="0" distL="0" distR="0" wp14:anchorId="24F2F9A9" wp14:editId="18609A25">
            <wp:extent cx="5795319" cy="2804983"/>
            <wp:effectExtent l="0" t="0" r="15240" b="14605"/>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541E9" w:rsidRPr="004859E4" w:rsidRDefault="007541E9" w:rsidP="007541E9">
      <w:pPr>
        <w:ind w:left="195"/>
        <w:rPr>
          <w:rFonts w:cs="Arial"/>
          <w:sz w:val="16"/>
        </w:rPr>
      </w:pPr>
      <w:r w:rsidRPr="004859E4">
        <w:rPr>
          <w:rFonts w:cs="Arial"/>
          <w:sz w:val="16"/>
        </w:rPr>
        <w:t>Fuente: Cálculos CREG. Datos Cenit.</w:t>
      </w:r>
    </w:p>
    <w:p w:rsidR="007B56E7" w:rsidRDefault="007B56E7" w:rsidP="007B56E7">
      <w:pPr>
        <w:pStyle w:val="Epgrafe"/>
        <w:rPr>
          <w:rFonts w:cs="Arial"/>
          <w:lang w:val="es-ES_tradnl"/>
        </w:rPr>
      </w:pPr>
      <w:bookmarkStart w:id="348" w:name="_Ref437262869"/>
      <w:bookmarkStart w:id="349" w:name="_Toc437512846"/>
      <w:r>
        <w:t xml:space="preserve">Gráfica </w:t>
      </w:r>
      <w:r>
        <w:fldChar w:fldCharType="begin"/>
      </w:r>
      <w:r>
        <w:instrText xml:space="preserve"> SEQ Gráfica \* ARABIC </w:instrText>
      </w:r>
      <w:r>
        <w:fldChar w:fldCharType="separate"/>
      </w:r>
      <w:r w:rsidR="00625BEB">
        <w:rPr>
          <w:noProof/>
        </w:rPr>
        <w:t>9</w:t>
      </w:r>
      <w:r>
        <w:fldChar w:fldCharType="end"/>
      </w:r>
      <w:bookmarkEnd w:id="348"/>
      <w:r>
        <w:t xml:space="preserve"> </w:t>
      </w:r>
      <w:r w:rsidRPr="001B3A3B">
        <w:t>Tarifas de transporte de GLP por punto de entrega ($ por Galón)</w:t>
      </w:r>
      <w:bookmarkEnd w:id="349"/>
    </w:p>
    <w:p w:rsidR="00C77B93" w:rsidRDefault="00C77B93" w:rsidP="0083557B">
      <w:pPr>
        <w:rPr>
          <w:rFonts w:cs="Arial"/>
          <w:sz w:val="24"/>
          <w:lang w:val="es-ES_tradnl"/>
        </w:rPr>
      </w:pPr>
    </w:p>
    <w:p w:rsidR="00C77B93" w:rsidRDefault="00C77B93" w:rsidP="0083557B">
      <w:pPr>
        <w:rPr>
          <w:rFonts w:cs="Arial"/>
          <w:sz w:val="24"/>
          <w:lang w:val="es-ES_tradnl"/>
        </w:rPr>
      </w:pPr>
    </w:p>
    <w:p w:rsidR="0083557B" w:rsidRPr="002E0E65" w:rsidRDefault="0083557B" w:rsidP="0083557B">
      <w:pPr>
        <w:rPr>
          <w:rFonts w:cs="Arial"/>
          <w:sz w:val="24"/>
          <w:lang w:val="es-ES_tradnl"/>
        </w:rPr>
      </w:pPr>
      <w:r w:rsidRPr="002E0E65">
        <w:rPr>
          <w:rFonts w:cs="Arial"/>
          <w:sz w:val="24"/>
          <w:lang w:val="es-ES_tradnl"/>
        </w:rPr>
        <w:lastRenderedPageBreak/>
        <w:t xml:space="preserve">La tarifa de estampilla de transporte de GLP </w:t>
      </w:r>
      <w:r w:rsidR="00243CDC" w:rsidRPr="002E0E65">
        <w:rPr>
          <w:rFonts w:cs="Arial"/>
          <w:sz w:val="24"/>
          <w:lang w:val="es-ES_tradnl"/>
        </w:rPr>
        <w:t>a San Andrés</w:t>
      </w:r>
      <w:r w:rsidRPr="002E0E65">
        <w:rPr>
          <w:rFonts w:cs="Arial"/>
          <w:sz w:val="24"/>
          <w:lang w:val="es-ES_tradnl"/>
        </w:rPr>
        <w:t xml:space="preserve"> se ajustó en cerca de $ 90 pasando de $ 31 en abril de 2013 a $ 128 en mayo de 2015, para una variación po</w:t>
      </w:r>
      <w:r w:rsidR="002B7903" w:rsidRPr="002E0E65">
        <w:rPr>
          <w:rFonts w:cs="Arial"/>
          <w:sz w:val="24"/>
          <w:lang w:val="es-ES_tradnl"/>
        </w:rPr>
        <w:t>rcentual de 302% durante el perí</w:t>
      </w:r>
      <w:r w:rsidRPr="002E0E65">
        <w:rPr>
          <w:rFonts w:cs="Arial"/>
          <w:sz w:val="24"/>
          <w:lang w:val="es-ES_tradnl"/>
        </w:rPr>
        <w:t>odo analizado.</w:t>
      </w:r>
    </w:p>
    <w:p w:rsidR="0083557B" w:rsidRPr="00023977" w:rsidRDefault="0083557B" w:rsidP="0083557B">
      <w:pPr>
        <w:rPr>
          <w:rFonts w:cs="Arial"/>
          <w:lang w:val="es-ES_tradnl"/>
        </w:rPr>
      </w:pPr>
    </w:p>
    <w:p w:rsidR="0083557B" w:rsidRPr="004859E4" w:rsidRDefault="0083557B" w:rsidP="0083557B">
      <w:pPr>
        <w:rPr>
          <w:rFonts w:cs="Arial"/>
          <w:lang w:val="es-ES_tradnl"/>
        </w:rPr>
      </w:pPr>
    </w:p>
    <w:p w:rsidR="001A4E6F" w:rsidRDefault="00205AE7" w:rsidP="001A4E6F">
      <w:pPr>
        <w:keepNext/>
        <w:jc w:val="center"/>
      </w:pPr>
      <w:r>
        <w:rPr>
          <w:noProof/>
          <w:lang w:val="es-CO" w:eastAsia="es-CO"/>
        </w:rPr>
        <w:drawing>
          <wp:inline distT="0" distB="0" distL="0" distR="0" wp14:anchorId="4D06376F" wp14:editId="02898DCC">
            <wp:extent cx="5276336" cy="2743200"/>
            <wp:effectExtent l="0" t="0" r="19685" b="1905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35A94" w:rsidRDefault="00035A94" w:rsidP="00035A94">
      <w:pPr>
        <w:ind w:left="195"/>
        <w:rPr>
          <w:rFonts w:cs="Arial"/>
          <w:sz w:val="16"/>
        </w:rPr>
      </w:pPr>
      <w:r w:rsidRPr="004859E4">
        <w:rPr>
          <w:rFonts w:cs="Arial"/>
          <w:sz w:val="16"/>
        </w:rPr>
        <w:t>Fuente: Datos Cenit.</w:t>
      </w:r>
    </w:p>
    <w:p w:rsidR="007B56E7" w:rsidRDefault="007B56E7" w:rsidP="007B56E7">
      <w:pPr>
        <w:pStyle w:val="Epgrafe"/>
      </w:pPr>
      <w:bookmarkStart w:id="350" w:name="_Toc437512847"/>
      <w:r>
        <w:t xml:space="preserve">Gráfica </w:t>
      </w:r>
      <w:r>
        <w:fldChar w:fldCharType="begin"/>
      </w:r>
      <w:r>
        <w:instrText xml:space="preserve"> SEQ Gráfica \* ARABIC </w:instrText>
      </w:r>
      <w:r>
        <w:fldChar w:fldCharType="separate"/>
      </w:r>
      <w:r w:rsidR="00625BEB">
        <w:rPr>
          <w:noProof/>
        </w:rPr>
        <w:t>10</w:t>
      </w:r>
      <w:r>
        <w:fldChar w:fldCharType="end"/>
      </w:r>
      <w:r>
        <w:t xml:space="preserve"> </w:t>
      </w:r>
      <w:r w:rsidRPr="005743C4">
        <w:t>Estampilla transporte de GLP a San Andrés ($ por Galón)</w:t>
      </w:r>
      <w:bookmarkEnd w:id="350"/>
    </w:p>
    <w:p w:rsidR="00C77B93" w:rsidRPr="00C77B93" w:rsidRDefault="00C77B93" w:rsidP="00C77B93"/>
    <w:p w:rsidR="0083557B" w:rsidRPr="00023977" w:rsidRDefault="00135F8A" w:rsidP="00391FB3">
      <w:pPr>
        <w:pStyle w:val="Ttulo2"/>
        <w:rPr>
          <w:rFonts w:cs="Arial"/>
          <w:sz w:val="24"/>
          <w:szCs w:val="24"/>
        </w:rPr>
      </w:pPr>
      <w:bookmarkStart w:id="351" w:name="_Toc424832938"/>
      <w:bookmarkStart w:id="352" w:name="_Toc424887669"/>
      <w:bookmarkStart w:id="353" w:name="_Toc425488429"/>
      <w:bookmarkStart w:id="354" w:name="_Toc426035069"/>
      <w:bookmarkStart w:id="355" w:name="_Toc427333592"/>
      <w:bookmarkStart w:id="356" w:name="_Toc427336533"/>
      <w:bookmarkStart w:id="357" w:name="_Toc427681823"/>
      <w:bookmarkStart w:id="358" w:name="_Toc433276755"/>
      <w:bookmarkStart w:id="359" w:name="_Toc433295718"/>
      <w:bookmarkStart w:id="360" w:name="_Toc433296443"/>
      <w:bookmarkStart w:id="361" w:name="_Toc437500873"/>
      <w:bookmarkStart w:id="362" w:name="_Toc437501532"/>
      <w:bookmarkStart w:id="363" w:name="_Toc437501712"/>
      <w:bookmarkStart w:id="364" w:name="_Toc437501802"/>
      <w:bookmarkStart w:id="365" w:name="_Toc437502565"/>
      <w:bookmarkStart w:id="366" w:name="_Toc437505924"/>
      <w:bookmarkStart w:id="367" w:name="_Toc437512737"/>
      <w:r>
        <w:rPr>
          <w:rFonts w:cs="Arial"/>
          <w:sz w:val="24"/>
          <w:szCs w:val="24"/>
        </w:rPr>
        <w:t>tarifas aplicadas a</w:t>
      </w:r>
      <w:r w:rsidR="0083557B" w:rsidRPr="00023977">
        <w:rPr>
          <w:rFonts w:cs="Arial"/>
          <w:sz w:val="24"/>
          <w:szCs w:val="24"/>
        </w:rPr>
        <w:t>l transporte por ductos de combustibles líquidos derivados del petróleo</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rsidR="0083557B" w:rsidRDefault="002B7903" w:rsidP="0083557B">
      <w:pPr>
        <w:widowControl w:val="0"/>
        <w:autoSpaceDE w:val="0"/>
        <w:autoSpaceDN w:val="0"/>
        <w:adjustRightInd w:val="0"/>
        <w:spacing w:before="100" w:after="100"/>
        <w:ind w:right="15"/>
        <w:rPr>
          <w:rFonts w:cs="Arial"/>
          <w:sz w:val="24"/>
        </w:rPr>
      </w:pPr>
      <w:r>
        <w:rPr>
          <w:rFonts w:cs="Arial"/>
          <w:sz w:val="24"/>
        </w:rPr>
        <w:t>El Ministerio de Minas y E</w:t>
      </w:r>
      <w:r w:rsidR="0083557B" w:rsidRPr="00023977">
        <w:rPr>
          <w:rFonts w:cs="Arial"/>
          <w:sz w:val="24"/>
        </w:rPr>
        <w:t xml:space="preserve">nergía ha establecido habitualmente las tarifas de remuneración al transporte a través del sistema de poliductos, </w:t>
      </w:r>
      <w:r w:rsidR="00D27941">
        <w:rPr>
          <w:rFonts w:cs="Arial"/>
          <w:sz w:val="24"/>
        </w:rPr>
        <w:t xml:space="preserve">en </w:t>
      </w:r>
      <w:r w:rsidR="0083557B" w:rsidRPr="00023977">
        <w:rPr>
          <w:rFonts w:cs="Arial"/>
          <w:sz w:val="24"/>
        </w:rPr>
        <w:t>resoluciones emitidas periódicamente. La Resolución 180088 de 2003, establece las tarifas de acuerdo con la siguiente tabla:</w:t>
      </w:r>
    </w:p>
    <w:p w:rsidR="00DD2AB3" w:rsidRPr="00023977" w:rsidRDefault="00DD2AB3" w:rsidP="0083557B">
      <w:pPr>
        <w:widowControl w:val="0"/>
        <w:autoSpaceDE w:val="0"/>
        <w:autoSpaceDN w:val="0"/>
        <w:adjustRightInd w:val="0"/>
        <w:spacing w:before="100" w:after="100"/>
        <w:ind w:right="15"/>
        <w:rPr>
          <w:rFonts w:cs="Arial"/>
          <w:sz w:val="24"/>
        </w:rPr>
      </w:pPr>
    </w:p>
    <w:tbl>
      <w:tblPr>
        <w:tblStyle w:val="Cuadrculaclara-nfasis1"/>
        <w:tblW w:w="92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0"/>
        <w:gridCol w:w="2399"/>
      </w:tblGrid>
      <w:tr w:rsidR="00DD2AB3" w:rsidRPr="00023977" w:rsidTr="00E90EA9">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9219" w:type="dxa"/>
            <w:gridSpan w:val="2"/>
            <w:tcBorders>
              <w:top w:val="none" w:sz="0" w:space="0" w:color="auto"/>
              <w:left w:val="none" w:sz="0" w:space="0" w:color="auto"/>
              <w:bottom w:val="none" w:sz="0" w:space="0" w:color="auto"/>
              <w:right w:val="none" w:sz="0" w:space="0" w:color="auto"/>
            </w:tcBorders>
            <w:noWrap/>
          </w:tcPr>
          <w:p w:rsidR="00DD2AB3" w:rsidRPr="00EA0CBD" w:rsidRDefault="00DD2AB3" w:rsidP="002F63E2">
            <w:pPr>
              <w:jc w:val="center"/>
              <w:rPr>
                <w:rFonts w:eastAsia="Calibri" w:cs="Arial"/>
                <w:b w:val="0"/>
                <w:color w:val="000000"/>
                <w:sz w:val="24"/>
                <w:lang w:eastAsia="es-CO"/>
              </w:rPr>
            </w:pPr>
            <w:bookmarkStart w:id="368" w:name="_Toc433276706"/>
            <w:bookmarkStart w:id="369" w:name="_Toc433295792"/>
            <w:bookmarkStart w:id="370" w:name="_Toc433296394"/>
            <w:bookmarkStart w:id="371" w:name="_Toc437512811"/>
            <w:r w:rsidRPr="00EA0CBD">
              <w:rPr>
                <w:rFonts w:cs="Arial"/>
                <w:b w:val="0"/>
              </w:rPr>
              <w:t xml:space="preserve">Tabla </w:t>
            </w:r>
            <w:r w:rsidRPr="00EA0CBD">
              <w:rPr>
                <w:rFonts w:cs="Arial"/>
              </w:rPr>
              <w:fldChar w:fldCharType="begin"/>
            </w:r>
            <w:r w:rsidRPr="00EA0CBD">
              <w:rPr>
                <w:rFonts w:cs="Arial"/>
                <w:b w:val="0"/>
              </w:rPr>
              <w:instrText xml:space="preserve"> SEQ Tabla \* ARABIC </w:instrText>
            </w:r>
            <w:r w:rsidRPr="00EA0CBD">
              <w:rPr>
                <w:rFonts w:cs="Arial"/>
              </w:rPr>
              <w:fldChar w:fldCharType="separate"/>
            </w:r>
            <w:r w:rsidR="00625BEB">
              <w:rPr>
                <w:rFonts w:cs="Arial"/>
                <w:b w:val="0"/>
                <w:noProof/>
              </w:rPr>
              <w:t>5</w:t>
            </w:r>
            <w:r w:rsidRPr="00EA0CBD">
              <w:rPr>
                <w:rFonts w:cs="Arial"/>
              </w:rPr>
              <w:fldChar w:fldCharType="end"/>
            </w:r>
            <w:r w:rsidRPr="00EA0CBD">
              <w:rPr>
                <w:rFonts w:cs="Arial"/>
                <w:b w:val="0"/>
              </w:rPr>
              <w:t xml:space="preserve"> Tarifas de transporte por poliductos resolución Minminas 180088 de 2003</w:t>
            </w:r>
            <w:bookmarkEnd w:id="368"/>
            <w:bookmarkEnd w:id="369"/>
            <w:bookmarkEnd w:id="370"/>
            <w:bookmarkEnd w:id="371"/>
          </w:p>
        </w:tc>
      </w:tr>
      <w:tr w:rsidR="0083557B" w:rsidRPr="00023977" w:rsidTr="00E90EA9">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noWrap/>
            <w:hideMark/>
          </w:tcPr>
          <w:p w:rsidR="0083557B" w:rsidRPr="00EA0CBD" w:rsidRDefault="0083557B" w:rsidP="002F63E2">
            <w:pPr>
              <w:jc w:val="center"/>
              <w:rPr>
                <w:rFonts w:cs="Arial"/>
                <w:b w:val="0"/>
                <w:color w:val="000000"/>
                <w:sz w:val="24"/>
                <w:lang w:val="es-CO" w:eastAsia="es-CO"/>
              </w:rPr>
            </w:pPr>
            <w:r w:rsidRPr="00EA0CBD">
              <w:rPr>
                <w:rFonts w:eastAsia="Calibri" w:cs="Arial"/>
                <w:b w:val="0"/>
                <w:color w:val="000000"/>
                <w:sz w:val="24"/>
                <w:lang w:eastAsia="es-CO"/>
              </w:rPr>
              <w:t>Ciudad de entrega</w:t>
            </w:r>
          </w:p>
        </w:tc>
        <w:tc>
          <w:tcPr>
            <w:tcW w:w="2399" w:type="dxa"/>
            <w:tcBorders>
              <w:top w:val="none" w:sz="0" w:space="0" w:color="auto"/>
              <w:left w:val="none" w:sz="0" w:space="0" w:color="auto"/>
              <w:bottom w:val="none" w:sz="0" w:space="0" w:color="auto"/>
              <w:right w:val="none" w:sz="0" w:space="0" w:color="auto"/>
            </w:tcBorders>
            <w:noWrap/>
            <w:hideMark/>
          </w:tcPr>
          <w:p w:rsidR="0083557B" w:rsidRPr="00EA0CBD" w:rsidRDefault="0083557B" w:rsidP="002F63E2">
            <w:pPr>
              <w:jc w:val="center"/>
              <w:cnfStyle w:val="100000000000" w:firstRow="1" w:lastRow="0" w:firstColumn="0" w:lastColumn="0" w:oddVBand="0" w:evenVBand="0" w:oddHBand="0" w:evenHBand="0" w:firstRowFirstColumn="0" w:firstRowLastColumn="0" w:lastRowFirstColumn="0" w:lastRowLastColumn="0"/>
              <w:rPr>
                <w:rFonts w:cs="Arial"/>
                <w:b w:val="0"/>
                <w:color w:val="000000"/>
                <w:sz w:val="24"/>
                <w:lang w:val="es-CO" w:eastAsia="es-CO"/>
              </w:rPr>
            </w:pPr>
            <w:r w:rsidRPr="00EA0CBD">
              <w:rPr>
                <w:rFonts w:eastAsia="Calibri" w:cs="Arial"/>
                <w:b w:val="0"/>
                <w:color w:val="000000"/>
                <w:sz w:val="24"/>
                <w:lang w:eastAsia="es-CO"/>
              </w:rPr>
              <w:t>Tarifa $/Galón</w:t>
            </w:r>
          </w:p>
        </w:tc>
      </w:tr>
      <w:tr w:rsidR="0083557B" w:rsidRPr="00023977" w:rsidTr="00E90E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Entrega en muelle en la refinería de Cartagena</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12</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Ciudades de Cartagena y Barrancabermeja</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15</w:t>
            </w:r>
          </w:p>
        </w:tc>
      </w:tr>
      <w:tr w:rsidR="0083557B" w:rsidRPr="00023977" w:rsidTr="00E90E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Cartagena–Baranoa para entrega en Baranoa</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50</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Pozos Colorados–Galán para entrega en Galán</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42</w:t>
            </w:r>
          </w:p>
        </w:tc>
      </w:tr>
      <w:tr w:rsidR="0083557B" w:rsidRPr="00023977" w:rsidTr="00E90E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Coveñas–Galán para entrega en Galán</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42</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Galán–Bucaramanga para entrega en Bucaramanga</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75</w:t>
            </w:r>
          </w:p>
        </w:tc>
      </w:tr>
      <w:tr w:rsidR="0083557B" w:rsidRPr="00023977" w:rsidTr="00E90E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Galán–Sebastopol para entrega en Sebastopol</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100</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Sebastopol–Medellín para entrega en Medellín</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96</w:t>
            </w:r>
          </w:p>
        </w:tc>
      </w:tr>
      <w:tr w:rsidR="0083557B" w:rsidRPr="00023977" w:rsidTr="00E90EA9">
        <w:trPr>
          <w:cnfStyle w:val="000000100000" w:firstRow="0" w:lastRow="0" w:firstColumn="0" w:lastColumn="0" w:oddVBand="0" w:evenVBand="0" w:oddHBand="1" w:evenHBand="0" w:firstRowFirstColumn="0" w:firstRowLastColumn="0" w:lastRowFirstColumn="0" w:lastRowLastColumn="0"/>
          <w:trHeight w:val="246"/>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Sebastopol–Salgar para entrega en Salgar y en Mariquita</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40</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Salgar–Mansilla para entrega en Mansilla</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19,07</w:t>
            </w:r>
          </w:p>
        </w:tc>
      </w:tr>
      <w:tr w:rsidR="0083557B" w:rsidRPr="00023977" w:rsidTr="00E90EA9">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lastRenderedPageBreak/>
              <w:t>Poliducto Mansilla–Bogotá para entrega en Bogotá (Puente Aranda</w:t>
            </w:r>
            <w:r w:rsidR="00741ACD" w:rsidRPr="00023977">
              <w:rPr>
                <w:rFonts w:eastAsia="Calibri" w:cs="Arial"/>
                <w:b w:val="0"/>
                <w:color w:val="000000"/>
                <w:sz w:val="24"/>
                <w:lang w:eastAsia="es-CO"/>
              </w:rPr>
              <w:t xml:space="preserve"> o Aeropuerto El Dorado para JET</w:t>
            </w:r>
            <w:r w:rsidRPr="00023977">
              <w:rPr>
                <w:rFonts w:eastAsia="Calibri" w:cs="Arial"/>
                <w:b w:val="0"/>
                <w:color w:val="000000"/>
                <w:sz w:val="24"/>
                <w:lang w:eastAsia="es-CO"/>
              </w:rPr>
              <w:t xml:space="preserve"> A1)</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47,68</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Sebastopol–Tocancipá para entrega en Tocancipá</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106,75</w:t>
            </w:r>
          </w:p>
        </w:tc>
      </w:tr>
      <w:tr w:rsidR="0083557B" w:rsidRPr="00023977" w:rsidTr="00E90E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Medellín–Cartago para entrega en Cartago</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14</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Sistema Odeca para entrega en Manizales, Pereira y Cartago</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70</w:t>
            </w:r>
          </w:p>
        </w:tc>
      </w:tr>
      <w:tr w:rsidR="0083557B" w:rsidRPr="00023977" w:rsidTr="00E90E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Cartago–Yumbo para entrega en Yumbo</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14</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Buenaventura–Yumbo para entrega en Yumbo</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67</w:t>
            </w:r>
          </w:p>
        </w:tc>
      </w:tr>
      <w:tr w:rsidR="0083557B" w:rsidRPr="00023977" w:rsidTr="00E90EA9">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Salgar–Gualanday para entrega en Gualanday</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27,5</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820" w:type="dxa"/>
            <w:tcBorders>
              <w:top w:val="none" w:sz="0" w:space="0" w:color="auto"/>
              <w:left w:val="none" w:sz="0" w:space="0" w:color="auto"/>
              <w:bottom w:val="none" w:sz="0" w:space="0" w:color="auto"/>
              <w:right w:val="none" w:sz="0" w:space="0" w:color="auto"/>
            </w:tcBorders>
            <w:shd w:val="clear" w:color="auto" w:fill="auto"/>
            <w:vAlign w:val="center"/>
            <w:hideMark/>
          </w:tcPr>
          <w:p w:rsidR="0083557B" w:rsidRPr="00023977" w:rsidRDefault="0083557B" w:rsidP="007308C4">
            <w:pPr>
              <w:rPr>
                <w:rFonts w:cs="Arial"/>
                <w:b w:val="0"/>
                <w:color w:val="000000"/>
                <w:sz w:val="24"/>
                <w:lang w:val="es-CO" w:eastAsia="es-CO"/>
              </w:rPr>
            </w:pPr>
            <w:r w:rsidRPr="00023977">
              <w:rPr>
                <w:rFonts w:eastAsia="Calibri" w:cs="Arial"/>
                <w:b w:val="0"/>
                <w:color w:val="000000"/>
                <w:sz w:val="24"/>
                <w:lang w:eastAsia="es-CO"/>
              </w:rPr>
              <w:t>Poliducto Gualanday–Neiva para entrega en Neiva</w:t>
            </w:r>
          </w:p>
        </w:tc>
        <w:tc>
          <w:tcPr>
            <w:tcW w:w="2399" w:type="dxa"/>
            <w:tcBorders>
              <w:top w:val="none" w:sz="0" w:space="0" w:color="auto"/>
              <w:left w:val="none" w:sz="0" w:space="0" w:color="auto"/>
              <w:bottom w:val="none" w:sz="0" w:space="0" w:color="auto"/>
              <w:right w:val="none" w:sz="0" w:space="0" w:color="auto"/>
            </w:tcBorders>
            <w:shd w:val="clear" w:color="auto" w:fill="auto"/>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26</w:t>
            </w:r>
          </w:p>
        </w:tc>
      </w:tr>
    </w:tbl>
    <w:p w:rsidR="0083557B" w:rsidRPr="00023977" w:rsidRDefault="0083557B" w:rsidP="0083557B">
      <w:pPr>
        <w:rPr>
          <w:rFonts w:cs="Arial"/>
          <w:sz w:val="24"/>
        </w:rPr>
      </w:pPr>
    </w:p>
    <w:p w:rsidR="0083557B" w:rsidRDefault="00D27941" w:rsidP="0083557B">
      <w:pPr>
        <w:rPr>
          <w:rFonts w:cs="Arial"/>
          <w:sz w:val="24"/>
        </w:rPr>
      </w:pPr>
      <w:r>
        <w:rPr>
          <w:rFonts w:cs="Arial"/>
          <w:sz w:val="24"/>
        </w:rPr>
        <w:t>La R</w:t>
      </w:r>
      <w:r w:rsidR="0083557B" w:rsidRPr="00023977">
        <w:rPr>
          <w:rFonts w:cs="Arial"/>
          <w:sz w:val="24"/>
        </w:rPr>
        <w:t xml:space="preserve">esolución 180088 de 2003 además establece que los valores para determinados poliductos se debían actualizar durante el año 2003 de acuerdo a la tabla siguiente, con el fin de mitigar las variaciones en los precios de las ciudades abastecidas por dichos tramos: </w:t>
      </w:r>
    </w:p>
    <w:p w:rsidR="00DD2AB3" w:rsidRPr="00DD2AB3" w:rsidRDefault="00DD2AB3" w:rsidP="0083557B">
      <w:pPr>
        <w:rPr>
          <w:rFonts w:cs="Arial"/>
          <w:b/>
          <w:sz w:val="24"/>
        </w:rPr>
      </w:pPr>
    </w:p>
    <w:tbl>
      <w:tblPr>
        <w:tblStyle w:val="Cuadrculaclara-nfasis1"/>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06"/>
        <w:gridCol w:w="1559"/>
        <w:gridCol w:w="1648"/>
        <w:gridCol w:w="1665"/>
      </w:tblGrid>
      <w:tr w:rsidR="00DD2AB3" w:rsidRPr="00DD2AB3" w:rsidTr="00E90EA9">
        <w:trPr>
          <w:cnfStyle w:val="000000010000" w:firstRow="0" w:lastRow="0" w:firstColumn="0" w:lastColumn="0" w:oddVBand="0" w:evenVBand="0" w:oddHBand="0" w:evenHBand="1" w:firstRowFirstColumn="0" w:firstRowLastColumn="0" w:lastRowFirstColumn="0" w:lastRowLastColumn="0"/>
          <w:trHeight w:val="315"/>
          <w:tblHeader/>
          <w:jc w:val="center"/>
        </w:trPr>
        <w:tc>
          <w:tcPr>
            <w:cnfStyle w:val="000010000000" w:firstRow="0" w:lastRow="0" w:firstColumn="0" w:lastColumn="0" w:oddVBand="1" w:evenVBand="0" w:oddHBand="0" w:evenHBand="0" w:firstRowFirstColumn="0" w:firstRowLastColumn="0" w:lastRowFirstColumn="0" w:lastRowLastColumn="0"/>
            <w:tcW w:w="9178" w:type="dxa"/>
            <w:gridSpan w:val="4"/>
            <w:tcBorders>
              <w:top w:val="none" w:sz="0" w:space="0" w:color="auto"/>
              <w:left w:val="none" w:sz="0" w:space="0" w:color="auto"/>
              <w:bottom w:val="none" w:sz="0" w:space="0" w:color="auto"/>
              <w:right w:val="none" w:sz="0" w:space="0" w:color="auto"/>
            </w:tcBorders>
            <w:shd w:val="clear" w:color="auto" w:fill="auto"/>
            <w:vAlign w:val="center"/>
          </w:tcPr>
          <w:p w:rsidR="00DD2AB3" w:rsidRPr="00EA0CBD" w:rsidRDefault="00DD2AB3" w:rsidP="002F63E2">
            <w:pPr>
              <w:widowControl w:val="0"/>
              <w:autoSpaceDE w:val="0"/>
              <w:autoSpaceDN w:val="0"/>
              <w:adjustRightInd w:val="0"/>
              <w:jc w:val="center"/>
              <w:rPr>
                <w:rFonts w:cs="Arial"/>
                <w:bCs/>
                <w:sz w:val="24"/>
              </w:rPr>
            </w:pPr>
            <w:bookmarkStart w:id="372" w:name="_Toc437512812"/>
            <w:r w:rsidRPr="00EA0CBD">
              <w:rPr>
                <w:rFonts w:cs="Arial"/>
                <w:bCs/>
                <w:sz w:val="24"/>
              </w:rPr>
              <w:t xml:space="preserve">Tabla </w:t>
            </w:r>
            <w:r w:rsidRPr="00EA0CBD">
              <w:rPr>
                <w:rFonts w:cs="Arial"/>
                <w:bCs/>
                <w:sz w:val="24"/>
              </w:rPr>
              <w:fldChar w:fldCharType="begin"/>
            </w:r>
            <w:r w:rsidRPr="00EA0CBD">
              <w:rPr>
                <w:rFonts w:cs="Arial"/>
                <w:bCs/>
                <w:sz w:val="24"/>
              </w:rPr>
              <w:instrText xml:space="preserve"> SEQ Tabla \* ARABIC </w:instrText>
            </w:r>
            <w:r w:rsidRPr="00EA0CBD">
              <w:rPr>
                <w:rFonts w:cs="Arial"/>
                <w:bCs/>
                <w:sz w:val="24"/>
              </w:rPr>
              <w:fldChar w:fldCharType="separate"/>
            </w:r>
            <w:r w:rsidR="00625BEB">
              <w:rPr>
                <w:rFonts w:cs="Arial"/>
                <w:bCs/>
                <w:noProof/>
                <w:sz w:val="24"/>
              </w:rPr>
              <w:t>6</w:t>
            </w:r>
            <w:r w:rsidRPr="00EA0CBD">
              <w:rPr>
                <w:rFonts w:cs="Arial"/>
                <w:bCs/>
                <w:sz w:val="24"/>
              </w:rPr>
              <w:fldChar w:fldCharType="end"/>
            </w:r>
            <w:r w:rsidRPr="00EA0CBD">
              <w:rPr>
                <w:rFonts w:cs="Arial"/>
                <w:bCs/>
                <w:sz w:val="24"/>
              </w:rPr>
              <w:t xml:space="preserve"> Actualización tarifas resolución Minminas 180088 de 2003</w:t>
            </w:r>
            <w:bookmarkEnd w:id="372"/>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315"/>
          <w:tblHeader/>
          <w:jc w:val="center"/>
        </w:trPr>
        <w:tc>
          <w:tcPr>
            <w:cnfStyle w:val="000010000000" w:firstRow="0" w:lastRow="0" w:firstColumn="0" w:lastColumn="0" w:oddVBand="1" w:evenVBand="0" w:oddHBand="0" w:evenHBand="0" w:firstRowFirstColumn="0" w:firstRowLastColumn="0" w:lastRowFirstColumn="0" w:lastRowLastColumn="0"/>
            <w:tcW w:w="4306" w:type="dxa"/>
            <w:vMerge w:val="restart"/>
            <w:tcBorders>
              <w:top w:val="none" w:sz="0" w:space="0" w:color="auto"/>
              <w:left w:val="none" w:sz="0" w:space="0" w:color="auto"/>
              <w:bottom w:val="none" w:sz="0" w:space="0" w:color="auto"/>
              <w:right w:val="none" w:sz="0" w:space="0" w:color="auto"/>
            </w:tcBorders>
            <w:shd w:val="clear" w:color="auto" w:fill="auto"/>
            <w:vAlign w:val="center"/>
          </w:tcPr>
          <w:p w:rsidR="0083557B" w:rsidRPr="00EA0CBD" w:rsidRDefault="0083557B" w:rsidP="002F63E2">
            <w:pPr>
              <w:widowControl w:val="0"/>
              <w:autoSpaceDE w:val="0"/>
              <w:autoSpaceDN w:val="0"/>
              <w:adjustRightInd w:val="0"/>
              <w:jc w:val="center"/>
              <w:rPr>
                <w:rFonts w:cs="Arial"/>
                <w:bCs/>
                <w:sz w:val="24"/>
              </w:rPr>
            </w:pPr>
            <w:r w:rsidRPr="00EA0CBD">
              <w:rPr>
                <w:rFonts w:cs="Arial"/>
                <w:bCs/>
                <w:sz w:val="24"/>
              </w:rPr>
              <w:t>Ciudad de entrega</w:t>
            </w:r>
          </w:p>
        </w:tc>
        <w:tc>
          <w:tcPr>
            <w:tcW w:w="4872" w:type="dxa"/>
            <w:gridSpan w:val="3"/>
            <w:tcBorders>
              <w:top w:val="none" w:sz="0" w:space="0" w:color="auto"/>
              <w:left w:val="none" w:sz="0" w:space="0" w:color="auto"/>
              <w:bottom w:val="none" w:sz="0" w:space="0" w:color="auto"/>
              <w:right w:val="none" w:sz="0" w:space="0" w:color="auto"/>
            </w:tcBorders>
            <w:shd w:val="clear" w:color="auto" w:fill="auto"/>
          </w:tcPr>
          <w:p w:rsidR="0083557B" w:rsidRPr="00EA0CBD" w:rsidRDefault="0083557B" w:rsidP="002F63E2">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bCs/>
                <w:sz w:val="24"/>
              </w:rPr>
            </w:pPr>
            <w:r w:rsidRPr="00EA0CBD">
              <w:rPr>
                <w:rFonts w:cs="Arial"/>
                <w:bCs/>
                <w:sz w:val="24"/>
              </w:rPr>
              <w:t>Tarifa equivalente en $/galón</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148"/>
          <w:tblHeader/>
          <w:jc w:val="center"/>
        </w:trPr>
        <w:tc>
          <w:tcPr>
            <w:cnfStyle w:val="000010000000" w:firstRow="0" w:lastRow="0" w:firstColumn="0" w:lastColumn="0" w:oddVBand="1" w:evenVBand="0" w:oddHBand="0" w:evenHBand="0" w:firstRowFirstColumn="0" w:firstRowLastColumn="0" w:lastRowFirstColumn="0" w:lastRowLastColumn="0"/>
            <w:tcW w:w="4306" w:type="dxa"/>
            <w:vMerge/>
            <w:tcBorders>
              <w:top w:val="none" w:sz="0" w:space="0" w:color="auto"/>
              <w:left w:val="none" w:sz="0" w:space="0" w:color="auto"/>
              <w:bottom w:val="none" w:sz="0" w:space="0" w:color="auto"/>
              <w:right w:val="none" w:sz="0" w:space="0" w:color="auto"/>
            </w:tcBorders>
            <w:shd w:val="clear" w:color="auto" w:fill="auto"/>
          </w:tcPr>
          <w:p w:rsidR="0083557B" w:rsidRPr="00EA0CBD" w:rsidRDefault="0083557B" w:rsidP="002F63E2">
            <w:pPr>
              <w:widowControl w:val="0"/>
              <w:autoSpaceDE w:val="0"/>
              <w:autoSpaceDN w:val="0"/>
              <w:adjustRightInd w:val="0"/>
              <w:rPr>
                <w:rFonts w:cs="Arial"/>
                <w:bCs/>
                <w:sz w:val="24"/>
              </w:rPr>
            </w:pP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3557B" w:rsidRPr="00EA0CBD" w:rsidRDefault="0083557B" w:rsidP="00D66608">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bCs/>
                <w:sz w:val="24"/>
              </w:rPr>
            </w:pPr>
            <w:r w:rsidRPr="00EA0CBD">
              <w:rPr>
                <w:rFonts w:cs="Arial"/>
                <w:bCs/>
                <w:sz w:val="24"/>
              </w:rPr>
              <w:t>Mayo 2003</w:t>
            </w:r>
          </w:p>
        </w:tc>
        <w:tc>
          <w:tcPr>
            <w:cnfStyle w:val="000010000000" w:firstRow="0" w:lastRow="0" w:firstColumn="0" w:lastColumn="0" w:oddVBand="1" w:evenVBand="0" w:oddHBand="0" w:evenHBand="0" w:firstRowFirstColumn="0" w:firstRowLastColumn="0" w:lastRowFirstColumn="0" w:lastRowLastColumn="0"/>
            <w:tcW w:w="1648" w:type="dxa"/>
            <w:tcBorders>
              <w:top w:val="none" w:sz="0" w:space="0" w:color="auto"/>
              <w:left w:val="none" w:sz="0" w:space="0" w:color="auto"/>
              <w:bottom w:val="none" w:sz="0" w:space="0" w:color="auto"/>
              <w:right w:val="none" w:sz="0" w:space="0" w:color="auto"/>
            </w:tcBorders>
            <w:shd w:val="clear" w:color="auto" w:fill="auto"/>
            <w:vAlign w:val="center"/>
          </w:tcPr>
          <w:p w:rsidR="0083557B" w:rsidRPr="00EA0CBD" w:rsidRDefault="0083557B" w:rsidP="00D66608">
            <w:pPr>
              <w:widowControl w:val="0"/>
              <w:autoSpaceDE w:val="0"/>
              <w:autoSpaceDN w:val="0"/>
              <w:adjustRightInd w:val="0"/>
              <w:jc w:val="center"/>
              <w:rPr>
                <w:rFonts w:cs="Arial"/>
                <w:bCs/>
                <w:sz w:val="24"/>
              </w:rPr>
            </w:pPr>
            <w:r w:rsidRPr="00EA0CBD">
              <w:rPr>
                <w:rFonts w:cs="Arial"/>
                <w:bCs/>
                <w:sz w:val="24"/>
              </w:rPr>
              <w:t>Agosto 2003</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rsidR="0083557B" w:rsidRPr="00EA0CBD" w:rsidRDefault="0083557B" w:rsidP="00D66608">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bCs/>
                <w:sz w:val="24"/>
              </w:rPr>
            </w:pPr>
            <w:r w:rsidRPr="00EA0CBD">
              <w:rPr>
                <w:rFonts w:cs="Arial"/>
                <w:bCs/>
                <w:sz w:val="24"/>
              </w:rPr>
              <w:t>Nov. 2003</w:t>
            </w:r>
          </w:p>
        </w:tc>
      </w:tr>
      <w:tr w:rsidR="0083557B" w:rsidRPr="00023977" w:rsidTr="00E90EA9">
        <w:trPr>
          <w:cnfStyle w:val="000000100000" w:firstRow="0" w:lastRow="0" w:firstColumn="0" w:lastColumn="0" w:oddVBand="0" w:evenVBand="0" w:oddHBand="1" w:evenHBand="0" w:firstRowFirstColumn="0" w:firstRowLastColumn="0" w:lastRowFirstColumn="0" w:lastRowLastColumn="0"/>
          <w:trHeight w:val="256"/>
          <w:jc w:val="center"/>
        </w:trPr>
        <w:tc>
          <w:tcPr>
            <w:cnfStyle w:val="000010000000" w:firstRow="0" w:lastRow="0" w:firstColumn="0" w:lastColumn="0" w:oddVBand="1" w:evenVBand="0" w:oddHBand="0" w:evenHBand="0" w:firstRowFirstColumn="0" w:firstRowLastColumn="0" w:lastRowFirstColumn="0" w:lastRowLastColumn="0"/>
            <w:tcW w:w="4306"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A007D4">
            <w:pPr>
              <w:widowControl w:val="0"/>
              <w:autoSpaceDE w:val="0"/>
              <w:autoSpaceDN w:val="0"/>
              <w:adjustRightInd w:val="0"/>
              <w:jc w:val="left"/>
              <w:rPr>
                <w:rFonts w:cs="Arial"/>
                <w:sz w:val="24"/>
              </w:rPr>
            </w:pPr>
            <w:r w:rsidRPr="00023977">
              <w:rPr>
                <w:rFonts w:cs="Arial"/>
                <w:sz w:val="24"/>
              </w:rPr>
              <w:t>Salgar–Mansilla para entrega en Mansilla</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4"/>
              </w:rPr>
            </w:pPr>
            <w:r w:rsidRPr="00023977">
              <w:rPr>
                <w:rFonts w:cs="Arial"/>
                <w:sz w:val="24"/>
              </w:rPr>
              <w:t>21,11</w:t>
            </w:r>
          </w:p>
        </w:tc>
        <w:tc>
          <w:tcPr>
            <w:cnfStyle w:val="000010000000" w:firstRow="0" w:lastRow="0" w:firstColumn="0" w:lastColumn="0" w:oddVBand="1" w:evenVBand="0" w:oddHBand="0" w:evenHBand="0" w:firstRowFirstColumn="0" w:firstRowLastColumn="0" w:lastRowFirstColumn="0" w:lastRowLastColumn="0"/>
            <w:tcW w:w="1648"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rPr>
                <w:rFonts w:cs="Arial"/>
                <w:sz w:val="24"/>
              </w:rPr>
            </w:pPr>
            <w:r w:rsidRPr="00023977">
              <w:rPr>
                <w:rFonts w:cs="Arial"/>
                <w:sz w:val="24"/>
              </w:rPr>
              <w:t>23,39</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4"/>
              </w:rPr>
            </w:pPr>
            <w:r w:rsidRPr="00023977">
              <w:rPr>
                <w:rFonts w:cs="Arial"/>
                <w:sz w:val="24"/>
              </w:rPr>
              <w:t>25,43</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531"/>
          <w:jc w:val="center"/>
        </w:trPr>
        <w:tc>
          <w:tcPr>
            <w:cnfStyle w:val="000010000000" w:firstRow="0" w:lastRow="0" w:firstColumn="0" w:lastColumn="0" w:oddVBand="1" w:evenVBand="0" w:oddHBand="0" w:evenHBand="0" w:firstRowFirstColumn="0" w:firstRowLastColumn="0" w:lastRowFirstColumn="0" w:lastRowLastColumn="0"/>
            <w:tcW w:w="4306"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A007D4">
            <w:pPr>
              <w:widowControl w:val="0"/>
              <w:autoSpaceDE w:val="0"/>
              <w:autoSpaceDN w:val="0"/>
              <w:adjustRightInd w:val="0"/>
              <w:jc w:val="left"/>
              <w:rPr>
                <w:rFonts w:cs="Arial"/>
                <w:sz w:val="24"/>
              </w:rPr>
            </w:pPr>
            <w:r w:rsidRPr="00023977">
              <w:rPr>
                <w:rFonts w:cs="Arial"/>
                <w:sz w:val="24"/>
              </w:rPr>
              <w:t>Mansilla–Bogotá para entrega en Bogotá (Puente Aranda)</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4"/>
              </w:rPr>
            </w:pPr>
            <w:r w:rsidRPr="00023977">
              <w:rPr>
                <w:rFonts w:cs="Arial"/>
                <w:sz w:val="24"/>
              </w:rPr>
              <w:t>52,76</w:t>
            </w:r>
          </w:p>
        </w:tc>
        <w:tc>
          <w:tcPr>
            <w:cnfStyle w:val="000010000000" w:firstRow="0" w:lastRow="0" w:firstColumn="0" w:lastColumn="0" w:oddVBand="1" w:evenVBand="0" w:oddHBand="0" w:evenHBand="0" w:firstRowFirstColumn="0" w:firstRowLastColumn="0" w:lastRowFirstColumn="0" w:lastRowLastColumn="0"/>
            <w:tcW w:w="1648"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rPr>
                <w:rFonts w:cs="Arial"/>
                <w:sz w:val="24"/>
              </w:rPr>
            </w:pPr>
            <w:r w:rsidRPr="00023977">
              <w:rPr>
                <w:rFonts w:cs="Arial"/>
                <w:sz w:val="24"/>
              </w:rPr>
              <w:t>58,49</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4"/>
              </w:rPr>
            </w:pPr>
            <w:r w:rsidRPr="00023977">
              <w:rPr>
                <w:rFonts w:cs="Arial"/>
                <w:sz w:val="24"/>
              </w:rPr>
              <w:t>63,57</w:t>
            </w:r>
          </w:p>
        </w:tc>
      </w:tr>
      <w:tr w:rsidR="0083557B" w:rsidRPr="00023977" w:rsidTr="00E90EA9">
        <w:trPr>
          <w:cnfStyle w:val="000000100000" w:firstRow="0" w:lastRow="0" w:firstColumn="0" w:lastColumn="0" w:oddVBand="0" w:evenVBand="0" w:oddHBand="1" w:evenHBand="0" w:firstRowFirstColumn="0" w:firstRowLastColumn="0" w:lastRowFirstColumn="0" w:lastRowLastColumn="0"/>
          <w:trHeight w:val="531"/>
          <w:jc w:val="center"/>
        </w:trPr>
        <w:tc>
          <w:tcPr>
            <w:cnfStyle w:val="000010000000" w:firstRow="0" w:lastRow="0" w:firstColumn="0" w:lastColumn="0" w:oddVBand="1" w:evenVBand="0" w:oddHBand="0" w:evenHBand="0" w:firstRowFirstColumn="0" w:firstRowLastColumn="0" w:lastRowFirstColumn="0" w:lastRowLastColumn="0"/>
            <w:tcW w:w="4306"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A007D4">
            <w:pPr>
              <w:widowControl w:val="0"/>
              <w:autoSpaceDE w:val="0"/>
              <w:autoSpaceDN w:val="0"/>
              <w:adjustRightInd w:val="0"/>
              <w:jc w:val="left"/>
              <w:rPr>
                <w:rFonts w:cs="Arial"/>
                <w:sz w:val="24"/>
              </w:rPr>
            </w:pPr>
            <w:r w:rsidRPr="00023977">
              <w:rPr>
                <w:rFonts w:cs="Arial"/>
                <w:sz w:val="24"/>
              </w:rPr>
              <w:t>Sebastopol–-Tocancipá para entrega en Tocancipá</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4"/>
              </w:rPr>
            </w:pPr>
            <w:r w:rsidRPr="00023977">
              <w:rPr>
                <w:rFonts w:cs="Arial"/>
                <w:sz w:val="24"/>
              </w:rPr>
              <w:t>113,87</w:t>
            </w:r>
          </w:p>
        </w:tc>
        <w:tc>
          <w:tcPr>
            <w:cnfStyle w:val="000010000000" w:firstRow="0" w:lastRow="0" w:firstColumn="0" w:lastColumn="0" w:oddVBand="1" w:evenVBand="0" w:oddHBand="0" w:evenHBand="0" w:firstRowFirstColumn="0" w:firstRowLastColumn="0" w:lastRowFirstColumn="0" w:lastRowLastColumn="0"/>
            <w:tcW w:w="1648"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rPr>
                <w:rFonts w:cs="Arial"/>
                <w:sz w:val="24"/>
              </w:rPr>
            </w:pPr>
            <w:r w:rsidRPr="00023977">
              <w:rPr>
                <w:rFonts w:cs="Arial"/>
                <w:sz w:val="24"/>
              </w:rPr>
              <w:t>121,88</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4"/>
              </w:rPr>
            </w:pPr>
            <w:r w:rsidRPr="00023977">
              <w:rPr>
                <w:rFonts w:cs="Arial"/>
                <w:sz w:val="24"/>
              </w:rPr>
              <w:t>129</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256"/>
          <w:jc w:val="center"/>
        </w:trPr>
        <w:tc>
          <w:tcPr>
            <w:cnfStyle w:val="000010000000" w:firstRow="0" w:lastRow="0" w:firstColumn="0" w:lastColumn="0" w:oddVBand="1" w:evenVBand="0" w:oddHBand="0" w:evenHBand="0" w:firstRowFirstColumn="0" w:firstRowLastColumn="0" w:lastRowFirstColumn="0" w:lastRowLastColumn="0"/>
            <w:tcW w:w="4306"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A007D4">
            <w:pPr>
              <w:widowControl w:val="0"/>
              <w:autoSpaceDE w:val="0"/>
              <w:autoSpaceDN w:val="0"/>
              <w:adjustRightInd w:val="0"/>
              <w:jc w:val="left"/>
              <w:rPr>
                <w:rFonts w:cs="Arial"/>
                <w:sz w:val="24"/>
              </w:rPr>
            </w:pPr>
            <w:r w:rsidRPr="00023977">
              <w:rPr>
                <w:rFonts w:cs="Arial"/>
                <w:sz w:val="24"/>
              </w:rPr>
              <w:t>Medellín–Cartago para entrega en Cartago</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4"/>
              </w:rPr>
            </w:pPr>
            <w:r w:rsidRPr="00023977">
              <w:rPr>
                <w:rFonts w:cs="Arial"/>
                <w:sz w:val="24"/>
              </w:rPr>
              <w:t>18,76</w:t>
            </w:r>
          </w:p>
        </w:tc>
        <w:tc>
          <w:tcPr>
            <w:cnfStyle w:val="000010000000" w:firstRow="0" w:lastRow="0" w:firstColumn="0" w:lastColumn="0" w:oddVBand="1" w:evenVBand="0" w:oddHBand="0" w:evenHBand="0" w:firstRowFirstColumn="0" w:firstRowLastColumn="0" w:lastRowFirstColumn="0" w:lastRowLastColumn="0"/>
            <w:tcW w:w="1648"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rPr>
                <w:rFonts w:cs="Arial"/>
                <w:sz w:val="24"/>
              </w:rPr>
            </w:pPr>
            <w:r w:rsidRPr="00023977">
              <w:rPr>
                <w:rFonts w:cs="Arial"/>
                <w:sz w:val="24"/>
              </w:rPr>
              <w:t>23,24</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4"/>
              </w:rPr>
            </w:pPr>
            <w:r w:rsidRPr="00023977">
              <w:rPr>
                <w:rFonts w:cs="Arial"/>
                <w:sz w:val="24"/>
              </w:rPr>
              <w:t>28</w:t>
            </w:r>
          </w:p>
        </w:tc>
      </w:tr>
      <w:tr w:rsidR="0083557B" w:rsidRPr="00023977" w:rsidTr="00E90EA9">
        <w:trPr>
          <w:cnfStyle w:val="000000100000" w:firstRow="0" w:lastRow="0" w:firstColumn="0" w:lastColumn="0" w:oddVBand="0" w:evenVBand="0" w:oddHBand="1" w:evenHBand="0" w:firstRowFirstColumn="0" w:firstRowLastColumn="0" w:lastRowFirstColumn="0" w:lastRowLastColumn="0"/>
          <w:trHeight w:val="531"/>
          <w:jc w:val="center"/>
        </w:trPr>
        <w:tc>
          <w:tcPr>
            <w:cnfStyle w:val="000010000000" w:firstRow="0" w:lastRow="0" w:firstColumn="0" w:lastColumn="0" w:oddVBand="1" w:evenVBand="0" w:oddHBand="0" w:evenHBand="0" w:firstRowFirstColumn="0" w:firstRowLastColumn="0" w:lastRowFirstColumn="0" w:lastRowLastColumn="0"/>
            <w:tcW w:w="4306"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A007D4">
            <w:pPr>
              <w:widowControl w:val="0"/>
              <w:autoSpaceDE w:val="0"/>
              <w:autoSpaceDN w:val="0"/>
              <w:adjustRightInd w:val="0"/>
              <w:jc w:val="left"/>
              <w:rPr>
                <w:rFonts w:cs="Arial"/>
                <w:sz w:val="24"/>
              </w:rPr>
            </w:pPr>
            <w:r w:rsidRPr="00023977">
              <w:rPr>
                <w:rFonts w:cs="Arial"/>
                <w:sz w:val="24"/>
              </w:rPr>
              <w:t>Sistema Odeca entrega en Manizales, Pereira y Cartago</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4"/>
              </w:rPr>
            </w:pPr>
            <w:r w:rsidRPr="00023977">
              <w:rPr>
                <w:rFonts w:cs="Arial"/>
                <w:sz w:val="24"/>
              </w:rPr>
              <w:t>74,76</w:t>
            </w:r>
          </w:p>
        </w:tc>
        <w:tc>
          <w:tcPr>
            <w:cnfStyle w:val="000010000000" w:firstRow="0" w:lastRow="0" w:firstColumn="0" w:lastColumn="0" w:oddVBand="1" w:evenVBand="0" w:oddHBand="0" w:evenHBand="0" w:firstRowFirstColumn="0" w:firstRowLastColumn="0" w:lastRowFirstColumn="0" w:lastRowLastColumn="0"/>
            <w:tcW w:w="1648"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rPr>
                <w:rFonts w:cs="Arial"/>
                <w:sz w:val="24"/>
              </w:rPr>
            </w:pPr>
            <w:r w:rsidRPr="00023977">
              <w:rPr>
                <w:rFonts w:cs="Arial"/>
                <w:sz w:val="24"/>
              </w:rPr>
              <w:t>79,24</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4"/>
              </w:rPr>
            </w:pPr>
            <w:r w:rsidRPr="00023977">
              <w:rPr>
                <w:rFonts w:cs="Arial"/>
                <w:sz w:val="24"/>
              </w:rPr>
              <w:t>84</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256"/>
          <w:jc w:val="center"/>
        </w:trPr>
        <w:tc>
          <w:tcPr>
            <w:cnfStyle w:val="000010000000" w:firstRow="0" w:lastRow="0" w:firstColumn="0" w:lastColumn="0" w:oddVBand="1" w:evenVBand="0" w:oddHBand="0" w:evenHBand="0" w:firstRowFirstColumn="0" w:firstRowLastColumn="0" w:lastRowFirstColumn="0" w:lastRowLastColumn="0"/>
            <w:tcW w:w="4306"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A007D4">
            <w:pPr>
              <w:widowControl w:val="0"/>
              <w:autoSpaceDE w:val="0"/>
              <w:autoSpaceDN w:val="0"/>
              <w:adjustRightInd w:val="0"/>
              <w:jc w:val="left"/>
              <w:rPr>
                <w:rFonts w:cs="Arial"/>
                <w:sz w:val="24"/>
              </w:rPr>
            </w:pPr>
            <w:r w:rsidRPr="00023977">
              <w:rPr>
                <w:rFonts w:cs="Arial"/>
                <w:sz w:val="24"/>
              </w:rPr>
              <w:t>Cartago–Yumbo para entrega en Yumbo</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4"/>
              </w:rPr>
            </w:pPr>
            <w:r w:rsidRPr="00023977">
              <w:rPr>
                <w:rFonts w:cs="Arial"/>
                <w:sz w:val="24"/>
              </w:rPr>
              <w:t>18,76</w:t>
            </w:r>
          </w:p>
        </w:tc>
        <w:tc>
          <w:tcPr>
            <w:cnfStyle w:val="000010000000" w:firstRow="0" w:lastRow="0" w:firstColumn="0" w:lastColumn="0" w:oddVBand="1" w:evenVBand="0" w:oddHBand="0" w:evenHBand="0" w:firstRowFirstColumn="0" w:firstRowLastColumn="0" w:lastRowFirstColumn="0" w:lastRowLastColumn="0"/>
            <w:tcW w:w="1648"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rPr>
                <w:rFonts w:cs="Arial"/>
                <w:sz w:val="24"/>
              </w:rPr>
            </w:pPr>
            <w:r w:rsidRPr="00023977">
              <w:rPr>
                <w:rFonts w:cs="Arial"/>
                <w:sz w:val="24"/>
              </w:rPr>
              <w:t>23,24</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4"/>
              </w:rPr>
            </w:pPr>
            <w:r w:rsidRPr="00023977">
              <w:rPr>
                <w:rFonts w:cs="Arial"/>
                <w:sz w:val="24"/>
              </w:rPr>
              <w:t>28</w:t>
            </w:r>
          </w:p>
        </w:tc>
      </w:tr>
      <w:tr w:rsidR="0083557B" w:rsidRPr="00023977" w:rsidTr="00E90EA9">
        <w:trPr>
          <w:cnfStyle w:val="000000100000" w:firstRow="0" w:lastRow="0" w:firstColumn="0" w:lastColumn="0" w:oddVBand="0" w:evenVBand="0" w:oddHBand="1" w:evenHBand="0" w:firstRowFirstColumn="0" w:firstRowLastColumn="0" w:lastRowFirstColumn="0" w:lastRowLastColumn="0"/>
          <w:trHeight w:val="446"/>
          <w:jc w:val="center"/>
        </w:trPr>
        <w:tc>
          <w:tcPr>
            <w:cnfStyle w:val="000010000000" w:firstRow="0" w:lastRow="0" w:firstColumn="0" w:lastColumn="0" w:oddVBand="1" w:evenVBand="0" w:oddHBand="0" w:evenHBand="0" w:firstRowFirstColumn="0" w:firstRowLastColumn="0" w:lastRowFirstColumn="0" w:lastRowLastColumn="0"/>
            <w:tcW w:w="4306"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A007D4">
            <w:pPr>
              <w:widowControl w:val="0"/>
              <w:autoSpaceDE w:val="0"/>
              <w:autoSpaceDN w:val="0"/>
              <w:adjustRightInd w:val="0"/>
              <w:jc w:val="left"/>
              <w:rPr>
                <w:rFonts w:cs="Arial"/>
                <w:sz w:val="24"/>
              </w:rPr>
            </w:pPr>
            <w:r w:rsidRPr="00023977">
              <w:rPr>
                <w:rFonts w:cs="Arial"/>
                <w:sz w:val="24"/>
              </w:rPr>
              <w:t>Salgar–Gualanday para entrega en Gualanday</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4"/>
              </w:rPr>
            </w:pPr>
            <w:r w:rsidRPr="00023977">
              <w:rPr>
                <w:rFonts w:cs="Arial"/>
                <w:sz w:val="24"/>
              </w:rPr>
              <w:t>36,85</w:t>
            </w:r>
          </w:p>
        </w:tc>
        <w:tc>
          <w:tcPr>
            <w:cnfStyle w:val="000010000000" w:firstRow="0" w:lastRow="0" w:firstColumn="0" w:lastColumn="0" w:oddVBand="1" w:evenVBand="0" w:oddHBand="0" w:evenHBand="0" w:firstRowFirstColumn="0" w:firstRowLastColumn="0" w:lastRowFirstColumn="0" w:lastRowLastColumn="0"/>
            <w:tcW w:w="1648"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rPr>
                <w:rFonts w:cs="Arial"/>
                <w:sz w:val="24"/>
              </w:rPr>
            </w:pPr>
            <w:r w:rsidRPr="00023977">
              <w:rPr>
                <w:rFonts w:cs="Arial"/>
                <w:sz w:val="24"/>
              </w:rPr>
              <w:t>45,65</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Arial"/>
                <w:sz w:val="24"/>
              </w:rPr>
            </w:pPr>
            <w:r w:rsidRPr="00023977">
              <w:rPr>
                <w:rFonts w:cs="Arial"/>
                <w:sz w:val="24"/>
              </w:rPr>
              <w:t>55</w:t>
            </w:r>
          </w:p>
        </w:tc>
      </w:tr>
      <w:tr w:rsidR="0083557B" w:rsidRPr="00023977" w:rsidTr="00E90EA9">
        <w:trPr>
          <w:cnfStyle w:val="000000010000" w:firstRow="0" w:lastRow="0" w:firstColumn="0" w:lastColumn="0" w:oddVBand="0" w:evenVBand="0" w:oddHBand="0" w:evenHBand="1" w:firstRowFirstColumn="0" w:firstRowLastColumn="0" w:lastRowFirstColumn="0" w:lastRowLastColumn="0"/>
          <w:trHeight w:val="276"/>
          <w:jc w:val="center"/>
        </w:trPr>
        <w:tc>
          <w:tcPr>
            <w:cnfStyle w:val="000010000000" w:firstRow="0" w:lastRow="0" w:firstColumn="0" w:lastColumn="0" w:oddVBand="1" w:evenVBand="0" w:oddHBand="0" w:evenHBand="0" w:firstRowFirstColumn="0" w:firstRowLastColumn="0" w:lastRowFirstColumn="0" w:lastRowLastColumn="0"/>
            <w:tcW w:w="4306"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A007D4">
            <w:pPr>
              <w:widowControl w:val="0"/>
              <w:autoSpaceDE w:val="0"/>
              <w:autoSpaceDN w:val="0"/>
              <w:adjustRightInd w:val="0"/>
              <w:jc w:val="left"/>
              <w:rPr>
                <w:rFonts w:cs="Arial"/>
                <w:sz w:val="24"/>
              </w:rPr>
            </w:pPr>
            <w:r w:rsidRPr="00023977">
              <w:rPr>
                <w:rFonts w:cs="Arial"/>
                <w:sz w:val="24"/>
              </w:rPr>
              <w:t>Gualanday–Neiva para entrega en Neiva</w:t>
            </w:r>
          </w:p>
        </w:tc>
        <w:tc>
          <w:tcPr>
            <w:tcW w:w="1559"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4"/>
              </w:rPr>
            </w:pPr>
            <w:r w:rsidRPr="00023977">
              <w:rPr>
                <w:rFonts w:cs="Arial"/>
                <w:sz w:val="24"/>
              </w:rPr>
              <w:t>34,84</w:t>
            </w:r>
          </w:p>
        </w:tc>
        <w:tc>
          <w:tcPr>
            <w:cnfStyle w:val="000010000000" w:firstRow="0" w:lastRow="0" w:firstColumn="0" w:lastColumn="0" w:oddVBand="1" w:evenVBand="0" w:oddHBand="0" w:evenHBand="0" w:firstRowFirstColumn="0" w:firstRowLastColumn="0" w:lastRowFirstColumn="0" w:lastRowLastColumn="0"/>
            <w:tcW w:w="1648"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rPr>
                <w:rFonts w:cs="Arial"/>
                <w:sz w:val="24"/>
              </w:rPr>
            </w:pPr>
            <w:r w:rsidRPr="00023977">
              <w:rPr>
                <w:rFonts w:cs="Arial"/>
                <w:sz w:val="24"/>
              </w:rPr>
              <w:t>43,16</w:t>
            </w:r>
          </w:p>
        </w:tc>
        <w:tc>
          <w:tcPr>
            <w:tcW w:w="1665" w:type="dxa"/>
            <w:tcBorders>
              <w:top w:val="none" w:sz="0" w:space="0" w:color="auto"/>
              <w:left w:val="none" w:sz="0" w:space="0" w:color="auto"/>
              <w:bottom w:val="none" w:sz="0" w:space="0" w:color="auto"/>
              <w:right w:val="none" w:sz="0" w:space="0" w:color="auto"/>
            </w:tcBorders>
            <w:shd w:val="clear" w:color="auto" w:fill="auto"/>
            <w:vAlign w:val="center"/>
          </w:tcPr>
          <w:p w:rsidR="0083557B" w:rsidRPr="00023977" w:rsidRDefault="0083557B" w:rsidP="002F63E2">
            <w:pPr>
              <w:widowControl w:val="0"/>
              <w:autoSpaceDE w:val="0"/>
              <w:autoSpaceDN w:val="0"/>
              <w:adjustRightInd w:val="0"/>
              <w:jc w:val="center"/>
              <w:cnfStyle w:val="000000010000" w:firstRow="0" w:lastRow="0" w:firstColumn="0" w:lastColumn="0" w:oddVBand="0" w:evenVBand="0" w:oddHBand="0" w:evenHBand="1" w:firstRowFirstColumn="0" w:firstRowLastColumn="0" w:lastRowFirstColumn="0" w:lastRowLastColumn="0"/>
              <w:rPr>
                <w:rFonts w:cs="Arial"/>
                <w:sz w:val="24"/>
              </w:rPr>
            </w:pPr>
            <w:r w:rsidRPr="00023977">
              <w:rPr>
                <w:rFonts w:cs="Arial"/>
                <w:sz w:val="24"/>
              </w:rPr>
              <w:t>52</w:t>
            </w:r>
          </w:p>
        </w:tc>
      </w:tr>
    </w:tbl>
    <w:p w:rsidR="0083557B" w:rsidRPr="00023977" w:rsidRDefault="0083557B" w:rsidP="0083557B">
      <w:pPr>
        <w:rPr>
          <w:rFonts w:eastAsia="Arial" w:cs="Arial"/>
          <w:sz w:val="24"/>
        </w:rPr>
      </w:pPr>
    </w:p>
    <w:p w:rsidR="0083557B" w:rsidRDefault="0083557B" w:rsidP="0083557B">
      <w:pPr>
        <w:rPr>
          <w:rFonts w:cs="Arial"/>
          <w:sz w:val="24"/>
        </w:rPr>
      </w:pPr>
      <w:r w:rsidRPr="00023977">
        <w:rPr>
          <w:rFonts w:cs="Arial"/>
          <w:sz w:val="24"/>
          <w:lang w:val="es-ES_tradnl"/>
        </w:rPr>
        <w:t xml:space="preserve">Esta resolución sentó las bases para el establecimiento de las tarifas de transporte de productos derivados del petróleo a través del sistema de poliductos a partir de 2003, </w:t>
      </w:r>
      <w:r w:rsidR="00D27941">
        <w:rPr>
          <w:rFonts w:cs="Arial"/>
          <w:sz w:val="24"/>
          <w:lang w:val="es-ES_tradnl"/>
        </w:rPr>
        <w:t>señalando qu</w:t>
      </w:r>
      <w:r w:rsidRPr="00023977">
        <w:rPr>
          <w:rFonts w:cs="Arial"/>
          <w:sz w:val="24"/>
          <w:lang w:val="es-ES_tradnl"/>
        </w:rPr>
        <w:t xml:space="preserve">e el ajuste se debería realizar </w:t>
      </w:r>
      <w:r w:rsidRPr="00023977">
        <w:rPr>
          <w:rFonts w:cs="Arial"/>
          <w:sz w:val="24"/>
        </w:rPr>
        <w:t>el primero (1º) de febrero de cada año,</w:t>
      </w:r>
      <w:r w:rsidRPr="00023977">
        <w:rPr>
          <w:rFonts w:cs="Arial"/>
          <w:sz w:val="24"/>
          <w:lang w:val="es-ES_tradnl"/>
        </w:rPr>
        <w:t xml:space="preserve"> a partir de 2004 </w:t>
      </w:r>
      <w:r w:rsidRPr="00023977">
        <w:rPr>
          <w:rFonts w:cs="Arial"/>
          <w:sz w:val="24"/>
        </w:rPr>
        <w:t>de acuerdo a la meta de inflación anual esperada certificada por el Banco de la República</w:t>
      </w:r>
      <w:r w:rsidR="00C77B93">
        <w:rPr>
          <w:rFonts w:cs="Arial"/>
          <w:sz w:val="24"/>
        </w:rPr>
        <w:t>.</w:t>
      </w:r>
    </w:p>
    <w:p w:rsidR="00C77B93" w:rsidRDefault="00C77B93" w:rsidP="0083557B">
      <w:pPr>
        <w:rPr>
          <w:rFonts w:cs="Arial"/>
          <w:sz w:val="24"/>
        </w:rPr>
      </w:pPr>
    </w:p>
    <w:p w:rsidR="0083557B" w:rsidRPr="00023977" w:rsidRDefault="0083557B" w:rsidP="00C77B93">
      <w:pPr>
        <w:pStyle w:val="Ttulo2"/>
        <w:spacing w:before="0"/>
        <w:rPr>
          <w:rFonts w:eastAsia="Arial" w:cs="Arial"/>
          <w:sz w:val="24"/>
          <w:szCs w:val="24"/>
        </w:rPr>
      </w:pPr>
      <w:r w:rsidRPr="00023977">
        <w:rPr>
          <w:rFonts w:eastAsia="Arial" w:cs="Arial"/>
          <w:sz w:val="24"/>
          <w:szCs w:val="24"/>
        </w:rPr>
        <w:lastRenderedPageBreak/>
        <w:t xml:space="preserve"> </w:t>
      </w:r>
      <w:bookmarkStart w:id="373" w:name="_Toc424832939"/>
      <w:bookmarkStart w:id="374" w:name="_Toc424887670"/>
      <w:bookmarkStart w:id="375" w:name="_Toc425488430"/>
      <w:bookmarkStart w:id="376" w:name="_Toc426035070"/>
      <w:bookmarkStart w:id="377" w:name="_Toc427333593"/>
      <w:bookmarkStart w:id="378" w:name="_Toc427336534"/>
      <w:bookmarkStart w:id="379" w:name="_Toc427681824"/>
      <w:bookmarkStart w:id="380" w:name="_Toc433276756"/>
      <w:bookmarkStart w:id="381" w:name="_Toc433295719"/>
      <w:bookmarkStart w:id="382" w:name="_Toc433296444"/>
      <w:bookmarkStart w:id="383" w:name="_Toc437500874"/>
      <w:bookmarkStart w:id="384" w:name="_Toc437501533"/>
      <w:bookmarkStart w:id="385" w:name="_Toc437501713"/>
      <w:bookmarkStart w:id="386" w:name="_Toc437501803"/>
      <w:bookmarkStart w:id="387" w:name="_Toc437502566"/>
      <w:bookmarkStart w:id="388" w:name="_Toc437505925"/>
      <w:bookmarkStart w:id="389" w:name="_Toc437512738"/>
      <w:r w:rsidRPr="00023977">
        <w:rPr>
          <w:rFonts w:eastAsia="Arial" w:cs="Arial"/>
          <w:sz w:val="24"/>
          <w:szCs w:val="24"/>
        </w:rPr>
        <w:t xml:space="preserve">ajustes a </w:t>
      </w:r>
      <w:r w:rsidR="00135F8A">
        <w:rPr>
          <w:rFonts w:cs="Arial"/>
          <w:sz w:val="24"/>
          <w:szCs w:val="24"/>
        </w:rPr>
        <w:t>t</w:t>
      </w:r>
      <w:r w:rsidRPr="00023977">
        <w:rPr>
          <w:rFonts w:cs="Arial"/>
          <w:sz w:val="24"/>
          <w:szCs w:val="24"/>
        </w:rPr>
        <w:t>arifas de transporte</w:t>
      </w:r>
      <w:r w:rsidR="00135F8A">
        <w:rPr>
          <w:rFonts w:cs="Arial"/>
          <w:sz w:val="24"/>
          <w:szCs w:val="24"/>
        </w:rPr>
        <w:t xml:space="preserve"> mediante res</w:t>
      </w:r>
      <w:r w:rsidRPr="00023977">
        <w:rPr>
          <w:rFonts w:eastAsia="Arial" w:cs="Arial"/>
          <w:sz w:val="24"/>
          <w:szCs w:val="24"/>
        </w:rPr>
        <w:t>olución</w:t>
      </w:r>
      <w:r w:rsidR="00135F8A">
        <w:rPr>
          <w:rFonts w:eastAsia="Arial" w:cs="Arial"/>
          <w:sz w:val="24"/>
          <w:szCs w:val="24"/>
        </w:rPr>
        <w:t xml:space="preserve"> 181701 de 2003</w:t>
      </w:r>
      <w:bookmarkEnd w:id="373"/>
      <w:bookmarkEnd w:id="374"/>
      <w:bookmarkEnd w:id="375"/>
      <w:bookmarkEnd w:id="376"/>
      <w:bookmarkEnd w:id="377"/>
      <w:bookmarkEnd w:id="378"/>
      <w:bookmarkEnd w:id="379"/>
      <w:bookmarkEnd w:id="380"/>
      <w:r w:rsidR="00176985">
        <w:rPr>
          <w:rFonts w:eastAsia="Arial" w:cs="Arial"/>
          <w:sz w:val="24"/>
          <w:szCs w:val="24"/>
        </w:rPr>
        <w:t>.</w:t>
      </w:r>
      <w:bookmarkEnd w:id="381"/>
      <w:bookmarkEnd w:id="382"/>
      <w:bookmarkEnd w:id="383"/>
      <w:bookmarkEnd w:id="384"/>
      <w:bookmarkEnd w:id="385"/>
      <w:bookmarkEnd w:id="386"/>
      <w:bookmarkEnd w:id="387"/>
      <w:bookmarkEnd w:id="388"/>
      <w:bookmarkEnd w:id="389"/>
    </w:p>
    <w:p w:rsidR="0083557B" w:rsidRDefault="0083557B" w:rsidP="00A96CC8">
      <w:pPr>
        <w:contextualSpacing/>
        <w:rPr>
          <w:rFonts w:cs="Arial"/>
          <w:sz w:val="24"/>
        </w:rPr>
      </w:pPr>
      <w:r w:rsidRPr="00023977">
        <w:rPr>
          <w:rFonts w:eastAsia="Arial" w:cs="Arial"/>
          <w:sz w:val="24"/>
          <w:lang w:val="es-ES_tradnl"/>
        </w:rPr>
        <w:t>En diciembre de 2003, el Ministerio de Minas modificó la remuneración al transporte de productos a través del sistema de poliductos. De acu</w:t>
      </w:r>
      <w:r w:rsidR="00D27941">
        <w:rPr>
          <w:rFonts w:eastAsia="Arial" w:cs="Arial"/>
          <w:sz w:val="24"/>
          <w:lang w:val="es-ES_tradnl"/>
        </w:rPr>
        <w:t>erdo a los considerandos de la R</w:t>
      </w:r>
      <w:r w:rsidRPr="00023977">
        <w:rPr>
          <w:rFonts w:eastAsia="Arial" w:cs="Arial"/>
          <w:sz w:val="24"/>
          <w:lang w:val="es-ES_tradnl"/>
        </w:rPr>
        <w:t>esolución</w:t>
      </w:r>
      <w:r w:rsidR="00D27941">
        <w:rPr>
          <w:rFonts w:eastAsia="Arial" w:cs="Arial"/>
          <w:sz w:val="24"/>
          <w:lang w:val="es-ES_tradnl"/>
        </w:rPr>
        <w:t xml:space="preserve"> 181701</w:t>
      </w:r>
      <w:r w:rsidR="00C341FD">
        <w:rPr>
          <w:rFonts w:eastAsia="Arial" w:cs="Arial"/>
          <w:sz w:val="24"/>
          <w:lang w:val="es-ES_tradnl"/>
        </w:rPr>
        <w:t xml:space="preserve">, el reajuste se </w:t>
      </w:r>
      <w:r w:rsidR="00812E27">
        <w:rPr>
          <w:rFonts w:eastAsia="Arial" w:cs="Arial"/>
          <w:sz w:val="24"/>
          <w:lang w:val="es-ES_tradnl"/>
        </w:rPr>
        <w:t xml:space="preserve">hacía </w:t>
      </w:r>
      <w:r w:rsidRPr="00023977">
        <w:rPr>
          <w:rFonts w:eastAsia="Arial" w:cs="Arial"/>
          <w:sz w:val="24"/>
          <w:lang w:val="es-ES_tradnl"/>
        </w:rPr>
        <w:t xml:space="preserve">para garantizar </w:t>
      </w:r>
      <w:r w:rsidRPr="00023977">
        <w:rPr>
          <w:rFonts w:cs="Arial"/>
          <w:sz w:val="24"/>
        </w:rPr>
        <w:t>el abastecimiento de combustibles en el occidente del país, estableciendo una tarifa en Buenaventura competitiva con respecto a Yumbo y redistribuir los costos asociados al proceso en el sistema Galán-Sebastopol (que pasó de $ 100 a $ 106,32).</w:t>
      </w:r>
    </w:p>
    <w:p w:rsidR="00D27941" w:rsidRPr="00023977" w:rsidRDefault="00D27941" w:rsidP="00A96CC8">
      <w:pPr>
        <w:contextualSpacing/>
        <w:rPr>
          <w:rFonts w:cs="Arial"/>
          <w:sz w:val="24"/>
        </w:rPr>
      </w:pPr>
    </w:p>
    <w:p w:rsidR="0083557B" w:rsidRDefault="0083557B" w:rsidP="00A96CC8">
      <w:pPr>
        <w:widowControl w:val="0"/>
        <w:autoSpaceDE w:val="0"/>
        <w:autoSpaceDN w:val="0"/>
        <w:adjustRightInd w:val="0"/>
        <w:spacing w:before="100" w:after="100"/>
        <w:ind w:right="15"/>
        <w:contextualSpacing/>
        <w:rPr>
          <w:rFonts w:cs="Arial"/>
          <w:sz w:val="24"/>
        </w:rPr>
      </w:pPr>
      <w:r w:rsidRPr="00023977">
        <w:rPr>
          <w:rFonts w:cs="Arial"/>
          <w:sz w:val="24"/>
        </w:rPr>
        <w:t>Además</w:t>
      </w:r>
      <w:r w:rsidR="003D0650">
        <w:rPr>
          <w:rFonts w:cs="Arial"/>
          <w:sz w:val="24"/>
        </w:rPr>
        <w:t>,</w:t>
      </w:r>
      <w:r w:rsidRPr="00023977">
        <w:rPr>
          <w:rFonts w:cs="Arial"/>
          <w:sz w:val="24"/>
        </w:rPr>
        <w:t xml:space="preserve"> se </w:t>
      </w:r>
      <w:r w:rsidR="00D024FD">
        <w:rPr>
          <w:rFonts w:cs="Arial"/>
          <w:sz w:val="24"/>
        </w:rPr>
        <w:t>igualó</w:t>
      </w:r>
      <w:r w:rsidRPr="00023977">
        <w:rPr>
          <w:rFonts w:cs="Arial"/>
          <w:sz w:val="24"/>
        </w:rPr>
        <w:t xml:space="preserve"> la tarifa de importación y cabotaje en Buenaventura a la misma tarifa del poliducto, de tal manera que</w:t>
      </w:r>
      <w:r w:rsidR="00285912">
        <w:rPr>
          <w:rFonts w:cs="Arial"/>
          <w:sz w:val="24"/>
        </w:rPr>
        <w:t>,</w:t>
      </w:r>
      <w:r w:rsidRPr="00023977">
        <w:rPr>
          <w:rFonts w:cs="Arial"/>
          <w:sz w:val="24"/>
        </w:rPr>
        <w:t xml:space="preserve"> la señal económica de costo de transporte para el combustible de propiedad de Ecopetrol sea la misma, independiente del medio utilizado (barco</w:t>
      </w:r>
      <w:r w:rsidR="00176985">
        <w:rPr>
          <w:rFonts w:cs="Arial"/>
          <w:sz w:val="24"/>
        </w:rPr>
        <w:t xml:space="preserve"> o </w:t>
      </w:r>
      <w:r w:rsidRPr="00023977">
        <w:rPr>
          <w:rFonts w:cs="Arial"/>
          <w:sz w:val="24"/>
        </w:rPr>
        <w:t>poliducto).</w:t>
      </w:r>
    </w:p>
    <w:p w:rsidR="00285912" w:rsidRPr="00023977" w:rsidRDefault="00285912" w:rsidP="00A96CC8">
      <w:pPr>
        <w:widowControl w:val="0"/>
        <w:autoSpaceDE w:val="0"/>
        <w:autoSpaceDN w:val="0"/>
        <w:adjustRightInd w:val="0"/>
        <w:spacing w:before="100" w:after="100"/>
        <w:ind w:right="15"/>
        <w:contextualSpacing/>
        <w:rPr>
          <w:rFonts w:cs="Arial"/>
          <w:sz w:val="24"/>
        </w:rPr>
      </w:pPr>
    </w:p>
    <w:p w:rsidR="0083557B" w:rsidRPr="00023977" w:rsidRDefault="0083557B" w:rsidP="00A96CC8">
      <w:pPr>
        <w:widowControl w:val="0"/>
        <w:autoSpaceDE w:val="0"/>
        <w:autoSpaceDN w:val="0"/>
        <w:adjustRightInd w:val="0"/>
        <w:spacing w:before="100" w:after="100"/>
        <w:ind w:right="15"/>
        <w:contextualSpacing/>
        <w:rPr>
          <w:rFonts w:cs="Arial"/>
          <w:sz w:val="24"/>
        </w:rPr>
      </w:pPr>
      <w:r w:rsidRPr="00023977">
        <w:rPr>
          <w:rFonts w:cs="Arial"/>
          <w:sz w:val="24"/>
        </w:rPr>
        <w:t xml:space="preserve">La resolución definió Tt como el costo máximo del transporte a través del sistema de poliductos expresados en pesos por galón. Los nuevos valores asignados a los poliductos se pueden ver en la siguiente tabla: </w:t>
      </w:r>
    </w:p>
    <w:p w:rsidR="007308C4" w:rsidRPr="00A56932" w:rsidRDefault="007308C4" w:rsidP="00D66608">
      <w:pPr>
        <w:rPr>
          <w:snapToGrid w:val="0"/>
        </w:rPr>
      </w:pPr>
    </w:p>
    <w:tbl>
      <w:tblPr>
        <w:tblStyle w:val="Cuadrculaclara-nfasis1"/>
        <w:tblW w:w="5000" w:type="pct"/>
        <w:jc w:val="center"/>
        <w:tblLook w:val="04A0" w:firstRow="1" w:lastRow="0" w:firstColumn="1" w:lastColumn="0" w:noHBand="0" w:noVBand="1"/>
      </w:tblPr>
      <w:tblGrid>
        <w:gridCol w:w="8299"/>
        <w:gridCol w:w="1273"/>
      </w:tblGrid>
      <w:tr w:rsidR="00D024FD" w:rsidRPr="00023977" w:rsidTr="00D66608">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5000" w:type="pct"/>
            <w:gridSpan w:val="2"/>
            <w:noWrap/>
          </w:tcPr>
          <w:p w:rsidR="00D024FD" w:rsidRPr="00D66608" w:rsidRDefault="00D024FD" w:rsidP="002F63E2">
            <w:pPr>
              <w:jc w:val="center"/>
              <w:rPr>
                <w:rFonts w:cs="Arial"/>
                <w:b w:val="0"/>
                <w:color w:val="000000"/>
                <w:sz w:val="24"/>
                <w:lang w:eastAsia="es-CO"/>
              </w:rPr>
            </w:pPr>
            <w:bookmarkStart w:id="390" w:name="_Toc433276708"/>
            <w:bookmarkStart w:id="391" w:name="_Toc433295794"/>
            <w:bookmarkStart w:id="392" w:name="_Toc433296396"/>
            <w:bookmarkStart w:id="393" w:name="_Toc437512813"/>
            <w:r w:rsidRPr="00D66608">
              <w:rPr>
                <w:rFonts w:cs="Arial"/>
                <w:b w:val="0"/>
              </w:rPr>
              <w:t xml:space="preserve">Tabla </w:t>
            </w:r>
            <w:r w:rsidRPr="00D66608">
              <w:rPr>
                <w:rFonts w:cs="Arial"/>
              </w:rPr>
              <w:fldChar w:fldCharType="begin"/>
            </w:r>
            <w:r w:rsidRPr="00D66608">
              <w:rPr>
                <w:rFonts w:cs="Arial"/>
                <w:b w:val="0"/>
              </w:rPr>
              <w:instrText xml:space="preserve"> SEQ Tabla \* ARABIC </w:instrText>
            </w:r>
            <w:r w:rsidRPr="00D66608">
              <w:rPr>
                <w:rFonts w:cs="Arial"/>
              </w:rPr>
              <w:fldChar w:fldCharType="separate"/>
            </w:r>
            <w:r w:rsidR="00625BEB">
              <w:rPr>
                <w:rFonts w:cs="Arial"/>
                <w:b w:val="0"/>
                <w:noProof/>
              </w:rPr>
              <w:t>7</w:t>
            </w:r>
            <w:r w:rsidRPr="00D66608">
              <w:rPr>
                <w:rFonts w:cs="Arial"/>
              </w:rPr>
              <w:fldChar w:fldCharType="end"/>
            </w:r>
            <w:r w:rsidRPr="00D66608">
              <w:rPr>
                <w:rFonts w:cs="Arial"/>
                <w:b w:val="0"/>
              </w:rPr>
              <w:t xml:space="preserve"> Tarifas de transporte por poliductos resolución Minminas 181701 de 2003</w:t>
            </w:r>
            <w:bookmarkEnd w:id="390"/>
            <w:bookmarkEnd w:id="391"/>
            <w:bookmarkEnd w:id="392"/>
            <w:bookmarkEnd w:id="393"/>
          </w:p>
        </w:tc>
      </w:tr>
      <w:tr w:rsidR="0083557B" w:rsidRPr="00023977" w:rsidTr="00D66608">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703" w:type="pct"/>
            <w:noWrap/>
            <w:hideMark/>
          </w:tcPr>
          <w:p w:rsidR="0083557B" w:rsidRPr="00D66608" w:rsidRDefault="0083557B" w:rsidP="002F63E2">
            <w:pPr>
              <w:jc w:val="center"/>
              <w:rPr>
                <w:rFonts w:cs="Arial"/>
                <w:b w:val="0"/>
                <w:color w:val="000000"/>
                <w:sz w:val="24"/>
                <w:lang w:val="es-CO" w:eastAsia="es-CO"/>
              </w:rPr>
            </w:pPr>
            <w:r w:rsidRPr="00D66608">
              <w:rPr>
                <w:rFonts w:cs="Arial"/>
                <w:b w:val="0"/>
                <w:color w:val="000000"/>
                <w:sz w:val="24"/>
                <w:lang w:eastAsia="es-CO"/>
              </w:rPr>
              <w:t>Ciudad de entrega</w:t>
            </w:r>
          </w:p>
        </w:tc>
        <w:tc>
          <w:tcPr>
            <w:tcW w:w="1297" w:type="pct"/>
            <w:noWrap/>
            <w:hideMark/>
          </w:tcPr>
          <w:p w:rsidR="0083557B" w:rsidRPr="00D66608" w:rsidRDefault="0083557B" w:rsidP="002F63E2">
            <w:pPr>
              <w:jc w:val="center"/>
              <w:cnfStyle w:val="100000000000" w:firstRow="1" w:lastRow="0" w:firstColumn="0" w:lastColumn="0" w:oddVBand="0" w:evenVBand="0" w:oddHBand="0" w:evenHBand="0" w:firstRowFirstColumn="0" w:firstRowLastColumn="0" w:lastRowFirstColumn="0" w:lastRowLastColumn="0"/>
              <w:rPr>
                <w:rFonts w:cs="Arial"/>
                <w:b w:val="0"/>
                <w:color w:val="000000"/>
                <w:sz w:val="24"/>
                <w:lang w:val="es-CO" w:eastAsia="es-CO"/>
              </w:rPr>
            </w:pPr>
            <w:r w:rsidRPr="00D66608">
              <w:rPr>
                <w:rFonts w:cs="Arial"/>
                <w:b w:val="0"/>
                <w:color w:val="000000"/>
                <w:sz w:val="24"/>
                <w:lang w:eastAsia="es-CO"/>
              </w:rPr>
              <w:t>Tarifa $/galón</w:t>
            </w:r>
          </w:p>
        </w:tc>
      </w:tr>
      <w:tr w:rsidR="0083557B" w:rsidRPr="00023977" w:rsidTr="00D666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vAlign w:val="center"/>
            <w:hideMark/>
          </w:tcPr>
          <w:p w:rsidR="0083557B" w:rsidRPr="00023977" w:rsidRDefault="0083557B" w:rsidP="00602713">
            <w:pPr>
              <w:jc w:val="left"/>
              <w:rPr>
                <w:rFonts w:cs="Arial"/>
                <w:b w:val="0"/>
                <w:color w:val="000000"/>
                <w:sz w:val="24"/>
                <w:lang w:val="es-CO" w:eastAsia="es-CO"/>
              </w:rPr>
            </w:pPr>
            <w:r w:rsidRPr="00023977">
              <w:rPr>
                <w:rFonts w:cs="Arial"/>
                <w:b w:val="0"/>
                <w:color w:val="000000"/>
                <w:sz w:val="24"/>
                <w:lang w:eastAsia="es-CO"/>
              </w:rPr>
              <w:t>Ciudad de Cartagena (entregas locales y muelles)</w:t>
            </w:r>
          </w:p>
        </w:tc>
        <w:tc>
          <w:tcPr>
            <w:tcW w:w="1297" w:type="pct"/>
            <w:noWrap/>
            <w:vAlign w:val="center"/>
            <w:hideMark/>
          </w:tcPr>
          <w:p w:rsidR="0083557B" w:rsidRPr="00023977" w:rsidRDefault="0083557B" w:rsidP="00602713">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val="es-CO" w:eastAsia="es-CO"/>
              </w:rPr>
              <w:t>34</w:t>
            </w:r>
          </w:p>
        </w:tc>
      </w:tr>
      <w:tr w:rsidR="0083557B" w:rsidRPr="00023977" w:rsidTr="00D66608">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vAlign w:val="center"/>
            <w:hideMark/>
          </w:tcPr>
          <w:p w:rsidR="0083557B" w:rsidRPr="00023977" w:rsidRDefault="0083557B" w:rsidP="00602713">
            <w:pPr>
              <w:jc w:val="left"/>
              <w:rPr>
                <w:rFonts w:cs="Arial"/>
                <w:b w:val="0"/>
                <w:color w:val="000000"/>
                <w:sz w:val="24"/>
                <w:lang w:val="es-CO" w:eastAsia="es-CO"/>
              </w:rPr>
            </w:pPr>
            <w:r w:rsidRPr="00023977">
              <w:rPr>
                <w:rFonts w:cs="Arial"/>
                <w:b w:val="0"/>
                <w:color w:val="000000"/>
                <w:sz w:val="24"/>
                <w:lang w:eastAsia="es-CO"/>
              </w:rPr>
              <w:t>Ciudad de Barrancabermeja (entregas local)</w:t>
            </w:r>
          </w:p>
        </w:tc>
        <w:tc>
          <w:tcPr>
            <w:tcW w:w="1297" w:type="pct"/>
            <w:noWrap/>
            <w:vAlign w:val="center"/>
            <w:hideMark/>
          </w:tcPr>
          <w:p w:rsidR="0083557B" w:rsidRPr="00023977" w:rsidRDefault="0083557B" w:rsidP="00602713">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35,32</w:t>
            </w:r>
          </w:p>
        </w:tc>
      </w:tr>
      <w:tr w:rsidR="0083557B" w:rsidRPr="00023977" w:rsidTr="00D666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vAlign w:val="center"/>
            <w:hideMark/>
          </w:tcPr>
          <w:p w:rsidR="0083557B" w:rsidRPr="00023977" w:rsidRDefault="0083557B" w:rsidP="00602713">
            <w:pPr>
              <w:jc w:val="left"/>
              <w:rPr>
                <w:rFonts w:cs="Arial"/>
                <w:b w:val="0"/>
                <w:color w:val="000000"/>
                <w:sz w:val="24"/>
                <w:lang w:val="es-CO" w:eastAsia="es-CO"/>
              </w:rPr>
            </w:pPr>
            <w:r w:rsidRPr="00023977">
              <w:rPr>
                <w:rFonts w:cs="Arial"/>
                <w:b w:val="0"/>
                <w:color w:val="000000"/>
                <w:sz w:val="24"/>
                <w:lang w:eastAsia="es-CO"/>
              </w:rPr>
              <w:t>Cartagena-Baranoa para entrega en Baranoa</w:t>
            </w:r>
          </w:p>
        </w:tc>
        <w:tc>
          <w:tcPr>
            <w:tcW w:w="1297" w:type="pct"/>
            <w:noWrap/>
            <w:vAlign w:val="center"/>
            <w:hideMark/>
          </w:tcPr>
          <w:p w:rsidR="0083557B" w:rsidRPr="00023977" w:rsidRDefault="0083557B" w:rsidP="00602713">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69</w:t>
            </w:r>
          </w:p>
        </w:tc>
      </w:tr>
      <w:tr w:rsidR="0083557B" w:rsidRPr="00023977" w:rsidTr="00D66608">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vAlign w:val="center"/>
            <w:hideMark/>
          </w:tcPr>
          <w:p w:rsidR="0083557B" w:rsidRPr="00023977" w:rsidRDefault="0083557B" w:rsidP="00602713">
            <w:pPr>
              <w:jc w:val="left"/>
              <w:rPr>
                <w:rFonts w:cs="Arial"/>
                <w:b w:val="0"/>
                <w:color w:val="000000"/>
                <w:sz w:val="24"/>
                <w:lang w:val="es-CO" w:eastAsia="es-CO"/>
              </w:rPr>
            </w:pPr>
            <w:r w:rsidRPr="00023977">
              <w:rPr>
                <w:rFonts w:cs="Arial"/>
                <w:b w:val="0"/>
                <w:color w:val="000000"/>
                <w:sz w:val="24"/>
                <w:lang w:eastAsia="es-CO"/>
              </w:rPr>
              <w:t>Pozos Colorados-Galán para entrega en Galán</w:t>
            </w:r>
          </w:p>
        </w:tc>
        <w:tc>
          <w:tcPr>
            <w:tcW w:w="1297" w:type="pct"/>
            <w:noWrap/>
            <w:vAlign w:val="center"/>
            <w:hideMark/>
          </w:tcPr>
          <w:p w:rsidR="0083557B" w:rsidRPr="00023977" w:rsidRDefault="0083557B" w:rsidP="00602713">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42</w:t>
            </w:r>
          </w:p>
        </w:tc>
      </w:tr>
      <w:tr w:rsidR="0083557B" w:rsidRPr="00023977" w:rsidTr="00D666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vAlign w:val="center"/>
            <w:hideMark/>
          </w:tcPr>
          <w:p w:rsidR="0083557B" w:rsidRPr="00023977" w:rsidRDefault="0083557B" w:rsidP="00602713">
            <w:pPr>
              <w:jc w:val="left"/>
              <w:rPr>
                <w:rFonts w:cs="Arial"/>
                <w:b w:val="0"/>
                <w:color w:val="000000"/>
                <w:sz w:val="24"/>
                <w:lang w:val="es-CO" w:eastAsia="es-CO"/>
              </w:rPr>
            </w:pPr>
            <w:r w:rsidRPr="00023977">
              <w:rPr>
                <w:rFonts w:cs="Arial"/>
                <w:b w:val="0"/>
                <w:color w:val="000000"/>
                <w:sz w:val="24"/>
                <w:lang w:eastAsia="es-CO"/>
              </w:rPr>
              <w:t>Coveñas-Galán para entrega en Galán</w:t>
            </w:r>
          </w:p>
        </w:tc>
        <w:tc>
          <w:tcPr>
            <w:tcW w:w="1297" w:type="pct"/>
            <w:noWrap/>
            <w:vAlign w:val="center"/>
            <w:hideMark/>
          </w:tcPr>
          <w:p w:rsidR="0083557B" w:rsidRPr="00023977" w:rsidRDefault="0083557B" w:rsidP="00602713">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42</w:t>
            </w:r>
          </w:p>
        </w:tc>
      </w:tr>
      <w:tr w:rsidR="0083557B" w:rsidRPr="00023977" w:rsidTr="00D66608">
        <w:trPr>
          <w:cnfStyle w:val="000000010000" w:firstRow="0" w:lastRow="0" w:firstColumn="0" w:lastColumn="0" w:oddVBand="0" w:evenVBand="0" w:oddHBand="0" w:evenHBand="1" w:firstRowFirstColumn="0" w:firstRowLastColumn="0" w:lastRowFirstColumn="0" w:lastRowLastColumn="0"/>
          <w:trHeight w:val="368"/>
          <w:jc w:val="center"/>
        </w:trPr>
        <w:tc>
          <w:tcPr>
            <w:cnfStyle w:val="001000000000" w:firstRow="0" w:lastRow="0" w:firstColumn="1" w:lastColumn="0" w:oddVBand="0" w:evenVBand="0" w:oddHBand="0" w:evenHBand="0" w:firstRowFirstColumn="0" w:firstRowLastColumn="0" w:lastRowFirstColumn="0" w:lastRowLastColumn="0"/>
            <w:tcW w:w="3703" w:type="pct"/>
            <w:noWrap/>
            <w:vAlign w:val="center"/>
            <w:hideMark/>
          </w:tcPr>
          <w:p w:rsidR="0083557B" w:rsidRPr="00023977" w:rsidRDefault="0083557B" w:rsidP="00602713">
            <w:pPr>
              <w:jc w:val="left"/>
              <w:rPr>
                <w:rFonts w:cs="Arial"/>
                <w:b w:val="0"/>
                <w:color w:val="000000"/>
                <w:sz w:val="24"/>
                <w:lang w:val="es-CO" w:eastAsia="es-CO"/>
              </w:rPr>
            </w:pPr>
            <w:r w:rsidRPr="00023977">
              <w:rPr>
                <w:rFonts w:cs="Arial"/>
                <w:b w:val="0"/>
                <w:color w:val="000000"/>
                <w:sz w:val="24"/>
                <w:lang w:eastAsia="es-CO"/>
              </w:rPr>
              <w:t>Galán-Bucaramanga para entrega en Bucaramanga</w:t>
            </w:r>
          </w:p>
        </w:tc>
        <w:tc>
          <w:tcPr>
            <w:tcW w:w="1297" w:type="pct"/>
            <w:noWrap/>
            <w:vAlign w:val="center"/>
            <w:hideMark/>
          </w:tcPr>
          <w:p w:rsidR="0083557B" w:rsidRPr="00023977" w:rsidRDefault="0083557B" w:rsidP="00602713">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94</w:t>
            </w:r>
          </w:p>
        </w:tc>
      </w:tr>
      <w:tr w:rsidR="0083557B" w:rsidRPr="00023977" w:rsidTr="00D666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vAlign w:val="center"/>
            <w:hideMark/>
          </w:tcPr>
          <w:p w:rsidR="0083557B" w:rsidRPr="00023977" w:rsidRDefault="0083557B" w:rsidP="00602713">
            <w:pPr>
              <w:jc w:val="left"/>
              <w:rPr>
                <w:rFonts w:cs="Arial"/>
                <w:b w:val="0"/>
                <w:color w:val="000000"/>
                <w:sz w:val="24"/>
                <w:lang w:val="es-CO" w:eastAsia="es-CO"/>
              </w:rPr>
            </w:pPr>
            <w:r w:rsidRPr="00023977">
              <w:rPr>
                <w:rFonts w:cs="Arial"/>
                <w:b w:val="0"/>
                <w:color w:val="000000"/>
                <w:sz w:val="24"/>
                <w:lang w:eastAsia="es-CO"/>
              </w:rPr>
              <w:t>Galán-Sebastopol para entrega en Sebastopol</w:t>
            </w:r>
          </w:p>
        </w:tc>
        <w:tc>
          <w:tcPr>
            <w:tcW w:w="1297" w:type="pct"/>
            <w:noWrap/>
            <w:vAlign w:val="center"/>
            <w:hideMark/>
          </w:tcPr>
          <w:p w:rsidR="0083557B" w:rsidRPr="00023977" w:rsidRDefault="0083557B" w:rsidP="00602713">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106,32</w:t>
            </w:r>
          </w:p>
        </w:tc>
      </w:tr>
      <w:tr w:rsidR="0083557B" w:rsidRPr="00023977" w:rsidTr="00D66608">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vAlign w:val="center"/>
            <w:hideMark/>
          </w:tcPr>
          <w:p w:rsidR="0083557B" w:rsidRPr="00023977" w:rsidRDefault="0083557B" w:rsidP="00602713">
            <w:pPr>
              <w:jc w:val="left"/>
              <w:rPr>
                <w:rFonts w:cs="Arial"/>
                <w:b w:val="0"/>
                <w:color w:val="000000"/>
                <w:sz w:val="24"/>
                <w:lang w:val="es-CO" w:eastAsia="es-CO"/>
              </w:rPr>
            </w:pPr>
            <w:r w:rsidRPr="00023977">
              <w:rPr>
                <w:rFonts w:cs="Arial"/>
                <w:b w:val="0"/>
                <w:color w:val="000000"/>
                <w:sz w:val="24"/>
                <w:lang w:eastAsia="es-CO"/>
              </w:rPr>
              <w:t>Sebastopol-Medellín para entrega en Medellín</w:t>
            </w:r>
          </w:p>
        </w:tc>
        <w:tc>
          <w:tcPr>
            <w:tcW w:w="1297" w:type="pct"/>
            <w:noWrap/>
            <w:vAlign w:val="center"/>
            <w:hideMark/>
          </w:tcPr>
          <w:p w:rsidR="0083557B" w:rsidRPr="00023977" w:rsidRDefault="0083557B" w:rsidP="00602713">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96</w:t>
            </w:r>
          </w:p>
        </w:tc>
      </w:tr>
      <w:tr w:rsidR="0083557B" w:rsidRPr="00023977" w:rsidTr="00D66608">
        <w:trPr>
          <w:cnfStyle w:val="000000100000" w:firstRow="0" w:lastRow="0" w:firstColumn="0" w:lastColumn="0" w:oddVBand="0" w:evenVBand="0" w:oddHBand="1" w:evenHBand="0" w:firstRowFirstColumn="0" w:firstRowLastColumn="0" w:lastRowFirstColumn="0" w:lastRowLastColumn="0"/>
          <w:trHeight w:val="183"/>
          <w:jc w:val="center"/>
        </w:trPr>
        <w:tc>
          <w:tcPr>
            <w:cnfStyle w:val="001000000000" w:firstRow="0" w:lastRow="0" w:firstColumn="1" w:lastColumn="0" w:oddVBand="0" w:evenVBand="0" w:oddHBand="0" w:evenHBand="0" w:firstRowFirstColumn="0" w:firstRowLastColumn="0" w:lastRowFirstColumn="0" w:lastRowLastColumn="0"/>
            <w:tcW w:w="3703" w:type="pct"/>
            <w:noWrap/>
            <w:hideMark/>
          </w:tcPr>
          <w:p w:rsidR="0083557B" w:rsidRPr="00023977" w:rsidRDefault="0083557B" w:rsidP="002F63E2">
            <w:pPr>
              <w:rPr>
                <w:rFonts w:cs="Arial"/>
                <w:b w:val="0"/>
                <w:color w:val="000000"/>
                <w:sz w:val="24"/>
                <w:lang w:val="es-CO" w:eastAsia="es-CO"/>
              </w:rPr>
            </w:pPr>
            <w:r w:rsidRPr="00023977">
              <w:rPr>
                <w:rFonts w:cs="Arial"/>
                <w:b w:val="0"/>
                <w:color w:val="000000"/>
                <w:sz w:val="24"/>
                <w:lang w:eastAsia="es-CO"/>
              </w:rPr>
              <w:t>Sebastopol-Salgar para entrega en Salgar y en Mariquita</w:t>
            </w:r>
          </w:p>
        </w:tc>
        <w:tc>
          <w:tcPr>
            <w:tcW w:w="1297" w:type="pct"/>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40</w:t>
            </w:r>
          </w:p>
        </w:tc>
      </w:tr>
      <w:tr w:rsidR="0083557B" w:rsidRPr="00023977" w:rsidTr="00D66608">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hideMark/>
          </w:tcPr>
          <w:p w:rsidR="0083557B" w:rsidRPr="00023977" w:rsidRDefault="0083557B" w:rsidP="002F63E2">
            <w:pPr>
              <w:rPr>
                <w:rFonts w:cs="Arial"/>
                <w:b w:val="0"/>
                <w:color w:val="000000"/>
                <w:sz w:val="24"/>
                <w:lang w:val="es-CO" w:eastAsia="es-CO"/>
              </w:rPr>
            </w:pPr>
            <w:r w:rsidRPr="00023977">
              <w:rPr>
                <w:rFonts w:cs="Arial"/>
                <w:b w:val="0"/>
                <w:color w:val="000000"/>
                <w:sz w:val="24"/>
                <w:lang w:eastAsia="es-CO"/>
              </w:rPr>
              <w:t>Salgar Mansilla para entrega en Mansilla</w:t>
            </w:r>
          </w:p>
        </w:tc>
        <w:tc>
          <w:tcPr>
            <w:tcW w:w="1297" w:type="pct"/>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74</w:t>
            </w:r>
          </w:p>
        </w:tc>
      </w:tr>
      <w:tr w:rsidR="0083557B" w:rsidRPr="00023977" w:rsidTr="00D66608">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3703" w:type="pct"/>
            <w:noWrap/>
            <w:hideMark/>
          </w:tcPr>
          <w:p w:rsidR="0083557B" w:rsidRPr="00023977" w:rsidRDefault="0083557B" w:rsidP="002F63E2">
            <w:pPr>
              <w:rPr>
                <w:rFonts w:cs="Arial"/>
                <w:b w:val="0"/>
                <w:color w:val="000000"/>
                <w:sz w:val="24"/>
                <w:lang w:val="es-CO" w:eastAsia="es-CO"/>
              </w:rPr>
            </w:pPr>
            <w:r w:rsidRPr="00023977">
              <w:rPr>
                <w:rFonts w:cs="Arial"/>
                <w:b w:val="0"/>
                <w:color w:val="000000"/>
                <w:sz w:val="24"/>
                <w:lang w:eastAsia="es-CO"/>
              </w:rPr>
              <w:t>Mansilla-Bogotá para entrega en Bogotá (Puente Aranda y Aeropuerto El Dorado)</w:t>
            </w:r>
          </w:p>
        </w:tc>
        <w:tc>
          <w:tcPr>
            <w:tcW w:w="1297" w:type="pct"/>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15</w:t>
            </w:r>
          </w:p>
        </w:tc>
      </w:tr>
      <w:tr w:rsidR="0083557B" w:rsidRPr="00023977" w:rsidTr="00D66608">
        <w:trPr>
          <w:cnfStyle w:val="000000010000" w:firstRow="0" w:lastRow="0" w:firstColumn="0" w:lastColumn="0" w:oddVBand="0" w:evenVBand="0" w:oddHBand="0" w:evenHBand="1"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3703" w:type="pct"/>
            <w:noWrap/>
            <w:hideMark/>
          </w:tcPr>
          <w:p w:rsidR="0083557B" w:rsidRPr="00023977" w:rsidRDefault="0083557B" w:rsidP="002F63E2">
            <w:pPr>
              <w:rPr>
                <w:rFonts w:cs="Arial"/>
                <w:b w:val="0"/>
                <w:color w:val="000000"/>
                <w:sz w:val="24"/>
                <w:lang w:val="es-CO" w:eastAsia="es-CO"/>
              </w:rPr>
            </w:pPr>
            <w:r w:rsidRPr="00023977">
              <w:rPr>
                <w:rFonts w:cs="Arial"/>
                <w:b w:val="0"/>
                <w:color w:val="000000"/>
                <w:sz w:val="24"/>
                <w:lang w:eastAsia="es-CO"/>
              </w:rPr>
              <w:t>Sebastopol-Tocancipá para entrega en Tocancipá</w:t>
            </w:r>
          </w:p>
        </w:tc>
        <w:tc>
          <w:tcPr>
            <w:tcW w:w="1297" w:type="pct"/>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129</w:t>
            </w:r>
          </w:p>
        </w:tc>
      </w:tr>
      <w:tr w:rsidR="0083557B" w:rsidRPr="00023977" w:rsidTr="00D666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hideMark/>
          </w:tcPr>
          <w:p w:rsidR="0083557B" w:rsidRPr="00023977" w:rsidRDefault="0083557B" w:rsidP="002F63E2">
            <w:pPr>
              <w:rPr>
                <w:rFonts w:cs="Arial"/>
                <w:b w:val="0"/>
                <w:color w:val="000000"/>
                <w:sz w:val="24"/>
                <w:lang w:val="es-CO" w:eastAsia="es-CO"/>
              </w:rPr>
            </w:pPr>
            <w:r w:rsidRPr="00023977">
              <w:rPr>
                <w:rFonts w:cs="Arial"/>
                <w:b w:val="0"/>
                <w:color w:val="000000"/>
                <w:sz w:val="24"/>
                <w:lang w:eastAsia="es-CO"/>
              </w:rPr>
              <w:t>Medellín-Cartago para entrega en Cartago</w:t>
            </w:r>
          </w:p>
        </w:tc>
        <w:tc>
          <w:tcPr>
            <w:tcW w:w="1297" w:type="pct"/>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28</w:t>
            </w:r>
          </w:p>
        </w:tc>
      </w:tr>
      <w:tr w:rsidR="0083557B" w:rsidRPr="00023977" w:rsidTr="00D66608">
        <w:trPr>
          <w:cnfStyle w:val="000000010000" w:firstRow="0" w:lastRow="0" w:firstColumn="0" w:lastColumn="0" w:oddVBand="0" w:evenVBand="0" w:oddHBand="0" w:evenHBand="1" w:firstRowFirstColumn="0" w:firstRowLastColumn="0" w:lastRowFirstColumn="0" w:lastRowLastColumn="0"/>
          <w:trHeight w:val="319"/>
          <w:jc w:val="center"/>
        </w:trPr>
        <w:tc>
          <w:tcPr>
            <w:cnfStyle w:val="001000000000" w:firstRow="0" w:lastRow="0" w:firstColumn="1" w:lastColumn="0" w:oddVBand="0" w:evenVBand="0" w:oddHBand="0" w:evenHBand="0" w:firstRowFirstColumn="0" w:firstRowLastColumn="0" w:lastRowFirstColumn="0" w:lastRowLastColumn="0"/>
            <w:tcW w:w="3703" w:type="pct"/>
            <w:noWrap/>
            <w:hideMark/>
          </w:tcPr>
          <w:p w:rsidR="0083557B" w:rsidRPr="00023977" w:rsidRDefault="0083557B" w:rsidP="002F63E2">
            <w:pPr>
              <w:rPr>
                <w:rFonts w:cs="Arial"/>
                <w:b w:val="0"/>
                <w:color w:val="000000"/>
                <w:sz w:val="24"/>
                <w:lang w:val="es-CO" w:eastAsia="es-CO"/>
              </w:rPr>
            </w:pPr>
            <w:r w:rsidRPr="00023977">
              <w:rPr>
                <w:rFonts w:cs="Arial"/>
                <w:b w:val="0"/>
                <w:color w:val="000000"/>
                <w:sz w:val="24"/>
                <w:lang w:eastAsia="es-CO"/>
              </w:rPr>
              <w:t>Sistema Odeca entrega en Manizales, Pereira y Cartago</w:t>
            </w:r>
          </w:p>
        </w:tc>
        <w:tc>
          <w:tcPr>
            <w:tcW w:w="1297" w:type="pct"/>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84</w:t>
            </w:r>
          </w:p>
        </w:tc>
      </w:tr>
      <w:tr w:rsidR="0083557B" w:rsidRPr="00023977" w:rsidTr="00D666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hideMark/>
          </w:tcPr>
          <w:p w:rsidR="0083557B" w:rsidRPr="00023977" w:rsidRDefault="0083557B" w:rsidP="002F63E2">
            <w:pPr>
              <w:rPr>
                <w:rFonts w:cs="Arial"/>
                <w:b w:val="0"/>
                <w:color w:val="000000"/>
                <w:sz w:val="24"/>
                <w:lang w:val="es-CO" w:eastAsia="es-CO"/>
              </w:rPr>
            </w:pPr>
            <w:r w:rsidRPr="00023977">
              <w:rPr>
                <w:rFonts w:cs="Arial"/>
                <w:b w:val="0"/>
                <w:color w:val="000000"/>
                <w:sz w:val="24"/>
                <w:lang w:eastAsia="es-CO"/>
              </w:rPr>
              <w:t>Cartago-Yumbo para entrega en Yumbo</w:t>
            </w:r>
          </w:p>
        </w:tc>
        <w:tc>
          <w:tcPr>
            <w:tcW w:w="1297" w:type="pct"/>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28</w:t>
            </w:r>
          </w:p>
        </w:tc>
      </w:tr>
      <w:tr w:rsidR="0083557B" w:rsidRPr="00023977" w:rsidTr="00D66608">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hideMark/>
          </w:tcPr>
          <w:p w:rsidR="0083557B" w:rsidRPr="00023977" w:rsidRDefault="0083557B" w:rsidP="002F63E2">
            <w:pPr>
              <w:rPr>
                <w:rFonts w:cs="Arial"/>
                <w:b w:val="0"/>
                <w:color w:val="000000"/>
                <w:sz w:val="24"/>
                <w:lang w:val="es-CO" w:eastAsia="es-CO"/>
              </w:rPr>
            </w:pPr>
            <w:r w:rsidRPr="00023977">
              <w:rPr>
                <w:rFonts w:cs="Arial"/>
                <w:b w:val="0"/>
                <w:color w:val="000000"/>
                <w:sz w:val="24"/>
                <w:lang w:eastAsia="es-CO"/>
              </w:rPr>
              <w:t>Buenaventura-Yumbo para entrega en Yumbo</w:t>
            </w:r>
          </w:p>
        </w:tc>
        <w:tc>
          <w:tcPr>
            <w:tcW w:w="1297" w:type="pct"/>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37</w:t>
            </w:r>
          </w:p>
        </w:tc>
      </w:tr>
      <w:tr w:rsidR="0083557B" w:rsidRPr="00023977" w:rsidTr="00D666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hideMark/>
          </w:tcPr>
          <w:p w:rsidR="0083557B" w:rsidRPr="00023977" w:rsidRDefault="0083557B" w:rsidP="002F63E2">
            <w:pPr>
              <w:rPr>
                <w:rFonts w:cs="Arial"/>
                <w:b w:val="0"/>
                <w:color w:val="000000"/>
                <w:sz w:val="24"/>
                <w:lang w:val="es-CO" w:eastAsia="es-CO"/>
              </w:rPr>
            </w:pPr>
            <w:r w:rsidRPr="00023977">
              <w:rPr>
                <w:rFonts w:cs="Arial"/>
                <w:b w:val="0"/>
                <w:color w:val="000000"/>
                <w:sz w:val="24"/>
                <w:lang w:eastAsia="es-CO"/>
              </w:rPr>
              <w:t>Yumbo-Buenaventura para entrega en Buenaventura</w:t>
            </w:r>
          </w:p>
        </w:tc>
        <w:tc>
          <w:tcPr>
            <w:tcW w:w="1297" w:type="pct"/>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37</w:t>
            </w:r>
          </w:p>
        </w:tc>
      </w:tr>
      <w:tr w:rsidR="0083557B" w:rsidRPr="00023977" w:rsidTr="00D66608">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hideMark/>
          </w:tcPr>
          <w:p w:rsidR="0083557B" w:rsidRPr="00023977" w:rsidRDefault="0083557B" w:rsidP="002F63E2">
            <w:pPr>
              <w:rPr>
                <w:rFonts w:cs="Arial"/>
                <w:b w:val="0"/>
                <w:color w:val="000000"/>
                <w:sz w:val="24"/>
                <w:lang w:val="es-CO" w:eastAsia="es-CO"/>
              </w:rPr>
            </w:pPr>
            <w:r w:rsidRPr="00023977">
              <w:rPr>
                <w:rFonts w:cs="Arial"/>
                <w:b w:val="0"/>
                <w:color w:val="000000"/>
                <w:sz w:val="24"/>
                <w:lang w:eastAsia="es-CO"/>
              </w:rPr>
              <w:t>Entregas en Buenaventura producto importado o de cabotaje (solo para producto suministrado por Ecopetrol)</w:t>
            </w:r>
          </w:p>
        </w:tc>
        <w:tc>
          <w:tcPr>
            <w:tcW w:w="1297" w:type="pct"/>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295,32</w:t>
            </w:r>
          </w:p>
        </w:tc>
      </w:tr>
      <w:tr w:rsidR="0083557B" w:rsidRPr="00023977" w:rsidTr="00D6660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703" w:type="pct"/>
            <w:noWrap/>
            <w:hideMark/>
          </w:tcPr>
          <w:p w:rsidR="0083557B" w:rsidRPr="00023977" w:rsidRDefault="0083557B" w:rsidP="002F63E2">
            <w:pPr>
              <w:rPr>
                <w:rFonts w:cs="Arial"/>
                <w:b w:val="0"/>
                <w:color w:val="000000"/>
                <w:sz w:val="24"/>
                <w:lang w:val="es-CO" w:eastAsia="es-CO"/>
              </w:rPr>
            </w:pPr>
            <w:r w:rsidRPr="00023977">
              <w:rPr>
                <w:rFonts w:cs="Arial"/>
                <w:b w:val="0"/>
                <w:color w:val="000000"/>
                <w:sz w:val="24"/>
                <w:lang w:eastAsia="es-CO"/>
              </w:rPr>
              <w:t>Salgar-Gualanday para entrega en Gualanday</w:t>
            </w:r>
          </w:p>
        </w:tc>
        <w:tc>
          <w:tcPr>
            <w:tcW w:w="1297" w:type="pct"/>
            <w:noWrap/>
            <w:vAlign w:val="center"/>
            <w:hideMark/>
          </w:tcPr>
          <w:p w:rsidR="0083557B" w:rsidRPr="00023977"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color w:val="000000"/>
                <w:sz w:val="24"/>
                <w:lang w:val="es-CO" w:eastAsia="es-CO"/>
              </w:rPr>
            </w:pPr>
            <w:r w:rsidRPr="00023977">
              <w:rPr>
                <w:rFonts w:cs="Arial"/>
                <w:color w:val="000000"/>
                <w:sz w:val="24"/>
                <w:lang w:eastAsia="es-CO"/>
              </w:rPr>
              <w:t>55</w:t>
            </w:r>
          </w:p>
        </w:tc>
      </w:tr>
      <w:tr w:rsidR="0083557B" w:rsidRPr="00023977" w:rsidTr="00D66608">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703" w:type="pct"/>
            <w:noWrap/>
            <w:hideMark/>
          </w:tcPr>
          <w:p w:rsidR="0083557B" w:rsidRPr="00023977" w:rsidRDefault="0083557B" w:rsidP="002F63E2">
            <w:pPr>
              <w:rPr>
                <w:rFonts w:cs="Arial"/>
                <w:b w:val="0"/>
                <w:color w:val="000000"/>
                <w:sz w:val="24"/>
                <w:lang w:val="es-CO" w:eastAsia="es-CO"/>
              </w:rPr>
            </w:pPr>
            <w:r w:rsidRPr="00023977">
              <w:rPr>
                <w:rFonts w:cs="Arial"/>
                <w:b w:val="0"/>
                <w:color w:val="000000"/>
                <w:sz w:val="24"/>
                <w:lang w:eastAsia="es-CO"/>
              </w:rPr>
              <w:t>Gualanday-Neiva para entrega en Neiva</w:t>
            </w:r>
          </w:p>
        </w:tc>
        <w:tc>
          <w:tcPr>
            <w:tcW w:w="1297" w:type="pct"/>
            <w:noWrap/>
            <w:vAlign w:val="center"/>
            <w:hideMark/>
          </w:tcPr>
          <w:p w:rsidR="0083557B" w:rsidRPr="00023977"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color w:val="000000"/>
                <w:sz w:val="24"/>
                <w:lang w:val="es-CO" w:eastAsia="es-CO"/>
              </w:rPr>
            </w:pPr>
            <w:r w:rsidRPr="00023977">
              <w:rPr>
                <w:rFonts w:cs="Arial"/>
                <w:color w:val="000000"/>
                <w:sz w:val="24"/>
                <w:lang w:eastAsia="es-CO"/>
              </w:rPr>
              <w:t>52</w:t>
            </w:r>
          </w:p>
        </w:tc>
      </w:tr>
    </w:tbl>
    <w:p w:rsidR="00285912" w:rsidRPr="00023977" w:rsidRDefault="00285912" w:rsidP="0083557B">
      <w:pPr>
        <w:ind w:left="195"/>
        <w:rPr>
          <w:rFonts w:eastAsia="Arial" w:cs="Arial"/>
          <w:sz w:val="24"/>
        </w:rPr>
      </w:pPr>
    </w:p>
    <w:p w:rsidR="00E90EA9" w:rsidRDefault="00E90EA9" w:rsidP="007308C4">
      <w:pPr>
        <w:rPr>
          <w:rFonts w:eastAsia="Arial" w:cs="Arial"/>
          <w:sz w:val="24"/>
        </w:rPr>
      </w:pPr>
    </w:p>
    <w:p w:rsidR="00E90EA9" w:rsidRDefault="00E90EA9" w:rsidP="007308C4">
      <w:pPr>
        <w:rPr>
          <w:rFonts w:eastAsia="Arial" w:cs="Arial"/>
          <w:sz w:val="24"/>
        </w:rPr>
      </w:pPr>
    </w:p>
    <w:p w:rsidR="007308C4" w:rsidRDefault="007308C4" w:rsidP="007308C4">
      <w:pPr>
        <w:rPr>
          <w:rFonts w:eastAsia="Arial" w:cs="Arial"/>
          <w:sz w:val="24"/>
        </w:rPr>
      </w:pPr>
      <w:r w:rsidRPr="00023977">
        <w:rPr>
          <w:rFonts w:eastAsia="Arial" w:cs="Arial"/>
          <w:sz w:val="24"/>
        </w:rPr>
        <w:t>Posteriores resoluciones del Ministerio de Minas han modificado las tarifas de acuerdo a la siguiente tabla resumen:</w:t>
      </w:r>
    </w:p>
    <w:p w:rsidR="00E90EA9" w:rsidRDefault="00E90EA9" w:rsidP="007308C4">
      <w:pPr>
        <w:rPr>
          <w:rFonts w:eastAsia="Arial" w:cs="Arial"/>
          <w:sz w:val="24"/>
        </w:rPr>
      </w:pPr>
    </w:p>
    <w:tbl>
      <w:tblPr>
        <w:tblStyle w:val="Cuadrculaclara-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5670"/>
        <w:gridCol w:w="2020"/>
      </w:tblGrid>
      <w:tr w:rsidR="00D024FD" w:rsidRPr="00023977" w:rsidTr="00D6660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427" w:type="dxa"/>
            <w:gridSpan w:val="3"/>
            <w:tcBorders>
              <w:top w:val="none" w:sz="0" w:space="0" w:color="auto"/>
              <w:left w:val="none" w:sz="0" w:space="0" w:color="auto"/>
              <w:bottom w:val="none" w:sz="0" w:space="0" w:color="auto"/>
              <w:right w:val="none" w:sz="0" w:space="0" w:color="auto"/>
            </w:tcBorders>
          </w:tcPr>
          <w:p w:rsidR="00D024FD" w:rsidRPr="00D66608" w:rsidRDefault="00D024FD" w:rsidP="00212D72">
            <w:pPr>
              <w:jc w:val="center"/>
              <w:rPr>
                <w:rFonts w:cs="Arial"/>
                <w:b w:val="0"/>
                <w:sz w:val="24"/>
                <w:lang w:eastAsia="es-CO"/>
              </w:rPr>
            </w:pPr>
            <w:bookmarkStart w:id="394" w:name="_Toc437512814"/>
            <w:r w:rsidRPr="00D66608">
              <w:rPr>
                <w:b w:val="0"/>
              </w:rPr>
              <w:t xml:space="preserve">Tabla </w:t>
            </w:r>
            <w:r w:rsidRPr="00D66608">
              <w:fldChar w:fldCharType="begin"/>
            </w:r>
            <w:r w:rsidRPr="00D66608">
              <w:rPr>
                <w:b w:val="0"/>
              </w:rPr>
              <w:instrText xml:space="preserve"> SEQ Tabla \* ARABIC </w:instrText>
            </w:r>
            <w:r w:rsidRPr="00D66608">
              <w:fldChar w:fldCharType="separate"/>
            </w:r>
            <w:r w:rsidR="00625BEB">
              <w:rPr>
                <w:b w:val="0"/>
                <w:noProof/>
              </w:rPr>
              <w:t>8</w:t>
            </w:r>
            <w:r w:rsidRPr="00D66608">
              <w:fldChar w:fldCharType="end"/>
            </w:r>
            <w:r w:rsidRPr="00D66608">
              <w:rPr>
                <w:b w:val="0"/>
              </w:rPr>
              <w:t xml:space="preserve"> Resumen resoluciones tarifas de poliductos 2006-2011</w:t>
            </w:r>
            <w:bookmarkEnd w:id="394"/>
          </w:p>
        </w:tc>
      </w:tr>
      <w:tr w:rsidR="007308C4" w:rsidRPr="00023977" w:rsidTr="00D6660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37" w:type="dxa"/>
            <w:tcBorders>
              <w:top w:val="none" w:sz="0" w:space="0" w:color="auto"/>
              <w:left w:val="none" w:sz="0" w:space="0" w:color="auto"/>
              <w:bottom w:val="none" w:sz="0" w:space="0" w:color="auto"/>
              <w:right w:val="none" w:sz="0" w:space="0" w:color="auto"/>
            </w:tcBorders>
            <w:vAlign w:val="center"/>
          </w:tcPr>
          <w:p w:rsidR="007308C4" w:rsidRPr="00D66608" w:rsidRDefault="007308C4" w:rsidP="00D024FD">
            <w:pPr>
              <w:jc w:val="center"/>
              <w:rPr>
                <w:rFonts w:cs="Arial"/>
                <w:b w:val="0"/>
                <w:sz w:val="24"/>
                <w:lang w:eastAsia="es-CO"/>
              </w:rPr>
            </w:pPr>
            <w:r w:rsidRPr="00D66608">
              <w:rPr>
                <w:rFonts w:cs="Arial"/>
                <w:b w:val="0"/>
                <w:sz w:val="24"/>
                <w:lang w:eastAsia="es-CO"/>
              </w:rPr>
              <w:t>Resolución</w:t>
            </w:r>
          </w:p>
        </w:tc>
        <w:tc>
          <w:tcPr>
            <w:tcW w:w="5670" w:type="dxa"/>
            <w:tcBorders>
              <w:top w:val="none" w:sz="0" w:space="0" w:color="auto"/>
              <w:left w:val="none" w:sz="0" w:space="0" w:color="auto"/>
              <w:bottom w:val="none" w:sz="0" w:space="0" w:color="auto"/>
              <w:right w:val="none" w:sz="0" w:space="0" w:color="auto"/>
            </w:tcBorders>
            <w:vAlign w:val="center"/>
            <w:hideMark/>
          </w:tcPr>
          <w:p w:rsidR="007308C4" w:rsidRPr="00D66608" w:rsidRDefault="009A3296" w:rsidP="00D024FD">
            <w:pPr>
              <w:jc w:val="center"/>
              <w:cnfStyle w:val="100000000000" w:firstRow="1" w:lastRow="0" w:firstColumn="0" w:lastColumn="0" w:oddVBand="0" w:evenVBand="0" w:oddHBand="0" w:evenHBand="0" w:firstRowFirstColumn="0" w:firstRowLastColumn="0" w:lastRowFirstColumn="0" w:lastRowLastColumn="0"/>
              <w:rPr>
                <w:rFonts w:cs="Arial"/>
                <w:b w:val="0"/>
                <w:sz w:val="24"/>
                <w:lang w:eastAsia="es-CO"/>
              </w:rPr>
            </w:pPr>
            <w:r w:rsidRPr="00D66608">
              <w:rPr>
                <w:rFonts w:cs="Arial"/>
                <w:b w:val="0"/>
                <w:sz w:val="24"/>
                <w:lang w:eastAsia="es-CO"/>
              </w:rPr>
              <w:t>ciudad de entrega</w:t>
            </w:r>
          </w:p>
        </w:tc>
        <w:tc>
          <w:tcPr>
            <w:tcW w:w="2020" w:type="dxa"/>
            <w:tcBorders>
              <w:top w:val="none" w:sz="0" w:space="0" w:color="auto"/>
              <w:left w:val="none" w:sz="0" w:space="0" w:color="auto"/>
              <w:bottom w:val="none" w:sz="0" w:space="0" w:color="auto"/>
              <w:right w:val="none" w:sz="0" w:space="0" w:color="auto"/>
            </w:tcBorders>
            <w:vAlign w:val="center"/>
            <w:hideMark/>
          </w:tcPr>
          <w:p w:rsidR="007308C4" w:rsidRPr="00D66608" w:rsidRDefault="007308C4" w:rsidP="00D024FD">
            <w:pPr>
              <w:jc w:val="center"/>
              <w:cnfStyle w:val="100000000000" w:firstRow="1" w:lastRow="0" w:firstColumn="0" w:lastColumn="0" w:oddVBand="0" w:evenVBand="0" w:oddHBand="0" w:evenHBand="0" w:firstRowFirstColumn="0" w:firstRowLastColumn="0" w:lastRowFirstColumn="0" w:lastRowLastColumn="0"/>
              <w:rPr>
                <w:rFonts w:cs="Arial"/>
                <w:b w:val="0"/>
                <w:sz w:val="24"/>
                <w:lang w:eastAsia="es-CO"/>
              </w:rPr>
            </w:pPr>
            <w:r w:rsidRPr="00D66608">
              <w:rPr>
                <w:rFonts w:cs="Arial"/>
                <w:b w:val="0"/>
                <w:sz w:val="24"/>
                <w:lang w:eastAsia="es-CO"/>
              </w:rPr>
              <w:t>Tarifa $ / Galón</w:t>
            </w:r>
          </w:p>
        </w:tc>
      </w:tr>
      <w:tr w:rsidR="007308C4" w:rsidRPr="00023977" w:rsidTr="00D666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7" w:type="dxa"/>
            <w:vMerge w:val="restart"/>
            <w:tcBorders>
              <w:top w:val="none" w:sz="0" w:space="0" w:color="auto"/>
              <w:left w:val="none" w:sz="0" w:space="0" w:color="auto"/>
              <w:bottom w:val="none" w:sz="0" w:space="0" w:color="auto"/>
              <w:right w:val="none" w:sz="0" w:space="0" w:color="auto"/>
            </w:tcBorders>
            <w:vAlign w:val="center"/>
          </w:tcPr>
          <w:p w:rsidR="007308C4" w:rsidRPr="00D66608" w:rsidRDefault="007308C4" w:rsidP="00212D72">
            <w:pPr>
              <w:jc w:val="center"/>
              <w:rPr>
                <w:rFonts w:cs="Arial"/>
                <w:b w:val="0"/>
                <w:sz w:val="24"/>
                <w:lang w:eastAsia="es-CO"/>
              </w:rPr>
            </w:pPr>
            <w:r w:rsidRPr="00D66608">
              <w:rPr>
                <w:rFonts w:cs="Arial"/>
                <w:b w:val="0"/>
                <w:sz w:val="24"/>
                <w:lang w:eastAsia="es-CO"/>
              </w:rPr>
              <w:t>180230 de 2006</w:t>
            </w:r>
          </w:p>
        </w:tc>
        <w:tc>
          <w:tcPr>
            <w:tcW w:w="5670" w:type="dxa"/>
            <w:tcBorders>
              <w:top w:val="none" w:sz="0" w:space="0" w:color="auto"/>
              <w:left w:val="none" w:sz="0" w:space="0" w:color="auto"/>
              <w:bottom w:val="none" w:sz="0" w:space="0" w:color="auto"/>
              <w:right w:val="none" w:sz="0" w:space="0" w:color="auto"/>
            </w:tcBorders>
            <w:vAlign w:val="center"/>
            <w:hideMark/>
          </w:tcPr>
          <w:p w:rsidR="007308C4" w:rsidRPr="00D66608" w:rsidRDefault="007308C4" w:rsidP="00212D72">
            <w:pPr>
              <w:cnfStyle w:val="000000100000" w:firstRow="0" w:lastRow="0" w:firstColumn="0" w:lastColumn="0" w:oddVBand="0" w:evenVBand="0" w:oddHBand="1" w:evenHBand="0" w:firstRowFirstColumn="0" w:firstRowLastColumn="0" w:lastRowFirstColumn="0" w:lastRowLastColumn="0"/>
              <w:rPr>
                <w:rFonts w:cs="Arial"/>
                <w:sz w:val="24"/>
                <w:lang w:eastAsia="es-CO"/>
              </w:rPr>
            </w:pPr>
            <w:r w:rsidRPr="00D66608">
              <w:rPr>
                <w:rFonts w:cs="Arial"/>
                <w:sz w:val="24"/>
                <w:lang w:eastAsia="es-CO"/>
              </w:rPr>
              <w:t>Ciudad de Barrancabermeja (Entregas locales)</w:t>
            </w:r>
          </w:p>
        </w:tc>
        <w:tc>
          <w:tcPr>
            <w:tcW w:w="2020" w:type="dxa"/>
            <w:tcBorders>
              <w:top w:val="none" w:sz="0" w:space="0" w:color="auto"/>
              <w:left w:val="none" w:sz="0" w:space="0" w:color="auto"/>
              <w:bottom w:val="none" w:sz="0" w:space="0" w:color="auto"/>
              <w:right w:val="none" w:sz="0" w:space="0" w:color="auto"/>
            </w:tcBorders>
            <w:vAlign w:val="center"/>
            <w:hideMark/>
          </w:tcPr>
          <w:p w:rsidR="007308C4" w:rsidRPr="00D66608" w:rsidRDefault="007308C4" w:rsidP="00212D7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s-CO"/>
              </w:rPr>
            </w:pPr>
            <w:r w:rsidRPr="00D66608">
              <w:rPr>
                <w:rFonts w:eastAsia="Times New Roman" w:cs="Arial"/>
                <w:sz w:val="24"/>
                <w:lang w:eastAsia="es-CO"/>
              </w:rPr>
              <w:t>63,55</w:t>
            </w:r>
          </w:p>
        </w:tc>
      </w:tr>
      <w:tr w:rsidR="007308C4" w:rsidRPr="00023977" w:rsidTr="00D666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7" w:type="dxa"/>
            <w:vMerge/>
            <w:tcBorders>
              <w:top w:val="none" w:sz="0" w:space="0" w:color="auto"/>
              <w:left w:val="none" w:sz="0" w:space="0" w:color="auto"/>
              <w:bottom w:val="none" w:sz="0" w:space="0" w:color="auto"/>
              <w:right w:val="none" w:sz="0" w:space="0" w:color="auto"/>
            </w:tcBorders>
            <w:vAlign w:val="center"/>
          </w:tcPr>
          <w:p w:rsidR="007308C4" w:rsidRPr="00D66608" w:rsidRDefault="007308C4" w:rsidP="00212D72">
            <w:pPr>
              <w:jc w:val="center"/>
              <w:rPr>
                <w:rFonts w:cs="Arial"/>
                <w:b w:val="0"/>
                <w:sz w:val="24"/>
                <w:lang w:eastAsia="es-CO"/>
              </w:rPr>
            </w:pPr>
          </w:p>
        </w:tc>
        <w:tc>
          <w:tcPr>
            <w:tcW w:w="5670" w:type="dxa"/>
            <w:tcBorders>
              <w:top w:val="none" w:sz="0" w:space="0" w:color="auto"/>
              <w:left w:val="none" w:sz="0" w:space="0" w:color="auto"/>
              <w:bottom w:val="none" w:sz="0" w:space="0" w:color="auto"/>
              <w:right w:val="none" w:sz="0" w:space="0" w:color="auto"/>
            </w:tcBorders>
            <w:vAlign w:val="center"/>
            <w:hideMark/>
          </w:tcPr>
          <w:p w:rsidR="007308C4" w:rsidRPr="00D66608" w:rsidRDefault="007308C4" w:rsidP="00212D72">
            <w:pPr>
              <w:cnfStyle w:val="000000010000" w:firstRow="0" w:lastRow="0" w:firstColumn="0" w:lastColumn="0" w:oddVBand="0" w:evenVBand="0" w:oddHBand="0" w:evenHBand="1" w:firstRowFirstColumn="0" w:firstRowLastColumn="0" w:lastRowFirstColumn="0" w:lastRowLastColumn="0"/>
              <w:rPr>
                <w:rFonts w:cs="Arial"/>
                <w:sz w:val="24"/>
                <w:lang w:eastAsia="es-CO"/>
              </w:rPr>
            </w:pPr>
            <w:r w:rsidRPr="00D66608">
              <w:rPr>
                <w:rFonts w:cs="Arial"/>
                <w:sz w:val="24"/>
                <w:lang w:eastAsia="es-CO"/>
              </w:rPr>
              <w:t>Galán-Bucaramanga para entrega en Lizama</w:t>
            </w:r>
          </w:p>
        </w:tc>
        <w:tc>
          <w:tcPr>
            <w:tcW w:w="2020" w:type="dxa"/>
            <w:tcBorders>
              <w:top w:val="none" w:sz="0" w:space="0" w:color="auto"/>
              <w:left w:val="none" w:sz="0" w:space="0" w:color="auto"/>
              <w:bottom w:val="none" w:sz="0" w:space="0" w:color="auto"/>
              <w:right w:val="none" w:sz="0" w:space="0" w:color="auto"/>
            </w:tcBorders>
            <w:vAlign w:val="center"/>
            <w:hideMark/>
          </w:tcPr>
          <w:p w:rsidR="007308C4" w:rsidRPr="00D66608" w:rsidRDefault="007308C4" w:rsidP="00212D72">
            <w:pPr>
              <w:jc w:val="center"/>
              <w:cnfStyle w:val="000000010000" w:firstRow="0" w:lastRow="0" w:firstColumn="0" w:lastColumn="0" w:oddVBand="0" w:evenVBand="0" w:oddHBand="0" w:evenHBand="1" w:firstRowFirstColumn="0" w:firstRowLastColumn="0" w:lastRowFirstColumn="0" w:lastRowLastColumn="0"/>
              <w:rPr>
                <w:rFonts w:eastAsia="Times New Roman" w:cs="Arial"/>
                <w:sz w:val="24"/>
                <w:lang w:eastAsia="es-CO"/>
              </w:rPr>
            </w:pPr>
            <w:r w:rsidRPr="00D66608">
              <w:rPr>
                <w:rFonts w:eastAsia="Times New Roman" w:cs="Arial"/>
                <w:sz w:val="24"/>
                <w:lang w:eastAsia="es-CO"/>
              </w:rPr>
              <w:t>81,04</w:t>
            </w:r>
          </w:p>
        </w:tc>
      </w:tr>
      <w:tr w:rsidR="007308C4" w:rsidRPr="00023977" w:rsidTr="00D666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7" w:type="dxa"/>
            <w:vMerge/>
            <w:tcBorders>
              <w:top w:val="none" w:sz="0" w:space="0" w:color="auto"/>
              <w:left w:val="none" w:sz="0" w:space="0" w:color="auto"/>
              <w:bottom w:val="none" w:sz="0" w:space="0" w:color="auto"/>
              <w:right w:val="none" w:sz="0" w:space="0" w:color="auto"/>
            </w:tcBorders>
            <w:vAlign w:val="center"/>
          </w:tcPr>
          <w:p w:rsidR="007308C4" w:rsidRPr="00D66608" w:rsidRDefault="007308C4" w:rsidP="00212D72">
            <w:pPr>
              <w:jc w:val="center"/>
              <w:rPr>
                <w:rFonts w:cs="Arial"/>
                <w:b w:val="0"/>
                <w:sz w:val="24"/>
                <w:lang w:eastAsia="es-CO"/>
              </w:rPr>
            </w:pPr>
          </w:p>
        </w:tc>
        <w:tc>
          <w:tcPr>
            <w:tcW w:w="5670" w:type="dxa"/>
            <w:tcBorders>
              <w:top w:val="none" w:sz="0" w:space="0" w:color="auto"/>
              <w:left w:val="none" w:sz="0" w:space="0" w:color="auto"/>
              <w:bottom w:val="none" w:sz="0" w:space="0" w:color="auto"/>
              <w:right w:val="none" w:sz="0" w:space="0" w:color="auto"/>
            </w:tcBorders>
            <w:vAlign w:val="center"/>
            <w:hideMark/>
          </w:tcPr>
          <w:p w:rsidR="007308C4" w:rsidRPr="00D66608" w:rsidRDefault="007308C4" w:rsidP="00212D72">
            <w:pPr>
              <w:cnfStyle w:val="000000100000" w:firstRow="0" w:lastRow="0" w:firstColumn="0" w:lastColumn="0" w:oddVBand="0" w:evenVBand="0" w:oddHBand="1" w:evenHBand="0" w:firstRowFirstColumn="0" w:firstRowLastColumn="0" w:lastRowFirstColumn="0" w:lastRowLastColumn="0"/>
              <w:rPr>
                <w:rFonts w:cs="Arial"/>
                <w:sz w:val="24"/>
                <w:lang w:eastAsia="es-CO"/>
              </w:rPr>
            </w:pPr>
            <w:r w:rsidRPr="00D66608">
              <w:rPr>
                <w:rFonts w:cs="Arial"/>
                <w:sz w:val="24"/>
                <w:lang w:eastAsia="es-CO"/>
              </w:rPr>
              <w:t>Galán-Bucaramanga para entrega en Bucaramanga</w:t>
            </w:r>
          </w:p>
        </w:tc>
        <w:tc>
          <w:tcPr>
            <w:tcW w:w="2020" w:type="dxa"/>
            <w:tcBorders>
              <w:top w:val="none" w:sz="0" w:space="0" w:color="auto"/>
              <w:left w:val="none" w:sz="0" w:space="0" w:color="auto"/>
              <w:bottom w:val="none" w:sz="0" w:space="0" w:color="auto"/>
              <w:right w:val="none" w:sz="0" w:space="0" w:color="auto"/>
            </w:tcBorders>
            <w:vAlign w:val="center"/>
            <w:hideMark/>
          </w:tcPr>
          <w:p w:rsidR="007308C4" w:rsidRPr="00D66608" w:rsidRDefault="007308C4" w:rsidP="00212D72">
            <w:pPr>
              <w:jc w:val="center"/>
              <w:cnfStyle w:val="000000100000" w:firstRow="0" w:lastRow="0" w:firstColumn="0" w:lastColumn="0" w:oddVBand="0" w:evenVBand="0" w:oddHBand="1" w:evenHBand="0" w:firstRowFirstColumn="0" w:firstRowLastColumn="0" w:lastRowFirstColumn="0" w:lastRowLastColumn="0"/>
              <w:rPr>
                <w:rFonts w:eastAsia="Times New Roman" w:cs="Arial"/>
                <w:sz w:val="24"/>
                <w:lang w:eastAsia="es-CO"/>
              </w:rPr>
            </w:pPr>
            <w:r w:rsidRPr="00D66608">
              <w:rPr>
                <w:rFonts w:eastAsia="Times New Roman" w:cs="Arial"/>
                <w:sz w:val="24"/>
                <w:lang w:eastAsia="es-CO"/>
              </w:rPr>
              <w:t>108,81</w:t>
            </w:r>
          </w:p>
        </w:tc>
      </w:tr>
      <w:tr w:rsidR="007308C4" w:rsidRPr="00023977" w:rsidTr="00D6660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7" w:type="dxa"/>
            <w:tcBorders>
              <w:top w:val="none" w:sz="0" w:space="0" w:color="auto"/>
              <w:left w:val="none" w:sz="0" w:space="0" w:color="auto"/>
              <w:bottom w:val="none" w:sz="0" w:space="0" w:color="auto"/>
              <w:right w:val="none" w:sz="0" w:space="0" w:color="auto"/>
            </w:tcBorders>
            <w:vAlign w:val="center"/>
          </w:tcPr>
          <w:p w:rsidR="007308C4" w:rsidRPr="00D66608" w:rsidRDefault="007308C4" w:rsidP="00212D72">
            <w:pPr>
              <w:jc w:val="center"/>
              <w:rPr>
                <w:rFonts w:cs="Arial"/>
                <w:b w:val="0"/>
                <w:sz w:val="24"/>
                <w:lang w:eastAsia="es-CO"/>
              </w:rPr>
            </w:pPr>
            <w:r w:rsidRPr="00D66608">
              <w:rPr>
                <w:rFonts w:cs="Arial"/>
                <w:b w:val="0"/>
                <w:sz w:val="24"/>
                <w:lang w:eastAsia="es-CO"/>
              </w:rPr>
              <w:t>181300 de 2007</w:t>
            </w:r>
          </w:p>
        </w:tc>
        <w:tc>
          <w:tcPr>
            <w:tcW w:w="5670" w:type="dxa"/>
            <w:tcBorders>
              <w:top w:val="none" w:sz="0" w:space="0" w:color="auto"/>
              <w:left w:val="none" w:sz="0" w:space="0" w:color="auto"/>
              <w:bottom w:val="none" w:sz="0" w:space="0" w:color="auto"/>
              <w:right w:val="none" w:sz="0" w:space="0" w:color="auto"/>
            </w:tcBorders>
            <w:vAlign w:val="center"/>
            <w:hideMark/>
          </w:tcPr>
          <w:p w:rsidR="007308C4" w:rsidRPr="00D66608" w:rsidRDefault="007308C4" w:rsidP="00212D72">
            <w:pPr>
              <w:cnfStyle w:val="000000010000" w:firstRow="0" w:lastRow="0" w:firstColumn="0" w:lastColumn="0" w:oddVBand="0" w:evenVBand="0" w:oddHBand="0" w:evenHBand="1" w:firstRowFirstColumn="0" w:firstRowLastColumn="0" w:lastRowFirstColumn="0" w:lastRowLastColumn="0"/>
              <w:rPr>
                <w:rFonts w:cs="Arial"/>
                <w:sz w:val="24"/>
                <w:lang w:eastAsia="es-CO"/>
              </w:rPr>
            </w:pPr>
            <w:r w:rsidRPr="00D66608">
              <w:rPr>
                <w:rFonts w:cs="Arial"/>
                <w:sz w:val="24"/>
                <w:lang w:eastAsia="es-CO"/>
              </w:rPr>
              <w:t xml:space="preserve">Ciudad de Cartagena (Entregas locales y en muelles) </w:t>
            </w:r>
          </w:p>
        </w:tc>
        <w:tc>
          <w:tcPr>
            <w:tcW w:w="2020" w:type="dxa"/>
            <w:tcBorders>
              <w:top w:val="none" w:sz="0" w:space="0" w:color="auto"/>
              <w:left w:val="none" w:sz="0" w:space="0" w:color="auto"/>
              <w:bottom w:val="none" w:sz="0" w:space="0" w:color="auto"/>
              <w:right w:val="none" w:sz="0" w:space="0" w:color="auto"/>
            </w:tcBorders>
            <w:vAlign w:val="center"/>
            <w:hideMark/>
          </w:tcPr>
          <w:p w:rsidR="007308C4" w:rsidRPr="00D66608" w:rsidRDefault="007308C4" w:rsidP="00212D72">
            <w:pPr>
              <w:jc w:val="center"/>
              <w:cnfStyle w:val="000000010000" w:firstRow="0" w:lastRow="0" w:firstColumn="0" w:lastColumn="0" w:oddVBand="0" w:evenVBand="0" w:oddHBand="0" w:evenHBand="1" w:firstRowFirstColumn="0" w:firstRowLastColumn="0" w:lastRowFirstColumn="0" w:lastRowLastColumn="0"/>
              <w:rPr>
                <w:rFonts w:cs="Arial"/>
                <w:sz w:val="24"/>
                <w:lang w:eastAsia="es-CO"/>
              </w:rPr>
            </w:pPr>
            <w:r w:rsidRPr="00D66608">
              <w:rPr>
                <w:rFonts w:cs="Arial"/>
                <w:sz w:val="24"/>
                <w:lang w:eastAsia="es-CO"/>
              </w:rPr>
              <w:t>56,70</w:t>
            </w:r>
          </w:p>
        </w:tc>
      </w:tr>
      <w:tr w:rsidR="007308C4" w:rsidRPr="00023977" w:rsidTr="00D6660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37" w:type="dxa"/>
            <w:tcBorders>
              <w:top w:val="none" w:sz="0" w:space="0" w:color="auto"/>
              <w:left w:val="none" w:sz="0" w:space="0" w:color="auto"/>
              <w:bottom w:val="none" w:sz="0" w:space="0" w:color="auto"/>
              <w:right w:val="none" w:sz="0" w:space="0" w:color="auto"/>
            </w:tcBorders>
            <w:vAlign w:val="center"/>
          </w:tcPr>
          <w:p w:rsidR="007308C4" w:rsidRPr="00D66608" w:rsidRDefault="007308C4" w:rsidP="00212D72">
            <w:pPr>
              <w:jc w:val="center"/>
              <w:rPr>
                <w:rFonts w:cs="Arial"/>
                <w:b w:val="0"/>
                <w:sz w:val="24"/>
                <w:lang w:eastAsia="es-CO"/>
              </w:rPr>
            </w:pPr>
            <w:r w:rsidRPr="00D66608">
              <w:rPr>
                <w:rFonts w:cs="Arial"/>
                <w:b w:val="0"/>
                <w:sz w:val="24"/>
                <w:lang w:eastAsia="es-CO"/>
              </w:rPr>
              <w:t>180701 de 2011</w:t>
            </w:r>
          </w:p>
        </w:tc>
        <w:tc>
          <w:tcPr>
            <w:tcW w:w="5670" w:type="dxa"/>
            <w:tcBorders>
              <w:top w:val="none" w:sz="0" w:space="0" w:color="auto"/>
              <w:left w:val="none" w:sz="0" w:space="0" w:color="auto"/>
              <w:bottom w:val="none" w:sz="0" w:space="0" w:color="auto"/>
              <w:right w:val="none" w:sz="0" w:space="0" w:color="auto"/>
            </w:tcBorders>
            <w:vAlign w:val="center"/>
          </w:tcPr>
          <w:p w:rsidR="007308C4" w:rsidRPr="00D66608" w:rsidRDefault="007308C4" w:rsidP="00212D72">
            <w:pPr>
              <w:cnfStyle w:val="000000100000" w:firstRow="0" w:lastRow="0" w:firstColumn="0" w:lastColumn="0" w:oddVBand="0" w:evenVBand="0" w:oddHBand="1" w:evenHBand="0" w:firstRowFirstColumn="0" w:firstRowLastColumn="0" w:lastRowFirstColumn="0" w:lastRowLastColumn="0"/>
              <w:rPr>
                <w:rFonts w:cs="Arial"/>
                <w:sz w:val="24"/>
                <w:lang w:eastAsia="es-CO"/>
              </w:rPr>
            </w:pPr>
            <w:r w:rsidRPr="00D66608">
              <w:rPr>
                <w:rFonts w:eastAsia="Times New Roman" w:cs="Arial"/>
                <w:color w:val="000000"/>
                <w:sz w:val="24"/>
                <w:lang w:eastAsia="es-CO"/>
              </w:rPr>
              <w:t>Salgar-km 4,5 conexión a la planta de La Dorada para entrega en La Dorada, Caldas</w:t>
            </w:r>
          </w:p>
        </w:tc>
        <w:tc>
          <w:tcPr>
            <w:tcW w:w="2020" w:type="dxa"/>
            <w:tcBorders>
              <w:top w:val="none" w:sz="0" w:space="0" w:color="auto"/>
              <w:left w:val="none" w:sz="0" w:space="0" w:color="auto"/>
              <w:bottom w:val="none" w:sz="0" w:space="0" w:color="auto"/>
              <w:right w:val="none" w:sz="0" w:space="0" w:color="auto"/>
            </w:tcBorders>
            <w:vAlign w:val="center"/>
          </w:tcPr>
          <w:p w:rsidR="007308C4" w:rsidRPr="00D66608" w:rsidRDefault="007308C4" w:rsidP="00212D72">
            <w:pPr>
              <w:jc w:val="center"/>
              <w:cnfStyle w:val="000000100000" w:firstRow="0" w:lastRow="0" w:firstColumn="0" w:lastColumn="0" w:oddVBand="0" w:evenVBand="0" w:oddHBand="1" w:evenHBand="0" w:firstRowFirstColumn="0" w:firstRowLastColumn="0" w:lastRowFirstColumn="0" w:lastRowLastColumn="0"/>
              <w:rPr>
                <w:rFonts w:cs="Arial"/>
                <w:sz w:val="24"/>
                <w:lang w:eastAsia="es-CO"/>
              </w:rPr>
            </w:pPr>
            <w:r w:rsidRPr="00D66608">
              <w:rPr>
                <w:rFonts w:cs="Arial"/>
                <w:sz w:val="24"/>
                <w:lang w:eastAsia="es-CO"/>
              </w:rPr>
              <w:t>74,6</w:t>
            </w:r>
          </w:p>
        </w:tc>
      </w:tr>
    </w:tbl>
    <w:p w:rsidR="007308C4" w:rsidRDefault="007308C4" w:rsidP="007308C4">
      <w:pPr>
        <w:ind w:left="195"/>
        <w:rPr>
          <w:rFonts w:eastAsia="Arial" w:cs="Arial"/>
          <w:sz w:val="24"/>
        </w:rPr>
      </w:pPr>
    </w:p>
    <w:p w:rsidR="0070435B" w:rsidRDefault="007308C4" w:rsidP="009C76A5">
      <w:pPr>
        <w:rPr>
          <w:rFonts w:eastAsia="Arial" w:cs="Arial"/>
          <w:sz w:val="24"/>
        </w:rPr>
      </w:pPr>
      <w:r w:rsidRPr="00023977">
        <w:rPr>
          <w:rFonts w:eastAsia="Arial" w:cs="Arial"/>
          <w:sz w:val="24"/>
        </w:rPr>
        <w:t xml:space="preserve">La </w:t>
      </w:r>
      <w:r w:rsidR="00812E27">
        <w:rPr>
          <w:rFonts w:eastAsia="Arial" w:cs="Arial"/>
          <w:sz w:val="24"/>
        </w:rPr>
        <w:fldChar w:fldCharType="begin"/>
      </w:r>
      <w:r w:rsidR="00812E27">
        <w:rPr>
          <w:rFonts w:eastAsia="Arial" w:cs="Arial"/>
          <w:sz w:val="24"/>
        </w:rPr>
        <w:instrText xml:space="preserve"> REF _Ref437263721 \h </w:instrText>
      </w:r>
      <w:r w:rsidR="00812E27">
        <w:rPr>
          <w:rFonts w:eastAsia="Arial" w:cs="Arial"/>
          <w:sz w:val="24"/>
        </w:rPr>
      </w:r>
      <w:r w:rsidR="00812E27">
        <w:rPr>
          <w:rFonts w:eastAsia="Arial" w:cs="Arial"/>
          <w:sz w:val="24"/>
        </w:rPr>
        <w:fldChar w:fldCharType="separate"/>
      </w:r>
      <w:r w:rsidR="00625BEB">
        <w:t xml:space="preserve">Gráfica </w:t>
      </w:r>
      <w:r w:rsidR="00625BEB">
        <w:rPr>
          <w:noProof/>
        </w:rPr>
        <w:t>11</w:t>
      </w:r>
      <w:r w:rsidR="00812E27">
        <w:rPr>
          <w:rFonts w:eastAsia="Arial" w:cs="Arial"/>
          <w:sz w:val="24"/>
        </w:rPr>
        <w:fldChar w:fldCharType="end"/>
      </w:r>
      <w:r w:rsidR="00812E27">
        <w:rPr>
          <w:rFonts w:eastAsia="Arial" w:cs="Arial"/>
          <w:sz w:val="24"/>
        </w:rPr>
        <w:t xml:space="preserve"> </w:t>
      </w:r>
      <w:r w:rsidR="00035A94" w:rsidRPr="00023977">
        <w:rPr>
          <w:rFonts w:eastAsia="Arial" w:cs="Arial"/>
          <w:sz w:val="24"/>
        </w:rPr>
        <w:t xml:space="preserve">permite ver la evolución de las tarifas para ductos troncales. </w:t>
      </w:r>
      <w:r w:rsidR="00A96CC8" w:rsidRPr="00023977">
        <w:rPr>
          <w:rFonts w:eastAsia="Arial" w:cs="Arial"/>
          <w:sz w:val="24"/>
        </w:rPr>
        <w:t>El más costoso d</w:t>
      </w:r>
      <w:r w:rsidR="00285912">
        <w:rPr>
          <w:rFonts w:eastAsia="Arial" w:cs="Arial"/>
          <w:sz w:val="24"/>
        </w:rPr>
        <w:t>e estos tramos es el que va de G</w:t>
      </w:r>
      <w:r w:rsidR="0070435B">
        <w:rPr>
          <w:rFonts w:eastAsia="Arial" w:cs="Arial"/>
          <w:sz w:val="24"/>
        </w:rPr>
        <w:t>alán a Sebastopol que pasó de $</w:t>
      </w:r>
      <w:r w:rsidR="00A96CC8" w:rsidRPr="00023977">
        <w:rPr>
          <w:rFonts w:eastAsia="Arial" w:cs="Arial"/>
          <w:sz w:val="24"/>
        </w:rPr>
        <w:t>100 en 2003 a $167 en 2015, para una variación porcentual de 67%.</w:t>
      </w:r>
    </w:p>
    <w:p w:rsidR="0070435B" w:rsidRDefault="0070435B" w:rsidP="009C76A5">
      <w:pPr>
        <w:rPr>
          <w:rFonts w:eastAsia="Arial" w:cs="Arial"/>
          <w:sz w:val="24"/>
        </w:rPr>
      </w:pPr>
    </w:p>
    <w:p w:rsidR="007308C4" w:rsidRPr="00023977" w:rsidRDefault="009C76A5" w:rsidP="009C76A5">
      <w:pPr>
        <w:rPr>
          <w:rFonts w:eastAsia="Arial" w:cs="Arial"/>
          <w:sz w:val="24"/>
        </w:rPr>
      </w:pPr>
      <w:r w:rsidRPr="00023977">
        <w:rPr>
          <w:rFonts w:eastAsia="Arial" w:cs="Arial"/>
          <w:sz w:val="24"/>
        </w:rPr>
        <w:t>En el c</w:t>
      </w:r>
      <w:r w:rsidR="00285912">
        <w:rPr>
          <w:rFonts w:eastAsia="Arial" w:cs="Arial"/>
          <w:sz w:val="24"/>
        </w:rPr>
        <w:t>aso del tramo Galán – Bucaramanga, pasó de $</w:t>
      </w:r>
      <w:r w:rsidRPr="00023977">
        <w:rPr>
          <w:rFonts w:eastAsia="Arial" w:cs="Arial"/>
          <w:sz w:val="24"/>
        </w:rPr>
        <w:t>75 a $148 (</w:t>
      </w:r>
      <w:r w:rsidR="0070435B">
        <w:rPr>
          <w:rFonts w:eastAsia="Arial" w:cs="Arial"/>
          <w:sz w:val="24"/>
        </w:rPr>
        <w:t xml:space="preserve">variación de </w:t>
      </w:r>
      <w:r w:rsidRPr="00023977">
        <w:rPr>
          <w:rFonts w:eastAsia="Arial" w:cs="Arial"/>
          <w:sz w:val="24"/>
        </w:rPr>
        <w:t xml:space="preserve">97%); el tramo Cartagena </w:t>
      </w:r>
      <w:r w:rsidR="00285912">
        <w:rPr>
          <w:rFonts w:eastAsia="Arial" w:cs="Arial"/>
          <w:sz w:val="24"/>
        </w:rPr>
        <w:t xml:space="preserve">- </w:t>
      </w:r>
      <w:r w:rsidRPr="00023977">
        <w:rPr>
          <w:rFonts w:eastAsia="Arial" w:cs="Arial"/>
          <w:sz w:val="24"/>
        </w:rPr>
        <w:t>B</w:t>
      </w:r>
      <w:r w:rsidR="00285912">
        <w:rPr>
          <w:rFonts w:eastAsia="Arial" w:cs="Arial"/>
          <w:sz w:val="24"/>
        </w:rPr>
        <w:t>aranoa de $50 a $</w:t>
      </w:r>
      <w:r w:rsidRPr="00023977">
        <w:rPr>
          <w:rFonts w:eastAsia="Arial" w:cs="Arial"/>
          <w:sz w:val="24"/>
        </w:rPr>
        <w:t>108 (</w:t>
      </w:r>
      <w:r w:rsidR="0070435B">
        <w:rPr>
          <w:rFonts w:eastAsia="Arial" w:cs="Arial"/>
          <w:sz w:val="24"/>
        </w:rPr>
        <w:t xml:space="preserve">variación de </w:t>
      </w:r>
      <w:r w:rsidRPr="00023977">
        <w:rPr>
          <w:rFonts w:eastAsia="Arial" w:cs="Arial"/>
          <w:sz w:val="24"/>
        </w:rPr>
        <w:t>117%) y el tramo Po</w:t>
      </w:r>
      <w:r w:rsidR="00285912">
        <w:rPr>
          <w:rFonts w:eastAsia="Arial" w:cs="Arial"/>
          <w:sz w:val="24"/>
        </w:rPr>
        <w:t>zos Colorados – Galán pasó de $42 a $</w:t>
      </w:r>
      <w:r w:rsidRPr="00023977">
        <w:rPr>
          <w:rFonts w:eastAsia="Arial" w:cs="Arial"/>
          <w:sz w:val="24"/>
        </w:rPr>
        <w:t>66 (</w:t>
      </w:r>
      <w:r w:rsidR="0070435B">
        <w:rPr>
          <w:rFonts w:eastAsia="Arial" w:cs="Arial"/>
          <w:sz w:val="24"/>
        </w:rPr>
        <w:t xml:space="preserve">variación de </w:t>
      </w:r>
      <w:r w:rsidRPr="00023977">
        <w:rPr>
          <w:rFonts w:eastAsia="Arial" w:cs="Arial"/>
          <w:sz w:val="24"/>
        </w:rPr>
        <w:t>57%).</w:t>
      </w:r>
    </w:p>
    <w:p w:rsidR="0083557B" w:rsidRDefault="0083557B" w:rsidP="0083557B">
      <w:pPr>
        <w:ind w:left="195"/>
        <w:rPr>
          <w:rFonts w:cs="Arial"/>
          <w:noProof/>
          <w:lang w:val="es-CO" w:eastAsia="es-CO"/>
        </w:rPr>
      </w:pPr>
    </w:p>
    <w:p w:rsidR="00E90EA9" w:rsidRPr="004859E4" w:rsidRDefault="00E90EA9" w:rsidP="0083557B">
      <w:pPr>
        <w:ind w:left="195"/>
        <w:rPr>
          <w:rFonts w:cs="Arial"/>
          <w:noProof/>
          <w:lang w:val="es-CO" w:eastAsia="es-CO"/>
        </w:rPr>
      </w:pPr>
    </w:p>
    <w:p w:rsidR="00806684" w:rsidRDefault="007308C4" w:rsidP="00806684">
      <w:pPr>
        <w:keepNext/>
        <w:ind w:left="195"/>
      </w:pPr>
      <w:r>
        <w:rPr>
          <w:noProof/>
          <w:lang w:val="es-CO" w:eastAsia="es-CO"/>
        </w:rPr>
        <w:drawing>
          <wp:inline distT="0" distB="0" distL="0" distR="0" wp14:anchorId="721170DF" wp14:editId="222409D6">
            <wp:extent cx="5771213" cy="2533338"/>
            <wp:effectExtent l="0" t="0" r="20320" b="19685"/>
            <wp:docPr id="57" name="Gráfico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35A94" w:rsidRPr="00023977" w:rsidRDefault="00035A94" w:rsidP="00806684">
      <w:pPr>
        <w:ind w:left="195"/>
        <w:rPr>
          <w:rFonts w:cs="Arial"/>
          <w:b/>
          <w:szCs w:val="22"/>
          <w:lang w:val="es-CO"/>
        </w:rPr>
      </w:pPr>
      <w:r w:rsidRPr="004859E4">
        <w:rPr>
          <w:rFonts w:cs="Arial"/>
          <w:sz w:val="16"/>
        </w:rPr>
        <w:t xml:space="preserve">Fuente: Cálculos CREG. </w:t>
      </w:r>
    </w:p>
    <w:p w:rsidR="00A82433" w:rsidRDefault="00A82433" w:rsidP="00A82433">
      <w:pPr>
        <w:pStyle w:val="Epgrafe"/>
      </w:pPr>
      <w:bookmarkStart w:id="395" w:name="_Ref437263721"/>
      <w:bookmarkStart w:id="396" w:name="_Toc437512848"/>
      <w:r>
        <w:t xml:space="preserve">Gráfica </w:t>
      </w:r>
      <w:r>
        <w:fldChar w:fldCharType="begin"/>
      </w:r>
      <w:r>
        <w:instrText xml:space="preserve"> SEQ Gráfica \* ARABIC </w:instrText>
      </w:r>
      <w:r>
        <w:fldChar w:fldCharType="separate"/>
      </w:r>
      <w:r w:rsidR="00625BEB">
        <w:rPr>
          <w:noProof/>
        </w:rPr>
        <w:t>11</w:t>
      </w:r>
      <w:r>
        <w:fldChar w:fldCharType="end"/>
      </w:r>
      <w:bookmarkEnd w:id="395"/>
      <w:r>
        <w:t xml:space="preserve"> </w:t>
      </w:r>
      <w:r w:rsidRPr="009917A6">
        <w:t>Evolución tarifa de transporte para ductos troncales ($ por Galón)</w:t>
      </w:r>
      <w:bookmarkEnd w:id="396"/>
    </w:p>
    <w:p w:rsidR="00A82433" w:rsidRPr="00A82433" w:rsidRDefault="00A82433" w:rsidP="00A82433"/>
    <w:p w:rsidR="0083557B" w:rsidRPr="00023977" w:rsidRDefault="009C76A5" w:rsidP="0083557B">
      <w:pPr>
        <w:ind w:left="195"/>
        <w:rPr>
          <w:rFonts w:cs="Arial"/>
          <w:noProof/>
          <w:sz w:val="24"/>
          <w:lang w:val="es-CO" w:eastAsia="es-CO"/>
        </w:rPr>
      </w:pPr>
      <w:r w:rsidRPr="00023977">
        <w:rPr>
          <w:rFonts w:cs="Arial"/>
          <w:noProof/>
          <w:sz w:val="24"/>
          <w:lang w:val="es-CO" w:eastAsia="es-CO"/>
        </w:rPr>
        <w:t xml:space="preserve">El comportamiento de las tarifas para rutas más lejanas a </w:t>
      </w:r>
      <w:r w:rsidR="00F83FB4" w:rsidRPr="00023977">
        <w:rPr>
          <w:rFonts w:cs="Arial"/>
          <w:noProof/>
          <w:sz w:val="24"/>
          <w:lang w:val="es-CO" w:eastAsia="es-CO"/>
        </w:rPr>
        <w:t>l</w:t>
      </w:r>
      <w:r w:rsidRPr="00023977">
        <w:rPr>
          <w:rFonts w:cs="Arial"/>
          <w:noProof/>
          <w:sz w:val="24"/>
          <w:lang w:val="es-CO" w:eastAsia="es-CO"/>
        </w:rPr>
        <w:t>os puntos de refinación e importación se pueden apreciar en la</w:t>
      </w:r>
      <w:r w:rsidR="00812E27">
        <w:rPr>
          <w:rFonts w:cs="Arial"/>
          <w:noProof/>
          <w:sz w:val="24"/>
          <w:lang w:val="es-CO" w:eastAsia="es-CO"/>
        </w:rPr>
        <w:t xml:space="preserve"> </w:t>
      </w:r>
      <w:r w:rsidR="00812E27">
        <w:rPr>
          <w:rFonts w:cs="Arial"/>
          <w:noProof/>
          <w:sz w:val="24"/>
          <w:lang w:val="es-CO" w:eastAsia="es-CO"/>
        </w:rPr>
        <w:fldChar w:fldCharType="begin"/>
      </w:r>
      <w:r w:rsidR="00812E27">
        <w:rPr>
          <w:rFonts w:cs="Arial"/>
          <w:noProof/>
          <w:sz w:val="24"/>
          <w:lang w:val="es-CO" w:eastAsia="es-CO"/>
        </w:rPr>
        <w:instrText xml:space="preserve"> REF _Ref437263746 \h </w:instrText>
      </w:r>
      <w:r w:rsidR="00812E27">
        <w:rPr>
          <w:rFonts w:cs="Arial"/>
          <w:noProof/>
          <w:sz w:val="24"/>
          <w:lang w:val="es-CO" w:eastAsia="es-CO"/>
        </w:rPr>
      </w:r>
      <w:r w:rsidR="00812E27">
        <w:rPr>
          <w:rFonts w:cs="Arial"/>
          <w:noProof/>
          <w:sz w:val="24"/>
          <w:lang w:val="es-CO" w:eastAsia="es-CO"/>
        </w:rPr>
        <w:fldChar w:fldCharType="separate"/>
      </w:r>
      <w:r w:rsidR="00625BEB">
        <w:t xml:space="preserve">Gráfica </w:t>
      </w:r>
      <w:r w:rsidR="00625BEB">
        <w:rPr>
          <w:noProof/>
        </w:rPr>
        <w:t>12</w:t>
      </w:r>
      <w:r w:rsidR="00812E27">
        <w:rPr>
          <w:rFonts w:cs="Arial"/>
          <w:noProof/>
          <w:sz w:val="24"/>
          <w:lang w:val="es-CO" w:eastAsia="es-CO"/>
        </w:rPr>
        <w:fldChar w:fldCharType="end"/>
      </w:r>
      <w:r w:rsidRPr="00023977">
        <w:rPr>
          <w:rFonts w:cs="Arial"/>
          <w:noProof/>
          <w:sz w:val="24"/>
          <w:lang w:val="es-CO" w:eastAsia="es-CO"/>
        </w:rPr>
        <w:t>.</w:t>
      </w:r>
      <w:r w:rsidR="00F83FB4" w:rsidRPr="00023977">
        <w:rPr>
          <w:rFonts w:cs="Arial"/>
          <w:noProof/>
          <w:sz w:val="24"/>
          <w:lang w:val="es-CO" w:eastAsia="es-CO"/>
        </w:rPr>
        <w:t xml:space="preserve"> La ruta más costosa es la que va desde Galán hasta Apiay, que</w:t>
      </w:r>
      <w:r w:rsidR="00285912">
        <w:rPr>
          <w:rFonts w:cs="Arial"/>
          <w:noProof/>
          <w:sz w:val="24"/>
          <w:lang w:val="es-CO" w:eastAsia="es-CO"/>
        </w:rPr>
        <w:t xml:space="preserve"> hoy en día tiene un valor de $</w:t>
      </w:r>
      <w:r w:rsidR="00F83FB4" w:rsidRPr="00023977">
        <w:rPr>
          <w:rFonts w:cs="Arial"/>
          <w:noProof/>
          <w:sz w:val="24"/>
          <w:lang w:val="es-CO" w:eastAsia="es-CO"/>
        </w:rPr>
        <w:t xml:space="preserve">533. </w:t>
      </w:r>
    </w:p>
    <w:p w:rsidR="0083557B" w:rsidRDefault="0083557B" w:rsidP="0083557B">
      <w:pPr>
        <w:rPr>
          <w:rFonts w:cs="Arial"/>
          <w:lang w:val="es-ES_tradnl"/>
        </w:rPr>
      </w:pPr>
    </w:p>
    <w:p w:rsidR="00446290" w:rsidRDefault="00F83FB4" w:rsidP="00446290">
      <w:pPr>
        <w:keepNext/>
        <w:jc w:val="center"/>
      </w:pPr>
      <w:r>
        <w:rPr>
          <w:noProof/>
          <w:lang w:val="es-CO" w:eastAsia="es-CO"/>
        </w:rPr>
        <w:lastRenderedPageBreak/>
        <w:drawing>
          <wp:inline distT="0" distB="0" distL="0" distR="0" wp14:anchorId="5B9A13A8" wp14:editId="40F107B9">
            <wp:extent cx="5759355" cy="2811438"/>
            <wp:effectExtent l="0" t="0" r="13335" b="27305"/>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3557B" w:rsidRPr="00023977" w:rsidRDefault="00035A94" w:rsidP="00446290">
      <w:pPr>
        <w:ind w:left="195"/>
        <w:rPr>
          <w:lang w:val="es-CO"/>
        </w:rPr>
      </w:pPr>
      <w:r w:rsidRPr="004859E4">
        <w:rPr>
          <w:rFonts w:cs="Arial"/>
          <w:sz w:val="16"/>
        </w:rPr>
        <w:t xml:space="preserve">Fuente: Cálculos CREG. </w:t>
      </w:r>
    </w:p>
    <w:p w:rsidR="00A82433" w:rsidRDefault="00A82433" w:rsidP="00A82433">
      <w:pPr>
        <w:pStyle w:val="Epgrafe"/>
        <w:rPr>
          <w:rFonts w:cs="Arial"/>
          <w:lang w:val="es-ES_tradnl"/>
        </w:rPr>
      </w:pPr>
      <w:bookmarkStart w:id="397" w:name="_Ref437263746"/>
      <w:bookmarkStart w:id="398" w:name="_Toc437512849"/>
      <w:r>
        <w:t xml:space="preserve">Gráfica </w:t>
      </w:r>
      <w:r>
        <w:fldChar w:fldCharType="begin"/>
      </w:r>
      <w:r>
        <w:instrText xml:space="preserve"> SEQ Gráfica \* ARABIC </w:instrText>
      </w:r>
      <w:r>
        <w:fldChar w:fldCharType="separate"/>
      </w:r>
      <w:r w:rsidR="00625BEB">
        <w:rPr>
          <w:noProof/>
        </w:rPr>
        <w:t>12</w:t>
      </w:r>
      <w:r>
        <w:fldChar w:fldCharType="end"/>
      </w:r>
      <w:bookmarkEnd w:id="397"/>
      <w:r>
        <w:rPr>
          <w:noProof/>
        </w:rPr>
        <w:t xml:space="preserve"> </w:t>
      </w:r>
      <w:r w:rsidRPr="00ED1ED7">
        <w:rPr>
          <w:noProof/>
        </w:rPr>
        <w:t>Evolución tarifa de transporte rutas desde Galán ($ por galón)</w:t>
      </w:r>
      <w:bookmarkEnd w:id="398"/>
    </w:p>
    <w:p w:rsidR="00A82433" w:rsidRDefault="00A82433" w:rsidP="00D864DC">
      <w:pPr>
        <w:rPr>
          <w:rFonts w:cs="Arial"/>
          <w:sz w:val="24"/>
          <w:lang w:val="es-ES_tradnl"/>
        </w:rPr>
      </w:pPr>
    </w:p>
    <w:p w:rsidR="00BB3232" w:rsidRDefault="0083557B" w:rsidP="00D864DC">
      <w:pPr>
        <w:rPr>
          <w:rFonts w:cs="Arial"/>
          <w:sz w:val="24"/>
          <w:lang w:val="es-ES_tradnl"/>
        </w:rPr>
      </w:pPr>
      <w:r w:rsidRPr="00023977">
        <w:rPr>
          <w:rFonts w:cs="Arial"/>
          <w:sz w:val="24"/>
          <w:lang w:val="es-ES_tradnl"/>
        </w:rPr>
        <w:t xml:space="preserve">La </w:t>
      </w:r>
      <w:r w:rsidR="00D024FD">
        <w:rPr>
          <w:rFonts w:cs="Arial"/>
          <w:sz w:val="24"/>
          <w:lang w:val="es-ES_tradnl"/>
        </w:rPr>
        <w:fldChar w:fldCharType="begin"/>
      </w:r>
      <w:r w:rsidR="00D024FD">
        <w:rPr>
          <w:rFonts w:cs="Arial"/>
          <w:sz w:val="24"/>
          <w:lang w:val="es-ES_tradnl"/>
        </w:rPr>
        <w:instrText xml:space="preserve"> REF _Ref437508890 \h </w:instrText>
      </w:r>
      <w:r w:rsidR="00D024FD">
        <w:rPr>
          <w:rFonts w:cs="Arial"/>
          <w:sz w:val="24"/>
          <w:lang w:val="es-ES_tradnl"/>
        </w:rPr>
      </w:r>
      <w:r w:rsidR="00D024FD">
        <w:rPr>
          <w:rFonts w:cs="Arial"/>
          <w:sz w:val="24"/>
          <w:lang w:val="es-ES_tradnl"/>
        </w:rPr>
        <w:fldChar w:fldCharType="separate"/>
      </w:r>
      <w:r w:rsidR="00625BEB">
        <w:t xml:space="preserve">Gráfica </w:t>
      </w:r>
      <w:r w:rsidR="00625BEB">
        <w:rPr>
          <w:noProof/>
        </w:rPr>
        <w:t>13</w:t>
      </w:r>
      <w:r w:rsidR="00D024FD">
        <w:rPr>
          <w:rFonts w:cs="Arial"/>
          <w:sz w:val="24"/>
          <w:lang w:val="es-ES_tradnl"/>
        </w:rPr>
        <w:fldChar w:fldCharType="end"/>
      </w:r>
      <w:r w:rsidR="00D024FD">
        <w:rPr>
          <w:rFonts w:cs="Arial"/>
          <w:sz w:val="24"/>
          <w:lang w:val="es-ES_tradnl"/>
        </w:rPr>
        <w:t xml:space="preserve"> </w:t>
      </w:r>
      <w:r w:rsidRPr="00023977">
        <w:rPr>
          <w:rFonts w:cs="Arial"/>
          <w:sz w:val="24"/>
          <w:lang w:val="es-ES_tradnl"/>
        </w:rPr>
        <w:t>muestra las tarifas actuales</w:t>
      </w:r>
      <w:r w:rsidR="007308C4" w:rsidRPr="00023977">
        <w:rPr>
          <w:rFonts w:cs="Arial"/>
          <w:sz w:val="24"/>
          <w:lang w:val="es-ES_tradnl"/>
        </w:rPr>
        <w:t xml:space="preserve"> publicadas por Cenit</w:t>
      </w:r>
      <w:r w:rsidR="00F83FB4" w:rsidRPr="00023977">
        <w:rPr>
          <w:rFonts w:cs="Arial"/>
          <w:sz w:val="24"/>
          <w:lang w:val="es-ES_tradnl"/>
        </w:rPr>
        <w:t xml:space="preserve">, para el mes de agosto de 2015. Estos precios indican el valor de llevar productos desde Galán a los puntos de entrega a lo largo del sistema. </w:t>
      </w:r>
    </w:p>
    <w:p w:rsidR="00BB3232" w:rsidRDefault="00BB3232" w:rsidP="00D864DC">
      <w:pPr>
        <w:rPr>
          <w:rFonts w:cs="Arial"/>
          <w:sz w:val="24"/>
          <w:lang w:val="es-ES_tradnl"/>
        </w:rPr>
      </w:pPr>
    </w:p>
    <w:p w:rsidR="0083557B" w:rsidRPr="00023977" w:rsidRDefault="00D864DC" w:rsidP="00D864DC">
      <w:pPr>
        <w:rPr>
          <w:rFonts w:cs="Arial"/>
          <w:sz w:val="24"/>
          <w:lang w:val="es-ES_tradnl"/>
        </w:rPr>
      </w:pPr>
      <w:r w:rsidRPr="00023977">
        <w:rPr>
          <w:rFonts w:cs="Arial"/>
          <w:sz w:val="24"/>
          <w:lang w:val="es-ES_tradnl"/>
        </w:rPr>
        <w:t>Los extremos más alejados a los puntos de producción e importación resultan más costosos, producto de una señal de distancia resultante de la suma de los tramos correspondientes para llegar a cada punto.</w:t>
      </w:r>
    </w:p>
    <w:p w:rsidR="00C77B93" w:rsidRDefault="00C77B93" w:rsidP="009C76A5">
      <w:pPr>
        <w:jc w:val="center"/>
        <w:rPr>
          <w:rFonts w:cs="Arial"/>
          <w:b/>
          <w:bCs/>
          <w:sz w:val="24"/>
          <w:szCs w:val="20"/>
          <w:lang w:val="es-CO" w:eastAsia="es-CO"/>
        </w:rPr>
      </w:pPr>
    </w:p>
    <w:p w:rsidR="00BB3232" w:rsidRDefault="00D024FD" w:rsidP="00D024FD">
      <w:pPr>
        <w:rPr>
          <w:rFonts w:cs="Arial"/>
          <w:sz w:val="24"/>
          <w:lang w:val="es-ES_tradnl"/>
        </w:rPr>
      </w:pPr>
      <w:r w:rsidRPr="00023977">
        <w:rPr>
          <w:rFonts w:cs="Arial"/>
          <w:sz w:val="24"/>
        </w:rPr>
        <w:t xml:space="preserve">Por otra parte la </w:t>
      </w:r>
      <w:r>
        <w:rPr>
          <w:rFonts w:cs="Arial"/>
          <w:sz w:val="24"/>
        </w:rPr>
        <w:fldChar w:fldCharType="begin"/>
      </w:r>
      <w:r>
        <w:rPr>
          <w:rFonts w:cs="Arial"/>
          <w:sz w:val="24"/>
        </w:rPr>
        <w:instrText xml:space="preserve"> REF _Ref437263778 \h </w:instrText>
      </w:r>
      <w:r>
        <w:rPr>
          <w:rFonts w:cs="Arial"/>
          <w:sz w:val="24"/>
        </w:rPr>
      </w:r>
      <w:r>
        <w:rPr>
          <w:rFonts w:cs="Arial"/>
          <w:sz w:val="24"/>
        </w:rPr>
        <w:fldChar w:fldCharType="separate"/>
      </w:r>
      <w:r w:rsidR="00625BEB">
        <w:t xml:space="preserve">Gráfica </w:t>
      </w:r>
      <w:r w:rsidR="00625BEB">
        <w:rPr>
          <w:noProof/>
        </w:rPr>
        <w:t>14</w:t>
      </w:r>
      <w:r>
        <w:rPr>
          <w:rFonts w:cs="Arial"/>
          <w:sz w:val="24"/>
        </w:rPr>
        <w:fldChar w:fldCharType="end"/>
      </w:r>
      <w:r>
        <w:rPr>
          <w:rFonts w:cs="Arial"/>
          <w:sz w:val="24"/>
        </w:rPr>
        <w:t xml:space="preserve"> </w:t>
      </w:r>
      <w:r w:rsidRPr="00023977">
        <w:rPr>
          <w:rFonts w:cs="Arial"/>
          <w:sz w:val="24"/>
          <w:lang w:val="es-ES_tradnl"/>
        </w:rPr>
        <w:t>muestra las tarifas actuales por tramo. Se pueden identificar diferencias claras en la valoración de las tarifas.</w:t>
      </w:r>
    </w:p>
    <w:p w:rsidR="00BB3232" w:rsidRDefault="00BB3232" w:rsidP="00D024FD">
      <w:pPr>
        <w:rPr>
          <w:rFonts w:cs="Arial"/>
          <w:sz w:val="24"/>
          <w:lang w:val="es-ES_tradnl"/>
        </w:rPr>
      </w:pPr>
    </w:p>
    <w:p w:rsidR="00BB3232" w:rsidRDefault="00D024FD" w:rsidP="00D024FD">
      <w:pPr>
        <w:rPr>
          <w:rFonts w:cs="Arial"/>
          <w:sz w:val="24"/>
          <w:lang w:val="es-ES_tradnl"/>
        </w:rPr>
      </w:pPr>
      <w:r w:rsidRPr="00023977">
        <w:rPr>
          <w:rFonts w:cs="Arial"/>
          <w:sz w:val="24"/>
          <w:lang w:val="es-ES_tradnl"/>
        </w:rPr>
        <w:t xml:space="preserve">Por </w:t>
      </w:r>
      <w:r w:rsidR="007C43CF">
        <w:rPr>
          <w:rFonts w:cs="Arial"/>
          <w:sz w:val="24"/>
          <w:lang w:val="es-ES_tradnl"/>
        </w:rPr>
        <w:t xml:space="preserve"> </w:t>
      </w:r>
      <w:r w:rsidRPr="00023977">
        <w:rPr>
          <w:rFonts w:cs="Arial"/>
          <w:sz w:val="24"/>
          <w:lang w:val="es-ES_tradnl"/>
        </w:rPr>
        <w:t>ejemplo en tramo P</w:t>
      </w:r>
      <w:r>
        <w:rPr>
          <w:rFonts w:cs="Arial"/>
          <w:sz w:val="24"/>
          <w:lang w:val="es-ES_tradnl"/>
        </w:rPr>
        <w:t>ozos Colorados – Galán (510 km)</w:t>
      </w:r>
      <w:r w:rsidRPr="00023977">
        <w:rPr>
          <w:rFonts w:cs="Arial"/>
          <w:sz w:val="24"/>
          <w:lang w:val="es-ES_tradnl"/>
        </w:rPr>
        <w:t xml:space="preserve"> tiene </w:t>
      </w:r>
      <w:r w:rsidR="007C43CF">
        <w:rPr>
          <w:rFonts w:cs="Arial"/>
          <w:sz w:val="24"/>
          <w:lang w:val="es-ES_tradnl"/>
        </w:rPr>
        <w:t xml:space="preserve"> </w:t>
      </w:r>
      <w:r w:rsidRPr="00023977">
        <w:rPr>
          <w:rFonts w:cs="Arial"/>
          <w:sz w:val="24"/>
          <w:lang w:val="es-ES_tradnl"/>
        </w:rPr>
        <w:t xml:space="preserve">una </w:t>
      </w:r>
      <w:r w:rsidR="007C43CF">
        <w:rPr>
          <w:rFonts w:cs="Arial"/>
          <w:sz w:val="24"/>
          <w:lang w:val="es-ES_tradnl"/>
        </w:rPr>
        <w:t xml:space="preserve"> </w:t>
      </w:r>
      <w:r w:rsidRPr="00023977">
        <w:rPr>
          <w:rFonts w:cs="Arial"/>
          <w:sz w:val="24"/>
          <w:lang w:val="es-ES_tradnl"/>
        </w:rPr>
        <w:t>tarifa</w:t>
      </w:r>
      <w:r w:rsidR="007C43CF">
        <w:rPr>
          <w:rFonts w:cs="Arial"/>
          <w:sz w:val="24"/>
          <w:lang w:val="es-ES_tradnl"/>
        </w:rPr>
        <w:t xml:space="preserve">  de $</w:t>
      </w:r>
      <w:r w:rsidRPr="00023977">
        <w:rPr>
          <w:rFonts w:cs="Arial"/>
          <w:sz w:val="24"/>
          <w:lang w:val="es-ES_tradnl"/>
        </w:rPr>
        <w:t>65,9</w:t>
      </w:r>
      <w:r w:rsidR="000674CD">
        <w:rPr>
          <w:rFonts w:cs="Arial"/>
          <w:sz w:val="24"/>
          <w:lang w:val="es-ES_tradnl"/>
        </w:rPr>
        <w:t xml:space="preserve"> </w:t>
      </w:r>
      <w:r w:rsidRPr="00023977">
        <w:rPr>
          <w:rFonts w:cs="Arial"/>
          <w:sz w:val="24"/>
          <w:lang w:val="es-ES_tradnl"/>
        </w:rPr>
        <w:t xml:space="preserve">mientras que otros tramos de menor longitud tienen tarifas </w:t>
      </w:r>
      <w:r>
        <w:rPr>
          <w:rFonts w:cs="Arial"/>
          <w:sz w:val="24"/>
          <w:lang w:val="es-ES_tradnl"/>
        </w:rPr>
        <w:t>mayores</w:t>
      </w:r>
      <w:r w:rsidRPr="00023977">
        <w:rPr>
          <w:rFonts w:cs="Arial"/>
          <w:sz w:val="24"/>
          <w:lang w:val="es-ES_tradnl"/>
        </w:rPr>
        <w:t xml:space="preserve">, como Galán – Bucaramanga, Cartagena – Baranoa, entre otros. </w:t>
      </w:r>
    </w:p>
    <w:p w:rsidR="00BB3232" w:rsidRDefault="00BB3232" w:rsidP="00D024FD">
      <w:pPr>
        <w:rPr>
          <w:rFonts w:cs="Arial"/>
          <w:sz w:val="24"/>
          <w:lang w:val="es-ES_tradnl"/>
        </w:rPr>
      </w:pPr>
    </w:p>
    <w:p w:rsidR="00D024FD" w:rsidRPr="00023977" w:rsidRDefault="00D024FD" w:rsidP="00D024FD">
      <w:pPr>
        <w:rPr>
          <w:rFonts w:cs="Arial"/>
          <w:sz w:val="24"/>
          <w:lang w:val="es-ES_tradnl"/>
        </w:rPr>
      </w:pPr>
      <w:r w:rsidRPr="00023977">
        <w:rPr>
          <w:rFonts w:cs="Arial"/>
          <w:sz w:val="24"/>
          <w:lang w:val="es-ES_tradnl"/>
        </w:rPr>
        <w:t xml:space="preserve">El caso del tramo Salgar – La Dorada, merece ser mencionado teniendo en cuenta que tiene una longitud de 3,8 kilómetros y una tarifa de $ </w:t>
      </w:r>
      <w:r>
        <w:rPr>
          <w:rFonts w:cs="Arial"/>
          <w:sz w:val="24"/>
          <w:lang w:val="es-ES_tradnl"/>
        </w:rPr>
        <w:t>56,69</w:t>
      </w:r>
      <w:r w:rsidRPr="00023977">
        <w:rPr>
          <w:rFonts w:cs="Arial"/>
          <w:sz w:val="24"/>
          <w:lang w:val="es-ES_tradnl"/>
        </w:rPr>
        <w:t>.</w:t>
      </w:r>
    </w:p>
    <w:p w:rsidR="00C77B93" w:rsidRPr="00D024FD" w:rsidRDefault="00C77B93" w:rsidP="00D024FD">
      <w:pPr>
        <w:rPr>
          <w:lang w:val="es-ES_tradnl" w:eastAsia="es-CO"/>
        </w:rPr>
      </w:pPr>
    </w:p>
    <w:p w:rsidR="00C77B93" w:rsidRDefault="00C77B93" w:rsidP="009C76A5">
      <w:pPr>
        <w:jc w:val="center"/>
        <w:rPr>
          <w:rFonts w:cs="Arial"/>
          <w:b/>
          <w:bCs/>
          <w:sz w:val="24"/>
          <w:szCs w:val="20"/>
          <w:lang w:val="es-CO" w:eastAsia="es-CO"/>
        </w:rPr>
      </w:pPr>
    </w:p>
    <w:p w:rsidR="00ED3101" w:rsidRDefault="00B468F7" w:rsidP="00ED3101">
      <w:pPr>
        <w:keepNext/>
        <w:jc w:val="center"/>
      </w:pPr>
      <w:r>
        <w:rPr>
          <w:noProof/>
          <w:lang w:val="es-CO" w:eastAsia="es-CO"/>
        </w:rPr>
        <w:lastRenderedPageBreak/>
        <w:drawing>
          <wp:inline distT="0" distB="0" distL="0" distR="0" wp14:anchorId="79C20910" wp14:editId="23E2A83F">
            <wp:extent cx="5645742" cy="3930555"/>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5039" cy="3943989"/>
                    </a:xfrm>
                    <a:prstGeom prst="rect">
                      <a:avLst/>
                    </a:prstGeom>
                  </pic:spPr>
                </pic:pic>
              </a:graphicData>
            </a:graphic>
          </wp:inline>
        </w:drawing>
      </w:r>
    </w:p>
    <w:p w:rsidR="00ED3101" w:rsidRDefault="00ED3101" w:rsidP="00ED3101">
      <w:pPr>
        <w:ind w:left="195"/>
        <w:rPr>
          <w:rFonts w:cs="Arial"/>
          <w:sz w:val="16"/>
        </w:rPr>
      </w:pPr>
      <w:r w:rsidRPr="004859E4">
        <w:rPr>
          <w:rFonts w:cs="Arial"/>
          <w:sz w:val="16"/>
        </w:rPr>
        <w:t xml:space="preserve">Fuente: Cálculos CREG. </w:t>
      </w:r>
    </w:p>
    <w:p w:rsidR="00BB06F7" w:rsidRPr="00023977" w:rsidRDefault="00BB06F7" w:rsidP="00BB06F7">
      <w:pPr>
        <w:pStyle w:val="Epgrafe"/>
        <w:rPr>
          <w:lang w:val="es-CO"/>
        </w:rPr>
      </w:pPr>
      <w:bookmarkStart w:id="399" w:name="_Ref437508890"/>
      <w:bookmarkStart w:id="400" w:name="_Toc437512850"/>
      <w:r>
        <w:t xml:space="preserve">Gráfica </w:t>
      </w:r>
      <w:r>
        <w:fldChar w:fldCharType="begin"/>
      </w:r>
      <w:r>
        <w:instrText xml:space="preserve"> SEQ Gráfica \* ARABIC </w:instrText>
      </w:r>
      <w:r>
        <w:fldChar w:fldCharType="separate"/>
      </w:r>
      <w:r w:rsidR="00625BEB">
        <w:rPr>
          <w:noProof/>
        </w:rPr>
        <w:t>13</w:t>
      </w:r>
      <w:r>
        <w:fldChar w:fldCharType="end"/>
      </w:r>
      <w:bookmarkEnd w:id="399"/>
      <w:r>
        <w:t xml:space="preserve"> </w:t>
      </w:r>
      <w:r w:rsidRPr="00A20037">
        <w:t>Tarifa de transporte para rutas desde Galán</w:t>
      </w:r>
      <w:bookmarkEnd w:id="400"/>
    </w:p>
    <w:p w:rsidR="003C25F5" w:rsidRDefault="009237F4" w:rsidP="003C25F5">
      <w:pPr>
        <w:keepNext/>
        <w:jc w:val="center"/>
      </w:pPr>
      <w:r>
        <w:rPr>
          <w:noProof/>
          <w:lang w:val="es-CO" w:eastAsia="es-CO"/>
        </w:rPr>
        <w:drawing>
          <wp:inline distT="0" distB="0" distL="0" distR="0" wp14:anchorId="495D2EE9" wp14:editId="16DD7910">
            <wp:extent cx="5343514" cy="3978323"/>
            <wp:effectExtent l="0" t="0" r="0"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t="1527" r="1841"/>
                    <a:stretch/>
                  </pic:blipFill>
                  <pic:spPr bwMode="auto">
                    <a:xfrm>
                      <a:off x="0" y="0"/>
                      <a:ext cx="5350870" cy="3983799"/>
                    </a:xfrm>
                    <a:prstGeom prst="rect">
                      <a:avLst/>
                    </a:prstGeom>
                    <a:ln>
                      <a:noFill/>
                    </a:ln>
                    <a:extLst>
                      <a:ext uri="{53640926-AAD7-44D8-BBD7-CCE9431645EC}">
                        <a14:shadowObscured xmlns:a14="http://schemas.microsoft.com/office/drawing/2010/main"/>
                      </a:ext>
                    </a:extLst>
                  </pic:spPr>
                </pic:pic>
              </a:graphicData>
            </a:graphic>
          </wp:inline>
        </w:drawing>
      </w:r>
    </w:p>
    <w:p w:rsidR="00BB06F7" w:rsidRDefault="00BB06F7" w:rsidP="00BB06F7">
      <w:pPr>
        <w:ind w:left="195"/>
        <w:rPr>
          <w:rFonts w:cs="Arial"/>
          <w:sz w:val="16"/>
        </w:rPr>
      </w:pPr>
      <w:r w:rsidRPr="004859E4">
        <w:rPr>
          <w:rFonts w:cs="Arial"/>
          <w:sz w:val="16"/>
        </w:rPr>
        <w:t xml:space="preserve">Fuente: Cálculos CREG. </w:t>
      </w:r>
    </w:p>
    <w:p w:rsidR="00BB06F7" w:rsidRDefault="00BB06F7" w:rsidP="00BB06F7">
      <w:pPr>
        <w:pStyle w:val="Epgrafe"/>
      </w:pPr>
      <w:bookmarkStart w:id="401" w:name="_Ref437263778"/>
      <w:bookmarkStart w:id="402" w:name="_Toc437512851"/>
      <w:r>
        <w:t xml:space="preserve">Gráfica </w:t>
      </w:r>
      <w:r>
        <w:fldChar w:fldCharType="begin"/>
      </w:r>
      <w:r>
        <w:instrText xml:space="preserve"> SEQ Gráfica \* ARABIC </w:instrText>
      </w:r>
      <w:r>
        <w:fldChar w:fldCharType="separate"/>
      </w:r>
      <w:r w:rsidR="00625BEB">
        <w:rPr>
          <w:noProof/>
        </w:rPr>
        <w:t>14</w:t>
      </w:r>
      <w:r>
        <w:fldChar w:fldCharType="end"/>
      </w:r>
      <w:bookmarkEnd w:id="401"/>
      <w:r>
        <w:t xml:space="preserve"> </w:t>
      </w:r>
      <w:r w:rsidRPr="000159D6">
        <w:t>Tarifa de transporte para diferentes tramos del sistema</w:t>
      </w:r>
      <w:bookmarkEnd w:id="402"/>
    </w:p>
    <w:p w:rsidR="0083557B" w:rsidRPr="00023977" w:rsidRDefault="0083557B" w:rsidP="00F83FB4"/>
    <w:p w:rsidR="0083557B" w:rsidRPr="00494FD2" w:rsidRDefault="0083557B" w:rsidP="00391FB3">
      <w:pPr>
        <w:pStyle w:val="Ttulo1"/>
        <w:jc w:val="left"/>
        <w:rPr>
          <w:rFonts w:ascii="Bookman Old Style" w:hAnsi="Bookman Old Style"/>
          <w:sz w:val="24"/>
        </w:rPr>
      </w:pPr>
      <w:bookmarkStart w:id="403" w:name="_Toc424832940"/>
      <w:bookmarkStart w:id="404" w:name="_Toc424887671"/>
      <w:bookmarkStart w:id="405" w:name="_Toc425488431"/>
      <w:bookmarkStart w:id="406" w:name="_Toc426035071"/>
      <w:bookmarkStart w:id="407" w:name="_Toc427333594"/>
      <w:bookmarkStart w:id="408" w:name="_Toc427336535"/>
      <w:bookmarkStart w:id="409" w:name="_Toc427681825"/>
      <w:bookmarkStart w:id="410" w:name="_Toc433276757"/>
      <w:bookmarkStart w:id="411" w:name="_Toc433295720"/>
      <w:bookmarkStart w:id="412" w:name="_Toc433296445"/>
      <w:bookmarkStart w:id="413" w:name="_Toc437500875"/>
      <w:bookmarkStart w:id="414" w:name="_Toc437501534"/>
      <w:bookmarkStart w:id="415" w:name="_Toc437501714"/>
      <w:bookmarkStart w:id="416" w:name="_Toc437501804"/>
      <w:bookmarkStart w:id="417" w:name="_Toc437502567"/>
      <w:bookmarkStart w:id="418" w:name="_Toc437505926"/>
      <w:bookmarkStart w:id="419" w:name="_Toc437512739"/>
      <w:r w:rsidRPr="00494FD2">
        <w:rPr>
          <w:rFonts w:ascii="Bookman Old Style" w:hAnsi="Bookman Old Style"/>
          <w:sz w:val="24"/>
        </w:rPr>
        <w:lastRenderedPageBreak/>
        <w:t>Margen de continuidad</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rsidR="00DE1061" w:rsidRPr="00494FD2" w:rsidRDefault="00DE1061" w:rsidP="0083557B">
      <w:pPr>
        <w:contextualSpacing/>
        <w:rPr>
          <w:sz w:val="24"/>
        </w:rPr>
      </w:pPr>
    </w:p>
    <w:p w:rsidR="0083557B" w:rsidRPr="00494FD2" w:rsidRDefault="0083557B" w:rsidP="0083557B">
      <w:pPr>
        <w:contextualSpacing/>
        <w:rPr>
          <w:sz w:val="24"/>
        </w:rPr>
      </w:pPr>
      <w:r w:rsidRPr="00494FD2">
        <w:rPr>
          <w:sz w:val="24"/>
        </w:rPr>
        <w:t xml:space="preserve">El Margen de Continuidad se incluyó en la estructura de precios </w:t>
      </w:r>
      <w:r w:rsidR="00DE1061" w:rsidRPr="00494FD2">
        <w:rPr>
          <w:sz w:val="24"/>
        </w:rPr>
        <w:t xml:space="preserve">a través de </w:t>
      </w:r>
      <w:r w:rsidRPr="00494FD2">
        <w:rPr>
          <w:sz w:val="24"/>
        </w:rPr>
        <w:t xml:space="preserve">las </w:t>
      </w:r>
      <w:r w:rsidR="00DE1061" w:rsidRPr="00494FD2">
        <w:rPr>
          <w:sz w:val="24"/>
        </w:rPr>
        <w:t>R</w:t>
      </w:r>
      <w:r w:rsidRPr="00494FD2">
        <w:rPr>
          <w:sz w:val="24"/>
        </w:rPr>
        <w:t xml:space="preserve">esoluciones 182370 y 182371 de diciembre de 2009 </w:t>
      </w:r>
      <w:r w:rsidR="00DE1061" w:rsidRPr="00494FD2">
        <w:rPr>
          <w:sz w:val="24"/>
        </w:rPr>
        <w:t xml:space="preserve">proferidas por el </w:t>
      </w:r>
      <w:r w:rsidRPr="00494FD2">
        <w:rPr>
          <w:sz w:val="24"/>
        </w:rPr>
        <w:t xml:space="preserve">Ministerio de Minas y </w:t>
      </w:r>
      <w:r w:rsidR="00DE1061" w:rsidRPr="00494FD2">
        <w:rPr>
          <w:sz w:val="24"/>
        </w:rPr>
        <w:t>Energía</w:t>
      </w:r>
      <w:r w:rsidR="00FF2EFC" w:rsidRPr="00494FD2">
        <w:rPr>
          <w:sz w:val="24"/>
        </w:rPr>
        <w:t>,</w:t>
      </w:r>
      <w:r w:rsidRPr="00494FD2">
        <w:rPr>
          <w:sz w:val="24"/>
        </w:rPr>
        <w:t xml:space="preserve"> con el objetivo de remunerar a Ecopetrol las inversiones en el “plan de continuidad” para el abastecimiento del país, específicamente la expansión del sistema Pozos Colorados – Galán a 60 kbd de capacidad</w:t>
      </w:r>
      <w:r w:rsidR="00DE1061" w:rsidRPr="00494FD2">
        <w:rPr>
          <w:sz w:val="24"/>
        </w:rPr>
        <w:t xml:space="preserve">. </w:t>
      </w:r>
      <w:r w:rsidRPr="00494FD2">
        <w:rPr>
          <w:sz w:val="24"/>
        </w:rPr>
        <w:t>Inicialmente se fijó un valor de $86,42 por galón, que sería incluido a partir de enero de 2010 en las estructuras de precios de los combustibles básicos, la gasolina corriente oxigenada y las mezclas diésel-biodiesel.</w:t>
      </w:r>
    </w:p>
    <w:p w:rsidR="00DE1061" w:rsidRPr="00494FD2" w:rsidRDefault="00DE1061" w:rsidP="0083557B">
      <w:pPr>
        <w:contextualSpacing/>
        <w:rPr>
          <w:sz w:val="24"/>
        </w:rPr>
      </w:pPr>
    </w:p>
    <w:p w:rsidR="006F5AF6" w:rsidRPr="00C341FD" w:rsidRDefault="00FF2EFC" w:rsidP="00DE1061">
      <w:pPr>
        <w:contextualSpacing/>
        <w:rPr>
          <w:sz w:val="24"/>
        </w:rPr>
      </w:pPr>
      <w:r w:rsidRPr="00494FD2">
        <w:rPr>
          <w:sz w:val="24"/>
        </w:rPr>
        <w:t xml:space="preserve">Mediante la </w:t>
      </w:r>
      <w:r w:rsidR="00DE1061" w:rsidRPr="00494FD2">
        <w:rPr>
          <w:sz w:val="24"/>
        </w:rPr>
        <w:t>Resolución 180721 de abril de 2010</w:t>
      </w:r>
      <w:r w:rsidRPr="00494FD2">
        <w:rPr>
          <w:sz w:val="24"/>
        </w:rPr>
        <w:t>, se modificó la Resolución 82438 del 23 de diciembre de 1998 y se establecieron disposiciones relacionadas con la estructura de precios de la Gasolina Motor Corriente y Gasolina Motor Corriente Oxigenada, señalando que</w:t>
      </w:r>
      <w:r w:rsidR="00C341FD">
        <w:rPr>
          <w:sz w:val="24"/>
        </w:rPr>
        <w:t xml:space="preserve"> </w:t>
      </w:r>
      <w:r w:rsidR="00064FC5" w:rsidRPr="00494FD2">
        <w:rPr>
          <w:sz w:val="24"/>
        </w:rPr>
        <w:t>“</w:t>
      </w:r>
      <w:r w:rsidR="00C6279E" w:rsidRPr="00494FD2">
        <w:rPr>
          <w:color w:val="000000"/>
          <w:sz w:val="24"/>
        </w:rPr>
        <w:t>(</w:t>
      </w:r>
      <w:r w:rsidR="00C6279E" w:rsidRPr="00494FD2">
        <w:rPr>
          <w:sz w:val="24"/>
        </w:rPr>
        <w:t xml:space="preserve">a) Dicho margen está dirigido a remunerar a Ecopetrol S.A. las inversiones en el plan de continuidad para el abastecimiento del país y específicamente la expansión del sistema Pozos Colorados - Galán a 60 mil barriles por día de capacidad y </w:t>
      </w:r>
      <w:r w:rsidR="00C6279E" w:rsidRPr="00494FD2">
        <w:rPr>
          <w:sz w:val="24"/>
          <w:u w:val="single"/>
        </w:rPr>
        <w:t>parte del montaje del poliducto Mansilla - Tocancipá</w:t>
      </w:r>
      <w:r w:rsidR="00C6279E" w:rsidRPr="00494FD2">
        <w:rPr>
          <w:sz w:val="24"/>
        </w:rPr>
        <w:t>. De igual forma, la misma será aplicable a la gasolina extra y a la gasolina de origen nacional e</w:t>
      </w:r>
      <w:r w:rsidR="00C6279E" w:rsidRPr="00494FD2">
        <w:rPr>
          <w:sz w:val="24"/>
          <w:u w:val="single"/>
        </w:rPr>
        <w:t xml:space="preserve"> importada que se distribuya en las zonas de frontera</w:t>
      </w:r>
      <w:r w:rsidR="00C6279E" w:rsidRPr="00494FD2">
        <w:rPr>
          <w:sz w:val="24"/>
        </w:rPr>
        <w:t>.</w:t>
      </w:r>
      <w:r w:rsidR="00064FC5" w:rsidRPr="00494FD2">
        <w:rPr>
          <w:sz w:val="24"/>
        </w:rPr>
        <w:t>”</w:t>
      </w:r>
      <w:r w:rsidR="00F06C2C" w:rsidRPr="00494FD2">
        <w:rPr>
          <w:sz w:val="24"/>
        </w:rPr>
        <w:t xml:space="preserve"> </w:t>
      </w:r>
      <w:r w:rsidR="002436A1" w:rsidRPr="00494FD2">
        <w:rPr>
          <w:rFonts w:cs="Arial"/>
          <w:sz w:val="24"/>
        </w:rPr>
        <w:t>(subrayas fuera del texto).</w:t>
      </w:r>
      <w:r w:rsidR="00F06C2C" w:rsidRPr="00494FD2">
        <w:rPr>
          <w:rFonts w:cs="Arial"/>
          <w:sz w:val="24"/>
        </w:rPr>
        <w:t xml:space="preserve"> </w:t>
      </w:r>
    </w:p>
    <w:p w:rsidR="00C77B93" w:rsidRDefault="00C77B93" w:rsidP="00DE1061">
      <w:pPr>
        <w:contextualSpacing/>
        <w:rPr>
          <w:sz w:val="24"/>
        </w:rPr>
      </w:pPr>
    </w:p>
    <w:p w:rsidR="00DE1061" w:rsidRPr="00494FD2" w:rsidRDefault="00F06C2C" w:rsidP="00DE1061">
      <w:pPr>
        <w:contextualSpacing/>
        <w:rPr>
          <w:sz w:val="24"/>
        </w:rPr>
      </w:pPr>
      <w:r w:rsidRPr="00494FD2">
        <w:rPr>
          <w:sz w:val="24"/>
        </w:rPr>
        <w:t>De manera que, se amplió el margen de continuidad para parte del montaje del poliducto Mansilla – Tocancipá  y se aplicó a la gasolina de or</w:t>
      </w:r>
      <w:r w:rsidR="005976B6" w:rsidRPr="00494FD2">
        <w:rPr>
          <w:sz w:val="24"/>
        </w:rPr>
        <w:t>igen importado que se distribuye</w:t>
      </w:r>
      <w:r w:rsidRPr="00494FD2">
        <w:rPr>
          <w:sz w:val="24"/>
        </w:rPr>
        <w:t xml:space="preserve"> en las zonas de frontera.</w:t>
      </w:r>
    </w:p>
    <w:p w:rsidR="00DE1061" w:rsidRPr="00494FD2" w:rsidRDefault="00DE1061" w:rsidP="0083557B">
      <w:pPr>
        <w:contextualSpacing/>
        <w:rPr>
          <w:sz w:val="24"/>
        </w:rPr>
      </w:pPr>
    </w:p>
    <w:p w:rsidR="00064FC5" w:rsidRPr="00494FD2" w:rsidRDefault="005976B6" w:rsidP="0083557B">
      <w:pPr>
        <w:contextualSpacing/>
        <w:rPr>
          <w:sz w:val="24"/>
        </w:rPr>
      </w:pPr>
      <w:r w:rsidRPr="00494FD2">
        <w:rPr>
          <w:sz w:val="24"/>
        </w:rPr>
        <w:t xml:space="preserve">Posteriormente, a través de las Resoluciones 180248 y 180249 del 28 de febrero de 2011 se detalló el procedimiento para la liquidación y pago a Ecopetrol S.A. así: </w:t>
      </w:r>
      <w:r w:rsidR="002436A1" w:rsidRPr="00494FD2">
        <w:rPr>
          <w:rFonts w:cs="Arial"/>
          <w:sz w:val="24"/>
        </w:rPr>
        <w:t>“</w:t>
      </w:r>
      <w:r w:rsidR="00064FC5" w:rsidRPr="00494FD2">
        <w:rPr>
          <w:rFonts w:cs="Arial"/>
          <w:sz w:val="24"/>
        </w:rPr>
        <w:t>(</w:t>
      </w:r>
      <w:r w:rsidR="00064FC5" w:rsidRPr="00494FD2">
        <w:rPr>
          <w:sz w:val="24"/>
        </w:rPr>
        <w:t xml:space="preserve">a) </w:t>
      </w:r>
      <w:r w:rsidR="002436A1" w:rsidRPr="00494FD2">
        <w:rPr>
          <w:rFonts w:cs="Arial"/>
          <w:sz w:val="24"/>
        </w:rPr>
        <w:t>(…)</w:t>
      </w:r>
      <w:r w:rsidR="00064FC5" w:rsidRPr="00494FD2">
        <w:rPr>
          <w:sz w:val="24"/>
        </w:rPr>
        <w:t xml:space="preserve"> Para efectos de la liquidación y pago a Ecopetrol S.A de la porción de alcohol carburante que mezcla el distribuidor mayorista en la terminal donde opera, el señalado agente enviará a Ecopetrol S.A. durante los primeros 15 días del mes siguiente al periodo en evaluación, un certificado de su revisor fiscal en donde se indiquen las ventas de alcohol carburante del mes anterior. Ecopetrol S.A. procederá a liquidar y facturar con base en la presente resolución y los volúmenes reportados por el distribuidor mayorista. Mensualmente Ecopetrol S.A enviará al Ministerio de Minas y Energía un consolidado de la información enviada por cada uno de los distribuidores mayoristas</w:t>
      </w:r>
      <w:r w:rsidR="00064FC5" w:rsidRPr="00494FD2">
        <w:rPr>
          <w:rFonts w:cs="Arial"/>
          <w:sz w:val="24"/>
        </w:rPr>
        <w:t>.</w:t>
      </w:r>
      <w:r w:rsidR="002436A1" w:rsidRPr="00494FD2">
        <w:rPr>
          <w:rFonts w:cs="Arial"/>
          <w:sz w:val="24"/>
        </w:rPr>
        <w:t>” y “</w:t>
      </w:r>
      <w:r w:rsidR="00F06C2C" w:rsidRPr="00494FD2">
        <w:rPr>
          <w:rFonts w:cs="Arial"/>
          <w:sz w:val="24"/>
        </w:rPr>
        <w:t xml:space="preserve">a) </w:t>
      </w:r>
      <w:r w:rsidR="002436A1" w:rsidRPr="00494FD2">
        <w:rPr>
          <w:rFonts w:cs="Arial"/>
          <w:sz w:val="24"/>
        </w:rPr>
        <w:t xml:space="preserve">(…) </w:t>
      </w:r>
      <w:r w:rsidR="00F06C2C" w:rsidRPr="00494FD2">
        <w:rPr>
          <w:rFonts w:cs="Arial"/>
          <w:sz w:val="24"/>
        </w:rPr>
        <w:t>Para efectos de la liquidación y pago a Ecopetrol S. A.</w:t>
      </w:r>
      <w:r w:rsidR="00F06C2C" w:rsidRPr="00494FD2">
        <w:rPr>
          <w:sz w:val="24"/>
        </w:rPr>
        <w:t xml:space="preserve"> de la porción de biocombustible que mezcla el distribuidor mayorista </w:t>
      </w:r>
      <w:r w:rsidR="002436A1" w:rsidRPr="00494FD2">
        <w:rPr>
          <w:rFonts w:cs="Arial"/>
          <w:sz w:val="24"/>
        </w:rPr>
        <w:t xml:space="preserve">(…) </w:t>
      </w:r>
      <w:r w:rsidR="00F06C2C" w:rsidRPr="00494FD2">
        <w:rPr>
          <w:rFonts w:cs="Arial"/>
          <w:sz w:val="24"/>
        </w:rPr>
        <w:t>en donde se indiquen las ventas de biocombustible del mes anterior.</w:t>
      </w:r>
      <w:r w:rsidR="002436A1" w:rsidRPr="00494FD2">
        <w:rPr>
          <w:rFonts w:cs="Arial"/>
          <w:sz w:val="24"/>
        </w:rPr>
        <w:t xml:space="preserve"> (…)”</w:t>
      </w:r>
    </w:p>
    <w:p w:rsidR="002436A1" w:rsidRPr="00494FD2" w:rsidRDefault="002436A1" w:rsidP="0083557B">
      <w:pPr>
        <w:contextualSpacing/>
        <w:rPr>
          <w:rFonts w:cs="Arial"/>
          <w:sz w:val="24"/>
        </w:rPr>
      </w:pPr>
    </w:p>
    <w:p w:rsidR="0083557B" w:rsidRPr="00494FD2" w:rsidRDefault="0083557B" w:rsidP="0083557B">
      <w:pPr>
        <w:contextualSpacing/>
        <w:rPr>
          <w:sz w:val="24"/>
        </w:rPr>
      </w:pPr>
      <w:r w:rsidRPr="00494FD2">
        <w:rPr>
          <w:rFonts w:cs="Arial"/>
          <w:sz w:val="24"/>
        </w:rPr>
        <w:t>En</w:t>
      </w:r>
      <w:r w:rsidR="002436A1" w:rsidRPr="00494FD2">
        <w:rPr>
          <w:rFonts w:cs="Arial"/>
          <w:sz w:val="24"/>
        </w:rPr>
        <w:t xml:space="preserve"> el año</w:t>
      </w:r>
      <w:r w:rsidRPr="00494FD2">
        <w:rPr>
          <w:sz w:val="24"/>
        </w:rPr>
        <w:t xml:space="preserve"> 2012 con la autorización del Gobierno Nacional para la creación de Cenit Transporte y Logística de Hidrocarburos S.A.S., (filial de Ecopetrol especializada en transporte y logística de hidrocarburos) contenida en el Decreto 1320, se hizo necesario asignar a Cenit el derecho a recibir el rubro correspondiente a margen de continuidad. Con la resolución 90228 de abril de 2013, el Ministerio de Minas hizo efectivo el cambio del beneficiario del margen de continuidad a Cenit, manteniendo el valor, los tramos beneficiados y los combustibles a los que se aplica.</w:t>
      </w:r>
    </w:p>
    <w:p w:rsidR="0083557B" w:rsidRPr="00494FD2" w:rsidRDefault="0083557B" w:rsidP="0083557B">
      <w:pPr>
        <w:contextualSpacing/>
        <w:rPr>
          <w:sz w:val="24"/>
        </w:rPr>
      </w:pPr>
    </w:p>
    <w:p w:rsidR="0083557B" w:rsidRPr="00494FD2" w:rsidRDefault="0083557B" w:rsidP="0083557B">
      <w:pPr>
        <w:contextualSpacing/>
        <w:rPr>
          <w:sz w:val="24"/>
        </w:rPr>
      </w:pPr>
      <w:r w:rsidRPr="00494FD2">
        <w:rPr>
          <w:sz w:val="24"/>
        </w:rPr>
        <w:lastRenderedPageBreak/>
        <w:t>En enero de 2014 Cenit comunicó al Ministerio de Minas la cancelación definitiva del proyecto Mansilla – Tocancipá, por lo que el Ministerio de Minas reajustó el margen de continuidad mediante la Resolución 90155 de enero de 2014 a un valor de $ 75,51 por galón. En esta resolución se excluyeron a los municipios considerados como zonas de frontera del departamento de La Guajira debido a que se rigen por la Resolución número 90743 de 2013.</w:t>
      </w:r>
    </w:p>
    <w:p w:rsidR="0083557B" w:rsidRPr="00C77B93" w:rsidRDefault="00135F8A" w:rsidP="003C25F5">
      <w:pPr>
        <w:pStyle w:val="Ttulo2"/>
        <w:rPr>
          <w:sz w:val="24"/>
          <w:szCs w:val="24"/>
        </w:rPr>
      </w:pPr>
      <w:bookmarkStart w:id="420" w:name="_Toc437500876"/>
      <w:bookmarkStart w:id="421" w:name="_Toc437501535"/>
      <w:bookmarkStart w:id="422" w:name="_Toc437501715"/>
      <w:bookmarkStart w:id="423" w:name="_Toc437501805"/>
      <w:bookmarkStart w:id="424" w:name="_Toc437502568"/>
      <w:bookmarkStart w:id="425" w:name="_Toc437505927"/>
      <w:bookmarkStart w:id="426" w:name="_Toc437512740"/>
      <w:r>
        <w:rPr>
          <w:sz w:val="24"/>
          <w:szCs w:val="24"/>
        </w:rPr>
        <w:t>proceso de l</w:t>
      </w:r>
      <w:r w:rsidR="0083557B" w:rsidRPr="00C77B93">
        <w:rPr>
          <w:sz w:val="24"/>
          <w:szCs w:val="24"/>
        </w:rPr>
        <w:t>iquidación</w:t>
      </w:r>
      <w:bookmarkEnd w:id="420"/>
      <w:bookmarkEnd w:id="421"/>
      <w:bookmarkEnd w:id="422"/>
      <w:bookmarkEnd w:id="423"/>
      <w:bookmarkEnd w:id="424"/>
      <w:bookmarkEnd w:id="425"/>
      <w:bookmarkEnd w:id="426"/>
    </w:p>
    <w:p w:rsidR="0083557B" w:rsidRPr="00494FD2" w:rsidRDefault="0083557B" w:rsidP="0083557B">
      <w:pPr>
        <w:contextualSpacing/>
        <w:rPr>
          <w:sz w:val="24"/>
        </w:rPr>
      </w:pPr>
      <w:r w:rsidRPr="00494FD2">
        <w:rPr>
          <w:sz w:val="24"/>
        </w:rPr>
        <w:t xml:space="preserve">Mensualmente el refinador y/o importador envía a Cenit </w:t>
      </w:r>
      <w:r w:rsidRPr="00494FD2">
        <w:rPr>
          <w:color w:val="000000"/>
          <w:sz w:val="24"/>
        </w:rPr>
        <w:t xml:space="preserve">un certificado </w:t>
      </w:r>
      <w:r w:rsidRPr="00494FD2">
        <w:rPr>
          <w:sz w:val="24"/>
        </w:rPr>
        <w:t xml:space="preserve">de su revisor fiscal en donde se indiquen las ventas del combustible durante el mes anterior. Cenit realiza la liquidación y facturación de acuerdo a lo reportado y mensualmente remite al Ministerio de Minas y Energía un consolidado de la información enviada por cada uno de los distribuidores mayoristas, importadores y/o refinadores. Este procedimiento se aplica de forma similar para gasolina corriente y oxigenada, para ACPM y sus mezclas. </w:t>
      </w:r>
    </w:p>
    <w:p w:rsidR="0083557B" w:rsidRPr="00494FD2" w:rsidRDefault="0083557B" w:rsidP="0083557B">
      <w:pPr>
        <w:contextualSpacing/>
        <w:rPr>
          <w:sz w:val="24"/>
        </w:rPr>
      </w:pPr>
    </w:p>
    <w:p w:rsidR="0083557B" w:rsidRDefault="0083557B" w:rsidP="0083557B">
      <w:pPr>
        <w:contextualSpacing/>
        <w:rPr>
          <w:sz w:val="24"/>
        </w:rPr>
      </w:pPr>
      <w:r w:rsidRPr="00494FD2">
        <w:rPr>
          <w:sz w:val="24"/>
        </w:rPr>
        <w:t xml:space="preserve">Desde la </w:t>
      </w:r>
      <w:r w:rsidR="009C76A5" w:rsidRPr="00494FD2">
        <w:rPr>
          <w:sz w:val="24"/>
        </w:rPr>
        <w:t>publicación</w:t>
      </w:r>
      <w:r w:rsidRPr="00494FD2">
        <w:rPr>
          <w:sz w:val="24"/>
        </w:rPr>
        <w:t xml:space="preserve"> de la Resolución 90155 de 2014</w:t>
      </w:r>
      <w:r w:rsidR="009C76A5" w:rsidRPr="00494FD2">
        <w:rPr>
          <w:sz w:val="24"/>
        </w:rPr>
        <w:t xml:space="preserve"> del Ministerio de </w:t>
      </w:r>
      <w:r w:rsidR="00B15001" w:rsidRPr="00494FD2">
        <w:rPr>
          <w:rFonts w:cs="Arial"/>
          <w:sz w:val="24"/>
        </w:rPr>
        <w:t>M</w:t>
      </w:r>
      <w:r w:rsidR="009C76A5" w:rsidRPr="00494FD2">
        <w:rPr>
          <w:rFonts w:cs="Arial"/>
          <w:sz w:val="24"/>
        </w:rPr>
        <w:t>inas</w:t>
      </w:r>
      <w:r w:rsidR="009C76A5" w:rsidRPr="00494FD2">
        <w:rPr>
          <w:sz w:val="24"/>
        </w:rPr>
        <w:t xml:space="preserve"> y Energía</w:t>
      </w:r>
      <w:r w:rsidRPr="00494FD2">
        <w:rPr>
          <w:sz w:val="24"/>
        </w:rPr>
        <w:t>, Cenit está en la obligación de remitir a la Dirección de Hidrocarburos del Ministerio, dentro de los primeros quince (15) días de cada trimestre, un informe detallado de la destinación de los recursos del margen de continuidad y del avance de la expansión del sistema Pozos Colorados – Galán.</w:t>
      </w:r>
    </w:p>
    <w:p w:rsidR="00135F8A" w:rsidRPr="00C77B93" w:rsidRDefault="00135F8A" w:rsidP="00135F8A">
      <w:pPr>
        <w:pStyle w:val="Ttulo2"/>
        <w:rPr>
          <w:sz w:val="24"/>
          <w:szCs w:val="24"/>
        </w:rPr>
      </w:pPr>
      <w:bookmarkStart w:id="427" w:name="_Toc437505928"/>
      <w:bookmarkStart w:id="428" w:name="_Toc437512741"/>
      <w:r>
        <w:rPr>
          <w:sz w:val="24"/>
          <w:szCs w:val="24"/>
        </w:rPr>
        <w:t>r</w:t>
      </w:r>
      <w:r w:rsidRPr="00135F8A">
        <w:rPr>
          <w:sz w:val="24"/>
          <w:szCs w:val="24"/>
        </w:rPr>
        <w:t>esumen regulación margen de continuidad</w:t>
      </w:r>
      <w:bookmarkEnd w:id="427"/>
      <w:bookmarkEnd w:id="428"/>
    </w:p>
    <w:p w:rsidR="00135F8A" w:rsidRPr="00494FD2" w:rsidRDefault="00135F8A" w:rsidP="0083557B">
      <w:pPr>
        <w:contextualSpacing/>
        <w:rPr>
          <w:sz w:val="24"/>
        </w:rPr>
      </w:pPr>
      <w:r>
        <w:rPr>
          <w:sz w:val="24"/>
        </w:rPr>
        <w:t xml:space="preserve">En la </w:t>
      </w:r>
      <w:r>
        <w:rPr>
          <w:sz w:val="24"/>
        </w:rPr>
        <w:fldChar w:fldCharType="begin"/>
      </w:r>
      <w:r>
        <w:rPr>
          <w:sz w:val="24"/>
        </w:rPr>
        <w:instrText xml:space="preserve"> REF _Ref437503808 \h </w:instrText>
      </w:r>
      <w:r>
        <w:rPr>
          <w:sz w:val="24"/>
        </w:rPr>
      </w:r>
      <w:r>
        <w:rPr>
          <w:sz w:val="24"/>
        </w:rPr>
        <w:fldChar w:fldCharType="separate"/>
      </w:r>
      <w:r w:rsidR="00625BEB" w:rsidRPr="00122B75">
        <w:t xml:space="preserve">Tabla </w:t>
      </w:r>
      <w:r w:rsidR="00625BEB">
        <w:rPr>
          <w:b/>
          <w:noProof/>
        </w:rPr>
        <w:t>9</w:t>
      </w:r>
      <w:r>
        <w:rPr>
          <w:sz w:val="24"/>
        </w:rPr>
        <w:fldChar w:fldCharType="end"/>
      </w:r>
      <w:r>
        <w:rPr>
          <w:sz w:val="24"/>
        </w:rPr>
        <w:t xml:space="preserve"> se presenta un resumen de la regulación asociada al margen de continuidad.</w:t>
      </w:r>
    </w:p>
    <w:p w:rsidR="0083557B" w:rsidRPr="00023977" w:rsidRDefault="0083557B" w:rsidP="003C25F5"/>
    <w:tbl>
      <w:tblPr>
        <w:tblStyle w:val="Cuadrculaclara-nfasis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6"/>
        <w:gridCol w:w="2254"/>
        <w:gridCol w:w="1418"/>
        <w:gridCol w:w="2281"/>
        <w:gridCol w:w="1392"/>
      </w:tblGrid>
      <w:tr w:rsidR="00D024FD" w:rsidRPr="00023977" w:rsidTr="00122B7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9141" w:type="dxa"/>
            <w:gridSpan w:val="5"/>
            <w:tcBorders>
              <w:top w:val="none" w:sz="0" w:space="0" w:color="auto"/>
              <w:left w:val="none" w:sz="0" w:space="0" w:color="auto"/>
              <w:bottom w:val="none" w:sz="0" w:space="0" w:color="auto"/>
              <w:right w:val="none" w:sz="0" w:space="0" w:color="auto"/>
            </w:tcBorders>
            <w:vAlign w:val="center"/>
          </w:tcPr>
          <w:p w:rsidR="00D024FD" w:rsidRPr="00122B75" w:rsidRDefault="00D024FD" w:rsidP="002F63E2">
            <w:pPr>
              <w:jc w:val="center"/>
              <w:rPr>
                <w:rFonts w:cs="Arial"/>
                <w:b w:val="0"/>
                <w:sz w:val="24"/>
              </w:rPr>
            </w:pPr>
            <w:bookmarkStart w:id="429" w:name="_Ref437503808"/>
            <w:bookmarkStart w:id="430" w:name="_Toc437512815"/>
            <w:r w:rsidRPr="00122B75">
              <w:rPr>
                <w:b w:val="0"/>
              </w:rPr>
              <w:t xml:space="preserve">Tabla </w:t>
            </w:r>
            <w:r w:rsidRPr="00122B75">
              <w:fldChar w:fldCharType="begin"/>
            </w:r>
            <w:r w:rsidRPr="00122B75">
              <w:rPr>
                <w:b w:val="0"/>
              </w:rPr>
              <w:instrText xml:space="preserve"> SEQ Tabla \* ARABIC </w:instrText>
            </w:r>
            <w:r w:rsidRPr="00122B75">
              <w:fldChar w:fldCharType="separate"/>
            </w:r>
            <w:r w:rsidR="00625BEB">
              <w:rPr>
                <w:b w:val="0"/>
                <w:noProof/>
              </w:rPr>
              <w:t>9</w:t>
            </w:r>
            <w:r w:rsidRPr="00122B75">
              <w:fldChar w:fldCharType="end"/>
            </w:r>
            <w:bookmarkEnd w:id="429"/>
            <w:r w:rsidRPr="00122B75">
              <w:rPr>
                <w:b w:val="0"/>
                <w:noProof/>
              </w:rPr>
              <w:t xml:space="preserve"> Resumen regulación margen de continuidad</w:t>
            </w:r>
            <w:bookmarkEnd w:id="430"/>
          </w:p>
        </w:tc>
      </w:tr>
      <w:tr w:rsidR="0083557B" w:rsidRPr="00023977" w:rsidTr="00122B75">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796" w:type="dxa"/>
            <w:tcBorders>
              <w:top w:val="none" w:sz="0" w:space="0" w:color="auto"/>
              <w:left w:val="none" w:sz="0" w:space="0" w:color="auto"/>
              <w:bottom w:val="none" w:sz="0" w:space="0" w:color="auto"/>
              <w:right w:val="none" w:sz="0" w:space="0" w:color="auto"/>
            </w:tcBorders>
            <w:shd w:val="clear" w:color="auto" w:fill="auto"/>
            <w:vAlign w:val="center"/>
          </w:tcPr>
          <w:p w:rsidR="0083557B" w:rsidRPr="00122B75" w:rsidRDefault="0083557B" w:rsidP="002F63E2">
            <w:pPr>
              <w:rPr>
                <w:rFonts w:cs="Arial"/>
                <w:b w:val="0"/>
                <w:sz w:val="24"/>
              </w:rPr>
            </w:pPr>
            <w:r w:rsidRPr="00122B75">
              <w:rPr>
                <w:rFonts w:cs="Arial"/>
                <w:b w:val="0"/>
                <w:sz w:val="24"/>
              </w:rPr>
              <w:t>Resolución</w:t>
            </w:r>
          </w:p>
        </w:tc>
        <w:tc>
          <w:tcPr>
            <w:tcW w:w="2254" w:type="dxa"/>
            <w:tcBorders>
              <w:top w:val="none" w:sz="0" w:space="0" w:color="auto"/>
              <w:left w:val="none" w:sz="0" w:space="0" w:color="auto"/>
              <w:bottom w:val="none" w:sz="0" w:space="0" w:color="auto"/>
              <w:right w:val="none" w:sz="0" w:space="0" w:color="auto"/>
            </w:tcBorders>
            <w:shd w:val="clear" w:color="auto" w:fill="auto"/>
            <w:vAlign w:val="center"/>
          </w:tcPr>
          <w:p w:rsidR="0083557B" w:rsidRPr="00122B75" w:rsidRDefault="0083557B" w:rsidP="002F63E2">
            <w:pPr>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122B75">
              <w:rPr>
                <w:rFonts w:cs="Arial"/>
                <w:b w:val="0"/>
                <w:sz w:val="24"/>
              </w:rPr>
              <w:t>Ductos</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3557B" w:rsidRPr="00122B75" w:rsidRDefault="0083557B" w:rsidP="002F63E2">
            <w:pPr>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122B75">
              <w:rPr>
                <w:rFonts w:cs="Arial"/>
                <w:b w:val="0"/>
                <w:sz w:val="24"/>
              </w:rPr>
              <w:t>Cobrado por</w:t>
            </w:r>
          </w:p>
        </w:tc>
        <w:tc>
          <w:tcPr>
            <w:tcW w:w="2281" w:type="dxa"/>
            <w:tcBorders>
              <w:top w:val="none" w:sz="0" w:space="0" w:color="auto"/>
              <w:left w:val="none" w:sz="0" w:space="0" w:color="auto"/>
              <w:bottom w:val="none" w:sz="0" w:space="0" w:color="auto"/>
              <w:right w:val="none" w:sz="0" w:space="0" w:color="auto"/>
            </w:tcBorders>
            <w:shd w:val="clear" w:color="auto" w:fill="auto"/>
            <w:vAlign w:val="center"/>
          </w:tcPr>
          <w:p w:rsidR="0083557B" w:rsidRPr="00122B75" w:rsidRDefault="0083557B" w:rsidP="002F63E2">
            <w:pPr>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122B75">
              <w:rPr>
                <w:rFonts w:cs="Arial"/>
                <w:b w:val="0"/>
                <w:sz w:val="24"/>
              </w:rPr>
              <w:t>Productos</w:t>
            </w:r>
          </w:p>
        </w:tc>
        <w:tc>
          <w:tcPr>
            <w:tcW w:w="1392" w:type="dxa"/>
            <w:tcBorders>
              <w:top w:val="none" w:sz="0" w:space="0" w:color="auto"/>
              <w:left w:val="none" w:sz="0" w:space="0" w:color="auto"/>
              <w:bottom w:val="none" w:sz="0" w:space="0" w:color="auto"/>
              <w:right w:val="none" w:sz="0" w:space="0" w:color="auto"/>
            </w:tcBorders>
            <w:shd w:val="clear" w:color="auto" w:fill="auto"/>
            <w:vAlign w:val="center"/>
          </w:tcPr>
          <w:p w:rsidR="0083557B" w:rsidRPr="00122B75" w:rsidRDefault="0083557B" w:rsidP="002F63E2">
            <w:pPr>
              <w:jc w:val="center"/>
              <w:cnfStyle w:val="100000000000" w:firstRow="1" w:lastRow="0" w:firstColumn="0" w:lastColumn="0" w:oddVBand="0" w:evenVBand="0" w:oddHBand="0" w:evenHBand="0" w:firstRowFirstColumn="0" w:firstRowLastColumn="0" w:lastRowFirstColumn="0" w:lastRowLastColumn="0"/>
              <w:rPr>
                <w:rFonts w:cs="Arial"/>
                <w:b w:val="0"/>
                <w:sz w:val="24"/>
              </w:rPr>
            </w:pPr>
            <w:r w:rsidRPr="00122B75">
              <w:rPr>
                <w:rFonts w:cs="Arial"/>
                <w:b w:val="0"/>
                <w:sz w:val="24"/>
              </w:rPr>
              <w:t>Valor ($/Galón)</w:t>
            </w:r>
          </w:p>
        </w:tc>
      </w:tr>
      <w:tr w:rsidR="0083557B" w:rsidRPr="006765A7" w:rsidTr="00122B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6" w:type="dxa"/>
            <w:tcBorders>
              <w:top w:val="none" w:sz="0" w:space="0" w:color="auto"/>
              <w:left w:val="none" w:sz="0" w:space="0" w:color="auto"/>
              <w:bottom w:val="none" w:sz="0" w:space="0" w:color="auto"/>
              <w:right w:val="none" w:sz="0" w:space="0" w:color="auto"/>
            </w:tcBorders>
            <w:shd w:val="clear" w:color="auto" w:fill="auto"/>
            <w:vAlign w:val="center"/>
          </w:tcPr>
          <w:p w:rsidR="0083557B" w:rsidRPr="00122B75" w:rsidRDefault="0083557B" w:rsidP="000B687B">
            <w:pPr>
              <w:jc w:val="left"/>
              <w:rPr>
                <w:rFonts w:cs="Arial"/>
                <w:b w:val="0"/>
                <w:sz w:val="20"/>
              </w:rPr>
            </w:pPr>
            <w:r w:rsidRPr="00122B75">
              <w:rPr>
                <w:rFonts w:cs="Arial"/>
                <w:b w:val="0"/>
                <w:sz w:val="20"/>
              </w:rPr>
              <w:t>182370 y 182371 de diciembre de 2009</w:t>
            </w:r>
          </w:p>
        </w:tc>
        <w:tc>
          <w:tcPr>
            <w:tcW w:w="2254" w:type="dxa"/>
            <w:tcBorders>
              <w:top w:val="none" w:sz="0" w:space="0" w:color="auto"/>
              <w:left w:val="none" w:sz="0" w:space="0" w:color="auto"/>
              <w:bottom w:val="none" w:sz="0" w:space="0" w:color="auto"/>
              <w:right w:val="none" w:sz="0" w:space="0" w:color="auto"/>
            </w:tcBorders>
            <w:shd w:val="clear" w:color="auto" w:fill="auto"/>
          </w:tcPr>
          <w:p w:rsidR="0083557B" w:rsidRPr="009504D4" w:rsidRDefault="0083557B" w:rsidP="006765A7">
            <w:pPr>
              <w:cnfStyle w:val="000000100000" w:firstRow="0" w:lastRow="0" w:firstColumn="0" w:lastColumn="0" w:oddVBand="0" w:evenVBand="0" w:oddHBand="1" w:evenHBand="0" w:firstRowFirstColumn="0" w:firstRowLastColumn="0" w:lastRowFirstColumn="0" w:lastRowLastColumn="0"/>
              <w:rPr>
                <w:rFonts w:cs="Arial"/>
                <w:sz w:val="20"/>
              </w:rPr>
            </w:pPr>
            <w:r w:rsidRPr="009504D4">
              <w:rPr>
                <w:rFonts w:cs="Arial"/>
                <w:sz w:val="20"/>
              </w:rPr>
              <w:t xml:space="preserve">Ampliación de Pozos Galán a 60 kbd </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3557B" w:rsidRPr="009504D4" w:rsidRDefault="0083557B" w:rsidP="002F63E2">
            <w:pPr>
              <w:cnfStyle w:val="000000100000" w:firstRow="0" w:lastRow="0" w:firstColumn="0" w:lastColumn="0" w:oddVBand="0" w:evenVBand="0" w:oddHBand="1" w:evenHBand="0" w:firstRowFirstColumn="0" w:firstRowLastColumn="0" w:lastRowFirstColumn="0" w:lastRowLastColumn="0"/>
              <w:rPr>
                <w:rFonts w:cs="Arial"/>
                <w:sz w:val="20"/>
              </w:rPr>
            </w:pPr>
            <w:r w:rsidRPr="009504D4">
              <w:rPr>
                <w:rFonts w:cs="Arial"/>
                <w:sz w:val="20"/>
              </w:rPr>
              <w:t>Ecopetrol</w:t>
            </w:r>
          </w:p>
        </w:tc>
        <w:tc>
          <w:tcPr>
            <w:tcW w:w="2281" w:type="dxa"/>
            <w:tcBorders>
              <w:top w:val="none" w:sz="0" w:space="0" w:color="auto"/>
              <w:left w:val="none" w:sz="0" w:space="0" w:color="auto"/>
              <w:bottom w:val="none" w:sz="0" w:space="0" w:color="auto"/>
              <w:right w:val="none" w:sz="0" w:space="0" w:color="auto"/>
            </w:tcBorders>
            <w:shd w:val="clear" w:color="auto" w:fill="auto"/>
            <w:vAlign w:val="center"/>
          </w:tcPr>
          <w:p w:rsidR="0083557B" w:rsidRPr="009504D4" w:rsidRDefault="0083557B" w:rsidP="002F63E2">
            <w:pPr>
              <w:cnfStyle w:val="000000100000" w:firstRow="0" w:lastRow="0" w:firstColumn="0" w:lastColumn="0" w:oddVBand="0" w:evenVBand="0" w:oddHBand="1" w:evenHBand="0" w:firstRowFirstColumn="0" w:firstRowLastColumn="0" w:lastRowFirstColumn="0" w:lastRowLastColumn="0"/>
              <w:rPr>
                <w:rFonts w:cs="Arial"/>
                <w:sz w:val="20"/>
              </w:rPr>
            </w:pPr>
            <w:r w:rsidRPr="009504D4">
              <w:rPr>
                <w:rFonts w:cs="Arial"/>
                <w:sz w:val="20"/>
              </w:rPr>
              <w:t xml:space="preserve">Gasolina, </w:t>
            </w:r>
            <w:r w:rsidR="00A56932" w:rsidRPr="009504D4">
              <w:rPr>
                <w:rFonts w:cs="Arial"/>
                <w:sz w:val="20"/>
              </w:rPr>
              <w:t>Diésel</w:t>
            </w:r>
            <w:r w:rsidRPr="009504D4">
              <w:rPr>
                <w:rFonts w:cs="Arial"/>
                <w:sz w:val="20"/>
              </w:rPr>
              <w:t xml:space="preserve"> y mezclas</w:t>
            </w:r>
          </w:p>
        </w:tc>
        <w:tc>
          <w:tcPr>
            <w:tcW w:w="1392" w:type="dxa"/>
            <w:tcBorders>
              <w:top w:val="none" w:sz="0" w:space="0" w:color="auto"/>
              <w:left w:val="none" w:sz="0" w:space="0" w:color="auto"/>
              <w:bottom w:val="none" w:sz="0" w:space="0" w:color="auto"/>
              <w:right w:val="none" w:sz="0" w:space="0" w:color="auto"/>
            </w:tcBorders>
            <w:shd w:val="clear" w:color="auto" w:fill="auto"/>
            <w:vAlign w:val="center"/>
          </w:tcPr>
          <w:p w:rsidR="0083557B" w:rsidRPr="006765A7" w:rsidRDefault="0083557B" w:rsidP="002F63E2">
            <w:pPr>
              <w:cnfStyle w:val="000000100000" w:firstRow="0" w:lastRow="0" w:firstColumn="0" w:lastColumn="0" w:oddVBand="0" w:evenVBand="0" w:oddHBand="1" w:evenHBand="0" w:firstRowFirstColumn="0" w:firstRowLastColumn="0" w:lastRowFirstColumn="0" w:lastRowLastColumn="0"/>
              <w:rPr>
                <w:rFonts w:cs="Arial"/>
              </w:rPr>
            </w:pPr>
            <w:r w:rsidRPr="006765A7">
              <w:rPr>
                <w:rFonts w:cs="Arial"/>
              </w:rPr>
              <w:t>86,42</w:t>
            </w:r>
          </w:p>
        </w:tc>
      </w:tr>
      <w:tr w:rsidR="006765A7" w:rsidRPr="006765A7" w:rsidTr="00122B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6" w:type="dxa"/>
            <w:tcBorders>
              <w:top w:val="none" w:sz="0" w:space="0" w:color="auto"/>
              <w:left w:val="none" w:sz="0" w:space="0" w:color="auto"/>
              <w:bottom w:val="none" w:sz="0" w:space="0" w:color="auto"/>
              <w:right w:val="none" w:sz="0" w:space="0" w:color="auto"/>
            </w:tcBorders>
            <w:shd w:val="clear" w:color="auto" w:fill="auto"/>
            <w:vAlign w:val="center"/>
          </w:tcPr>
          <w:p w:rsidR="007B3D6D" w:rsidRPr="00122B75" w:rsidRDefault="00587F37" w:rsidP="000B687B">
            <w:pPr>
              <w:jc w:val="left"/>
              <w:rPr>
                <w:rFonts w:cs="Arial"/>
                <w:b w:val="0"/>
                <w:sz w:val="20"/>
                <w:lang w:val="es-CO"/>
              </w:rPr>
            </w:pPr>
            <w:r w:rsidRPr="00122B75">
              <w:rPr>
                <w:rFonts w:cs="Arial"/>
                <w:b w:val="0"/>
                <w:sz w:val="20"/>
                <w:lang w:val="es-CO"/>
              </w:rPr>
              <w:t xml:space="preserve">Resolución 180721 </w:t>
            </w:r>
            <w:r w:rsidR="006765A7" w:rsidRPr="00122B75">
              <w:rPr>
                <w:rFonts w:cs="Arial"/>
                <w:b w:val="0"/>
                <w:sz w:val="20"/>
                <w:lang w:val="es-CO"/>
              </w:rPr>
              <w:t>de abr</w:t>
            </w:r>
            <w:r w:rsidRPr="00122B75">
              <w:rPr>
                <w:rFonts w:cs="Arial"/>
                <w:b w:val="0"/>
                <w:sz w:val="20"/>
                <w:lang w:val="es-CO"/>
              </w:rPr>
              <w:t>il de 2010</w:t>
            </w:r>
          </w:p>
          <w:p w:rsidR="006765A7" w:rsidRPr="00122B75" w:rsidRDefault="006765A7" w:rsidP="000B687B">
            <w:pPr>
              <w:jc w:val="left"/>
              <w:rPr>
                <w:rFonts w:cs="Arial"/>
                <w:b w:val="0"/>
                <w:sz w:val="20"/>
              </w:rPr>
            </w:pPr>
          </w:p>
        </w:tc>
        <w:tc>
          <w:tcPr>
            <w:tcW w:w="2254" w:type="dxa"/>
            <w:tcBorders>
              <w:top w:val="none" w:sz="0" w:space="0" w:color="auto"/>
              <w:left w:val="none" w:sz="0" w:space="0" w:color="auto"/>
              <w:bottom w:val="none" w:sz="0" w:space="0" w:color="auto"/>
              <w:right w:val="none" w:sz="0" w:space="0" w:color="auto"/>
            </w:tcBorders>
            <w:shd w:val="clear" w:color="auto" w:fill="auto"/>
          </w:tcPr>
          <w:p w:rsidR="006765A7" w:rsidRPr="009504D4" w:rsidRDefault="006765A7" w:rsidP="002F63E2">
            <w:pPr>
              <w:cnfStyle w:val="000000010000" w:firstRow="0" w:lastRow="0" w:firstColumn="0" w:lastColumn="0" w:oddVBand="0" w:evenVBand="0" w:oddHBand="0" w:evenHBand="1" w:firstRowFirstColumn="0" w:firstRowLastColumn="0" w:lastRowFirstColumn="0" w:lastRowLastColumn="0"/>
              <w:rPr>
                <w:rFonts w:cs="Arial"/>
                <w:sz w:val="20"/>
              </w:rPr>
            </w:pPr>
            <w:r w:rsidRPr="009504D4">
              <w:rPr>
                <w:rFonts w:cs="Arial"/>
                <w:sz w:val="20"/>
              </w:rPr>
              <w:t>Ampliación de Pozos Galán a 60 kbd y parte del montaje de Mansilla Tocancipá</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6765A7" w:rsidRPr="009504D4" w:rsidRDefault="006765A7" w:rsidP="002F63E2">
            <w:pPr>
              <w:cnfStyle w:val="000000010000" w:firstRow="0" w:lastRow="0" w:firstColumn="0" w:lastColumn="0" w:oddVBand="0" w:evenVBand="0" w:oddHBand="0" w:evenHBand="1" w:firstRowFirstColumn="0" w:firstRowLastColumn="0" w:lastRowFirstColumn="0" w:lastRowLastColumn="0"/>
              <w:rPr>
                <w:rFonts w:cs="Arial"/>
                <w:sz w:val="20"/>
              </w:rPr>
            </w:pPr>
            <w:r w:rsidRPr="009504D4">
              <w:rPr>
                <w:rFonts w:cs="Arial"/>
                <w:sz w:val="20"/>
              </w:rPr>
              <w:t>Ecopetrol</w:t>
            </w:r>
          </w:p>
        </w:tc>
        <w:tc>
          <w:tcPr>
            <w:tcW w:w="2281" w:type="dxa"/>
            <w:tcBorders>
              <w:top w:val="none" w:sz="0" w:space="0" w:color="auto"/>
              <w:left w:val="none" w:sz="0" w:space="0" w:color="auto"/>
              <w:bottom w:val="none" w:sz="0" w:space="0" w:color="auto"/>
              <w:right w:val="none" w:sz="0" w:space="0" w:color="auto"/>
            </w:tcBorders>
            <w:shd w:val="clear" w:color="auto" w:fill="auto"/>
            <w:vAlign w:val="center"/>
          </w:tcPr>
          <w:p w:rsidR="006765A7" w:rsidRPr="009504D4" w:rsidRDefault="00215A64" w:rsidP="00215A64">
            <w:pPr>
              <w:cnfStyle w:val="000000010000" w:firstRow="0" w:lastRow="0" w:firstColumn="0" w:lastColumn="0" w:oddVBand="0" w:evenVBand="0" w:oddHBand="0" w:evenHBand="1" w:firstRowFirstColumn="0" w:firstRowLastColumn="0" w:lastRowFirstColumn="0" w:lastRowLastColumn="0"/>
              <w:rPr>
                <w:rFonts w:cs="Arial"/>
                <w:sz w:val="20"/>
              </w:rPr>
            </w:pPr>
            <w:r w:rsidRPr="009504D4">
              <w:rPr>
                <w:rFonts w:cs="Arial"/>
                <w:sz w:val="20"/>
              </w:rPr>
              <w:t xml:space="preserve">Gasolina, </w:t>
            </w:r>
            <w:r w:rsidR="00A56932" w:rsidRPr="009504D4">
              <w:rPr>
                <w:rFonts w:cs="Arial"/>
                <w:sz w:val="20"/>
              </w:rPr>
              <w:t>Diésel</w:t>
            </w:r>
            <w:r w:rsidRPr="009504D4">
              <w:rPr>
                <w:rFonts w:cs="Arial"/>
                <w:sz w:val="20"/>
              </w:rPr>
              <w:t xml:space="preserve">, y </w:t>
            </w:r>
            <w:r w:rsidR="006765A7" w:rsidRPr="009504D4">
              <w:rPr>
                <w:rFonts w:cs="Arial"/>
                <w:sz w:val="20"/>
              </w:rPr>
              <w:t>mezclas. Incluye producto importado</w:t>
            </w:r>
            <w:r w:rsidR="00C6279E">
              <w:rPr>
                <w:rFonts w:cs="Arial"/>
                <w:sz w:val="20"/>
              </w:rPr>
              <w:t xml:space="preserve"> para zonas de frontera. </w:t>
            </w:r>
          </w:p>
        </w:tc>
        <w:tc>
          <w:tcPr>
            <w:tcW w:w="1392" w:type="dxa"/>
            <w:tcBorders>
              <w:top w:val="none" w:sz="0" w:space="0" w:color="auto"/>
              <w:left w:val="none" w:sz="0" w:space="0" w:color="auto"/>
              <w:bottom w:val="none" w:sz="0" w:space="0" w:color="auto"/>
              <w:right w:val="none" w:sz="0" w:space="0" w:color="auto"/>
            </w:tcBorders>
            <w:shd w:val="clear" w:color="auto" w:fill="auto"/>
            <w:vAlign w:val="center"/>
          </w:tcPr>
          <w:p w:rsidR="006765A7" w:rsidRPr="006765A7" w:rsidRDefault="00215A64" w:rsidP="002F63E2">
            <w:pPr>
              <w:cnfStyle w:val="000000010000" w:firstRow="0" w:lastRow="0" w:firstColumn="0" w:lastColumn="0" w:oddVBand="0" w:evenVBand="0" w:oddHBand="0" w:evenHBand="1" w:firstRowFirstColumn="0" w:firstRowLastColumn="0" w:lastRowFirstColumn="0" w:lastRowLastColumn="0"/>
              <w:rPr>
                <w:rFonts w:cs="Arial"/>
              </w:rPr>
            </w:pPr>
            <w:r>
              <w:rPr>
                <w:rFonts w:cs="Arial"/>
              </w:rPr>
              <w:t>86,42</w:t>
            </w:r>
          </w:p>
        </w:tc>
      </w:tr>
      <w:tr w:rsidR="006765A7" w:rsidRPr="006765A7" w:rsidTr="00122B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6" w:type="dxa"/>
            <w:tcBorders>
              <w:top w:val="none" w:sz="0" w:space="0" w:color="auto"/>
              <w:left w:val="none" w:sz="0" w:space="0" w:color="auto"/>
              <w:bottom w:val="none" w:sz="0" w:space="0" w:color="auto"/>
              <w:right w:val="none" w:sz="0" w:space="0" w:color="auto"/>
            </w:tcBorders>
            <w:shd w:val="clear" w:color="auto" w:fill="auto"/>
            <w:vAlign w:val="center"/>
          </w:tcPr>
          <w:p w:rsidR="007B3D6D" w:rsidRPr="00122B75" w:rsidRDefault="00587F37" w:rsidP="000B687B">
            <w:pPr>
              <w:jc w:val="left"/>
              <w:rPr>
                <w:rFonts w:cs="Arial"/>
                <w:b w:val="0"/>
                <w:sz w:val="20"/>
                <w:lang w:val="es-CO"/>
              </w:rPr>
            </w:pPr>
            <w:r w:rsidRPr="00122B75">
              <w:rPr>
                <w:rFonts w:cs="Arial"/>
                <w:b w:val="0"/>
                <w:sz w:val="20"/>
                <w:lang w:val="es-CO"/>
              </w:rPr>
              <w:t xml:space="preserve">Resolución 180248/49 de </w:t>
            </w:r>
            <w:r w:rsidR="00215A64" w:rsidRPr="00122B75">
              <w:rPr>
                <w:rFonts w:cs="Arial"/>
                <w:b w:val="0"/>
                <w:sz w:val="20"/>
                <w:lang w:val="es-CO"/>
              </w:rPr>
              <w:t>f</w:t>
            </w:r>
            <w:r w:rsidRPr="00122B75">
              <w:rPr>
                <w:rFonts w:cs="Arial"/>
                <w:b w:val="0"/>
                <w:sz w:val="20"/>
                <w:lang w:val="es-CO"/>
              </w:rPr>
              <w:t>ebrero de 2011</w:t>
            </w:r>
          </w:p>
          <w:p w:rsidR="006765A7" w:rsidRPr="00122B75" w:rsidRDefault="006765A7" w:rsidP="000B687B">
            <w:pPr>
              <w:jc w:val="left"/>
              <w:rPr>
                <w:rFonts w:cs="Arial"/>
                <w:b w:val="0"/>
                <w:sz w:val="20"/>
              </w:rPr>
            </w:pPr>
          </w:p>
        </w:tc>
        <w:tc>
          <w:tcPr>
            <w:tcW w:w="2254" w:type="dxa"/>
            <w:tcBorders>
              <w:top w:val="none" w:sz="0" w:space="0" w:color="auto"/>
              <w:left w:val="none" w:sz="0" w:space="0" w:color="auto"/>
              <w:bottom w:val="none" w:sz="0" w:space="0" w:color="auto"/>
              <w:right w:val="none" w:sz="0" w:space="0" w:color="auto"/>
            </w:tcBorders>
            <w:shd w:val="clear" w:color="auto" w:fill="auto"/>
          </w:tcPr>
          <w:p w:rsidR="006765A7" w:rsidRPr="009504D4" w:rsidRDefault="006765A7" w:rsidP="002F63E2">
            <w:pPr>
              <w:cnfStyle w:val="000000100000" w:firstRow="0" w:lastRow="0" w:firstColumn="0" w:lastColumn="0" w:oddVBand="0" w:evenVBand="0" w:oddHBand="1" w:evenHBand="0" w:firstRowFirstColumn="0" w:firstRowLastColumn="0" w:lastRowFirstColumn="0" w:lastRowLastColumn="0"/>
              <w:rPr>
                <w:rFonts w:cs="Arial"/>
                <w:sz w:val="20"/>
              </w:rPr>
            </w:pPr>
            <w:r w:rsidRPr="009504D4">
              <w:rPr>
                <w:rFonts w:cs="Arial"/>
                <w:sz w:val="20"/>
              </w:rPr>
              <w:t>Ampliación de Pozos Galán a 60 kbd y parte del montaje de Mansilla Tocancipá</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6765A7" w:rsidRPr="009504D4" w:rsidRDefault="00215A64" w:rsidP="002F63E2">
            <w:pPr>
              <w:cnfStyle w:val="000000100000" w:firstRow="0" w:lastRow="0" w:firstColumn="0" w:lastColumn="0" w:oddVBand="0" w:evenVBand="0" w:oddHBand="1" w:evenHBand="0" w:firstRowFirstColumn="0" w:firstRowLastColumn="0" w:lastRowFirstColumn="0" w:lastRowLastColumn="0"/>
              <w:rPr>
                <w:rFonts w:cs="Arial"/>
                <w:sz w:val="20"/>
              </w:rPr>
            </w:pPr>
            <w:r w:rsidRPr="009504D4">
              <w:rPr>
                <w:rFonts w:cs="Arial"/>
                <w:sz w:val="20"/>
              </w:rPr>
              <w:t>Ecopetrol</w:t>
            </w:r>
          </w:p>
        </w:tc>
        <w:tc>
          <w:tcPr>
            <w:tcW w:w="2281" w:type="dxa"/>
            <w:tcBorders>
              <w:top w:val="none" w:sz="0" w:space="0" w:color="auto"/>
              <w:left w:val="none" w:sz="0" w:space="0" w:color="auto"/>
              <w:bottom w:val="none" w:sz="0" w:space="0" w:color="auto"/>
              <w:right w:val="none" w:sz="0" w:space="0" w:color="auto"/>
            </w:tcBorders>
            <w:shd w:val="clear" w:color="auto" w:fill="auto"/>
            <w:vAlign w:val="center"/>
          </w:tcPr>
          <w:p w:rsidR="006765A7" w:rsidRPr="009504D4" w:rsidRDefault="00215A64" w:rsidP="002F63E2">
            <w:pPr>
              <w:cnfStyle w:val="000000100000" w:firstRow="0" w:lastRow="0" w:firstColumn="0" w:lastColumn="0" w:oddVBand="0" w:evenVBand="0" w:oddHBand="1" w:evenHBand="0" w:firstRowFirstColumn="0" w:firstRowLastColumn="0" w:lastRowFirstColumn="0" w:lastRowLastColumn="0"/>
              <w:rPr>
                <w:rFonts w:cs="Arial"/>
                <w:sz w:val="20"/>
              </w:rPr>
            </w:pPr>
            <w:r w:rsidRPr="009504D4">
              <w:rPr>
                <w:rFonts w:cs="Arial"/>
                <w:sz w:val="20"/>
              </w:rPr>
              <w:t xml:space="preserve">Gasolina, </w:t>
            </w:r>
            <w:r w:rsidR="00A56932" w:rsidRPr="009504D4">
              <w:rPr>
                <w:rFonts w:cs="Arial"/>
                <w:sz w:val="20"/>
              </w:rPr>
              <w:t>Diésel</w:t>
            </w:r>
            <w:r w:rsidRPr="009504D4">
              <w:rPr>
                <w:rFonts w:cs="Arial"/>
                <w:sz w:val="20"/>
              </w:rPr>
              <w:t>, y mezclas. Incluye producto importado y Biocombustibles.</w:t>
            </w:r>
          </w:p>
        </w:tc>
        <w:tc>
          <w:tcPr>
            <w:tcW w:w="1392" w:type="dxa"/>
            <w:tcBorders>
              <w:top w:val="none" w:sz="0" w:space="0" w:color="auto"/>
              <w:left w:val="none" w:sz="0" w:space="0" w:color="auto"/>
              <w:bottom w:val="none" w:sz="0" w:space="0" w:color="auto"/>
              <w:right w:val="none" w:sz="0" w:space="0" w:color="auto"/>
            </w:tcBorders>
            <w:shd w:val="clear" w:color="auto" w:fill="auto"/>
            <w:vAlign w:val="center"/>
          </w:tcPr>
          <w:p w:rsidR="006765A7" w:rsidRPr="006765A7" w:rsidRDefault="00215A64" w:rsidP="002F63E2">
            <w:pPr>
              <w:cnfStyle w:val="000000100000" w:firstRow="0" w:lastRow="0" w:firstColumn="0" w:lastColumn="0" w:oddVBand="0" w:evenVBand="0" w:oddHBand="1" w:evenHBand="0" w:firstRowFirstColumn="0" w:firstRowLastColumn="0" w:lastRowFirstColumn="0" w:lastRowLastColumn="0"/>
              <w:rPr>
                <w:rFonts w:cs="Arial"/>
              </w:rPr>
            </w:pPr>
            <w:r>
              <w:rPr>
                <w:rFonts w:cs="Arial"/>
              </w:rPr>
              <w:t>86,42</w:t>
            </w:r>
          </w:p>
        </w:tc>
      </w:tr>
      <w:tr w:rsidR="0083557B" w:rsidRPr="006765A7" w:rsidTr="00122B7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6" w:type="dxa"/>
            <w:tcBorders>
              <w:top w:val="none" w:sz="0" w:space="0" w:color="auto"/>
              <w:left w:val="none" w:sz="0" w:space="0" w:color="auto"/>
              <w:bottom w:val="none" w:sz="0" w:space="0" w:color="auto"/>
              <w:right w:val="none" w:sz="0" w:space="0" w:color="auto"/>
            </w:tcBorders>
            <w:shd w:val="clear" w:color="auto" w:fill="auto"/>
            <w:vAlign w:val="center"/>
          </w:tcPr>
          <w:p w:rsidR="0083557B" w:rsidRPr="00122B75" w:rsidRDefault="0083557B" w:rsidP="000B687B">
            <w:pPr>
              <w:jc w:val="left"/>
              <w:rPr>
                <w:rFonts w:cs="Arial"/>
                <w:b w:val="0"/>
                <w:sz w:val="20"/>
              </w:rPr>
            </w:pPr>
            <w:r w:rsidRPr="00122B75">
              <w:rPr>
                <w:rFonts w:cs="Arial"/>
                <w:b w:val="0"/>
                <w:sz w:val="20"/>
              </w:rPr>
              <w:t>90228 de abril de 2013</w:t>
            </w:r>
          </w:p>
        </w:tc>
        <w:tc>
          <w:tcPr>
            <w:tcW w:w="2254" w:type="dxa"/>
            <w:tcBorders>
              <w:top w:val="none" w:sz="0" w:space="0" w:color="auto"/>
              <w:left w:val="none" w:sz="0" w:space="0" w:color="auto"/>
              <w:bottom w:val="none" w:sz="0" w:space="0" w:color="auto"/>
              <w:right w:val="none" w:sz="0" w:space="0" w:color="auto"/>
            </w:tcBorders>
            <w:shd w:val="clear" w:color="auto" w:fill="auto"/>
          </w:tcPr>
          <w:p w:rsidR="0083557B" w:rsidRPr="009504D4" w:rsidRDefault="0083557B" w:rsidP="002F63E2">
            <w:pPr>
              <w:cnfStyle w:val="000000010000" w:firstRow="0" w:lastRow="0" w:firstColumn="0" w:lastColumn="0" w:oddVBand="0" w:evenVBand="0" w:oddHBand="0" w:evenHBand="1" w:firstRowFirstColumn="0" w:firstRowLastColumn="0" w:lastRowFirstColumn="0" w:lastRowLastColumn="0"/>
              <w:rPr>
                <w:rFonts w:cs="Arial"/>
                <w:sz w:val="20"/>
              </w:rPr>
            </w:pPr>
            <w:r w:rsidRPr="009504D4">
              <w:rPr>
                <w:rFonts w:cs="Arial"/>
                <w:sz w:val="20"/>
              </w:rPr>
              <w:t>Ampliación de Pozos Galán a 60 kbd y parte del montaje de Mansilla Tocancipá</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3557B" w:rsidRPr="009504D4" w:rsidRDefault="0083557B" w:rsidP="002F63E2">
            <w:pPr>
              <w:cnfStyle w:val="000000010000" w:firstRow="0" w:lastRow="0" w:firstColumn="0" w:lastColumn="0" w:oddVBand="0" w:evenVBand="0" w:oddHBand="0" w:evenHBand="1" w:firstRowFirstColumn="0" w:firstRowLastColumn="0" w:lastRowFirstColumn="0" w:lastRowLastColumn="0"/>
              <w:rPr>
                <w:rFonts w:cs="Arial"/>
                <w:sz w:val="20"/>
              </w:rPr>
            </w:pPr>
            <w:r w:rsidRPr="009504D4">
              <w:rPr>
                <w:rFonts w:cs="Arial"/>
                <w:sz w:val="20"/>
              </w:rPr>
              <w:t>Cenit</w:t>
            </w:r>
          </w:p>
        </w:tc>
        <w:tc>
          <w:tcPr>
            <w:tcW w:w="2281" w:type="dxa"/>
            <w:tcBorders>
              <w:top w:val="none" w:sz="0" w:space="0" w:color="auto"/>
              <w:left w:val="none" w:sz="0" w:space="0" w:color="auto"/>
              <w:bottom w:val="none" w:sz="0" w:space="0" w:color="auto"/>
              <w:right w:val="none" w:sz="0" w:space="0" w:color="auto"/>
            </w:tcBorders>
            <w:shd w:val="clear" w:color="auto" w:fill="auto"/>
            <w:vAlign w:val="center"/>
          </w:tcPr>
          <w:p w:rsidR="0083557B" w:rsidRPr="009504D4" w:rsidRDefault="00215A64" w:rsidP="002F63E2">
            <w:pPr>
              <w:cnfStyle w:val="000000010000" w:firstRow="0" w:lastRow="0" w:firstColumn="0" w:lastColumn="0" w:oddVBand="0" w:evenVBand="0" w:oddHBand="0" w:evenHBand="1" w:firstRowFirstColumn="0" w:firstRowLastColumn="0" w:lastRowFirstColumn="0" w:lastRowLastColumn="0"/>
              <w:rPr>
                <w:rFonts w:cs="Arial"/>
                <w:sz w:val="20"/>
              </w:rPr>
            </w:pPr>
            <w:r w:rsidRPr="009504D4">
              <w:rPr>
                <w:rFonts w:cs="Arial"/>
                <w:sz w:val="20"/>
              </w:rPr>
              <w:t xml:space="preserve">Gasolina, </w:t>
            </w:r>
            <w:r w:rsidR="00A56932" w:rsidRPr="009504D4">
              <w:rPr>
                <w:rFonts w:cs="Arial"/>
                <w:sz w:val="20"/>
              </w:rPr>
              <w:t>Diésel</w:t>
            </w:r>
            <w:r w:rsidRPr="009504D4">
              <w:rPr>
                <w:rFonts w:cs="Arial"/>
                <w:sz w:val="20"/>
              </w:rPr>
              <w:t>, y mezclas. Incluye producto importado y Biocombustibles.</w:t>
            </w:r>
          </w:p>
        </w:tc>
        <w:tc>
          <w:tcPr>
            <w:tcW w:w="1392" w:type="dxa"/>
            <w:tcBorders>
              <w:top w:val="none" w:sz="0" w:space="0" w:color="auto"/>
              <w:left w:val="none" w:sz="0" w:space="0" w:color="auto"/>
              <w:bottom w:val="none" w:sz="0" w:space="0" w:color="auto"/>
              <w:right w:val="none" w:sz="0" w:space="0" w:color="auto"/>
            </w:tcBorders>
            <w:shd w:val="clear" w:color="auto" w:fill="auto"/>
            <w:vAlign w:val="center"/>
          </w:tcPr>
          <w:p w:rsidR="0083557B" w:rsidRPr="006765A7" w:rsidRDefault="0083557B" w:rsidP="002F63E2">
            <w:pPr>
              <w:cnfStyle w:val="000000010000" w:firstRow="0" w:lastRow="0" w:firstColumn="0" w:lastColumn="0" w:oddVBand="0" w:evenVBand="0" w:oddHBand="0" w:evenHBand="1" w:firstRowFirstColumn="0" w:firstRowLastColumn="0" w:lastRowFirstColumn="0" w:lastRowLastColumn="0"/>
              <w:rPr>
                <w:rFonts w:cs="Arial"/>
              </w:rPr>
            </w:pPr>
            <w:r w:rsidRPr="006765A7">
              <w:rPr>
                <w:rFonts w:cs="Arial"/>
              </w:rPr>
              <w:t>86,42</w:t>
            </w:r>
          </w:p>
        </w:tc>
      </w:tr>
      <w:tr w:rsidR="00215A64" w:rsidRPr="006765A7" w:rsidTr="00122B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96" w:type="dxa"/>
            <w:tcBorders>
              <w:top w:val="none" w:sz="0" w:space="0" w:color="auto"/>
              <w:left w:val="none" w:sz="0" w:space="0" w:color="auto"/>
              <w:bottom w:val="none" w:sz="0" w:space="0" w:color="auto"/>
              <w:right w:val="none" w:sz="0" w:space="0" w:color="auto"/>
            </w:tcBorders>
            <w:shd w:val="clear" w:color="auto" w:fill="auto"/>
            <w:vAlign w:val="center"/>
          </w:tcPr>
          <w:p w:rsidR="0083557B" w:rsidRPr="00122B75" w:rsidRDefault="0083557B" w:rsidP="000B687B">
            <w:pPr>
              <w:jc w:val="left"/>
              <w:rPr>
                <w:rFonts w:cs="Arial"/>
                <w:b w:val="0"/>
                <w:sz w:val="20"/>
              </w:rPr>
            </w:pPr>
            <w:r w:rsidRPr="00122B75">
              <w:rPr>
                <w:rFonts w:cs="Arial"/>
                <w:b w:val="0"/>
                <w:sz w:val="20"/>
              </w:rPr>
              <w:t>90155 de enero de 2014</w:t>
            </w:r>
          </w:p>
        </w:tc>
        <w:tc>
          <w:tcPr>
            <w:tcW w:w="2254" w:type="dxa"/>
            <w:tcBorders>
              <w:top w:val="none" w:sz="0" w:space="0" w:color="auto"/>
              <w:left w:val="none" w:sz="0" w:space="0" w:color="auto"/>
              <w:bottom w:val="none" w:sz="0" w:space="0" w:color="auto"/>
              <w:right w:val="none" w:sz="0" w:space="0" w:color="auto"/>
            </w:tcBorders>
            <w:shd w:val="clear" w:color="auto" w:fill="auto"/>
            <w:vAlign w:val="center"/>
          </w:tcPr>
          <w:p w:rsidR="0083557B" w:rsidRPr="009504D4" w:rsidRDefault="0083557B" w:rsidP="002F63E2">
            <w:pPr>
              <w:cnfStyle w:val="000000100000" w:firstRow="0" w:lastRow="0" w:firstColumn="0" w:lastColumn="0" w:oddVBand="0" w:evenVBand="0" w:oddHBand="1" w:evenHBand="0" w:firstRowFirstColumn="0" w:firstRowLastColumn="0" w:lastRowFirstColumn="0" w:lastRowLastColumn="0"/>
              <w:rPr>
                <w:rFonts w:cs="Arial"/>
                <w:sz w:val="20"/>
              </w:rPr>
            </w:pPr>
            <w:r w:rsidRPr="009504D4">
              <w:rPr>
                <w:rFonts w:cs="Arial"/>
                <w:sz w:val="20"/>
              </w:rPr>
              <w:t>Ampliación de Pozos Galán a 60 kbd</w:t>
            </w:r>
          </w:p>
        </w:tc>
        <w:tc>
          <w:tcPr>
            <w:tcW w:w="1418" w:type="dxa"/>
            <w:tcBorders>
              <w:top w:val="none" w:sz="0" w:space="0" w:color="auto"/>
              <w:left w:val="none" w:sz="0" w:space="0" w:color="auto"/>
              <w:bottom w:val="none" w:sz="0" w:space="0" w:color="auto"/>
              <w:right w:val="none" w:sz="0" w:space="0" w:color="auto"/>
            </w:tcBorders>
            <w:shd w:val="clear" w:color="auto" w:fill="auto"/>
            <w:vAlign w:val="center"/>
          </w:tcPr>
          <w:p w:rsidR="0083557B" w:rsidRPr="009504D4" w:rsidRDefault="0083557B" w:rsidP="002F63E2">
            <w:pPr>
              <w:cnfStyle w:val="000000100000" w:firstRow="0" w:lastRow="0" w:firstColumn="0" w:lastColumn="0" w:oddVBand="0" w:evenVBand="0" w:oddHBand="1" w:evenHBand="0" w:firstRowFirstColumn="0" w:firstRowLastColumn="0" w:lastRowFirstColumn="0" w:lastRowLastColumn="0"/>
              <w:rPr>
                <w:rFonts w:cs="Arial"/>
                <w:sz w:val="20"/>
              </w:rPr>
            </w:pPr>
            <w:r w:rsidRPr="009504D4">
              <w:rPr>
                <w:rFonts w:cs="Arial"/>
                <w:sz w:val="20"/>
              </w:rPr>
              <w:t>Cenit</w:t>
            </w:r>
          </w:p>
        </w:tc>
        <w:tc>
          <w:tcPr>
            <w:tcW w:w="2281" w:type="dxa"/>
            <w:tcBorders>
              <w:top w:val="none" w:sz="0" w:space="0" w:color="auto"/>
              <w:left w:val="none" w:sz="0" w:space="0" w:color="auto"/>
              <w:bottom w:val="none" w:sz="0" w:space="0" w:color="auto"/>
              <w:right w:val="none" w:sz="0" w:space="0" w:color="auto"/>
            </w:tcBorders>
            <w:shd w:val="clear" w:color="auto" w:fill="auto"/>
            <w:vAlign w:val="center"/>
          </w:tcPr>
          <w:p w:rsidR="0083557B" w:rsidRPr="009504D4" w:rsidRDefault="00215A64" w:rsidP="002F63E2">
            <w:pPr>
              <w:cnfStyle w:val="000000100000" w:firstRow="0" w:lastRow="0" w:firstColumn="0" w:lastColumn="0" w:oddVBand="0" w:evenVBand="0" w:oddHBand="1" w:evenHBand="0" w:firstRowFirstColumn="0" w:firstRowLastColumn="0" w:lastRowFirstColumn="0" w:lastRowLastColumn="0"/>
              <w:rPr>
                <w:rFonts w:cs="Arial"/>
                <w:sz w:val="20"/>
              </w:rPr>
            </w:pPr>
            <w:r w:rsidRPr="009504D4">
              <w:rPr>
                <w:rFonts w:cs="Arial"/>
                <w:sz w:val="20"/>
              </w:rPr>
              <w:t xml:space="preserve">Gasolina, </w:t>
            </w:r>
            <w:r w:rsidR="00A56932" w:rsidRPr="009504D4">
              <w:rPr>
                <w:rFonts w:cs="Arial"/>
                <w:sz w:val="20"/>
              </w:rPr>
              <w:t>Diésel</w:t>
            </w:r>
            <w:r w:rsidRPr="009504D4">
              <w:rPr>
                <w:rFonts w:cs="Arial"/>
                <w:sz w:val="20"/>
              </w:rPr>
              <w:t>, y mezclas. Incluye producto importado y Biocombustibles.</w:t>
            </w:r>
          </w:p>
        </w:tc>
        <w:tc>
          <w:tcPr>
            <w:tcW w:w="1392" w:type="dxa"/>
            <w:tcBorders>
              <w:top w:val="none" w:sz="0" w:space="0" w:color="auto"/>
              <w:left w:val="none" w:sz="0" w:space="0" w:color="auto"/>
              <w:bottom w:val="none" w:sz="0" w:space="0" w:color="auto"/>
              <w:right w:val="none" w:sz="0" w:space="0" w:color="auto"/>
            </w:tcBorders>
            <w:shd w:val="clear" w:color="auto" w:fill="auto"/>
            <w:vAlign w:val="center"/>
          </w:tcPr>
          <w:p w:rsidR="0083557B" w:rsidRPr="006765A7" w:rsidRDefault="0083557B" w:rsidP="002F63E2">
            <w:pPr>
              <w:cnfStyle w:val="000000100000" w:firstRow="0" w:lastRow="0" w:firstColumn="0" w:lastColumn="0" w:oddVBand="0" w:evenVBand="0" w:oddHBand="1" w:evenHBand="0" w:firstRowFirstColumn="0" w:firstRowLastColumn="0" w:lastRowFirstColumn="0" w:lastRowLastColumn="0"/>
              <w:rPr>
                <w:rFonts w:cs="Arial"/>
              </w:rPr>
            </w:pPr>
            <w:r w:rsidRPr="006765A7">
              <w:rPr>
                <w:rFonts w:cs="Arial"/>
              </w:rPr>
              <w:t>71,51</w:t>
            </w:r>
          </w:p>
        </w:tc>
      </w:tr>
    </w:tbl>
    <w:p w:rsidR="0083557B" w:rsidRPr="006765A7" w:rsidRDefault="0083557B" w:rsidP="0083557B">
      <w:pPr>
        <w:rPr>
          <w:rFonts w:cs="Arial"/>
        </w:rPr>
      </w:pPr>
    </w:p>
    <w:p w:rsidR="0083557B" w:rsidRPr="00023977" w:rsidRDefault="0083557B" w:rsidP="0083557B">
      <w:pPr>
        <w:ind w:left="142"/>
        <w:contextualSpacing/>
        <w:rPr>
          <w:rFonts w:cs="Arial"/>
          <w:sz w:val="24"/>
        </w:rPr>
      </w:pPr>
      <w:r w:rsidRPr="00023977">
        <w:rPr>
          <w:rFonts w:cs="Arial"/>
          <w:sz w:val="24"/>
        </w:rPr>
        <w:lastRenderedPageBreak/>
        <w:t>El margen de continuidad está hoy vigente en un valor de $ 71,51 por galón y sigue remunerando la expansión de capacidad del ducto Pozos Colorados - Galán a 60 kbd.</w:t>
      </w:r>
    </w:p>
    <w:p w:rsidR="00B15001" w:rsidRPr="00023977" w:rsidRDefault="00B15001" w:rsidP="0083557B">
      <w:pPr>
        <w:ind w:left="195"/>
        <w:rPr>
          <w:rFonts w:cs="Arial"/>
          <w:sz w:val="24"/>
        </w:rPr>
      </w:pPr>
      <w:bookmarkStart w:id="431" w:name="_Toc424832941"/>
      <w:bookmarkStart w:id="432" w:name="_Toc424887672"/>
      <w:bookmarkStart w:id="433" w:name="_Toc425488432"/>
      <w:bookmarkStart w:id="434" w:name="_Toc426035072"/>
      <w:bookmarkStart w:id="435" w:name="_Toc427333595"/>
      <w:bookmarkStart w:id="436" w:name="_Toc427336536"/>
      <w:bookmarkStart w:id="437" w:name="_Toc427681826"/>
    </w:p>
    <w:p w:rsidR="0083557B" w:rsidRPr="00023977" w:rsidRDefault="0083557B" w:rsidP="00391FB3">
      <w:pPr>
        <w:pStyle w:val="Ttulo1"/>
        <w:jc w:val="left"/>
        <w:rPr>
          <w:rFonts w:ascii="Bookman Old Style" w:eastAsia="Arial" w:hAnsi="Bookman Old Style" w:cs="Arial"/>
          <w:sz w:val="24"/>
        </w:rPr>
      </w:pPr>
      <w:bookmarkStart w:id="438" w:name="_Toc433276758"/>
      <w:bookmarkStart w:id="439" w:name="_Toc433295721"/>
      <w:bookmarkStart w:id="440" w:name="_Toc433296446"/>
      <w:bookmarkStart w:id="441" w:name="_Toc437500877"/>
      <w:bookmarkStart w:id="442" w:name="_Toc437501536"/>
      <w:bookmarkStart w:id="443" w:name="_Toc437501716"/>
      <w:bookmarkStart w:id="444" w:name="_Toc437501806"/>
      <w:bookmarkStart w:id="445" w:name="_Toc437502569"/>
      <w:bookmarkStart w:id="446" w:name="_Toc437505929"/>
      <w:bookmarkStart w:id="447" w:name="_Toc437512742"/>
      <w:r w:rsidRPr="00023977">
        <w:rPr>
          <w:rFonts w:ascii="Bookman Old Style" w:eastAsia="Arial" w:hAnsi="Bookman Old Style" w:cs="Arial"/>
          <w:sz w:val="24"/>
        </w:rPr>
        <w:t>TEMAS A ESTUDIAR</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rsidR="0083557B" w:rsidRPr="00023977" w:rsidRDefault="0083557B" w:rsidP="0083557B">
      <w:pPr>
        <w:rPr>
          <w:rFonts w:eastAsia="Arial" w:cs="Arial"/>
          <w:sz w:val="24"/>
          <w:lang w:val="es-CO"/>
        </w:rPr>
      </w:pPr>
    </w:p>
    <w:p w:rsidR="00943878" w:rsidRDefault="00CD1C95" w:rsidP="000F5F34">
      <w:pPr>
        <w:rPr>
          <w:rFonts w:eastAsia="Arial"/>
          <w:sz w:val="24"/>
          <w:lang w:val="es-CO"/>
        </w:rPr>
      </w:pPr>
      <w:r w:rsidRPr="00023977">
        <w:rPr>
          <w:rFonts w:eastAsia="Arial"/>
          <w:sz w:val="24"/>
          <w:lang w:val="es-CO"/>
        </w:rPr>
        <w:t xml:space="preserve">El desarrollo de la nueva metodología de remuneración contempla una revisión general de </w:t>
      </w:r>
      <w:r w:rsidR="00943878">
        <w:rPr>
          <w:rFonts w:eastAsia="Arial"/>
          <w:sz w:val="24"/>
          <w:lang w:val="es-CO"/>
        </w:rPr>
        <w:t xml:space="preserve">los principios </w:t>
      </w:r>
      <w:r w:rsidR="000B687B">
        <w:rPr>
          <w:rFonts w:eastAsia="Arial"/>
          <w:sz w:val="24"/>
          <w:lang w:val="es-CO"/>
        </w:rPr>
        <w:t>económicos a la luz de la información técnica,</w:t>
      </w:r>
      <w:r w:rsidRPr="00023977">
        <w:rPr>
          <w:rFonts w:eastAsia="Arial"/>
          <w:sz w:val="24"/>
          <w:lang w:val="es-CO"/>
        </w:rPr>
        <w:t xml:space="preserve"> </w:t>
      </w:r>
      <w:r w:rsidR="009255E9">
        <w:rPr>
          <w:rFonts w:eastAsia="Arial"/>
          <w:sz w:val="24"/>
          <w:lang w:val="es-CO"/>
        </w:rPr>
        <w:t>que permita definir el modelo tarifa</w:t>
      </w:r>
      <w:r w:rsidR="00C341FD">
        <w:rPr>
          <w:rFonts w:eastAsia="Arial"/>
          <w:sz w:val="24"/>
          <w:lang w:val="es-CO"/>
        </w:rPr>
        <w:t>rio a aplicar en el próximo perí</w:t>
      </w:r>
      <w:r w:rsidR="009255E9">
        <w:rPr>
          <w:rFonts w:eastAsia="Arial"/>
          <w:sz w:val="24"/>
          <w:lang w:val="es-CO"/>
        </w:rPr>
        <w:t>odo tarifario</w:t>
      </w:r>
      <w:r w:rsidR="00943878">
        <w:rPr>
          <w:rFonts w:eastAsia="Arial"/>
          <w:sz w:val="24"/>
          <w:lang w:val="es-CO"/>
        </w:rPr>
        <w:t>.</w:t>
      </w:r>
    </w:p>
    <w:p w:rsidR="00943878" w:rsidRDefault="00943878" w:rsidP="000F5F34">
      <w:pPr>
        <w:rPr>
          <w:rFonts w:eastAsia="Arial"/>
          <w:sz w:val="24"/>
          <w:lang w:val="es-CO"/>
        </w:rPr>
      </w:pPr>
    </w:p>
    <w:p w:rsidR="00943878" w:rsidRDefault="00943878" w:rsidP="000F5F34">
      <w:pPr>
        <w:rPr>
          <w:rFonts w:eastAsia="Arial"/>
          <w:sz w:val="24"/>
          <w:lang w:val="es-CO"/>
        </w:rPr>
      </w:pPr>
      <w:r>
        <w:rPr>
          <w:rFonts w:eastAsia="Arial"/>
          <w:sz w:val="24"/>
          <w:lang w:val="es-CO"/>
        </w:rPr>
        <w:t xml:space="preserve">El </w:t>
      </w:r>
      <w:r w:rsidR="009241D4">
        <w:rPr>
          <w:rFonts w:eastAsia="Arial"/>
          <w:sz w:val="24"/>
          <w:lang w:val="es-CO"/>
        </w:rPr>
        <w:t>análisis incluye</w:t>
      </w:r>
      <w:r w:rsidR="00947101" w:rsidRPr="00023977">
        <w:rPr>
          <w:rFonts w:eastAsia="Arial"/>
          <w:sz w:val="24"/>
          <w:lang w:val="es-CO"/>
        </w:rPr>
        <w:t xml:space="preserve"> las componentes</w:t>
      </w:r>
      <w:r w:rsidR="003F2F66" w:rsidRPr="00023977">
        <w:rPr>
          <w:rFonts w:eastAsia="Arial"/>
          <w:sz w:val="24"/>
          <w:lang w:val="es-CO"/>
        </w:rPr>
        <w:t xml:space="preserve"> </w:t>
      </w:r>
      <w:r w:rsidR="00D96692">
        <w:rPr>
          <w:rFonts w:eastAsia="Arial"/>
          <w:sz w:val="24"/>
          <w:lang w:val="es-CO"/>
        </w:rPr>
        <w:t>generales que afectan</w:t>
      </w:r>
      <w:r w:rsidR="003F2F66" w:rsidRPr="00023977">
        <w:rPr>
          <w:rFonts w:eastAsia="Arial"/>
          <w:sz w:val="24"/>
          <w:lang w:val="es-CO"/>
        </w:rPr>
        <w:t xml:space="preserve"> la remuneración, incluyendo</w:t>
      </w:r>
      <w:r w:rsidR="00EB26E6">
        <w:rPr>
          <w:rFonts w:eastAsia="Arial"/>
          <w:sz w:val="24"/>
          <w:lang w:val="es-CO"/>
        </w:rPr>
        <w:t>,</w:t>
      </w:r>
      <w:r w:rsidR="003F2F66" w:rsidRPr="00023977">
        <w:rPr>
          <w:rFonts w:eastAsia="Arial"/>
          <w:sz w:val="24"/>
          <w:lang w:val="es-CO"/>
        </w:rPr>
        <w:t xml:space="preserve"> la inversi</w:t>
      </w:r>
      <w:r w:rsidR="000F5F34" w:rsidRPr="00023977">
        <w:rPr>
          <w:rFonts w:eastAsia="Arial"/>
          <w:sz w:val="24"/>
          <w:lang w:val="es-CO"/>
        </w:rPr>
        <w:t>ón, los gastos de AOM</w:t>
      </w:r>
      <w:r w:rsidR="00EB26E6">
        <w:rPr>
          <w:rFonts w:eastAsia="Arial"/>
          <w:sz w:val="24"/>
          <w:lang w:val="es-CO"/>
        </w:rPr>
        <w:t xml:space="preserve"> y la demanda</w:t>
      </w:r>
      <w:r>
        <w:rPr>
          <w:rFonts w:eastAsia="Arial"/>
          <w:sz w:val="24"/>
          <w:lang w:val="es-CO"/>
        </w:rPr>
        <w:t>.</w:t>
      </w:r>
    </w:p>
    <w:p w:rsidR="00943878" w:rsidRDefault="00943878" w:rsidP="000F5F34">
      <w:pPr>
        <w:rPr>
          <w:rFonts w:eastAsia="Arial"/>
          <w:sz w:val="24"/>
          <w:lang w:val="es-CO"/>
        </w:rPr>
      </w:pPr>
    </w:p>
    <w:p w:rsidR="00303566" w:rsidRPr="00023977" w:rsidRDefault="00303566" w:rsidP="00303566">
      <w:pPr>
        <w:rPr>
          <w:rFonts w:cs="Arial"/>
          <w:sz w:val="24"/>
          <w:lang w:val="es-CO"/>
        </w:rPr>
      </w:pPr>
      <w:r w:rsidRPr="00023977">
        <w:rPr>
          <w:rFonts w:cs="Arial"/>
          <w:sz w:val="24"/>
          <w:lang w:val="es-CO"/>
        </w:rPr>
        <w:t xml:space="preserve">Las principales variables </w:t>
      </w:r>
      <w:r>
        <w:rPr>
          <w:rFonts w:cs="Arial"/>
          <w:sz w:val="24"/>
          <w:lang w:val="es-CO"/>
        </w:rPr>
        <w:t>a estudiar</w:t>
      </w:r>
      <w:r w:rsidRPr="00023977">
        <w:rPr>
          <w:rFonts w:cs="Arial"/>
          <w:sz w:val="24"/>
          <w:lang w:val="es-CO"/>
        </w:rPr>
        <w:t xml:space="preserve"> en el cálculo tarifario son: i) los valores eficientes de las inversiones; ii) los valores eficientes de los gastos de administración, operación y mantenimiento; iii) </w:t>
      </w:r>
      <w:r>
        <w:rPr>
          <w:rFonts w:cs="Arial"/>
          <w:sz w:val="24"/>
          <w:lang w:val="es-CO"/>
        </w:rPr>
        <w:t>la caracterización de la demanda</w:t>
      </w:r>
      <w:r w:rsidRPr="00023977">
        <w:rPr>
          <w:rFonts w:cs="Arial"/>
          <w:sz w:val="24"/>
          <w:lang w:val="es-CO"/>
        </w:rPr>
        <w:t xml:space="preserve">;  iv) la tasa de descuento y v) la estructuración de cargos fijos </w:t>
      </w:r>
      <w:r>
        <w:rPr>
          <w:rFonts w:cs="Arial"/>
          <w:sz w:val="24"/>
          <w:lang w:val="es-CO"/>
        </w:rPr>
        <w:t>y/</w:t>
      </w:r>
      <w:r w:rsidRPr="00023977">
        <w:rPr>
          <w:rFonts w:cs="Arial"/>
          <w:sz w:val="24"/>
          <w:lang w:val="es-CO"/>
        </w:rPr>
        <w:t>o variables</w:t>
      </w:r>
      <w:r>
        <w:rPr>
          <w:rFonts w:cs="Arial"/>
          <w:sz w:val="24"/>
          <w:lang w:val="es-CO"/>
        </w:rPr>
        <w:t>.</w:t>
      </w:r>
    </w:p>
    <w:p w:rsidR="00303566" w:rsidRDefault="00303566" w:rsidP="000F5F34">
      <w:pPr>
        <w:rPr>
          <w:rFonts w:eastAsia="Arial"/>
          <w:sz w:val="24"/>
          <w:lang w:val="es-CO"/>
        </w:rPr>
      </w:pPr>
    </w:p>
    <w:p w:rsidR="00CD1C95" w:rsidRDefault="00943878" w:rsidP="000F5F34">
      <w:pPr>
        <w:rPr>
          <w:rFonts w:eastAsia="Arial"/>
          <w:sz w:val="24"/>
          <w:lang w:val="es-CO"/>
        </w:rPr>
      </w:pPr>
      <w:r>
        <w:rPr>
          <w:rFonts w:eastAsia="Arial"/>
          <w:sz w:val="24"/>
          <w:lang w:val="es-CO"/>
        </w:rPr>
        <w:t>A</w:t>
      </w:r>
      <w:r w:rsidR="000F5F34" w:rsidRPr="00023977">
        <w:rPr>
          <w:rFonts w:eastAsia="Arial"/>
          <w:sz w:val="24"/>
          <w:lang w:val="es-CO"/>
        </w:rPr>
        <w:t>sí mismo se contempla un análisis que permita generar señales de expansión y finalmente una revisión y compatibilización de las estructuras de remuneración de propanoductos y poliductos.</w:t>
      </w:r>
      <w:r w:rsidR="00052265" w:rsidRPr="00023977">
        <w:rPr>
          <w:rFonts w:eastAsia="Arial"/>
          <w:sz w:val="24"/>
          <w:lang w:val="es-CO"/>
        </w:rPr>
        <w:t xml:space="preserve"> En la </w:t>
      </w:r>
      <w:r w:rsidR="002C7AF2">
        <w:rPr>
          <w:rFonts w:eastAsia="Arial"/>
          <w:sz w:val="24"/>
          <w:lang w:val="es-CO"/>
        </w:rPr>
        <w:fldChar w:fldCharType="begin"/>
      </w:r>
      <w:r w:rsidR="002C7AF2">
        <w:rPr>
          <w:rFonts w:eastAsia="Arial"/>
          <w:sz w:val="24"/>
          <w:lang w:val="es-CO"/>
        </w:rPr>
        <w:instrText xml:space="preserve"> REF _Ref433970388 \h </w:instrText>
      </w:r>
      <w:r w:rsidR="002C7AF2">
        <w:rPr>
          <w:rFonts w:eastAsia="Arial"/>
          <w:sz w:val="24"/>
          <w:lang w:val="es-CO"/>
        </w:rPr>
      </w:r>
      <w:r w:rsidR="002C7AF2">
        <w:rPr>
          <w:rFonts w:eastAsia="Arial"/>
          <w:sz w:val="24"/>
          <w:lang w:val="es-CO"/>
        </w:rPr>
        <w:fldChar w:fldCharType="separate"/>
      </w:r>
      <w:r w:rsidR="00625BEB">
        <w:t xml:space="preserve">Gráfica </w:t>
      </w:r>
      <w:r w:rsidR="00625BEB">
        <w:rPr>
          <w:noProof/>
        </w:rPr>
        <w:t>15</w:t>
      </w:r>
      <w:r w:rsidR="002C7AF2">
        <w:rPr>
          <w:rFonts w:eastAsia="Arial"/>
          <w:sz w:val="24"/>
          <w:lang w:val="es-CO"/>
        </w:rPr>
        <w:fldChar w:fldCharType="end"/>
      </w:r>
      <w:r>
        <w:rPr>
          <w:rFonts w:eastAsia="Arial"/>
          <w:sz w:val="24"/>
          <w:lang w:val="es-CO"/>
        </w:rPr>
        <w:t xml:space="preserve"> </w:t>
      </w:r>
      <w:r w:rsidR="00052265" w:rsidRPr="00023977">
        <w:rPr>
          <w:rFonts w:eastAsia="Arial"/>
          <w:sz w:val="24"/>
          <w:lang w:val="es-CO"/>
        </w:rPr>
        <w:t>se presenta de manera e</w:t>
      </w:r>
      <w:r>
        <w:rPr>
          <w:rFonts w:eastAsia="Arial"/>
          <w:sz w:val="24"/>
          <w:lang w:val="es-CO"/>
        </w:rPr>
        <w:t>squemática los temas a estudiar</w:t>
      </w:r>
      <w:r w:rsidR="00C77B93">
        <w:rPr>
          <w:rFonts w:eastAsia="Arial"/>
          <w:sz w:val="24"/>
          <w:lang w:val="es-CO"/>
        </w:rPr>
        <w:t>.</w:t>
      </w:r>
    </w:p>
    <w:p w:rsidR="00943878" w:rsidRPr="00023977" w:rsidRDefault="00943878" w:rsidP="000F5F34">
      <w:pPr>
        <w:rPr>
          <w:rFonts w:eastAsia="Arial"/>
          <w:sz w:val="24"/>
          <w:lang w:val="es-CO"/>
        </w:rPr>
      </w:pPr>
    </w:p>
    <w:p w:rsidR="00F472A6" w:rsidRDefault="00303566" w:rsidP="00F472A6">
      <w:pPr>
        <w:keepNext/>
      </w:pPr>
      <w:r w:rsidRPr="00303566">
        <w:rPr>
          <w:noProof/>
          <w:lang w:val="es-CO" w:eastAsia="es-CO"/>
        </w:rPr>
        <w:drawing>
          <wp:inline distT="0" distB="0" distL="0" distR="0" wp14:anchorId="497A1B2D" wp14:editId="6C71684F">
            <wp:extent cx="5608949" cy="3346516"/>
            <wp:effectExtent l="38100" t="38100" r="11430" b="2540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0F5F34" w:rsidRDefault="000F5F34" w:rsidP="000F5F34">
      <w:pPr>
        <w:ind w:left="195"/>
        <w:rPr>
          <w:rFonts w:cs="Arial"/>
          <w:sz w:val="16"/>
        </w:rPr>
      </w:pPr>
      <w:r w:rsidRPr="004859E4">
        <w:rPr>
          <w:rFonts w:cs="Arial"/>
          <w:sz w:val="16"/>
        </w:rPr>
        <w:t xml:space="preserve">Fuente: CREG. </w:t>
      </w:r>
    </w:p>
    <w:p w:rsidR="00BB06F7" w:rsidRDefault="00BB06F7" w:rsidP="00BB06F7">
      <w:pPr>
        <w:pStyle w:val="Epgrafe"/>
        <w:rPr>
          <w:noProof/>
        </w:rPr>
      </w:pPr>
      <w:bookmarkStart w:id="448" w:name="_Ref433970388"/>
      <w:bookmarkStart w:id="449" w:name="_Toc437512852"/>
      <w:r>
        <w:t xml:space="preserve">Gráfica </w:t>
      </w:r>
      <w:r>
        <w:fldChar w:fldCharType="begin"/>
      </w:r>
      <w:r>
        <w:instrText xml:space="preserve"> SEQ Gráfica \* ARABIC </w:instrText>
      </w:r>
      <w:r>
        <w:fldChar w:fldCharType="separate"/>
      </w:r>
      <w:r w:rsidR="00625BEB">
        <w:rPr>
          <w:noProof/>
        </w:rPr>
        <w:t>15</w:t>
      </w:r>
      <w:r>
        <w:fldChar w:fldCharType="end"/>
      </w:r>
      <w:bookmarkEnd w:id="448"/>
      <w:r>
        <w:rPr>
          <w:noProof/>
        </w:rPr>
        <w:t xml:space="preserve"> </w:t>
      </w:r>
      <w:r w:rsidR="00671297">
        <w:rPr>
          <w:noProof/>
        </w:rPr>
        <w:t>Temas a estudiar</w:t>
      </w:r>
      <w:bookmarkEnd w:id="449"/>
    </w:p>
    <w:p w:rsidR="00C77B93" w:rsidRPr="00C77B93" w:rsidRDefault="00C77B93" w:rsidP="00C77B93"/>
    <w:p w:rsidR="0083557B" w:rsidRPr="00023977" w:rsidRDefault="00135F8A" w:rsidP="00391FB3">
      <w:pPr>
        <w:pStyle w:val="Ttulo2"/>
        <w:rPr>
          <w:rFonts w:eastAsia="Arial" w:cs="Arial"/>
          <w:sz w:val="24"/>
          <w:szCs w:val="24"/>
          <w:lang w:val="es-CO"/>
        </w:rPr>
      </w:pPr>
      <w:bookmarkStart w:id="450" w:name="_Toc427333596"/>
      <w:bookmarkStart w:id="451" w:name="_Toc427336537"/>
      <w:bookmarkStart w:id="452" w:name="_Toc427681827"/>
      <w:bookmarkStart w:id="453" w:name="_Toc433276759"/>
      <w:bookmarkStart w:id="454" w:name="_Toc433295722"/>
      <w:bookmarkStart w:id="455" w:name="_Toc433296447"/>
      <w:bookmarkStart w:id="456" w:name="_Toc437500878"/>
      <w:bookmarkStart w:id="457" w:name="_Toc437501537"/>
      <w:bookmarkStart w:id="458" w:name="_Toc437501717"/>
      <w:bookmarkStart w:id="459" w:name="_Toc437501807"/>
      <w:bookmarkStart w:id="460" w:name="_Toc437502570"/>
      <w:bookmarkStart w:id="461" w:name="_Toc437505930"/>
      <w:bookmarkStart w:id="462" w:name="_Toc437512743"/>
      <w:r>
        <w:rPr>
          <w:rFonts w:eastAsia="Arial" w:cs="Arial"/>
          <w:sz w:val="24"/>
          <w:szCs w:val="24"/>
          <w:lang w:val="es-CO"/>
        </w:rPr>
        <w:lastRenderedPageBreak/>
        <w:t>m</w:t>
      </w:r>
      <w:r w:rsidR="00A1498D" w:rsidRPr="00023977">
        <w:rPr>
          <w:rFonts w:eastAsia="Arial" w:cs="Arial"/>
          <w:sz w:val="24"/>
          <w:szCs w:val="24"/>
          <w:lang w:val="es-CO"/>
        </w:rPr>
        <w:t>etodologías</w:t>
      </w:r>
      <w:r>
        <w:rPr>
          <w:rFonts w:eastAsia="Arial" w:cs="Arial"/>
          <w:sz w:val="24"/>
          <w:szCs w:val="24"/>
          <w:lang w:val="es-CO"/>
        </w:rPr>
        <w:t xml:space="preserve"> en la determinación de precios</w:t>
      </w:r>
      <w:bookmarkEnd w:id="450"/>
      <w:bookmarkEnd w:id="451"/>
      <w:bookmarkEnd w:id="452"/>
      <w:bookmarkEnd w:id="453"/>
      <w:bookmarkEnd w:id="454"/>
      <w:bookmarkEnd w:id="455"/>
      <w:bookmarkEnd w:id="456"/>
      <w:bookmarkEnd w:id="457"/>
      <w:bookmarkEnd w:id="458"/>
      <w:bookmarkEnd w:id="459"/>
      <w:bookmarkEnd w:id="460"/>
      <w:bookmarkEnd w:id="461"/>
      <w:bookmarkEnd w:id="462"/>
    </w:p>
    <w:p w:rsidR="000C154A" w:rsidRPr="00023977" w:rsidRDefault="0038266E" w:rsidP="000C154A">
      <w:pPr>
        <w:rPr>
          <w:rFonts w:eastAsia="Arial" w:cs="Arial"/>
          <w:sz w:val="24"/>
          <w:lang w:val="es-CO"/>
        </w:rPr>
      </w:pPr>
      <w:r w:rsidRPr="00023977">
        <w:rPr>
          <w:rFonts w:eastAsia="Arial" w:cs="Arial"/>
          <w:sz w:val="24"/>
          <w:lang w:val="es-CO"/>
        </w:rPr>
        <w:t xml:space="preserve">Dentro de los posibles análisis que se esperan realizar en la determinación de precios se </w:t>
      </w:r>
      <w:r w:rsidR="00EB26E6">
        <w:rPr>
          <w:rFonts w:eastAsia="Arial" w:cs="Arial"/>
          <w:sz w:val="24"/>
          <w:lang w:val="es-CO"/>
        </w:rPr>
        <w:t>analizarán los siguientes enfoques:</w:t>
      </w:r>
    </w:p>
    <w:p w:rsidR="000C154A" w:rsidRPr="00023977" w:rsidRDefault="000C154A" w:rsidP="000C154A">
      <w:pPr>
        <w:rPr>
          <w:rFonts w:eastAsia="Arial" w:cs="Arial"/>
          <w:sz w:val="24"/>
          <w:lang w:val="es-CO"/>
        </w:rPr>
      </w:pPr>
    </w:p>
    <w:p w:rsidR="00A1498D" w:rsidRPr="00023977" w:rsidRDefault="00A1498D" w:rsidP="00EB26E6">
      <w:pPr>
        <w:pStyle w:val="Prrafodelista"/>
        <w:numPr>
          <w:ilvl w:val="0"/>
          <w:numId w:val="28"/>
        </w:numPr>
      </w:pPr>
      <w:bookmarkStart w:id="463" w:name="_Toc427333597"/>
      <w:bookmarkStart w:id="464" w:name="_Toc427336538"/>
      <w:bookmarkStart w:id="465" w:name="_Toc427681828"/>
      <w:bookmarkStart w:id="466" w:name="_Toc433276760"/>
      <w:bookmarkStart w:id="467" w:name="_Toc433295723"/>
      <w:bookmarkStart w:id="468" w:name="_Toc433296448"/>
      <w:r w:rsidRPr="00EB26E6">
        <w:rPr>
          <w:b/>
        </w:rPr>
        <w:t>Regulación de precios. Basadas en el costo del servicio</w:t>
      </w:r>
      <w:r w:rsidRPr="00023977">
        <w:t>:</w:t>
      </w:r>
      <w:bookmarkEnd w:id="463"/>
      <w:bookmarkEnd w:id="464"/>
      <w:bookmarkEnd w:id="465"/>
      <w:bookmarkEnd w:id="466"/>
      <w:bookmarkEnd w:id="467"/>
      <w:bookmarkEnd w:id="468"/>
    </w:p>
    <w:p w:rsidR="00A1498D" w:rsidRPr="00023977" w:rsidRDefault="00A1498D" w:rsidP="00A1498D">
      <w:pPr>
        <w:pStyle w:val="Prrafodelista"/>
        <w:ind w:left="510"/>
        <w:rPr>
          <w:rFonts w:cs="Arial"/>
          <w:sz w:val="24"/>
          <w:szCs w:val="24"/>
        </w:rPr>
      </w:pPr>
    </w:p>
    <w:p w:rsidR="00A1498D" w:rsidRPr="00EB26E6" w:rsidRDefault="00A1498D" w:rsidP="00EB26E6">
      <w:pPr>
        <w:ind w:left="284"/>
        <w:rPr>
          <w:rFonts w:cs="Arial"/>
          <w:sz w:val="24"/>
        </w:rPr>
      </w:pPr>
      <w:r w:rsidRPr="00EB26E6">
        <w:rPr>
          <w:rFonts w:cs="Arial"/>
          <w:sz w:val="24"/>
        </w:rPr>
        <w:t>Tasa de retorno o costo del servicio (</w:t>
      </w:r>
      <w:r w:rsidRPr="00EB26E6">
        <w:rPr>
          <w:rFonts w:cs="Arial"/>
          <w:i/>
          <w:sz w:val="24"/>
        </w:rPr>
        <w:t>rate of return o cost of service</w:t>
      </w:r>
      <w:r w:rsidRPr="00EB26E6">
        <w:rPr>
          <w:rFonts w:cs="Arial"/>
          <w:sz w:val="24"/>
        </w:rPr>
        <w:t xml:space="preserve">). </w:t>
      </w:r>
      <w:r w:rsidR="00A56932" w:rsidRPr="00EB26E6">
        <w:rPr>
          <w:rFonts w:cs="Arial"/>
          <w:sz w:val="24"/>
        </w:rPr>
        <w:t>Fijación</w:t>
      </w:r>
      <w:r w:rsidRPr="00EB26E6">
        <w:rPr>
          <w:rFonts w:cs="Arial"/>
          <w:sz w:val="24"/>
        </w:rPr>
        <w:t xml:space="preserve"> de una tarifa que incluya una tasa de retorno o de beneficio adicional a los costos efectivos del servicio en que incurre la red</w:t>
      </w:r>
      <w:r w:rsidR="00B95524">
        <w:rPr>
          <w:rFonts w:cs="Arial"/>
          <w:sz w:val="24"/>
        </w:rPr>
        <w:t>.</w:t>
      </w:r>
    </w:p>
    <w:p w:rsidR="00A1498D" w:rsidRPr="00EB26E6" w:rsidRDefault="00A1498D" w:rsidP="00A1498D">
      <w:pPr>
        <w:tabs>
          <w:tab w:val="left" w:pos="284"/>
        </w:tabs>
        <w:rPr>
          <w:rFonts w:cs="Arial"/>
          <w:b/>
          <w:sz w:val="24"/>
          <w:lang w:val="es-CO"/>
        </w:rPr>
      </w:pPr>
    </w:p>
    <w:p w:rsidR="00A1498D" w:rsidRPr="00EB26E6" w:rsidRDefault="00A1498D" w:rsidP="00EB26E6">
      <w:pPr>
        <w:pStyle w:val="Prrafodelista"/>
        <w:numPr>
          <w:ilvl w:val="0"/>
          <w:numId w:val="28"/>
        </w:numPr>
        <w:rPr>
          <w:b/>
        </w:rPr>
      </w:pPr>
      <w:bookmarkStart w:id="469" w:name="_Toc427333598"/>
      <w:bookmarkStart w:id="470" w:name="_Toc427336539"/>
      <w:bookmarkStart w:id="471" w:name="_Toc427681829"/>
      <w:bookmarkStart w:id="472" w:name="_Toc433276761"/>
      <w:bookmarkStart w:id="473" w:name="_Toc433295724"/>
      <w:bookmarkStart w:id="474" w:name="_Toc433296449"/>
      <w:r w:rsidRPr="00EB26E6">
        <w:rPr>
          <w:b/>
        </w:rPr>
        <w:t>Basadas en incentivos:</w:t>
      </w:r>
      <w:bookmarkEnd w:id="469"/>
      <w:bookmarkEnd w:id="470"/>
      <w:bookmarkEnd w:id="471"/>
      <w:bookmarkEnd w:id="472"/>
      <w:bookmarkEnd w:id="473"/>
      <w:bookmarkEnd w:id="474"/>
    </w:p>
    <w:p w:rsidR="00A1498D" w:rsidRPr="00023977" w:rsidRDefault="00A1498D" w:rsidP="00A1498D">
      <w:pPr>
        <w:pStyle w:val="Prrafodelista"/>
        <w:ind w:left="510"/>
        <w:rPr>
          <w:rFonts w:cs="Arial"/>
          <w:sz w:val="24"/>
          <w:szCs w:val="24"/>
        </w:rPr>
      </w:pPr>
    </w:p>
    <w:p w:rsidR="00A1498D" w:rsidRPr="00023977" w:rsidRDefault="00A1498D" w:rsidP="002864AD">
      <w:pPr>
        <w:pStyle w:val="Prrafodelista"/>
        <w:numPr>
          <w:ilvl w:val="0"/>
          <w:numId w:val="12"/>
        </w:numPr>
        <w:ind w:left="567" w:hanging="283"/>
        <w:rPr>
          <w:rFonts w:cs="Arial"/>
          <w:sz w:val="24"/>
          <w:szCs w:val="24"/>
        </w:rPr>
      </w:pPr>
      <w:r w:rsidRPr="00023977">
        <w:rPr>
          <w:rFonts w:cs="Arial"/>
          <w:sz w:val="24"/>
          <w:szCs w:val="24"/>
        </w:rPr>
        <w:t>Precio máximo (</w:t>
      </w:r>
      <w:r w:rsidRPr="00023977">
        <w:rPr>
          <w:rFonts w:cs="Arial"/>
          <w:i/>
          <w:sz w:val="24"/>
          <w:szCs w:val="24"/>
        </w:rPr>
        <w:t>price cap</w:t>
      </w:r>
      <w:r w:rsidRPr="00023977">
        <w:rPr>
          <w:rFonts w:cs="Arial"/>
          <w:sz w:val="24"/>
          <w:szCs w:val="24"/>
        </w:rPr>
        <w:t>). por un período de tiempo preestablecido, un precio máximo independiente del comportamiento de los costos o de la demanda del servicio</w:t>
      </w:r>
      <w:r w:rsidR="00F42CA3">
        <w:rPr>
          <w:rFonts w:cs="Arial"/>
          <w:sz w:val="24"/>
          <w:szCs w:val="24"/>
        </w:rPr>
        <w:t>.</w:t>
      </w:r>
    </w:p>
    <w:p w:rsidR="00A1498D" w:rsidRPr="00023977" w:rsidRDefault="00A1498D" w:rsidP="002864AD">
      <w:pPr>
        <w:pStyle w:val="Prrafodelista"/>
        <w:numPr>
          <w:ilvl w:val="0"/>
          <w:numId w:val="12"/>
        </w:numPr>
        <w:ind w:left="567" w:hanging="283"/>
        <w:rPr>
          <w:rFonts w:cs="Arial"/>
          <w:sz w:val="24"/>
          <w:szCs w:val="24"/>
        </w:rPr>
      </w:pPr>
      <w:r w:rsidRPr="00023977">
        <w:rPr>
          <w:rFonts w:cs="Arial"/>
          <w:sz w:val="24"/>
          <w:szCs w:val="24"/>
        </w:rPr>
        <w:t>Ingreso máximo (</w:t>
      </w:r>
      <w:r w:rsidRPr="00023977">
        <w:rPr>
          <w:rFonts w:cs="Arial"/>
          <w:i/>
          <w:sz w:val="24"/>
          <w:szCs w:val="24"/>
        </w:rPr>
        <w:t>revenue cap</w:t>
      </w:r>
      <w:r w:rsidRPr="00023977">
        <w:rPr>
          <w:rFonts w:cs="Arial"/>
          <w:sz w:val="24"/>
          <w:szCs w:val="24"/>
        </w:rPr>
        <w:t>). El regulador determina una base de ingresos máximos que puede recibir la empresa distribuidora, para desarrollar una operación eficiente y sostenible del servicio</w:t>
      </w:r>
      <w:r w:rsidR="00F42CA3">
        <w:rPr>
          <w:rFonts w:cs="Arial"/>
          <w:sz w:val="24"/>
          <w:szCs w:val="24"/>
        </w:rPr>
        <w:t>.</w:t>
      </w:r>
    </w:p>
    <w:p w:rsidR="0038266E" w:rsidRPr="00023977" w:rsidRDefault="0038266E" w:rsidP="0083557B">
      <w:pPr>
        <w:rPr>
          <w:rFonts w:eastAsia="Arial" w:cs="Arial"/>
          <w:sz w:val="24"/>
          <w:lang w:val="es-CO"/>
        </w:rPr>
      </w:pPr>
    </w:p>
    <w:p w:rsidR="0083557B" w:rsidRDefault="0038266E" w:rsidP="003C25F5">
      <w:pPr>
        <w:rPr>
          <w:rFonts w:eastAsia="Arial"/>
          <w:sz w:val="24"/>
          <w:lang w:val="es-CO"/>
        </w:rPr>
      </w:pPr>
      <w:r w:rsidRPr="000B687B">
        <w:rPr>
          <w:rFonts w:eastAsia="Arial"/>
          <w:sz w:val="24"/>
          <w:lang w:val="es-CO"/>
        </w:rPr>
        <w:t>En la siguiente tabla se presenta un resumen de los temas a estudiar</w:t>
      </w:r>
      <w:r w:rsidR="00F42CA3">
        <w:rPr>
          <w:rFonts w:eastAsia="Arial"/>
          <w:sz w:val="24"/>
          <w:lang w:val="es-CO"/>
        </w:rPr>
        <w:t>.</w:t>
      </w:r>
    </w:p>
    <w:p w:rsidR="00C77B93" w:rsidRDefault="00C77B93" w:rsidP="003C25F5">
      <w:pPr>
        <w:rPr>
          <w:rFonts w:eastAsia="Arial"/>
          <w:sz w:val="24"/>
          <w:lang w:val="es-CO"/>
        </w:rPr>
      </w:pPr>
    </w:p>
    <w:tbl>
      <w:tblPr>
        <w:tblStyle w:val="Cuadrculaclara-nfasis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759"/>
        <w:gridCol w:w="1620"/>
        <w:gridCol w:w="3695"/>
        <w:gridCol w:w="2498"/>
      </w:tblGrid>
      <w:tr w:rsidR="00D024FD" w:rsidRPr="00122B75" w:rsidTr="00122B75">
        <w:trPr>
          <w:cnfStyle w:val="100000000000" w:firstRow="1" w:lastRow="0" w:firstColumn="0" w:lastColumn="0" w:oddVBand="0" w:evenVBand="0" w:oddHBand="0" w:evenHBand="0" w:firstRowFirstColumn="0" w:firstRowLastColumn="0" w:lastRowFirstColumn="0" w:lastRowLastColumn="0"/>
          <w:trHeight w:val="111"/>
          <w:tblHeader/>
        </w:trPr>
        <w:tc>
          <w:tcPr>
            <w:tcW w:w="5000" w:type="pct"/>
            <w:gridSpan w:val="4"/>
            <w:tcBorders>
              <w:top w:val="none" w:sz="0" w:space="0" w:color="auto"/>
              <w:left w:val="none" w:sz="0" w:space="0" w:color="auto"/>
              <w:bottom w:val="none" w:sz="0" w:space="0" w:color="auto"/>
              <w:right w:val="none" w:sz="0" w:space="0" w:color="auto"/>
            </w:tcBorders>
          </w:tcPr>
          <w:p w:rsidR="00D024FD" w:rsidRPr="00122B75" w:rsidRDefault="00D024FD" w:rsidP="00587F37">
            <w:pPr>
              <w:jc w:val="center"/>
              <w:rPr>
                <w:rFonts w:eastAsia="Arial" w:cs="Arial"/>
                <w:b w:val="0"/>
                <w:bCs w:val="0"/>
                <w:szCs w:val="22"/>
              </w:rPr>
            </w:pPr>
            <w:bookmarkStart w:id="475" w:name="_Toc437512816"/>
            <w:r w:rsidRPr="00122B75">
              <w:rPr>
                <w:b w:val="0"/>
              </w:rPr>
              <w:t xml:space="preserve">Tabla </w:t>
            </w:r>
            <w:r w:rsidRPr="00122B75">
              <w:fldChar w:fldCharType="begin"/>
            </w:r>
            <w:r w:rsidRPr="00122B75">
              <w:rPr>
                <w:b w:val="0"/>
              </w:rPr>
              <w:instrText xml:space="preserve"> SEQ Tabla \* ARABIC </w:instrText>
            </w:r>
            <w:r w:rsidRPr="00122B75">
              <w:fldChar w:fldCharType="separate"/>
            </w:r>
            <w:r w:rsidR="00625BEB">
              <w:rPr>
                <w:b w:val="0"/>
                <w:noProof/>
              </w:rPr>
              <w:t>10</w:t>
            </w:r>
            <w:r w:rsidRPr="00122B75">
              <w:fldChar w:fldCharType="end"/>
            </w:r>
            <w:r w:rsidRPr="00122B75">
              <w:rPr>
                <w:b w:val="0"/>
                <w:noProof/>
              </w:rPr>
              <w:t xml:space="preserve"> Determinación de precios</w:t>
            </w:r>
            <w:bookmarkEnd w:id="475"/>
          </w:p>
        </w:tc>
      </w:tr>
      <w:tr w:rsidR="00F20D45" w:rsidRPr="00122B75" w:rsidTr="00122B75">
        <w:trPr>
          <w:cnfStyle w:val="100000000000" w:firstRow="1" w:lastRow="0" w:firstColumn="0" w:lastColumn="0" w:oddVBand="0" w:evenVBand="0" w:oddHBand="0" w:evenHBand="0" w:firstRowFirstColumn="0" w:firstRowLastColumn="0" w:lastRowFirstColumn="0" w:lastRowLastColumn="0"/>
          <w:trHeight w:val="111"/>
          <w:tblHeader/>
        </w:trPr>
        <w:tc>
          <w:tcPr>
            <w:tcW w:w="919" w:type="pct"/>
            <w:tcBorders>
              <w:top w:val="none" w:sz="0" w:space="0" w:color="auto"/>
              <w:left w:val="none" w:sz="0" w:space="0" w:color="auto"/>
              <w:bottom w:val="none" w:sz="0" w:space="0" w:color="auto"/>
              <w:right w:val="none" w:sz="0" w:space="0" w:color="auto"/>
            </w:tcBorders>
            <w:hideMark/>
          </w:tcPr>
          <w:p w:rsidR="00212D72" w:rsidRPr="00122B75" w:rsidRDefault="00F20D45" w:rsidP="00587F37">
            <w:pPr>
              <w:jc w:val="center"/>
              <w:rPr>
                <w:rFonts w:eastAsia="Arial" w:cs="Arial"/>
                <w:b w:val="0"/>
                <w:szCs w:val="22"/>
              </w:rPr>
            </w:pPr>
            <w:r w:rsidRPr="00122B75">
              <w:rPr>
                <w:rFonts w:eastAsia="Arial" w:cs="Arial"/>
                <w:b w:val="0"/>
                <w:bCs w:val="0"/>
                <w:szCs w:val="22"/>
              </w:rPr>
              <w:t>Metodología</w:t>
            </w:r>
          </w:p>
        </w:tc>
        <w:tc>
          <w:tcPr>
            <w:tcW w:w="846" w:type="pct"/>
            <w:tcBorders>
              <w:top w:val="none" w:sz="0" w:space="0" w:color="auto"/>
              <w:left w:val="none" w:sz="0" w:space="0" w:color="auto"/>
              <w:bottom w:val="none" w:sz="0" w:space="0" w:color="auto"/>
              <w:right w:val="none" w:sz="0" w:space="0" w:color="auto"/>
            </w:tcBorders>
            <w:hideMark/>
          </w:tcPr>
          <w:p w:rsidR="00212D72" w:rsidRPr="00122B75" w:rsidRDefault="00F20D45" w:rsidP="00587F37">
            <w:pPr>
              <w:jc w:val="center"/>
              <w:rPr>
                <w:rFonts w:eastAsia="Arial" w:cs="Arial"/>
                <w:b w:val="0"/>
                <w:szCs w:val="22"/>
                <w:lang w:val="es-CO"/>
              </w:rPr>
            </w:pPr>
            <w:r w:rsidRPr="00122B75">
              <w:rPr>
                <w:rFonts w:eastAsia="Arial" w:cs="Arial"/>
                <w:b w:val="0"/>
                <w:bCs w:val="0"/>
                <w:szCs w:val="22"/>
              </w:rPr>
              <w:t>Tipo</w:t>
            </w:r>
          </w:p>
        </w:tc>
        <w:tc>
          <w:tcPr>
            <w:tcW w:w="1930" w:type="pct"/>
            <w:tcBorders>
              <w:top w:val="none" w:sz="0" w:space="0" w:color="auto"/>
              <w:left w:val="none" w:sz="0" w:space="0" w:color="auto"/>
              <w:bottom w:val="none" w:sz="0" w:space="0" w:color="auto"/>
              <w:right w:val="none" w:sz="0" w:space="0" w:color="auto"/>
            </w:tcBorders>
            <w:hideMark/>
          </w:tcPr>
          <w:p w:rsidR="00212D72" w:rsidRPr="00122B75" w:rsidRDefault="00F20D45" w:rsidP="00587F37">
            <w:pPr>
              <w:jc w:val="center"/>
              <w:rPr>
                <w:rFonts w:eastAsia="Arial" w:cs="Arial"/>
                <w:b w:val="0"/>
                <w:szCs w:val="22"/>
                <w:lang w:val="es-CO"/>
              </w:rPr>
            </w:pPr>
            <w:r w:rsidRPr="00122B75">
              <w:rPr>
                <w:rFonts w:eastAsia="Arial" w:cs="Arial"/>
                <w:b w:val="0"/>
                <w:bCs w:val="0"/>
                <w:szCs w:val="22"/>
              </w:rPr>
              <w:t>Cálculo</w:t>
            </w:r>
          </w:p>
        </w:tc>
        <w:tc>
          <w:tcPr>
            <w:tcW w:w="1305" w:type="pct"/>
            <w:tcBorders>
              <w:top w:val="none" w:sz="0" w:space="0" w:color="auto"/>
              <w:left w:val="none" w:sz="0" w:space="0" w:color="auto"/>
              <w:bottom w:val="none" w:sz="0" w:space="0" w:color="auto"/>
              <w:right w:val="none" w:sz="0" w:space="0" w:color="auto"/>
            </w:tcBorders>
            <w:hideMark/>
          </w:tcPr>
          <w:p w:rsidR="00212D72" w:rsidRPr="00122B75" w:rsidRDefault="00F20D45" w:rsidP="00587F37">
            <w:pPr>
              <w:jc w:val="center"/>
              <w:rPr>
                <w:rFonts w:eastAsia="Arial" w:cs="Arial"/>
                <w:b w:val="0"/>
                <w:szCs w:val="22"/>
                <w:lang w:val="es-CO"/>
              </w:rPr>
            </w:pPr>
            <w:r w:rsidRPr="00122B75">
              <w:rPr>
                <w:rFonts w:eastAsia="Arial" w:cs="Arial"/>
                <w:b w:val="0"/>
                <w:bCs w:val="0"/>
                <w:szCs w:val="22"/>
              </w:rPr>
              <w:t xml:space="preserve">Valoración de la </w:t>
            </w:r>
            <w:r w:rsidR="00E27C07" w:rsidRPr="00122B75">
              <w:rPr>
                <w:rFonts w:eastAsia="Arial" w:cs="Arial"/>
                <w:b w:val="0"/>
                <w:bCs w:val="0"/>
                <w:szCs w:val="22"/>
              </w:rPr>
              <w:t>b</w:t>
            </w:r>
            <w:r w:rsidRPr="00122B75">
              <w:rPr>
                <w:rFonts w:eastAsia="Arial" w:cs="Arial"/>
                <w:b w:val="0"/>
                <w:bCs w:val="0"/>
                <w:szCs w:val="22"/>
              </w:rPr>
              <w:t>ase de Activos</w:t>
            </w:r>
          </w:p>
        </w:tc>
      </w:tr>
      <w:tr w:rsidR="00F20D45" w:rsidRPr="00122B75" w:rsidTr="00122B75">
        <w:trPr>
          <w:cnfStyle w:val="000000100000" w:firstRow="0" w:lastRow="0" w:firstColumn="0" w:lastColumn="0" w:oddVBand="0" w:evenVBand="0" w:oddHBand="1" w:evenHBand="0" w:firstRowFirstColumn="0" w:firstRowLastColumn="0" w:lastRowFirstColumn="0" w:lastRowLastColumn="0"/>
          <w:trHeight w:val="166"/>
        </w:trPr>
        <w:tc>
          <w:tcPr>
            <w:tcW w:w="919" w:type="pct"/>
            <w:vMerge w:val="restart"/>
            <w:tcBorders>
              <w:top w:val="none" w:sz="0" w:space="0" w:color="auto"/>
              <w:left w:val="none" w:sz="0" w:space="0" w:color="auto"/>
              <w:bottom w:val="none" w:sz="0" w:space="0" w:color="auto"/>
              <w:right w:val="none" w:sz="0" w:space="0" w:color="auto"/>
            </w:tcBorders>
            <w:hideMark/>
          </w:tcPr>
          <w:p w:rsidR="00587F37" w:rsidRPr="00122B75" w:rsidRDefault="00587F37" w:rsidP="00F20D45">
            <w:pPr>
              <w:rPr>
                <w:rFonts w:eastAsia="Arial" w:cs="Arial"/>
                <w:szCs w:val="22"/>
              </w:rPr>
            </w:pPr>
          </w:p>
          <w:p w:rsidR="00587F37" w:rsidRPr="00122B75" w:rsidRDefault="00587F37" w:rsidP="00F20D45">
            <w:pPr>
              <w:rPr>
                <w:rFonts w:eastAsia="Arial" w:cs="Arial"/>
                <w:szCs w:val="22"/>
              </w:rPr>
            </w:pPr>
          </w:p>
          <w:p w:rsidR="00587F37" w:rsidRPr="00122B75" w:rsidRDefault="00587F37" w:rsidP="00F20D45">
            <w:pPr>
              <w:rPr>
                <w:rFonts w:eastAsia="Arial" w:cs="Arial"/>
                <w:szCs w:val="22"/>
              </w:rPr>
            </w:pPr>
          </w:p>
          <w:p w:rsidR="00212D72" w:rsidRPr="00122B75" w:rsidRDefault="00F20D45" w:rsidP="00F20D45">
            <w:pPr>
              <w:rPr>
                <w:rFonts w:eastAsia="Arial" w:cs="Arial"/>
                <w:szCs w:val="22"/>
                <w:lang w:val="es-CO"/>
              </w:rPr>
            </w:pPr>
            <w:r w:rsidRPr="00122B75">
              <w:rPr>
                <w:rFonts w:eastAsia="Arial" w:cs="Arial"/>
                <w:szCs w:val="22"/>
              </w:rPr>
              <w:t>Incentivos</w:t>
            </w:r>
          </w:p>
        </w:tc>
        <w:tc>
          <w:tcPr>
            <w:tcW w:w="846" w:type="pct"/>
            <w:vMerge w:val="restart"/>
            <w:tcBorders>
              <w:top w:val="none" w:sz="0" w:space="0" w:color="auto"/>
              <w:left w:val="none" w:sz="0" w:space="0" w:color="auto"/>
              <w:bottom w:val="none" w:sz="0" w:space="0" w:color="auto"/>
              <w:right w:val="none" w:sz="0" w:space="0" w:color="auto"/>
            </w:tcBorders>
            <w:vAlign w:val="center"/>
            <w:hideMark/>
          </w:tcPr>
          <w:p w:rsidR="00212D72" w:rsidRPr="00122B75" w:rsidRDefault="00F20D45" w:rsidP="00E27C07">
            <w:pPr>
              <w:jc w:val="left"/>
              <w:rPr>
                <w:rFonts w:eastAsia="Arial" w:cs="Arial"/>
                <w:szCs w:val="22"/>
                <w:lang w:val="es-CO"/>
              </w:rPr>
            </w:pPr>
            <w:r w:rsidRPr="00122B75">
              <w:rPr>
                <w:rFonts w:eastAsia="Arial" w:cs="Arial"/>
                <w:szCs w:val="22"/>
              </w:rPr>
              <w:t>Precio máximo</w:t>
            </w:r>
          </w:p>
        </w:tc>
        <w:tc>
          <w:tcPr>
            <w:tcW w:w="1930" w:type="pct"/>
            <w:tcBorders>
              <w:top w:val="none" w:sz="0" w:space="0" w:color="auto"/>
              <w:left w:val="none" w:sz="0" w:space="0" w:color="auto"/>
              <w:bottom w:val="none" w:sz="0" w:space="0" w:color="auto"/>
              <w:right w:val="none" w:sz="0" w:space="0" w:color="auto"/>
            </w:tcBorders>
            <w:vAlign w:val="center"/>
            <w:hideMark/>
          </w:tcPr>
          <w:p w:rsidR="00212D72" w:rsidRPr="00122B75" w:rsidRDefault="00F20D45" w:rsidP="00E27C07">
            <w:pPr>
              <w:jc w:val="left"/>
              <w:rPr>
                <w:rFonts w:eastAsia="Arial" w:cs="Arial"/>
                <w:szCs w:val="22"/>
                <w:lang w:val="es-CO"/>
              </w:rPr>
            </w:pPr>
            <w:r w:rsidRPr="00122B75">
              <w:rPr>
                <w:rFonts w:eastAsia="Arial" w:cs="Arial"/>
                <w:szCs w:val="22"/>
              </w:rPr>
              <w:t>Costo medio histórico</w:t>
            </w:r>
          </w:p>
        </w:tc>
        <w:tc>
          <w:tcPr>
            <w:tcW w:w="1305" w:type="pct"/>
            <w:vMerge w:val="restart"/>
            <w:tcBorders>
              <w:top w:val="none" w:sz="0" w:space="0" w:color="auto"/>
              <w:left w:val="none" w:sz="0" w:space="0" w:color="auto"/>
              <w:bottom w:val="none" w:sz="0" w:space="0" w:color="auto"/>
              <w:right w:val="none" w:sz="0" w:space="0" w:color="auto"/>
            </w:tcBorders>
            <w:hideMark/>
          </w:tcPr>
          <w:p w:rsidR="00212D72" w:rsidRPr="00122B75" w:rsidRDefault="00212D72" w:rsidP="00297616">
            <w:pPr>
              <w:numPr>
                <w:ilvl w:val="0"/>
                <w:numId w:val="18"/>
              </w:numPr>
              <w:rPr>
                <w:rFonts w:eastAsia="Arial" w:cs="Arial"/>
                <w:szCs w:val="22"/>
                <w:lang w:val="es-CO"/>
              </w:rPr>
            </w:pPr>
            <w:r w:rsidRPr="00122B75">
              <w:rPr>
                <w:rFonts w:eastAsia="Arial" w:cs="Arial"/>
                <w:szCs w:val="22"/>
              </w:rPr>
              <w:t>Valor de reposición a nuevo</w:t>
            </w:r>
          </w:p>
          <w:p w:rsidR="00212D72" w:rsidRPr="00122B75" w:rsidRDefault="00212D72" w:rsidP="00297616">
            <w:pPr>
              <w:numPr>
                <w:ilvl w:val="0"/>
                <w:numId w:val="18"/>
              </w:numPr>
              <w:rPr>
                <w:rFonts w:eastAsia="Arial" w:cs="Arial"/>
                <w:szCs w:val="22"/>
                <w:lang w:val="es-CO"/>
              </w:rPr>
            </w:pPr>
            <w:r w:rsidRPr="00122B75">
              <w:rPr>
                <w:rFonts w:eastAsia="Arial" w:cs="Arial"/>
                <w:szCs w:val="22"/>
              </w:rPr>
              <w:t>Costo de reemplazo depreciado</w:t>
            </w:r>
          </w:p>
        </w:tc>
      </w:tr>
      <w:tr w:rsidR="00F20D45" w:rsidRPr="00122B75" w:rsidTr="00122B75">
        <w:trPr>
          <w:cnfStyle w:val="000000010000" w:firstRow="0" w:lastRow="0" w:firstColumn="0" w:lastColumn="0" w:oddVBand="0" w:evenVBand="0" w:oddHBand="0" w:evenHBand="1" w:firstRowFirstColumn="0" w:firstRowLastColumn="0" w:lastRowFirstColumn="0" w:lastRowLastColumn="0"/>
          <w:trHeight w:val="942"/>
        </w:trPr>
        <w:tc>
          <w:tcPr>
            <w:tcW w:w="919" w:type="pct"/>
            <w:vMerge/>
            <w:tcBorders>
              <w:top w:val="none" w:sz="0" w:space="0" w:color="auto"/>
              <w:left w:val="none" w:sz="0" w:space="0" w:color="auto"/>
              <w:bottom w:val="none" w:sz="0" w:space="0" w:color="auto"/>
              <w:right w:val="none" w:sz="0" w:space="0" w:color="auto"/>
            </w:tcBorders>
            <w:hideMark/>
          </w:tcPr>
          <w:p w:rsidR="00F20D45" w:rsidRPr="00122B75" w:rsidRDefault="00F20D45" w:rsidP="00F20D45">
            <w:pPr>
              <w:rPr>
                <w:rFonts w:eastAsia="Arial" w:cs="Arial"/>
                <w:szCs w:val="22"/>
                <w:lang w:val="es-CO"/>
              </w:rPr>
            </w:pPr>
          </w:p>
        </w:tc>
        <w:tc>
          <w:tcPr>
            <w:tcW w:w="846" w:type="pct"/>
            <w:vMerge/>
            <w:tcBorders>
              <w:top w:val="none" w:sz="0" w:space="0" w:color="auto"/>
              <w:left w:val="none" w:sz="0" w:space="0" w:color="auto"/>
              <w:bottom w:val="none" w:sz="0" w:space="0" w:color="auto"/>
              <w:right w:val="none" w:sz="0" w:space="0" w:color="auto"/>
            </w:tcBorders>
            <w:vAlign w:val="center"/>
            <w:hideMark/>
          </w:tcPr>
          <w:p w:rsidR="00F20D45" w:rsidRPr="00122B75" w:rsidRDefault="00F20D45" w:rsidP="00E27C07">
            <w:pPr>
              <w:jc w:val="left"/>
              <w:rPr>
                <w:rFonts w:eastAsia="Arial" w:cs="Arial"/>
                <w:szCs w:val="22"/>
                <w:lang w:val="es-CO"/>
              </w:rPr>
            </w:pPr>
          </w:p>
        </w:tc>
        <w:tc>
          <w:tcPr>
            <w:tcW w:w="1930" w:type="pct"/>
            <w:tcBorders>
              <w:top w:val="none" w:sz="0" w:space="0" w:color="auto"/>
              <w:left w:val="none" w:sz="0" w:space="0" w:color="auto"/>
              <w:bottom w:val="none" w:sz="0" w:space="0" w:color="auto"/>
              <w:right w:val="none" w:sz="0" w:space="0" w:color="auto"/>
            </w:tcBorders>
            <w:vAlign w:val="center"/>
            <w:hideMark/>
          </w:tcPr>
          <w:p w:rsidR="00212D72" w:rsidRPr="00122B75" w:rsidRDefault="00F20D45" w:rsidP="00E27C07">
            <w:pPr>
              <w:jc w:val="left"/>
              <w:rPr>
                <w:rFonts w:eastAsia="Arial" w:cs="Arial"/>
                <w:szCs w:val="22"/>
                <w:lang w:val="es-CO"/>
              </w:rPr>
            </w:pPr>
            <w:r w:rsidRPr="00122B75">
              <w:rPr>
                <w:rFonts w:eastAsia="Arial" w:cs="Arial"/>
                <w:szCs w:val="22"/>
              </w:rPr>
              <w:t>Costo medio de mediano plazo</w:t>
            </w:r>
          </w:p>
        </w:tc>
        <w:tc>
          <w:tcPr>
            <w:tcW w:w="1305" w:type="pct"/>
            <w:vMerge/>
            <w:tcBorders>
              <w:top w:val="none" w:sz="0" w:space="0" w:color="auto"/>
              <w:left w:val="none" w:sz="0" w:space="0" w:color="auto"/>
              <w:bottom w:val="none" w:sz="0" w:space="0" w:color="auto"/>
              <w:right w:val="none" w:sz="0" w:space="0" w:color="auto"/>
            </w:tcBorders>
            <w:hideMark/>
          </w:tcPr>
          <w:p w:rsidR="00F20D45" w:rsidRPr="00122B75" w:rsidRDefault="00F20D45" w:rsidP="00F20D45">
            <w:pPr>
              <w:rPr>
                <w:rFonts w:eastAsia="Arial" w:cs="Arial"/>
                <w:szCs w:val="22"/>
                <w:lang w:val="es-CO"/>
              </w:rPr>
            </w:pPr>
          </w:p>
        </w:tc>
      </w:tr>
      <w:tr w:rsidR="00F20D45" w:rsidRPr="00122B75" w:rsidTr="00122B75">
        <w:trPr>
          <w:cnfStyle w:val="000000100000" w:firstRow="0" w:lastRow="0" w:firstColumn="0" w:lastColumn="0" w:oddVBand="0" w:evenVBand="0" w:oddHBand="1" w:evenHBand="0" w:firstRowFirstColumn="0" w:firstRowLastColumn="0" w:lastRowFirstColumn="0" w:lastRowLastColumn="0"/>
          <w:trHeight w:val="20"/>
        </w:trPr>
        <w:tc>
          <w:tcPr>
            <w:tcW w:w="919" w:type="pct"/>
            <w:vMerge/>
            <w:tcBorders>
              <w:top w:val="none" w:sz="0" w:space="0" w:color="auto"/>
              <w:left w:val="none" w:sz="0" w:space="0" w:color="auto"/>
              <w:bottom w:val="none" w:sz="0" w:space="0" w:color="auto"/>
              <w:right w:val="none" w:sz="0" w:space="0" w:color="auto"/>
            </w:tcBorders>
            <w:hideMark/>
          </w:tcPr>
          <w:p w:rsidR="00F20D45" w:rsidRPr="00122B75" w:rsidRDefault="00F20D45" w:rsidP="00F20D45">
            <w:pPr>
              <w:rPr>
                <w:rFonts w:eastAsia="Arial" w:cs="Arial"/>
                <w:szCs w:val="22"/>
                <w:lang w:val="es-CO"/>
              </w:rPr>
            </w:pPr>
          </w:p>
        </w:tc>
        <w:tc>
          <w:tcPr>
            <w:tcW w:w="846" w:type="pct"/>
            <w:tcBorders>
              <w:top w:val="none" w:sz="0" w:space="0" w:color="auto"/>
              <w:left w:val="none" w:sz="0" w:space="0" w:color="auto"/>
              <w:bottom w:val="none" w:sz="0" w:space="0" w:color="auto"/>
              <w:right w:val="none" w:sz="0" w:space="0" w:color="auto"/>
            </w:tcBorders>
            <w:vAlign w:val="center"/>
            <w:hideMark/>
          </w:tcPr>
          <w:p w:rsidR="00212D72" w:rsidRPr="00122B75" w:rsidRDefault="00F20D45" w:rsidP="00E27C07">
            <w:pPr>
              <w:jc w:val="left"/>
              <w:rPr>
                <w:rFonts w:eastAsia="Arial" w:cs="Arial"/>
                <w:szCs w:val="22"/>
                <w:lang w:val="es-CO"/>
              </w:rPr>
            </w:pPr>
            <w:r w:rsidRPr="00122B75">
              <w:rPr>
                <w:rFonts w:eastAsia="Arial" w:cs="Arial"/>
                <w:szCs w:val="22"/>
              </w:rPr>
              <w:t>Ingreso máximo</w:t>
            </w:r>
          </w:p>
        </w:tc>
        <w:tc>
          <w:tcPr>
            <w:tcW w:w="1930" w:type="pct"/>
            <w:tcBorders>
              <w:top w:val="none" w:sz="0" w:space="0" w:color="auto"/>
              <w:left w:val="none" w:sz="0" w:space="0" w:color="auto"/>
              <w:bottom w:val="none" w:sz="0" w:space="0" w:color="auto"/>
              <w:right w:val="none" w:sz="0" w:space="0" w:color="auto"/>
            </w:tcBorders>
            <w:vAlign w:val="center"/>
            <w:hideMark/>
          </w:tcPr>
          <w:p w:rsidR="00212D72" w:rsidRPr="00122B75" w:rsidRDefault="00F20D45" w:rsidP="00E27C07">
            <w:pPr>
              <w:jc w:val="left"/>
              <w:rPr>
                <w:rFonts w:eastAsia="Arial" w:cs="Arial"/>
                <w:szCs w:val="22"/>
                <w:lang w:val="es-CO"/>
              </w:rPr>
            </w:pPr>
            <w:r w:rsidRPr="00122B75">
              <w:rPr>
                <w:rFonts w:eastAsia="Arial" w:cs="Arial"/>
                <w:szCs w:val="22"/>
              </w:rPr>
              <w:t>Ingreso anual</w:t>
            </w:r>
          </w:p>
        </w:tc>
        <w:tc>
          <w:tcPr>
            <w:tcW w:w="1305" w:type="pct"/>
            <w:vMerge/>
            <w:tcBorders>
              <w:top w:val="none" w:sz="0" w:space="0" w:color="auto"/>
              <w:left w:val="none" w:sz="0" w:space="0" w:color="auto"/>
              <w:bottom w:val="none" w:sz="0" w:space="0" w:color="auto"/>
              <w:right w:val="none" w:sz="0" w:space="0" w:color="auto"/>
            </w:tcBorders>
            <w:hideMark/>
          </w:tcPr>
          <w:p w:rsidR="00F20D45" w:rsidRPr="00122B75" w:rsidRDefault="00F20D45" w:rsidP="00F20D45">
            <w:pPr>
              <w:rPr>
                <w:rFonts w:eastAsia="Arial" w:cs="Arial"/>
                <w:szCs w:val="22"/>
                <w:lang w:val="es-CO"/>
              </w:rPr>
            </w:pPr>
          </w:p>
        </w:tc>
      </w:tr>
      <w:tr w:rsidR="00F20D45" w:rsidRPr="00122B75" w:rsidTr="00122B75">
        <w:trPr>
          <w:cnfStyle w:val="000000010000" w:firstRow="0" w:lastRow="0" w:firstColumn="0" w:lastColumn="0" w:oddVBand="0" w:evenVBand="0" w:oddHBand="0" w:evenHBand="1" w:firstRowFirstColumn="0" w:firstRowLastColumn="0" w:lastRowFirstColumn="0" w:lastRowLastColumn="0"/>
          <w:trHeight w:val="20"/>
        </w:trPr>
        <w:tc>
          <w:tcPr>
            <w:tcW w:w="919" w:type="pct"/>
            <w:tcBorders>
              <w:top w:val="none" w:sz="0" w:space="0" w:color="auto"/>
              <w:left w:val="none" w:sz="0" w:space="0" w:color="auto"/>
              <w:bottom w:val="none" w:sz="0" w:space="0" w:color="auto"/>
              <w:right w:val="none" w:sz="0" w:space="0" w:color="auto"/>
            </w:tcBorders>
            <w:hideMark/>
          </w:tcPr>
          <w:p w:rsidR="00212D72" w:rsidRPr="00122B75" w:rsidRDefault="00F20D45" w:rsidP="00F20D45">
            <w:pPr>
              <w:rPr>
                <w:rFonts w:eastAsia="Arial" w:cs="Arial"/>
                <w:szCs w:val="22"/>
                <w:lang w:val="es-CO"/>
              </w:rPr>
            </w:pPr>
            <w:r w:rsidRPr="00122B75">
              <w:rPr>
                <w:rFonts w:eastAsia="Arial" w:cs="Arial"/>
                <w:szCs w:val="22"/>
              </w:rPr>
              <w:t>Costo del servicio</w:t>
            </w:r>
          </w:p>
        </w:tc>
        <w:tc>
          <w:tcPr>
            <w:tcW w:w="846" w:type="pct"/>
            <w:tcBorders>
              <w:top w:val="none" w:sz="0" w:space="0" w:color="auto"/>
              <w:left w:val="none" w:sz="0" w:space="0" w:color="auto"/>
              <w:bottom w:val="none" w:sz="0" w:space="0" w:color="auto"/>
              <w:right w:val="none" w:sz="0" w:space="0" w:color="auto"/>
            </w:tcBorders>
            <w:hideMark/>
          </w:tcPr>
          <w:p w:rsidR="00212D72" w:rsidRPr="00122B75" w:rsidRDefault="00F20D45" w:rsidP="00F20D45">
            <w:pPr>
              <w:rPr>
                <w:rFonts w:eastAsia="Arial" w:cs="Arial"/>
                <w:szCs w:val="22"/>
                <w:lang w:val="es-CO"/>
              </w:rPr>
            </w:pPr>
            <w:r w:rsidRPr="00122B75">
              <w:rPr>
                <w:rFonts w:eastAsia="Arial" w:cs="Arial"/>
                <w:szCs w:val="22"/>
              </w:rPr>
              <w:t>Tasa de retorno</w:t>
            </w:r>
          </w:p>
        </w:tc>
        <w:tc>
          <w:tcPr>
            <w:tcW w:w="3235" w:type="pct"/>
            <w:gridSpan w:val="2"/>
            <w:tcBorders>
              <w:top w:val="none" w:sz="0" w:space="0" w:color="auto"/>
              <w:left w:val="none" w:sz="0" w:space="0" w:color="auto"/>
              <w:bottom w:val="none" w:sz="0" w:space="0" w:color="auto"/>
              <w:right w:val="none" w:sz="0" w:space="0" w:color="auto"/>
            </w:tcBorders>
            <w:hideMark/>
          </w:tcPr>
          <w:p w:rsidR="00212D72" w:rsidRPr="00122B75" w:rsidRDefault="00F20D45" w:rsidP="00F20D45">
            <w:pPr>
              <w:rPr>
                <w:rFonts w:eastAsia="Arial" w:cs="Arial"/>
                <w:szCs w:val="22"/>
                <w:lang w:val="es-CO"/>
              </w:rPr>
            </w:pPr>
            <w:r w:rsidRPr="00122B75">
              <w:rPr>
                <w:rFonts w:eastAsia="Arial" w:cs="Arial"/>
                <w:szCs w:val="22"/>
              </w:rPr>
              <w:t>Costos de operación más rentabilidad sobre base de activos</w:t>
            </w:r>
          </w:p>
        </w:tc>
      </w:tr>
    </w:tbl>
    <w:p w:rsidR="000C154A" w:rsidRPr="00023977" w:rsidRDefault="00C12D72" w:rsidP="00C12D72">
      <w:pPr>
        <w:pStyle w:val="Ttulo2"/>
        <w:rPr>
          <w:lang w:val="es-CO"/>
        </w:rPr>
      </w:pPr>
      <w:bookmarkStart w:id="476" w:name="_Toc427333599"/>
      <w:bookmarkStart w:id="477" w:name="_Toc427336540"/>
      <w:bookmarkStart w:id="478" w:name="_Toc427681830"/>
      <w:bookmarkStart w:id="479" w:name="_Toc433276762"/>
      <w:bookmarkStart w:id="480" w:name="_Toc433295725"/>
      <w:bookmarkStart w:id="481" w:name="_Toc433296450"/>
      <w:bookmarkStart w:id="482" w:name="_Toc437500879"/>
      <w:bookmarkStart w:id="483" w:name="_Toc437501538"/>
      <w:bookmarkStart w:id="484" w:name="_Toc437501718"/>
      <w:bookmarkStart w:id="485" w:name="_Toc437501808"/>
      <w:bookmarkStart w:id="486" w:name="_Toc437502571"/>
      <w:bookmarkStart w:id="487" w:name="_Toc437505931"/>
      <w:bookmarkStart w:id="488" w:name="_Toc437512744"/>
      <w:r w:rsidRPr="00023977">
        <w:rPr>
          <w:lang w:val="es-CO"/>
        </w:rPr>
        <w:t>esquema de cargos</w:t>
      </w:r>
      <w:bookmarkEnd w:id="476"/>
      <w:bookmarkEnd w:id="477"/>
      <w:bookmarkEnd w:id="478"/>
      <w:bookmarkEnd w:id="479"/>
      <w:bookmarkEnd w:id="480"/>
      <w:bookmarkEnd w:id="481"/>
      <w:bookmarkEnd w:id="482"/>
      <w:bookmarkEnd w:id="483"/>
      <w:bookmarkEnd w:id="484"/>
      <w:bookmarkEnd w:id="485"/>
      <w:bookmarkEnd w:id="486"/>
      <w:bookmarkEnd w:id="487"/>
      <w:bookmarkEnd w:id="488"/>
    </w:p>
    <w:p w:rsidR="000C154A" w:rsidRPr="00023977" w:rsidRDefault="009601C2" w:rsidP="000C154A">
      <w:pPr>
        <w:rPr>
          <w:rFonts w:cs="Arial"/>
          <w:sz w:val="24"/>
          <w:lang w:val="es-CO"/>
        </w:rPr>
      </w:pPr>
      <w:r w:rsidRPr="00023977">
        <w:rPr>
          <w:rFonts w:cs="Arial"/>
          <w:sz w:val="24"/>
          <w:lang w:val="es-CO"/>
        </w:rPr>
        <w:t>Dentro de los análisis que se esperan desarrollar para defin</w:t>
      </w:r>
      <w:r w:rsidR="00EB26E6">
        <w:rPr>
          <w:rFonts w:cs="Arial"/>
          <w:sz w:val="24"/>
          <w:lang w:val="es-CO"/>
        </w:rPr>
        <w:t>ir las formas como se remuneran</w:t>
      </w:r>
      <w:r w:rsidRPr="00023977">
        <w:rPr>
          <w:rFonts w:cs="Arial"/>
          <w:sz w:val="24"/>
          <w:lang w:val="es-CO"/>
        </w:rPr>
        <w:t xml:space="preserve"> las inversiones y los gastos de administración, operación y mantenimiento </w:t>
      </w:r>
      <w:r w:rsidR="00EB26E6">
        <w:rPr>
          <w:rFonts w:cs="Arial"/>
          <w:sz w:val="24"/>
          <w:lang w:val="es-CO"/>
        </w:rPr>
        <w:t>en que incurre el transportador</w:t>
      </w:r>
      <w:r w:rsidR="000C154A" w:rsidRPr="00023977">
        <w:rPr>
          <w:rFonts w:cs="Arial"/>
          <w:sz w:val="24"/>
          <w:lang w:val="es-CO"/>
        </w:rPr>
        <w:t xml:space="preserve"> es necesario evaluar las alternativas de cargos por distancia, cargos de entrada y de salida y cargos estampilla. También es posible considerar una combinación entre cargos por distancia y cargos estampilla.</w:t>
      </w:r>
    </w:p>
    <w:p w:rsidR="000C154A" w:rsidRPr="00023977" w:rsidRDefault="000C154A" w:rsidP="000C154A">
      <w:pPr>
        <w:rPr>
          <w:rFonts w:cs="Arial"/>
          <w:sz w:val="24"/>
          <w:lang w:val="es-CO"/>
        </w:rPr>
      </w:pPr>
    </w:p>
    <w:p w:rsidR="009601C2" w:rsidRPr="00023977" w:rsidRDefault="009601C2" w:rsidP="000C154A">
      <w:pPr>
        <w:rPr>
          <w:rFonts w:cs="Arial"/>
          <w:sz w:val="24"/>
          <w:lang w:val="es-CO"/>
        </w:rPr>
      </w:pPr>
      <w:r w:rsidRPr="00023977">
        <w:rPr>
          <w:rFonts w:cs="Arial"/>
          <w:sz w:val="24"/>
          <w:lang w:val="es-CO"/>
        </w:rPr>
        <w:t>Adicionalmente considerando que existen trans</w:t>
      </w:r>
      <w:r w:rsidR="00B95524">
        <w:rPr>
          <w:rFonts w:cs="Arial"/>
          <w:sz w:val="24"/>
          <w:lang w:val="es-CO"/>
        </w:rPr>
        <w:t>portes sustitutos, se adelantará</w:t>
      </w:r>
      <w:r w:rsidRPr="00023977">
        <w:rPr>
          <w:rFonts w:cs="Arial"/>
          <w:sz w:val="24"/>
          <w:lang w:val="es-CO"/>
        </w:rPr>
        <w:t>n sensibilidades en el modela</w:t>
      </w:r>
      <w:r w:rsidR="00922089" w:rsidRPr="00023977">
        <w:rPr>
          <w:rFonts w:cs="Arial"/>
          <w:sz w:val="24"/>
          <w:lang w:val="es-CO"/>
        </w:rPr>
        <w:t>miento para considerar el efecto de dicha variable.</w:t>
      </w:r>
    </w:p>
    <w:p w:rsidR="00922089" w:rsidRPr="00023977" w:rsidRDefault="00922089" w:rsidP="000C154A">
      <w:pPr>
        <w:rPr>
          <w:rFonts w:cs="Arial"/>
          <w:sz w:val="24"/>
          <w:lang w:val="es-CO"/>
        </w:rPr>
      </w:pPr>
    </w:p>
    <w:p w:rsidR="00212D72" w:rsidRDefault="00212D72" w:rsidP="00391FB3">
      <w:pPr>
        <w:pStyle w:val="Ttulo2"/>
        <w:rPr>
          <w:rFonts w:eastAsia="Arial" w:cs="Arial"/>
          <w:snapToGrid w:val="0"/>
          <w:sz w:val="24"/>
          <w:szCs w:val="24"/>
          <w:lang w:val="es-CO"/>
        </w:rPr>
      </w:pPr>
      <w:bookmarkStart w:id="489" w:name="_Toc427333600"/>
      <w:bookmarkStart w:id="490" w:name="_Toc427336541"/>
      <w:bookmarkStart w:id="491" w:name="_Toc427681831"/>
      <w:bookmarkStart w:id="492" w:name="_Toc433276763"/>
      <w:bookmarkStart w:id="493" w:name="_Toc433295726"/>
      <w:bookmarkStart w:id="494" w:name="_Toc433296451"/>
      <w:bookmarkStart w:id="495" w:name="_Toc437500880"/>
      <w:bookmarkStart w:id="496" w:name="_Toc437501539"/>
      <w:bookmarkStart w:id="497" w:name="_Toc437501719"/>
      <w:bookmarkStart w:id="498" w:name="_Toc437501809"/>
      <w:bookmarkStart w:id="499" w:name="_Toc437502572"/>
      <w:bookmarkStart w:id="500" w:name="_Toc437505932"/>
      <w:bookmarkStart w:id="501" w:name="_Toc437512745"/>
      <w:r w:rsidRPr="00023977">
        <w:rPr>
          <w:rFonts w:eastAsia="Arial" w:cs="Arial"/>
          <w:snapToGrid w:val="0"/>
          <w:sz w:val="24"/>
          <w:szCs w:val="24"/>
          <w:lang w:val="es-CO"/>
        </w:rPr>
        <w:lastRenderedPageBreak/>
        <w:t>modelo tarifario</w:t>
      </w:r>
      <w:bookmarkEnd w:id="489"/>
      <w:bookmarkEnd w:id="490"/>
      <w:bookmarkEnd w:id="491"/>
      <w:bookmarkEnd w:id="492"/>
      <w:bookmarkEnd w:id="493"/>
      <w:bookmarkEnd w:id="494"/>
      <w:bookmarkEnd w:id="495"/>
      <w:bookmarkEnd w:id="496"/>
      <w:bookmarkEnd w:id="497"/>
      <w:bookmarkEnd w:id="498"/>
      <w:bookmarkEnd w:id="499"/>
      <w:bookmarkEnd w:id="500"/>
      <w:bookmarkEnd w:id="501"/>
    </w:p>
    <w:p w:rsidR="00057299" w:rsidRDefault="00057299" w:rsidP="00901A44">
      <w:pPr>
        <w:rPr>
          <w:lang w:val="es-CO" w:eastAsia="es-CO"/>
        </w:rPr>
      </w:pPr>
      <w:r w:rsidRPr="00901A44">
        <w:rPr>
          <w:sz w:val="24"/>
          <w:lang w:val="es-CO" w:eastAsia="es-CO"/>
        </w:rPr>
        <w:t>En general, se pueden identificar los siguientes objetivos de la regulación al fijar las tarifas</w:t>
      </w:r>
      <w:r>
        <w:rPr>
          <w:lang w:val="es-CO" w:eastAsia="es-CO"/>
        </w:rPr>
        <w:t>:</w:t>
      </w:r>
    </w:p>
    <w:p w:rsidR="00057299" w:rsidRDefault="00057299" w:rsidP="00057299">
      <w:pPr>
        <w:autoSpaceDE w:val="0"/>
        <w:autoSpaceDN w:val="0"/>
        <w:adjustRightInd w:val="0"/>
        <w:jc w:val="left"/>
        <w:rPr>
          <w:rFonts w:ascii="Cambria" w:hAnsi="Cambria" w:cs="Cambria"/>
          <w:sz w:val="24"/>
          <w:lang w:val="es-CO" w:eastAsia="es-CO"/>
        </w:rPr>
      </w:pPr>
    </w:p>
    <w:p w:rsidR="00057299" w:rsidRPr="00DF7F93" w:rsidRDefault="00057299" w:rsidP="00DF7F93">
      <w:pPr>
        <w:pStyle w:val="Prrafodelista"/>
        <w:numPr>
          <w:ilvl w:val="0"/>
          <w:numId w:val="31"/>
        </w:numPr>
        <w:rPr>
          <w:sz w:val="24"/>
          <w:lang w:eastAsia="es-CO"/>
        </w:rPr>
      </w:pPr>
      <w:r w:rsidRPr="00DF7F93">
        <w:rPr>
          <w:sz w:val="24"/>
          <w:lang w:eastAsia="es-CO"/>
        </w:rPr>
        <w:t>Las tarifas deben permitir al negocio regulado atraer capital para la inversión eficiente, así asegurando la oferta.</w:t>
      </w:r>
    </w:p>
    <w:p w:rsidR="00057299" w:rsidRPr="00DF7F93" w:rsidRDefault="00057299" w:rsidP="00DF7F93">
      <w:pPr>
        <w:pStyle w:val="Prrafodelista"/>
        <w:numPr>
          <w:ilvl w:val="0"/>
          <w:numId w:val="31"/>
        </w:numPr>
        <w:rPr>
          <w:sz w:val="24"/>
          <w:lang w:eastAsia="es-CO"/>
        </w:rPr>
      </w:pPr>
      <w:r w:rsidRPr="00DF7F93">
        <w:rPr>
          <w:sz w:val="24"/>
          <w:lang w:eastAsia="es-CO"/>
        </w:rPr>
        <w:t>La metodología tarifaria debe incentivar el desarrollo y la operación eficientes de la empresa regulada.</w:t>
      </w:r>
    </w:p>
    <w:p w:rsidR="00057299" w:rsidRPr="00DF7F93" w:rsidRDefault="00057299" w:rsidP="00DF7F93">
      <w:pPr>
        <w:pStyle w:val="Prrafodelista"/>
        <w:numPr>
          <w:ilvl w:val="0"/>
          <w:numId w:val="31"/>
        </w:numPr>
        <w:rPr>
          <w:sz w:val="24"/>
          <w:lang w:eastAsia="es-CO"/>
        </w:rPr>
      </w:pPr>
      <w:r w:rsidRPr="00DF7F93">
        <w:rPr>
          <w:sz w:val="24"/>
          <w:lang w:eastAsia="es-CO"/>
        </w:rPr>
        <w:t>La metodología tarifaria debe enviar las señales adecuadas para determinar la ubicación más ventajosa en el tiempo y el espacio, transporte y centros de consumo.</w:t>
      </w:r>
    </w:p>
    <w:p w:rsidR="00057299" w:rsidRPr="00DF7F93" w:rsidRDefault="00057299" w:rsidP="00DF7F93">
      <w:pPr>
        <w:pStyle w:val="Prrafodelista"/>
        <w:numPr>
          <w:ilvl w:val="0"/>
          <w:numId w:val="31"/>
        </w:numPr>
        <w:rPr>
          <w:sz w:val="24"/>
          <w:lang w:eastAsia="es-CO"/>
        </w:rPr>
      </w:pPr>
      <w:r w:rsidRPr="00DF7F93">
        <w:rPr>
          <w:sz w:val="24"/>
          <w:lang w:eastAsia="es-CO"/>
        </w:rPr>
        <w:t>La metodología debe ser simple y de fácil aplicación. Debe además, garantizar la universalidad, o libre acceso para todos, y debe proteger a los consumidores.</w:t>
      </w:r>
    </w:p>
    <w:p w:rsidR="00057299" w:rsidRPr="00DF7F93" w:rsidRDefault="00057299" w:rsidP="00DF7F93">
      <w:pPr>
        <w:pStyle w:val="Prrafodelista"/>
        <w:numPr>
          <w:ilvl w:val="0"/>
          <w:numId w:val="31"/>
        </w:numPr>
        <w:rPr>
          <w:sz w:val="24"/>
          <w:lang w:eastAsia="es-CO"/>
        </w:rPr>
      </w:pPr>
      <w:r w:rsidRPr="00DF7F93">
        <w:rPr>
          <w:sz w:val="24"/>
          <w:lang w:eastAsia="es-CO"/>
        </w:rPr>
        <w:t>Permitir una rentabilidad razonable sobre la inversión.</w:t>
      </w:r>
    </w:p>
    <w:p w:rsidR="00057299" w:rsidRPr="00DF7F93" w:rsidRDefault="00057299" w:rsidP="00DF7F93">
      <w:pPr>
        <w:pStyle w:val="Prrafodelista"/>
        <w:numPr>
          <w:ilvl w:val="0"/>
          <w:numId w:val="31"/>
        </w:numPr>
        <w:rPr>
          <w:sz w:val="24"/>
          <w:lang w:eastAsia="es-CO"/>
        </w:rPr>
      </w:pPr>
      <w:r w:rsidRPr="00DF7F93">
        <w:rPr>
          <w:sz w:val="24"/>
          <w:lang w:eastAsia="es-CO"/>
        </w:rPr>
        <w:t>La rentabilidad debe ser comparable a la de otros sectores de la economía, ajustada por diferencias en riesgo, localización, etc.</w:t>
      </w:r>
    </w:p>
    <w:p w:rsidR="00057299" w:rsidRPr="00DF7F93" w:rsidRDefault="00057299" w:rsidP="00DF7F93">
      <w:pPr>
        <w:pStyle w:val="Prrafodelista"/>
        <w:numPr>
          <w:ilvl w:val="0"/>
          <w:numId w:val="31"/>
        </w:numPr>
        <w:rPr>
          <w:sz w:val="24"/>
          <w:lang w:eastAsia="es-CO"/>
        </w:rPr>
      </w:pPr>
      <w:r w:rsidRPr="00DF7F93">
        <w:rPr>
          <w:sz w:val="24"/>
          <w:lang w:eastAsia="es-CO"/>
        </w:rPr>
        <w:t>Los inversionistas deben recibir esa rentabilidad una vez recuperados sus costos de AOM y de inversión (como la depreciación).</w:t>
      </w:r>
    </w:p>
    <w:p w:rsidR="009B3DE7" w:rsidRDefault="009B3DE7" w:rsidP="009B3DE7">
      <w:pPr>
        <w:rPr>
          <w:rFonts w:cs="Arial"/>
          <w:sz w:val="24"/>
          <w:lang w:val="es-ES_tradnl"/>
        </w:rPr>
      </w:pPr>
      <w:bookmarkStart w:id="502" w:name="_Toc426035075"/>
    </w:p>
    <w:p w:rsidR="0083557B" w:rsidRPr="00023977" w:rsidRDefault="0083557B" w:rsidP="00391FB3">
      <w:pPr>
        <w:pStyle w:val="Ttulo3"/>
        <w:rPr>
          <w:rFonts w:eastAsia="Arial" w:cs="Arial"/>
          <w:sz w:val="24"/>
          <w:szCs w:val="24"/>
        </w:rPr>
      </w:pPr>
      <w:bookmarkStart w:id="503" w:name="_Toc426035077"/>
      <w:bookmarkStart w:id="504" w:name="_Toc427333601"/>
      <w:bookmarkStart w:id="505" w:name="_Toc427336542"/>
      <w:bookmarkStart w:id="506" w:name="_Toc427681832"/>
      <w:bookmarkStart w:id="507" w:name="_Toc433276764"/>
      <w:bookmarkStart w:id="508" w:name="_Toc433295727"/>
      <w:bookmarkStart w:id="509" w:name="_Toc433296452"/>
      <w:bookmarkStart w:id="510" w:name="_Toc437500881"/>
      <w:bookmarkStart w:id="511" w:name="_Toc437501540"/>
      <w:bookmarkStart w:id="512" w:name="_Toc437501720"/>
      <w:bookmarkStart w:id="513" w:name="_Toc437501810"/>
      <w:bookmarkStart w:id="514" w:name="_Toc437502573"/>
      <w:bookmarkStart w:id="515" w:name="_Toc437505933"/>
      <w:bookmarkStart w:id="516" w:name="_Toc437512746"/>
      <w:bookmarkEnd w:id="502"/>
      <w:r w:rsidRPr="00023977">
        <w:rPr>
          <w:rFonts w:eastAsia="Arial" w:cs="Arial"/>
          <w:sz w:val="24"/>
          <w:szCs w:val="24"/>
        </w:rPr>
        <w:t>Valoración inversión</w:t>
      </w:r>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373F25" w:rsidRPr="00023977" w:rsidRDefault="00373F25" w:rsidP="00373F25">
      <w:pPr>
        <w:rPr>
          <w:rFonts w:eastAsia="Arial"/>
          <w:sz w:val="24"/>
          <w:lang w:val="es-ES_tradnl"/>
        </w:rPr>
      </w:pPr>
    </w:p>
    <w:p w:rsidR="00373F25" w:rsidRPr="00023977" w:rsidRDefault="00373F25" w:rsidP="00373F25">
      <w:pPr>
        <w:rPr>
          <w:rFonts w:eastAsia="Arial"/>
          <w:sz w:val="24"/>
          <w:lang w:val="es-ES_tradnl"/>
        </w:rPr>
      </w:pPr>
      <w:r w:rsidRPr="00023977">
        <w:rPr>
          <w:rFonts w:eastAsia="Arial"/>
          <w:sz w:val="24"/>
          <w:lang w:val="es-ES_tradnl"/>
        </w:rPr>
        <w:t>La valoración de la inversión se considerará a partir de dos elementos base, por un lado se estudiará la definición y levantamiento de un inventario de activos y su respectiva valorización para la infraestructura existente.</w:t>
      </w:r>
    </w:p>
    <w:p w:rsidR="00373F25" w:rsidRPr="00023977" w:rsidRDefault="00373F25" w:rsidP="00373F25">
      <w:pPr>
        <w:rPr>
          <w:rFonts w:eastAsia="Arial"/>
          <w:sz w:val="24"/>
          <w:lang w:val="es-ES_tradnl"/>
        </w:rPr>
      </w:pPr>
    </w:p>
    <w:p w:rsidR="00A32176" w:rsidRDefault="00373F25" w:rsidP="00FE6431">
      <w:pPr>
        <w:rPr>
          <w:rFonts w:eastAsia="Arial" w:cs="Arial"/>
          <w:sz w:val="24"/>
          <w:lang w:val="es-ES_tradnl"/>
        </w:rPr>
      </w:pPr>
      <w:r w:rsidRPr="00023977">
        <w:rPr>
          <w:rFonts w:eastAsia="Arial"/>
          <w:sz w:val="24"/>
          <w:lang w:val="es-ES_tradnl"/>
        </w:rPr>
        <w:t>Por otro lad</w:t>
      </w:r>
      <w:r w:rsidR="00FE6431" w:rsidRPr="00023977">
        <w:rPr>
          <w:rFonts w:eastAsia="Arial"/>
          <w:sz w:val="24"/>
          <w:lang w:val="es-ES_tradnl"/>
        </w:rPr>
        <w:t>o para la infraestructura nueva</w:t>
      </w:r>
      <w:r w:rsidRPr="00023977">
        <w:rPr>
          <w:rFonts w:eastAsia="Arial"/>
          <w:sz w:val="24"/>
          <w:lang w:val="es-ES_tradnl"/>
        </w:rPr>
        <w:t xml:space="preserve"> </w:t>
      </w:r>
      <w:r w:rsidR="00FE6431" w:rsidRPr="00023977">
        <w:rPr>
          <w:rFonts w:eastAsia="Arial"/>
          <w:sz w:val="24"/>
          <w:lang w:val="es-ES_tradnl"/>
        </w:rPr>
        <w:t xml:space="preserve">se espera estudiar un modelo multivariado que capture </w:t>
      </w:r>
      <w:r w:rsidR="00A32176">
        <w:rPr>
          <w:rFonts w:eastAsia="Arial"/>
          <w:sz w:val="24"/>
          <w:lang w:val="es-ES_tradnl"/>
        </w:rPr>
        <w:t>los</w:t>
      </w:r>
      <w:r w:rsidR="00FE6431" w:rsidRPr="00023977">
        <w:rPr>
          <w:rFonts w:eastAsia="Arial"/>
          <w:sz w:val="24"/>
          <w:lang w:val="es-ES_tradnl"/>
        </w:rPr>
        <w:t xml:space="preserve"> diferentes </w:t>
      </w:r>
      <w:r w:rsidR="00A32176">
        <w:rPr>
          <w:rFonts w:eastAsia="Arial"/>
          <w:sz w:val="24"/>
          <w:lang w:val="es-ES_tradnl"/>
        </w:rPr>
        <w:t>elementos asociado</w:t>
      </w:r>
      <w:r w:rsidR="00FE6431" w:rsidRPr="00023977">
        <w:rPr>
          <w:rFonts w:eastAsia="Arial"/>
          <w:sz w:val="24"/>
          <w:lang w:val="es-ES_tradnl"/>
        </w:rPr>
        <w:t>s a la construcción</w:t>
      </w:r>
      <w:r w:rsidR="006D3C24">
        <w:rPr>
          <w:rFonts w:eastAsia="Arial"/>
          <w:sz w:val="24"/>
          <w:lang w:val="es-ES_tradnl"/>
        </w:rPr>
        <w:t xml:space="preserve">, </w:t>
      </w:r>
      <w:r w:rsidR="00495AF8">
        <w:rPr>
          <w:rFonts w:eastAsia="Arial"/>
          <w:sz w:val="24"/>
          <w:lang w:val="es-ES_tradnl"/>
        </w:rPr>
        <w:t>para definir la valoración de nueva infraestructura</w:t>
      </w:r>
      <w:r w:rsidR="006D3C24">
        <w:rPr>
          <w:rFonts w:eastAsia="Arial" w:cs="Arial"/>
          <w:sz w:val="24"/>
          <w:lang w:val="es-ES_tradnl"/>
        </w:rPr>
        <w:t>.</w:t>
      </w:r>
      <w:r w:rsidR="00A32176">
        <w:rPr>
          <w:rFonts w:eastAsia="Arial" w:cs="Arial"/>
          <w:sz w:val="24"/>
          <w:lang w:val="es-ES_tradnl"/>
        </w:rPr>
        <w:t xml:space="preserve"> </w:t>
      </w:r>
    </w:p>
    <w:p w:rsidR="00A32176" w:rsidRDefault="00A32176" w:rsidP="00FE6431">
      <w:pPr>
        <w:rPr>
          <w:rFonts w:eastAsia="Arial" w:cs="Arial"/>
          <w:sz w:val="24"/>
          <w:lang w:val="es-ES_tradnl"/>
        </w:rPr>
      </w:pPr>
    </w:p>
    <w:p w:rsidR="00A32176" w:rsidRDefault="00A32176" w:rsidP="00FE6431">
      <w:pPr>
        <w:rPr>
          <w:rFonts w:eastAsia="Arial" w:cs="Arial"/>
          <w:sz w:val="24"/>
          <w:lang w:val="es-ES_tradnl"/>
        </w:rPr>
      </w:pPr>
      <w:r>
        <w:rPr>
          <w:rFonts w:eastAsia="Arial" w:cs="Arial"/>
          <w:sz w:val="24"/>
          <w:lang w:val="es-ES_tradnl"/>
        </w:rPr>
        <w:t xml:space="preserve">Se buscará un enfoque dinámico que permita el trámite de aprobación de valores de inversión de una manera expedita que impacte positivamente en el desarrollo de proyectos de infraestructura. </w:t>
      </w:r>
    </w:p>
    <w:p w:rsidR="006D3C24" w:rsidRPr="00023977" w:rsidRDefault="006D3C24" w:rsidP="00FE6431">
      <w:pPr>
        <w:rPr>
          <w:rFonts w:eastAsia="Arial" w:cs="Arial"/>
          <w:sz w:val="24"/>
          <w:lang w:val="es-ES_tradnl"/>
        </w:rPr>
      </w:pPr>
    </w:p>
    <w:p w:rsidR="00373F25" w:rsidRPr="00023977" w:rsidRDefault="00166C27" w:rsidP="0083557B">
      <w:pPr>
        <w:rPr>
          <w:rFonts w:eastAsia="Arial" w:cs="Arial"/>
          <w:sz w:val="24"/>
          <w:lang w:val="es-ES_tradnl"/>
        </w:rPr>
      </w:pPr>
      <w:r w:rsidRPr="00023977">
        <w:rPr>
          <w:rFonts w:eastAsia="Arial" w:cs="Arial"/>
          <w:sz w:val="24"/>
          <w:lang w:val="es-ES_tradnl"/>
        </w:rPr>
        <w:t>Adicionalmente se analizarán sensibilidades del costo de reposición como se señala a continuación.</w:t>
      </w:r>
    </w:p>
    <w:p w:rsidR="00166C27" w:rsidRPr="00023977" w:rsidRDefault="00166C27" w:rsidP="0083557B">
      <w:pPr>
        <w:rPr>
          <w:rFonts w:eastAsia="Arial" w:cs="Arial"/>
          <w:sz w:val="24"/>
          <w:lang w:val="es-ES_tradnl"/>
        </w:rPr>
      </w:pPr>
    </w:p>
    <w:p w:rsidR="0083557B" w:rsidRPr="00023977" w:rsidRDefault="0083557B" w:rsidP="00391FB3">
      <w:pPr>
        <w:pStyle w:val="Ttulo4"/>
        <w:rPr>
          <w:rFonts w:eastAsia="Arial"/>
          <w:sz w:val="24"/>
          <w:szCs w:val="24"/>
        </w:rPr>
      </w:pPr>
      <w:bookmarkStart w:id="517" w:name="_Toc426035078"/>
      <w:r w:rsidRPr="00023977">
        <w:rPr>
          <w:rFonts w:eastAsia="Arial"/>
          <w:sz w:val="24"/>
          <w:szCs w:val="24"/>
        </w:rPr>
        <w:t>Valor de reposición a nuevo</w:t>
      </w:r>
      <w:bookmarkEnd w:id="517"/>
      <w:r w:rsidRPr="00023977">
        <w:rPr>
          <w:rFonts w:eastAsia="Arial"/>
          <w:sz w:val="24"/>
          <w:szCs w:val="24"/>
        </w:rPr>
        <w:t xml:space="preserve"> </w:t>
      </w:r>
    </w:p>
    <w:p w:rsidR="0083557B" w:rsidRPr="00023977" w:rsidRDefault="0083557B" w:rsidP="0083557B">
      <w:pPr>
        <w:rPr>
          <w:rFonts w:eastAsia="Arial" w:cs="Arial"/>
          <w:sz w:val="24"/>
          <w:lang w:val="es-ES_tradnl"/>
        </w:rPr>
      </w:pPr>
    </w:p>
    <w:p w:rsidR="0083557B" w:rsidRPr="00023977" w:rsidRDefault="0083557B" w:rsidP="0083557B">
      <w:pPr>
        <w:rPr>
          <w:rFonts w:eastAsia="Arial" w:cs="Arial"/>
          <w:sz w:val="24"/>
          <w:lang w:val="es-ES_tradnl"/>
        </w:rPr>
      </w:pPr>
      <w:r w:rsidRPr="00023977">
        <w:rPr>
          <w:rFonts w:eastAsia="Arial" w:cs="Arial"/>
          <w:sz w:val="24"/>
          <w:lang w:val="es-ES_tradnl"/>
        </w:rPr>
        <w:t xml:space="preserve">Acorde con el estudio divulgado </w:t>
      </w:r>
      <w:r w:rsidR="00F45765">
        <w:rPr>
          <w:rFonts w:eastAsia="Arial" w:cs="Arial"/>
          <w:sz w:val="24"/>
          <w:lang w:val="es-ES_tradnl"/>
        </w:rPr>
        <w:t>con</w:t>
      </w:r>
      <w:r w:rsidRPr="00023977">
        <w:rPr>
          <w:rFonts w:eastAsia="Arial" w:cs="Arial"/>
          <w:sz w:val="24"/>
          <w:lang w:val="es-ES_tradnl"/>
        </w:rPr>
        <w:t xml:space="preserve"> la </w:t>
      </w:r>
      <w:r w:rsidR="001D1BBE">
        <w:rPr>
          <w:rFonts w:eastAsia="Arial" w:cs="Arial"/>
          <w:sz w:val="24"/>
          <w:lang w:val="es-ES_tradnl"/>
        </w:rPr>
        <w:t>Circular CREG 061 de 2012 e</w:t>
      </w:r>
      <w:r w:rsidRPr="00023977">
        <w:rPr>
          <w:rFonts w:eastAsia="Arial" w:cs="Arial"/>
          <w:sz w:val="24"/>
          <w:lang w:val="es-ES_tradnl"/>
        </w:rPr>
        <w:t xml:space="preserve">l VNR es el costo de reposición de los activos existentes por nuevos activos. </w:t>
      </w:r>
      <w:r w:rsidR="00032A16" w:rsidRPr="00023977">
        <w:rPr>
          <w:rFonts w:eastAsia="Arial" w:cs="Arial"/>
          <w:sz w:val="24"/>
          <w:lang w:val="es-ES_tradnl"/>
        </w:rPr>
        <w:t xml:space="preserve">Es importante notar que </w:t>
      </w:r>
      <w:r w:rsidR="00C341FD">
        <w:rPr>
          <w:rFonts w:eastAsia="Arial" w:cs="Arial"/>
          <w:sz w:val="24"/>
          <w:lang w:val="es-ES_tradnl"/>
        </w:rPr>
        <w:t xml:space="preserve">ese proceso de substitución de </w:t>
      </w:r>
      <w:r w:rsidR="00032A16" w:rsidRPr="00023977">
        <w:rPr>
          <w:rFonts w:cs="Arial"/>
          <w:sz w:val="24"/>
          <w:lang w:val="es-CO" w:eastAsia="es-CO"/>
        </w:rPr>
        <w:t>activos por otros equivalentes, incluye cambios tecnológicos en el tiempo</w:t>
      </w:r>
      <w:r w:rsidR="00E257A4">
        <w:rPr>
          <w:rFonts w:cs="Arial"/>
          <w:sz w:val="24"/>
          <w:lang w:val="es-CO" w:eastAsia="es-CO"/>
        </w:rPr>
        <w:t>.</w:t>
      </w:r>
    </w:p>
    <w:p w:rsidR="0083557B" w:rsidRPr="00591981" w:rsidRDefault="0083557B" w:rsidP="0083557B">
      <w:pPr>
        <w:rPr>
          <w:rFonts w:eastAsia="Arial" w:cs="Arial"/>
          <w:sz w:val="14"/>
          <w:lang w:val="es-ES_tradnl"/>
        </w:rPr>
      </w:pPr>
    </w:p>
    <w:p w:rsidR="0083557B" w:rsidRPr="00591981" w:rsidRDefault="0083557B" w:rsidP="0083557B">
      <w:pPr>
        <w:rPr>
          <w:rFonts w:eastAsia="Arial" w:cs="Arial"/>
          <w:sz w:val="28"/>
          <w:lang w:val="es-ES_tradnl"/>
        </w:rPr>
      </w:pPr>
    </w:p>
    <w:p w:rsidR="0083557B" w:rsidRPr="00023977" w:rsidRDefault="0083557B" w:rsidP="00391FB3">
      <w:pPr>
        <w:pStyle w:val="Ttulo4"/>
        <w:rPr>
          <w:rFonts w:eastAsia="Arial"/>
          <w:sz w:val="24"/>
          <w:szCs w:val="24"/>
        </w:rPr>
      </w:pPr>
      <w:bookmarkStart w:id="518" w:name="_Toc426035079"/>
      <w:r w:rsidRPr="00023977">
        <w:rPr>
          <w:rFonts w:eastAsia="Arial"/>
          <w:sz w:val="24"/>
          <w:szCs w:val="24"/>
        </w:rPr>
        <w:t>El Costo de Reposición Optimizado y Depreciado</w:t>
      </w:r>
      <w:bookmarkEnd w:id="518"/>
    </w:p>
    <w:p w:rsidR="0083557B" w:rsidRPr="00023977" w:rsidRDefault="0083557B" w:rsidP="0083557B">
      <w:pPr>
        <w:rPr>
          <w:rFonts w:eastAsia="Arial" w:cs="Arial"/>
          <w:sz w:val="24"/>
          <w:lang w:val="es-ES_tradnl"/>
        </w:rPr>
      </w:pPr>
    </w:p>
    <w:p w:rsidR="0083557B" w:rsidRPr="00023977" w:rsidRDefault="00DA6CF1" w:rsidP="0083557B">
      <w:pPr>
        <w:autoSpaceDE w:val="0"/>
        <w:autoSpaceDN w:val="0"/>
        <w:adjustRightInd w:val="0"/>
        <w:rPr>
          <w:rFonts w:cs="Arial"/>
          <w:sz w:val="24"/>
          <w:lang w:val="es-CO" w:eastAsia="es-CO"/>
        </w:rPr>
      </w:pPr>
      <w:r w:rsidRPr="00023977">
        <w:rPr>
          <w:rFonts w:eastAsia="Arial" w:cs="Arial"/>
          <w:sz w:val="24"/>
          <w:lang w:val="es-ES_tradnl"/>
        </w:rPr>
        <w:t xml:space="preserve">Acorde con el estudio divulgado </w:t>
      </w:r>
      <w:r w:rsidR="00591981">
        <w:rPr>
          <w:rFonts w:eastAsia="Arial" w:cs="Arial"/>
          <w:sz w:val="24"/>
          <w:lang w:val="es-ES_tradnl"/>
        </w:rPr>
        <w:t>en</w:t>
      </w:r>
      <w:r w:rsidRPr="00023977">
        <w:rPr>
          <w:rFonts w:eastAsia="Arial" w:cs="Arial"/>
          <w:sz w:val="24"/>
          <w:lang w:val="es-ES_tradnl"/>
        </w:rPr>
        <w:t xml:space="preserve"> la </w:t>
      </w:r>
      <w:r w:rsidR="00F45765">
        <w:rPr>
          <w:rFonts w:eastAsia="Arial" w:cs="Arial"/>
          <w:sz w:val="24"/>
          <w:lang w:val="es-ES_tradnl"/>
        </w:rPr>
        <w:t xml:space="preserve">Circular </w:t>
      </w:r>
      <w:r w:rsidR="001D1BBE">
        <w:rPr>
          <w:rFonts w:eastAsia="Arial" w:cs="Arial"/>
          <w:sz w:val="24"/>
          <w:lang w:val="es-ES_tradnl"/>
        </w:rPr>
        <w:t>CREG 061 de 2012</w:t>
      </w:r>
      <w:r w:rsidRPr="00023977">
        <w:rPr>
          <w:rFonts w:cs="Arial"/>
          <w:i/>
          <w:iCs/>
          <w:sz w:val="24"/>
          <w:lang w:val="es-CO" w:eastAsia="es-CO"/>
        </w:rPr>
        <w:t xml:space="preserve"> el </w:t>
      </w:r>
      <w:r w:rsidR="0083557B" w:rsidRPr="00023977">
        <w:rPr>
          <w:rFonts w:cs="Arial"/>
          <w:i/>
          <w:iCs/>
          <w:sz w:val="24"/>
          <w:lang w:val="es-CO" w:eastAsia="es-CO"/>
        </w:rPr>
        <w:t xml:space="preserve">Optimised Depreciated Replacement Cost </w:t>
      </w:r>
      <w:r w:rsidR="0083557B" w:rsidRPr="00023977">
        <w:rPr>
          <w:rFonts w:cs="Arial"/>
          <w:sz w:val="24"/>
          <w:lang w:val="es-CO" w:eastAsia="es-CO"/>
        </w:rPr>
        <w:t xml:space="preserve">es el costo de la red existente a su valor de </w:t>
      </w:r>
      <w:r w:rsidR="0083557B" w:rsidRPr="00023977">
        <w:rPr>
          <w:rFonts w:cs="Arial"/>
          <w:sz w:val="24"/>
          <w:lang w:val="es-CO" w:eastAsia="es-CO"/>
        </w:rPr>
        <w:lastRenderedPageBreak/>
        <w:t>Activos Equivalente Moderno (“</w:t>
      </w:r>
      <w:r w:rsidR="0083557B" w:rsidRPr="00023977">
        <w:rPr>
          <w:rFonts w:cs="Arial"/>
          <w:i/>
          <w:iCs/>
          <w:sz w:val="24"/>
          <w:lang w:val="es-CO" w:eastAsia="es-CO"/>
        </w:rPr>
        <w:t>Modern Equivalent Asset</w:t>
      </w:r>
      <w:r w:rsidR="0083557B" w:rsidRPr="00023977">
        <w:rPr>
          <w:rFonts w:cs="Arial"/>
          <w:sz w:val="24"/>
          <w:lang w:val="es-CO" w:eastAsia="es-CO"/>
        </w:rPr>
        <w:t xml:space="preserve">” -AEM) que ha sido optimizado desde el punto de vista de la ingeniería y ajustado por las depreciaciones correspondientes a su antigüedad. </w:t>
      </w:r>
      <w:r w:rsidR="009B7159" w:rsidRPr="00023977">
        <w:rPr>
          <w:rFonts w:cs="Arial"/>
          <w:sz w:val="24"/>
          <w:lang w:val="es-CO" w:eastAsia="es-CO"/>
        </w:rPr>
        <w:t>La principal diferencia con el método del VNR es la forma de depreciación d</w:t>
      </w:r>
      <w:r w:rsidR="009B7159">
        <w:rPr>
          <w:rFonts w:cs="Arial"/>
          <w:sz w:val="24"/>
          <w:lang w:val="es-CO" w:eastAsia="es-CO"/>
        </w:rPr>
        <w:t xml:space="preserve">e los activos: en el caso del </w:t>
      </w:r>
      <w:r w:rsidR="009B7159" w:rsidRPr="00A32176">
        <w:rPr>
          <w:rFonts w:cs="Arial"/>
          <w:sz w:val="24"/>
          <w:lang w:val="es-CO" w:eastAsia="es-CO"/>
        </w:rPr>
        <w:t>Costo de Reposición Optimizado y Depreciado</w:t>
      </w:r>
      <w:r w:rsidR="009B7159" w:rsidRPr="00023977">
        <w:rPr>
          <w:rFonts w:cs="Arial"/>
          <w:sz w:val="24"/>
          <w:lang w:val="es-CO" w:eastAsia="es-CO"/>
        </w:rPr>
        <w:t xml:space="preserve"> la depreciación está incluida en la anualidad como si fuese un préstamo.</w:t>
      </w:r>
    </w:p>
    <w:p w:rsidR="0083557B" w:rsidRPr="00023977" w:rsidRDefault="0083557B" w:rsidP="0083557B">
      <w:pPr>
        <w:autoSpaceDE w:val="0"/>
        <w:autoSpaceDN w:val="0"/>
        <w:adjustRightInd w:val="0"/>
        <w:rPr>
          <w:rFonts w:cs="Arial"/>
          <w:sz w:val="24"/>
          <w:lang w:val="es-CO" w:eastAsia="es-CO"/>
        </w:rPr>
      </w:pPr>
    </w:p>
    <w:p w:rsidR="0083557B" w:rsidRPr="00023977" w:rsidRDefault="000127D2" w:rsidP="00391FB3">
      <w:pPr>
        <w:pStyle w:val="Ttulo3"/>
        <w:rPr>
          <w:rFonts w:cs="Arial"/>
          <w:sz w:val="24"/>
          <w:szCs w:val="24"/>
          <w:lang w:eastAsia="es-CO"/>
        </w:rPr>
      </w:pPr>
      <w:bookmarkStart w:id="519" w:name="_Toc426035080"/>
      <w:bookmarkStart w:id="520" w:name="_Toc427333602"/>
      <w:bookmarkStart w:id="521" w:name="_Toc427336543"/>
      <w:bookmarkStart w:id="522" w:name="_Toc427681833"/>
      <w:bookmarkStart w:id="523" w:name="_Toc433276765"/>
      <w:bookmarkStart w:id="524" w:name="_Toc433295728"/>
      <w:bookmarkStart w:id="525" w:name="_Toc433296453"/>
      <w:bookmarkStart w:id="526" w:name="_Toc437500882"/>
      <w:bookmarkStart w:id="527" w:name="_Toc437501541"/>
      <w:bookmarkStart w:id="528" w:name="_Toc437501721"/>
      <w:bookmarkStart w:id="529" w:name="_Toc437501811"/>
      <w:bookmarkStart w:id="530" w:name="_Toc437502574"/>
      <w:bookmarkStart w:id="531" w:name="_Toc437505934"/>
      <w:bookmarkStart w:id="532" w:name="_Toc437512747"/>
      <w:r w:rsidRPr="00023977">
        <w:rPr>
          <w:rFonts w:cs="Arial"/>
          <w:sz w:val="24"/>
          <w:szCs w:val="24"/>
          <w:lang w:eastAsia="es-CO"/>
        </w:rPr>
        <w:t>Fijación de la Tasa</w:t>
      </w:r>
      <w:r w:rsidR="0083557B" w:rsidRPr="00023977">
        <w:rPr>
          <w:rFonts w:cs="Arial"/>
          <w:sz w:val="24"/>
          <w:szCs w:val="24"/>
          <w:lang w:eastAsia="es-CO"/>
        </w:rPr>
        <w:t xml:space="preserve"> de Retorno</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83557B" w:rsidRPr="00023977" w:rsidRDefault="0083557B" w:rsidP="0083557B">
      <w:pPr>
        <w:rPr>
          <w:rFonts w:cs="Arial"/>
          <w:sz w:val="24"/>
          <w:lang w:val="es-ES_tradnl" w:eastAsia="es-CO"/>
        </w:rPr>
      </w:pPr>
    </w:p>
    <w:p w:rsidR="0083557B" w:rsidRPr="00023977" w:rsidRDefault="0083557B" w:rsidP="0083557B">
      <w:pPr>
        <w:autoSpaceDE w:val="0"/>
        <w:autoSpaceDN w:val="0"/>
        <w:adjustRightInd w:val="0"/>
        <w:rPr>
          <w:rFonts w:cs="Arial"/>
          <w:sz w:val="24"/>
          <w:lang w:val="es-CO" w:eastAsia="es-CO"/>
        </w:rPr>
      </w:pPr>
      <w:r w:rsidRPr="00023977">
        <w:rPr>
          <w:rFonts w:cs="Arial"/>
          <w:sz w:val="24"/>
          <w:lang w:val="es-CO" w:eastAsia="es-CO"/>
        </w:rPr>
        <w:t>La Tasa se calcula a partir de la estimación del Costo Promedio Ponderado de Capital (WACC). Con relación a las variables que permiten el cálculo del WACC, se utilizan valores estándar para el “Peso Ponderado de la Deuda” y para el “Peso Ponderado del Capital Propio”. Estas variables deberían considerar las cifras financieras sectoriales, o el resultado de un análisis de apalancamiento óptimo de inversiones.</w:t>
      </w:r>
      <w:r w:rsidR="00032FC4" w:rsidRPr="00023977">
        <w:rPr>
          <w:rFonts w:cs="Arial"/>
          <w:sz w:val="24"/>
          <w:lang w:val="es-CO" w:eastAsia="es-CO"/>
        </w:rPr>
        <w:t xml:space="preserve"> En todo caso se considerar</w:t>
      </w:r>
      <w:r w:rsidR="008D5E98">
        <w:rPr>
          <w:rFonts w:cs="Arial"/>
          <w:sz w:val="24"/>
          <w:lang w:val="es-CO" w:eastAsia="es-CO"/>
        </w:rPr>
        <w:t>á</w:t>
      </w:r>
      <w:r w:rsidR="00032FC4" w:rsidRPr="00023977">
        <w:rPr>
          <w:rFonts w:cs="Arial"/>
          <w:sz w:val="24"/>
          <w:lang w:val="es-CO" w:eastAsia="es-CO"/>
        </w:rPr>
        <w:t xml:space="preserve"> un análisis bajo </w:t>
      </w:r>
      <w:r w:rsidR="001F3DFA" w:rsidRPr="00023977">
        <w:rPr>
          <w:rFonts w:cs="Arial"/>
          <w:sz w:val="24"/>
          <w:lang w:val="es-CO" w:eastAsia="es-CO"/>
        </w:rPr>
        <w:t>el lineamiento</w:t>
      </w:r>
      <w:r w:rsidR="00032FC4" w:rsidRPr="00023977">
        <w:rPr>
          <w:rFonts w:cs="Arial"/>
          <w:sz w:val="24"/>
          <w:lang w:val="es-CO" w:eastAsia="es-CO"/>
        </w:rPr>
        <w:t xml:space="preserve"> de la resolución CREG 095 de 2015.</w:t>
      </w:r>
    </w:p>
    <w:p w:rsidR="0083557B" w:rsidRDefault="0083557B" w:rsidP="0083557B">
      <w:pPr>
        <w:autoSpaceDE w:val="0"/>
        <w:autoSpaceDN w:val="0"/>
        <w:adjustRightInd w:val="0"/>
        <w:rPr>
          <w:rFonts w:eastAsia="Arial" w:cs="Arial"/>
          <w:sz w:val="24"/>
          <w:lang w:val="es-ES_tradnl"/>
        </w:rPr>
      </w:pPr>
    </w:p>
    <w:p w:rsidR="0083557B" w:rsidRPr="00F42CA3" w:rsidRDefault="00B90C4A" w:rsidP="00B90C4A">
      <w:pPr>
        <w:pStyle w:val="Ttulo3"/>
        <w:rPr>
          <w:rFonts w:eastAsia="Arial"/>
          <w:sz w:val="24"/>
          <w:szCs w:val="24"/>
        </w:rPr>
      </w:pPr>
      <w:bookmarkStart w:id="533" w:name="_Toc437500883"/>
      <w:bookmarkStart w:id="534" w:name="_Toc437501542"/>
      <w:bookmarkStart w:id="535" w:name="_Toc437501722"/>
      <w:bookmarkStart w:id="536" w:name="_Toc437501812"/>
      <w:bookmarkStart w:id="537" w:name="_Toc437502575"/>
      <w:bookmarkStart w:id="538" w:name="_Toc437505935"/>
      <w:bookmarkStart w:id="539" w:name="_Toc437512748"/>
      <w:r w:rsidRPr="00F42CA3">
        <w:rPr>
          <w:rFonts w:eastAsia="Arial"/>
          <w:sz w:val="24"/>
          <w:szCs w:val="24"/>
        </w:rPr>
        <w:t>D</w:t>
      </w:r>
      <w:r w:rsidR="0083557B" w:rsidRPr="00F42CA3">
        <w:rPr>
          <w:rFonts w:eastAsia="Arial"/>
          <w:sz w:val="24"/>
          <w:szCs w:val="24"/>
        </w:rPr>
        <w:t>efinición Vida útil</w:t>
      </w:r>
      <w:bookmarkEnd w:id="533"/>
      <w:bookmarkEnd w:id="534"/>
      <w:bookmarkEnd w:id="535"/>
      <w:bookmarkEnd w:id="536"/>
      <w:bookmarkEnd w:id="537"/>
      <w:bookmarkEnd w:id="538"/>
      <w:bookmarkEnd w:id="539"/>
    </w:p>
    <w:p w:rsidR="00F42CA3" w:rsidRDefault="00F42CA3" w:rsidP="00026DA4">
      <w:pPr>
        <w:rPr>
          <w:rFonts w:cs="Arial"/>
          <w:sz w:val="24"/>
          <w:lang w:val="es-CO" w:eastAsia="es-CO"/>
        </w:rPr>
      </w:pPr>
    </w:p>
    <w:p w:rsidR="002F1FE4" w:rsidRPr="00023977" w:rsidRDefault="00A74F63" w:rsidP="00026DA4">
      <w:pPr>
        <w:rPr>
          <w:sz w:val="24"/>
        </w:rPr>
      </w:pPr>
      <w:r>
        <w:rPr>
          <w:rFonts w:cs="Arial"/>
          <w:sz w:val="24"/>
          <w:lang w:val="es-CO" w:eastAsia="es-CO"/>
        </w:rPr>
        <w:t>Dentro de la estructuración de la metodología se adelantarán análisis conducentes a la determinación</w:t>
      </w:r>
      <w:r w:rsidR="003F58D4" w:rsidRPr="00023977">
        <w:rPr>
          <w:rFonts w:cs="Arial"/>
          <w:sz w:val="24"/>
          <w:lang w:val="es-CO" w:eastAsia="es-CO"/>
        </w:rPr>
        <w:t xml:space="preserve"> técnica y financiera para definir</w:t>
      </w:r>
      <w:r w:rsidR="00026DA4" w:rsidRPr="00023977">
        <w:rPr>
          <w:rFonts w:cs="Arial"/>
          <w:sz w:val="24"/>
          <w:lang w:val="es-CO" w:eastAsia="es-CO"/>
        </w:rPr>
        <w:t>, periodos de vida útil</w:t>
      </w:r>
      <w:r>
        <w:rPr>
          <w:rFonts w:cs="Arial"/>
          <w:sz w:val="24"/>
          <w:lang w:val="es-CO" w:eastAsia="es-CO"/>
        </w:rPr>
        <w:t xml:space="preserve"> a considerar para la infraestructura de transporte</w:t>
      </w:r>
      <w:r w:rsidR="005F670C" w:rsidRPr="00023977">
        <w:rPr>
          <w:rFonts w:cs="Arial"/>
          <w:sz w:val="24"/>
          <w:lang w:val="es-CO" w:eastAsia="es-CO"/>
        </w:rPr>
        <w:t>.</w:t>
      </w:r>
      <w:r w:rsidR="002F1FE4">
        <w:rPr>
          <w:rFonts w:cs="Arial"/>
          <w:sz w:val="24"/>
          <w:lang w:val="es-CO" w:eastAsia="es-CO"/>
        </w:rPr>
        <w:t xml:space="preserve"> Dentro de los análisis se espera considerar una visión analítica a </w:t>
      </w:r>
      <w:r w:rsidR="00943924">
        <w:rPr>
          <w:rFonts w:cs="Arial"/>
          <w:sz w:val="24"/>
          <w:lang w:val="es-CO" w:eastAsia="es-CO"/>
        </w:rPr>
        <w:t>través</w:t>
      </w:r>
      <w:r w:rsidR="002F1FE4">
        <w:rPr>
          <w:rFonts w:cs="Arial"/>
          <w:sz w:val="24"/>
          <w:lang w:val="es-CO" w:eastAsia="es-CO"/>
        </w:rPr>
        <w:t xml:space="preserve"> de variables explicativas en la caracterización de infraestructura.</w:t>
      </w:r>
    </w:p>
    <w:p w:rsidR="00D811A6" w:rsidRPr="00023977" w:rsidRDefault="00D811A6" w:rsidP="00026DA4">
      <w:pPr>
        <w:rPr>
          <w:rFonts w:eastAsia="Arial"/>
          <w:sz w:val="24"/>
          <w:lang w:val="es-ES_tradnl"/>
        </w:rPr>
      </w:pPr>
    </w:p>
    <w:p w:rsidR="009B3DE7" w:rsidRPr="00C341FD" w:rsidRDefault="00890C12" w:rsidP="00C341FD">
      <w:pPr>
        <w:pStyle w:val="Ttulo3"/>
        <w:ind w:left="284"/>
        <w:rPr>
          <w:sz w:val="24"/>
          <w:szCs w:val="24"/>
        </w:rPr>
      </w:pPr>
      <w:bookmarkStart w:id="540" w:name="_Toc437500884"/>
      <w:bookmarkStart w:id="541" w:name="_Toc437501543"/>
      <w:bookmarkStart w:id="542" w:name="_Toc437501723"/>
      <w:bookmarkStart w:id="543" w:name="_Toc437501813"/>
      <w:bookmarkStart w:id="544" w:name="_Toc437502576"/>
      <w:bookmarkStart w:id="545" w:name="_Toc437505936"/>
      <w:bookmarkStart w:id="546" w:name="_Toc437512749"/>
      <w:bookmarkStart w:id="547" w:name="_Toc426035081"/>
      <w:r w:rsidRPr="00C341FD">
        <w:rPr>
          <w:sz w:val="24"/>
          <w:szCs w:val="24"/>
        </w:rPr>
        <w:t>R</w:t>
      </w:r>
      <w:r w:rsidR="00026DA4" w:rsidRPr="00C341FD">
        <w:rPr>
          <w:sz w:val="24"/>
          <w:szCs w:val="24"/>
        </w:rPr>
        <w:t>emuneración</w:t>
      </w:r>
      <w:r w:rsidR="009B3DE7" w:rsidRPr="00C341FD">
        <w:rPr>
          <w:sz w:val="24"/>
          <w:szCs w:val="24"/>
        </w:rPr>
        <w:t xml:space="preserve"> de </w:t>
      </w:r>
      <w:r w:rsidR="00B90C4A" w:rsidRPr="00C341FD">
        <w:rPr>
          <w:sz w:val="24"/>
          <w:szCs w:val="24"/>
        </w:rPr>
        <w:t xml:space="preserve">inversiones </w:t>
      </w:r>
      <w:r w:rsidR="009B3DE7" w:rsidRPr="00C341FD">
        <w:rPr>
          <w:sz w:val="24"/>
          <w:szCs w:val="24"/>
        </w:rPr>
        <w:t>almacenamiento operativo eficiente</w:t>
      </w:r>
      <w:bookmarkEnd w:id="540"/>
      <w:bookmarkEnd w:id="541"/>
      <w:bookmarkEnd w:id="542"/>
      <w:bookmarkEnd w:id="543"/>
      <w:bookmarkEnd w:id="544"/>
      <w:bookmarkEnd w:id="545"/>
      <w:bookmarkEnd w:id="546"/>
    </w:p>
    <w:p w:rsidR="002F1FE4" w:rsidRDefault="002F1FE4" w:rsidP="009B3DE7">
      <w:pPr>
        <w:rPr>
          <w:rFonts w:cs="Arial"/>
          <w:sz w:val="24"/>
          <w:lang w:val="es-CO"/>
        </w:rPr>
      </w:pPr>
    </w:p>
    <w:p w:rsidR="005146DA" w:rsidRDefault="00AD1806" w:rsidP="002F1FE4">
      <w:pPr>
        <w:rPr>
          <w:rFonts w:cs="Arial"/>
          <w:sz w:val="24"/>
          <w:lang w:val="es-CO"/>
        </w:rPr>
      </w:pPr>
      <w:r>
        <w:rPr>
          <w:rFonts w:cs="Arial"/>
          <w:sz w:val="24"/>
          <w:lang w:val="es-CO"/>
        </w:rPr>
        <w:t xml:space="preserve">Respecto a la remuneración de inversiones en almacenamiento, se desarrollará un </w:t>
      </w:r>
      <w:r w:rsidR="00943924">
        <w:rPr>
          <w:rFonts w:cs="Arial"/>
          <w:sz w:val="24"/>
          <w:lang w:val="es-CO"/>
        </w:rPr>
        <w:t>análisis</w:t>
      </w:r>
      <w:r w:rsidR="002F1FE4">
        <w:rPr>
          <w:rFonts w:cs="Arial"/>
          <w:sz w:val="24"/>
          <w:lang w:val="es-CO"/>
        </w:rPr>
        <w:t xml:space="preserve"> articulado, por un lado la componente técnica para caracterizar</w:t>
      </w:r>
      <w:r>
        <w:rPr>
          <w:rFonts w:cs="Arial"/>
          <w:sz w:val="24"/>
          <w:lang w:val="es-CO"/>
        </w:rPr>
        <w:t xml:space="preserve"> el </w:t>
      </w:r>
      <w:r w:rsidR="005146DA" w:rsidRPr="00023977">
        <w:rPr>
          <w:rFonts w:cs="Arial"/>
          <w:sz w:val="24"/>
          <w:lang w:val="es-CO"/>
        </w:rPr>
        <w:t xml:space="preserve">almacenamiento operativo </w:t>
      </w:r>
      <w:r>
        <w:rPr>
          <w:rFonts w:cs="Arial"/>
          <w:sz w:val="24"/>
          <w:lang w:val="es-CO"/>
        </w:rPr>
        <w:t>que permita</w:t>
      </w:r>
      <w:r w:rsidR="005146DA" w:rsidRPr="00023977">
        <w:rPr>
          <w:rFonts w:cs="Arial"/>
          <w:sz w:val="24"/>
          <w:lang w:val="es-CO"/>
        </w:rPr>
        <w:t xml:space="preserve"> el funcionamiento eficiente de la cadena de </w:t>
      </w:r>
      <w:r>
        <w:rPr>
          <w:rFonts w:cs="Arial"/>
          <w:sz w:val="24"/>
          <w:lang w:val="es-CO"/>
        </w:rPr>
        <w:t>valor</w:t>
      </w:r>
      <w:r w:rsidR="005146DA" w:rsidRPr="00023977">
        <w:rPr>
          <w:rFonts w:cs="Arial"/>
          <w:sz w:val="24"/>
          <w:lang w:val="es-CO"/>
        </w:rPr>
        <w:t xml:space="preserve"> de combustibles líquidos </w:t>
      </w:r>
      <w:r>
        <w:rPr>
          <w:rFonts w:cs="Arial"/>
          <w:sz w:val="24"/>
          <w:lang w:val="es-CO"/>
        </w:rPr>
        <w:t xml:space="preserve">a la luz </w:t>
      </w:r>
      <w:r w:rsidR="005146DA" w:rsidRPr="00023977">
        <w:rPr>
          <w:rFonts w:cs="Arial"/>
          <w:sz w:val="24"/>
          <w:lang w:val="es-CO"/>
        </w:rPr>
        <w:t xml:space="preserve"> </w:t>
      </w:r>
      <w:r>
        <w:rPr>
          <w:rFonts w:cs="Arial"/>
          <w:sz w:val="24"/>
          <w:lang w:val="es-CO"/>
        </w:rPr>
        <w:t>d</w:t>
      </w:r>
      <w:r w:rsidR="005146DA" w:rsidRPr="00023977">
        <w:rPr>
          <w:rFonts w:cs="Arial"/>
          <w:sz w:val="24"/>
          <w:lang w:val="es-CO"/>
        </w:rPr>
        <w:t xml:space="preserve">el </w:t>
      </w:r>
      <w:r w:rsidR="008D5E98">
        <w:rPr>
          <w:rFonts w:cs="Arial"/>
          <w:sz w:val="24"/>
          <w:lang w:val="es-CO"/>
        </w:rPr>
        <w:t>R</w:t>
      </w:r>
      <w:r w:rsidR="005146DA" w:rsidRPr="00023977">
        <w:rPr>
          <w:rFonts w:cs="Arial"/>
          <w:sz w:val="24"/>
          <w:lang w:val="es-CO"/>
        </w:rPr>
        <w:t>eglamento</w:t>
      </w:r>
      <w:r w:rsidR="002F1FE4">
        <w:rPr>
          <w:rFonts w:cs="Arial"/>
          <w:sz w:val="24"/>
          <w:lang w:val="es-CO"/>
        </w:rPr>
        <w:t xml:space="preserve"> Operativo de Transporte (ROT),</w:t>
      </w:r>
      <w:r w:rsidR="00A812B1">
        <w:rPr>
          <w:rFonts w:cs="Arial"/>
          <w:sz w:val="24"/>
          <w:lang w:val="es-CO"/>
        </w:rPr>
        <w:t xml:space="preserve"> combinado con el</w:t>
      </w:r>
      <w:r w:rsidR="002F1FE4">
        <w:rPr>
          <w:rFonts w:cs="Arial"/>
          <w:sz w:val="24"/>
          <w:lang w:val="es-CO"/>
        </w:rPr>
        <w:t xml:space="preserve"> desarrollo metodológico de la remuneración de la infraestructura de almacenamiento requerida para una operación eficiente</w:t>
      </w:r>
      <w:r w:rsidR="00A812B1">
        <w:rPr>
          <w:rFonts w:cs="Arial"/>
          <w:sz w:val="24"/>
          <w:lang w:val="es-CO"/>
        </w:rPr>
        <w:t>, donde</w:t>
      </w:r>
      <w:r w:rsidR="002F1FE4">
        <w:rPr>
          <w:rFonts w:cs="Arial"/>
          <w:sz w:val="24"/>
          <w:lang w:val="es-CO"/>
        </w:rPr>
        <w:t xml:space="preserve"> se espera abordar:</w:t>
      </w:r>
    </w:p>
    <w:p w:rsidR="002F1FE4" w:rsidRDefault="002F1FE4" w:rsidP="002F1FE4">
      <w:pPr>
        <w:rPr>
          <w:rFonts w:cs="Arial"/>
          <w:sz w:val="24"/>
          <w:lang w:val="es-CO"/>
        </w:rPr>
      </w:pPr>
    </w:p>
    <w:p w:rsidR="002F1FE4" w:rsidRDefault="00E642AF" w:rsidP="00297616">
      <w:pPr>
        <w:pStyle w:val="Prrafodelista"/>
        <w:numPr>
          <w:ilvl w:val="0"/>
          <w:numId w:val="22"/>
        </w:numPr>
        <w:rPr>
          <w:rFonts w:cs="Arial"/>
          <w:sz w:val="24"/>
        </w:rPr>
      </w:pPr>
      <w:r>
        <w:rPr>
          <w:rFonts w:cs="Arial"/>
          <w:sz w:val="24"/>
        </w:rPr>
        <w:t>Análisis</w:t>
      </w:r>
      <w:r w:rsidR="002F1FE4">
        <w:rPr>
          <w:rFonts w:cs="Arial"/>
          <w:sz w:val="24"/>
        </w:rPr>
        <w:t xml:space="preserve"> de </w:t>
      </w:r>
      <w:r>
        <w:rPr>
          <w:rFonts w:cs="Arial"/>
          <w:sz w:val="24"/>
        </w:rPr>
        <w:t>requerimientos</w:t>
      </w:r>
      <w:r w:rsidR="002F1FE4">
        <w:rPr>
          <w:rFonts w:cs="Arial"/>
          <w:sz w:val="24"/>
        </w:rPr>
        <w:t xml:space="preserve"> de almacenamiento presentados por el transportador.</w:t>
      </w:r>
    </w:p>
    <w:p w:rsidR="005146DA" w:rsidRPr="00F03621" w:rsidRDefault="00E642AF" w:rsidP="00297616">
      <w:pPr>
        <w:pStyle w:val="Prrafodelista"/>
        <w:numPr>
          <w:ilvl w:val="0"/>
          <w:numId w:val="22"/>
        </w:numPr>
        <w:rPr>
          <w:rFonts w:cs="Arial"/>
          <w:sz w:val="24"/>
        </w:rPr>
      </w:pPr>
      <w:r>
        <w:rPr>
          <w:rFonts w:cs="Arial"/>
          <w:sz w:val="24"/>
        </w:rPr>
        <w:t>Análisis</w:t>
      </w:r>
      <w:r w:rsidR="002F1FE4">
        <w:rPr>
          <w:rFonts w:cs="Arial"/>
          <w:sz w:val="24"/>
        </w:rPr>
        <w:t xml:space="preserve"> independientes de requerimientos de almacenamiento.</w:t>
      </w:r>
    </w:p>
    <w:p w:rsidR="00D811A6" w:rsidRPr="00023977" w:rsidRDefault="00D811A6" w:rsidP="009B3DE7">
      <w:pPr>
        <w:rPr>
          <w:rFonts w:cs="Arial"/>
          <w:sz w:val="24"/>
          <w:lang w:val="es-CO"/>
        </w:rPr>
      </w:pPr>
    </w:p>
    <w:p w:rsidR="009B3DE7" w:rsidRPr="00C341FD" w:rsidRDefault="00C341FD" w:rsidP="00B90C4A">
      <w:pPr>
        <w:pStyle w:val="Ttulo3"/>
        <w:rPr>
          <w:sz w:val="24"/>
          <w:szCs w:val="24"/>
        </w:rPr>
      </w:pPr>
      <w:r w:rsidRPr="00C341FD">
        <w:rPr>
          <w:sz w:val="24"/>
          <w:szCs w:val="24"/>
        </w:rPr>
        <w:t xml:space="preserve"> </w:t>
      </w:r>
      <w:bookmarkStart w:id="548" w:name="_Toc437500885"/>
      <w:bookmarkStart w:id="549" w:name="_Toc437501544"/>
      <w:bookmarkStart w:id="550" w:name="_Toc437501724"/>
      <w:bookmarkStart w:id="551" w:name="_Toc437501814"/>
      <w:bookmarkStart w:id="552" w:name="_Toc437502577"/>
      <w:bookmarkStart w:id="553" w:name="_Toc437505937"/>
      <w:bookmarkStart w:id="554" w:name="_Toc437512750"/>
      <w:r w:rsidR="00026DA4" w:rsidRPr="00C341FD">
        <w:rPr>
          <w:sz w:val="24"/>
          <w:szCs w:val="24"/>
        </w:rPr>
        <w:t>Llenado</w:t>
      </w:r>
      <w:r w:rsidR="009B3DE7" w:rsidRPr="00C341FD">
        <w:rPr>
          <w:sz w:val="24"/>
          <w:szCs w:val="24"/>
        </w:rPr>
        <w:t xml:space="preserve"> de </w:t>
      </w:r>
      <w:r w:rsidR="00026DA4" w:rsidRPr="00C341FD">
        <w:rPr>
          <w:sz w:val="24"/>
          <w:szCs w:val="24"/>
        </w:rPr>
        <w:t>línea</w:t>
      </w:r>
      <w:bookmarkEnd w:id="548"/>
      <w:bookmarkEnd w:id="549"/>
      <w:bookmarkEnd w:id="550"/>
      <w:bookmarkEnd w:id="551"/>
      <w:bookmarkEnd w:id="552"/>
      <w:bookmarkEnd w:id="553"/>
      <w:bookmarkEnd w:id="554"/>
    </w:p>
    <w:p w:rsidR="00026DA4" w:rsidRDefault="00026DA4" w:rsidP="00026DA4">
      <w:pPr>
        <w:rPr>
          <w:sz w:val="24"/>
          <w:lang w:val="es-ES_tradnl"/>
        </w:rPr>
      </w:pPr>
    </w:p>
    <w:p w:rsidR="002F1FE4" w:rsidRDefault="002F1FE4" w:rsidP="00026DA4">
      <w:pPr>
        <w:rPr>
          <w:sz w:val="24"/>
          <w:lang w:val="es-ES_tradnl"/>
        </w:rPr>
      </w:pPr>
      <w:r>
        <w:rPr>
          <w:sz w:val="24"/>
          <w:lang w:val="es-ES_tradnl"/>
        </w:rPr>
        <w:t>Desde el punto de vista de lleno de línea se analizarán y se buscar</w:t>
      </w:r>
      <w:r w:rsidR="008D5E98">
        <w:rPr>
          <w:sz w:val="24"/>
          <w:lang w:val="es-ES_tradnl"/>
        </w:rPr>
        <w:t>á</w:t>
      </w:r>
      <w:r>
        <w:rPr>
          <w:sz w:val="24"/>
          <w:lang w:val="es-ES_tradnl"/>
        </w:rPr>
        <w:t xml:space="preserve"> una concordancia entre las metodologías actuales existentes en combustibles líquidos y GLP. Bajo dicha consideración se analizarán:</w:t>
      </w:r>
    </w:p>
    <w:p w:rsidR="007F3E32" w:rsidRDefault="007F3E32" w:rsidP="00026DA4">
      <w:pPr>
        <w:rPr>
          <w:sz w:val="24"/>
          <w:lang w:val="es-ES_tradnl"/>
        </w:rPr>
      </w:pPr>
    </w:p>
    <w:p w:rsidR="00586AB3" w:rsidRDefault="00586AB3" w:rsidP="00297616">
      <w:pPr>
        <w:pStyle w:val="Prrafodelista"/>
        <w:numPr>
          <w:ilvl w:val="0"/>
          <w:numId w:val="23"/>
        </w:numPr>
        <w:rPr>
          <w:sz w:val="24"/>
          <w:lang w:val="es-ES_tradnl"/>
        </w:rPr>
      </w:pPr>
      <w:r>
        <w:rPr>
          <w:sz w:val="24"/>
          <w:lang w:val="es-ES_tradnl"/>
        </w:rPr>
        <w:t>Simulaciones particulares y peso relativo desde el ámbito económico del lleno de línea frente a infraestructura de transporte asociada.</w:t>
      </w:r>
    </w:p>
    <w:p w:rsidR="00586AB3" w:rsidRDefault="00586AB3" w:rsidP="00297616">
      <w:pPr>
        <w:pStyle w:val="Prrafodelista"/>
        <w:numPr>
          <w:ilvl w:val="0"/>
          <w:numId w:val="23"/>
        </w:numPr>
        <w:rPr>
          <w:sz w:val="24"/>
          <w:lang w:val="es-ES_tradnl"/>
        </w:rPr>
      </w:pPr>
      <w:r>
        <w:rPr>
          <w:sz w:val="24"/>
          <w:lang w:val="es-ES_tradnl"/>
        </w:rPr>
        <w:t>Pr</w:t>
      </w:r>
      <w:r w:rsidR="008D5E98">
        <w:rPr>
          <w:sz w:val="24"/>
          <w:lang w:val="es-ES_tradnl"/>
        </w:rPr>
        <w:t>á</w:t>
      </w:r>
      <w:r>
        <w:rPr>
          <w:sz w:val="24"/>
          <w:lang w:val="es-ES_tradnl"/>
        </w:rPr>
        <w:t>ctica en la industria actual en cuanto a la remuneración del lleno de línea.</w:t>
      </w:r>
    </w:p>
    <w:p w:rsidR="00586AB3" w:rsidRPr="00586AB3" w:rsidRDefault="00586AB3" w:rsidP="00297616">
      <w:pPr>
        <w:pStyle w:val="Prrafodelista"/>
        <w:numPr>
          <w:ilvl w:val="0"/>
          <w:numId w:val="23"/>
        </w:numPr>
        <w:rPr>
          <w:sz w:val="24"/>
          <w:lang w:val="es-ES_tradnl"/>
        </w:rPr>
      </w:pPr>
      <w:r>
        <w:rPr>
          <w:sz w:val="24"/>
          <w:lang w:val="es-ES_tradnl"/>
        </w:rPr>
        <w:lastRenderedPageBreak/>
        <w:t>Análisis del impacto tarifario de incluir y excluir lleno de línea en la tarifa.</w:t>
      </w:r>
    </w:p>
    <w:p w:rsidR="002F1FE4" w:rsidRDefault="003D72E6" w:rsidP="00297616">
      <w:pPr>
        <w:pStyle w:val="Prrafodelista"/>
        <w:numPr>
          <w:ilvl w:val="0"/>
          <w:numId w:val="23"/>
        </w:numPr>
        <w:rPr>
          <w:sz w:val="24"/>
          <w:lang w:val="es-ES_tradnl"/>
        </w:rPr>
      </w:pPr>
      <w:r>
        <w:rPr>
          <w:sz w:val="24"/>
          <w:lang w:val="es-ES_tradnl"/>
        </w:rPr>
        <w:t>Realidades de lo</w:t>
      </w:r>
      <w:r w:rsidR="00586AB3">
        <w:rPr>
          <w:sz w:val="24"/>
          <w:lang w:val="es-ES_tradnl"/>
        </w:rPr>
        <w:t>s mercados atendidos y dinámica de la cadena de valor.</w:t>
      </w:r>
    </w:p>
    <w:p w:rsidR="002F1FE4" w:rsidRPr="00023977" w:rsidRDefault="002F1FE4" w:rsidP="00026DA4">
      <w:pPr>
        <w:rPr>
          <w:sz w:val="24"/>
          <w:lang w:val="es-ES_tradnl"/>
        </w:rPr>
      </w:pPr>
    </w:p>
    <w:p w:rsidR="0083557B" w:rsidRPr="00023977" w:rsidRDefault="0083557B" w:rsidP="00391FB3">
      <w:pPr>
        <w:pStyle w:val="Ttulo2"/>
        <w:rPr>
          <w:rFonts w:eastAsia="Arial" w:cs="Arial"/>
          <w:sz w:val="24"/>
          <w:szCs w:val="24"/>
        </w:rPr>
      </w:pPr>
      <w:bookmarkStart w:id="555" w:name="_Toc427333606"/>
      <w:bookmarkStart w:id="556" w:name="_Toc427336547"/>
      <w:bookmarkStart w:id="557" w:name="_Toc427681835"/>
      <w:bookmarkStart w:id="558" w:name="_Toc433276767"/>
      <w:bookmarkStart w:id="559" w:name="_Toc433295730"/>
      <w:bookmarkStart w:id="560" w:name="_Toc433296455"/>
      <w:bookmarkStart w:id="561" w:name="_Toc437500886"/>
      <w:bookmarkStart w:id="562" w:name="_Toc437501545"/>
      <w:bookmarkStart w:id="563" w:name="_Toc437501725"/>
      <w:bookmarkStart w:id="564" w:name="_Toc437501815"/>
      <w:bookmarkStart w:id="565" w:name="_Toc437502578"/>
      <w:bookmarkStart w:id="566" w:name="_Toc437505938"/>
      <w:bookmarkStart w:id="567" w:name="_Toc437512751"/>
      <w:r w:rsidRPr="00023977">
        <w:rPr>
          <w:rFonts w:eastAsia="Arial" w:cs="Arial"/>
          <w:sz w:val="24"/>
          <w:szCs w:val="24"/>
        </w:rPr>
        <w:t>AOM</w:t>
      </w:r>
      <w:bookmarkEnd w:id="547"/>
      <w:bookmarkEnd w:id="555"/>
      <w:bookmarkEnd w:id="556"/>
      <w:bookmarkEnd w:id="557"/>
      <w:bookmarkEnd w:id="558"/>
      <w:bookmarkEnd w:id="559"/>
      <w:bookmarkEnd w:id="560"/>
      <w:bookmarkEnd w:id="561"/>
      <w:bookmarkEnd w:id="562"/>
      <w:bookmarkEnd w:id="563"/>
      <w:bookmarkEnd w:id="564"/>
      <w:bookmarkEnd w:id="565"/>
      <w:bookmarkEnd w:id="566"/>
      <w:bookmarkEnd w:id="567"/>
    </w:p>
    <w:p w:rsidR="0083557B" w:rsidRDefault="00B219B2" w:rsidP="0083557B">
      <w:pPr>
        <w:autoSpaceDE w:val="0"/>
        <w:autoSpaceDN w:val="0"/>
        <w:adjustRightInd w:val="0"/>
        <w:rPr>
          <w:rFonts w:eastAsia="Arial" w:cs="Arial"/>
          <w:sz w:val="24"/>
          <w:lang w:val="es-ES_tradnl"/>
        </w:rPr>
      </w:pPr>
      <w:r w:rsidRPr="00023977">
        <w:rPr>
          <w:rFonts w:eastAsia="Arial" w:cs="Arial"/>
          <w:sz w:val="24"/>
          <w:lang w:val="es-ES_tradnl"/>
        </w:rPr>
        <w:t xml:space="preserve">Dentro del reconocimiento de los gastos de </w:t>
      </w:r>
      <w:r w:rsidR="00A812B1" w:rsidRPr="00023977">
        <w:rPr>
          <w:rFonts w:eastAsia="Arial" w:cs="Arial"/>
          <w:sz w:val="24"/>
          <w:lang w:val="es-ES_tradnl"/>
        </w:rPr>
        <w:t>administración</w:t>
      </w:r>
      <w:r w:rsidRPr="00023977">
        <w:rPr>
          <w:rFonts w:eastAsia="Arial" w:cs="Arial"/>
          <w:sz w:val="24"/>
          <w:lang w:val="es-ES_tradnl"/>
        </w:rPr>
        <w:t xml:space="preserve">, </w:t>
      </w:r>
      <w:r w:rsidR="00A812B1" w:rsidRPr="00023977">
        <w:rPr>
          <w:rFonts w:eastAsia="Arial" w:cs="Arial"/>
          <w:sz w:val="24"/>
          <w:lang w:val="es-ES_tradnl"/>
        </w:rPr>
        <w:t xml:space="preserve">operación </w:t>
      </w:r>
      <w:r w:rsidRPr="00023977">
        <w:rPr>
          <w:rFonts w:eastAsia="Arial" w:cs="Arial"/>
          <w:sz w:val="24"/>
          <w:lang w:val="es-ES_tradnl"/>
        </w:rPr>
        <w:t xml:space="preserve">y mantenimiento </w:t>
      </w:r>
      <w:r w:rsidR="00351716">
        <w:rPr>
          <w:rFonts w:eastAsia="Arial" w:cs="Arial"/>
          <w:sz w:val="24"/>
          <w:lang w:val="es-ES_tradnl"/>
        </w:rPr>
        <w:t xml:space="preserve">se esperan adelantar múltiples análisis que integren </w:t>
      </w:r>
      <w:r w:rsidR="004139A3">
        <w:rPr>
          <w:rFonts w:eastAsia="Arial" w:cs="Arial"/>
          <w:sz w:val="24"/>
          <w:lang w:val="es-ES_tradnl"/>
        </w:rPr>
        <w:t>diferentes aspectos entre los cuales se destacan:</w:t>
      </w:r>
    </w:p>
    <w:p w:rsidR="00A812B1" w:rsidRDefault="00A812B1" w:rsidP="0083557B">
      <w:pPr>
        <w:autoSpaceDE w:val="0"/>
        <w:autoSpaceDN w:val="0"/>
        <w:adjustRightInd w:val="0"/>
        <w:rPr>
          <w:rFonts w:eastAsia="Arial" w:cs="Arial"/>
          <w:sz w:val="24"/>
          <w:lang w:val="es-ES_tradnl"/>
        </w:rPr>
      </w:pPr>
    </w:p>
    <w:p w:rsidR="004139A3" w:rsidRDefault="004139A3" w:rsidP="00297616">
      <w:pPr>
        <w:pStyle w:val="Prrafodelista"/>
        <w:numPr>
          <w:ilvl w:val="0"/>
          <w:numId w:val="24"/>
        </w:numPr>
        <w:autoSpaceDE w:val="0"/>
        <w:autoSpaceDN w:val="0"/>
        <w:adjustRightInd w:val="0"/>
        <w:rPr>
          <w:rFonts w:eastAsia="Arial" w:cs="Arial"/>
          <w:sz w:val="24"/>
          <w:lang w:val="es-ES_tradnl"/>
        </w:rPr>
      </w:pPr>
      <w:r>
        <w:rPr>
          <w:rFonts w:eastAsia="Arial" w:cs="Arial"/>
          <w:sz w:val="24"/>
          <w:lang w:val="es-ES_tradnl"/>
        </w:rPr>
        <w:t>Caracterización de información para reportar AOM</w:t>
      </w:r>
      <w:r w:rsidR="003B70BB">
        <w:rPr>
          <w:rFonts w:eastAsia="Arial" w:cs="Arial"/>
          <w:sz w:val="24"/>
          <w:lang w:val="es-ES_tradnl"/>
        </w:rPr>
        <w:t xml:space="preserve">, a la luz de nuevas </w:t>
      </w:r>
      <w:r w:rsidR="00A812B1">
        <w:rPr>
          <w:rFonts w:eastAsia="Arial" w:cs="Arial"/>
          <w:sz w:val="24"/>
          <w:lang w:val="es-ES_tradnl"/>
        </w:rPr>
        <w:t>prácticas</w:t>
      </w:r>
      <w:r w:rsidR="003B70BB">
        <w:rPr>
          <w:rFonts w:eastAsia="Arial" w:cs="Arial"/>
          <w:sz w:val="24"/>
          <w:lang w:val="es-ES_tradnl"/>
        </w:rPr>
        <w:t xml:space="preserve"> contables tales como NIIF.</w:t>
      </w:r>
    </w:p>
    <w:p w:rsidR="004139A3" w:rsidRDefault="004139A3" w:rsidP="00297616">
      <w:pPr>
        <w:pStyle w:val="Prrafodelista"/>
        <w:numPr>
          <w:ilvl w:val="0"/>
          <w:numId w:val="24"/>
        </w:numPr>
        <w:autoSpaceDE w:val="0"/>
        <w:autoSpaceDN w:val="0"/>
        <w:adjustRightInd w:val="0"/>
        <w:rPr>
          <w:rFonts w:eastAsia="Arial" w:cs="Arial"/>
          <w:sz w:val="24"/>
          <w:lang w:val="es-ES_tradnl"/>
        </w:rPr>
      </w:pPr>
      <w:r>
        <w:rPr>
          <w:rFonts w:eastAsia="Arial" w:cs="Arial"/>
          <w:sz w:val="24"/>
          <w:lang w:val="es-ES_tradnl"/>
        </w:rPr>
        <w:t xml:space="preserve">Factores asociados a </w:t>
      </w:r>
      <w:r w:rsidR="003B70BB">
        <w:rPr>
          <w:rFonts w:eastAsia="Arial" w:cs="Arial"/>
          <w:sz w:val="24"/>
          <w:lang w:val="es-ES_tradnl"/>
        </w:rPr>
        <w:t>variables de inversión acorde con prácticas internacionales.</w:t>
      </w:r>
    </w:p>
    <w:p w:rsidR="00B219B2" w:rsidRPr="000B5D86" w:rsidRDefault="00BA27F8" w:rsidP="00297616">
      <w:pPr>
        <w:pStyle w:val="Prrafodelista"/>
        <w:numPr>
          <w:ilvl w:val="0"/>
          <w:numId w:val="24"/>
        </w:numPr>
        <w:autoSpaceDE w:val="0"/>
        <w:autoSpaceDN w:val="0"/>
        <w:adjustRightInd w:val="0"/>
        <w:rPr>
          <w:rFonts w:eastAsia="Arial" w:cs="Arial"/>
          <w:sz w:val="24"/>
          <w:lang w:val="es-ES_tradnl"/>
        </w:rPr>
      </w:pPr>
      <w:r>
        <w:rPr>
          <w:rFonts w:eastAsia="Arial" w:cs="Arial"/>
          <w:sz w:val="24"/>
          <w:lang w:val="es-ES_tradnl"/>
        </w:rPr>
        <w:t xml:space="preserve">Se </w:t>
      </w:r>
      <w:r w:rsidR="000B5D86">
        <w:rPr>
          <w:rFonts w:eastAsia="Arial" w:cs="Arial"/>
          <w:sz w:val="24"/>
          <w:lang w:val="es-ES_tradnl"/>
        </w:rPr>
        <w:t>revisará la viabilidad</w:t>
      </w:r>
      <w:r w:rsidR="004158C3">
        <w:rPr>
          <w:rFonts w:eastAsia="Arial" w:cs="Arial"/>
          <w:sz w:val="24"/>
          <w:lang w:val="es-ES_tradnl"/>
        </w:rPr>
        <w:t xml:space="preserve"> y congruencia </w:t>
      </w:r>
      <w:r w:rsidR="000B5D86">
        <w:rPr>
          <w:rFonts w:eastAsia="Arial" w:cs="Arial"/>
          <w:sz w:val="24"/>
          <w:lang w:val="es-ES_tradnl"/>
        </w:rPr>
        <w:t xml:space="preserve">de incluir información histórica y proyectada </w:t>
      </w:r>
      <w:r w:rsidR="000B5D86" w:rsidRPr="000B5D86">
        <w:rPr>
          <w:rFonts w:eastAsia="Arial" w:cs="Arial"/>
          <w:sz w:val="24"/>
          <w:lang w:val="es-ES_tradnl"/>
        </w:rPr>
        <w:t>en la remuneración de</w:t>
      </w:r>
      <w:r w:rsidRPr="000B5D86">
        <w:rPr>
          <w:rFonts w:eastAsia="Arial" w:cs="Arial"/>
          <w:sz w:val="24"/>
          <w:lang w:val="es-ES_tradnl"/>
        </w:rPr>
        <w:t xml:space="preserve"> </w:t>
      </w:r>
      <w:r w:rsidR="000B5D86" w:rsidRPr="000B5D86">
        <w:rPr>
          <w:rFonts w:eastAsia="Arial" w:cs="Arial"/>
          <w:sz w:val="24"/>
          <w:lang w:val="es-ES_tradnl"/>
        </w:rPr>
        <w:t>AOM</w:t>
      </w:r>
      <w:r w:rsidR="004158C3">
        <w:rPr>
          <w:rFonts w:eastAsia="Arial" w:cs="Arial"/>
          <w:sz w:val="24"/>
          <w:lang w:val="es-ES_tradnl"/>
        </w:rPr>
        <w:t>.</w:t>
      </w:r>
      <w:r w:rsidR="000B5D86" w:rsidRPr="000B5D86">
        <w:rPr>
          <w:rFonts w:eastAsia="Arial" w:cs="Arial"/>
          <w:sz w:val="24"/>
          <w:lang w:val="es-ES_tradnl"/>
        </w:rPr>
        <w:t xml:space="preserve"> </w:t>
      </w:r>
    </w:p>
    <w:p w:rsidR="00496B70" w:rsidRDefault="00496B70" w:rsidP="0083557B">
      <w:pPr>
        <w:rPr>
          <w:rFonts w:eastAsia="Arial" w:cs="Arial"/>
          <w:sz w:val="24"/>
          <w:lang w:val="es-CO"/>
        </w:rPr>
      </w:pPr>
    </w:p>
    <w:p w:rsidR="00F42CA3" w:rsidRPr="00023977" w:rsidRDefault="00F42CA3" w:rsidP="0083557B">
      <w:pPr>
        <w:rPr>
          <w:rFonts w:eastAsia="Arial" w:cs="Arial"/>
          <w:sz w:val="24"/>
          <w:lang w:val="es-CO"/>
        </w:rPr>
      </w:pPr>
    </w:p>
    <w:p w:rsidR="00496B70" w:rsidRPr="00F42CA3" w:rsidRDefault="0079761B" w:rsidP="00F42CA3">
      <w:pPr>
        <w:pStyle w:val="Ttulo2"/>
        <w:spacing w:before="0"/>
        <w:rPr>
          <w:sz w:val="24"/>
          <w:szCs w:val="24"/>
        </w:rPr>
      </w:pPr>
      <w:bookmarkStart w:id="568" w:name="_Toc427333605"/>
      <w:bookmarkStart w:id="569" w:name="_Toc427336546"/>
      <w:bookmarkStart w:id="570" w:name="_Toc427681837"/>
      <w:bookmarkStart w:id="571" w:name="_Toc433276769"/>
      <w:bookmarkStart w:id="572" w:name="_Toc433295732"/>
      <w:bookmarkStart w:id="573" w:name="_Toc433296457"/>
      <w:bookmarkStart w:id="574" w:name="_Toc437500887"/>
      <w:bookmarkStart w:id="575" w:name="_Toc437501546"/>
      <w:bookmarkStart w:id="576" w:name="_Toc437501726"/>
      <w:bookmarkStart w:id="577" w:name="_Toc437501816"/>
      <w:bookmarkStart w:id="578" w:name="_Toc437502579"/>
      <w:bookmarkStart w:id="579" w:name="_Toc437505939"/>
      <w:bookmarkStart w:id="580" w:name="_Toc437512752"/>
      <w:r>
        <w:rPr>
          <w:sz w:val="24"/>
          <w:szCs w:val="24"/>
        </w:rPr>
        <w:t>d</w:t>
      </w:r>
      <w:r w:rsidR="004158C3" w:rsidRPr="00F42CA3">
        <w:rPr>
          <w:sz w:val="24"/>
          <w:szCs w:val="24"/>
        </w:rPr>
        <w:t xml:space="preserve">emanda, </w:t>
      </w:r>
      <w:r>
        <w:rPr>
          <w:sz w:val="24"/>
          <w:szCs w:val="24"/>
        </w:rPr>
        <w:t>f</w:t>
      </w:r>
      <w:r w:rsidR="00496B70" w:rsidRPr="00F42CA3">
        <w:rPr>
          <w:sz w:val="24"/>
          <w:szCs w:val="24"/>
        </w:rPr>
        <w:t>actor de uso y eficiencia</w:t>
      </w:r>
      <w:bookmarkEnd w:id="568"/>
      <w:bookmarkEnd w:id="569"/>
      <w:bookmarkEnd w:id="570"/>
      <w:bookmarkEnd w:id="571"/>
      <w:bookmarkEnd w:id="572"/>
      <w:bookmarkEnd w:id="573"/>
      <w:bookmarkEnd w:id="574"/>
      <w:bookmarkEnd w:id="575"/>
      <w:bookmarkEnd w:id="576"/>
      <w:bookmarkEnd w:id="577"/>
      <w:bookmarkEnd w:id="578"/>
      <w:bookmarkEnd w:id="579"/>
      <w:bookmarkEnd w:id="580"/>
    </w:p>
    <w:p w:rsidR="000C00AE" w:rsidRDefault="000C00AE" w:rsidP="0068354A">
      <w:pPr>
        <w:rPr>
          <w:rFonts w:cs="Arial"/>
          <w:sz w:val="24"/>
        </w:rPr>
      </w:pPr>
      <w:r>
        <w:rPr>
          <w:rFonts w:cs="Arial"/>
          <w:sz w:val="24"/>
        </w:rPr>
        <w:t>EL modela</w:t>
      </w:r>
      <w:r w:rsidR="00C341FD">
        <w:rPr>
          <w:rFonts w:cs="Arial"/>
          <w:sz w:val="24"/>
        </w:rPr>
        <w:t>miento de la demanda considerará</w:t>
      </w:r>
      <w:r>
        <w:rPr>
          <w:rFonts w:cs="Arial"/>
          <w:sz w:val="24"/>
        </w:rPr>
        <w:t xml:space="preserve"> diferentes simulaciones y efectos de las mismas dentro de los cuales se destacan la caracterización de demanda en el mediano plazo y el corte transversal los cuales se desarrollarán considerando la madurez y dinámica de los diferentes mercados atendidos por el sistema de transporte. </w:t>
      </w:r>
    </w:p>
    <w:p w:rsidR="000C00AE" w:rsidRDefault="000C00AE" w:rsidP="0068354A">
      <w:pPr>
        <w:rPr>
          <w:rFonts w:cs="Arial"/>
          <w:sz w:val="24"/>
        </w:rPr>
      </w:pPr>
    </w:p>
    <w:p w:rsidR="00795CD4" w:rsidRDefault="000C00AE" w:rsidP="0068354A">
      <w:pPr>
        <w:rPr>
          <w:rFonts w:cs="Arial"/>
          <w:sz w:val="24"/>
        </w:rPr>
      </w:pPr>
      <w:r>
        <w:rPr>
          <w:rFonts w:cs="Arial"/>
          <w:sz w:val="24"/>
        </w:rPr>
        <w:t xml:space="preserve">Adicionalmente </w:t>
      </w:r>
      <w:r w:rsidR="00496B70" w:rsidRPr="00023977">
        <w:rPr>
          <w:rFonts w:cs="Arial"/>
          <w:sz w:val="24"/>
        </w:rPr>
        <w:t xml:space="preserve">se </w:t>
      </w:r>
      <w:r w:rsidR="00194850">
        <w:rPr>
          <w:rFonts w:cs="Arial"/>
          <w:sz w:val="24"/>
        </w:rPr>
        <w:t>adelantará un</w:t>
      </w:r>
      <w:r w:rsidR="00496B70" w:rsidRPr="00023977">
        <w:rPr>
          <w:rFonts w:cs="Arial"/>
          <w:sz w:val="24"/>
        </w:rPr>
        <w:t xml:space="preserve"> </w:t>
      </w:r>
      <w:r w:rsidR="00471653">
        <w:rPr>
          <w:rFonts w:cs="Arial"/>
          <w:sz w:val="24"/>
        </w:rPr>
        <w:t xml:space="preserve">análisis </w:t>
      </w:r>
      <w:r>
        <w:rPr>
          <w:rFonts w:cs="Arial"/>
          <w:sz w:val="24"/>
        </w:rPr>
        <w:t>sobre el</w:t>
      </w:r>
      <w:r w:rsidR="00496B70" w:rsidRPr="00023977">
        <w:rPr>
          <w:rFonts w:cs="Arial"/>
          <w:sz w:val="24"/>
        </w:rPr>
        <w:t xml:space="preserve"> factor de utilización mínimo dentro de la d</w:t>
      </w:r>
      <w:r w:rsidR="00410520" w:rsidRPr="00023977">
        <w:rPr>
          <w:rFonts w:cs="Arial"/>
          <w:sz w:val="24"/>
        </w:rPr>
        <w:t>emanda considera</w:t>
      </w:r>
      <w:r w:rsidR="00E257A4">
        <w:rPr>
          <w:rFonts w:cs="Arial"/>
          <w:sz w:val="24"/>
        </w:rPr>
        <w:t>da</w:t>
      </w:r>
      <w:r w:rsidR="00410520" w:rsidRPr="00023977">
        <w:rPr>
          <w:rFonts w:cs="Arial"/>
          <w:sz w:val="24"/>
        </w:rPr>
        <w:t xml:space="preserve"> en la tarifa. </w:t>
      </w:r>
      <w:r w:rsidR="0068354A">
        <w:rPr>
          <w:rFonts w:cs="Arial"/>
          <w:sz w:val="24"/>
        </w:rPr>
        <w:t xml:space="preserve">En este aspecto se </w:t>
      </w:r>
      <w:r w:rsidR="00194850">
        <w:rPr>
          <w:rFonts w:cs="Arial"/>
          <w:sz w:val="24"/>
        </w:rPr>
        <w:t>examinará</w:t>
      </w:r>
      <w:r w:rsidR="0068354A">
        <w:rPr>
          <w:rFonts w:cs="Arial"/>
          <w:sz w:val="24"/>
        </w:rPr>
        <w:t xml:space="preserve"> la composición actual de las demandas y la caracterización por tramo para el estado actual de los factores de uso y niveles actuales. </w:t>
      </w:r>
    </w:p>
    <w:p w:rsidR="00890C12" w:rsidRPr="00023977" w:rsidRDefault="0079761B" w:rsidP="00391FB3">
      <w:pPr>
        <w:pStyle w:val="Ttulo2"/>
        <w:rPr>
          <w:sz w:val="24"/>
          <w:szCs w:val="24"/>
          <w:lang w:val="es-CO"/>
        </w:rPr>
      </w:pPr>
      <w:bookmarkStart w:id="581" w:name="_Toc427681838"/>
      <w:bookmarkStart w:id="582" w:name="_Toc433276770"/>
      <w:bookmarkStart w:id="583" w:name="_Toc433295733"/>
      <w:bookmarkStart w:id="584" w:name="_Toc433296458"/>
      <w:bookmarkStart w:id="585" w:name="_Toc437500888"/>
      <w:bookmarkStart w:id="586" w:name="_Toc437501547"/>
      <w:bookmarkStart w:id="587" w:name="_Toc437501727"/>
      <w:bookmarkStart w:id="588" w:name="_Toc437501817"/>
      <w:bookmarkStart w:id="589" w:name="_Toc437502580"/>
      <w:bookmarkStart w:id="590" w:name="_Toc437505940"/>
      <w:bookmarkStart w:id="591" w:name="_Toc437512753"/>
      <w:r>
        <w:rPr>
          <w:sz w:val="24"/>
          <w:szCs w:val="24"/>
          <w:lang w:val="es-CO"/>
        </w:rPr>
        <w:t>estructuración de cargos fijos y</w:t>
      </w:r>
      <w:r w:rsidR="00890C12" w:rsidRPr="00023977">
        <w:rPr>
          <w:sz w:val="24"/>
          <w:szCs w:val="24"/>
          <w:lang w:val="es-CO"/>
        </w:rPr>
        <w:t xml:space="preserve"> variables.</w:t>
      </w:r>
      <w:bookmarkEnd w:id="581"/>
      <w:bookmarkEnd w:id="582"/>
      <w:bookmarkEnd w:id="583"/>
      <w:bookmarkEnd w:id="584"/>
      <w:bookmarkEnd w:id="585"/>
      <w:bookmarkEnd w:id="586"/>
      <w:bookmarkEnd w:id="587"/>
      <w:bookmarkEnd w:id="588"/>
      <w:bookmarkEnd w:id="589"/>
      <w:bookmarkEnd w:id="590"/>
      <w:bookmarkEnd w:id="591"/>
      <w:r w:rsidR="00890C12" w:rsidRPr="00023977">
        <w:rPr>
          <w:sz w:val="24"/>
          <w:szCs w:val="24"/>
          <w:lang w:val="es-CO"/>
        </w:rPr>
        <w:t xml:space="preserve"> </w:t>
      </w:r>
    </w:p>
    <w:p w:rsidR="00496B70" w:rsidRPr="00023977" w:rsidRDefault="00890C12" w:rsidP="0083557B">
      <w:pPr>
        <w:rPr>
          <w:rFonts w:eastAsia="Arial" w:cs="Arial"/>
          <w:sz w:val="24"/>
          <w:lang w:val="es-CO"/>
        </w:rPr>
      </w:pPr>
      <w:r w:rsidRPr="00023977">
        <w:rPr>
          <w:rFonts w:eastAsia="Arial" w:cs="Arial"/>
          <w:sz w:val="24"/>
          <w:lang w:val="es-CO"/>
        </w:rPr>
        <w:t>Se estudiar</w:t>
      </w:r>
      <w:r w:rsidR="00E257A4">
        <w:rPr>
          <w:rFonts w:eastAsia="Arial" w:cs="Arial"/>
          <w:sz w:val="24"/>
          <w:lang w:val="es-CO"/>
        </w:rPr>
        <w:t>á</w:t>
      </w:r>
      <w:r w:rsidRPr="00023977">
        <w:rPr>
          <w:rFonts w:eastAsia="Arial" w:cs="Arial"/>
          <w:sz w:val="24"/>
          <w:lang w:val="es-CO"/>
        </w:rPr>
        <w:t xml:space="preserve"> definir los siguientes tipos de cargos:</w:t>
      </w:r>
    </w:p>
    <w:p w:rsidR="00890C12" w:rsidRPr="00023977" w:rsidRDefault="00890C12" w:rsidP="0083557B">
      <w:pPr>
        <w:rPr>
          <w:rFonts w:eastAsia="Arial" w:cs="Arial"/>
          <w:sz w:val="24"/>
          <w:lang w:val="es-CO"/>
        </w:rPr>
      </w:pPr>
    </w:p>
    <w:p w:rsidR="00890C12" w:rsidRPr="00023977" w:rsidRDefault="00890C12" w:rsidP="00297616">
      <w:pPr>
        <w:pStyle w:val="Prrafodelista"/>
        <w:numPr>
          <w:ilvl w:val="0"/>
          <w:numId w:val="19"/>
        </w:numPr>
        <w:rPr>
          <w:sz w:val="24"/>
          <w:szCs w:val="24"/>
        </w:rPr>
      </w:pPr>
      <w:r w:rsidRPr="00023977">
        <w:rPr>
          <w:sz w:val="24"/>
          <w:szCs w:val="24"/>
        </w:rPr>
        <w:t>Cargos fijos regulados de referencia para la remuneración de costos de inversión.</w:t>
      </w:r>
    </w:p>
    <w:p w:rsidR="00890C12" w:rsidRPr="00023977" w:rsidRDefault="00890C12" w:rsidP="00297616">
      <w:pPr>
        <w:pStyle w:val="Prrafodelista"/>
        <w:numPr>
          <w:ilvl w:val="0"/>
          <w:numId w:val="19"/>
        </w:numPr>
        <w:rPr>
          <w:sz w:val="24"/>
          <w:szCs w:val="24"/>
        </w:rPr>
      </w:pPr>
      <w:r w:rsidRPr="00023977">
        <w:rPr>
          <w:sz w:val="24"/>
          <w:szCs w:val="24"/>
        </w:rPr>
        <w:t>Cargos variables regulados de referencia para la remuneración de costos de inversión.</w:t>
      </w:r>
    </w:p>
    <w:p w:rsidR="00890C12" w:rsidRPr="00023977" w:rsidRDefault="00890C12" w:rsidP="00297616">
      <w:pPr>
        <w:pStyle w:val="Prrafodelista"/>
        <w:numPr>
          <w:ilvl w:val="0"/>
          <w:numId w:val="19"/>
        </w:numPr>
        <w:rPr>
          <w:sz w:val="24"/>
          <w:szCs w:val="24"/>
        </w:rPr>
      </w:pPr>
      <w:r w:rsidRPr="00023977">
        <w:rPr>
          <w:sz w:val="24"/>
          <w:szCs w:val="24"/>
        </w:rPr>
        <w:t>Cargos fijos que remuneran los gastos de administración, operación y mantenimiento, AOM.</w:t>
      </w:r>
    </w:p>
    <w:p w:rsidR="00890C12" w:rsidRPr="00023977" w:rsidRDefault="00890C12" w:rsidP="00297616">
      <w:pPr>
        <w:pStyle w:val="Prrafodelista"/>
        <w:numPr>
          <w:ilvl w:val="0"/>
          <w:numId w:val="19"/>
        </w:numPr>
        <w:rPr>
          <w:sz w:val="24"/>
          <w:szCs w:val="24"/>
        </w:rPr>
      </w:pPr>
      <w:r w:rsidRPr="00023977">
        <w:rPr>
          <w:sz w:val="24"/>
          <w:szCs w:val="24"/>
        </w:rPr>
        <w:t>Cargos variables que remuneran los gastos de administración, operación y mantenimiento, AOM.</w:t>
      </w:r>
    </w:p>
    <w:p w:rsidR="00890C12" w:rsidRPr="009241D4" w:rsidRDefault="0079761B" w:rsidP="000F403F">
      <w:pPr>
        <w:pStyle w:val="Ttulo2"/>
        <w:rPr>
          <w:sz w:val="24"/>
        </w:rPr>
      </w:pPr>
      <w:bookmarkStart w:id="592" w:name="_Toc437500889"/>
      <w:bookmarkStart w:id="593" w:name="_Toc437501548"/>
      <w:bookmarkStart w:id="594" w:name="_Toc437501728"/>
      <w:bookmarkStart w:id="595" w:name="_Toc437501818"/>
      <w:bookmarkStart w:id="596" w:name="_Toc437502581"/>
      <w:bookmarkStart w:id="597" w:name="_Toc437505941"/>
      <w:bookmarkStart w:id="598" w:name="_Toc437512754"/>
      <w:r>
        <w:rPr>
          <w:sz w:val="24"/>
        </w:rPr>
        <w:t>c</w:t>
      </w:r>
      <w:r w:rsidR="000F403F" w:rsidRPr="009241D4">
        <w:rPr>
          <w:sz w:val="24"/>
        </w:rPr>
        <w:t>ompetitividad vs transporte sustituto</w:t>
      </w:r>
      <w:bookmarkEnd w:id="592"/>
      <w:bookmarkEnd w:id="593"/>
      <w:bookmarkEnd w:id="594"/>
      <w:bookmarkEnd w:id="595"/>
      <w:bookmarkEnd w:id="596"/>
      <w:bookmarkEnd w:id="597"/>
      <w:bookmarkEnd w:id="598"/>
    </w:p>
    <w:p w:rsidR="00115B4A" w:rsidRDefault="000F403F" w:rsidP="000F403F">
      <w:pPr>
        <w:rPr>
          <w:rFonts w:eastAsia="Arial" w:cs="Arial"/>
          <w:sz w:val="24"/>
          <w:lang w:val="es-ES_tradnl"/>
        </w:rPr>
      </w:pPr>
      <w:r w:rsidRPr="00194850">
        <w:rPr>
          <w:rFonts w:eastAsia="Arial" w:cs="Arial"/>
          <w:sz w:val="24"/>
          <w:lang w:val="es-ES_tradnl"/>
        </w:rPr>
        <w:t xml:space="preserve">Es claro que a diferencia de otras infraestructuras lineales como gas </w:t>
      </w:r>
      <w:r w:rsidR="00194850">
        <w:rPr>
          <w:rFonts w:eastAsia="Arial" w:cs="Arial"/>
          <w:sz w:val="24"/>
          <w:lang w:val="es-ES_tradnl"/>
        </w:rPr>
        <w:t xml:space="preserve">natural, el transporte de combustibles líquidos cuenta en general con un transporte sustituto tal como barco y transporte por </w:t>
      </w:r>
      <w:r w:rsidR="00115B4A">
        <w:rPr>
          <w:rFonts w:eastAsia="Arial" w:cs="Arial"/>
          <w:sz w:val="24"/>
          <w:lang w:val="es-ES_tradnl"/>
        </w:rPr>
        <w:t>camiones</w:t>
      </w:r>
      <w:r w:rsidR="00194850">
        <w:rPr>
          <w:rFonts w:eastAsia="Arial" w:cs="Arial"/>
          <w:sz w:val="24"/>
          <w:lang w:val="es-ES_tradnl"/>
        </w:rPr>
        <w:t xml:space="preserve">, bajo dicha consideración se adelantarán análisis </w:t>
      </w:r>
      <w:r w:rsidR="00115B4A">
        <w:rPr>
          <w:rFonts w:eastAsia="Arial" w:cs="Arial"/>
          <w:sz w:val="24"/>
          <w:lang w:val="es-ES_tradnl"/>
        </w:rPr>
        <w:t>dentro de los que se destacan:</w:t>
      </w:r>
    </w:p>
    <w:p w:rsidR="00472373" w:rsidRDefault="00472373" w:rsidP="000F403F">
      <w:pPr>
        <w:rPr>
          <w:rFonts w:eastAsia="Arial" w:cs="Arial"/>
          <w:sz w:val="24"/>
          <w:lang w:val="es-ES_tradnl"/>
        </w:rPr>
      </w:pPr>
    </w:p>
    <w:p w:rsidR="00DE4466" w:rsidRDefault="00115B4A" w:rsidP="00297616">
      <w:pPr>
        <w:pStyle w:val="Prrafodelista"/>
        <w:numPr>
          <w:ilvl w:val="0"/>
          <w:numId w:val="25"/>
        </w:numPr>
        <w:rPr>
          <w:rFonts w:eastAsia="Arial" w:cs="Arial"/>
          <w:sz w:val="24"/>
          <w:lang w:val="es-ES_tradnl"/>
        </w:rPr>
      </w:pPr>
      <w:r>
        <w:rPr>
          <w:rFonts w:eastAsia="Arial" w:cs="Arial"/>
          <w:sz w:val="24"/>
          <w:lang w:val="es-ES_tradnl"/>
        </w:rPr>
        <w:t>Caracterización de costo de transporte terrestre</w:t>
      </w:r>
      <w:r w:rsidR="002E36C6">
        <w:rPr>
          <w:rFonts w:eastAsia="Arial" w:cs="Arial"/>
          <w:sz w:val="24"/>
          <w:lang w:val="es-ES_tradnl"/>
        </w:rPr>
        <w:t xml:space="preserve"> en tramos del sistema del transporte por red de ductos</w:t>
      </w:r>
      <w:r>
        <w:rPr>
          <w:rFonts w:eastAsia="Arial" w:cs="Arial"/>
          <w:sz w:val="24"/>
          <w:lang w:val="es-ES_tradnl"/>
        </w:rPr>
        <w:t>.</w:t>
      </w:r>
    </w:p>
    <w:p w:rsidR="00115B4A" w:rsidRDefault="006615EE" w:rsidP="00297616">
      <w:pPr>
        <w:pStyle w:val="Prrafodelista"/>
        <w:numPr>
          <w:ilvl w:val="0"/>
          <w:numId w:val="25"/>
        </w:numPr>
        <w:rPr>
          <w:rFonts w:eastAsia="Arial" w:cs="Arial"/>
          <w:sz w:val="24"/>
          <w:lang w:val="es-ES_tradnl"/>
        </w:rPr>
      </w:pPr>
      <w:r w:rsidRPr="00DE4466">
        <w:rPr>
          <w:rFonts w:eastAsia="Arial" w:cs="Arial"/>
          <w:sz w:val="24"/>
          <w:lang w:val="es-ES_tradnl"/>
        </w:rPr>
        <w:t>Análisis</w:t>
      </w:r>
      <w:r w:rsidR="00DE4466">
        <w:rPr>
          <w:rFonts w:eastAsia="Arial" w:cs="Arial"/>
          <w:sz w:val="24"/>
          <w:lang w:val="es-ES_tradnl"/>
        </w:rPr>
        <w:t xml:space="preserve"> en la estructuración tarifaria y realidades de competitividad frente a transporte terrestre.</w:t>
      </w:r>
    </w:p>
    <w:p w:rsidR="00297616" w:rsidRPr="00297616" w:rsidRDefault="0079761B" w:rsidP="0079761B">
      <w:pPr>
        <w:pStyle w:val="Ttulo2"/>
        <w:rPr>
          <w:rFonts w:eastAsia="Arial"/>
        </w:rPr>
      </w:pPr>
      <w:bookmarkStart w:id="599" w:name="_Toc437500890"/>
      <w:bookmarkStart w:id="600" w:name="_Toc437501549"/>
      <w:bookmarkStart w:id="601" w:name="_Toc437501729"/>
      <w:bookmarkStart w:id="602" w:name="_Toc437501819"/>
      <w:bookmarkStart w:id="603" w:name="_Toc437502582"/>
      <w:bookmarkStart w:id="604" w:name="_Toc437505942"/>
      <w:bookmarkStart w:id="605" w:name="_Toc437512755"/>
      <w:bookmarkStart w:id="606" w:name="_Toc424832950"/>
      <w:r>
        <w:rPr>
          <w:rFonts w:eastAsia="Arial"/>
        </w:rPr>
        <w:t xml:space="preserve">información contable para la </w:t>
      </w:r>
      <w:bookmarkEnd w:id="599"/>
      <w:bookmarkEnd w:id="600"/>
      <w:bookmarkEnd w:id="601"/>
      <w:bookmarkEnd w:id="602"/>
      <w:bookmarkEnd w:id="603"/>
      <w:r>
        <w:rPr>
          <w:rFonts w:eastAsia="Arial"/>
        </w:rPr>
        <w:t>regulación</w:t>
      </w:r>
      <w:bookmarkEnd w:id="604"/>
      <w:bookmarkEnd w:id="605"/>
    </w:p>
    <w:p w:rsidR="00297616" w:rsidRPr="00901A44" w:rsidRDefault="00297616" w:rsidP="00901A44">
      <w:pPr>
        <w:rPr>
          <w:sz w:val="24"/>
          <w:lang w:val="es-CO" w:eastAsia="es-CO"/>
        </w:rPr>
      </w:pPr>
      <w:r w:rsidRPr="00901A44">
        <w:rPr>
          <w:sz w:val="24"/>
          <w:lang w:val="es-CO" w:eastAsia="es-CO"/>
        </w:rPr>
        <w:t>A diferencia de los sectores</w:t>
      </w:r>
      <w:r w:rsidR="00901A44">
        <w:rPr>
          <w:sz w:val="24"/>
          <w:lang w:val="es-CO" w:eastAsia="es-CO"/>
        </w:rPr>
        <w:t>,</w:t>
      </w:r>
      <w:r w:rsidRPr="00901A44">
        <w:rPr>
          <w:sz w:val="24"/>
          <w:lang w:val="es-CO" w:eastAsia="es-CO"/>
        </w:rPr>
        <w:t xml:space="preserve"> eléctrico y de gas natural, para los cuales existe el Plan Único de Cuentas de la SSPD, en el </w:t>
      </w:r>
      <w:r w:rsidR="00495AF8">
        <w:rPr>
          <w:sz w:val="24"/>
          <w:lang w:val="es-CO" w:eastAsia="es-CO"/>
        </w:rPr>
        <w:t>transporte</w:t>
      </w:r>
      <w:r w:rsidRPr="00901A44">
        <w:rPr>
          <w:sz w:val="24"/>
          <w:lang w:val="es-CO" w:eastAsia="es-CO"/>
        </w:rPr>
        <w:t xml:space="preserve"> de hidrocarburos no existe </w:t>
      </w:r>
      <w:r w:rsidR="00495AF8">
        <w:rPr>
          <w:sz w:val="24"/>
          <w:lang w:val="es-CO" w:eastAsia="es-CO"/>
        </w:rPr>
        <w:t xml:space="preserve">una </w:t>
      </w:r>
      <w:r w:rsidRPr="00901A44">
        <w:rPr>
          <w:sz w:val="24"/>
          <w:lang w:val="es-CO" w:eastAsia="es-CO"/>
        </w:rPr>
        <w:t xml:space="preserve">exigencia </w:t>
      </w:r>
      <w:r w:rsidR="00495AF8">
        <w:rPr>
          <w:sz w:val="24"/>
          <w:lang w:val="es-CO" w:eastAsia="es-CO"/>
        </w:rPr>
        <w:t>similar</w:t>
      </w:r>
      <w:r w:rsidRPr="00901A44">
        <w:rPr>
          <w:sz w:val="24"/>
          <w:lang w:val="es-CO" w:eastAsia="es-CO"/>
        </w:rPr>
        <w:t xml:space="preserve"> en materia de contabi</w:t>
      </w:r>
      <w:r w:rsidR="00887767" w:rsidRPr="00901A44">
        <w:rPr>
          <w:sz w:val="24"/>
          <w:lang w:val="es-CO" w:eastAsia="es-CO"/>
        </w:rPr>
        <w:t>lidad e información regulatoria, sobre la cual se analizará a la luz de conceptos contables del NIIF.</w:t>
      </w:r>
    </w:p>
    <w:p w:rsidR="00F42CA3" w:rsidRDefault="00F42CA3" w:rsidP="00901A44">
      <w:pPr>
        <w:rPr>
          <w:sz w:val="24"/>
          <w:lang w:val="es-CO" w:eastAsia="es-CO"/>
        </w:rPr>
      </w:pPr>
    </w:p>
    <w:p w:rsidR="00297616" w:rsidRPr="00901A44" w:rsidRDefault="00297616" w:rsidP="00901A44">
      <w:pPr>
        <w:rPr>
          <w:rFonts w:cs="Arial"/>
          <w:sz w:val="24"/>
          <w:lang w:val="es-CO"/>
        </w:rPr>
      </w:pPr>
      <w:r w:rsidRPr="00901A44">
        <w:rPr>
          <w:sz w:val="24"/>
          <w:lang w:val="es-CO" w:eastAsia="es-CO"/>
        </w:rPr>
        <w:t>Tal como lo afirma Joskow</w:t>
      </w:r>
      <w:r w:rsidRPr="00901A44">
        <w:rPr>
          <w:rStyle w:val="Refdenotaalpie"/>
          <w:sz w:val="24"/>
          <w:lang w:val="es-CO" w:eastAsia="es-CO"/>
        </w:rPr>
        <w:footnoteReference w:id="4"/>
      </w:r>
      <w:r w:rsidRPr="00901A44">
        <w:rPr>
          <w:sz w:val="24"/>
          <w:lang w:val="es-CO" w:eastAsia="es-CO"/>
        </w:rPr>
        <w:t>, la regulación por incentivos requiere en la práctica de un</w:t>
      </w:r>
      <w:r w:rsidR="00472373" w:rsidRPr="00901A44">
        <w:rPr>
          <w:sz w:val="24"/>
          <w:lang w:val="es-CO" w:eastAsia="es-CO"/>
        </w:rPr>
        <w:t xml:space="preserve"> </w:t>
      </w:r>
      <w:r w:rsidRPr="00901A44">
        <w:rPr>
          <w:sz w:val="24"/>
          <w:lang w:val="es-CO" w:eastAsia="es-CO"/>
        </w:rPr>
        <w:t>buen sistema contable para los costos de capital y de operación, protocolos para el</w:t>
      </w:r>
      <w:r w:rsidR="00472373" w:rsidRPr="00901A44">
        <w:rPr>
          <w:sz w:val="24"/>
          <w:lang w:val="es-CO" w:eastAsia="es-CO"/>
        </w:rPr>
        <w:t xml:space="preserve"> </w:t>
      </w:r>
      <w:r w:rsidRPr="00901A44">
        <w:rPr>
          <w:sz w:val="24"/>
          <w:lang w:val="es-CO" w:eastAsia="es-CO"/>
        </w:rPr>
        <w:t>reporte de costos, requerimientos de recolección y reporte de datos para otras</w:t>
      </w:r>
      <w:r w:rsidR="00472373" w:rsidRPr="00901A44">
        <w:rPr>
          <w:sz w:val="24"/>
          <w:lang w:val="es-CO" w:eastAsia="es-CO"/>
        </w:rPr>
        <w:t xml:space="preserve"> </w:t>
      </w:r>
      <w:r w:rsidRPr="00901A44">
        <w:rPr>
          <w:sz w:val="24"/>
          <w:lang w:val="es-CO" w:eastAsia="es-CO"/>
        </w:rPr>
        <w:t>dimensiones de desempeño diferentes a la de costo.</w:t>
      </w:r>
      <w:sdt>
        <w:sdtPr>
          <w:rPr>
            <w:sz w:val="24"/>
            <w:lang w:val="es-CO" w:eastAsia="es-CO"/>
          </w:rPr>
          <w:id w:val="-2007889459"/>
          <w:citation/>
        </w:sdtPr>
        <w:sdtEndPr/>
        <w:sdtContent>
          <w:r w:rsidR="00472373" w:rsidRPr="00901A44">
            <w:rPr>
              <w:sz w:val="24"/>
              <w:lang w:val="es-CO" w:eastAsia="es-CO"/>
            </w:rPr>
            <w:fldChar w:fldCharType="begin"/>
          </w:r>
          <w:r w:rsidR="00E90EA9">
            <w:rPr>
              <w:sz w:val="24"/>
              <w:lang w:val="es-CO" w:eastAsia="es-CO"/>
            </w:rPr>
            <w:instrText xml:space="preserve">CITATION Sum15 \l 9226 </w:instrText>
          </w:r>
          <w:r w:rsidR="00472373" w:rsidRPr="00901A44">
            <w:rPr>
              <w:sz w:val="24"/>
              <w:lang w:val="es-CO" w:eastAsia="es-CO"/>
            </w:rPr>
            <w:fldChar w:fldCharType="separate"/>
          </w:r>
          <w:r w:rsidR="00E90EA9">
            <w:rPr>
              <w:noProof/>
              <w:sz w:val="24"/>
              <w:lang w:val="es-CO" w:eastAsia="es-CO"/>
            </w:rPr>
            <w:t xml:space="preserve"> </w:t>
          </w:r>
          <w:r w:rsidR="00E90EA9" w:rsidRPr="00E90EA9">
            <w:rPr>
              <w:noProof/>
              <w:sz w:val="24"/>
              <w:lang w:val="es-CO" w:eastAsia="es-CO"/>
            </w:rPr>
            <w:t>(Sumatoria S.A.S, 2015)</w:t>
          </w:r>
          <w:r w:rsidR="00472373" w:rsidRPr="00901A44">
            <w:rPr>
              <w:sz w:val="24"/>
              <w:lang w:val="es-CO" w:eastAsia="es-CO"/>
            </w:rPr>
            <w:fldChar w:fldCharType="end"/>
          </w:r>
        </w:sdtContent>
      </w:sdt>
    </w:p>
    <w:p w:rsidR="0083557B" w:rsidRPr="00023977" w:rsidRDefault="0079761B" w:rsidP="00391FB3">
      <w:pPr>
        <w:pStyle w:val="Ttulo2"/>
        <w:rPr>
          <w:rFonts w:cs="Arial"/>
          <w:sz w:val="24"/>
          <w:szCs w:val="24"/>
          <w:lang w:val="es-CO"/>
        </w:rPr>
      </w:pPr>
      <w:bookmarkStart w:id="607" w:name="_Toc424832953"/>
      <w:bookmarkStart w:id="608" w:name="_Toc424887686"/>
      <w:bookmarkStart w:id="609" w:name="_Toc425488448"/>
      <w:bookmarkStart w:id="610" w:name="_Toc426035097"/>
      <w:bookmarkStart w:id="611" w:name="_Toc427333609"/>
      <w:bookmarkStart w:id="612" w:name="_Toc427336550"/>
      <w:bookmarkStart w:id="613" w:name="_Toc427681840"/>
      <w:bookmarkStart w:id="614" w:name="_Toc433276772"/>
      <w:bookmarkStart w:id="615" w:name="_Toc433295735"/>
      <w:bookmarkStart w:id="616" w:name="_Toc433296460"/>
      <w:bookmarkStart w:id="617" w:name="_Toc437500891"/>
      <w:bookmarkStart w:id="618" w:name="_Toc437501550"/>
      <w:bookmarkStart w:id="619" w:name="_Toc437501730"/>
      <w:bookmarkStart w:id="620" w:name="_Toc437501820"/>
      <w:bookmarkStart w:id="621" w:name="_Toc437502583"/>
      <w:bookmarkStart w:id="622" w:name="_Toc437505943"/>
      <w:bookmarkStart w:id="623" w:name="_Toc437512756"/>
      <w:bookmarkEnd w:id="606"/>
      <w:r>
        <w:rPr>
          <w:rFonts w:cs="Arial"/>
          <w:sz w:val="24"/>
          <w:szCs w:val="24"/>
          <w:lang w:val="es-CO"/>
        </w:rPr>
        <w:t>r</w:t>
      </w:r>
      <w:r w:rsidR="0083557B" w:rsidRPr="00023977">
        <w:rPr>
          <w:rFonts w:cs="Arial"/>
          <w:sz w:val="24"/>
          <w:szCs w:val="24"/>
          <w:lang w:val="es-CO"/>
        </w:rPr>
        <w:t xml:space="preserve">emuneración de las </w:t>
      </w:r>
      <w:r>
        <w:rPr>
          <w:rFonts w:cs="Arial"/>
          <w:sz w:val="24"/>
          <w:szCs w:val="24"/>
          <w:lang w:val="es-CO"/>
        </w:rPr>
        <w:t>pé</w:t>
      </w:r>
      <w:r w:rsidR="0083557B" w:rsidRPr="00023977">
        <w:rPr>
          <w:rFonts w:cs="Arial"/>
          <w:sz w:val="24"/>
          <w:szCs w:val="24"/>
          <w:lang w:val="es-CO"/>
        </w:rPr>
        <w:t>rdidas</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rsidR="0083557B" w:rsidRPr="006D3C24" w:rsidRDefault="006620E1" w:rsidP="00B90C4A">
      <w:pPr>
        <w:rPr>
          <w:rFonts w:eastAsia="Arial" w:cs="Arial"/>
          <w:sz w:val="24"/>
          <w:lang w:val="es-ES_tradnl"/>
        </w:rPr>
      </w:pPr>
      <w:r>
        <w:rPr>
          <w:rFonts w:eastAsia="Arial" w:cs="Arial"/>
          <w:sz w:val="24"/>
          <w:lang w:val="es-ES_tradnl"/>
        </w:rPr>
        <w:t xml:space="preserve">Respecto a la remuneración de las pérdidas se considerarán los análisis </w:t>
      </w:r>
      <w:r w:rsidR="0091656B">
        <w:rPr>
          <w:rFonts w:eastAsia="Arial" w:cs="Arial"/>
          <w:sz w:val="24"/>
          <w:lang w:val="es-ES_tradnl"/>
        </w:rPr>
        <w:t xml:space="preserve">explícitos relacionados con el reglamento de transporte de combustibles líquidos, los valores definidos como máximos permisibles se </w:t>
      </w:r>
      <w:r w:rsidR="00495AF8">
        <w:rPr>
          <w:rFonts w:eastAsia="Arial" w:cs="Arial"/>
          <w:sz w:val="24"/>
          <w:lang w:val="es-ES_tradnl"/>
        </w:rPr>
        <w:t>analizarán</w:t>
      </w:r>
      <w:r w:rsidR="0091656B">
        <w:rPr>
          <w:rFonts w:eastAsia="Arial" w:cs="Arial"/>
          <w:sz w:val="24"/>
          <w:lang w:val="es-ES_tradnl"/>
        </w:rPr>
        <w:t xml:space="preserve"> en la remuneración.</w:t>
      </w:r>
    </w:p>
    <w:p w:rsidR="0083557B" w:rsidRPr="00023977" w:rsidRDefault="0083557B" w:rsidP="00391FB3">
      <w:pPr>
        <w:pStyle w:val="Ttulo2"/>
        <w:rPr>
          <w:rFonts w:cs="Arial"/>
          <w:sz w:val="24"/>
          <w:szCs w:val="24"/>
          <w:lang w:val="es-CO"/>
        </w:rPr>
      </w:pPr>
      <w:bookmarkStart w:id="624" w:name="_Toc424887688"/>
      <w:bookmarkStart w:id="625" w:name="_Toc425488450"/>
      <w:bookmarkStart w:id="626" w:name="_Toc426035099"/>
      <w:bookmarkStart w:id="627" w:name="_Toc427333611"/>
      <w:bookmarkStart w:id="628" w:name="_Toc427336552"/>
      <w:bookmarkStart w:id="629" w:name="_Toc427681842"/>
      <w:bookmarkStart w:id="630" w:name="_Toc433276774"/>
      <w:bookmarkStart w:id="631" w:name="_Toc433295737"/>
      <w:bookmarkStart w:id="632" w:name="_Toc433296462"/>
      <w:bookmarkStart w:id="633" w:name="_Toc437500892"/>
      <w:bookmarkStart w:id="634" w:name="_Toc437501551"/>
      <w:bookmarkStart w:id="635" w:name="_Toc437501731"/>
      <w:bookmarkStart w:id="636" w:name="_Toc437501821"/>
      <w:bookmarkStart w:id="637" w:name="_Toc437502584"/>
      <w:bookmarkStart w:id="638" w:name="_Toc437505944"/>
      <w:bookmarkStart w:id="639" w:name="_Toc437512757"/>
      <w:r w:rsidRPr="00023977">
        <w:rPr>
          <w:rFonts w:cs="Arial"/>
          <w:sz w:val="24"/>
          <w:szCs w:val="24"/>
          <w:lang w:val="es-CO"/>
        </w:rPr>
        <w:t xml:space="preserve">señales tarifarias y </w:t>
      </w:r>
      <w:bookmarkEnd w:id="624"/>
      <w:bookmarkEnd w:id="625"/>
      <w:bookmarkEnd w:id="626"/>
      <w:bookmarkEnd w:id="627"/>
      <w:bookmarkEnd w:id="628"/>
      <w:bookmarkEnd w:id="629"/>
      <w:bookmarkEnd w:id="630"/>
      <w:bookmarkEnd w:id="631"/>
      <w:bookmarkEnd w:id="632"/>
      <w:r w:rsidR="0079761B">
        <w:rPr>
          <w:rFonts w:cs="Arial"/>
          <w:sz w:val="24"/>
          <w:szCs w:val="24"/>
          <w:lang w:val="es-CO"/>
        </w:rPr>
        <w:t>e</w:t>
      </w:r>
      <w:r w:rsidR="00472373">
        <w:rPr>
          <w:rFonts w:cs="Arial"/>
          <w:sz w:val="24"/>
          <w:szCs w:val="24"/>
          <w:lang w:val="es-CO"/>
        </w:rPr>
        <w:t>xpansiones al sistema</w:t>
      </w:r>
      <w:bookmarkEnd w:id="633"/>
      <w:bookmarkEnd w:id="634"/>
      <w:bookmarkEnd w:id="635"/>
      <w:bookmarkEnd w:id="636"/>
      <w:bookmarkEnd w:id="637"/>
      <w:bookmarkEnd w:id="638"/>
      <w:bookmarkEnd w:id="639"/>
    </w:p>
    <w:p w:rsidR="00D247E3" w:rsidRPr="00901A44" w:rsidRDefault="00D247E3" w:rsidP="00D247E3">
      <w:pPr>
        <w:rPr>
          <w:rFonts w:eastAsia="Arial" w:cs="Arial"/>
          <w:sz w:val="24"/>
          <w:lang w:val="es-ES_tradnl"/>
        </w:rPr>
      </w:pPr>
      <w:r w:rsidRPr="00901A44">
        <w:rPr>
          <w:rFonts w:eastAsia="Arial" w:cs="Arial"/>
          <w:sz w:val="24"/>
          <w:lang w:val="es-ES_tradnl"/>
        </w:rPr>
        <w:t xml:space="preserve">En el desarrollo de la metodología de remuneración de transporte las expansiones dentro del sistema de transporte </w:t>
      </w:r>
      <w:r w:rsidR="00C341FD" w:rsidRPr="00901A44">
        <w:rPr>
          <w:rFonts w:eastAsia="Arial" w:cs="Arial"/>
          <w:sz w:val="24"/>
          <w:lang w:val="es-ES_tradnl"/>
        </w:rPr>
        <w:t>serán</w:t>
      </w:r>
      <w:r w:rsidR="00C341FD">
        <w:rPr>
          <w:rFonts w:eastAsia="Arial" w:cs="Arial"/>
          <w:sz w:val="24"/>
          <w:lang w:val="es-ES_tradnl"/>
        </w:rPr>
        <w:t xml:space="preserve"> analizadas</w:t>
      </w:r>
      <w:r w:rsidRPr="00901A44">
        <w:rPr>
          <w:rFonts w:eastAsia="Arial" w:cs="Arial"/>
          <w:sz w:val="24"/>
          <w:lang w:val="es-ES_tradnl"/>
        </w:rPr>
        <w:t xml:space="preserve"> considerando las diferentes opciones de expansión conjugando las iniciativas de los agentes transportadores, la identificación de proyectos que presente</w:t>
      </w:r>
      <w:r w:rsidR="00495AF8">
        <w:rPr>
          <w:rFonts w:eastAsia="Arial" w:cs="Arial"/>
          <w:sz w:val="24"/>
          <w:lang w:val="es-ES_tradnl"/>
        </w:rPr>
        <w:t xml:space="preserve"> la Unidad de Planeación Minero</w:t>
      </w:r>
      <w:r w:rsidRPr="00901A44">
        <w:rPr>
          <w:rFonts w:eastAsia="Arial" w:cs="Arial"/>
          <w:sz w:val="24"/>
          <w:lang w:val="es-ES_tradnl"/>
        </w:rPr>
        <w:t xml:space="preserve"> Energética UPME </w:t>
      </w:r>
      <w:r w:rsidR="00901A44">
        <w:rPr>
          <w:rFonts w:eastAsia="Arial" w:cs="Arial"/>
          <w:sz w:val="24"/>
          <w:lang w:val="es-ES_tradnl"/>
        </w:rPr>
        <w:t>bajo el ámbito de mecanismos competitivos y eficientes para el desarrollo de las expansiones</w:t>
      </w:r>
      <w:r w:rsidRPr="00901A44">
        <w:rPr>
          <w:rFonts w:eastAsia="Arial" w:cs="Arial"/>
          <w:sz w:val="24"/>
          <w:lang w:val="es-ES_tradnl"/>
        </w:rPr>
        <w:t>.</w:t>
      </w:r>
    </w:p>
    <w:p w:rsidR="00D247E3" w:rsidRPr="00901A44" w:rsidRDefault="00D247E3" w:rsidP="009C72C5">
      <w:pPr>
        <w:rPr>
          <w:sz w:val="24"/>
          <w:lang w:val="es-ES_tradnl"/>
        </w:rPr>
      </w:pPr>
    </w:p>
    <w:p w:rsidR="00472373" w:rsidRPr="00901A44" w:rsidRDefault="0091656B" w:rsidP="009C72C5">
      <w:pPr>
        <w:rPr>
          <w:sz w:val="24"/>
          <w:lang w:val="es-ES_tradnl"/>
        </w:rPr>
      </w:pPr>
      <w:r w:rsidRPr="00901A44">
        <w:rPr>
          <w:sz w:val="24"/>
          <w:lang w:val="es-ES_tradnl"/>
        </w:rPr>
        <w:t>Dentro de la estructura tarifaria se analizarán aspectos asociados a la</w:t>
      </w:r>
      <w:r w:rsidR="00472373" w:rsidRPr="00901A44">
        <w:rPr>
          <w:sz w:val="24"/>
          <w:lang w:val="es-ES_tradnl"/>
        </w:rPr>
        <w:t>s</w:t>
      </w:r>
      <w:r w:rsidRPr="00901A44">
        <w:rPr>
          <w:sz w:val="24"/>
          <w:lang w:val="es-ES_tradnl"/>
        </w:rPr>
        <w:t xml:space="preserve"> </w:t>
      </w:r>
      <w:r w:rsidR="00472373" w:rsidRPr="00901A44">
        <w:rPr>
          <w:sz w:val="24"/>
          <w:lang w:val="es-ES_tradnl"/>
        </w:rPr>
        <w:t>expansiones considerando entre otros los siguientes aspectos:</w:t>
      </w:r>
    </w:p>
    <w:p w:rsidR="00472373" w:rsidRPr="00901A44" w:rsidRDefault="00472373" w:rsidP="009C72C5">
      <w:pPr>
        <w:rPr>
          <w:sz w:val="24"/>
          <w:lang w:val="es-ES_tradnl"/>
        </w:rPr>
      </w:pPr>
    </w:p>
    <w:p w:rsidR="00472373" w:rsidRPr="00901A44" w:rsidRDefault="00472373" w:rsidP="00472373">
      <w:pPr>
        <w:pStyle w:val="Prrafodelista"/>
        <w:numPr>
          <w:ilvl w:val="0"/>
          <w:numId w:val="27"/>
        </w:numPr>
        <w:rPr>
          <w:sz w:val="24"/>
          <w:szCs w:val="24"/>
          <w:lang w:val="es-ES_tradnl"/>
        </w:rPr>
      </w:pPr>
      <w:r w:rsidRPr="00901A44">
        <w:rPr>
          <w:sz w:val="24"/>
          <w:szCs w:val="24"/>
          <w:lang w:val="es-ES_tradnl"/>
        </w:rPr>
        <w:t>Procesos actuales y señales al mercado para el desarrollo de expansiones eficientes desde el punto de vista económico.</w:t>
      </w:r>
    </w:p>
    <w:p w:rsidR="00472373" w:rsidRPr="00901A44" w:rsidRDefault="00472373" w:rsidP="00472373">
      <w:pPr>
        <w:pStyle w:val="Prrafodelista"/>
        <w:numPr>
          <w:ilvl w:val="0"/>
          <w:numId w:val="27"/>
        </w:numPr>
        <w:rPr>
          <w:sz w:val="24"/>
          <w:szCs w:val="24"/>
          <w:lang w:val="es-ES_tradnl"/>
        </w:rPr>
      </w:pPr>
      <w:r w:rsidRPr="00901A44">
        <w:rPr>
          <w:sz w:val="24"/>
          <w:szCs w:val="24"/>
          <w:lang w:val="es-ES_tradnl"/>
        </w:rPr>
        <w:t>Mecanismos competitivos de asignación de expansiones al sistema.</w:t>
      </w:r>
    </w:p>
    <w:p w:rsidR="00472373" w:rsidRPr="00901A44" w:rsidRDefault="00472373" w:rsidP="00472373">
      <w:pPr>
        <w:pStyle w:val="Prrafodelista"/>
        <w:numPr>
          <w:ilvl w:val="0"/>
          <w:numId w:val="27"/>
        </w:numPr>
        <w:rPr>
          <w:sz w:val="24"/>
          <w:szCs w:val="24"/>
          <w:lang w:val="es-ES_tradnl"/>
        </w:rPr>
      </w:pPr>
      <w:r w:rsidRPr="00901A44">
        <w:rPr>
          <w:sz w:val="24"/>
          <w:szCs w:val="24"/>
          <w:lang w:val="es-ES_tradnl"/>
        </w:rPr>
        <w:t>Análisis de agentes en la cadena y mecanismos de desarrollo de expansiones al sistema.</w:t>
      </w:r>
    </w:p>
    <w:p w:rsidR="00472373" w:rsidRPr="00901A44" w:rsidRDefault="00472373" w:rsidP="00472373">
      <w:pPr>
        <w:pStyle w:val="Prrafodelista"/>
        <w:numPr>
          <w:ilvl w:val="0"/>
          <w:numId w:val="27"/>
        </w:numPr>
        <w:rPr>
          <w:sz w:val="24"/>
          <w:szCs w:val="24"/>
          <w:lang w:val="es-ES_tradnl"/>
        </w:rPr>
      </w:pPr>
      <w:r w:rsidRPr="00901A44">
        <w:rPr>
          <w:sz w:val="24"/>
          <w:szCs w:val="24"/>
          <w:lang w:val="es-ES_tradnl"/>
        </w:rPr>
        <w:t xml:space="preserve">Análisis e implementación de señales de política dentro de la </w:t>
      </w:r>
      <w:r w:rsidR="00495AF8">
        <w:rPr>
          <w:sz w:val="24"/>
          <w:szCs w:val="24"/>
          <w:lang w:val="es-ES_tradnl"/>
        </w:rPr>
        <w:t xml:space="preserve">metodología de remuneración de </w:t>
      </w:r>
      <w:r w:rsidRPr="00901A44">
        <w:rPr>
          <w:sz w:val="24"/>
          <w:szCs w:val="24"/>
          <w:lang w:val="es-ES_tradnl"/>
        </w:rPr>
        <w:t>expansión de los sistemas.</w:t>
      </w:r>
    </w:p>
    <w:p w:rsidR="0083557B" w:rsidRPr="00D811A6" w:rsidRDefault="0091656B" w:rsidP="0083557B">
      <w:pPr>
        <w:rPr>
          <w:rFonts w:cs="Arial"/>
          <w:b/>
          <w:szCs w:val="32"/>
          <w:highlight w:val="yellow"/>
          <w:lang w:val="es-CO"/>
        </w:rPr>
      </w:pPr>
      <w:r w:rsidRPr="00901A44">
        <w:rPr>
          <w:sz w:val="24"/>
          <w:lang w:val="es-ES_tradnl"/>
        </w:rPr>
        <w:t xml:space="preserve"> </w:t>
      </w:r>
      <w:bookmarkStart w:id="640" w:name="_Toc424832956"/>
      <w:bookmarkStart w:id="641" w:name="_Toc424887691"/>
      <w:bookmarkStart w:id="642" w:name="_Toc425488453"/>
      <w:bookmarkStart w:id="643" w:name="_Toc426035102"/>
      <w:r w:rsidR="0083557B">
        <w:rPr>
          <w:highlight w:val="yellow"/>
        </w:rPr>
        <w:br w:type="page"/>
      </w:r>
    </w:p>
    <w:p w:rsidR="0083557B" w:rsidRPr="0076075D" w:rsidRDefault="00276D30" w:rsidP="00276D30">
      <w:pPr>
        <w:pStyle w:val="T1"/>
        <w:jc w:val="both"/>
        <w:rPr>
          <w:rFonts w:ascii="Bookman Old Style" w:hAnsi="Bookman Old Style"/>
          <w:sz w:val="24"/>
          <w:lang w:val="es-CO"/>
        </w:rPr>
      </w:pPr>
      <w:bookmarkStart w:id="644" w:name="_Ref437262104"/>
      <w:bookmarkStart w:id="645" w:name="_Toc424832925"/>
      <w:bookmarkStart w:id="646" w:name="_Toc424887656"/>
      <w:bookmarkStart w:id="647" w:name="_Toc425488415"/>
      <w:bookmarkStart w:id="648" w:name="_Toc426035056"/>
      <w:bookmarkStart w:id="649" w:name="_Toc427333613"/>
      <w:bookmarkStart w:id="650" w:name="_Toc427336554"/>
      <w:bookmarkStart w:id="651" w:name="_Toc427681846"/>
      <w:bookmarkStart w:id="652" w:name="_Toc433276776"/>
      <w:bookmarkStart w:id="653" w:name="_Ref433279307"/>
      <w:bookmarkStart w:id="654" w:name="_Toc433295739"/>
      <w:bookmarkStart w:id="655" w:name="_Toc433296464"/>
      <w:bookmarkStart w:id="656" w:name="_Toc437500893"/>
      <w:bookmarkStart w:id="657" w:name="_Toc437501552"/>
      <w:bookmarkStart w:id="658" w:name="_Toc437501732"/>
      <w:bookmarkStart w:id="659" w:name="_Toc437501822"/>
      <w:bookmarkStart w:id="660" w:name="_Toc437502585"/>
      <w:bookmarkStart w:id="661" w:name="_Toc437505945"/>
      <w:bookmarkStart w:id="662" w:name="_Toc437512758"/>
      <w:bookmarkEnd w:id="640"/>
      <w:bookmarkEnd w:id="641"/>
      <w:bookmarkEnd w:id="642"/>
      <w:bookmarkEnd w:id="643"/>
      <w:r w:rsidRPr="0076075D">
        <w:rPr>
          <w:rFonts w:ascii="Bookman Old Style" w:hAnsi="Bookman Old Style"/>
          <w:sz w:val="24"/>
          <w:lang w:val="es-CO"/>
        </w:rPr>
        <w:lastRenderedPageBreak/>
        <w:t xml:space="preserve">Anexo </w:t>
      </w:r>
      <w:r w:rsidRPr="00276D30">
        <w:rPr>
          <w:rFonts w:ascii="Bookman Old Style" w:hAnsi="Bookman Old Style"/>
          <w:sz w:val="24"/>
        </w:rPr>
        <w:fldChar w:fldCharType="begin"/>
      </w:r>
      <w:r w:rsidRPr="0076075D">
        <w:rPr>
          <w:rFonts w:ascii="Bookman Old Style" w:hAnsi="Bookman Old Style"/>
          <w:sz w:val="24"/>
          <w:lang w:val="es-CO"/>
        </w:rPr>
        <w:instrText xml:space="preserve"> SEQ Anexo \* ARABIC </w:instrText>
      </w:r>
      <w:r w:rsidRPr="00276D30">
        <w:rPr>
          <w:rFonts w:ascii="Bookman Old Style" w:hAnsi="Bookman Old Style"/>
          <w:sz w:val="24"/>
        </w:rPr>
        <w:fldChar w:fldCharType="separate"/>
      </w:r>
      <w:r w:rsidR="00625BEB">
        <w:rPr>
          <w:rFonts w:ascii="Bookman Old Style" w:hAnsi="Bookman Old Style"/>
          <w:noProof/>
          <w:sz w:val="24"/>
          <w:lang w:val="es-CO"/>
        </w:rPr>
        <w:t>1</w:t>
      </w:r>
      <w:r w:rsidRPr="00276D30">
        <w:rPr>
          <w:rFonts w:ascii="Bookman Old Style" w:hAnsi="Bookman Old Style"/>
          <w:sz w:val="24"/>
        </w:rPr>
        <w:fldChar w:fldCharType="end"/>
      </w:r>
      <w:bookmarkEnd w:id="644"/>
      <w:r w:rsidRPr="0076075D">
        <w:rPr>
          <w:rFonts w:ascii="Bookman Old Style" w:hAnsi="Bookman Old Style"/>
          <w:sz w:val="24"/>
          <w:lang w:val="es-CO"/>
        </w:rPr>
        <w:t xml:space="preserve">. </w:t>
      </w:r>
      <w:r w:rsidR="0083557B" w:rsidRPr="0076075D">
        <w:rPr>
          <w:rFonts w:ascii="Bookman Old Style" w:hAnsi="Bookman Old Style"/>
          <w:sz w:val="24"/>
          <w:lang w:val="es-CO"/>
        </w:rPr>
        <w:t>Detalles de la infraestructura de transporte por ductos</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r w:rsidR="00F3719D" w:rsidRPr="0076075D">
        <w:rPr>
          <w:rFonts w:ascii="Bookman Old Style" w:hAnsi="Bookman Old Style"/>
          <w:sz w:val="24"/>
          <w:lang w:val="es-CO"/>
        </w:rPr>
        <w:t xml:space="preserve"> </w:t>
      </w:r>
    </w:p>
    <w:p w:rsidR="0083557B" w:rsidRPr="00F3719D" w:rsidRDefault="0083557B" w:rsidP="00F3719D">
      <w:pPr>
        <w:ind w:left="195"/>
        <w:rPr>
          <w:rFonts w:cs="Arial"/>
        </w:rPr>
      </w:pPr>
    </w:p>
    <w:p w:rsidR="0083557B" w:rsidRDefault="0083557B" w:rsidP="00F3719D">
      <w:pPr>
        <w:rPr>
          <w:rFonts w:cs="Arial"/>
        </w:rPr>
      </w:pPr>
      <w:r w:rsidRPr="00F3719D">
        <w:rPr>
          <w:rFonts w:cs="Arial"/>
        </w:rPr>
        <w:t>A continuación se presentan algunas características para cada uno de los ductos que componen la red de transporte de combustibles líquidos y GLP</w:t>
      </w:r>
      <w:r w:rsidRPr="004859E4">
        <w:rPr>
          <w:rFonts w:cs="Arial"/>
        </w:rPr>
        <w:t>.</w:t>
      </w:r>
    </w:p>
    <w:p w:rsidR="0083557B" w:rsidRDefault="0083557B" w:rsidP="0083557B">
      <w:pPr>
        <w:rPr>
          <w:rFonts w:cs="Arial"/>
        </w:rPr>
      </w:pPr>
    </w:p>
    <w:p w:rsidR="0083557B" w:rsidRPr="00F42CA3" w:rsidRDefault="001E5E2C" w:rsidP="0079761B">
      <w:pPr>
        <w:pStyle w:val="Ttulo2"/>
      </w:pPr>
      <w:bookmarkStart w:id="663" w:name="_Toc424832919"/>
      <w:bookmarkStart w:id="664" w:name="_Toc424887650"/>
      <w:bookmarkStart w:id="665" w:name="_Toc425488409"/>
      <w:bookmarkStart w:id="666" w:name="_Toc426035050"/>
      <w:bookmarkStart w:id="667" w:name="_Toc427333614"/>
      <w:bookmarkStart w:id="668" w:name="_Toc427336555"/>
      <w:bookmarkStart w:id="669" w:name="_Toc427681847"/>
      <w:bookmarkStart w:id="670" w:name="_Toc433276777"/>
      <w:bookmarkStart w:id="671" w:name="_Toc433295740"/>
      <w:bookmarkStart w:id="672" w:name="_Toc433296465"/>
      <w:bookmarkStart w:id="673" w:name="_Toc437500894"/>
      <w:bookmarkStart w:id="674" w:name="_Toc437501553"/>
      <w:bookmarkStart w:id="675" w:name="_Toc437501733"/>
      <w:bookmarkStart w:id="676" w:name="_Toc437501823"/>
      <w:bookmarkStart w:id="677" w:name="_Toc437502586"/>
      <w:bookmarkStart w:id="678" w:name="_Toc437505946"/>
      <w:bookmarkStart w:id="679" w:name="_Toc437512759"/>
      <w:r>
        <w:t>i</w:t>
      </w:r>
      <w:r w:rsidR="0083557B" w:rsidRPr="00F42CA3">
        <w:t xml:space="preserve">nfraestructura de transporte </w:t>
      </w:r>
      <w:r w:rsidR="0079761B" w:rsidRPr="00F42CA3">
        <w:t>z</w:t>
      </w:r>
      <w:r w:rsidR="0079761B" w:rsidRPr="00F42CA3">
        <w:rPr>
          <w:lang w:eastAsia="es-CO"/>
        </w:rPr>
        <w:t>ona norte</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rsidR="0083557B" w:rsidRDefault="0083557B" w:rsidP="003C25F5">
      <w:pPr>
        <w:rPr>
          <w:rFonts w:eastAsia="Arial" w:cs="Arial"/>
          <w:sz w:val="24"/>
          <w:lang w:val="es-CO"/>
        </w:rPr>
      </w:pPr>
      <w:r w:rsidRPr="00C341FD">
        <w:rPr>
          <w:rFonts w:eastAsia="Arial" w:cs="Arial"/>
          <w:sz w:val="24"/>
          <w:lang w:val="es-CO"/>
        </w:rPr>
        <w:t xml:space="preserve">La </w:t>
      </w:r>
      <w:r w:rsidR="009241D4" w:rsidRPr="00C341FD">
        <w:rPr>
          <w:rFonts w:eastAsia="Arial" w:cs="Arial"/>
          <w:sz w:val="24"/>
          <w:lang w:val="es-CO"/>
        </w:rPr>
        <w:fldChar w:fldCharType="begin"/>
      </w:r>
      <w:r w:rsidR="009241D4" w:rsidRPr="00C341FD">
        <w:rPr>
          <w:rFonts w:eastAsia="Arial" w:cs="Arial"/>
          <w:sz w:val="24"/>
          <w:lang w:val="es-CO"/>
        </w:rPr>
        <w:instrText xml:space="preserve"> REF _Ref437018446 \h </w:instrText>
      </w:r>
      <w:r w:rsidR="00C341FD">
        <w:rPr>
          <w:rFonts w:eastAsia="Arial" w:cs="Arial"/>
          <w:sz w:val="24"/>
          <w:lang w:val="es-CO"/>
        </w:rPr>
        <w:instrText xml:space="preserve"> \* MERGEFORMAT </w:instrText>
      </w:r>
      <w:r w:rsidR="009241D4" w:rsidRPr="00C341FD">
        <w:rPr>
          <w:rFonts w:eastAsia="Arial" w:cs="Arial"/>
          <w:sz w:val="24"/>
          <w:lang w:val="es-CO"/>
        </w:rPr>
      </w:r>
      <w:r w:rsidR="009241D4" w:rsidRPr="00C341FD">
        <w:rPr>
          <w:rFonts w:eastAsia="Arial" w:cs="Arial"/>
          <w:sz w:val="24"/>
          <w:lang w:val="es-CO"/>
        </w:rPr>
        <w:fldChar w:fldCharType="separate"/>
      </w:r>
      <w:r w:rsidR="00625BEB" w:rsidRPr="00625BEB">
        <w:rPr>
          <w:sz w:val="24"/>
        </w:rPr>
        <w:t xml:space="preserve">Tabla </w:t>
      </w:r>
      <w:r w:rsidR="00625BEB" w:rsidRPr="00625BEB">
        <w:rPr>
          <w:noProof/>
          <w:sz w:val="24"/>
        </w:rPr>
        <w:t>11</w:t>
      </w:r>
      <w:r w:rsidR="009241D4" w:rsidRPr="00C341FD">
        <w:rPr>
          <w:rFonts w:eastAsia="Arial" w:cs="Arial"/>
          <w:sz w:val="24"/>
          <w:lang w:val="es-CO"/>
        </w:rPr>
        <w:fldChar w:fldCharType="end"/>
      </w:r>
      <w:r w:rsidR="009241D4" w:rsidRPr="00C341FD">
        <w:rPr>
          <w:rFonts w:eastAsia="Arial" w:cs="Arial"/>
          <w:sz w:val="24"/>
          <w:lang w:val="es-CO"/>
        </w:rPr>
        <w:t xml:space="preserve"> </w:t>
      </w:r>
      <w:r w:rsidRPr="00C341FD">
        <w:rPr>
          <w:rFonts w:eastAsia="Arial" w:cs="Arial"/>
          <w:sz w:val="24"/>
          <w:lang w:val="es-CO"/>
        </w:rPr>
        <w:t xml:space="preserve">muestra la infraestructura de transporte asociada a la zona norte del país, el poliducto de mayor longitud de toda la red pertenece a esta zona, se trata de  Pozos-Ayacucho (14 pulgadas) con 321 kilómetros. El poliducto </w:t>
      </w:r>
      <w:r w:rsidR="009241D4" w:rsidRPr="00C341FD">
        <w:rPr>
          <w:rFonts w:eastAsia="Arial" w:cs="Arial"/>
          <w:sz w:val="24"/>
          <w:lang w:val="es-CO"/>
        </w:rPr>
        <w:t>Cartagena</w:t>
      </w:r>
      <w:r w:rsidRPr="00C341FD">
        <w:rPr>
          <w:rFonts w:eastAsia="Arial" w:cs="Arial"/>
          <w:sz w:val="24"/>
          <w:lang w:val="es-CO"/>
        </w:rPr>
        <w:t>-Baranoa (12 pulgadas) funciona de forma in</w:t>
      </w:r>
      <w:r w:rsidR="009564DC">
        <w:rPr>
          <w:rFonts w:eastAsia="Arial" w:cs="Arial"/>
          <w:sz w:val="24"/>
          <w:lang w:val="es-CO"/>
        </w:rPr>
        <w:t>dependiente al resto de la red.</w:t>
      </w:r>
    </w:p>
    <w:p w:rsidR="00122B75" w:rsidRPr="009564DC" w:rsidRDefault="00122B75" w:rsidP="003C25F5">
      <w:pPr>
        <w:rPr>
          <w:rFonts w:eastAsia="Arial" w:cs="Arial"/>
          <w:sz w:val="24"/>
          <w:lang w:val="es-C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236"/>
        <w:gridCol w:w="1134"/>
        <w:gridCol w:w="1706"/>
        <w:gridCol w:w="1333"/>
        <w:gridCol w:w="1185"/>
        <w:gridCol w:w="1499"/>
      </w:tblGrid>
      <w:tr w:rsidR="00122B75" w:rsidRPr="004859E4" w:rsidTr="001D1BBE">
        <w:trPr>
          <w:trHeight w:val="389"/>
          <w:jc w:val="center"/>
        </w:trPr>
        <w:tc>
          <w:tcPr>
            <w:tcW w:w="9462" w:type="dxa"/>
            <w:gridSpan w:val="7"/>
            <w:shd w:val="clear" w:color="auto" w:fill="auto"/>
            <w:vAlign w:val="center"/>
          </w:tcPr>
          <w:p w:rsidR="00122B75" w:rsidRPr="004859E4" w:rsidRDefault="00122B75" w:rsidP="00122B75">
            <w:pPr>
              <w:contextualSpacing/>
              <w:jc w:val="center"/>
              <w:rPr>
                <w:rFonts w:cs="Arial"/>
                <w:b/>
                <w:bCs/>
                <w:color w:val="004D67"/>
                <w:sz w:val="16"/>
                <w:szCs w:val="18"/>
                <w:lang w:eastAsia="es-CO"/>
              </w:rPr>
            </w:pPr>
            <w:bookmarkStart w:id="680" w:name="_Ref437018446"/>
            <w:bookmarkStart w:id="681" w:name="_Toc437512817"/>
            <w:r>
              <w:t xml:space="preserve">Tabla </w:t>
            </w:r>
            <w:r>
              <w:fldChar w:fldCharType="begin"/>
            </w:r>
            <w:r>
              <w:instrText xml:space="preserve"> SEQ Tabla \* ARABIC </w:instrText>
            </w:r>
            <w:r>
              <w:fldChar w:fldCharType="separate"/>
            </w:r>
            <w:r w:rsidR="00625BEB">
              <w:rPr>
                <w:noProof/>
              </w:rPr>
              <w:t>11</w:t>
            </w:r>
            <w:r>
              <w:fldChar w:fldCharType="end"/>
            </w:r>
            <w:bookmarkEnd w:id="680"/>
            <w:r>
              <w:t xml:space="preserve"> </w:t>
            </w:r>
            <w:r w:rsidRPr="00383CD0">
              <w:t>Infraestructura de transporte zona norte</w:t>
            </w:r>
            <w:bookmarkEnd w:id="681"/>
          </w:p>
        </w:tc>
      </w:tr>
      <w:tr w:rsidR="0083557B" w:rsidRPr="004859E4" w:rsidTr="00122B75">
        <w:trPr>
          <w:trHeight w:val="389"/>
          <w:jc w:val="center"/>
        </w:trPr>
        <w:tc>
          <w:tcPr>
            <w:tcW w:w="1369" w:type="dxa"/>
            <w:shd w:val="clear" w:color="auto" w:fill="auto"/>
            <w:vAlign w:val="center"/>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SISTEMAS</w:t>
            </w:r>
          </w:p>
        </w:tc>
        <w:tc>
          <w:tcPr>
            <w:tcW w:w="1236" w:type="dxa"/>
            <w:shd w:val="clear" w:color="auto" w:fill="auto"/>
            <w:vAlign w:val="center"/>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ESTACION INICIAL</w:t>
            </w:r>
          </w:p>
        </w:tc>
        <w:tc>
          <w:tcPr>
            <w:tcW w:w="1134" w:type="dxa"/>
            <w:shd w:val="clear" w:color="auto" w:fill="auto"/>
            <w:vAlign w:val="center"/>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ESTACION FINAL</w:t>
            </w:r>
          </w:p>
        </w:tc>
        <w:tc>
          <w:tcPr>
            <w:tcW w:w="1706" w:type="dxa"/>
            <w:shd w:val="clear" w:color="auto" w:fill="auto"/>
            <w:vAlign w:val="center"/>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CAPACIDAD NOMINAL (Kbls)</w:t>
            </w:r>
          </w:p>
        </w:tc>
        <w:tc>
          <w:tcPr>
            <w:tcW w:w="1333" w:type="dxa"/>
            <w:shd w:val="clear" w:color="auto" w:fill="auto"/>
            <w:vAlign w:val="center"/>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DIAMETRO  PULGADAS</w:t>
            </w:r>
          </w:p>
        </w:tc>
        <w:tc>
          <w:tcPr>
            <w:tcW w:w="1185" w:type="dxa"/>
            <w:shd w:val="clear" w:color="auto" w:fill="auto"/>
            <w:vAlign w:val="center"/>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LONGITUD KMS</w:t>
            </w:r>
          </w:p>
        </w:tc>
        <w:tc>
          <w:tcPr>
            <w:tcW w:w="1499" w:type="dxa"/>
            <w:shd w:val="clear" w:color="auto" w:fill="auto"/>
            <w:vAlign w:val="center"/>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PRODUCTOS ASOCIADOS</w:t>
            </w:r>
          </w:p>
        </w:tc>
      </w:tr>
      <w:tr w:rsidR="0083557B" w:rsidRPr="004859E4" w:rsidTr="00122B75">
        <w:trPr>
          <w:trHeight w:val="19"/>
          <w:jc w:val="center"/>
        </w:trPr>
        <w:tc>
          <w:tcPr>
            <w:tcW w:w="9462" w:type="dxa"/>
            <w:gridSpan w:val="7"/>
            <w:shd w:val="clear" w:color="auto" w:fill="D3DFEE"/>
            <w:hideMark/>
          </w:tcPr>
          <w:p w:rsidR="0083557B" w:rsidRPr="004859E4" w:rsidRDefault="0083557B" w:rsidP="007308C4">
            <w:pPr>
              <w:contextualSpacing/>
              <w:rPr>
                <w:rFonts w:cs="Arial"/>
                <w:b/>
                <w:bCs/>
                <w:color w:val="004D67"/>
                <w:sz w:val="18"/>
                <w:szCs w:val="18"/>
                <w:lang w:eastAsia="es-CO"/>
              </w:rPr>
            </w:pPr>
          </w:p>
        </w:tc>
      </w:tr>
      <w:tr w:rsidR="0083557B" w:rsidRPr="004859E4" w:rsidTr="00122B75">
        <w:trPr>
          <w:trHeight w:val="486"/>
          <w:jc w:val="center"/>
        </w:trPr>
        <w:tc>
          <w:tcPr>
            <w:tcW w:w="1369" w:type="dxa"/>
            <w:shd w:val="clear" w:color="auto" w:fill="auto"/>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Pozos-Ayacucho</w:t>
            </w:r>
          </w:p>
        </w:tc>
        <w:tc>
          <w:tcPr>
            <w:tcW w:w="1236"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Pozos</w:t>
            </w:r>
          </w:p>
        </w:tc>
        <w:tc>
          <w:tcPr>
            <w:tcW w:w="1134"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Ayacucho</w:t>
            </w:r>
          </w:p>
        </w:tc>
        <w:tc>
          <w:tcPr>
            <w:tcW w:w="1706"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96,3</w:t>
            </w:r>
          </w:p>
        </w:tc>
        <w:tc>
          <w:tcPr>
            <w:tcW w:w="1333" w:type="dxa"/>
            <w:shd w:val="clear" w:color="auto" w:fill="auto"/>
            <w:vAlign w:val="center"/>
            <w:hideMark/>
          </w:tcPr>
          <w:p w:rsidR="0083557B" w:rsidRPr="004859E4" w:rsidRDefault="0083557B" w:rsidP="00686184">
            <w:pPr>
              <w:contextualSpacing/>
              <w:jc w:val="center"/>
              <w:rPr>
                <w:rFonts w:cs="Arial"/>
                <w:color w:val="004D67"/>
                <w:sz w:val="18"/>
                <w:szCs w:val="18"/>
                <w:lang w:eastAsia="es-CO"/>
              </w:rPr>
            </w:pPr>
            <w:r w:rsidRPr="004859E4">
              <w:rPr>
                <w:rFonts w:cs="Arial"/>
                <w:color w:val="004D67"/>
                <w:sz w:val="18"/>
                <w:szCs w:val="18"/>
                <w:lang w:eastAsia="es-CO"/>
              </w:rPr>
              <w:t>14″</w:t>
            </w:r>
          </w:p>
        </w:tc>
        <w:tc>
          <w:tcPr>
            <w:tcW w:w="1185"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321,05</w:t>
            </w:r>
          </w:p>
        </w:tc>
        <w:tc>
          <w:tcPr>
            <w:tcW w:w="1499" w:type="dxa"/>
            <w:shd w:val="clear" w:color="auto" w:fill="auto"/>
            <w:vAlign w:val="center"/>
            <w:hideMark/>
          </w:tcPr>
          <w:p w:rsidR="0083557B" w:rsidRPr="004859E4" w:rsidRDefault="0083557B" w:rsidP="007308C4">
            <w:pPr>
              <w:contextualSpacing/>
              <w:rPr>
                <w:rFonts w:cs="Arial"/>
                <w:color w:val="004D67"/>
                <w:sz w:val="14"/>
                <w:szCs w:val="18"/>
                <w:lang w:eastAsia="es-CO"/>
              </w:rPr>
            </w:pPr>
            <w:r w:rsidRPr="004859E4">
              <w:rPr>
                <w:rFonts w:cs="Arial"/>
                <w:color w:val="004D67"/>
                <w:sz w:val="14"/>
                <w:szCs w:val="18"/>
                <w:lang w:eastAsia="es-CO"/>
              </w:rPr>
              <w:t>ACEM, NATI, GMR, B2EIMPORTADO</w:t>
            </w:r>
          </w:p>
        </w:tc>
      </w:tr>
      <w:tr w:rsidR="0083557B" w:rsidRPr="004859E4" w:rsidTr="00122B75">
        <w:trPr>
          <w:trHeight w:val="506"/>
          <w:jc w:val="center"/>
        </w:trPr>
        <w:tc>
          <w:tcPr>
            <w:tcW w:w="1369" w:type="dxa"/>
            <w:shd w:val="clear" w:color="auto" w:fill="D3DFEE"/>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Ayacucho-Galán</w:t>
            </w:r>
          </w:p>
        </w:tc>
        <w:tc>
          <w:tcPr>
            <w:tcW w:w="1236"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Ayacucho</w:t>
            </w:r>
          </w:p>
        </w:tc>
        <w:tc>
          <w:tcPr>
            <w:tcW w:w="1134"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Galán</w:t>
            </w:r>
          </w:p>
        </w:tc>
        <w:tc>
          <w:tcPr>
            <w:tcW w:w="1706"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96,3</w:t>
            </w:r>
          </w:p>
        </w:tc>
        <w:tc>
          <w:tcPr>
            <w:tcW w:w="1333" w:type="dxa"/>
            <w:shd w:val="clear" w:color="auto" w:fill="D3DFEE"/>
            <w:vAlign w:val="center"/>
            <w:hideMark/>
          </w:tcPr>
          <w:p w:rsidR="0083557B" w:rsidRPr="004859E4" w:rsidRDefault="0083557B" w:rsidP="00686184">
            <w:pPr>
              <w:contextualSpacing/>
              <w:jc w:val="center"/>
              <w:rPr>
                <w:rFonts w:cs="Arial"/>
                <w:color w:val="004D67"/>
                <w:sz w:val="18"/>
                <w:szCs w:val="18"/>
                <w:lang w:eastAsia="es-CO"/>
              </w:rPr>
            </w:pPr>
            <w:r w:rsidRPr="004859E4">
              <w:rPr>
                <w:rFonts w:cs="Arial"/>
                <w:color w:val="004D67"/>
                <w:sz w:val="18"/>
                <w:szCs w:val="18"/>
                <w:lang w:eastAsia="es-CO"/>
              </w:rPr>
              <w:t>14″</w:t>
            </w:r>
          </w:p>
        </w:tc>
        <w:tc>
          <w:tcPr>
            <w:tcW w:w="1185"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190,7</w:t>
            </w:r>
          </w:p>
        </w:tc>
        <w:tc>
          <w:tcPr>
            <w:tcW w:w="1499" w:type="dxa"/>
            <w:shd w:val="clear" w:color="auto" w:fill="D3DFEE"/>
            <w:vAlign w:val="center"/>
            <w:hideMark/>
          </w:tcPr>
          <w:p w:rsidR="0083557B" w:rsidRPr="004859E4" w:rsidRDefault="0083557B" w:rsidP="007308C4">
            <w:pPr>
              <w:contextualSpacing/>
              <w:rPr>
                <w:rFonts w:cs="Arial"/>
                <w:color w:val="004D67"/>
                <w:sz w:val="14"/>
                <w:szCs w:val="18"/>
                <w:lang w:eastAsia="es-CO"/>
              </w:rPr>
            </w:pPr>
            <w:r w:rsidRPr="004859E4">
              <w:rPr>
                <w:rFonts w:cs="Arial"/>
                <w:color w:val="004D67"/>
                <w:sz w:val="14"/>
                <w:szCs w:val="18"/>
                <w:lang w:eastAsia="es-CO"/>
              </w:rPr>
              <w:t>ACEM, NATI, GMR, B2EIMPORTADO</w:t>
            </w:r>
          </w:p>
        </w:tc>
      </w:tr>
      <w:tr w:rsidR="0083557B" w:rsidRPr="004B021B" w:rsidTr="00122B75">
        <w:trPr>
          <w:trHeight w:val="623"/>
          <w:jc w:val="center"/>
        </w:trPr>
        <w:tc>
          <w:tcPr>
            <w:tcW w:w="1369" w:type="dxa"/>
            <w:shd w:val="clear" w:color="auto" w:fill="auto"/>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Cartagena-Barranquilla</w:t>
            </w:r>
          </w:p>
        </w:tc>
        <w:tc>
          <w:tcPr>
            <w:tcW w:w="1236"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Cartagena</w:t>
            </w:r>
          </w:p>
        </w:tc>
        <w:tc>
          <w:tcPr>
            <w:tcW w:w="1134"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Baranoa</w:t>
            </w:r>
          </w:p>
        </w:tc>
        <w:tc>
          <w:tcPr>
            <w:tcW w:w="1706"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30,9</w:t>
            </w:r>
          </w:p>
        </w:tc>
        <w:tc>
          <w:tcPr>
            <w:tcW w:w="1333" w:type="dxa"/>
            <w:shd w:val="clear" w:color="auto" w:fill="auto"/>
            <w:vAlign w:val="center"/>
            <w:hideMark/>
          </w:tcPr>
          <w:p w:rsidR="0083557B" w:rsidRPr="004859E4" w:rsidRDefault="0083557B" w:rsidP="00686184">
            <w:pPr>
              <w:contextualSpacing/>
              <w:jc w:val="center"/>
              <w:rPr>
                <w:rFonts w:cs="Arial"/>
                <w:color w:val="004D67"/>
                <w:sz w:val="18"/>
                <w:szCs w:val="18"/>
                <w:lang w:eastAsia="es-CO"/>
              </w:rPr>
            </w:pPr>
            <w:r w:rsidRPr="004859E4">
              <w:rPr>
                <w:rFonts w:cs="Arial"/>
                <w:color w:val="004D67"/>
                <w:sz w:val="18"/>
                <w:szCs w:val="18"/>
                <w:lang w:eastAsia="es-CO"/>
              </w:rPr>
              <w:t>12″</w:t>
            </w:r>
          </w:p>
        </w:tc>
        <w:tc>
          <w:tcPr>
            <w:tcW w:w="1185"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103,7</w:t>
            </w:r>
          </w:p>
        </w:tc>
        <w:tc>
          <w:tcPr>
            <w:tcW w:w="1499" w:type="dxa"/>
            <w:shd w:val="clear" w:color="auto" w:fill="auto"/>
            <w:vAlign w:val="center"/>
            <w:hideMark/>
          </w:tcPr>
          <w:p w:rsidR="0083557B" w:rsidRPr="004859E4" w:rsidRDefault="0083557B" w:rsidP="007308C4">
            <w:pPr>
              <w:contextualSpacing/>
              <w:rPr>
                <w:rFonts w:cs="Arial"/>
                <w:color w:val="004D67"/>
                <w:sz w:val="14"/>
                <w:szCs w:val="18"/>
                <w:lang w:val="en-US" w:eastAsia="es-CO"/>
              </w:rPr>
            </w:pPr>
            <w:r w:rsidRPr="004859E4">
              <w:rPr>
                <w:rFonts w:cs="Arial"/>
                <w:color w:val="004D67"/>
                <w:sz w:val="14"/>
                <w:szCs w:val="18"/>
                <w:lang w:val="en-US" w:eastAsia="es-CO"/>
              </w:rPr>
              <w:t>B4, GMR, GPR, KERO, JET A1</w:t>
            </w:r>
          </w:p>
        </w:tc>
      </w:tr>
    </w:tbl>
    <w:p w:rsidR="0083557B" w:rsidRPr="004859E4" w:rsidRDefault="0083557B" w:rsidP="0083557B">
      <w:pPr>
        <w:ind w:left="195"/>
        <w:rPr>
          <w:rFonts w:cs="Arial"/>
          <w:sz w:val="16"/>
        </w:rPr>
      </w:pPr>
      <w:r w:rsidRPr="004859E4">
        <w:rPr>
          <w:rFonts w:cs="Arial"/>
          <w:sz w:val="16"/>
        </w:rPr>
        <w:t>Fuente: Cenit Transporte y Logística de Hidrocarburos</w:t>
      </w:r>
    </w:p>
    <w:p w:rsidR="0083557B" w:rsidRPr="004859E4" w:rsidRDefault="0083557B" w:rsidP="009564DC"/>
    <w:p w:rsidR="0083557B" w:rsidRPr="00F42CA3" w:rsidRDefault="0083557B" w:rsidP="0079761B">
      <w:pPr>
        <w:pStyle w:val="Ttulo2"/>
        <w:rPr>
          <w:lang w:eastAsia="es-CO"/>
        </w:rPr>
      </w:pPr>
      <w:bookmarkStart w:id="682" w:name="_Toc424832920"/>
      <w:bookmarkStart w:id="683" w:name="_Toc424887651"/>
      <w:bookmarkStart w:id="684" w:name="_Toc425488410"/>
      <w:bookmarkStart w:id="685" w:name="_Toc426035051"/>
      <w:bookmarkStart w:id="686" w:name="_Toc427333615"/>
      <w:bookmarkStart w:id="687" w:name="_Toc427336556"/>
      <w:bookmarkStart w:id="688" w:name="_Toc427681848"/>
      <w:bookmarkStart w:id="689" w:name="_Toc433276778"/>
      <w:bookmarkStart w:id="690" w:name="_Toc433295741"/>
      <w:bookmarkStart w:id="691" w:name="_Toc433296466"/>
      <w:bookmarkStart w:id="692" w:name="_Toc437500895"/>
      <w:bookmarkStart w:id="693" w:name="_Toc437501554"/>
      <w:bookmarkStart w:id="694" w:name="_Toc437501734"/>
      <w:bookmarkStart w:id="695" w:name="_Toc437501824"/>
      <w:bookmarkStart w:id="696" w:name="_Toc437502587"/>
      <w:bookmarkStart w:id="697" w:name="_Toc437505947"/>
      <w:bookmarkStart w:id="698" w:name="_Toc437512760"/>
      <w:r w:rsidRPr="00F42CA3">
        <w:t xml:space="preserve">Infraestructura de transporte </w:t>
      </w:r>
      <w:r w:rsidR="0079761B" w:rsidRPr="00F42CA3">
        <w:t>z</w:t>
      </w:r>
      <w:r w:rsidR="0079761B" w:rsidRPr="00F42CA3">
        <w:rPr>
          <w:lang w:eastAsia="es-CO"/>
        </w:rPr>
        <w:t>ona este</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rsidR="0083557B" w:rsidRPr="009564DC" w:rsidRDefault="0083557B" w:rsidP="0083557B">
      <w:pPr>
        <w:rPr>
          <w:rFonts w:eastAsia="Arial" w:cs="Arial"/>
          <w:sz w:val="24"/>
          <w:lang w:val="es-CO"/>
        </w:rPr>
      </w:pPr>
      <w:r w:rsidRPr="00C341FD">
        <w:rPr>
          <w:rFonts w:eastAsia="Arial" w:cs="Arial"/>
          <w:sz w:val="24"/>
          <w:lang w:val="es-CO"/>
        </w:rPr>
        <w:t>En esta zona el único poliducto es el que va de Galán a Bucaramanga, tiene una longitud de 97 kilómetros y una capaci</w:t>
      </w:r>
      <w:r w:rsidR="009564DC">
        <w:rPr>
          <w:rFonts w:eastAsia="Arial" w:cs="Arial"/>
          <w:sz w:val="24"/>
          <w:lang w:val="es-CO"/>
        </w:rPr>
        <w:t>dad nominal de 25,300 barriles.</w:t>
      </w:r>
    </w:p>
    <w:p w:rsidR="003C25F5" w:rsidRDefault="003C25F5" w:rsidP="003C25F5">
      <w:pPr>
        <w:pStyle w:val="Epgrafe"/>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5"/>
        <w:gridCol w:w="1171"/>
        <w:gridCol w:w="1463"/>
        <w:gridCol w:w="1464"/>
        <w:gridCol w:w="1171"/>
        <w:gridCol w:w="1171"/>
        <w:gridCol w:w="1333"/>
      </w:tblGrid>
      <w:tr w:rsidR="00950906" w:rsidRPr="004859E4" w:rsidTr="00950906">
        <w:trPr>
          <w:trHeight w:val="574"/>
          <w:jc w:val="center"/>
        </w:trPr>
        <w:tc>
          <w:tcPr>
            <w:tcW w:w="9348" w:type="dxa"/>
            <w:gridSpan w:val="7"/>
            <w:shd w:val="clear" w:color="auto" w:fill="auto"/>
            <w:vAlign w:val="center"/>
          </w:tcPr>
          <w:p w:rsidR="00950906" w:rsidRPr="004859E4" w:rsidRDefault="00950906" w:rsidP="00950906">
            <w:pPr>
              <w:contextualSpacing/>
              <w:jc w:val="center"/>
              <w:rPr>
                <w:rFonts w:cs="Arial"/>
                <w:b/>
                <w:bCs/>
                <w:color w:val="004D67"/>
                <w:sz w:val="16"/>
                <w:szCs w:val="16"/>
                <w:lang w:eastAsia="es-CO"/>
              </w:rPr>
            </w:pPr>
            <w:bookmarkStart w:id="699" w:name="_Toc437512818"/>
            <w:r>
              <w:t xml:space="preserve">Tabla </w:t>
            </w:r>
            <w:r>
              <w:fldChar w:fldCharType="begin"/>
            </w:r>
            <w:r>
              <w:instrText xml:space="preserve"> SEQ Tabla \* ARABIC </w:instrText>
            </w:r>
            <w:r>
              <w:fldChar w:fldCharType="separate"/>
            </w:r>
            <w:r w:rsidR="00625BEB">
              <w:rPr>
                <w:noProof/>
              </w:rPr>
              <w:t>12</w:t>
            </w:r>
            <w:r>
              <w:fldChar w:fldCharType="end"/>
            </w:r>
            <w:r>
              <w:t xml:space="preserve"> </w:t>
            </w:r>
            <w:r w:rsidRPr="005D223F">
              <w:t>Infraestructura de transporte zona este</w:t>
            </w:r>
            <w:bookmarkEnd w:id="699"/>
          </w:p>
        </w:tc>
      </w:tr>
      <w:tr w:rsidR="0083557B" w:rsidRPr="004859E4" w:rsidTr="00950906">
        <w:trPr>
          <w:trHeight w:val="574"/>
          <w:jc w:val="center"/>
        </w:trPr>
        <w:tc>
          <w:tcPr>
            <w:tcW w:w="1575" w:type="dxa"/>
            <w:shd w:val="clear" w:color="auto" w:fill="auto"/>
            <w:vAlign w:val="center"/>
            <w:hideMark/>
          </w:tcPr>
          <w:p w:rsidR="0083557B" w:rsidRPr="004859E4" w:rsidRDefault="0083557B" w:rsidP="007308C4">
            <w:pPr>
              <w:contextualSpacing/>
              <w:rPr>
                <w:rFonts w:cs="Arial"/>
                <w:b/>
                <w:bCs/>
                <w:color w:val="004D67"/>
                <w:sz w:val="16"/>
                <w:szCs w:val="16"/>
                <w:lang w:eastAsia="es-CO"/>
              </w:rPr>
            </w:pPr>
            <w:r w:rsidRPr="004859E4">
              <w:rPr>
                <w:rFonts w:cs="Arial"/>
                <w:b/>
                <w:bCs/>
                <w:color w:val="004D67"/>
                <w:sz w:val="16"/>
                <w:szCs w:val="16"/>
                <w:lang w:eastAsia="es-CO"/>
              </w:rPr>
              <w:t>SISTEMAS</w:t>
            </w:r>
          </w:p>
        </w:tc>
        <w:tc>
          <w:tcPr>
            <w:tcW w:w="1171" w:type="dxa"/>
            <w:shd w:val="clear" w:color="auto" w:fill="auto"/>
            <w:vAlign w:val="center"/>
            <w:hideMark/>
          </w:tcPr>
          <w:p w:rsidR="0083557B" w:rsidRPr="004859E4" w:rsidRDefault="0083557B" w:rsidP="007308C4">
            <w:pPr>
              <w:contextualSpacing/>
              <w:rPr>
                <w:rFonts w:cs="Arial"/>
                <w:b/>
                <w:bCs/>
                <w:color w:val="004D67"/>
                <w:sz w:val="16"/>
                <w:szCs w:val="16"/>
                <w:lang w:eastAsia="es-CO"/>
              </w:rPr>
            </w:pPr>
            <w:r w:rsidRPr="004859E4">
              <w:rPr>
                <w:rFonts w:cs="Arial"/>
                <w:b/>
                <w:bCs/>
                <w:color w:val="004D67"/>
                <w:sz w:val="16"/>
                <w:szCs w:val="16"/>
                <w:lang w:eastAsia="es-CO"/>
              </w:rPr>
              <w:t>ESTACION INICIAL</w:t>
            </w:r>
          </w:p>
        </w:tc>
        <w:tc>
          <w:tcPr>
            <w:tcW w:w="1463" w:type="dxa"/>
            <w:shd w:val="clear" w:color="auto" w:fill="auto"/>
            <w:vAlign w:val="center"/>
            <w:hideMark/>
          </w:tcPr>
          <w:p w:rsidR="0083557B" w:rsidRPr="004859E4" w:rsidRDefault="0083557B" w:rsidP="007308C4">
            <w:pPr>
              <w:contextualSpacing/>
              <w:rPr>
                <w:rFonts w:cs="Arial"/>
                <w:b/>
                <w:bCs/>
                <w:color w:val="004D67"/>
                <w:sz w:val="16"/>
                <w:szCs w:val="16"/>
                <w:lang w:eastAsia="es-CO"/>
              </w:rPr>
            </w:pPr>
            <w:r w:rsidRPr="004859E4">
              <w:rPr>
                <w:rFonts w:cs="Arial"/>
                <w:b/>
                <w:bCs/>
                <w:color w:val="004D67"/>
                <w:sz w:val="16"/>
                <w:szCs w:val="16"/>
                <w:lang w:eastAsia="es-CO"/>
              </w:rPr>
              <w:t>ESTACION FINAL</w:t>
            </w:r>
          </w:p>
        </w:tc>
        <w:tc>
          <w:tcPr>
            <w:tcW w:w="1464" w:type="dxa"/>
            <w:shd w:val="clear" w:color="auto" w:fill="auto"/>
            <w:vAlign w:val="center"/>
            <w:hideMark/>
          </w:tcPr>
          <w:p w:rsidR="0083557B" w:rsidRPr="004859E4" w:rsidRDefault="0083557B" w:rsidP="007308C4">
            <w:pPr>
              <w:contextualSpacing/>
              <w:rPr>
                <w:rFonts w:cs="Arial"/>
                <w:b/>
                <w:bCs/>
                <w:color w:val="004D67"/>
                <w:sz w:val="16"/>
                <w:szCs w:val="16"/>
                <w:lang w:eastAsia="es-CO"/>
              </w:rPr>
            </w:pPr>
            <w:r w:rsidRPr="004859E4">
              <w:rPr>
                <w:rFonts w:cs="Arial"/>
                <w:b/>
                <w:bCs/>
                <w:color w:val="004D67"/>
                <w:sz w:val="14"/>
                <w:szCs w:val="16"/>
                <w:lang w:eastAsia="es-CO"/>
              </w:rPr>
              <w:t>CAPACIDAD NOMINAL (Kbls)</w:t>
            </w:r>
          </w:p>
        </w:tc>
        <w:tc>
          <w:tcPr>
            <w:tcW w:w="1171" w:type="dxa"/>
            <w:shd w:val="clear" w:color="auto" w:fill="auto"/>
            <w:vAlign w:val="center"/>
            <w:hideMark/>
          </w:tcPr>
          <w:p w:rsidR="0083557B" w:rsidRPr="004859E4" w:rsidRDefault="0083557B" w:rsidP="007308C4">
            <w:pPr>
              <w:contextualSpacing/>
              <w:rPr>
                <w:rFonts w:cs="Arial"/>
                <w:b/>
                <w:bCs/>
                <w:color w:val="004D67"/>
                <w:sz w:val="16"/>
                <w:szCs w:val="16"/>
                <w:lang w:eastAsia="es-CO"/>
              </w:rPr>
            </w:pPr>
            <w:r w:rsidRPr="004859E4">
              <w:rPr>
                <w:rFonts w:cs="Arial"/>
                <w:b/>
                <w:bCs/>
                <w:color w:val="004D67"/>
                <w:sz w:val="16"/>
                <w:szCs w:val="16"/>
                <w:lang w:eastAsia="es-CO"/>
              </w:rPr>
              <w:t>DIAMETRO  PULGADAS</w:t>
            </w:r>
          </w:p>
        </w:tc>
        <w:tc>
          <w:tcPr>
            <w:tcW w:w="1171" w:type="dxa"/>
            <w:shd w:val="clear" w:color="auto" w:fill="auto"/>
            <w:vAlign w:val="center"/>
            <w:hideMark/>
          </w:tcPr>
          <w:p w:rsidR="0083557B" w:rsidRPr="004859E4" w:rsidRDefault="0083557B" w:rsidP="007308C4">
            <w:pPr>
              <w:contextualSpacing/>
              <w:rPr>
                <w:rFonts w:cs="Arial"/>
                <w:b/>
                <w:bCs/>
                <w:color w:val="004D67"/>
                <w:sz w:val="16"/>
                <w:szCs w:val="16"/>
                <w:lang w:eastAsia="es-CO"/>
              </w:rPr>
            </w:pPr>
            <w:r w:rsidRPr="004859E4">
              <w:rPr>
                <w:rFonts w:cs="Arial"/>
                <w:b/>
                <w:bCs/>
                <w:color w:val="004D67"/>
                <w:sz w:val="16"/>
                <w:szCs w:val="16"/>
                <w:lang w:eastAsia="es-CO"/>
              </w:rPr>
              <w:t>LONGITUD KMS</w:t>
            </w:r>
          </w:p>
        </w:tc>
        <w:tc>
          <w:tcPr>
            <w:tcW w:w="1333" w:type="dxa"/>
            <w:shd w:val="clear" w:color="auto" w:fill="auto"/>
            <w:vAlign w:val="center"/>
            <w:hideMark/>
          </w:tcPr>
          <w:p w:rsidR="0083557B" w:rsidRPr="004859E4" w:rsidRDefault="0083557B" w:rsidP="007308C4">
            <w:pPr>
              <w:contextualSpacing/>
              <w:rPr>
                <w:rFonts w:cs="Arial"/>
                <w:b/>
                <w:bCs/>
                <w:color w:val="004D67"/>
                <w:sz w:val="16"/>
                <w:szCs w:val="16"/>
                <w:lang w:eastAsia="es-CO"/>
              </w:rPr>
            </w:pPr>
            <w:r w:rsidRPr="004859E4">
              <w:rPr>
                <w:rFonts w:cs="Arial"/>
                <w:b/>
                <w:bCs/>
                <w:color w:val="004D67"/>
                <w:sz w:val="16"/>
                <w:szCs w:val="16"/>
                <w:lang w:eastAsia="es-CO"/>
              </w:rPr>
              <w:t>PRODUCTOS ASOCIADOS</w:t>
            </w:r>
          </w:p>
        </w:tc>
      </w:tr>
      <w:tr w:rsidR="0083557B" w:rsidRPr="004B021B" w:rsidTr="00950906">
        <w:trPr>
          <w:trHeight w:val="436"/>
          <w:jc w:val="center"/>
        </w:trPr>
        <w:tc>
          <w:tcPr>
            <w:tcW w:w="1575" w:type="dxa"/>
            <w:shd w:val="clear" w:color="auto" w:fill="D3DFEE"/>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Galán-Bucaramanga</w:t>
            </w:r>
          </w:p>
        </w:tc>
        <w:tc>
          <w:tcPr>
            <w:tcW w:w="1171"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Galán</w:t>
            </w:r>
          </w:p>
        </w:tc>
        <w:tc>
          <w:tcPr>
            <w:tcW w:w="1463"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Bucaramanga</w:t>
            </w:r>
          </w:p>
        </w:tc>
        <w:tc>
          <w:tcPr>
            <w:tcW w:w="1464"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25,3</w:t>
            </w:r>
          </w:p>
        </w:tc>
        <w:tc>
          <w:tcPr>
            <w:tcW w:w="1171"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4″6″12″</w:t>
            </w:r>
          </w:p>
        </w:tc>
        <w:tc>
          <w:tcPr>
            <w:tcW w:w="1171"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97.6</w:t>
            </w:r>
          </w:p>
        </w:tc>
        <w:tc>
          <w:tcPr>
            <w:tcW w:w="1333" w:type="dxa"/>
            <w:shd w:val="clear" w:color="auto" w:fill="D3DFEE"/>
            <w:vAlign w:val="center"/>
            <w:hideMark/>
          </w:tcPr>
          <w:p w:rsidR="0083557B" w:rsidRPr="004859E4" w:rsidRDefault="0083557B" w:rsidP="007308C4">
            <w:pPr>
              <w:contextualSpacing/>
              <w:rPr>
                <w:rFonts w:cs="Arial"/>
                <w:color w:val="004D67"/>
                <w:sz w:val="18"/>
                <w:szCs w:val="18"/>
                <w:lang w:val="en-US" w:eastAsia="es-CO"/>
              </w:rPr>
            </w:pPr>
            <w:r w:rsidRPr="004859E4">
              <w:rPr>
                <w:rFonts w:cs="Arial"/>
                <w:color w:val="004D67"/>
                <w:sz w:val="14"/>
                <w:szCs w:val="18"/>
                <w:lang w:val="en-US" w:eastAsia="es-CO"/>
              </w:rPr>
              <w:t>VOIL, GMR, GPR, B2, GLP</w:t>
            </w:r>
          </w:p>
        </w:tc>
      </w:tr>
    </w:tbl>
    <w:p w:rsidR="0083557B" w:rsidRPr="004859E4" w:rsidRDefault="0083557B" w:rsidP="0083557B">
      <w:pPr>
        <w:ind w:left="195"/>
        <w:rPr>
          <w:rFonts w:cs="Arial"/>
          <w:sz w:val="16"/>
        </w:rPr>
      </w:pPr>
      <w:r w:rsidRPr="004859E4">
        <w:rPr>
          <w:rFonts w:cs="Arial"/>
          <w:sz w:val="16"/>
        </w:rPr>
        <w:t>Fuente: Cenit Transporte y Logística de Hidrocarburos</w:t>
      </w:r>
    </w:p>
    <w:p w:rsidR="00F42CA3" w:rsidRDefault="00F42CA3" w:rsidP="009564DC">
      <w:pPr>
        <w:rPr>
          <w:lang w:eastAsia="es-CO"/>
        </w:rPr>
      </w:pPr>
      <w:bookmarkStart w:id="700" w:name="_Toc424832921"/>
      <w:bookmarkStart w:id="701" w:name="_Toc424887652"/>
      <w:bookmarkStart w:id="702" w:name="_Toc425488411"/>
      <w:bookmarkStart w:id="703" w:name="_Toc426035052"/>
      <w:bookmarkStart w:id="704" w:name="_Toc427333616"/>
      <w:bookmarkStart w:id="705" w:name="_Toc427336557"/>
      <w:bookmarkStart w:id="706" w:name="_Toc427681849"/>
      <w:bookmarkStart w:id="707" w:name="_Toc433276779"/>
      <w:bookmarkStart w:id="708" w:name="_Toc433295742"/>
      <w:bookmarkStart w:id="709" w:name="_Toc433296467"/>
    </w:p>
    <w:p w:rsidR="0083557B" w:rsidRPr="00F42CA3" w:rsidRDefault="001E5E2C" w:rsidP="00580A39">
      <w:pPr>
        <w:pStyle w:val="Ttulo2"/>
        <w:rPr>
          <w:lang w:eastAsia="es-CO"/>
        </w:rPr>
      </w:pPr>
      <w:bookmarkStart w:id="710" w:name="_Toc437500896"/>
      <w:bookmarkStart w:id="711" w:name="_Toc437501555"/>
      <w:bookmarkStart w:id="712" w:name="_Toc437501735"/>
      <w:bookmarkStart w:id="713" w:name="_Toc437501825"/>
      <w:bookmarkStart w:id="714" w:name="_Toc437502588"/>
      <w:bookmarkStart w:id="715" w:name="_Toc437505948"/>
      <w:bookmarkStart w:id="716" w:name="_Toc437512761"/>
      <w:r>
        <w:t>i</w:t>
      </w:r>
      <w:r w:rsidR="0083557B" w:rsidRPr="00F42CA3">
        <w:t xml:space="preserve">nfraestructura de transporte </w:t>
      </w:r>
      <w:r w:rsidR="0079761B" w:rsidRPr="00F42CA3">
        <w:t>z</w:t>
      </w:r>
      <w:r w:rsidR="0079761B" w:rsidRPr="00F42CA3">
        <w:rPr>
          <w:lang w:eastAsia="es-CO"/>
        </w:rPr>
        <w:t>ona centro</w:t>
      </w:r>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p>
    <w:p w:rsidR="0083557B" w:rsidRPr="004859E4" w:rsidRDefault="0083557B" w:rsidP="0083557B">
      <w:pPr>
        <w:ind w:left="195"/>
        <w:rPr>
          <w:rFonts w:cs="Arial"/>
          <w:lang w:val="es-ES_tradnl" w:eastAsia="es-CO"/>
        </w:rPr>
      </w:pPr>
    </w:p>
    <w:p w:rsidR="0083557B" w:rsidRPr="00C341FD" w:rsidRDefault="0083557B" w:rsidP="0083557B">
      <w:pPr>
        <w:rPr>
          <w:rFonts w:eastAsia="Arial" w:cs="Arial"/>
          <w:sz w:val="24"/>
          <w:lang w:val="es-CO"/>
        </w:rPr>
      </w:pPr>
      <w:r w:rsidRPr="00C341FD">
        <w:rPr>
          <w:rFonts w:eastAsia="Arial" w:cs="Arial"/>
          <w:sz w:val="24"/>
          <w:lang w:val="es-CO"/>
        </w:rPr>
        <w:t>En la zona centro, se encuentran los poliductos que tienen como punto de partida Galán y Sebastopol. Se debe destacar que en esta zona se encuentran ductos de 16 pulgadas. El ducto de mayor longitud en esta zona corresponde a Sebastopol-Medellín de 163,46 kilómetros. En esta zona demás se encuentran dos propanoductos: Galán-Sebastopol y Sebastopol-Salgar, ambos con un diámetro de 8 pulgadas.</w:t>
      </w:r>
    </w:p>
    <w:p w:rsidR="0083557B" w:rsidRPr="00C341FD" w:rsidRDefault="0083557B" w:rsidP="003C25F5">
      <w:pPr>
        <w:rPr>
          <w:sz w:val="24"/>
          <w:lang w:eastAsia="es-CO"/>
        </w:rPr>
      </w:pPr>
    </w:p>
    <w:p w:rsidR="003C25F5" w:rsidRDefault="003C25F5" w:rsidP="003C25F5">
      <w:pPr>
        <w:pStyle w:val="Epgrafe"/>
        <w:keepNext/>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300"/>
        <w:gridCol w:w="1276"/>
        <w:gridCol w:w="1251"/>
        <w:gridCol w:w="1158"/>
        <w:gridCol w:w="1110"/>
        <w:gridCol w:w="1291"/>
      </w:tblGrid>
      <w:tr w:rsidR="00950906" w:rsidRPr="004859E4" w:rsidTr="001D1BBE">
        <w:trPr>
          <w:jc w:val="center"/>
        </w:trPr>
        <w:tc>
          <w:tcPr>
            <w:tcW w:w="9054" w:type="dxa"/>
            <w:gridSpan w:val="7"/>
            <w:shd w:val="clear" w:color="auto" w:fill="auto"/>
            <w:vAlign w:val="center"/>
          </w:tcPr>
          <w:p w:rsidR="00950906" w:rsidRPr="004859E4" w:rsidRDefault="00950906" w:rsidP="00950906">
            <w:pPr>
              <w:contextualSpacing/>
              <w:jc w:val="center"/>
              <w:rPr>
                <w:rFonts w:cs="Arial"/>
                <w:b/>
                <w:bCs/>
                <w:color w:val="004D67"/>
                <w:sz w:val="16"/>
                <w:szCs w:val="16"/>
                <w:lang w:eastAsia="es-CO"/>
              </w:rPr>
            </w:pPr>
            <w:bookmarkStart w:id="717" w:name="_Ref437018432"/>
            <w:bookmarkStart w:id="718" w:name="_Toc437512819"/>
            <w:r>
              <w:t xml:space="preserve">Tabla </w:t>
            </w:r>
            <w:r>
              <w:fldChar w:fldCharType="begin"/>
            </w:r>
            <w:r>
              <w:instrText xml:space="preserve"> SEQ Tabla \* ARABIC </w:instrText>
            </w:r>
            <w:r>
              <w:fldChar w:fldCharType="separate"/>
            </w:r>
            <w:r w:rsidR="00625BEB">
              <w:rPr>
                <w:noProof/>
              </w:rPr>
              <w:t>13</w:t>
            </w:r>
            <w:r>
              <w:fldChar w:fldCharType="end"/>
            </w:r>
            <w:bookmarkEnd w:id="717"/>
            <w:r>
              <w:t xml:space="preserve"> </w:t>
            </w:r>
            <w:r w:rsidRPr="007A1BB5">
              <w:t>Infraestructura de transporte zona centro</w:t>
            </w:r>
            <w:bookmarkEnd w:id="718"/>
          </w:p>
        </w:tc>
      </w:tr>
      <w:tr w:rsidR="0083557B" w:rsidRPr="004859E4" w:rsidTr="00950906">
        <w:trPr>
          <w:jc w:val="center"/>
        </w:trPr>
        <w:tc>
          <w:tcPr>
            <w:tcW w:w="1668" w:type="dxa"/>
            <w:shd w:val="clear" w:color="auto" w:fill="auto"/>
            <w:vAlign w:val="center"/>
            <w:hideMark/>
          </w:tcPr>
          <w:p w:rsidR="0083557B" w:rsidRPr="004859E4" w:rsidRDefault="0083557B" w:rsidP="002F63E2">
            <w:pPr>
              <w:contextualSpacing/>
              <w:rPr>
                <w:rFonts w:cs="Arial"/>
                <w:b/>
                <w:bCs/>
                <w:color w:val="004D67"/>
                <w:sz w:val="16"/>
                <w:szCs w:val="16"/>
                <w:lang w:eastAsia="es-CO"/>
              </w:rPr>
            </w:pPr>
            <w:r w:rsidRPr="004859E4">
              <w:rPr>
                <w:rFonts w:cs="Arial"/>
                <w:b/>
                <w:bCs/>
                <w:color w:val="004D67"/>
                <w:sz w:val="16"/>
                <w:szCs w:val="16"/>
                <w:lang w:eastAsia="es-CO"/>
              </w:rPr>
              <w:t>SISTEMAS</w:t>
            </w:r>
          </w:p>
        </w:tc>
        <w:tc>
          <w:tcPr>
            <w:tcW w:w="1300" w:type="dxa"/>
            <w:shd w:val="clear" w:color="auto" w:fill="auto"/>
            <w:vAlign w:val="center"/>
            <w:hideMark/>
          </w:tcPr>
          <w:p w:rsidR="0083557B" w:rsidRPr="004859E4" w:rsidRDefault="0083557B" w:rsidP="002F63E2">
            <w:pPr>
              <w:contextualSpacing/>
              <w:rPr>
                <w:rFonts w:cs="Arial"/>
                <w:b/>
                <w:bCs/>
                <w:color w:val="004D67"/>
                <w:sz w:val="16"/>
                <w:szCs w:val="16"/>
                <w:lang w:eastAsia="es-CO"/>
              </w:rPr>
            </w:pPr>
            <w:r w:rsidRPr="004859E4">
              <w:rPr>
                <w:rFonts w:cs="Arial"/>
                <w:b/>
                <w:bCs/>
                <w:color w:val="004D67"/>
                <w:sz w:val="16"/>
                <w:szCs w:val="16"/>
                <w:lang w:eastAsia="es-CO"/>
              </w:rPr>
              <w:t>ESTACION INICIAL</w:t>
            </w:r>
          </w:p>
        </w:tc>
        <w:tc>
          <w:tcPr>
            <w:tcW w:w="1276" w:type="dxa"/>
            <w:shd w:val="clear" w:color="auto" w:fill="auto"/>
            <w:vAlign w:val="center"/>
            <w:hideMark/>
          </w:tcPr>
          <w:p w:rsidR="0083557B" w:rsidRPr="004859E4" w:rsidRDefault="0083557B" w:rsidP="002F63E2">
            <w:pPr>
              <w:contextualSpacing/>
              <w:rPr>
                <w:rFonts w:cs="Arial"/>
                <w:b/>
                <w:bCs/>
                <w:color w:val="004D67"/>
                <w:sz w:val="16"/>
                <w:szCs w:val="16"/>
                <w:lang w:eastAsia="es-CO"/>
              </w:rPr>
            </w:pPr>
            <w:r w:rsidRPr="004859E4">
              <w:rPr>
                <w:rFonts w:cs="Arial"/>
                <w:b/>
                <w:bCs/>
                <w:color w:val="004D67"/>
                <w:sz w:val="16"/>
                <w:szCs w:val="16"/>
                <w:lang w:eastAsia="es-CO"/>
              </w:rPr>
              <w:t>ESTACION FINAL</w:t>
            </w:r>
          </w:p>
        </w:tc>
        <w:tc>
          <w:tcPr>
            <w:tcW w:w="1251" w:type="dxa"/>
            <w:shd w:val="clear" w:color="auto" w:fill="auto"/>
            <w:vAlign w:val="center"/>
            <w:hideMark/>
          </w:tcPr>
          <w:p w:rsidR="0083557B" w:rsidRPr="004859E4" w:rsidRDefault="0083557B" w:rsidP="002F63E2">
            <w:pPr>
              <w:contextualSpacing/>
              <w:rPr>
                <w:rFonts w:cs="Arial"/>
                <w:b/>
                <w:bCs/>
                <w:color w:val="004D67"/>
                <w:sz w:val="16"/>
                <w:szCs w:val="16"/>
                <w:lang w:eastAsia="es-CO"/>
              </w:rPr>
            </w:pPr>
            <w:r w:rsidRPr="004859E4">
              <w:rPr>
                <w:rFonts w:cs="Arial"/>
                <w:b/>
                <w:bCs/>
                <w:color w:val="004D67"/>
                <w:sz w:val="14"/>
                <w:szCs w:val="16"/>
                <w:lang w:eastAsia="es-CO"/>
              </w:rPr>
              <w:t>CAPACIDAD NOMINAL (Kbls)</w:t>
            </w:r>
          </w:p>
        </w:tc>
        <w:tc>
          <w:tcPr>
            <w:tcW w:w="1158" w:type="dxa"/>
            <w:shd w:val="clear" w:color="auto" w:fill="auto"/>
            <w:vAlign w:val="center"/>
            <w:hideMark/>
          </w:tcPr>
          <w:p w:rsidR="0083557B" w:rsidRPr="004859E4" w:rsidRDefault="0083557B" w:rsidP="002F63E2">
            <w:pPr>
              <w:contextualSpacing/>
              <w:rPr>
                <w:rFonts w:cs="Arial"/>
                <w:b/>
                <w:bCs/>
                <w:color w:val="004D67"/>
                <w:sz w:val="16"/>
                <w:szCs w:val="16"/>
                <w:lang w:eastAsia="es-CO"/>
              </w:rPr>
            </w:pPr>
            <w:r w:rsidRPr="004859E4">
              <w:rPr>
                <w:rFonts w:cs="Arial"/>
                <w:b/>
                <w:bCs/>
                <w:color w:val="004D67"/>
                <w:sz w:val="16"/>
                <w:szCs w:val="16"/>
                <w:lang w:eastAsia="es-CO"/>
              </w:rPr>
              <w:t>DIAMETRO PULGADAS</w:t>
            </w:r>
          </w:p>
        </w:tc>
        <w:tc>
          <w:tcPr>
            <w:tcW w:w="1110" w:type="dxa"/>
            <w:shd w:val="clear" w:color="auto" w:fill="auto"/>
            <w:vAlign w:val="center"/>
            <w:hideMark/>
          </w:tcPr>
          <w:p w:rsidR="0083557B" w:rsidRPr="004859E4" w:rsidRDefault="0083557B" w:rsidP="002F63E2">
            <w:pPr>
              <w:contextualSpacing/>
              <w:rPr>
                <w:rFonts w:cs="Arial"/>
                <w:b/>
                <w:bCs/>
                <w:color w:val="004D67"/>
                <w:sz w:val="16"/>
                <w:szCs w:val="16"/>
                <w:lang w:eastAsia="es-CO"/>
              </w:rPr>
            </w:pPr>
            <w:r w:rsidRPr="004859E4">
              <w:rPr>
                <w:rFonts w:cs="Arial"/>
                <w:b/>
                <w:bCs/>
                <w:color w:val="004D67"/>
                <w:sz w:val="16"/>
                <w:szCs w:val="16"/>
                <w:lang w:eastAsia="es-CO"/>
              </w:rPr>
              <w:t>LONGITUD KMS</w:t>
            </w:r>
          </w:p>
        </w:tc>
        <w:tc>
          <w:tcPr>
            <w:tcW w:w="1291" w:type="dxa"/>
            <w:shd w:val="clear" w:color="auto" w:fill="auto"/>
            <w:vAlign w:val="center"/>
            <w:hideMark/>
          </w:tcPr>
          <w:p w:rsidR="0083557B" w:rsidRPr="004859E4" w:rsidRDefault="0083557B" w:rsidP="002F63E2">
            <w:pPr>
              <w:contextualSpacing/>
              <w:rPr>
                <w:rFonts w:cs="Arial"/>
                <w:b/>
                <w:bCs/>
                <w:color w:val="004D67"/>
                <w:sz w:val="16"/>
                <w:szCs w:val="16"/>
                <w:lang w:eastAsia="es-CO"/>
              </w:rPr>
            </w:pPr>
            <w:r w:rsidRPr="004859E4">
              <w:rPr>
                <w:rFonts w:cs="Arial"/>
                <w:b/>
                <w:bCs/>
                <w:color w:val="004D67"/>
                <w:sz w:val="16"/>
                <w:szCs w:val="16"/>
                <w:lang w:eastAsia="es-CO"/>
              </w:rPr>
              <w:t>PRODUCTOS ASOCIADOS</w:t>
            </w:r>
          </w:p>
        </w:tc>
      </w:tr>
      <w:tr w:rsidR="0083557B" w:rsidRPr="004859E4" w:rsidTr="00950906">
        <w:trPr>
          <w:jc w:val="center"/>
        </w:trPr>
        <w:tc>
          <w:tcPr>
            <w:tcW w:w="1668" w:type="dxa"/>
            <w:shd w:val="clear" w:color="auto" w:fill="D3DFEE"/>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Galán-Sebastopol 16″</w:t>
            </w:r>
          </w:p>
        </w:tc>
        <w:tc>
          <w:tcPr>
            <w:tcW w:w="1300"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Galán</w:t>
            </w:r>
          </w:p>
        </w:tc>
        <w:tc>
          <w:tcPr>
            <w:tcW w:w="1276"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Sebastopol</w:t>
            </w:r>
          </w:p>
        </w:tc>
        <w:tc>
          <w:tcPr>
            <w:tcW w:w="1251" w:type="dxa"/>
            <w:shd w:val="clear" w:color="auto" w:fill="D3DFEE"/>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168,4</w:t>
            </w:r>
          </w:p>
        </w:tc>
        <w:tc>
          <w:tcPr>
            <w:tcW w:w="1158" w:type="dxa"/>
            <w:shd w:val="clear" w:color="auto" w:fill="D3DFEE"/>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16″</w:t>
            </w:r>
          </w:p>
        </w:tc>
        <w:tc>
          <w:tcPr>
            <w:tcW w:w="1110" w:type="dxa"/>
            <w:shd w:val="clear" w:color="auto" w:fill="D3DFEE"/>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114,3</w:t>
            </w:r>
          </w:p>
        </w:tc>
        <w:tc>
          <w:tcPr>
            <w:tcW w:w="1291" w:type="dxa"/>
            <w:shd w:val="clear" w:color="auto" w:fill="D3DFEE"/>
            <w:vAlign w:val="center"/>
            <w:hideMark/>
          </w:tcPr>
          <w:p w:rsidR="0083557B" w:rsidRPr="004859E4" w:rsidRDefault="0083557B" w:rsidP="007308C4">
            <w:pPr>
              <w:contextualSpacing/>
              <w:rPr>
                <w:rFonts w:cs="Arial"/>
                <w:color w:val="004D67"/>
                <w:sz w:val="14"/>
                <w:szCs w:val="18"/>
                <w:lang w:eastAsia="es-CO"/>
              </w:rPr>
            </w:pPr>
            <w:r w:rsidRPr="004859E4">
              <w:rPr>
                <w:rFonts w:cs="Arial"/>
                <w:color w:val="004D67"/>
                <w:sz w:val="14"/>
                <w:szCs w:val="18"/>
                <w:lang w:eastAsia="es-CO"/>
              </w:rPr>
              <w:t>KERO,VOIL, GMR, GPR, B2, B2E, NAFTA</w:t>
            </w:r>
          </w:p>
        </w:tc>
      </w:tr>
      <w:tr w:rsidR="0083557B" w:rsidRPr="004859E4" w:rsidTr="00950906">
        <w:trPr>
          <w:jc w:val="center"/>
        </w:trPr>
        <w:tc>
          <w:tcPr>
            <w:tcW w:w="1668" w:type="dxa"/>
            <w:shd w:val="clear" w:color="auto" w:fill="auto"/>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Galán – Sebastopol 12″</w:t>
            </w:r>
          </w:p>
        </w:tc>
        <w:tc>
          <w:tcPr>
            <w:tcW w:w="1300"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Galán</w:t>
            </w:r>
          </w:p>
        </w:tc>
        <w:tc>
          <w:tcPr>
            <w:tcW w:w="1276"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Sebastopol</w:t>
            </w:r>
          </w:p>
        </w:tc>
        <w:tc>
          <w:tcPr>
            <w:tcW w:w="1251" w:type="dxa"/>
            <w:shd w:val="clear" w:color="auto" w:fill="auto"/>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75,8</w:t>
            </w:r>
          </w:p>
        </w:tc>
        <w:tc>
          <w:tcPr>
            <w:tcW w:w="1158" w:type="dxa"/>
            <w:shd w:val="clear" w:color="auto" w:fill="auto"/>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12″</w:t>
            </w:r>
          </w:p>
        </w:tc>
        <w:tc>
          <w:tcPr>
            <w:tcW w:w="1110" w:type="dxa"/>
            <w:shd w:val="clear" w:color="auto" w:fill="auto"/>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116,2</w:t>
            </w:r>
          </w:p>
        </w:tc>
        <w:tc>
          <w:tcPr>
            <w:tcW w:w="1291" w:type="dxa"/>
            <w:shd w:val="clear" w:color="auto" w:fill="auto"/>
            <w:vAlign w:val="center"/>
            <w:hideMark/>
          </w:tcPr>
          <w:p w:rsidR="0083557B" w:rsidRPr="004859E4" w:rsidRDefault="0083557B" w:rsidP="007308C4">
            <w:pPr>
              <w:contextualSpacing/>
              <w:rPr>
                <w:rFonts w:cs="Arial"/>
                <w:color w:val="004D67"/>
                <w:sz w:val="14"/>
                <w:szCs w:val="18"/>
                <w:lang w:eastAsia="es-CO"/>
              </w:rPr>
            </w:pPr>
            <w:r w:rsidRPr="004859E4">
              <w:rPr>
                <w:rFonts w:cs="Arial"/>
                <w:color w:val="004D67"/>
                <w:sz w:val="14"/>
                <w:szCs w:val="18"/>
                <w:lang w:eastAsia="es-CO"/>
              </w:rPr>
              <w:t>KERO,VOIL, GMR, GPR, B2, B2E, NAFTA</w:t>
            </w:r>
          </w:p>
        </w:tc>
      </w:tr>
      <w:tr w:rsidR="0083557B" w:rsidRPr="004859E4" w:rsidTr="00950906">
        <w:trPr>
          <w:jc w:val="center"/>
        </w:trPr>
        <w:tc>
          <w:tcPr>
            <w:tcW w:w="1668" w:type="dxa"/>
            <w:shd w:val="clear" w:color="auto" w:fill="D3DFEE"/>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Galán- Sebastopol 8″GLP</w:t>
            </w:r>
          </w:p>
        </w:tc>
        <w:tc>
          <w:tcPr>
            <w:tcW w:w="1300"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Galán</w:t>
            </w:r>
          </w:p>
        </w:tc>
        <w:tc>
          <w:tcPr>
            <w:tcW w:w="1276"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Sebastopol</w:t>
            </w:r>
          </w:p>
        </w:tc>
        <w:tc>
          <w:tcPr>
            <w:tcW w:w="1251" w:type="dxa"/>
            <w:shd w:val="clear" w:color="auto" w:fill="D3DFEE"/>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14,4</w:t>
            </w:r>
          </w:p>
        </w:tc>
        <w:tc>
          <w:tcPr>
            <w:tcW w:w="1158"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8"</w:t>
            </w:r>
          </w:p>
        </w:tc>
        <w:tc>
          <w:tcPr>
            <w:tcW w:w="1110" w:type="dxa"/>
            <w:shd w:val="clear" w:color="auto" w:fill="D3DFEE"/>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107</w:t>
            </w:r>
          </w:p>
        </w:tc>
        <w:tc>
          <w:tcPr>
            <w:tcW w:w="1291" w:type="dxa"/>
            <w:shd w:val="clear" w:color="auto" w:fill="D3DFEE"/>
            <w:vAlign w:val="center"/>
            <w:hideMark/>
          </w:tcPr>
          <w:p w:rsidR="0083557B" w:rsidRPr="004859E4" w:rsidRDefault="0083557B" w:rsidP="007308C4">
            <w:pPr>
              <w:contextualSpacing/>
              <w:rPr>
                <w:rFonts w:cs="Arial"/>
                <w:color w:val="004D67"/>
                <w:sz w:val="14"/>
                <w:szCs w:val="18"/>
                <w:lang w:eastAsia="es-CO"/>
              </w:rPr>
            </w:pPr>
            <w:r w:rsidRPr="004859E4">
              <w:rPr>
                <w:rFonts w:cs="Arial"/>
                <w:color w:val="004D67"/>
                <w:sz w:val="14"/>
                <w:szCs w:val="18"/>
                <w:lang w:eastAsia="es-CO"/>
              </w:rPr>
              <w:t>GLP</w:t>
            </w:r>
          </w:p>
        </w:tc>
      </w:tr>
      <w:tr w:rsidR="0083557B" w:rsidRPr="004859E4" w:rsidTr="00950906">
        <w:trPr>
          <w:jc w:val="center"/>
        </w:trPr>
        <w:tc>
          <w:tcPr>
            <w:tcW w:w="1668" w:type="dxa"/>
            <w:shd w:val="clear" w:color="auto" w:fill="auto"/>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Sebastopol-Salgar 16″</w:t>
            </w:r>
          </w:p>
        </w:tc>
        <w:tc>
          <w:tcPr>
            <w:tcW w:w="1300"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Sebastopol</w:t>
            </w:r>
          </w:p>
        </w:tc>
        <w:tc>
          <w:tcPr>
            <w:tcW w:w="1276"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Salgar</w:t>
            </w:r>
          </w:p>
        </w:tc>
        <w:tc>
          <w:tcPr>
            <w:tcW w:w="1251" w:type="dxa"/>
            <w:shd w:val="clear" w:color="auto" w:fill="auto"/>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168,4</w:t>
            </w:r>
          </w:p>
        </w:tc>
        <w:tc>
          <w:tcPr>
            <w:tcW w:w="1158"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16″</w:t>
            </w:r>
          </w:p>
        </w:tc>
        <w:tc>
          <w:tcPr>
            <w:tcW w:w="1110"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134,7</w:t>
            </w:r>
          </w:p>
        </w:tc>
        <w:tc>
          <w:tcPr>
            <w:tcW w:w="1291" w:type="dxa"/>
            <w:shd w:val="clear" w:color="auto" w:fill="auto"/>
            <w:vAlign w:val="center"/>
            <w:hideMark/>
          </w:tcPr>
          <w:p w:rsidR="0083557B" w:rsidRPr="004859E4" w:rsidRDefault="0083557B" w:rsidP="007308C4">
            <w:pPr>
              <w:contextualSpacing/>
              <w:rPr>
                <w:rFonts w:cs="Arial"/>
                <w:color w:val="004D67"/>
                <w:sz w:val="14"/>
                <w:szCs w:val="18"/>
                <w:lang w:eastAsia="es-CO"/>
              </w:rPr>
            </w:pPr>
            <w:r w:rsidRPr="004859E4">
              <w:rPr>
                <w:rFonts w:cs="Arial"/>
                <w:color w:val="004D67"/>
                <w:sz w:val="14"/>
                <w:szCs w:val="18"/>
                <w:lang w:eastAsia="es-CO"/>
              </w:rPr>
              <w:t>KERO,VOIL, GMR, GPR, B2, B2E, JET A1.</w:t>
            </w:r>
          </w:p>
        </w:tc>
      </w:tr>
      <w:tr w:rsidR="0083557B" w:rsidRPr="004859E4" w:rsidTr="00950906">
        <w:trPr>
          <w:jc w:val="center"/>
        </w:trPr>
        <w:tc>
          <w:tcPr>
            <w:tcW w:w="1668" w:type="dxa"/>
            <w:shd w:val="clear" w:color="auto" w:fill="D3DFEE"/>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Sebastopol-Salgar 12″</w:t>
            </w:r>
          </w:p>
        </w:tc>
        <w:tc>
          <w:tcPr>
            <w:tcW w:w="1300"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Sebastopol</w:t>
            </w:r>
          </w:p>
        </w:tc>
        <w:tc>
          <w:tcPr>
            <w:tcW w:w="1276"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Salgar</w:t>
            </w:r>
          </w:p>
        </w:tc>
        <w:tc>
          <w:tcPr>
            <w:tcW w:w="1251" w:type="dxa"/>
            <w:shd w:val="clear" w:color="auto" w:fill="D3DFEE"/>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75,8</w:t>
            </w:r>
          </w:p>
        </w:tc>
        <w:tc>
          <w:tcPr>
            <w:tcW w:w="1158"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12″</w:t>
            </w:r>
          </w:p>
        </w:tc>
        <w:tc>
          <w:tcPr>
            <w:tcW w:w="1110"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136,5</w:t>
            </w:r>
          </w:p>
        </w:tc>
        <w:tc>
          <w:tcPr>
            <w:tcW w:w="1291" w:type="dxa"/>
            <w:shd w:val="clear" w:color="auto" w:fill="D3DFEE"/>
            <w:vAlign w:val="center"/>
            <w:hideMark/>
          </w:tcPr>
          <w:p w:rsidR="0083557B" w:rsidRPr="004859E4" w:rsidRDefault="0083557B" w:rsidP="007308C4">
            <w:pPr>
              <w:contextualSpacing/>
              <w:rPr>
                <w:rFonts w:cs="Arial"/>
                <w:color w:val="004D67"/>
                <w:sz w:val="14"/>
                <w:szCs w:val="18"/>
                <w:lang w:eastAsia="es-CO"/>
              </w:rPr>
            </w:pPr>
            <w:r w:rsidRPr="004859E4">
              <w:rPr>
                <w:rFonts w:cs="Arial"/>
                <w:color w:val="004D67"/>
                <w:sz w:val="14"/>
                <w:szCs w:val="18"/>
                <w:lang w:eastAsia="es-CO"/>
              </w:rPr>
              <w:t>KERO,VOIL, GMR, GPR, B2, B2E, JET A1.</w:t>
            </w:r>
          </w:p>
        </w:tc>
      </w:tr>
      <w:tr w:rsidR="0083557B" w:rsidRPr="004859E4" w:rsidTr="00950906">
        <w:trPr>
          <w:jc w:val="center"/>
        </w:trPr>
        <w:tc>
          <w:tcPr>
            <w:tcW w:w="1668" w:type="dxa"/>
            <w:shd w:val="clear" w:color="auto" w:fill="auto"/>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Sebastopol-Salgar 8″GLP</w:t>
            </w:r>
          </w:p>
        </w:tc>
        <w:tc>
          <w:tcPr>
            <w:tcW w:w="1300"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Sebastopol</w:t>
            </w:r>
          </w:p>
        </w:tc>
        <w:tc>
          <w:tcPr>
            <w:tcW w:w="1276"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Salgar</w:t>
            </w:r>
          </w:p>
        </w:tc>
        <w:tc>
          <w:tcPr>
            <w:tcW w:w="1251" w:type="dxa"/>
            <w:shd w:val="clear" w:color="auto" w:fill="auto"/>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14,4</w:t>
            </w:r>
          </w:p>
        </w:tc>
        <w:tc>
          <w:tcPr>
            <w:tcW w:w="1158"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8″</w:t>
            </w:r>
          </w:p>
        </w:tc>
        <w:tc>
          <w:tcPr>
            <w:tcW w:w="1110"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138</w:t>
            </w:r>
          </w:p>
        </w:tc>
        <w:tc>
          <w:tcPr>
            <w:tcW w:w="1291" w:type="dxa"/>
            <w:shd w:val="clear" w:color="auto" w:fill="auto"/>
            <w:vAlign w:val="center"/>
            <w:hideMark/>
          </w:tcPr>
          <w:p w:rsidR="0083557B" w:rsidRPr="004859E4" w:rsidRDefault="0083557B" w:rsidP="007308C4">
            <w:pPr>
              <w:contextualSpacing/>
              <w:rPr>
                <w:rFonts w:cs="Arial"/>
                <w:color w:val="004D67"/>
                <w:sz w:val="14"/>
                <w:szCs w:val="18"/>
                <w:lang w:eastAsia="es-CO"/>
              </w:rPr>
            </w:pPr>
            <w:r w:rsidRPr="004859E4">
              <w:rPr>
                <w:rFonts w:cs="Arial"/>
                <w:color w:val="004D67"/>
                <w:sz w:val="14"/>
                <w:szCs w:val="18"/>
                <w:lang w:eastAsia="es-CO"/>
              </w:rPr>
              <w:t>GLP</w:t>
            </w:r>
          </w:p>
        </w:tc>
      </w:tr>
      <w:tr w:rsidR="0083557B" w:rsidRPr="004859E4" w:rsidTr="00950906">
        <w:trPr>
          <w:jc w:val="center"/>
        </w:trPr>
        <w:tc>
          <w:tcPr>
            <w:tcW w:w="1668" w:type="dxa"/>
            <w:shd w:val="clear" w:color="auto" w:fill="D3DFEE"/>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Sebastopol – Medellín 12″</w:t>
            </w:r>
          </w:p>
        </w:tc>
        <w:tc>
          <w:tcPr>
            <w:tcW w:w="1300"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Sebastopol</w:t>
            </w:r>
          </w:p>
        </w:tc>
        <w:tc>
          <w:tcPr>
            <w:tcW w:w="1276"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Medellín</w:t>
            </w:r>
          </w:p>
        </w:tc>
        <w:tc>
          <w:tcPr>
            <w:tcW w:w="1251" w:type="dxa"/>
            <w:shd w:val="clear" w:color="auto" w:fill="D3DFEE"/>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68,4</w:t>
            </w:r>
          </w:p>
        </w:tc>
        <w:tc>
          <w:tcPr>
            <w:tcW w:w="1158"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10″,12″16″</w:t>
            </w:r>
          </w:p>
        </w:tc>
        <w:tc>
          <w:tcPr>
            <w:tcW w:w="1110"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163,46</w:t>
            </w:r>
          </w:p>
        </w:tc>
        <w:tc>
          <w:tcPr>
            <w:tcW w:w="1291" w:type="dxa"/>
            <w:shd w:val="clear" w:color="auto" w:fill="D3DFEE"/>
            <w:vAlign w:val="center"/>
            <w:hideMark/>
          </w:tcPr>
          <w:p w:rsidR="0083557B" w:rsidRPr="004859E4" w:rsidRDefault="0083557B" w:rsidP="007308C4">
            <w:pPr>
              <w:contextualSpacing/>
              <w:rPr>
                <w:rFonts w:cs="Arial"/>
                <w:color w:val="004D67"/>
                <w:sz w:val="14"/>
                <w:szCs w:val="18"/>
                <w:lang w:eastAsia="es-CO"/>
              </w:rPr>
            </w:pPr>
            <w:r w:rsidRPr="004859E4">
              <w:rPr>
                <w:rFonts w:cs="Arial"/>
                <w:color w:val="004D67"/>
                <w:sz w:val="14"/>
                <w:szCs w:val="18"/>
                <w:lang w:eastAsia="es-CO"/>
              </w:rPr>
              <w:t>KERO,VOIL, GMR, GPR, B2, B2E, JET A1.</w:t>
            </w:r>
          </w:p>
        </w:tc>
      </w:tr>
    </w:tbl>
    <w:p w:rsidR="0083557B" w:rsidRPr="004859E4" w:rsidRDefault="0083557B" w:rsidP="0083557B">
      <w:pPr>
        <w:ind w:left="195"/>
        <w:rPr>
          <w:rFonts w:cs="Arial"/>
          <w:sz w:val="16"/>
        </w:rPr>
      </w:pPr>
      <w:r w:rsidRPr="004859E4">
        <w:rPr>
          <w:rFonts w:cs="Arial"/>
          <w:sz w:val="16"/>
        </w:rPr>
        <w:t>Fuente: Cenit Transporte y Logística de Hidrocarburos</w:t>
      </w:r>
    </w:p>
    <w:p w:rsidR="0083557B" w:rsidRPr="004859E4" w:rsidRDefault="0083557B" w:rsidP="0083557B">
      <w:pPr>
        <w:ind w:left="195"/>
        <w:rPr>
          <w:rFonts w:cs="Arial"/>
          <w:sz w:val="16"/>
        </w:rPr>
      </w:pPr>
    </w:p>
    <w:p w:rsidR="0083557B" w:rsidRPr="004859E4" w:rsidRDefault="001E5E2C" w:rsidP="00580A39">
      <w:pPr>
        <w:pStyle w:val="Ttulo2"/>
      </w:pPr>
      <w:bookmarkStart w:id="719" w:name="_Toc424832922"/>
      <w:bookmarkStart w:id="720" w:name="_Toc424887653"/>
      <w:bookmarkStart w:id="721" w:name="_Toc425488412"/>
      <w:bookmarkStart w:id="722" w:name="_Toc426035053"/>
      <w:bookmarkStart w:id="723" w:name="_Toc427333617"/>
      <w:bookmarkStart w:id="724" w:name="_Toc427336558"/>
      <w:bookmarkStart w:id="725" w:name="_Toc427681850"/>
      <w:bookmarkStart w:id="726" w:name="_Toc433276780"/>
      <w:bookmarkStart w:id="727" w:name="_Toc433295743"/>
      <w:bookmarkStart w:id="728" w:name="_Toc433296468"/>
      <w:bookmarkStart w:id="729" w:name="_Toc437500897"/>
      <w:bookmarkStart w:id="730" w:name="_Toc437501556"/>
      <w:bookmarkStart w:id="731" w:name="_Toc437501736"/>
      <w:bookmarkStart w:id="732" w:name="_Toc437501826"/>
      <w:bookmarkStart w:id="733" w:name="_Toc437502589"/>
      <w:bookmarkStart w:id="734" w:name="_Toc437505949"/>
      <w:bookmarkStart w:id="735" w:name="_Toc437512762"/>
      <w:r>
        <w:t>i</w:t>
      </w:r>
      <w:r w:rsidR="0083557B" w:rsidRPr="004859E4">
        <w:t xml:space="preserve">nfraestructura de transporte </w:t>
      </w:r>
      <w:r w:rsidR="00580A39" w:rsidRPr="004859E4">
        <w:t>zona oeste</w:t>
      </w:r>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rsidR="0083557B" w:rsidRPr="004859E4" w:rsidRDefault="0083557B" w:rsidP="009564DC">
      <w:pPr>
        <w:rPr>
          <w:lang w:eastAsia="es-CO"/>
        </w:rPr>
      </w:pPr>
    </w:p>
    <w:p w:rsidR="0083557B" w:rsidRDefault="0083557B" w:rsidP="0083557B">
      <w:pPr>
        <w:rPr>
          <w:rFonts w:eastAsia="Arial" w:cs="Arial"/>
          <w:sz w:val="24"/>
          <w:lang w:val="es-CO"/>
        </w:rPr>
      </w:pPr>
      <w:r w:rsidRPr="00C341FD">
        <w:rPr>
          <w:rFonts w:eastAsia="Arial" w:cs="Arial"/>
          <w:sz w:val="24"/>
          <w:lang w:val="es-CO"/>
        </w:rPr>
        <w:t xml:space="preserve">La </w:t>
      </w:r>
      <w:r w:rsidR="009241D4" w:rsidRPr="00C341FD">
        <w:rPr>
          <w:rFonts w:eastAsia="Arial" w:cs="Arial"/>
          <w:sz w:val="24"/>
          <w:lang w:val="es-CO"/>
        </w:rPr>
        <w:fldChar w:fldCharType="begin"/>
      </w:r>
      <w:r w:rsidR="009241D4" w:rsidRPr="00C341FD">
        <w:rPr>
          <w:rFonts w:eastAsia="Arial" w:cs="Arial"/>
          <w:sz w:val="24"/>
          <w:lang w:val="es-CO"/>
        </w:rPr>
        <w:instrText xml:space="preserve"> REF _Ref437018473 \h </w:instrText>
      </w:r>
      <w:r w:rsidR="00C341FD">
        <w:rPr>
          <w:rFonts w:eastAsia="Arial" w:cs="Arial"/>
          <w:sz w:val="24"/>
          <w:lang w:val="es-CO"/>
        </w:rPr>
        <w:instrText xml:space="preserve"> \* MERGEFORMAT </w:instrText>
      </w:r>
      <w:r w:rsidR="009241D4" w:rsidRPr="00C341FD">
        <w:rPr>
          <w:rFonts w:eastAsia="Arial" w:cs="Arial"/>
          <w:sz w:val="24"/>
          <w:lang w:val="es-CO"/>
        </w:rPr>
      </w:r>
      <w:r w:rsidR="009241D4" w:rsidRPr="00C341FD">
        <w:rPr>
          <w:rFonts w:eastAsia="Arial" w:cs="Arial"/>
          <w:sz w:val="24"/>
          <w:lang w:val="es-CO"/>
        </w:rPr>
        <w:fldChar w:fldCharType="separate"/>
      </w:r>
      <w:r w:rsidR="00625BEB" w:rsidRPr="00625BEB">
        <w:rPr>
          <w:sz w:val="24"/>
        </w:rPr>
        <w:t xml:space="preserve">Tabla </w:t>
      </w:r>
      <w:r w:rsidR="00625BEB" w:rsidRPr="00625BEB">
        <w:rPr>
          <w:noProof/>
          <w:sz w:val="24"/>
        </w:rPr>
        <w:t>14</w:t>
      </w:r>
      <w:r w:rsidR="009241D4" w:rsidRPr="00C341FD">
        <w:rPr>
          <w:rFonts w:eastAsia="Arial" w:cs="Arial"/>
          <w:sz w:val="24"/>
          <w:lang w:val="es-CO"/>
        </w:rPr>
        <w:fldChar w:fldCharType="end"/>
      </w:r>
      <w:r w:rsidR="009241D4" w:rsidRPr="00C341FD">
        <w:rPr>
          <w:rFonts w:eastAsia="Arial" w:cs="Arial"/>
          <w:sz w:val="24"/>
          <w:lang w:val="es-CO"/>
        </w:rPr>
        <w:t xml:space="preserve"> </w:t>
      </w:r>
      <w:r w:rsidRPr="00C341FD">
        <w:rPr>
          <w:rFonts w:eastAsia="Arial" w:cs="Arial"/>
          <w:sz w:val="24"/>
          <w:lang w:val="es-CO"/>
        </w:rPr>
        <w:t>muestra la infraestructura de transporte para la zona oeste. El ducto más representativo de esta zona es el que conecta a Medellín y Cartago (10 pulgadas) con una longitud de 235.96 kilómetros y una capacidad nominal de 49,100 barriles. También pertenece a esta zona el poliducto Salgar-Cartago, que tiene una longitud de 157,7 kilómetros y una capacidad nominal de 23,500 barriles.</w:t>
      </w:r>
    </w:p>
    <w:p w:rsidR="00950906" w:rsidRPr="00C341FD" w:rsidRDefault="00950906" w:rsidP="0083557B">
      <w:pPr>
        <w:rPr>
          <w:rFonts w:eastAsia="Arial" w:cs="Arial"/>
          <w:sz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301"/>
        <w:gridCol w:w="1524"/>
        <w:gridCol w:w="1469"/>
        <w:gridCol w:w="1216"/>
        <w:gridCol w:w="1109"/>
        <w:gridCol w:w="1433"/>
      </w:tblGrid>
      <w:tr w:rsidR="00950906" w:rsidRPr="004859E4" w:rsidTr="001D1BBE">
        <w:tc>
          <w:tcPr>
            <w:tcW w:w="9572" w:type="dxa"/>
            <w:gridSpan w:val="7"/>
            <w:shd w:val="clear" w:color="auto" w:fill="auto"/>
            <w:vAlign w:val="center"/>
          </w:tcPr>
          <w:p w:rsidR="00950906" w:rsidRPr="00950906" w:rsidRDefault="00950906" w:rsidP="00950906">
            <w:pPr>
              <w:contextualSpacing/>
              <w:jc w:val="center"/>
              <w:rPr>
                <w:rFonts w:cs="Arial"/>
                <w:b/>
                <w:bCs/>
                <w:color w:val="004D67"/>
                <w:sz w:val="16"/>
                <w:szCs w:val="16"/>
                <w:lang w:val="es-CO" w:eastAsia="es-CO"/>
              </w:rPr>
            </w:pPr>
            <w:bookmarkStart w:id="736" w:name="_Ref437018473"/>
            <w:bookmarkStart w:id="737" w:name="_Toc437512820"/>
            <w:r>
              <w:t xml:space="preserve">Tabla </w:t>
            </w:r>
            <w:r>
              <w:fldChar w:fldCharType="begin"/>
            </w:r>
            <w:r>
              <w:instrText xml:space="preserve"> SEQ Tabla \* ARABIC </w:instrText>
            </w:r>
            <w:r>
              <w:fldChar w:fldCharType="separate"/>
            </w:r>
            <w:r w:rsidR="00625BEB">
              <w:rPr>
                <w:noProof/>
              </w:rPr>
              <w:t>14</w:t>
            </w:r>
            <w:r>
              <w:fldChar w:fldCharType="end"/>
            </w:r>
            <w:bookmarkEnd w:id="736"/>
            <w:r>
              <w:t xml:space="preserve"> </w:t>
            </w:r>
            <w:r w:rsidRPr="00D261A5">
              <w:t>Infraestructura de transporte zona oeste</w:t>
            </w:r>
            <w:bookmarkEnd w:id="737"/>
          </w:p>
        </w:tc>
      </w:tr>
      <w:tr w:rsidR="0083557B" w:rsidRPr="004859E4" w:rsidTr="00950906">
        <w:tc>
          <w:tcPr>
            <w:tcW w:w="0" w:type="auto"/>
            <w:shd w:val="clear" w:color="auto" w:fill="auto"/>
            <w:vAlign w:val="center"/>
            <w:hideMark/>
          </w:tcPr>
          <w:p w:rsidR="0083557B" w:rsidRPr="004859E4" w:rsidRDefault="0083557B" w:rsidP="002F63E2">
            <w:pPr>
              <w:contextualSpacing/>
              <w:rPr>
                <w:rFonts w:cs="Arial"/>
                <w:b/>
                <w:bCs/>
                <w:color w:val="004D67"/>
                <w:sz w:val="16"/>
                <w:szCs w:val="16"/>
                <w:lang w:eastAsia="es-CO"/>
              </w:rPr>
            </w:pPr>
            <w:r w:rsidRPr="004859E4">
              <w:rPr>
                <w:rFonts w:cs="Arial"/>
                <w:b/>
                <w:bCs/>
                <w:color w:val="004D67"/>
                <w:sz w:val="16"/>
                <w:szCs w:val="16"/>
                <w:lang w:eastAsia="es-CO"/>
              </w:rPr>
              <w:t>SISTEMAS</w:t>
            </w:r>
          </w:p>
        </w:tc>
        <w:tc>
          <w:tcPr>
            <w:tcW w:w="0" w:type="auto"/>
            <w:shd w:val="clear" w:color="auto" w:fill="auto"/>
            <w:vAlign w:val="center"/>
            <w:hideMark/>
          </w:tcPr>
          <w:p w:rsidR="0083557B" w:rsidRPr="004859E4" w:rsidRDefault="0083557B" w:rsidP="002F63E2">
            <w:pPr>
              <w:contextualSpacing/>
              <w:rPr>
                <w:rFonts w:cs="Arial"/>
                <w:b/>
                <w:bCs/>
                <w:color w:val="004D67"/>
                <w:sz w:val="16"/>
                <w:szCs w:val="16"/>
                <w:lang w:eastAsia="es-CO"/>
              </w:rPr>
            </w:pPr>
            <w:r w:rsidRPr="004859E4">
              <w:rPr>
                <w:rFonts w:cs="Arial"/>
                <w:b/>
                <w:bCs/>
                <w:color w:val="004D67"/>
                <w:sz w:val="16"/>
                <w:szCs w:val="16"/>
                <w:lang w:eastAsia="es-CO"/>
              </w:rPr>
              <w:t>ESTACION INICIAL</w:t>
            </w:r>
          </w:p>
        </w:tc>
        <w:tc>
          <w:tcPr>
            <w:tcW w:w="0" w:type="auto"/>
            <w:shd w:val="clear" w:color="auto" w:fill="auto"/>
            <w:vAlign w:val="center"/>
            <w:hideMark/>
          </w:tcPr>
          <w:p w:rsidR="0083557B" w:rsidRPr="004859E4" w:rsidRDefault="0083557B" w:rsidP="002F63E2">
            <w:pPr>
              <w:contextualSpacing/>
              <w:rPr>
                <w:rFonts w:cs="Arial"/>
                <w:b/>
                <w:bCs/>
                <w:color w:val="004D67"/>
                <w:sz w:val="16"/>
                <w:szCs w:val="16"/>
                <w:lang w:eastAsia="es-CO"/>
              </w:rPr>
            </w:pPr>
            <w:r w:rsidRPr="004859E4">
              <w:rPr>
                <w:rFonts w:cs="Arial"/>
                <w:b/>
                <w:bCs/>
                <w:color w:val="004D67"/>
                <w:sz w:val="16"/>
                <w:szCs w:val="16"/>
                <w:lang w:eastAsia="es-CO"/>
              </w:rPr>
              <w:t>ESTACION FINAL</w:t>
            </w:r>
          </w:p>
        </w:tc>
        <w:tc>
          <w:tcPr>
            <w:tcW w:w="1469" w:type="dxa"/>
            <w:shd w:val="clear" w:color="auto" w:fill="auto"/>
            <w:vAlign w:val="center"/>
            <w:hideMark/>
          </w:tcPr>
          <w:p w:rsidR="0083557B" w:rsidRPr="004859E4" w:rsidRDefault="0083557B" w:rsidP="002F63E2">
            <w:pPr>
              <w:contextualSpacing/>
              <w:rPr>
                <w:rFonts w:cs="Arial"/>
                <w:b/>
                <w:bCs/>
                <w:color w:val="004D67"/>
                <w:sz w:val="16"/>
                <w:szCs w:val="16"/>
                <w:lang w:eastAsia="es-CO"/>
              </w:rPr>
            </w:pPr>
            <w:r w:rsidRPr="004859E4">
              <w:rPr>
                <w:rFonts w:cs="Arial"/>
                <w:b/>
                <w:bCs/>
                <w:color w:val="004D67"/>
                <w:sz w:val="16"/>
                <w:szCs w:val="16"/>
                <w:lang w:eastAsia="es-CO"/>
              </w:rPr>
              <w:t>CAPACIDAD NOMINAL (Kbls)</w:t>
            </w:r>
          </w:p>
        </w:tc>
        <w:tc>
          <w:tcPr>
            <w:tcW w:w="1216" w:type="dxa"/>
            <w:shd w:val="clear" w:color="auto" w:fill="auto"/>
            <w:vAlign w:val="center"/>
            <w:hideMark/>
          </w:tcPr>
          <w:p w:rsidR="0083557B" w:rsidRPr="004859E4" w:rsidRDefault="0083557B" w:rsidP="002F63E2">
            <w:pPr>
              <w:contextualSpacing/>
              <w:rPr>
                <w:rFonts w:cs="Arial"/>
                <w:b/>
                <w:bCs/>
                <w:color w:val="004D67"/>
                <w:sz w:val="16"/>
                <w:szCs w:val="16"/>
                <w:lang w:eastAsia="es-CO"/>
              </w:rPr>
            </w:pPr>
            <w:r w:rsidRPr="004859E4">
              <w:rPr>
                <w:rFonts w:cs="Arial"/>
                <w:b/>
                <w:bCs/>
                <w:color w:val="004D67"/>
                <w:sz w:val="16"/>
                <w:szCs w:val="16"/>
                <w:lang w:eastAsia="es-CO"/>
              </w:rPr>
              <w:t>DIAMETRO PULGADAS</w:t>
            </w:r>
          </w:p>
        </w:tc>
        <w:tc>
          <w:tcPr>
            <w:tcW w:w="1109" w:type="dxa"/>
            <w:shd w:val="clear" w:color="auto" w:fill="auto"/>
            <w:vAlign w:val="center"/>
            <w:hideMark/>
          </w:tcPr>
          <w:p w:rsidR="0083557B" w:rsidRPr="004859E4" w:rsidRDefault="0083557B" w:rsidP="002F63E2">
            <w:pPr>
              <w:contextualSpacing/>
              <w:rPr>
                <w:rFonts w:cs="Arial"/>
                <w:b/>
                <w:bCs/>
                <w:color w:val="004D67"/>
                <w:sz w:val="16"/>
                <w:szCs w:val="16"/>
                <w:lang w:eastAsia="es-CO"/>
              </w:rPr>
            </w:pPr>
            <w:r w:rsidRPr="004859E4">
              <w:rPr>
                <w:rFonts w:cs="Arial"/>
                <w:b/>
                <w:bCs/>
                <w:color w:val="004D67"/>
                <w:sz w:val="16"/>
                <w:szCs w:val="16"/>
                <w:lang w:eastAsia="es-CO"/>
              </w:rPr>
              <w:t>LONGITUD KMS</w:t>
            </w:r>
          </w:p>
        </w:tc>
        <w:tc>
          <w:tcPr>
            <w:tcW w:w="1433" w:type="dxa"/>
            <w:shd w:val="clear" w:color="auto" w:fill="auto"/>
            <w:vAlign w:val="center"/>
            <w:hideMark/>
          </w:tcPr>
          <w:p w:rsidR="0083557B" w:rsidRPr="004859E4" w:rsidRDefault="0083557B" w:rsidP="002F63E2">
            <w:pPr>
              <w:contextualSpacing/>
              <w:rPr>
                <w:rFonts w:cs="Arial"/>
                <w:b/>
                <w:bCs/>
                <w:color w:val="004D67"/>
                <w:sz w:val="16"/>
                <w:szCs w:val="16"/>
                <w:lang w:val="en-US" w:eastAsia="es-CO"/>
              </w:rPr>
            </w:pPr>
            <w:r w:rsidRPr="004859E4">
              <w:rPr>
                <w:rFonts w:cs="Arial"/>
                <w:b/>
                <w:bCs/>
                <w:color w:val="004D67"/>
                <w:sz w:val="16"/>
                <w:szCs w:val="16"/>
                <w:lang w:val="en-US" w:eastAsia="es-CO"/>
              </w:rPr>
              <w:t>PRODUCTOS ASOCIADOS</w:t>
            </w:r>
          </w:p>
        </w:tc>
      </w:tr>
      <w:tr w:rsidR="0083557B" w:rsidRPr="004B021B" w:rsidTr="00950906">
        <w:tc>
          <w:tcPr>
            <w:tcW w:w="0" w:type="auto"/>
            <w:shd w:val="clear" w:color="auto" w:fill="D3DFEE"/>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Medellín-Cartago</w:t>
            </w:r>
          </w:p>
        </w:tc>
        <w:tc>
          <w:tcPr>
            <w:tcW w:w="0" w:type="auto"/>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Medellín</w:t>
            </w:r>
          </w:p>
        </w:tc>
        <w:tc>
          <w:tcPr>
            <w:tcW w:w="0" w:type="auto"/>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Cartago</w:t>
            </w:r>
          </w:p>
        </w:tc>
        <w:tc>
          <w:tcPr>
            <w:tcW w:w="1469"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49,1</w:t>
            </w:r>
          </w:p>
        </w:tc>
        <w:tc>
          <w:tcPr>
            <w:tcW w:w="1216"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10″</w:t>
            </w:r>
          </w:p>
        </w:tc>
        <w:tc>
          <w:tcPr>
            <w:tcW w:w="1109"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235.96</w:t>
            </w:r>
          </w:p>
        </w:tc>
        <w:tc>
          <w:tcPr>
            <w:tcW w:w="1433" w:type="dxa"/>
            <w:shd w:val="clear" w:color="auto" w:fill="D3DFEE"/>
            <w:hideMark/>
          </w:tcPr>
          <w:p w:rsidR="0083557B" w:rsidRPr="004859E4" w:rsidRDefault="0083557B" w:rsidP="007308C4">
            <w:pPr>
              <w:contextualSpacing/>
              <w:rPr>
                <w:rFonts w:cs="Arial"/>
                <w:color w:val="004D67"/>
                <w:sz w:val="14"/>
                <w:szCs w:val="18"/>
                <w:lang w:val="en-US" w:eastAsia="es-CO"/>
              </w:rPr>
            </w:pPr>
            <w:r w:rsidRPr="004859E4">
              <w:rPr>
                <w:rFonts w:cs="Arial"/>
                <w:color w:val="004D67"/>
                <w:sz w:val="14"/>
                <w:szCs w:val="18"/>
                <w:lang w:val="en-US" w:eastAsia="es-CO"/>
              </w:rPr>
              <w:t>KERO,VOIL, GMR, GPR, B2, KERO, VOIL, JET A1.</w:t>
            </w:r>
          </w:p>
        </w:tc>
      </w:tr>
      <w:tr w:rsidR="0083557B" w:rsidRPr="004B021B" w:rsidTr="00950906">
        <w:tc>
          <w:tcPr>
            <w:tcW w:w="0" w:type="auto"/>
            <w:shd w:val="clear" w:color="auto" w:fill="auto"/>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Cartago-Yumbo 10″</w:t>
            </w:r>
          </w:p>
        </w:tc>
        <w:tc>
          <w:tcPr>
            <w:tcW w:w="0" w:type="auto"/>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Cartago</w:t>
            </w:r>
          </w:p>
        </w:tc>
        <w:tc>
          <w:tcPr>
            <w:tcW w:w="0" w:type="auto"/>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Yumbo</w:t>
            </w:r>
          </w:p>
        </w:tc>
        <w:tc>
          <w:tcPr>
            <w:tcW w:w="1469"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28,8</w:t>
            </w:r>
          </w:p>
        </w:tc>
        <w:tc>
          <w:tcPr>
            <w:tcW w:w="1216"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10″</w:t>
            </w:r>
          </w:p>
        </w:tc>
        <w:tc>
          <w:tcPr>
            <w:tcW w:w="1109"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157,7</w:t>
            </w:r>
          </w:p>
        </w:tc>
        <w:tc>
          <w:tcPr>
            <w:tcW w:w="1433" w:type="dxa"/>
            <w:shd w:val="clear" w:color="auto" w:fill="auto"/>
            <w:hideMark/>
          </w:tcPr>
          <w:p w:rsidR="0083557B" w:rsidRPr="004859E4" w:rsidRDefault="0083557B" w:rsidP="007308C4">
            <w:pPr>
              <w:contextualSpacing/>
              <w:rPr>
                <w:rFonts w:cs="Arial"/>
                <w:color w:val="004D67"/>
                <w:sz w:val="14"/>
                <w:szCs w:val="18"/>
                <w:lang w:val="en-US" w:eastAsia="es-CO"/>
              </w:rPr>
            </w:pPr>
            <w:r w:rsidRPr="004859E4">
              <w:rPr>
                <w:rFonts w:cs="Arial"/>
                <w:color w:val="004D67"/>
                <w:sz w:val="14"/>
                <w:szCs w:val="18"/>
                <w:lang w:val="en-US" w:eastAsia="es-CO"/>
              </w:rPr>
              <w:t>KERO,VOIL, JET A1, GMR, GPR, B2.</w:t>
            </w:r>
          </w:p>
        </w:tc>
      </w:tr>
      <w:tr w:rsidR="0083557B" w:rsidRPr="004B021B" w:rsidTr="00950906">
        <w:tc>
          <w:tcPr>
            <w:tcW w:w="0" w:type="auto"/>
            <w:shd w:val="clear" w:color="auto" w:fill="D3DFEE"/>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Salgar-Cartago</w:t>
            </w:r>
          </w:p>
        </w:tc>
        <w:tc>
          <w:tcPr>
            <w:tcW w:w="0" w:type="auto"/>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Salgar</w:t>
            </w:r>
          </w:p>
        </w:tc>
        <w:tc>
          <w:tcPr>
            <w:tcW w:w="0" w:type="auto"/>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Cartago</w:t>
            </w:r>
          </w:p>
        </w:tc>
        <w:tc>
          <w:tcPr>
            <w:tcW w:w="1469"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23,5</w:t>
            </w:r>
          </w:p>
        </w:tc>
        <w:tc>
          <w:tcPr>
            <w:tcW w:w="1216"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6″,8″</w:t>
            </w:r>
          </w:p>
        </w:tc>
        <w:tc>
          <w:tcPr>
            <w:tcW w:w="1109"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210,98</w:t>
            </w:r>
          </w:p>
        </w:tc>
        <w:tc>
          <w:tcPr>
            <w:tcW w:w="1433" w:type="dxa"/>
            <w:shd w:val="clear" w:color="auto" w:fill="D3DFEE"/>
            <w:hideMark/>
          </w:tcPr>
          <w:p w:rsidR="0083557B" w:rsidRPr="004859E4" w:rsidRDefault="0083557B" w:rsidP="007308C4">
            <w:pPr>
              <w:contextualSpacing/>
              <w:rPr>
                <w:rFonts w:cs="Arial"/>
                <w:color w:val="004D67"/>
                <w:sz w:val="14"/>
                <w:szCs w:val="18"/>
                <w:lang w:val="en-US" w:eastAsia="es-CO"/>
              </w:rPr>
            </w:pPr>
            <w:r w:rsidRPr="004859E4">
              <w:rPr>
                <w:rFonts w:cs="Arial"/>
                <w:color w:val="004D67"/>
                <w:sz w:val="14"/>
                <w:szCs w:val="18"/>
                <w:lang w:val="en-US" w:eastAsia="es-CO"/>
              </w:rPr>
              <w:t>KERO,VOIL, GMR, GPR, B2, GLP.</w:t>
            </w:r>
          </w:p>
        </w:tc>
      </w:tr>
      <w:tr w:rsidR="0083557B" w:rsidRPr="004B021B" w:rsidTr="00950906">
        <w:tc>
          <w:tcPr>
            <w:tcW w:w="0" w:type="auto"/>
            <w:shd w:val="clear" w:color="auto" w:fill="auto"/>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Cartago-Yumbo 6″</w:t>
            </w:r>
          </w:p>
        </w:tc>
        <w:tc>
          <w:tcPr>
            <w:tcW w:w="0" w:type="auto"/>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Cartago</w:t>
            </w:r>
          </w:p>
        </w:tc>
        <w:tc>
          <w:tcPr>
            <w:tcW w:w="0" w:type="auto"/>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Yumbo</w:t>
            </w:r>
          </w:p>
        </w:tc>
        <w:tc>
          <w:tcPr>
            <w:tcW w:w="1469"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13</w:t>
            </w:r>
          </w:p>
        </w:tc>
        <w:tc>
          <w:tcPr>
            <w:tcW w:w="1216"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6″,8″,10″</w:t>
            </w:r>
          </w:p>
        </w:tc>
        <w:tc>
          <w:tcPr>
            <w:tcW w:w="1109" w:type="dxa"/>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157,7</w:t>
            </w:r>
          </w:p>
        </w:tc>
        <w:tc>
          <w:tcPr>
            <w:tcW w:w="1433" w:type="dxa"/>
            <w:shd w:val="clear" w:color="auto" w:fill="auto"/>
            <w:hideMark/>
          </w:tcPr>
          <w:p w:rsidR="0083557B" w:rsidRPr="004859E4" w:rsidRDefault="0083557B" w:rsidP="007308C4">
            <w:pPr>
              <w:contextualSpacing/>
              <w:rPr>
                <w:rFonts w:cs="Arial"/>
                <w:color w:val="004D67"/>
                <w:sz w:val="14"/>
                <w:szCs w:val="18"/>
                <w:lang w:val="en-US" w:eastAsia="es-CO"/>
              </w:rPr>
            </w:pPr>
            <w:r w:rsidRPr="004859E4">
              <w:rPr>
                <w:rFonts w:cs="Arial"/>
                <w:color w:val="004D67"/>
                <w:sz w:val="14"/>
                <w:szCs w:val="18"/>
                <w:lang w:val="en-US" w:eastAsia="es-CO"/>
              </w:rPr>
              <w:t>VOIL, GMR, VOIL, B2, GLP</w:t>
            </w:r>
          </w:p>
        </w:tc>
      </w:tr>
      <w:tr w:rsidR="0083557B" w:rsidRPr="004859E4" w:rsidTr="00950906">
        <w:tc>
          <w:tcPr>
            <w:tcW w:w="1520" w:type="dxa"/>
            <w:shd w:val="clear" w:color="auto" w:fill="D3DFEE"/>
            <w:vAlign w:val="center"/>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Yumbo – Buenaventura Bidireccional</w:t>
            </w:r>
          </w:p>
        </w:tc>
        <w:tc>
          <w:tcPr>
            <w:tcW w:w="0" w:type="auto"/>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Yumbo</w:t>
            </w:r>
          </w:p>
        </w:tc>
        <w:tc>
          <w:tcPr>
            <w:tcW w:w="0" w:type="auto"/>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Buenaventura</w:t>
            </w:r>
          </w:p>
        </w:tc>
        <w:tc>
          <w:tcPr>
            <w:tcW w:w="1469"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20,5</w:t>
            </w:r>
          </w:p>
        </w:tc>
        <w:tc>
          <w:tcPr>
            <w:tcW w:w="1216"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6″12″8″</w:t>
            </w:r>
          </w:p>
        </w:tc>
        <w:tc>
          <w:tcPr>
            <w:tcW w:w="1109" w:type="dxa"/>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102,7</w:t>
            </w:r>
          </w:p>
        </w:tc>
        <w:tc>
          <w:tcPr>
            <w:tcW w:w="1433" w:type="dxa"/>
            <w:shd w:val="clear" w:color="auto" w:fill="D3DFEE"/>
            <w:vAlign w:val="center"/>
            <w:hideMark/>
          </w:tcPr>
          <w:p w:rsidR="0083557B" w:rsidRPr="004859E4" w:rsidRDefault="0083557B" w:rsidP="007308C4">
            <w:pPr>
              <w:contextualSpacing/>
              <w:rPr>
                <w:rFonts w:cs="Arial"/>
                <w:color w:val="004D67"/>
                <w:sz w:val="14"/>
                <w:szCs w:val="18"/>
                <w:lang w:eastAsia="es-CO"/>
              </w:rPr>
            </w:pPr>
            <w:r w:rsidRPr="004859E4">
              <w:rPr>
                <w:rFonts w:cs="Arial"/>
                <w:color w:val="004D67"/>
                <w:sz w:val="14"/>
                <w:szCs w:val="18"/>
                <w:lang w:eastAsia="es-CO"/>
              </w:rPr>
              <w:t>B2,GMR</w:t>
            </w:r>
          </w:p>
        </w:tc>
      </w:tr>
    </w:tbl>
    <w:p w:rsidR="0083557B" w:rsidRPr="004859E4" w:rsidRDefault="0083557B" w:rsidP="0083557B">
      <w:pPr>
        <w:ind w:left="195"/>
        <w:rPr>
          <w:rFonts w:cs="Arial"/>
          <w:sz w:val="16"/>
        </w:rPr>
      </w:pPr>
      <w:r w:rsidRPr="004859E4">
        <w:rPr>
          <w:rFonts w:cs="Arial"/>
          <w:sz w:val="16"/>
        </w:rPr>
        <w:t>Fuente: Cenit Transporte y Logística de Hidrocarburos</w:t>
      </w:r>
    </w:p>
    <w:p w:rsidR="0083557B" w:rsidRPr="00F42CA3" w:rsidRDefault="001E5E2C" w:rsidP="00580A39">
      <w:pPr>
        <w:pStyle w:val="Ttulo2"/>
        <w:rPr>
          <w:lang w:eastAsia="es-CO"/>
        </w:rPr>
      </w:pPr>
      <w:bookmarkStart w:id="738" w:name="_Toc424832923"/>
      <w:bookmarkStart w:id="739" w:name="_Toc424887654"/>
      <w:bookmarkStart w:id="740" w:name="_Toc425488413"/>
      <w:bookmarkStart w:id="741" w:name="_Toc426035054"/>
      <w:bookmarkStart w:id="742" w:name="_Toc427333618"/>
      <w:bookmarkStart w:id="743" w:name="_Toc427336559"/>
      <w:bookmarkStart w:id="744" w:name="_Toc427681851"/>
      <w:bookmarkStart w:id="745" w:name="_Toc433276781"/>
      <w:bookmarkStart w:id="746" w:name="_Toc433295744"/>
      <w:bookmarkStart w:id="747" w:name="_Toc433296469"/>
      <w:bookmarkStart w:id="748" w:name="_Toc437500898"/>
      <w:bookmarkStart w:id="749" w:name="_Toc437501557"/>
      <w:bookmarkStart w:id="750" w:name="_Toc437501737"/>
      <w:bookmarkStart w:id="751" w:name="_Toc437501827"/>
      <w:bookmarkStart w:id="752" w:name="_Toc437502590"/>
      <w:bookmarkStart w:id="753" w:name="_Toc437505950"/>
      <w:bookmarkStart w:id="754" w:name="_Toc437512763"/>
      <w:r>
        <w:t>i</w:t>
      </w:r>
      <w:r w:rsidR="0083557B" w:rsidRPr="00F42CA3">
        <w:t xml:space="preserve">nfraestructura de transporte </w:t>
      </w:r>
      <w:r w:rsidR="00580A39" w:rsidRPr="00F42CA3">
        <w:t>z</w:t>
      </w:r>
      <w:r w:rsidR="00580A39" w:rsidRPr="00F42CA3">
        <w:rPr>
          <w:lang w:eastAsia="es-CO"/>
        </w:rPr>
        <w:t xml:space="preserve">ona </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r w:rsidR="00580A39">
        <w:rPr>
          <w:lang w:eastAsia="es-CO"/>
        </w:rPr>
        <w:t>sur</w:t>
      </w:r>
      <w:bookmarkEnd w:id="753"/>
      <w:bookmarkEnd w:id="754"/>
    </w:p>
    <w:p w:rsidR="003C25F5" w:rsidRDefault="0083557B" w:rsidP="00950906">
      <w:pPr>
        <w:rPr>
          <w:rFonts w:cs="Arial"/>
          <w:sz w:val="24"/>
        </w:rPr>
      </w:pPr>
      <w:r w:rsidRPr="00C341FD">
        <w:rPr>
          <w:rFonts w:cs="Arial"/>
          <w:sz w:val="24"/>
        </w:rPr>
        <w:t xml:space="preserve">En la zona oeste se encuentran dos poliductos que unen en un solo tramo a Salgar y Neiva con una estación en Gualanday. El poliducto Salgar-Gualanday (12 pulgadas) tienen una longitud de 168,54 kilómetros y una capacidad nominal de 26,300 barriles. El poliducto Gualanday-Neiva (6 y 8 pulgadas) </w:t>
      </w:r>
      <w:r w:rsidRPr="00C341FD">
        <w:rPr>
          <w:rFonts w:cs="Arial"/>
          <w:sz w:val="24"/>
        </w:rPr>
        <w:lastRenderedPageBreak/>
        <w:t>tiene una longitud de 162,5 kilómetros y una capacidad nominal de 13,300 barriles.</w:t>
      </w:r>
    </w:p>
    <w:p w:rsidR="00950906" w:rsidRPr="00950906" w:rsidRDefault="00950906" w:rsidP="00950906">
      <w:pPr>
        <w:rPr>
          <w:rFonts w:cs="Arial"/>
          <w:b/>
          <w:sz w:val="24"/>
        </w:rPr>
      </w:pP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668"/>
        <w:gridCol w:w="1275"/>
        <w:gridCol w:w="1178"/>
        <w:gridCol w:w="1572"/>
        <w:gridCol w:w="1283"/>
        <w:gridCol w:w="1169"/>
        <w:gridCol w:w="1427"/>
      </w:tblGrid>
      <w:tr w:rsidR="00950906" w:rsidRPr="004859E4" w:rsidTr="001D1BBE">
        <w:tc>
          <w:tcPr>
            <w:tcW w:w="9572" w:type="dxa"/>
            <w:gridSpan w:val="7"/>
            <w:tcBorders>
              <w:top w:val="single" w:sz="8" w:space="0" w:color="4F81BD"/>
              <w:left w:val="single" w:sz="8" w:space="0" w:color="4F81BD"/>
              <w:bottom w:val="single" w:sz="18" w:space="0" w:color="4F81BD"/>
              <w:right w:val="single" w:sz="8" w:space="0" w:color="4F81BD"/>
            </w:tcBorders>
            <w:shd w:val="clear" w:color="auto" w:fill="auto"/>
          </w:tcPr>
          <w:p w:rsidR="00950906" w:rsidRPr="004859E4" w:rsidRDefault="00950906" w:rsidP="00950906">
            <w:pPr>
              <w:contextualSpacing/>
              <w:jc w:val="center"/>
              <w:rPr>
                <w:rFonts w:cs="Arial"/>
                <w:b/>
                <w:bCs/>
                <w:color w:val="004D67"/>
                <w:sz w:val="16"/>
                <w:szCs w:val="18"/>
                <w:lang w:eastAsia="es-CO"/>
              </w:rPr>
            </w:pPr>
            <w:bookmarkStart w:id="755" w:name="_Toc437512821"/>
            <w:r>
              <w:t xml:space="preserve">Tabla </w:t>
            </w:r>
            <w:r>
              <w:fldChar w:fldCharType="begin"/>
            </w:r>
            <w:r>
              <w:instrText xml:space="preserve"> SEQ Tabla \* ARABIC </w:instrText>
            </w:r>
            <w:r>
              <w:fldChar w:fldCharType="separate"/>
            </w:r>
            <w:r w:rsidR="00625BEB">
              <w:rPr>
                <w:noProof/>
              </w:rPr>
              <w:t>15</w:t>
            </w:r>
            <w:r>
              <w:fldChar w:fldCharType="end"/>
            </w:r>
            <w:r>
              <w:t xml:space="preserve"> </w:t>
            </w:r>
            <w:r w:rsidRPr="0082569B">
              <w:t>Infraestructura de transporte zona sur</w:t>
            </w:r>
            <w:bookmarkEnd w:id="755"/>
          </w:p>
        </w:tc>
      </w:tr>
      <w:tr w:rsidR="0083557B" w:rsidRPr="004859E4" w:rsidTr="003C25F5">
        <w:tc>
          <w:tcPr>
            <w:tcW w:w="1668" w:type="dxa"/>
            <w:tcBorders>
              <w:top w:val="single" w:sz="8" w:space="0" w:color="4F81BD"/>
              <w:left w:val="single" w:sz="8" w:space="0" w:color="4F81BD"/>
              <w:bottom w:val="single" w:sz="18" w:space="0" w:color="4F81BD"/>
              <w:right w:val="single" w:sz="8" w:space="0" w:color="4F81BD"/>
            </w:tcBorders>
            <w:shd w:val="clear" w:color="auto" w:fill="auto"/>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SISTEMAS</w:t>
            </w:r>
          </w:p>
        </w:tc>
        <w:tc>
          <w:tcPr>
            <w:tcW w:w="1275" w:type="dxa"/>
            <w:tcBorders>
              <w:top w:val="single" w:sz="8" w:space="0" w:color="4F81BD"/>
              <w:left w:val="single" w:sz="8" w:space="0" w:color="4F81BD"/>
              <w:bottom w:val="single" w:sz="18" w:space="0" w:color="4F81BD"/>
              <w:right w:val="single" w:sz="8" w:space="0" w:color="4F81BD"/>
            </w:tcBorders>
            <w:shd w:val="clear" w:color="auto" w:fill="auto"/>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ESTACION INICIAL</w:t>
            </w:r>
          </w:p>
        </w:tc>
        <w:tc>
          <w:tcPr>
            <w:tcW w:w="1178" w:type="dxa"/>
            <w:tcBorders>
              <w:top w:val="single" w:sz="8" w:space="0" w:color="4F81BD"/>
              <w:left w:val="single" w:sz="8" w:space="0" w:color="4F81BD"/>
              <w:bottom w:val="single" w:sz="18" w:space="0" w:color="4F81BD"/>
              <w:right w:val="single" w:sz="8" w:space="0" w:color="4F81BD"/>
            </w:tcBorders>
            <w:shd w:val="clear" w:color="auto" w:fill="auto"/>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ESTACION FINAL</w:t>
            </w:r>
          </w:p>
        </w:tc>
        <w:tc>
          <w:tcPr>
            <w:tcW w:w="1572" w:type="dxa"/>
            <w:tcBorders>
              <w:top w:val="single" w:sz="8" w:space="0" w:color="4F81BD"/>
              <w:left w:val="single" w:sz="8" w:space="0" w:color="4F81BD"/>
              <w:bottom w:val="single" w:sz="18" w:space="0" w:color="4F81BD"/>
              <w:right w:val="single" w:sz="8" w:space="0" w:color="4F81BD"/>
            </w:tcBorders>
            <w:shd w:val="clear" w:color="auto" w:fill="auto"/>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CAPACIDAD NOMINAL (Kbls)</w:t>
            </w:r>
          </w:p>
        </w:tc>
        <w:tc>
          <w:tcPr>
            <w:tcW w:w="0" w:type="auto"/>
            <w:tcBorders>
              <w:top w:val="single" w:sz="8" w:space="0" w:color="4F81BD"/>
              <w:left w:val="single" w:sz="8" w:space="0" w:color="4F81BD"/>
              <w:bottom w:val="single" w:sz="18" w:space="0" w:color="4F81BD"/>
              <w:right w:val="single" w:sz="8" w:space="0" w:color="4F81BD"/>
            </w:tcBorders>
            <w:shd w:val="clear" w:color="auto" w:fill="auto"/>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DIAMETRO PULGADAS</w:t>
            </w:r>
          </w:p>
        </w:tc>
        <w:tc>
          <w:tcPr>
            <w:tcW w:w="0" w:type="auto"/>
            <w:tcBorders>
              <w:top w:val="single" w:sz="8" w:space="0" w:color="4F81BD"/>
              <w:left w:val="single" w:sz="8" w:space="0" w:color="4F81BD"/>
              <w:bottom w:val="single" w:sz="18" w:space="0" w:color="4F81BD"/>
              <w:right w:val="single" w:sz="8" w:space="0" w:color="4F81BD"/>
            </w:tcBorders>
            <w:shd w:val="clear" w:color="auto" w:fill="auto"/>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LONGITUD KMS</w:t>
            </w:r>
          </w:p>
        </w:tc>
        <w:tc>
          <w:tcPr>
            <w:tcW w:w="0" w:type="auto"/>
            <w:tcBorders>
              <w:top w:val="single" w:sz="8" w:space="0" w:color="4F81BD"/>
              <w:left w:val="single" w:sz="8" w:space="0" w:color="4F81BD"/>
              <w:bottom w:val="single" w:sz="18" w:space="0" w:color="4F81BD"/>
              <w:right w:val="single" w:sz="8" w:space="0" w:color="4F81BD"/>
            </w:tcBorders>
            <w:shd w:val="clear" w:color="auto" w:fill="auto"/>
            <w:hideMark/>
          </w:tcPr>
          <w:p w:rsidR="0083557B" w:rsidRPr="004859E4" w:rsidRDefault="0083557B" w:rsidP="002F63E2">
            <w:pPr>
              <w:contextualSpacing/>
              <w:rPr>
                <w:rFonts w:cs="Arial"/>
                <w:b/>
                <w:bCs/>
                <w:color w:val="004D67"/>
                <w:sz w:val="16"/>
                <w:szCs w:val="18"/>
                <w:lang w:eastAsia="es-CO"/>
              </w:rPr>
            </w:pPr>
            <w:r w:rsidRPr="004859E4">
              <w:rPr>
                <w:rFonts w:cs="Arial"/>
                <w:b/>
                <w:bCs/>
                <w:color w:val="004D67"/>
                <w:sz w:val="16"/>
                <w:szCs w:val="18"/>
                <w:lang w:eastAsia="es-CO"/>
              </w:rPr>
              <w:t xml:space="preserve">PRODUCTOS ASOCIADOS </w:t>
            </w:r>
          </w:p>
        </w:tc>
      </w:tr>
      <w:tr w:rsidR="0083557B" w:rsidRPr="004859E4" w:rsidTr="00686184">
        <w:tc>
          <w:tcPr>
            <w:tcW w:w="1668" w:type="dxa"/>
            <w:tcBorders>
              <w:top w:val="single" w:sz="8" w:space="0" w:color="4F81BD"/>
              <w:left w:val="single" w:sz="8" w:space="0" w:color="4F81BD"/>
              <w:bottom w:val="single" w:sz="8" w:space="0" w:color="4F81BD"/>
              <w:right w:val="single" w:sz="8" w:space="0" w:color="4F81BD"/>
            </w:tcBorders>
            <w:shd w:val="clear" w:color="auto" w:fill="D3DFEE"/>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Salgar-Gualanday</w:t>
            </w:r>
          </w:p>
        </w:tc>
        <w:tc>
          <w:tcPr>
            <w:tcW w:w="1275"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Salgar</w:t>
            </w:r>
          </w:p>
        </w:tc>
        <w:tc>
          <w:tcPr>
            <w:tcW w:w="1178"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Gualanday</w:t>
            </w:r>
          </w:p>
        </w:tc>
        <w:tc>
          <w:tcPr>
            <w:tcW w:w="1572" w:type="dxa"/>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26,3</w:t>
            </w:r>
          </w:p>
        </w:tc>
        <w:tc>
          <w:tcPr>
            <w:tcW w:w="0" w:type="auto"/>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12″</w:t>
            </w:r>
          </w:p>
        </w:tc>
        <w:tc>
          <w:tcPr>
            <w:tcW w:w="0" w:type="auto"/>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168,54</w:t>
            </w:r>
          </w:p>
        </w:tc>
        <w:tc>
          <w:tcPr>
            <w:tcW w:w="0" w:type="auto"/>
            <w:tcBorders>
              <w:top w:val="single" w:sz="8" w:space="0" w:color="4F81BD"/>
              <w:left w:val="single" w:sz="8" w:space="0" w:color="4F81BD"/>
              <w:bottom w:val="single" w:sz="8" w:space="0" w:color="4F81BD"/>
              <w:right w:val="single" w:sz="8" w:space="0" w:color="4F81BD"/>
            </w:tcBorders>
            <w:shd w:val="clear" w:color="auto" w:fill="D3DFEE"/>
            <w:vAlign w:val="center"/>
            <w:hideMark/>
          </w:tcPr>
          <w:p w:rsidR="0083557B" w:rsidRPr="004859E4" w:rsidRDefault="0083557B" w:rsidP="00686184">
            <w:pPr>
              <w:contextualSpacing/>
              <w:jc w:val="center"/>
              <w:rPr>
                <w:rFonts w:cs="Arial"/>
                <w:color w:val="004D67"/>
                <w:sz w:val="16"/>
                <w:szCs w:val="18"/>
                <w:lang w:eastAsia="es-CO"/>
              </w:rPr>
            </w:pPr>
            <w:r w:rsidRPr="004859E4">
              <w:rPr>
                <w:rFonts w:cs="Arial"/>
                <w:color w:val="004D67"/>
                <w:sz w:val="16"/>
                <w:szCs w:val="18"/>
                <w:lang w:eastAsia="es-CO"/>
              </w:rPr>
              <w:t>GMR, GPR, B2.</w:t>
            </w:r>
          </w:p>
        </w:tc>
      </w:tr>
      <w:tr w:rsidR="0083557B" w:rsidRPr="004859E4" w:rsidTr="00686184">
        <w:tc>
          <w:tcPr>
            <w:tcW w:w="1668" w:type="dxa"/>
            <w:tcBorders>
              <w:top w:val="single" w:sz="8" w:space="0" w:color="4F81BD"/>
              <w:left w:val="single" w:sz="8" w:space="0" w:color="4F81BD"/>
              <w:bottom w:val="single" w:sz="8" w:space="0" w:color="4F81BD"/>
              <w:right w:val="single" w:sz="8" w:space="0" w:color="4F81BD"/>
            </w:tcBorders>
            <w:shd w:val="clear" w:color="auto" w:fill="auto"/>
            <w:hideMark/>
          </w:tcPr>
          <w:p w:rsidR="0083557B" w:rsidRPr="004859E4" w:rsidRDefault="0083557B" w:rsidP="007308C4">
            <w:pPr>
              <w:contextualSpacing/>
              <w:rPr>
                <w:rFonts w:cs="Arial"/>
                <w:b/>
                <w:bCs/>
                <w:color w:val="004D67"/>
                <w:sz w:val="18"/>
                <w:szCs w:val="18"/>
                <w:lang w:eastAsia="es-CO"/>
              </w:rPr>
            </w:pPr>
            <w:r w:rsidRPr="004859E4">
              <w:rPr>
                <w:rFonts w:cs="Arial"/>
                <w:b/>
                <w:bCs/>
                <w:color w:val="004D67"/>
                <w:sz w:val="18"/>
                <w:szCs w:val="18"/>
                <w:lang w:eastAsia="es-CO"/>
              </w:rPr>
              <w:t>Gualanday-Neiva</w:t>
            </w:r>
          </w:p>
        </w:tc>
        <w:tc>
          <w:tcPr>
            <w:tcW w:w="1275"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Gualanday</w:t>
            </w:r>
          </w:p>
        </w:tc>
        <w:tc>
          <w:tcPr>
            <w:tcW w:w="1178"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Neiva</w:t>
            </w:r>
          </w:p>
        </w:tc>
        <w:tc>
          <w:tcPr>
            <w:tcW w:w="1572" w:type="dxa"/>
            <w:tcBorders>
              <w:top w:val="single" w:sz="8" w:space="0" w:color="4F81BD"/>
              <w:left w:val="single" w:sz="8" w:space="0" w:color="4F81BD"/>
              <w:bottom w:val="single" w:sz="8" w:space="0" w:color="4F81BD"/>
              <w:right w:val="single" w:sz="8" w:space="0" w:color="4F81BD"/>
            </w:tcBorders>
            <w:shd w:val="clear" w:color="auto" w:fill="auto"/>
            <w:vAlign w:val="center"/>
            <w:hideMark/>
          </w:tcPr>
          <w:p w:rsidR="0083557B" w:rsidRPr="004859E4" w:rsidRDefault="0083557B" w:rsidP="007308C4">
            <w:pPr>
              <w:contextualSpacing/>
              <w:rPr>
                <w:rFonts w:cs="Arial"/>
                <w:color w:val="004D67"/>
                <w:sz w:val="18"/>
                <w:szCs w:val="18"/>
                <w:lang w:eastAsia="es-CO"/>
              </w:rPr>
            </w:pPr>
            <w:r w:rsidRPr="004859E4">
              <w:rPr>
                <w:rFonts w:cs="Arial"/>
                <w:color w:val="004D67"/>
                <w:sz w:val="18"/>
                <w:szCs w:val="18"/>
                <w:lang w:eastAsia="es-CO"/>
              </w:rPr>
              <w:t>13,3</w:t>
            </w:r>
          </w:p>
        </w:tc>
        <w:tc>
          <w:tcPr>
            <w:tcW w:w="0" w:type="auto"/>
            <w:tcBorders>
              <w:top w:val="single" w:sz="8" w:space="0" w:color="4F81BD"/>
              <w:left w:val="single" w:sz="8" w:space="0" w:color="4F81BD"/>
              <w:bottom w:val="single" w:sz="8" w:space="0" w:color="4F81BD"/>
              <w:right w:val="single" w:sz="8" w:space="0" w:color="4F81BD"/>
            </w:tcBorders>
            <w:shd w:val="clear" w:color="auto" w:fill="auto"/>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6″,8″</w:t>
            </w:r>
          </w:p>
        </w:tc>
        <w:tc>
          <w:tcPr>
            <w:tcW w:w="0" w:type="auto"/>
            <w:tcBorders>
              <w:top w:val="single" w:sz="8" w:space="0" w:color="4F81BD"/>
              <w:left w:val="single" w:sz="8" w:space="0" w:color="4F81BD"/>
              <w:bottom w:val="single" w:sz="8" w:space="0" w:color="4F81BD"/>
              <w:right w:val="single" w:sz="8" w:space="0" w:color="4F81BD"/>
            </w:tcBorders>
            <w:shd w:val="clear" w:color="auto" w:fill="auto"/>
            <w:vAlign w:val="center"/>
            <w:hideMark/>
          </w:tcPr>
          <w:p w:rsidR="0083557B" w:rsidRPr="004859E4" w:rsidRDefault="0083557B" w:rsidP="007308C4">
            <w:pPr>
              <w:contextualSpacing/>
              <w:jc w:val="center"/>
              <w:rPr>
                <w:rFonts w:cs="Arial"/>
                <w:color w:val="004D67"/>
                <w:sz w:val="18"/>
                <w:szCs w:val="18"/>
                <w:lang w:eastAsia="es-CO"/>
              </w:rPr>
            </w:pPr>
            <w:r w:rsidRPr="004859E4">
              <w:rPr>
                <w:rFonts w:cs="Arial"/>
                <w:color w:val="004D67"/>
                <w:sz w:val="18"/>
                <w:szCs w:val="18"/>
                <w:lang w:eastAsia="es-CO"/>
              </w:rPr>
              <w:t>162,5</w:t>
            </w:r>
          </w:p>
        </w:tc>
        <w:tc>
          <w:tcPr>
            <w:tcW w:w="0" w:type="auto"/>
            <w:tcBorders>
              <w:top w:val="single" w:sz="8" w:space="0" w:color="4F81BD"/>
              <w:left w:val="single" w:sz="8" w:space="0" w:color="4F81BD"/>
              <w:bottom w:val="single" w:sz="8" w:space="0" w:color="4F81BD"/>
              <w:right w:val="single" w:sz="8" w:space="0" w:color="4F81BD"/>
            </w:tcBorders>
            <w:shd w:val="clear" w:color="auto" w:fill="auto"/>
            <w:vAlign w:val="center"/>
            <w:hideMark/>
          </w:tcPr>
          <w:p w:rsidR="0083557B" w:rsidRPr="004859E4" w:rsidRDefault="0083557B" w:rsidP="00686184">
            <w:pPr>
              <w:contextualSpacing/>
              <w:jc w:val="center"/>
              <w:rPr>
                <w:rFonts w:cs="Arial"/>
                <w:color w:val="004D67"/>
                <w:sz w:val="16"/>
                <w:szCs w:val="18"/>
                <w:lang w:eastAsia="es-CO"/>
              </w:rPr>
            </w:pPr>
            <w:r w:rsidRPr="004859E4">
              <w:rPr>
                <w:rFonts w:cs="Arial"/>
                <w:color w:val="004D67"/>
                <w:sz w:val="16"/>
                <w:szCs w:val="18"/>
                <w:lang w:eastAsia="es-CO"/>
              </w:rPr>
              <w:t>GMR, GPR, B2</w:t>
            </w:r>
          </w:p>
        </w:tc>
      </w:tr>
    </w:tbl>
    <w:p w:rsidR="0083557B" w:rsidRPr="004859E4" w:rsidRDefault="0083557B" w:rsidP="0083557B">
      <w:pPr>
        <w:ind w:left="195"/>
        <w:rPr>
          <w:rFonts w:cs="Arial"/>
          <w:sz w:val="16"/>
        </w:rPr>
      </w:pPr>
      <w:r w:rsidRPr="004859E4">
        <w:rPr>
          <w:rFonts w:cs="Arial"/>
          <w:sz w:val="16"/>
        </w:rPr>
        <w:t>Fuente: Cenit Transporte y Logística de Hidrocarburos</w:t>
      </w:r>
    </w:p>
    <w:p w:rsidR="0083557B" w:rsidRPr="004859E4" w:rsidRDefault="0083557B" w:rsidP="0083557B">
      <w:pPr>
        <w:ind w:left="195"/>
        <w:rPr>
          <w:rFonts w:cs="Arial"/>
          <w:sz w:val="16"/>
        </w:rPr>
      </w:pPr>
    </w:p>
    <w:p w:rsidR="0083557B" w:rsidRPr="00F42CA3" w:rsidRDefault="001E5E2C" w:rsidP="001E5E2C">
      <w:pPr>
        <w:pStyle w:val="Ttulo2"/>
      </w:pPr>
      <w:bookmarkStart w:id="756" w:name="_Toc424832924"/>
      <w:bookmarkStart w:id="757" w:name="_Toc424887655"/>
      <w:bookmarkStart w:id="758" w:name="_Toc425488414"/>
      <w:bookmarkStart w:id="759" w:name="_Toc426035055"/>
      <w:bookmarkStart w:id="760" w:name="_Toc427333619"/>
      <w:bookmarkStart w:id="761" w:name="_Toc427336560"/>
      <w:bookmarkStart w:id="762" w:name="_Toc427681852"/>
      <w:bookmarkStart w:id="763" w:name="_Toc433276782"/>
      <w:bookmarkStart w:id="764" w:name="_Toc433295745"/>
      <w:bookmarkStart w:id="765" w:name="_Toc433296470"/>
      <w:bookmarkStart w:id="766" w:name="_Toc437500899"/>
      <w:bookmarkStart w:id="767" w:name="_Toc437501558"/>
      <w:bookmarkStart w:id="768" w:name="_Toc437501738"/>
      <w:bookmarkStart w:id="769" w:name="_Toc437501828"/>
      <w:bookmarkStart w:id="770" w:name="_Toc437502591"/>
      <w:bookmarkStart w:id="771" w:name="_Toc437505951"/>
      <w:bookmarkStart w:id="772" w:name="_Toc437512764"/>
      <w:r>
        <w:t>i</w:t>
      </w:r>
      <w:r w:rsidR="0083557B" w:rsidRPr="00F42CA3">
        <w:t xml:space="preserve">nfraestructura de transporte </w:t>
      </w:r>
      <w:r w:rsidRPr="00F42CA3">
        <w:t xml:space="preserve">zona </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t>b</w:t>
      </w:r>
      <w:r w:rsidRPr="00F42CA3">
        <w:t>ogotá</w:t>
      </w:r>
      <w:bookmarkEnd w:id="772"/>
    </w:p>
    <w:p w:rsidR="0083557B" w:rsidRDefault="0083557B" w:rsidP="0083557B">
      <w:pPr>
        <w:rPr>
          <w:rFonts w:cs="Arial"/>
          <w:sz w:val="24"/>
        </w:rPr>
      </w:pPr>
      <w:r w:rsidRPr="00C341FD">
        <w:rPr>
          <w:rFonts w:cs="Arial"/>
          <w:sz w:val="24"/>
        </w:rPr>
        <w:t xml:space="preserve">La zona Bogotá presenta en total 8 ductos para el transporte de combustibles líquidos. </w:t>
      </w:r>
      <w:r w:rsidR="009B7159" w:rsidRPr="00C341FD">
        <w:rPr>
          <w:rFonts w:cs="Arial"/>
          <w:sz w:val="24"/>
        </w:rPr>
        <w:t>Se encuentran tres d</w:t>
      </w:r>
      <w:r w:rsidR="009B7159">
        <w:rPr>
          <w:rFonts w:cs="Arial"/>
          <w:sz w:val="24"/>
        </w:rPr>
        <w:t>uctos con único uso como lo son</w:t>
      </w:r>
      <w:r w:rsidR="009B7159" w:rsidRPr="00C341FD">
        <w:rPr>
          <w:rFonts w:cs="Arial"/>
          <w:sz w:val="24"/>
        </w:rPr>
        <w:t>:</w:t>
      </w:r>
      <w:r w:rsidR="009B7159">
        <w:rPr>
          <w:rFonts w:cs="Arial"/>
          <w:sz w:val="24"/>
        </w:rPr>
        <w:t xml:space="preserve"> </w:t>
      </w:r>
      <w:r w:rsidR="009B7159" w:rsidRPr="00C341FD">
        <w:rPr>
          <w:rFonts w:cs="Arial"/>
          <w:sz w:val="24"/>
        </w:rPr>
        <w:t>Salga</w:t>
      </w:r>
      <w:r w:rsidR="009B7159">
        <w:rPr>
          <w:rFonts w:cs="Arial"/>
          <w:sz w:val="24"/>
        </w:rPr>
        <w:t>r</w:t>
      </w:r>
      <w:r w:rsidR="009B7159" w:rsidRPr="00C341FD">
        <w:rPr>
          <w:rFonts w:cs="Arial"/>
          <w:sz w:val="24"/>
        </w:rPr>
        <w:t>-Mansilla (8 pulgadas) que transporta GLP, Puente Aranda-El Dorado (6 pulgadas) que transporta JET A1 y Sutamarchán - Apiay (16 y 12 pulgadas) que transporta únicamente Nafta.</w:t>
      </w:r>
    </w:p>
    <w:p w:rsidR="00722321" w:rsidRPr="00C341FD" w:rsidRDefault="00722321" w:rsidP="0083557B">
      <w:pPr>
        <w:rPr>
          <w:rFonts w:cs="Arial"/>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2"/>
        <w:gridCol w:w="1433"/>
        <w:gridCol w:w="1559"/>
        <w:gridCol w:w="1134"/>
        <w:gridCol w:w="1061"/>
        <w:gridCol w:w="1100"/>
        <w:gridCol w:w="1295"/>
      </w:tblGrid>
      <w:tr w:rsidR="00722321" w:rsidRPr="00D15218" w:rsidTr="001D1BBE">
        <w:trPr>
          <w:trHeight w:val="339"/>
          <w:jc w:val="center"/>
        </w:trPr>
        <w:tc>
          <w:tcPr>
            <w:tcW w:w="9464" w:type="dxa"/>
            <w:gridSpan w:val="7"/>
            <w:shd w:val="clear" w:color="auto" w:fill="auto"/>
            <w:vAlign w:val="center"/>
          </w:tcPr>
          <w:p w:rsidR="00722321" w:rsidRPr="00D15218" w:rsidRDefault="00722321" w:rsidP="002F63E2">
            <w:pPr>
              <w:contextualSpacing/>
              <w:jc w:val="center"/>
              <w:rPr>
                <w:rFonts w:cs="Arial"/>
                <w:b/>
                <w:bCs/>
                <w:color w:val="004D67"/>
                <w:sz w:val="14"/>
                <w:szCs w:val="18"/>
                <w:lang w:eastAsia="es-CO"/>
              </w:rPr>
            </w:pPr>
            <w:bookmarkStart w:id="773" w:name="_Toc437512822"/>
            <w:r>
              <w:t xml:space="preserve">Tabla </w:t>
            </w:r>
            <w:r>
              <w:fldChar w:fldCharType="begin"/>
            </w:r>
            <w:r>
              <w:instrText xml:space="preserve"> SEQ Tabla \* ARABIC </w:instrText>
            </w:r>
            <w:r>
              <w:fldChar w:fldCharType="separate"/>
            </w:r>
            <w:r w:rsidR="00625BEB">
              <w:rPr>
                <w:noProof/>
              </w:rPr>
              <w:t>16</w:t>
            </w:r>
            <w:r>
              <w:fldChar w:fldCharType="end"/>
            </w:r>
            <w:r>
              <w:t xml:space="preserve"> </w:t>
            </w:r>
            <w:r w:rsidRPr="009B0673">
              <w:t>Infraestructura de transporte zona Bogotá</w:t>
            </w:r>
            <w:bookmarkEnd w:id="773"/>
          </w:p>
        </w:tc>
      </w:tr>
      <w:tr w:rsidR="0083557B" w:rsidRPr="00D15218" w:rsidTr="00722321">
        <w:trPr>
          <w:trHeight w:val="339"/>
          <w:jc w:val="center"/>
        </w:trPr>
        <w:tc>
          <w:tcPr>
            <w:tcW w:w="1882" w:type="dxa"/>
            <w:shd w:val="clear" w:color="auto" w:fill="auto"/>
            <w:vAlign w:val="center"/>
            <w:hideMark/>
          </w:tcPr>
          <w:p w:rsidR="0083557B" w:rsidRPr="00D15218" w:rsidRDefault="0083557B" w:rsidP="002F63E2">
            <w:pPr>
              <w:contextualSpacing/>
              <w:rPr>
                <w:rFonts w:cs="Arial"/>
                <w:b/>
                <w:bCs/>
                <w:color w:val="004D67"/>
                <w:sz w:val="16"/>
                <w:szCs w:val="18"/>
                <w:lang w:eastAsia="es-CO"/>
              </w:rPr>
            </w:pPr>
            <w:r w:rsidRPr="00D15218">
              <w:rPr>
                <w:rFonts w:cs="Arial"/>
                <w:b/>
                <w:bCs/>
                <w:color w:val="004D67"/>
                <w:sz w:val="16"/>
                <w:szCs w:val="18"/>
                <w:lang w:eastAsia="es-CO"/>
              </w:rPr>
              <w:t>SISTEMAS</w:t>
            </w:r>
          </w:p>
        </w:tc>
        <w:tc>
          <w:tcPr>
            <w:tcW w:w="1433" w:type="dxa"/>
            <w:shd w:val="clear" w:color="auto" w:fill="auto"/>
            <w:vAlign w:val="center"/>
            <w:hideMark/>
          </w:tcPr>
          <w:p w:rsidR="0083557B" w:rsidRPr="00D15218" w:rsidRDefault="0083557B" w:rsidP="002F63E2">
            <w:pPr>
              <w:contextualSpacing/>
              <w:jc w:val="center"/>
              <w:rPr>
                <w:rFonts w:cs="Arial"/>
                <w:b/>
                <w:bCs/>
                <w:color w:val="004D67"/>
                <w:sz w:val="14"/>
                <w:szCs w:val="18"/>
                <w:lang w:eastAsia="es-CO"/>
              </w:rPr>
            </w:pPr>
            <w:r w:rsidRPr="00D15218">
              <w:rPr>
                <w:rFonts w:cs="Arial"/>
                <w:b/>
                <w:bCs/>
                <w:color w:val="004D67"/>
                <w:sz w:val="14"/>
                <w:szCs w:val="18"/>
                <w:lang w:eastAsia="es-CO"/>
              </w:rPr>
              <w:t>ESTACION INICIAL</w:t>
            </w:r>
          </w:p>
        </w:tc>
        <w:tc>
          <w:tcPr>
            <w:tcW w:w="1559" w:type="dxa"/>
            <w:shd w:val="clear" w:color="auto" w:fill="auto"/>
            <w:vAlign w:val="center"/>
            <w:hideMark/>
          </w:tcPr>
          <w:p w:rsidR="0083557B" w:rsidRPr="00D15218" w:rsidRDefault="0083557B" w:rsidP="002F63E2">
            <w:pPr>
              <w:contextualSpacing/>
              <w:jc w:val="center"/>
              <w:rPr>
                <w:rFonts w:cs="Arial"/>
                <w:b/>
                <w:bCs/>
                <w:color w:val="004D67"/>
                <w:sz w:val="14"/>
                <w:szCs w:val="18"/>
                <w:lang w:eastAsia="es-CO"/>
              </w:rPr>
            </w:pPr>
            <w:r w:rsidRPr="00D15218">
              <w:rPr>
                <w:rFonts w:cs="Arial"/>
                <w:b/>
                <w:bCs/>
                <w:color w:val="004D67"/>
                <w:sz w:val="14"/>
                <w:szCs w:val="18"/>
                <w:lang w:eastAsia="es-CO"/>
              </w:rPr>
              <w:t>ESTACION FINAL</w:t>
            </w:r>
          </w:p>
        </w:tc>
        <w:tc>
          <w:tcPr>
            <w:tcW w:w="1134" w:type="dxa"/>
            <w:shd w:val="clear" w:color="auto" w:fill="auto"/>
            <w:vAlign w:val="center"/>
            <w:hideMark/>
          </w:tcPr>
          <w:p w:rsidR="0083557B" w:rsidRPr="00D15218" w:rsidRDefault="0083557B" w:rsidP="002F63E2">
            <w:pPr>
              <w:contextualSpacing/>
              <w:jc w:val="center"/>
              <w:rPr>
                <w:rFonts w:cs="Arial"/>
                <w:b/>
                <w:bCs/>
                <w:color w:val="004D67"/>
                <w:sz w:val="14"/>
                <w:szCs w:val="18"/>
                <w:lang w:eastAsia="es-CO"/>
              </w:rPr>
            </w:pPr>
            <w:r w:rsidRPr="00D15218">
              <w:rPr>
                <w:rFonts w:cs="Arial"/>
                <w:b/>
                <w:bCs/>
                <w:color w:val="004D67"/>
                <w:sz w:val="14"/>
                <w:szCs w:val="18"/>
                <w:lang w:eastAsia="es-CO"/>
              </w:rPr>
              <w:t>CAPACIDAD NOMINAL (Kbls)</w:t>
            </w:r>
          </w:p>
        </w:tc>
        <w:tc>
          <w:tcPr>
            <w:tcW w:w="1061" w:type="dxa"/>
            <w:shd w:val="clear" w:color="auto" w:fill="auto"/>
            <w:vAlign w:val="center"/>
            <w:hideMark/>
          </w:tcPr>
          <w:p w:rsidR="0083557B" w:rsidRPr="00D15218" w:rsidRDefault="0083557B" w:rsidP="002F63E2">
            <w:pPr>
              <w:contextualSpacing/>
              <w:jc w:val="center"/>
              <w:rPr>
                <w:rFonts w:cs="Arial"/>
                <w:b/>
                <w:bCs/>
                <w:color w:val="004D67"/>
                <w:sz w:val="14"/>
                <w:szCs w:val="18"/>
                <w:lang w:eastAsia="es-CO"/>
              </w:rPr>
            </w:pPr>
            <w:r w:rsidRPr="00D15218">
              <w:rPr>
                <w:rFonts w:cs="Arial"/>
                <w:b/>
                <w:bCs/>
                <w:color w:val="004D67"/>
                <w:sz w:val="14"/>
                <w:szCs w:val="18"/>
                <w:lang w:eastAsia="es-CO"/>
              </w:rPr>
              <w:t>DIAMETRO PULGADAS</w:t>
            </w:r>
          </w:p>
        </w:tc>
        <w:tc>
          <w:tcPr>
            <w:tcW w:w="1100" w:type="dxa"/>
            <w:shd w:val="clear" w:color="auto" w:fill="auto"/>
            <w:vAlign w:val="center"/>
            <w:hideMark/>
          </w:tcPr>
          <w:p w:rsidR="0083557B" w:rsidRPr="00D15218" w:rsidRDefault="0083557B" w:rsidP="002F63E2">
            <w:pPr>
              <w:contextualSpacing/>
              <w:jc w:val="center"/>
              <w:rPr>
                <w:rFonts w:cs="Arial"/>
                <w:b/>
                <w:bCs/>
                <w:color w:val="004D67"/>
                <w:sz w:val="14"/>
                <w:szCs w:val="18"/>
                <w:lang w:eastAsia="es-CO"/>
              </w:rPr>
            </w:pPr>
            <w:r w:rsidRPr="00D15218">
              <w:rPr>
                <w:rFonts w:cs="Arial"/>
                <w:b/>
                <w:bCs/>
                <w:color w:val="004D67"/>
                <w:sz w:val="14"/>
                <w:szCs w:val="18"/>
                <w:lang w:eastAsia="es-CO"/>
              </w:rPr>
              <w:t>LONGITUD KMS</w:t>
            </w:r>
          </w:p>
        </w:tc>
        <w:tc>
          <w:tcPr>
            <w:tcW w:w="1295" w:type="dxa"/>
            <w:shd w:val="clear" w:color="auto" w:fill="auto"/>
            <w:vAlign w:val="center"/>
            <w:hideMark/>
          </w:tcPr>
          <w:p w:rsidR="0083557B" w:rsidRPr="00D15218" w:rsidRDefault="0083557B" w:rsidP="002F63E2">
            <w:pPr>
              <w:contextualSpacing/>
              <w:jc w:val="center"/>
              <w:rPr>
                <w:rFonts w:cs="Arial"/>
                <w:b/>
                <w:bCs/>
                <w:color w:val="004D67"/>
                <w:sz w:val="14"/>
                <w:szCs w:val="18"/>
                <w:lang w:eastAsia="es-CO"/>
              </w:rPr>
            </w:pPr>
            <w:r w:rsidRPr="00D15218">
              <w:rPr>
                <w:rFonts w:cs="Arial"/>
                <w:b/>
                <w:bCs/>
                <w:color w:val="004D67"/>
                <w:sz w:val="14"/>
                <w:szCs w:val="18"/>
                <w:lang w:eastAsia="es-CO"/>
              </w:rPr>
              <w:t>PRODUCTOS ASOCIADOS</w:t>
            </w:r>
          </w:p>
        </w:tc>
      </w:tr>
      <w:tr w:rsidR="0083557B" w:rsidRPr="00D07D66" w:rsidTr="00722321">
        <w:trPr>
          <w:trHeight w:val="519"/>
          <w:jc w:val="center"/>
        </w:trPr>
        <w:tc>
          <w:tcPr>
            <w:tcW w:w="1882" w:type="dxa"/>
            <w:shd w:val="clear" w:color="auto" w:fill="D3DFEE"/>
            <w:vAlign w:val="center"/>
            <w:hideMark/>
          </w:tcPr>
          <w:p w:rsidR="0083557B" w:rsidRPr="00D15218" w:rsidRDefault="0083557B" w:rsidP="007308C4">
            <w:pPr>
              <w:contextualSpacing/>
              <w:rPr>
                <w:rFonts w:cs="Arial"/>
                <w:b/>
                <w:bCs/>
                <w:color w:val="004D67"/>
                <w:sz w:val="18"/>
                <w:szCs w:val="18"/>
                <w:lang w:eastAsia="es-CO"/>
              </w:rPr>
            </w:pPr>
            <w:r w:rsidRPr="00D15218">
              <w:rPr>
                <w:rFonts w:cs="Arial"/>
                <w:b/>
                <w:bCs/>
                <w:color w:val="004D67"/>
                <w:sz w:val="18"/>
                <w:szCs w:val="18"/>
                <w:lang w:eastAsia="es-CO"/>
              </w:rPr>
              <w:t>Salgar-Mansilla 10″</w:t>
            </w:r>
          </w:p>
        </w:tc>
        <w:tc>
          <w:tcPr>
            <w:tcW w:w="1433"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Salgar</w:t>
            </w:r>
          </w:p>
        </w:tc>
        <w:tc>
          <w:tcPr>
            <w:tcW w:w="1559"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Mansilla</w:t>
            </w:r>
          </w:p>
        </w:tc>
        <w:tc>
          <w:tcPr>
            <w:tcW w:w="1134" w:type="dxa"/>
            <w:shd w:val="clear" w:color="auto" w:fill="D3DFEE"/>
            <w:vAlign w:val="center"/>
            <w:hideMark/>
          </w:tcPr>
          <w:p w:rsidR="0083557B" w:rsidRPr="00D15218" w:rsidRDefault="0083557B" w:rsidP="007308C4">
            <w:pPr>
              <w:contextualSpacing/>
              <w:rPr>
                <w:rFonts w:cs="Arial"/>
                <w:color w:val="004D67"/>
                <w:sz w:val="18"/>
                <w:szCs w:val="18"/>
                <w:lang w:eastAsia="es-CO"/>
              </w:rPr>
            </w:pPr>
            <w:r w:rsidRPr="00D15218">
              <w:rPr>
                <w:rFonts w:cs="Arial"/>
                <w:color w:val="004D67"/>
                <w:sz w:val="18"/>
                <w:szCs w:val="18"/>
                <w:lang w:eastAsia="es-CO"/>
              </w:rPr>
              <w:t>94,4</w:t>
            </w:r>
          </w:p>
        </w:tc>
        <w:tc>
          <w:tcPr>
            <w:tcW w:w="1061"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10″</w:t>
            </w:r>
          </w:p>
        </w:tc>
        <w:tc>
          <w:tcPr>
            <w:tcW w:w="1100"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109,43</w:t>
            </w:r>
          </w:p>
        </w:tc>
        <w:tc>
          <w:tcPr>
            <w:tcW w:w="1295" w:type="dxa"/>
            <w:shd w:val="clear" w:color="auto" w:fill="D3DFEE"/>
            <w:vAlign w:val="center"/>
            <w:hideMark/>
          </w:tcPr>
          <w:p w:rsidR="0083557B" w:rsidRPr="00D07D66" w:rsidRDefault="0083557B" w:rsidP="00686184">
            <w:pPr>
              <w:contextualSpacing/>
              <w:jc w:val="center"/>
              <w:rPr>
                <w:rFonts w:cs="Arial"/>
                <w:color w:val="004D67"/>
                <w:sz w:val="14"/>
                <w:szCs w:val="18"/>
                <w:lang w:eastAsia="es-CO"/>
              </w:rPr>
            </w:pPr>
            <w:r w:rsidRPr="00D07D66">
              <w:rPr>
                <w:rFonts w:cs="Arial"/>
                <w:color w:val="004D67"/>
                <w:sz w:val="14"/>
                <w:szCs w:val="18"/>
                <w:lang w:eastAsia="es-CO"/>
              </w:rPr>
              <w:t>JET A1, GMR, GPR, B2, B2E, KERO, VOIL.</w:t>
            </w:r>
          </w:p>
        </w:tc>
      </w:tr>
      <w:tr w:rsidR="0083557B" w:rsidRPr="00D07D66" w:rsidTr="00722321">
        <w:trPr>
          <w:trHeight w:val="179"/>
          <w:jc w:val="center"/>
        </w:trPr>
        <w:tc>
          <w:tcPr>
            <w:tcW w:w="1882" w:type="dxa"/>
            <w:shd w:val="clear" w:color="auto" w:fill="auto"/>
            <w:hideMark/>
          </w:tcPr>
          <w:p w:rsidR="0083557B" w:rsidRPr="00D15218" w:rsidRDefault="0083557B" w:rsidP="007308C4">
            <w:pPr>
              <w:contextualSpacing/>
              <w:rPr>
                <w:rFonts w:cs="Arial"/>
                <w:b/>
                <w:bCs/>
                <w:color w:val="004D67"/>
                <w:sz w:val="18"/>
                <w:szCs w:val="18"/>
                <w:lang w:eastAsia="es-CO"/>
              </w:rPr>
            </w:pPr>
            <w:r w:rsidRPr="00D15218">
              <w:rPr>
                <w:rFonts w:cs="Arial"/>
                <w:b/>
                <w:bCs/>
                <w:color w:val="004D67"/>
                <w:sz w:val="18"/>
                <w:szCs w:val="18"/>
                <w:lang w:eastAsia="es-CO"/>
              </w:rPr>
              <w:t>Salgar-Mansilla 8″</w:t>
            </w:r>
          </w:p>
        </w:tc>
        <w:tc>
          <w:tcPr>
            <w:tcW w:w="1433" w:type="dxa"/>
            <w:shd w:val="clear" w:color="auto" w:fill="auto"/>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Salgar</w:t>
            </w:r>
          </w:p>
        </w:tc>
        <w:tc>
          <w:tcPr>
            <w:tcW w:w="1559" w:type="dxa"/>
            <w:shd w:val="clear" w:color="auto" w:fill="auto"/>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Mansilla</w:t>
            </w:r>
          </w:p>
        </w:tc>
        <w:tc>
          <w:tcPr>
            <w:tcW w:w="1134" w:type="dxa"/>
            <w:shd w:val="clear" w:color="auto" w:fill="auto"/>
            <w:vAlign w:val="center"/>
            <w:hideMark/>
          </w:tcPr>
          <w:p w:rsidR="0083557B" w:rsidRPr="00D15218" w:rsidRDefault="0083557B" w:rsidP="007308C4">
            <w:pPr>
              <w:contextualSpacing/>
              <w:rPr>
                <w:rFonts w:cs="Arial"/>
                <w:color w:val="004D67"/>
                <w:sz w:val="18"/>
                <w:szCs w:val="18"/>
                <w:lang w:eastAsia="es-CO"/>
              </w:rPr>
            </w:pPr>
            <w:r w:rsidRPr="00D15218">
              <w:rPr>
                <w:rFonts w:cs="Arial"/>
                <w:color w:val="004D67"/>
                <w:sz w:val="18"/>
                <w:szCs w:val="18"/>
                <w:lang w:eastAsia="es-CO"/>
              </w:rPr>
              <w:t>14,4</w:t>
            </w:r>
          </w:p>
        </w:tc>
        <w:tc>
          <w:tcPr>
            <w:tcW w:w="1061" w:type="dxa"/>
            <w:shd w:val="clear" w:color="auto" w:fill="auto"/>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8″</w:t>
            </w:r>
          </w:p>
        </w:tc>
        <w:tc>
          <w:tcPr>
            <w:tcW w:w="1100" w:type="dxa"/>
            <w:shd w:val="clear" w:color="auto" w:fill="auto"/>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107,67</w:t>
            </w:r>
          </w:p>
        </w:tc>
        <w:tc>
          <w:tcPr>
            <w:tcW w:w="1295" w:type="dxa"/>
            <w:shd w:val="clear" w:color="auto" w:fill="auto"/>
            <w:vAlign w:val="center"/>
            <w:hideMark/>
          </w:tcPr>
          <w:p w:rsidR="0083557B" w:rsidRPr="00D07D66" w:rsidRDefault="0083557B" w:rsidP="00686184">
            <w:pPr>
              <w:contextualSpacing/>
              <w:jc w:val="center"/>
              <w:rPr>
                <w:rFonts w:cs="Arial"/>
                <w:color w:val="004D67"/>
                <w:sz w:val="14"/>
                <w:szCs w:val="18"/>
                <w:lang w:eastAsia="es-CO"/>
              </w:rPr>
            </w:pPr>
            <w:r w:rsidRPr="00D07D66">
              <w:rPr>
                <w:rFonts w:cs="Arial"/>
                <w:color w:val="004D67"/>
                <w:sz w:val="14"/>
                <w:szCs w:val="18"/>
                <w:lang w:eastAsia="es-CO"/>
              </w:rPr>
              <w:t>GLP</w:t>
            </w:r>
          </w:p>
        </w:tc>
      </w:tr>
      <w:tr w:rsidR="0083557B" w:rsidRPr="00D07D66" w:rsidTr="00722321">
        <w:trPr>
          <w:trHeight w:val="160"/>
          <w:jc w:val="center"/>
        </w:trPr>
        <w:tc>
          <w:tcPr>
            <w:tcW w:w="1882" w:type="dxa"/>
            <w:shd w:val="clear" w:color="auto" w:fill="D3DFEE"/>
            <w:hideMark/>
          </w:tcPr>
          <w:p w:rsidR="0083557B" w:rsidRPr="00D15218" w:rsidRDefault="0083557B" w:rsidP="007308C4">
            <w:pPr>
              <w:contextualSpacing/>
              <w:rPr>
                <w:rFonts w:cs="Arial"/>
                <w:b/>
                <w:bCs/>
                <w:color w:val="004D67"/>
                <w:sz w:val="18"/>
                <w:szCs w:val="18"/>
                <w:lang w:eastAsia="es-CO"/>
              </w:rPr>
            </w:pPr>
            <w:r w:rsidRPr="00D15218">
              <w:rPr>
                <w:rFonts w:cs="Arial"/>
                <w:b/>
                <w:bCs/>
                <w:color w:val="004D67"/>
                <w:sz w:val="18"/>
                <w:szCs w:val="18"/>
                <w:lang w:eastAsia="es-CO"/>
              </w:rPr>
              <w:t>Salgar- La Dorada</w:t>
            </w:r>
          </w:p>
        </w:tc>
        <w:tc>
          <w:tcPr>
            <w:tcW w:w="1433"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Salgar</w:t>
            </w:r>
          </w:p>
        </w:tc>
        <w:tc>
          <w:tcPr>
            <w:tcW w:w="1559"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La Dorada</w:t>
            </w:r>
          </w:p>
        </w:tc>
        <w:tc>
          <w:tcPr>
            <w:tcW w:w="1134" w:type="dxa"/>
            <w:shd w:val="clear" w:color="auto" w:fill="D3DFEE"/>
            <w:vAlign w:val="center"/>
            <w:hideMark/>
          </w:tcPr>
          <w:p w:rsidR="0083557B" w:rsidRPr="00D15218" w:rsidRDefault="0083557B" w:rsidP="007308C4">
            <w:pPr>
              <w:contextualSpacing/>
              <w:rPr>
                <w:rFonts w:cs="Arial"/>
                <w:color w:val="004D67"/>
                <w:sz w:val="18"/>
                <w:szCs w:val="18"/>
                <w:lang w:eastAsia="es-CO"/>
              </w:rPr>
            </w:pPr>
            <w:r w:rsidRPr="00D15218">
              <w:rPr>
                <w:rFonts w:cs="Arial"/>
                <w:color w:val="004D67"/>
                <w:sz w:val="18"/>
                <w:szCs w:val="18"/>
                <w:lang w:eastAsia="es-CO"/>
              </w:rPr>
              <w:t>21,18</w:t>
            </w:r>
          </w:p>
        </w:tc>
        <w:tc>
          <w:tcPr>
            <w:tcW w:w="1061"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6″</w:t>
            </w:r>
          </w:p>
        </w:tc>
        <w:tc>
          <w:tcPr>
            <w:tcW w:w="1100"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3,8</w:t>
            </w:r>
          </w:p>
        </w:tc>
        <w:tc>
          <w:tcPr>
            <w:tcW w:w="1295" w:type="dxa"/>
            <w:shd w:val="clear" w:color="auto" w:fill="D3DFEE"/>
            <w:vAlign w:val="center"/>
            <w:hideMark/>
          </w:tcPr>
          <w:p w:rsidR="0083557B" w:rsidRPr="00D07D66" w:rsidRDefault="0083557B" w:rsidP="00686184">
            <w:pPr>
              <w:contextualSpacing/>
              <w:jc w:val="center"/>
              <w:rPr>
                <w:rFonts w:cs="Arial"/>
                <w:color w:val="004D67"/>
                <w:sz w:val="14"/>
                <w:szCs w:val="18"/>
                <w:lang w:eastAsia="es-CO"/>
              </w:rPr>
            </w:pPr>
            <w:r w:rsidRPr="00D07D66">
              <w:rPr>
                <w:rFonts w:cs="Arial"/>
                <w:color w:val="004D67"/>
                <w:sz w:val="14"/>
                <w:szCs w:val="18"/>
                <w:lang w:eastAsia="es-CO"/>
              </w:rPr>
              <w:t>GMR, B2.</w:t>
            </w:r>
          </w:p>
        </w:tc>
      </w:tr>
      <w:tr w:rsidR="0083557B" w:rsidRPr="00591981" w:rsidTr="00722321">
        <w:trPr>
          <w:trHeight w:val="339"/>
          <w:jc w:val="center"/>
        </w:trPr>
        <w:tc>
          <w:tcPr>
            <w:tcW w:w="1882" w:type="dxa"/>
            <w:shd w:val="clear" w:color="auto" w:fill="auto"/>
            <w:hideMark/>
          </w:tcPr>
          <w:p w:rsidR="0083557B" w:rsidRPr="00D15218" w:rsidRDefault="0083557B" w:rsidP="007308C4">
            <w:pPr>
              <w:contextualSpacing/>
              <w:rPr>
                <w:rFonts w:cs="Arial"/>
                <w:b/>
                <w:bCs/>
                <w:color w:val="004D67"/>
                <w:sz w:val="18"/>
                <w:szCs w:val="18"/>
                <w:lang w:eastAsia="es-CO"/>
              </w:rPr>
            </w:pPr>
            <w:r w:rsidRPr="00D15218">
              <w:rPr>
                <w:rFonts w:cs="Arial"/>
                <w:b/>
                <w:bCs/>
                <w:color w:val="004D67"/>
                <w:sz w:val="18"/>
                <w:szCs w:val="18"/>
                <w:lang w:eastAsia="es-CO"/>
              </w:rPr>
              <w:t>Mansilla – Puente Aranda 10″</w:t>
            </w:r>
          </w:p>
        </w:tc>
        <w:tc>
          <w:tcPr>
            <w:tcW w:w="1433" w:type="dxa"/>
            <w:shd w:val="clear" w:color="auto" w:fill="auto"/>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Mansilla</w:t>
            </w:r>
          </w:p>
        </w:tc>
        <w:tc>
          <w:tcPr>
            <w:tcW w:w="1559" w:type="dxa"/>
            <w:shd w:val="clear" w:color="auto" w:fill="auto"/>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Puente Aranda</w:t>
            </w:r>
          </w:p>
        </w:tc>
        <w:tc>
          <w:tcPr>
            <w:tcW w:w="1134" w:type="dxa"/>
            <w:shd w:val="clear" w:color="auto" w:fill="auto"/>
            <w:vAlign w:val="center"/>
            <w:hideMark/>
          </w:tcPr>
          <w:p w:rsidR="0083557B" w:rsidRPr="00D15218" w:rsidRDefault="0083557B" w:rsidP="007308C4">
            <w:pPr>
              <w:contextualSpacing/>
              <w:rPr>
                <w:rFonts w:cs="Arial"/>
                <w:color w:val="004D67"/>
                <w:sz w:val="18"/>
                <w:szCs w:val="18"/>
                <w:lang w:eastAsia="es-CO"/>
              </w:rPr>
            </w:pPr>
            <w:r w:rsidRPr="00D15218">
              <w:rPr>
                <w:rFonts w:cs="Arial"/>
                <w:color w:val="004D67"/>
                <w:sz w:val="18"/>
                <w:szCs w:val="18"/>
                <w:lang w:eastAsia="es-CO"/>
              </w:rPr>
              <w:t>68,4</w:t>
            </w:r>
          </w:p>
        </w:tc>
        <w:tc>
          <w:tcPr>
            <w:tcW w:w="1061" w:type="dxa"/>
            <w:shd w:val="clear" w:color="auto" w:fill="auto"/>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10″</w:t>
            </w:r>
          </w:p>
        </w:tc>
        <w:tc>
          <w:tcPr>
            <w:tcW w:w="1100" w:type="dxa"/>
            <w:shd w:val="clear" w:color="auto" w:fill="auto"/>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43,3</w:t>
            </w:r>
          </w:p>
        </w:tc>
        <w:tc>
          <w:tcPr>
            <w:tcW w:w="1295" w:type="dxa"/>
            <w:shd w:val="clear" w:color="auto" w:fill="auto"/>
            <w:vAlign w:val="center"/>
            <w:hideMark/>
          </w:tcPr>
          <w:p w:rsidR="0083557B" w:rsidRPr="00D07D66" w:rsidRDefault="0083557B" w:rsidP="00686184">
            <w:pPr>
              <w:contextualSpacing/>
              <w:jc w:val="center"/>
              <w:rPr>
                <w:rFonts w:cs="Arial"/>
                <w:color w:val="004D67"/>
                <w:sz w:val="14"/>
                <w:szCs w:val="18"/>
                <w:lang w:val="en-US" w:eastAsia="es-CO"/>
              </w:rPr>
            </w:pPr>
            <w:r w:rsidRPr="00D07D66">
              <w:rPr>
                <w:rFonts w:cs="Arial"/>
                <w:color w:val="004D67"/>
                <w:sz w:val="14"/>
                <w:szCs w:val="18"/>
                <w:lang w:val="en-US" w:eastAsia="es-CO"/>
              </w:rPr>
              <w:t>JET A1, GMR, GPR, B2.</w:t>
            </w:r>
          </w:p>
        </w:tc>
      </w:tr>
      <w:tr w:rsidR="0083557B" w:rsidRPr="00D07D66" w:rsidTr="00722321">
        <w:trPr>
          <w:trHeight w:val="339"/>
          <w:jc w:val="center"/>
        </w:trPr>
        <w:tc>
          <w:tcPr>
            <w:tcW w:w="1882" w:type="dxa"/>
            <w:shd w:val="clear" w:color="auto" w:fill="D3DFEE"/>
            <w:hideMark/>
          </w:tcPr>
          <w:p w:rsidR="0083557B" w:rsidRPr="00D15218" w:rsidRDefault="0083557B" w:rsidP="007308C4">
            <w:pPr>
              <w:contextualSpacing/>
              <w:rPr>
                <w:rFonts w:cs="Arial"/>
                <w:b/>
                <w:bCs/>
                <w:color w:val="004D67"/>
                <w:sz w:val="18"/>
                <w:szCs w:val="18"/>
                <w:lang w:eastAsia="es-CO"/>
              </w:rPr>
            </w:pPr>
            <w:r w:rsidRPr="00D15218">
              <w:rPr>
                <w:rFonts w:cs="Arial"/>
                <w:b/>
                <w:bCs/>
                <w:color w:val="004D67"/>
                <w:sz w:val="18"/>
                <w:szCs w:val="18"/>
                <w:lang w:eastAsia="es-CO"/>
              </w:rPr>
              <w:t>Puente Aranda - El Dorado</w:t>
            </w:r>
          </w:p>
        </w:tc>
        <w:tc>
          <w:tcPr>
            <w:tcW w:w="1433"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Puente Aranda</w:t>
            </w:r>
          </w:p>
        </w:tc>
        <w:tc>
          <w:tcPr>
            <w:tcW w:w="1559"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El Dorado</w:t>
            </w:r>
          </w:p>
        </w:tc>
        <w:tc>
          <w:tcPr>
            <w:tcW w:w="1134" w:type="dxa"/>
            <w:shd w:val="clear" w:color="auto" w:fill="D3DFEE"/>
            <w:vAlign w:val="center"/>
            <w:hideMark/>
          </w:tcPr>
          <w:p w:rsidR="0083557B" w:rsidRPr="00D15218" w:rsidRDefault="0083557B" w:rsidP="007308C4">
            <w:pPr>
              <w:contextualSpacing/>
              <w:rPr>
                <w:rFonts w:cs="Arial"/>
                <w:color w:val="004D67"/>
                <w:sz w:val="18"/>
                <w:szCs w:val="18"/>
                <w:lang w:eastAsia="es-CO"/>
              </w:rPr>
            </w:pPr>
            <w:r w:rsidRPr="00D15218">
              <w:rPr>
                <w:rFonts w:cs="Arial"/>
                <w:color w:val="004D67"/>
                <w:sz w:val="18"/>
                <w:szCs w:val="18"/>
                <w:lang w:eastAsia="es-CO"/>
              </w:rPr>
              <w:t>14,4</w:t>
            </w:r>
          </w:p>
        </w:tc>
        <w:tc>
          <w:tcPr>
            <w:tcW w:w="1061"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6″</w:t>
            </w:r>
          </w:p>
        </w:tc>
        <w:tc>
          <w:tcPr>
            <w:tcW w:w="1100"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9,51</w:t>
            </w:r>
          </w:p>
        </w:tc>
        <w:tc>
          <w:tcPr>
            <w:tcW w:w="1295" w:type="dxa"/>
            <w:shd w:val="clear" w:color="auto" w:fill="D3DFEE"/>
            <w:vAlign w:val="center"/>
            <w:hideMark/>
          </w:tcPr>
          <w:p w:rsidR="0083557B" w:rsidRPr="00D07D66" w:rsidRDefault="0083557B" w:rsidP="00686184">
            <w:pPr>
              <w:contextualSpacing/>
              <w:jc w:val="center"/>
              <w:rPr>
                <w:rFonts w:cs="Arial"/>
                <w:color w:val="004D67"/>
                <w:sz w:val="14"/>
                <w:szCs w:val="18"/>
                <w:lang w:eastAsia="es-CO"/>
              </w:rPr>
            </w:pPr>
            <w:r w:rsidRPr="00D07D66">
              <w:rPr>
                <w:rFonts w:cs="Arial"/>
                <w:color w:val="004D67"/>
                <w:sz w:val="14"/>
                <w:szCs w:val="18"/>
                <w:lang w:eastAsia="es-CO"/>
              </w:rPr>
              <w:t>JET A1</w:t>
            </w:r>
          </w:p>
        </w:tc>
      </w:tr>
      <w:tr w:rsidR="0083557B" w:rsidRPr="00D07D66" w:rsidTr="00722321">
        <w:trPr>
          <w:trHeight w:val="339"/>
          <w:jc w:val="center"/>
        </w:trPr>
        <w:tc>
          <w:tcPr>
            <w:tcW w:w="1882" w:type="dxa"/>
            <w:shd w:val="clear" w:color="auto" w:fill="auto"/>
            <w:hideMark/>
          </w:tcPr>
          <w:p w:rsidR="0083557B" w:rsidRPr="00D15218" w:rsidRDefault="0083557B" w:rsidP="007308C4">
            <w:pPr>
              <w:contextualSpacing/>
              <w:rPr>
                <w:rFonts w:cs="Arial"/>
                <w:b/>
                <w:bCs/>
                <w:color w:val="004D67"/>
                <w:sz w:val="18"/>
                <w:szCs w:val="18"/>
                <w:lang w:eastAsia="es-CO"/>
              </w:rPr>
            </w:pPr>
            <w:r w:rsidRPr="00D15218">
              <w:rPr>
                <w:rFonts w:cs="Arial"/>
                <w:b/>
                <w:bCs/>
                <w:color w:val="004D67"/>
                <w:sz w:val="18"/>
                <w:szCs w:val="18"/>
                <w:lang w:eastAsia="es-CO"/>
              </w:rPr>
              <w:t>Sebastopol-</w:t>
            </w:r>
            <w:r w:rsidR="00D07D66" w:rsidRPr="00D15218">
              <w:rPr>
                <w:rFonts w:cs="Arial"/>
                <w:b/>
                <w:bCs/>
                <w:color w:val="004D67"/>
                <w:sz w:val="18"/>
                <w:szCs w:val="18"/>
                <w:lang w:eastAsia="es-CO"/>
              </w:rPr>
              <w:t>Sutamarchán</w:t>
            </w:r>
          </w:p>
        </w:tc>
        <w:tc>
          <w:tcPr>
            <w:tcW w:w="1433" w:type="dxa"/>
            <w:shd w:val="clear" w:color="auto" w:fill="auto"/>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Sebastopol</w:t>
            </w:r>
          </w:p>
        </w:tc>
        <w:tc>
          <w:tcPr>
            <w:tcW w:w="1559" w:type="dxa"/>
            <w:shd w:val="clear" w:color="auto" w:fill="auto"/>
            <w:vAlign w:val="center"/>
            <w:hideMark/>
          </w:tcPr>
          <w:p w:rsidR="0083557B" w:rsidRPr="00D15218" w:rsidRDefault="00D07D66" w:rsidP="007308C4">
            <w:pPr>
              <w:contextualSpacing/>
              <w:jc w:val="center"/>
              <w:rPr>
                <w:rFonts w:cs="Arial"/>
                <w:color w:val="004D67"/>
                <w:sz w:val="18"/>
                <w:szCs w:val="18"/>
                <w:lang w:eastAsia="es-CO"/>
              </w:rPr>
            </w:pPr>
            <w:r w:rsidRPr="00D15218">
              <w:rPr>
                <w:rFonts w:cs="Arial"/>
                <w:color w:val="004D67"/>
                <w:sz w:val="18"/>
                <w:szCs w:val="18"/>
                <w:lang w:eastAsia="es-CO"/>
              </w:rPr>
              <w:t>Sutamarchán</w:t>
            </w:r>
          </w:p>
        </w:tc>
        <w:tc>
          <w:tcPr>
            <w:tcW w:w="1134" w:type="dxa"/>
            <w:shd w:val="clear" w:color="auto" w:fill="auto"/>
            <w:vAlign w:val="center"/>
            <w:hideMark/>
          </w:tcPr>
          <w:p w:rsidR="0083557B" w:rsidRPr="00D15218" w:rsidRDefault="0083557B" w:rsidP="007308C4">
            <w:pPr>
              <w:contextualSpacing/>
              <w:rPr>
                <w:rFonts w:cs="Arial"/>
                <w:color w:val="004D67"/>
                <w:sz w:val="18"/>
                <w:szCs w:val="18"/>
                <w:lang w:eastAsia="es-CO"/>
              </w:rPr>
            </w:pPr>
            <w:r w:rsidRPr="00D15218">
              <w:rPr>
                <w:rFonts w:cs="Arial"/>
                <w:color w:val="004D67"/>
                <w:sz w:val="18"/>
                <w:szCs w:val="18"/>
                <w:lang w:eastAsia="es-CO"/>
              </w:rPr>
              <w:t>75,8</w:t>
            </w:r>
          </w:p>
        </w:tc>
        <w:tc>
          <w:tcPr>
            <w:tcW w:w="1061" w:type="dxa"/>
            <w:shd w:val="clear" w:color="auto" w:fill="auto"/>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20 y 16″</w:t>
            </w:r>
          </w:p>
        </w:tc>
        <w:tc>
          <w:tcPr>
            <w:tcW w:w="1100" w:type="dxa"/>
            <w:shd w:val="clear" w:color="auto" w:fill="auto"/>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174</w:t>
            </w:r>
          </w:p>
        </w:tc>
        <w:tc>
          <w:tcPr>
            <w:tcW w:w="1295" w:type="dxa"/>
            <w:shd w:val="clear" w:color="auto" w:fill="auto"/>
            <w:vAlign w:val="center"/>
            <w:hideMark/>
          </w:tcPr>
          <w:p w:rsidR="0083557B" w:rsidRPr="00D07D66" w:rsidRDefault="0083557B" w:rsidP="00686184">
            <w:pPr>
              <w:contextualSpacing/>
              <w:jc w:val="center"/>
              <w:rPr>
                <w:rFonts w:cs="Arial"/>
                <w:color w:val="004D67"/>
                <w:sz w:val="14"/>
                <w:szCs w:val="18"/>
                <w:lang w:eastAsia="es-CO"/>
              </w:rPr>
            </w:pPr>
            <w:r w:rsidRPr="00D07D66">
              <w:rPr>
                <w:rFonts w:cs="Arial"/>
                <w:color w:val="004D67"/>
                <w:sz w:val="14"/>
                <w:szCs w:val="18"/>
                <w:lang w:eastAsia="es-CO"/>
              </w:rPr>
              <w:t>NAFTA, VOIL, GMR ,DIESEL</w:t>
            </w:r>
          </w:p>
        </w:tc>
      </w:tr>
      <w:tr w:rsidR="0083557B" w:rsidRPr="00D07D66" w:rsidTr="00722321">
        <w:trPr>
          <w:trHeight w:val="160"/>
          <w:jc w:val="center"/>
        </w:trPr>
        <w:tc>
          <w:tcPr>
            <w:tcW w:w="1882" w:type="dxa"/>
            <w:shd w:val="clear" w:color="auto" w:fill="D3DFEE"/>
            <w:hideMark/>
          </w:tcPr>
          <w:p w:rsidR="0083557B" w:rsidRPr="00D15218" w:rsidRDefault="00D07D66" w:rsidP="007308C4">
            <w:pPr>
              <w:contextualSpacing/>
              <w:rPr>
                <w:rFonts w:cs="Arial"/>
                <w:b/>
                <w:bCs/>
                <w:color w:val="004D67"/>
                <w:sz w:val="18"/>
                <w:szCs w:val="18"/>
                <w:lang w:eastAsia="es-CO"/>
              </w:rPr>
            </w:pPr>
            <w:r w:rsidRPr="00D15218">
              <w:rPr>
                <w:rFonts w:cs="Arial"/>
                <w:b/>
                <w:bCs/>
                <w:color w:val="004D67"/>
                <w:sz w:val="18"/>
                <w:szCs w:val="18"/>
                <w:lang w:eastAsia="es-CO"/>
              </w:rPr>
              <w:t>Sutamarchán</w:t>
            </w:r>
            <w:r w:rsidR="0083557B" w:rsidRPr="00D15218">
              <w:rPr>
                <w:rFonts w:cs="Arial"/>
                <w:b/>
                <w:bCs/>
                <w:color w:val="004D67"/>
                <w:sz w:val="18"/>
                <w:szCs w:val="18"/>
                <w:lang w:eastAsia="es-CO"/>
              </w:rPr>
              <w:t>-Apiay</w:t>
            </w:r>
          </w:p>
        </w:tc>
        <w:tc>
          <w:tcPr>
            <w:tcW w:w="1433" w:type="dxa"/>
            <w:shd w:val="clear" w:color="auto" w:fill="D3DFEE"/>
            <w:vAlign w:val="center"/>
            <w:hideMark/>
          </w:tcPr>
          <w:p w:rsidR="0083557B" w:rsidRPr="00D15218" w:rsidRDefault="00D07D66" w:rsidP="007308C4">
            <w:pPr>
              <w:contextualSpacing/>
              <w:jc w:val="center"/>
              <w:rPr>
                <w:rFonts w:cs="Arial"/>
                <w:color w:val="004D67"/>
                <w:sz w:val="18"/>
                <w:szCs w:val="18"/>
                <w:lang w:eastAsia="es-CO"/>
              </w:rPr>
            </w:pPr>
            <w:r w:rsidRPr="00D15218">
              <w:rPr>
                <w:rFonts w:cs="Arial"/>
                <w:color w:val="004D67"/>
                <w:sz w:val="18"/>
                <w:szCs w:val="18"/>
                <w:lang w:eastAsia="es-CO"/>
              </w:rPr>
              <w:t>Sutamarchán</w:t>
            </w:r>
          </w:p>
        </w:tc>
        <w:tc>
          <w:tcPr>
            <w:tcW w:w="1559"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Apiay</w:t>
            </w:r>
          </w:p>
        </w:tc>
        <w:tc>
          <w:tcPr>
            <w:tcW w:w="1134" w:type="dxa"/>
            <w:shd w:val="clear" w:color="auto" w:fill="D3DFEE"/>
            <w:vAlign w:val="center"/>
            <w:hideMark/>
          </w:tcPr>
          <w:p w:rsidR="0083557B" w:rsidRPr="00D15218" w:rsidRDefault="0083557B" w:rsidP="007308C4">
            <w:pPr>
              <w:contextualSpacing/>
              <w:rPr>
                <w:rFonts w:cs="Arial"/>
                <w:color w:val="004D67"/>
                <w:sz w:val="18"/>
                <w:szCs w:val="18"/>
                <w:lang w:eastAsia="es-CO"/>
              </w:rPr>
            </w:pPr>
            <w:r w:rsidRPr="00D15218">
              <w:rPr>
                <w:rFonts w:cs="Arial"/>
                <w:color w:val="004D67"/>
                <w:sz w:val="18"/>
                <w:szCs w:val="18"/>
                <w:lang w:eastAsia="es-CO"/>
              </w:rPr>
              <w:t>62</w:t>
            </w:r>
          </w:p>
        </w:tc>
        <w:tc>
          <w:tcPr>
            <w:tcW w:w="1061"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16 y 12 “</w:t>
            </w:r>
          </w:p>
        </w:tc>
        <w:tc>
          <w:tcPr>
            <w:tcW w:w="1100" w:type="dxa"/>
            <w:shd w:val="clear" w:color="auto" w:fill="D3DFEE"/>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255,7</w:t>
            </w:r>
          </w:p>
        </w:tc>
        <w:tc>
          <w:tcPr>
            <w:tcW w:w="1295" w:type="dxa"/>
            <w:shd w:val="clear" w:color="auto" w:fill="D3DFEE"/>
            <w:vAlign w:val="center"/>
            <w:hideMark/>
          </w:tcPr>
          <w:p w:rsidR="0083557B" w:rsidRPr="00D07D66" w:rsidRDefault="0083557B" w:rsidP="00686184">
            <w:pPr>
              <w:contextualSpacing/>
              <w:jc w:val="center"/>
              <w:rPr>
                <w:rFonts w:cs="Arial"/>
                <w:color w:val="004D67"/>
                <w:sz w:val="14"/>
                <w:szCs w:val="18"/>
                <w:lang w:eastAsia="es-CO"/>
              </w:rPr>
            </w:pPr>
            <w:r w:rsidRPr="00D07D66">
              <w:rPr>
                <w:rFonts w:cs="Arial"/>
                <w:color w:val="004D67"/>
                <w:sz w:val="14"/>
                <w:szCs w:val="18"/>
                <w:lang w:eastAsia="es-CO"/>
              </w:rPr>
              <w:t>NAFTA</w:t>
            </w:r>
          </w:p>
        </w:tc>
      </w:tr>
      <w:tr w:rsidR="0083557B" w:rsidRPr="00D07D66" w:rsidTr="00722321">
        <w:trPr>
          <w:trHeight w:val="339"/>
          <w:jc w:val="center"/>
        </w:trPr>
        <w:tc>
          <w:tcPr>
            <w:tcW w:w="1882" w:type="dxa"/>
            <w:shd w:val="clear" w:color="auto" w:fill="auto"/>
            <w:hideMark/>
          </w:tcPr>
          <w:p w:rsidR="0083557B" w:rsidRPr="00D15218" w:rsidRDefault="00D07D66" w:rsidP="007308C4">
            <w:pPr>
              <w:contextualSpacing/>
              <w:rPr>
                <w:rFonts w:cs="Arial"/>
                <w:b/>
                <w:bCs/>
                <w:color w:val="004D67"/>
                <w:sz w:val="18"/>
                <w:szCs w:val="18"/>
                <w:lang w:eastAsia="es-CO"/>
              </w:rPr>
            </w:pPr>
            <w:r w:rsidRPr="00D15218">
              <w:rPr>
                <w:rFonts w:cs="Arial"/>
                <w:b/>
                <w:bCs/>
                <w:color w:val="004D67"/>
                <w:sz w:val="18"/>
                <w:szCs w:val="18"/>
                <w:lang w:eastAsia="es-CO"/>
              </w:rPr>
              <w:t xml:space="preserve">Sutamarchán </w:t>
            </w:r>
            <w:r w:rsidR="0083557B" w:rsidRPr="00D15218">
              <w:rPr>
                <w:rFonts w:cs="Arial"/>
                <w:b/>
                <w:bCs/>
                <w:color w:val="004D67"/>
                <w:sz w:val="18"/>
                <w:szCs w:val="18"/>
                <w:lang w:eastAsia="es-CO"/>
              </w:rPr>
              <w:t>-</w:t>
            </w:r>
            <w:r w:rsidRPr="00D15218">
              <w:rPr>
                <w:rFonts w:cs="Arial"/>
                <w:b/>
                <w:bCs/>
                <w:color w:val="004D67"/>
                <w:sz w:val="18"/>
                <w:szCs w:val="18"/>
                <w:lang w:eastAsia="es-CO"/>
              </w:rPr>
              <w:t>Tocancipá</w:t>
            </w:r>
          </w:p>
        </w:tc>
        <w:tc>
          <w:tcPr>
            <w:tcW w:w="1433" w:type="dxa"/>
            <w:shd w:val="clear" w:color="auto" w:fill="auto"/>
            <w:vAlign w:val="center"/>
            <w:hideMark/>
          </w:tcPr>
          <w:p w:rsidR="0083557B" w:rsidRPr="00D15218" w:rsidRDefault="00D07D66" w:rsidP="007308C4">
            <w:pPr>
              <w:contextualSpacing/>
              <w:jc w:val="center"/>
              <w:rPr>
                <w:rFonts w:cs="Arial"/>
                <w:color w:val="004D67"/>
                <w:sz w:val="18"/>
                <w:szCs w:val="18"/>
                <w:lang w:eastAsia="es-CO"/>
              </w:rPr>
            </w:pPr>
            <w:r w:rsidRPr="00D15218">
              <w:rPr>
                <w:rFonts w:cs="Arial"/>
                <w:color w:val="004D67"/>
                <w:sz w:val="18"/>
                <w:szCs w:val="18"/>
                <w:lang w:eastAsia="es-CO"/>
              </w:rPr>
              <w:t>Sutamarchán</w:t>
            </w:r>
          </w:p>
        </w:tc>
        <w:tc>
          <w:tcPr>
            <w:tcW w:w="1559" w:type="dxa"/>
            <w:shd w:val="clear" w:color="auto" w:fill="auto"/>
            <w:vAlign w:val="center"/>
            <w:hideMark/>
          </w:tcPr>
          <w:p w:rsidR="0083557B" w:rsidRPr="00D15218" w:rsidRDefault="00A56932" w:rsidP="007308C4">
            <w:pPr>
              <w:contextualSpacing/>
              <w:jc w:val="center"/>
              <w:rPr>
                <w:rFonts w:cs="Arial"/>
                <w:color w:val="004D67"/>
                <w:sz w:val="18"/>
                <w:szCs w:val="18"/>
                <w:lang w:eastAsia="es-CO"/>
              </w:rPr>
            </w:pPr>
            <w:r w:rsidRPr="00D15218">
              <w:rPr>
                <w:rFonts w:cs="Arial"/>
                <w:color w:val="004D67"/>
                <w:sz w:val="18"/>
                <w:szCs w:val="18"/>
                <w:lang w:eastAsia="es-CO"/>
              </w:rPr>
              <w:t>Tocancipá</w:t>
            </w:r>
          </w:p>
        </w:tc>
        <w:tc>
          <w:tcPr>
            <w:tcW w:w="1134" w:type="dxa"/>
            <w:shd w:val="clear" w:color="auto" w:fill="auto"/>
            <w:vAlign w:val="center"/>
            <w:hideMark/>
          </w:tcPr>
          <w:p w:rsidR="0083557B" w:rsidRPr="00D15218" w:rsidRDefault="0083557B" w:rsidP="007308C4">
            <w:pPr>
              <w:contextualSpacing/>
              <w:rPr>
                <w:rFonts w:cs="Arial"/>
                <w:color w:val="004D67"/>
                <w:sz w:val="18"/>
                <w:szCs w:val="18"/>
                <w:lang w:eastAsia="es-CO"/>
              </w:rPr>
            </w:pPr>
            <w:r w:rsidRPr="00D15218">
              <w:rPr>
                <w:rFonts w:cs="Arial"/>
                <w:color w:val="004D67"/>
                <w:sz w:val="18"/>
                <w:szCs w:val="18"/>
                <w:lang w:eastAsia="es-CO"/>
              </w:rPr>
              <w:t>75,8</w:t>
            </w:r>
          </w:p>
        </w:tc>
        <w:tc>
          <w:tcPr>
            <w:tcW w:w="1061" w:type="dxa"/>
            <w:shd w:val="clear" w:color="auto" w:fill="auto"/>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16″</w:t>
            </w:r>
          </w:p>
        </w:tc>
        <w:tc>
          <w:tcPr>
            <w:tcW w:w="1100" w:type="dxa"/>
            <w:shd w:val="clear" w:color="auto" w:fill="auto"/>
            <w:vAlign w:val="center"/>
            <w:hideMark/>
          </w:tcPr>
          <w:p w:rsidR="0083557B" w:rsidRPr="00D15218" w:rsidRDefault="0083557B" w:rsidP="007308C4">
            <w:pPr>
              <w:contextualSpacing/>
              <w:jc w:val="center"/>
              <w:rPr>
                <w:rFonts w:cs="Arial"/>
                <w:color w:val="004D67"/>
                <w:sz w:val="18"/>
                <w:szCs w:val="18"/>
                <w:lang w:eastAsia="es-CO"/>
              </w:rPr>
            </w:pPr>
            <w:r w:rsidRPr="00D15218">
              <w:rPr>
                <w:rFonts w:cs="Arial"/>
                <w:color w:val="004D67"/>
                <w:sz w:val="18"/>
                <w:szCs w:val="18"/>
                <w:lang w:eastAsia="es-CO"/>
              </w:rPr>
              <w:t>101,91</w:t>
            </w:r>
          </w:p>
        </w:tc>
        <w:tc>
          <w:tcPr>
            <w:tcW w:w="1295" w:type="dxa"/>
            <w:shd w:val="clear" w:color="auto" w:fill="auto"/>
            <w:vAlign w:val="center"/>
            <w:hideMark/>
          </w:tcPr>
          <w:p w:rsidR="0083557B" w:rsidRPr="00D07D66" w:rsidRDefault="0083557B" w:rsidP="00686184">
            <w:pPr>
              <w:contextualSpacing/>
              <w:jc w:val="center"/>
              <w:rPr>
                <w:rFonts w:cs="Arial"/>
                <w:color w:val="004D67"/>
                <w:sz w:val="14"/>
                <w:szCs w:val="18"/>
                <w:lang w:eastAsia="es-CO"/>
              </w:rPr>
            </w:pPr>
            <w:r w:rsidRPr="00D07D66">
              <w:rPr>
                <w:rFonts w:cs="Arial"/>
                <w:color w:val="004D67"/>
                <w:sz w:val="14"/>
                <w:szCs w:val="18"/>
                <w:lang w:eastAsia="es-CO"/>
              </w:rPr>
              <w:t>NAFTA, VOIL, GMR ,DIESEL</w:t>
            </w:r>
          </w:p>
        </w:tc>
      </w:tr>
    </w:tbl>
    <w:p w:rsidR="0083557B" w:rsidRPr="004859E4" w:rsidRDefault="0083557B" w:rsidP="0083557B">
      <w:pPr>
        <w:ind w:left="195"/>
        <w:rPr>
          <w:rFonts w:cs="Arial"/>
          <w:sz w:val="16"/>
        </w:rPr>
      </w:pPr>
      <w:r w:rsidRPr="004859E4">
        <w:rPr>
          <w:rFonts w:cs="Arial"/>
          <w:sz w:val="16"/>
        </w:rPr>
        <w:t>Fuente: Cenit Transporte y Logística de Hidrocarburos</w:t>
      </w:r>
    </w:p>
    <w:p w:rsidR="0083557B" w:rsidRPr="004859E4" w:rsidRDefault="0083557B" w:rsidP="0083557B">
      <w:pPr>
        <w:ind w:left="195"/>
        <w:rPr>
          <w:rFonts w:cs="Arial"/>
          <w:sz w:val="16"/>
        </w:rPr>
      </w:pPr>
    </w:p>
    <w:p w:rsidR="0083557B" w:rsidRPr="00F42CA3" w:rsidRDefault="001E5E2C" w:rsidP="00391FB3">
      <w:pPr>
        <w:pStyle w:val="Ttulo2"/>
        <w:rPr>
          <w:rFonts w:cs="Arial"/>
          <w:sz w:val="24"/>
          <w:szCs w:val="24"/>
        </w:rPr>
      </w:pPr>
      <w:bookmarkStart w:id="774" w:name="_Toc424832927"/>
      <w:bookmarkStart w:id="775" w:name="_Toc424887658"/>
      <w:bookmarkStart w:id="776" w:name="_Toc425488417"/>
      <w:bookmarkStart w:id="777" w:name="_Toc426035058"/>
      <w:bookmarkStart w:id="778" w:name="_Toc427333621"/>
      <w:bookmarkStart w:id="779" w:name="_Toc427336561"/>
      <w:bookmarkStart w:id="780" w:name="_Toc427681853"/>
      <w:bookmarkStart w:id="781" w:name="_Toc433276783"/>
      <w:bookmarkStart w:id="782" w:name="_Toc433295746"/>
      <w:bookmarkStart w:id="783" w:name="_Toc433296471"/>
      <w:bookmarkStart w:id="784" w:name="_Toc437500900"/>
      <w:bookmarkStart w:id="785" w:name="_Toc437501559"/>
      <w:bookmarkStart w:id="786" w:name="_Toc437501739"/>
      <w:bookmarkStart w:id="787" w:name="_Toc437501829"/>
      <w:bookmarkStart w:id="788" w:name="_Toc437502592"/>
      <w:bookmarkStart w:id="789" w:name="_Toc437505952"/>
      <w:bookmarkStart w:id="790" w:name="_Toc437512765"/>
      <w:r>
        <w:rPr>
          <w:rFonts w:cs="Arial"/>
          <w:sz w:val="24"/>
          <w:szCs w:val="24"/>
        </w:rPr>
        <w:t>infraestructura de a</w:t>
      </w:r>
      <w:r w:rsidR="0083557B" w:rsidRPr="00F42CA3">
        <w:rPr>
          <w:rFonts w:cs="Arial"/>
          <w:sz w:val="24"/>
          <w:szCs w:val="24"/>
        </w:rPr>
        <w:t>lmacenamiento</w:t>
      </w:r>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rsidR="0083557B" w:rsidRPr="00C341FD" w:rsidRDefault="0083557B" w:rsidP="0083557B">
      <w:pPr>
        <w:rPr>
          <w:rFonts w:cs="Arial"/>
          <w:sz w:val="24"/>
          <w:lang w:val="es-ES_tradnl"/>
        </w:rPr>
      </w:pPr>
      <w:r w:rsidRPr="00C341FD">
        <w:rPr>
          <w:rFonts w:cs="Arial"/>
          <w:sz w:val="24"/>
          <w:lang w:val="es-ES_tradnl"/>
        </w:rPr>
        <w:t xml:space="preserve">La </w:t>
      </w:r>
      <w:r w:rsidR="009241D4" w:rsidRPr="00C341FD">
        <w:rPr>
          <w:rFonts w:cs="Arial"/>
          <w:sz w:val="24"/>
          <w:lang w:val="es-ES_tradnl"/>
        </w:rPr>
        <w:fldChar w:fldCharType="begin"/>
      </w:r>
      <w:r w:rsidR="009241D4" w:rsidRPr="00C341FD">
        <w:rPr>
          <w:rFonts w:cs="Arial"/>
          <w:sz w:val="24"/>
          <w:lang w:val="es-ES_tradnl"/>
        </w:rPr>
        <w:instrText xml:space="preserve"> REF _Ref437018495 \h </w:instrText>
      </w:r>
      <w:r w:rsidR="00C341FD">
        <w:rPr>
          <w:rFonts w:cs="Arial"/>
          <w:sz w:val="24"/>
          <w:lang w:val="es-ES_tradnl"/>
        </w:rPr>
        <w:instrText xml:space="preserve"> \* MERGEFORMAT </w:instrText>
      </w:r>
      <w:r w:rsidR="009241D4" w:rsidRPr="00C341FD">
        <w:rPr>
          <w:rFonts w:cs="Arial"/>
          <w:sz w:val="24"/>
          <w:lang w:val="es-ES_tradnl"/>
        </w:rPr>
      </w:r>
      <w:r w:rsidR="009241D4" w:rsidRPr="00C341FD">
        <w:rPr>
          <w:rFonts w:cs="Arial"/>
          <w:sz w:val="24"/>
          <w:lang w:val="es-ES_tradnl"/>
        </w:rPr>
        <w:fldChar w:fldCharType="separate"/>
      </w:r>
      <w:r w:rsidR="00625BEB" w:rsidRPr="00625BEB">
        <w:rPr>
          <w:sz w:val="24"/>
        </w:rPr>
        <w:t xml:space="preserve">Tabla </w:t>
      </w:r>
      <w:r w:rsidR="00625BEB" w:rsidRPr="00625BEB">
        <w:rPr>
          <w:noProof/>
          <w:sz w:val="24"/>
        </w:rPr>
        <w:t>17</w:t>
      </w:r>
      <w:r w:rsidR="009241D4" w:rsidRPr="00C341FD">
        <w:rPr>
          <w:rFonts w:cs="Arial"/>
          <w:sz w:val="24"/>
          <w:lang w:val="es-ES_tradnl"/>
        </w:rPr>
        <w:fldChar w:fldCharType="end"/>
      </w:r>
      <w:r w:rsidR="009241D4" w:rsidRPr="00C341FD">
        <w:rPr>
          <w:rFonts w:cs="Arial"/>
          <w:sz w:val="24"/>
          <w:lang w:val="es-ES_tradnl"/>
        </w:rPr>
        <w:t xml:space="preserve"> </w:t>
      </w:r>
      <w:r w:rsidRPr="00C341FD">
        <w:rPr>
          <w:rFonts w:cs="Arial"/>
          <w:sz w:val="24"/>
          <w:lang w:val="es-ES_tradnl"/>
        </w:rPr>
        <w:t>muestra la capacidad de almacenamiento de CENIT en las diferentes terminales del sistema de transporte.</w:t>
      </w:r>
    </w:p>
    <w:p w:rsidR="003C25F5" w:rsidRDefault="003C25F5" w:rsidP="009564DC"/>
    <w:tbl>
      <w:tblPr>
        <w:tblStyle w:val="Cuadrculaclara-nfasis1"/>
        <w:tblW w:w="8749" w:type="dxa"/>
        <w:jc w:val="center"/>
        <w:tblLook w:val="04A0" w:firstRow="1" w:lastRow="0" w:firstColumn="1" w:lastColumn="0" w:noHBand="0" w:noVBand="1"/>
      </w:tblPr>
      <w:tblGrid>
        <w:gridCol w:w="2127"/>
        <w:gridCol w:w="1207"/>
        <w:gridCol w:w="1360"/>
        <w:gridCol w:w="1312"/>
        <w:gridCol w:w="1360"/>
        <w:gridCol w:w="1383"/>
      </w:tblGrid>
      <w:tr w:rsidR="009564DC" w:rsidRPr="004859E4" w:rsidTr="009564DC">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8749" w:type="dxa"/>
            <w:gridSpan w:val="6"/>
            <w:noWrap/>
            <w:vAlign w:val="center"/>
          </w:tcPr>
          <w:p w:rsidR="009564DC" w:rsidRPr="00722321" w:rsidRDefault="009564DC" w:rsidP="002F63E2">
            <w:pPr>
              <w:jc w:val="center"/>
              <w:rPr>
                <w:rFonts w:cs="Arial"/>
                <w:b w:val="0"/>
                <w:bCs w:val="0"/>
                <w:sz w:val="20"/>
                <w:szCs w:val="20"/>
              </w:rPr>
            </w:pPr>
            <w:bookmarkStart w:id="791" w:name="_Ref437018495"/>
            <w:bookmarkStart w:id="792" w:name="_Toc437512823"/>
            <w:r w:rsidRPr="00722321">
              <w:rPr>
                <w:b w:val="0"/>
              </w:rPr>
              <w:t xml:space="preserve">Tabla </w:t>
            </w:r>
            <w:r w:rsidRPr="00722321">
              <w:fldChar w:fldCharType="begin"/>
            </w:r>
            <w:r w:rsidRPr="00722321">
              <w:rPr>
                <w:b w:val="0"/>
              </w:rPr>
              <w:instrText xml:space="preserve"> SEQ Tabla \* ARABIC </w:instrText>
            </w:r>
            <w:r w:rsidRPr="00722321">
              <w:fldChar w:fldCharType="separate"/>
            </w:r>
            <w:r w:rsidR="00625BEB">
              <w:rPr>
                <w:b w:val="0"/>
                <w:noProof/>
              </w:rPr>
              <w:t>17</w:t>
            </w:r>
            <w:r w:rsidRPr="00722321">
              <w:fldChar w:fldCharType="end"/>
            </w:r>
            <w:bookmarkEnd w:id="791"/>
            <w:r w:rsidRPr="00722321">
              <w:rPr>
                <w:b w:val="0"/>
              </w:rPr>
              <w:t xml:space="preserve"> Infraestructura de almacenamiento CENIT (Barriles)</w:t>
            </w:r>
            <w:bookmarkEnd w:id="792"/>
          </w:p>
        </w:tc>
      </w:tr>
      <w:tr w:rsidR="0083557B" w:rsidRPr="004859E4" w:rsidTr="002F63E2">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722321" w:rsidRDefault="0083557B" w:rsidP="002F63E2">
            <w:pPr>
              <w:jc w:val="center"/>
              <w:rPr>
                <w:rFonts w:cs="Arial"/>
                <w:b w:val="0"/>
                <w:sz w:val="20"/>
                <w:szCs w:val="20"/>
              </w:rPr>
            </w:pPr>
            <w:r w:rsidRPr="00722321">
              <w:rPr>
                <w:rFonts w:cs="Arial"/>
                <w:b w:val="0"/>
                <w:bCs w:val="0"/>
                <w:sz w:val="20"/>
                <w:szCs w:val="20"/>
              </w:rPr>
              <w:t>PLANTA</w:t>
            </w:r>
          </w:p>
        </w:tc>
        <w:tc>
          <w:tcPr>
            <w:tcW w:w="1207" w:type="dxa"/>
            <w:noWrap/>
            <w:vAlign w:val="center"/>
            <w:hideMark/>
          </w:tcPr>
          <w:p w:rsidR="0083557B" w:rsidRPr="00722321" w:rsidRDefault="0083557B" w:rsidP="002F63E2">
            <w:pPr>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722321">
              <w:rPr>
                <w:rFonts w:cs="Arial"/>
                <w:b w:val="0"/>
                <w:bCs w:val="0"/>
                <w:sz w:val="20"/>
                <w:szCs w:val="20"/>
              </w:rPr>
              <w:t>Aviación</w:t>
            </w:r>
          </w:p>
        </w:tc>
        <w:tc>
          <w:tcPr>
            <w:tcW w:w="1360" w:type="dxa"/>
            <w:noWrap/>
            <w:vAlign w:val="center"/>
            <w:hideMark/>
          </w:tcPr>
          <w:p w:rsidR="0083557B" w:rsidRPr="00722321" w:rsidRDefault="0083557B" w:rsidP="002F63E2">
            <w:pPr>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722321">
              <w:rPr>
                <w:rFonts w:cs="Arial"/>
                <w:b w:val="0"/>
                <w:bCs w:val="0"/>
                <w:sz w:val="20"/>
                <w:szCs w:val="20"/>
              </w:rPr>
              <w:t>Diésel</w:t>
            </w:r>
          </w:p>
        </w:tc>
        <w:tc>
          <w:tcPr>
            <w:tcW w:w="1312" w:type="dxa"/>
            <w:noWrap/>
            <w:vAlign w:val="center"/>
            <w:hideMark/>
          </w:tcPr>
          <w:p w:rsidR="0083557B" w:rsidRPr="00722321" w:rsidRDefault="0083557B" w:rsidP="002F63E2">
            <w:pPr>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722321">
              <w:rPr>
                <w:rFonts w:cs="Arial"/>
                <w:b w:val="0"/>
                <w:bCs w:val="0"/>
                <w:sz w:val="20"/>
                <w:szCs w:val="20"/>
              </w:rPr>
              <w:t>Gasolinas</w:t>
            </w:r>
          </w:p>
        </w:tc>
        <w:tc>
          <w:tcPr>
            <w:tcW w:w="1360" w:type="dxa"/>
            <w:noWrap/>
            <w:vAlign w:val="center"/>
            <w:hideMark/>
          </w:tcPr>
          <w:p w:rsidR="0083557B" w:rsidRPr="00722321" w:rsidRDefault="0083557B" w:rsidP="002F63E2">
            <w:pPr>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722321">
              <w:rPr>
                <w:rFonts w:cs="Arial"/>
                <w:b w:val="0"/>
                <w:bCs w:val="0"/>
                <w:sz w:val="20"/>
                <w:szCs w:val="20"/>
              </w:rPr>
              <w:t>Nafta</w:t>
            </w:r>
          </w:p>
        </w:tc>
        <w:tc>
          <w:tcPr>
            <w:tcW w:w="1383" w:type="dxa"/>
            <w:vAlign w:val="center"/>
            <w:hideMark/>
          </w:tcPr>
          <w:p w:rsidR="0083557B" w:rsidRPr="00722321" w:rsidRDefault="0083557B" w:rsidP="002F63E2">
            <w:pPr>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722321">
              <w:rPr>
                <w:rFonts w:cs="Arial"/>
                <w:b w:val="0"/>
                <w:bCs w:val="0"/>
                <w:sz w:val="20"/>
                <w:szCs w:val="20"/>
              </w:rPr>
              <w:t>Total</w:t>
            </w:r>
          </w:p>
        </w:tc>
      </w:tr>
      <w:tr w:rsidR="0083557B" w:rsidRPr="004859E4" w:rsidTr="002F64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sz w:val="20"/>
                <w:szCs w:val="20"/>
              </w:rPr>
              <w:t>Cartago</w:t>
            </w:r>
          </w:p>
        </w:tc>
        <w:tc>
          <w:tcPr>
            <w:tcW w:w="1207"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143</w:t>
            </w:r>
          </w:p>
        </w:tc>
        <w:tc>
          <w:tcPr>
            <w:tcW w:w="1312"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383"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859E4">
              <w:rPr>
                <w:rFonts w:cs="Arial"/>
                <w:b/>
                <w:sz w:val="20"/>
                <w:szCs w:val="20"/>
              </w:rPr>
              <w:t>143</w:t>
            </w:r>
          </w:p>
        </w:tc>
      </w:tr>
      <w:tr w:rsidR="0083557B" w:rsidRPr="004859E4" w:rsidTr="002F649D">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sz w:val="20"/>
                <w:szCs w:val="20"/>
              </w:rPr>
              <w:t>Mansilla</w:t>
            </w:r>
          </w:p>
        </w:tc>
        <w:tc>
          <w:tcPr>
            <w:tcW w:w="1207"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2.089</w:t>
            </w: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5.776</w:t>
            </w:r>
          </w:p>
        </w:tc>
        <w:tc>
          <w:tcPr>
            <w:tcW w:w="1312"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4.259</w:t>
            </w: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1.606</w:t>
            </w:r>
          </w:p>
        </w:tc>
        <w:tc>
          <w:tcPr>
            <w:tcW w:w="1383"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b/>
                <w:sz w:val="20"/>
                <w:szCs w:val="20"/>
              </w:rPr>
            </w:pPr>
            <w:r w:rsidRPr="004859E4">
              <w:rPr>
                <w:rFonts w:cs="Arial"/>
                <w:b/>
                <w:sz w:val="20"/>
                <w:szCs w:val="20"/>
              </w:rPr>
              <w:t>13.730</w:t>
            </w:r>
          </w:p>
        </w:tc>
      </w:tr>
      <w:tr w:rsidR="0083557B" w:rsidRPr="004859E4" w:rsidTr="002F64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sz w:val="20"/>
                <w:szCs w:val="20"/>
              </w:rPr>
              <w:t>Pozos Colorados</w:t>
            </w:r>
          </w:p>
        </w:tc>
        <w:tc>
          <w:tcPr>
            <w:tcW w:w="1207" w:type="dxa"/>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503.700</w:t>
            </w:r>
          </w:p>
        </w:tc>
        <w:tc>
          <w:tcPr>
            <w:tcW w:w="1312"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500.000</w:t>
            </w:r>
          </w:p>
        </w:tc>
        <w:tc>
          <w:tcPr>
            <w:tcW w:w="1383"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859E4">
              <w:rPr>
                <w:rFonts w:cs="Arial"/>
                <w:b/>
                <w:sz w:val="20"/>
                <w:szCs w:val="20"/>
              </w:rPr>
              <w:t>1.003.700</w:t>
            </w:r>
          </w:p>
        </w:tc>
      </w:tr>
      <w:tr w:rsidR="0083557B" w:rsidRPr="004859E4" w:rsidTr="002F649D">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sz w:val="20"/>
                <w:szCs w:val="20"/>
              </w:rPr>
              <w:t>Salgar</w:t>
            </w:r>
          </w:p>
        </w:tc>
        <w:tc>
          <w:tcPr>
            <w:tcW w:w="1207"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2.093</w:t>
            </w: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6.750</w:t>
            </w:r>
          </w:p>
        </w:tc>
        <w:tc>
          <w:tcPr>
            <w:tcW w:w="1312"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5.694</w:t>
            </w: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2.702</w:t>
            </w:r>
          </w:p>
        </w:tc>
        <w:tc>
          <w:tcPr>
            <w:tcW w:w="1383"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b/>
                <w:sz w:val="20"/>
                <w:szCs w:val="20"/>
              </w:rPr>
            </w:pPr>
            <w:r w:rsidRPr="004859E4">
              <w:rPr>
                <w:rFonts w:cs="Arial"/>
                <w:b/>
                <w:sz w:val="20"/>
                <w:szCs w:val="20"/>
              </w:rPr>
              <w:t>17.239</w:t>
            </w:r>
          </w:p>
        </w:tc>
      </w:tr>
      <w:tr w:rsidR="0083557B" w:rsidRPr="004859E4" w:rsidTr="002F64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sz w:val="20"/>
                <w:szCs w:val="20"/>
              </w:rPr>
              <w:t>Sebastopol</w:t>
            </w:r>
          </w:p>
        </w:tc>
        <w:tc>
          <w:tcPr>
            <w:tcW w:w="1207"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1.667</w:t>
            </w: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6.671</w:t>
            </w:r>
          </w:p>
        </w:tc>
        <w:tc>
          <w:tcPr>
            <w:tcW w:w="1312"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7.169</w:t>
            </w: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3.346</w:t>
            </w:r>
          </w:p>
        </w:tc>
        <w:tc>
          <w:tcPr>
            <w:tcW w:w="1383"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859E4">
              <w:rPr>
                <w:rFonts w:cs="Arial"/>
                <w:b/>
                <w:sz w:val="20"/>
                <w:szCs w:val="20"/>
              </w:rPr>
              <w:t>18.853</w:t>
            </w:r>
          </w:p>
        </w:tc>
      </w:tr>
      <w:tr w:rsidR="0083557B" w:rsidRPr="004859E4" w:rsidTr="002F649D">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sz w:val="20"/>
                <w:szCs w:val="20"/>
              </w:rPr>
              <w:t>Arauca</w:t>
            </w:r>
          </w:p>
        </w:tc>
        <w:tc>
          <w:tcPr>
            <w:tcW w:w="1207"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1.000</w:t>
            </w: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1.024</w:t>
            </w:r>
          </w:p>
        </w:tc>
        <w:tc>
          <w:tcPr>
            <w:tcW w:w="1312"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1.024</w:t>
            </w: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383"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b/>
                <w:sz w:val="20"/>
                <w:szCs w:val="20"/>
              </w:rPr>
            </w:pPr>
            <w:r w:rsidRPr="004859E4">
              <w:rPr>
                <w:rFonts w:cs="Arial"/>
                <w:b/>
                <w:sz w:val="20"/>
                <w:szCs w:val="20"/>
              </w:rPr>
              <w:t>3.048</w:t>
            </w:r>
          </w:p>
        </w:tc>
      </w:tr>
      <w:tr w:rsidR="0083557B" w:rsidRPr="004859E4" w:rsidTr="002F64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sz w:val="20"/>
                <w:szCs w:val="20"/>
              </w:rPr>
              <w:lastRenderedPageBreak/>
              <w:t>Inírida</w:t>
            </w:r>
          </w:p>
        </w:tc>
        <w:tc>
          <w:tcPr>
            <w:tcW w:w="1207"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3.488</w:t>
            </w:r>
          </w:p>
        </w:tc>
        <w:tc>
          <w:tcPr>
            <w:tcW w:w="1312"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2.282</w:t>
            </w: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383"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859E4">
              <w:rPr>
                <w:rFonts w:cs="Arial"/>
                <w:b/>
                <w:sz w:val="20"/>
                <w:szCs w:val="20"/>
              </w:rPr>
              <w:t>5.770</w:t>
            </w:r>
          </w:p>
        </w:tc>
      </w:tr>
      <w:tr w:rsidR="0083557B" w:rsidRPr="004859E4" w:rsidTr="002F649D">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sz w:val="20"/>
                <w:szCs w:val="20"/>
              </w:rPr>
              <w:t>Leticia</w:t>
            </w:r>
          </w:p>
        </w:tc>
        <w:tc>
          <w:tcPr>
            <w:tcW w:w="1207"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13.124</w:t>
            </w: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5.093</w:t>
            </w:r>
          </w:p>
        </w:tc>
        <w:tc>
          <w:tcPr>
            <w:tcW w:w="1312"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11.325</w:t>
            </w: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383"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b/>
                <w:sz w:val="20"/>
                <w:szCs w:val="20"/>
              </w:rPr>
            </w:pPr>
            <w:r w:rsidRPr="004859E4">
              <w:rPr>
                <w:rFonts w:cs="Arial"/>
                <w:b/>
                <w:sz w:val="20"/>
                <w:szCs w:val="20"/>
              </w:rPr>
              <w:t>29.542</w:t>
            </w:r>
          </w:p>
        </w:tc>
      </w:tr>
      <w:tr w:rsidR="0083557B" w:rsidRPr="004859E4" w:rsidTr="002F64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sz w:val="20"/>
                <w:szCs w:val="20"/>
              </w:rPr>
              <w:t>Pto. Asís</w:t>
            </w:r>
          </w:p>
        </w:tc>
        <w:tc>
          <w:tcPr>
            <w:tcW w:w="1207" w:type="dxa"/>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4.652</w:t>
            </w:r>
          </w:p>
        </w:tc>
        <w:tc>
          <w:tcPr>
            <w:tcW w:w="1312"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4.699</w:t>
            </w: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383"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859E4">
              <w:rPr>
                <w:rFonts w:cs="Arial"/>
                <w:b/>
                <w:sz w:val="20"/>
                <w:szCs w:val="20"/>
              </w:rPr>
              <w:t>9.351</w:t>
            </w:r>
          </w:p>
        </w:tc>
      </w:tr>
      <w:tr w:rsidR="0083557B" w:rsidRPr="004859E4" w:rsidTr="002F649D">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sz w:val="20"/>
                <w:szCs w:val="20"/>
              </w:rPr>
              <w:t>Pto. Carreño</w:t>
            </w:r>
          </w:p>
        </w:tc>
        <w:tc>
          <w:tcPr>
            <w:tcW w:w="1207" w:type="dxa"/>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3.388</w:t>
            </w:r>
          </w:p>
        </w:tc>
        <w:tc>
          <w:tcPr>
            <w:tcW w:w="1312"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2.139</w:t>
            </w: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383"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b/>
                <w:sz w:val="20"/>
                <w:szCs w:val="20"/>
              </w:rPr>
            </w:pPr>
            <w:r w:rsidRPr="004859E4">
              <w:rPr>
                <w:rFonts w:cs="Arial"/>
                <w:b/>
                <w:sz w:val="20"/>
                <w:szCs w:val="20"/>
              </w:rPr>
              <w:t>5.527</w:t>
            </w:r>
          </w:p>
        </w:tc>
      </w:tr>
      <w:tr w:rsidR="0083557B" w:rsidRPr="004859E4" w:rsidTr="002F64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sz w:val="20"/>
                <w:szCs w:val="20"/>
              </w:rPr>
              <w:t>Guaviare</w:t>
            </w:r>
          </w:p>
        </w:tc>
        <w:tc>
          <w:tcPr>
            <w:tcW w:w="1207"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1.065</w:t>
            </w: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3.100</w:t>
            </w:r>
          </w:p>
        </w:tc>
        <w:tc>
          <w:tcPr>
            <w:tcW w:w="1312"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5.000</w:t>
            </w: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383"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859E4">
              <w:rPr>
                <w:rFonts w:cs="Arial"/>
                <w:b/>
                <w:sz w:val="20"/>
                <w:szCs w:val="20"/>
              </w:rPr>
              <w:t>9.165</w:t>
            </w:r>
          </w:p>
        </w:tc>
      </w:tr>
      <w:tr w:rsidR="0083557B" w:rsidRPr="004859E4" w:rsidTr="002F649D">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sz w:val="20"/>
                <w:szCs w:val="20"/>
              </w:rPr>
              <w:t>Tocancipá</w:t>
            </w:r>
          </w:p>
        </w:tc>
        <w:tc>
          <w:tcPr>
            <w:tcW w:w="1207"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6.397</w:t>
            </w:r>
          </w:p>
        </w:tc>
        <w:tc>
          <w:tcPr>
            <w:tcW w:w="1312"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2.646</w:t>
            </w: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4859E4">
              <w:rPr>
                <w:rFonts w:cs="Arial"/>
                <w:sz w:val="20"/>
                <w:szCs w:val="20"/>
              </w:rPr>
              <w:t>4.340</w:t>
            </w:r>
          </w:p>
        </w:tc>
        <w:tc>
          <w:tcPr>
            <w:tcW w:w="1383"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b/>
                <w:sz w:val="20"/>
                <w:szCs w:val="20"/>
              </w:rPr>
            </w:pPr>
            <w:r w:rsidRPr="004859E4">
              <w:rPr>
                <w:rFonts w:cs="Arial"/>
                <w:b/>
                <w:sz w:val="20"/>
                <w:szCs w:val="20"/>
              </w:rPr>
              <w:t>13.383</w:t>
            </w:r>
          </w:p>
        </w:tc>
      </w:tr>
      <w:tr w:rsidR="0083557B" w:rsidRPr="004859E4" w:rsidTr="002F649D">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sz w:val="20"/>
                <w:szCs w:val="20"/>
              </w:rPr>
              <w:t>Yumbo</w:t>
            </w:r>
          </w:p>
        </w:tc>
        <w:tc>
          <w:tcPr>
            <w:tcW w:w="1207"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312"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4859E4">
              <w:rPr>
                <w:rFonts w:cs="Arial"/>
                <w:sz w:val="20"/>
                <w:szCs w:val="20"/>
              </w:rPr>
              <w:t>2.381</w:t>
            </w:r>
          </w:p>
        </w:tc>
        <w:tc>
          <w:tcPr>
            <w:tcW w:w="1360"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383" w:type="dxa"/>
            <w:noWrap/>
            <w:vAlign w:val="center"/>
            <w:hideMark/>
          </w:tcPr>
          <w:p w:rsidR="0083557B" w:rsidRPr="004859E4" w:rsidRDefault="0083557B" w:rsidP="002F63E2">
            <w:pPr>
              <w:jc w:val="center"/>
              <w:cnfStyle w:val="000000100000" w:firstRow="0" w:lastRow="0" w:firstColumn="0" w:lastColumn="0" w:oddVBand="0" w:evenVBand="0" w:oddHBand="1" w:evenHBand="0" w:firstRowFirstColumn="0" w:firstRowLastColumn="0" w:lastRowFirstColumn="0" w:lastRowLastColumn="0"/>
              <w:rPr>
                <w:rFonts w:cs="Arial"/>
                <w:b/>
                <w:sz w:val="20"/>
                <w:szCs w:val="20"/>
              </w:rPr>
            </w:pPr>
            <w:r w:rsidRPr="004859E4">
              <w:rPr>
                <w:rFonts w:cs="Arial"/>
                <w:b/>
                <w:sz w:val="20"/>
                <w:szCs w:val="20"/>
              </w:rPr>
              <w:t>2.381</w:t>
            </w:r>
          </w:p>
        </w:tc>
      </w:tr>
      <w:tr w:rsidR="0083557B" w:rsidRPr="004859E4" w:rsidTr="002F649D">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127" w:type="dxa"/>
            <w:noWrap/>
            <w:vAlign w:val="center"/>
            <w:hideMark/>
          </w:tcPr>
          <w:p w:rsidR="0083557B" w:rsidRPr="004859E4" w:rsidRDefault="0083557B" w:rsidP="002F649D">
            <w:pPr>
              <w:jc w:val="left"/>
              <w:rPr>
                <w:rFonts w:cs="Arial"/>
                <w:sz w:val="20"/>
                <w:szCs w:val="20"/>
              </w:rPr>
            </w:pPr>
            <w:r w:rsidRPr="004859E4">
              <w:rPr>
                <w:rFonts w:cs="Arial"/>
                <w:b w:val="0"/>
                <w:bCs w:val="0"/>
                <w:sz w:val="20"/>
                <w:szCs w:val="20"/>
              </w:rPr>
              <w:t>Total</w:t>
            </w:r>
          </w:p>
        </w:tc>
        <w:tc>
          <w:tcPr>
            <w:tcW w:w="1207"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4859E4">
              <w:rPr>
                <w:rFonts w:cs="Arial"/>
                <w:b/>
                <w:bCs/>
                <w:sz w:val="20"/>
                <w:szCs w:val="20"/>
              </w:rPr>
              <w:t>21.038</w:t>
            </w: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4859E4">
              <w:rPr>
                <w:rFonts w:cs="Arial"/>
                <w:b/>
                <w:bCs/>
                <w:sz w:val="20"/>
                <w:szCs w:val="20"/>
              </w:rPr>
              <w:t>550.182</w:t>
            </w:r>
          </w:p>
        </w:tc>
        <w:tc>
          <w:tcPr>
            <w:tcW w:w="1312"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4859E4">
              <w:rPr>
                <w:rFonts w:cs="Arial"/>
                <w:b/>
                <w:bCs/>
                <w:sz w:val="20"/>
                <w:szCs w:val="20"/>
              </w:rPr>
              <w:t>48.618</w:t>
            </w:r>
          </w:p>
        </w:tc>
        <w:tc>
          <w:tcPr>
            <w:tcW w:w="1360"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4859E4">
              <w:rPr>
                <w:rFonts w:cs="Arial"/>
                <w:b/>
                <w:bCs/>
                <w:sz w:val="20"/>
                <w:szCs w:val="20"/>
              </w:rPr>
              <w:t>511.994</w:t>
            </w:r>
          </w:p>
        </w:tc>
        <w:tc>
          <w:tcPr>
            <w:tcW w:w="1383" w:type="dxa"/>
            <w:noWrap/>
            <w:vAlign w:val="center"/>
            <w:hideMark/>
          </w:tcPr>
          <w:p w:rsidR="0083557B" w:rsidRPr="004859E4" w:rsidRDefault="0083557B" w:rsidP="002F63E2">
            <w:pPr>
              <w:jc w:val="center"/>
              <w:cnfStyle w:val="000000010000" w:firstRow="0" w:lastRow="0" w:firstColumn="0" w:lastColumn="0" w:oddVBand="0" w:evenVBand="0" w:oddHBand="0" w:evenHBand="1" w:firstRowFirstColumn="0" w:firstRowLastColumn="0" w:lastRowFirstColumn="0" w:lastRowLastColumn="0"/>
              <w:rPr>
                <w:rFonts w:cs="Arial"/>
                <w:b/>
                <w:bCs/>
                <w:sz w:val="20"/>
                <w:szCs w:val="20"/>
              </w:rPr>
            </w:pPr>
            <w:r w:rsidRPr="004859E4">
              <w:rPr>
                <w:rFonts w:cs="Arial"/>
                <w:b/>
                <w:bCs/>
                <w:sz w:val="20"/>
                <w:szCs w:val="20"/>
              </w:rPr>
              <w:t>1.131.832</w:t>
            </w:r>
          </w:p>
        </w:tc>
      </w:tr>
    </w:tbl>
    <w:p w:rsidR="0083557B" w:rsidRPr="004859E4" w:rsidRDefault="0083557B" w:rsidP="0083557B">
      <w:pPr>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83557B" w:rsidRPr="00C341FD" w:rsidRDefault="0083557B" w:rsidP="0083557B">
      <w:pPr>
        <w:rPr>
          <w:rFonts w:cs="Arial"/>
          <w:sz w:val="24"/>
        </w:rPr>
      </w:pPr>
      <w:r w:rsidRPr="00C341FD">
        <w:rPr>
          <w:rFonts w:cs="Arial"/>
          <w:sz w:val="24"/>
        </w:rPr>
        <w:t>De acuerdo a esta información el almacenamiento de Cenit asciende a 1.131.833 barriles. La mayor parte de</w:t>
      </w:r>
      <w:r w:rsidR="001D1BBE">
        <w:rPr>
          <w:rFonts w:cs="Arial"/>
          <w:sz w:val="24"/>
        </w:rPr>
        <w:t>l mismo</w:t>
      </w:r>
      <w:r w:rsidRPr="00C341FD">
        <w:rPr>
          <w:rFonts w:cs="Arial"/>
          <w:sz w:val="24"/>
        </w:rPr>
        <w:t xml:space="preserve"> se encuentra ubicado en Pozos Colorados (1.003.700 barriles equivalente al 88,7%), especialmente destinados para </w:t>
      </w:r>
      <w:r w:rsidR="00A56932" w:rsidRPr="00C341FD">
        <w:rPr>
          <w:rFonts w:cs="Arial"/>
          <w:sz w:val="24"/>
        </w:rPr>
        <w:t>Diésel</w:t>
      </w:r>
      <w:r w:rsidRPr="00C341FD">
        <w:rPr>
          <w:rFonts w:cs="Arial"/>
          <w:sz w:val="24"/>
        </w:rPr>
        <w:t xml:space="preserve"> (503.700 barriles) y Nafta (500.000 barriles). En las plantas de Mansilla, Puerto salgar, Sebastopol y Tocancipá cuenta con una capacidad de almacenamiento de 63.205 barriles de almacenamiento</w:t>
      </w:r>
      <w:r w:rsidR="00C341FD">
        <w:rPr>
          <w:rFonts w:cs="Arial"/>
          <w:sz w:val="24"/>
        </w:rPr>
        <w:t>.</w:t>
      </w:r>
    </w:p>
    <w:p w:rsidR="0083557B" w:rsidRPr="00F42CA3" w:rsidRDefault="001E5E2C" w:rsidP="00391FB3">
      <w:pPr>
        <w:pStyle w:val="Ttulo2"/>
        <w:rPr>
          <w:sz w:val="24"/>
          <w:szCs w:val="24"/>
        </w:rPr>
      </w:pPr>
      <w:bookmarkStart w:id="793" w:name="_Toc433295747"/>
      <w:bookmarkStart w:id="794" w:name="_Toc433296472"/>
      <w:bookmarkStart w:id="795" w:name="_Toc437500901"/>
      <w:bookmarkStart w:id="796" w:name="_Toc437501560"/>
      <w:bookmarkStart w:id="797" w:name="_Toc437501740"/>
      <w:bookmarkStart w:id="798" w:name="_Toc437501830"/>
      <w:bookmarkStart w:id="799" w:name="_Toc437502593"/>
      <w:bookmarkStart w:id="800" w:name="_Toc437505953"/>
      <w:bookmarkStart w:id="801" w:name="_Toc437512766"/>
      <w:r>
        <w:rPr>
          <w:sz w:val="24"/>
          <w:szCs w:val="24"/>
        </w:rPr>
        <w:t>c</w:t>
      </w:r>
      <w:r w:rsidR="002864AD" w:rsidRPr="00F42CA3">
        <w:rPr>
          <w:sz w:val="24"/>
          <w:szCs w:val="24"/>
        </w:rPr>
        <w:t>aracterización de los principales tramos de poliductos</w:t>
      </w:r>
      <w:bookmarkEnd w:id="793"/>
      <w:bookmarkEnd w:id="794"/>
      <w:bookmarkEnd w:id="795"/>
      <w:bookmarkEnd w:id="796"/>
      <w:bookmarkEnd w:id="797"/>
      <w:bookmarkEnd w:id="798"/>
      <w:bookmarkEnd w:id="799"/>
      <w:bookmarkEnd w:id="800"/>
      <w:bookmarkEnd w:id="801"/>
    </w:p>
    <w:p w:rsidR="002864AD" w:rsidRPr="00C341FD" w:rsidRDefault="002864AD" w:rsidP="0083557B">
      <w:pPr>
        <w:rPr>
          <w:rFonts w:cs="Arial"/>
          <w:sz w:val="24"/>
        </w:rPr>
      </w:pPr>
      <w:r w:rsidRPr="00C341FD">
        <w:rPr>
          <w:rFonts w:cs="Arial"/>
          <w:sz w:val="24"/>
        </w:rPr>
        <w:t>En los siguientes apartes se señalan las principales características en cuanto a perfiles de altura como diámetro de los diferentes tramos de poliductos.</w:t>
      </w:r>
    </w:p>
    <w:p w:rsidR="002864AD" w:rsidRPr="00F42CA3" w:rsidRDefault="002864AD" w:rsidP="0083557B">
      <w:pPr>
        <w:rPr>
          <w:rFonts w:cs="Arial"/>
          <w:sz w:val="24"/>
        </w:rPr>
      </w:pPr>
    </w:p>
    <w:p w:rsidR="0083557B" w:rsidRPr="00F42CA3" w:rsidRDefault="0083557B" w:rsidP="00391FB3">
      <w:pPr>
        <w:pStyle w:val="Ttulo3"/>
        <w:rPr>
          <w:b w:val="0"/>
          <w:sz w:val="24"/>
          <w:szCs w:val="24"/>
        </w:rPr>
      </w:pPr>
      <w:bookmarkStart w:id="802" w:name="_Toc433295748"/>
      <w:bookmarkStart w:id="803" w:name="_Toc433296473"/>
      <w:bookmarkStart w:id="804" w:name="_Toc437500902"/>
      <w:bookmarkStart w:id="805" w:name="_Toc437501561"/>
      <w:bookmarkStart w:id="806" w:name="_Toc437501741"/>
      <w:bookmarkStart w:id="807" w:name="_Toc437501831"/>
      <w:bookmarkStart w:id="808" w:name="_Toc437502594"/>
      <w:bookmarkStart w:id="809" w:name="_Toc437505954"/>
      <w:bookmarkStart w:id="810" w:name="_Toc437512767"/>
      <w:r w:rsidRPr="00F42CA3">
        <w:rPr>
          <w:sz w:val="24"/>
          <w:szCs w:val="24"/>
        </w:rPr>
        <w:t>Poliducto Pozos Colorados – Galán</w:t>
      </w:r>
      <w:bookmarkEnd w:id="802"/>
      <w:bookmarkEnd w:id="803"/>
      <w:bookmarkEnd w:id="804"/>
      <w:bookmarkEnd w:id="805"/>
      <w:bookmarkEnd w:id="806"/>
      <w:bookmarkEnd w:id="807"/>
      <w:bookmarkEnd w:id="808"/>
      <w:bookmarkEnd w:id="809"/>
      <w:bookmarkEnd w:id="810"/>
    </w:p>
    <w:p w:rsidR="0083557B" w:rsidRPr="00C341FD" w:rsidRDefault="0083557B" w:rsidP="009564DC"/>
    <w:p w:rsidR="0083557B" w:rsidRPr="00C341FD" w:rsidRDefault="0083557B" w:rsidP="0083557B">
      <w:pPr>
        <w:rPr>
          <w:rFonts w:cs="Arial"/>
          <w:sz w:val="24"/>
        </w:rPr>
      </w:pPr>
      <w:r w:rsidRPr="00C341FD">
        <w:rPr>
          <w:rFonts w:cs="Arial"/>
          <w:sz w:val="24"/>
        </w:rPr>
        <w:t xml:space="preserve">Por este sistema se transportan las importaciones diésel de bajo azufre necesario para garantizar la entrega de </w:t>
      </w:r>
      <w:r w:rsidR="00A56932" w:rsidRPr="00C341FD">
        <w:rPr>
          <w:rFonts w:cs="Arial"/>
          <w:sz w:val="24"/>
        </w:rPr>
        <w:t>Diésel</w:t>
      </w:r>
      <w:r w:rsidRPr="00C341FD">
        <w:rPr>
          <w:rFonts w:cs="Arial"/>
          <w:sz w:val="24"/>
        </w:rPr>
        <w:t>. Adicionalmente, por este sistema se mueven los volúmenes de nafta importada necesaria para la dilución de crudos pesados. Este poliducto tiene un lleno de línea de 287.706 barriles. El recorrido del tubo presenta cambios de altura a nivel topográfico que oscilan entre los 40 y los 160 metros (véase</w:t>
      </w:r>
      <w:r w:rsidR="00686184">
        <w:rPr>
          <w:rFonts w:cs="Arial"/>
          <w:sz w:val="24"/>
        </w:rPr>
        <w:t xml:space="preserve"> </w:t>
      </w:r>
      <w:r w:rsidR="00686184">
        <w:rPr>
          <w:rFonts w:cs="Arial"/>
          <w:sz w:val="24"/>
        </w:rPr>
        <w:fldChar w:fldCharType="begin"/>
      </w:r>
      <w:r w:rsidR="00686184">
        <w:rPr>
          <w:rFonts w:cs="Arial"/>
          <w:sz w:val="24"/>
        </w:rPr>
        <w:instrText xml:space="preserve"> REF _Ref437264365 \h </w:instrText>
      </w:r>
      <w:r w:rsidR="00686184">
        <w:rPr>
          <w:rFonts w:cs="Arial"/>
          <w:sz w:val="24"/>
        </w:rPr>
      </w:r>
      <w:r w:rsidR="00686184">
        <w:rPr>
          <w:rFonts w:cs="Arial"/>
          <w:sz w:val="24"/>
        </w:rPr>
        <w:fldChar w:fldCharType="separate"/>
      </w:r>
      <w:r w:rsidR="00625BEB">
        <w:t xml:space="preserve">Gráfica </w:t>
      </w:r>
      <w:r w:rsidR="00625BEB">
        <w:rPr>
          <w:noProof/>
        </w:rPr>
        <w:t>16</w:t>
      </w:r>
      <w:r w:rsidR="00686184">
        <w:rPr>
          <w:rFonts w:cs="Arial"/>
          <w:sz w:val="24"/>
        </w:rPr>
        <w:fldChar w:fldCharType="end"/>
      </w:r>
      <w:r w:rsidRPr="00C341FD">
        <w:rPr>
          <w:rFonts w:cs="Arial"/>
          <w:sz w:val="24"/>
        </w:rPr>
        <w:t>).</w:t>
      </w:r>
    </w:p>
    <w:p w:rsidR="00F42CA3" w:rsidRPr="004859E4" w:rsidRDefault="00F42CA3" w:rsidP="0083557B">
      <w:pPr>
        <w:ind w:left="195"/>
        <w:rPr>
          <w:rFonts w:cs="Arial"/>
        </w:rPr>
      </w:pPr>
    </w:p>
    <w:p w:rsidR="005F6A70" w:rsidRDefault="0083557B" w:rsidP="005F6A70">
      <w:pPr>
        <w:keepNext/>
        <w:ind w:left="195"/>
        <w:contextualSpacing/>
        <w:jc w:val="center"/>
      </w:pPr>
      <w:r w:rsidRPr="004859E4">
        <w:rPr>
          <w:rFonts w:cs="Arial"/>
          <w:noProof/>
          <w:sz w:val="16"/>
          <w:szCs w:val="16"/>
          <w:lang w:val="es-CO" w:eastAsia="es-CO"/>
        </w:rPr>
        <w:drawing>
          <wp:inline distT="0" distB="0" distL="0" distR="0" wp14:anchorId="59609458" wp14:editId="6927E0B0">
            <wp:extent cx="3391469" cy="2187858"/>
            <wp:effectExtent l="0" t="0" r="0" b="3175"/>
            <wp:docPr id="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95633" cy="2190544"/>
                    </a:xfrm>
                    <a:prstGeom prst="rect">
                      <a:avLst/>
                    </a:prstGeom>
                    <a:noFill/>
                    <a:ln>
                      <a:noFill/>
                    </a:ln>
                  </pic:spPr>
                </pic:pic>
              </a:graphicData>
            </a:graphic>
          </wp:inline>
        </w:drawing>
      </w:r>
    </w:p>
    <w:p w:rsidR="0083557B" w:rsidRDefault="0083557B" w:rsidP="003C25F5">
      <w:pPr>
        <w:rPr>
          <w:sz w:val="18"/>
        </w:rPr>
      </w:pPr>
      <w:r w:rsidRPr="003C25F5">
        <w:rPr>
          <w:sz w:val="18"/>
          <w:szCs w:val="16"/>
        </w:rPr>
        <w:t>Fuente: E</w:t>
      </w:r>
      <w:r w:rsidRPr="003C25F5">
        <w:rPr>
          <w:sz w:val="18"/>
        </w:rPr>
        <w:t>studio descriptivo de las actividades de la cadena de distribución de combustibles líquidos.</w:t>
      </w:r>
    </w:p>
    <w:p w:rsidR="00BC557B" w:rsidRPr="003C25F5" w:rsidRDefault="00BC557B" w:rsidP="00BC557B">
      <w:pPr>
        <w:pStyle w:val="Epgrafe"/>
        <w:rPr>
          <w:sz w:val="18"/>
        </w:rPr>
      </w:pPr>
      <w:bookmarkStart w:id="811" w:name="_Ref437264365"/>
      <w:bookmarkStart w:id="812" w:name="_Toc437512853"/>
      <w:r>
        <w:t xml:space="preserve">Gráfica </w:t>
      </w:r>
      <w:r>
        <w:fldChar w:fldCharType="begin"/>
      </w:r>
      <w:r>
        <w:instrText xml:space="preserve"> SEQ Gráfica \* ARABIC </w:instrText>
      </w:r>
      <w:r>
        <w:fldChar w:fldCharType="separate"/>
      </w:r>
      <w:r w:rsidR="00625BEB">
        <w:rPr>
          <w:noProof/>
        </w:rPr>
        <w:t>16</w:t>
      </w:r>
      <w:r>
        <w:fldChar w:fldCharType="end"/>
      </w:r>
      <w:bookmarkEnd w:id="811"/>
      <w:r>
        <w:t xml:space="preserve"> </w:t>
      </w:r>
      <w:r w:rsidRPr="00B53DF6">
        <w:t>Perfil Poliducto Pozos Colorados - Galán</w:t>
      </w:r>
      <w:bookmarkEnd w:id="812"/>
    </w:p>
    <w:p w:rsidR="00F42CA3" w:rsidRDefault="00F42CA3" w:rsidP="0083557B">
      <w:pPr>
        <w:tabs>
          <w:tab w:val="decimal" w:pos="3544"/>
        </w:tabs>
        <w:contextualSpacing/>
        <w:rPr>
          <w:rFonts w:cs="Arial"/>
          <w:sz w:val="24"/>
        </w:rPr>
      </w:pPr>
    </w:p>
    <w:p w:rsidR="0083557B" w:rsidRDefault="0083557B" w:rsidP="0083557B">
      <w:pPr>
        <w:tabs>
          <w:tab w:val="decimal" w:pos="3544"/>
        </w:tabs>
        <w:contextualSpacing/>
        <w:rPr>
          <w:rFonts w:cs="Arial"/>
          <w:sz w:val="24"/>
        </w:rPr>
      </w:pPr>
      <w:r w:rsidRPr="00C341FD">
        <w:rPr>
          <w:rFonts w:cs="Arial"/>
          <w:sz w:val="24"/>
        </w:rPr>
        <w:lastRenderedPageBreak/>
        <w:t>El Poliducto Pozos Colorado</w:t>
      </w:r>
      <w:r w:rsidR="00D07D66" w:rsidRPr="00C341FD">
        <w:rPr>
          <w:rFonts w:cs="Arial"/>
          <w:sz w:val="24"/>
        </w:rPr>
        <w:t>s – Galán tiene una Longitud de</w:t>
      </w:r>
      <w:r w:rsidRPr="00C341FD">
        <w:rPr>
          <w:rFonts w:cs="Arial"/>
          <w:sz w:val="24"/>
        </w:rPr>
        <w:t xml:space="preserve"> 503 kilómetros y una capacidad operacional de 93,6 kbl/día. El diámetro a lo largo del todo recorrido es de 14 pulgada</w:t>
      </w:r>
      <w:r w:rsidRPr="00686184">
        <w:rPr>
          <w:rFonts w:cs="Arial"/>
          <w:sz w:val="24"/>
        </w:rPr>
        <w:t xml:space="preserve">s. La </w:t>
      </w:r>
      <w:r w:rsidR="00686184" w:rsidRPr="00686184">
        <w:rPr>
          <w:rFonts w:cs="Arial"/>
          <w:sz w:val="24"/>
        </w:rPr>
        <w:fldChar w:fldCharType="begin"/>
      </w:r>
      <w:r w:rsidR="00686184" w:rsidRPr="00686184">
        <w:rPr>
          <w:rFonts w:cs="Arial"/>
          <w:sz w:val="24"/>
        </w:rPr>
        <w:instrText xml:space="preserve"> REF _Ref437264408 \h </w:instrText>
      </w:r>
      <w:r w:rsidR="00686184">
        <w:rPr>
          <w:rFonts w:cs="Arial"/>
          <w:sz w:val="24"/>
        </w:rPr>
        <w:instrText xml:space="preserve"> \* MERGEFORMAT </w:instrText>
      </w:r>
      <w:r w:rsidR="00686184" w:rsidRPr="00686184">
        <w:rPr>
          <w:rFonts w:cs="Arial"/>
          <w:sz w:val="24"/>
        </w:rPr>
      </w:r>
      <w:r w:rsidR="00686184" w:rsidRPr="00686184">
        <w:rPr>
          <w:rFonts w:cs="Arial"/>
          <w:sz w:val="24"/>
        </w:rPr>
        <w:fldChar w:fldCharType="separate"/>
      </w:r>
      <w:r w:rsidR="00625BEB" w:rsidRPr="00625BEB">
        <w:rPr>
          <w:sz w:val="24"/>
        </w:rPr>
        <w:t xml:space="preserve">Tabla </w:t>
      </w:r>
      <w:r w:rsidR="00625BEB" w:rsidRPr="00625BEB">
        <w:rPr>
          <w:noProof/>
          <w:sz w:val="24"/>
        </w:rPr>
        <w:t>18</w:t>
      </w:r>
      <w:r w:rsidR="00686184" w:rsidRPr="00686184">
        <w:rPr>
          <w:rFonts w:cs="Arial"/>
          <w:sz w:val="24"/>
        </w:rPr>
        <w:fldChar w:fldCharType="end"/>
      </w:r>
      <w:r w:rsidR="00686184">
        <w:rPr>
          <w:rFonts w:cs="Arial"/>
          <w:sz w:val="24"/>
        </w:rPr>
        <w:t xml:space="preserve"> </w:t>
      </w:r>
      <w:r w:rsidRPr="00C341FD">
        <w:rPr>
          <w:rFonts w:cs="Arial"/>
          <w:sz w:val="24"/>
        </w:rPr>
        <w:t>muestra las estaciones asociadas al poliducto Pozos Colorados – Galán.</w:t>
      </w:r>
    </w:p>
    <w:p w:rsidR="00722321" w:rsidRPr="00C341FD" w:rsidRDefault="00722321" w:rsidP="0083557B">
      <w:pPr>
        <w:tabs>
          <w:tab w:val="decimal" w:pos="3544"/>
        </w:tabs>
        <w:contextualSpacing/>
        <w:rPr>
          <w:rFonts w:cs="Arial"/>
          <w:sz w:val="24"/>
        </w:rPr>
      </w:pPr>
    </w:p>
    <w:tbl>
      <w:tblPr>
        <w:tblW w:w="778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189"/>
        <w:gridCol w:w="1532"/>
        <w:gridCol w:w="1330"/>
        <w:gridCol w:w="2729"/>
      </w:tblGrid>
      <w:tr w:rsidR="00722321" w:rsidRPr="004859E4" w:rsidTr="001D1BBE">
        <w:trPr>
          <w:trHeight w:val="315"/>
          <w:jc w:val="center"/>
        </w:trPr>
        <w:tc>
          <w:tcPr>
            <w:tcW w:w="7780" w:type="dxa"/>
            <w:gridSpan w:val="4"/>
            <w:tcBorders>
              <w:top w:val="single" w:sz="8" w:space="0" w:color="4F81BD"/>
              <w:left w:val="single" w:sz="8" w:space="0" w:color="4F81BD"/>
              <w:bottom w:val="single" w:sz="18" w:space="0" w:color="4F81BD"/>
              <w:right w:val="single" w:sz="8" w:space="0" w:color="4F81BD"/>
            </w:tcBorders>
            <w:shd w:val="clear" w:color="auto" w:fill="auto"/>
            <w:noWrap/>
          </w:tcPr>
          <w:p w:rsidR="00722321" w:rsidRPr="004859E4" w:rsidRDefault="00722321" w:rsidP="00722321">
            <w:pPr>
              <w:jc w:val="center"/>
              <w:rPr>
                <w:rFonts w:cs="Arial"/>
                <w:b/>
                <w:bCs/>
                <w:color w:val="000000"/>
                <w:szCs w:val="22"/>
                <w:lang w:eastAsia="es-CO"/>
              </w:rPr>
            </w:pPr>
            <w:bookmarkStart w:id="813" w:name="_Ref437264408"/>
            <w:bookmarkStart w:id="814" w:name="_Toc437512824"/>
            <w:r>
              <w:t xml:space="preserve">Tabla </w:t>
            </w:r>
            <w:r>
              <w:fldChar w:fldCharType="begin"/>
            </w:r>
            <w:r>
              <w:instrText xml:space="preserve"> SEQ Tabla \* ARABIC </w:instrText>
            </w:r>
            <w:r>
              <w:fldChar w:fldCharType="separate"/>
            </w:r>
            <w:r w:rsidR="00625BEB">
              <w:rPr>
                <w:noProof/>
              </w:rPr>
              <w:t>18</w:t>
            </w:r>
            <w:r>
              <w:fldChar w:fldCharType="end"/>
            </w:r>
            <w:bookmarkEnd w:id="813"/>
            <w:r>
              <w:rPr>
                <w:noProof/>
              </w:rPr>
              <w:t xml:space="preserve">  </w:t>
            </w:r>
            <w:r w:rsidRPr="0016074B">
              <w:rPr>
                <w:noProof/>
              </w:rPr>
              <w:t>Estaciones poliducto Pozos Colorados – Galán</w:t>
            </w:r>
            <w:bookmarkEnd w:id="814"/>
          </w:p>
        </w:tc>
      </w:tr>
      <w:tr w:rsidR="0083557B" w:rsidRPr="004859E4" w:rsidTr="002F63E2">
        <w:trPr>
          <w:trHeight w:val="315"/>
          <w:jc w:val="center"/>
        </w:trPr>
        <w:tc>
          <w:tcPr>
            <w:tcW w:w="2189"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4859E4" w:rsidRDefault="0083557B" w:rsidP="002F63E2">
            <w:pPr>
              <w:rPr>
                <w:rFonts w:cs="Arial"/>
                <w:b/>
                <w:bCs/>
                <w:color w:val="000000"/>
                <w:szCs w:val="22"/>
                <w:lang w:eastAsia="es-CO"/>
              </w:rPr>
            </w:pPr>
            <w:r w:rsidRPr="004859E4">
              <w:rPr>
                <w:rFonts w:cs="Arial"/>
                <w:b/>
                <w:bCs/>
                <w:color w:val="000000"/>
                <w:szCs w:val="22"/>
              </w:rPr>
              <w:t>Estaciones</w:t>
            </w:r>
          </w:p>
        </w:tc>
        <w:tc>
          <w:tcPr>
            <w:tcW w:w="1532"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4859E4" w:rsidRDefault="0083557B" w:rsidP="002F63E2">
            <w:pPr>
              <w:rPr>
                <w:rFonts w:cs="Arial"/>
                <w:b/>
                <w:bCs/>
                <w:color w:val="000000"/>
                <w:szCs w:val="22"/>
                <w:lang w:eastAsia="es-CO"/>
              </w:rPr>
            </w:pPr>
            <w:r w:rsidRPr="004859E4">
              <w:rPr>
                <w:rFonts w:cs="Arial"/>
                <w:b/>
                <w:bCs/>
                <w:color w:val="000000"/>
                <w:szCs w:val="22"/>
                <w:lang w:eastAsia="es-CO"/>
              </w:rPr>
              <w:t>Kilómetro</w:t>
            </w:r>
          </w:p>
        </w:tc>
        <w:tc>
          <w:tcPr>
            <w:tcW w:w="133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4859E4" w:rsidRDefault="0083557B" w:rsidP="002F63E2">
            <w:pPr>
              <w:rPr>
                <w:rFonts w:cs="Arial"/>
                <w:b/>
                <w:bCs/>
                <w:color w:val="000000"/>
                <w:szCs w:val="22"/>
                <w:lang w:eastAsia="es-CO"/>
              </w:rPr>
            </w:pPr>
            <w:r w:rsidRPr="004859E4">
              <w:rPr>
                <w:rFonts w:cs="Arial"/>
                <w:b/>
                <w:bCs/>
                <w:color w:val="000000"/>
                <w:szCs w:val="22"/>
                <w:lang w:eastAsia="es-CO"/>
              </w:rPr>
              <w:t>Tipo</w:t>
            </w:r>
          </w:p>
        </w:tc>
        <w:tc>
          <w:tcPr>
            <w:tcW w:w="2729"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4859E4" w:rsidRDefault="0083557B" w:rsidP="002F63E2">
            <w:pPr>
              <w:rPr>
                <w:rFonts w:cs="Arial"/>
                <w:b/>
                <w:bCs/>
                <w:color w:val="000000"/>
                <w:szCs w:val="22"/>
                <w:lang w:eastAsia="es-CO"/>
              </w:rPr>
            </w:pPr>
            <w:r w:rsidRPr="004859E4">
              <w:rPr>
                <w:rFonts w:cs="Arial"/>
                <w:b/>
                <w:bCs/>
                <w:color w:val="000000"/>
                <w:szCs w:val="22"/>
                <w:lang w:eastAsia="es-CO"/>
              </w:rPr>
              <w:t>Unidades de bombeo</w:t>
            </w:r>
          </w:p>
        </w:tc>
      </w:tr>
      <w:tr w:rsidR="0083557B" w:rsidRPr="004859E4" w:rsidTr="002F63E2">
        <w:trPr>
          <w:trHeight w:val="315"/>
          <w:jc w:val="center"/>
        </w:trPr>
        <w:tc>
          <w:tcPr>
            <w:tcW w:w="218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b/>
                <w:bCs/>
                <w:color w:val="000000"/>
                <w:szCs w:val="22"/>
                <w:lang w:eastAsia="es-CO"/>
              </w:rPr>
            </w:pPr>
            <w:r w:rsidRPr="004859E4">
              <w:rPr>
                <w:rFonts w:cs="Arial"/>
                <w:b/>
                <w:bCs/>
                <w:color w:val="000000"/>
                <w:szCs w:val="22"/>
              </w:rPr>
              <w:t>Pozos Colorados</w:t>
            </w:r>
          </w:p>
        </w:tc>
        <w:tc>
          <w:tcPr>
            <w:tcW w:w="153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0</w:t>
            </w:r>
          </w:p>
        </w:tc>
        <w:tc>
          <w:tcPr>
            <w:tcW w:w="133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Inicial</w:t>
            </w:r>
          </w:p>
        </w:tc>
        <w:tc>
          <w:tcPr>
            <w:tcW w:w="272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3</w:t>
            </w:r>
          </w:p>
        </w:tc>
      </w:tr>
      <w:tr w:rsidR="0083557B" w:rsidRPr="004859E4" w:rsidTr="002F63E2">
        <w:trPr>
          <w:trHeight w:val="315"/>
          <w:jc w:val="center"/>
        </w:trPr>
        <w:tc>
          <w:tcPr>
            <w:tcW w:w="2189"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rPr>
                <w:rFonts w:cs="Arial"/>
                <w:b/>
                <w:bCs/>
                <w:color w:val="000000"/>
                <w:szCs w:val="22"/>
                <w:lang w:eastAsia="es-CO"/>
              </w:rPr>
            </w:pPr>
            <w:r w:rsidRPr="004859E4">
              <w:rPr>
                <w:rFonts w:cs="Arial"/>
                <w:b/>
                <w:bCs/>
                <w:color w:val="000000"/>
                <w:szCs w:val="22"/>
              </w:rPr>
              <w:t>Ayacucho</w:t>
            </w:r>
          </w:p>
        </w:tc>
        <w:tc>
          <w:tcPr>
            <w:tcW w:w="1532"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316</w:t>
            </w:r>
          </w:p>
        </w:tc>
        <w:tc>
          <w:tcPr>
            <w:tcW w:w="133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Rebombeo</w:t>
            </w:r>
          </w:p>
        </w:tc>
        <w:tc>
          <w:tcPr>
            <w:tcW w:w="2729"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3</w:t>
            </w:r>
          </w:p>
        </w:tc>
      </w:tr>
      <w:tr w:rsidR="0083557B" w:rsidRPr="004859E4" w:rsidTr="002F63E2">
        <w:trPr>
          <w:trHeight w:val="315"/>
          <w:jc w:val="center"/>
        </w:trPr>
        <w:tc>
          <w:tcPr>
            <w:tcW w:w="218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b/>
                <w:bCs/>
                <w:color w:val="000000"/>
                <w:szCs w:val="22"/>
                <w:lang w:eastAsia="es-CO"/>
              </w:rPr>
            </w:pPr>
            <w:r w:rsidRPr="004859E4">
              <w:rPr>
                <w:rFonts w:cs="Arial"/>
                <w:b/>
                <w:bCs/>
                <w:color w:val="000000"/>
                <w:szCs w:val="22"/>
              </w:rPr>
              <w:t>CIB</w:t>
            </w:r>
          </w:p>
        </w:tc>
        <w:tc>
          <w:tcPr>
            <w:tcW w:w="153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503</w:t>
            </w:r>
          </w:p>
        </w:tc>
        <w:tc>
          <w:tcPr>
            <w:tcW w:w="133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Recibo</w:t>
            </w:r>
          </w:p>
        </w:tc>
        <w:tc>
          <w:tcPr>
            <w:tcW w:w="272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jc w:val="center"/>
              <w:rPr>
                <w:rFonts w:cs="Arial"/>
                <w:color w:val="000000"/>
                <w:lang w:eastAsia="es-CO"/>
              </w:rPr>
            </w:pPr>
          </w:p>
        </w:tc>
      </w:tr>
    </w:tbl>
    <w:p w:rsidR="00F42CA3" w:rsidRPr="00F34AF1" w:rsidRDefault="00F42CA3" w:rsidP="00F34AF1">
      <w:pPr>
        <w:pStyle w:val="Textoindependiente2"/>
        <w:spacing w:after="100" w:afterAutospacing="1" w:line="240" w:lineRule="auto"/>
        <w:contextualSpacing/>
        <w:rPr>
          <w:rFonts w:cs="Arial"/>
          <w:iCs/>
          <w:sz w:val="16"/>
          <w:szCs w:val="32"/>
        </w:rPr>
      </w:pPr>
      <w:r>
        <w:rPr>
          <w:rFonts w:cs="Arial"/>
          <w:sz w:val="16"/>
          <w:szCs w:val="18"/>
        </w:rPr>
        <w:t xml:space="preserve">          </w:t>
      </w:r>
      <w:r w:rsidR="0083557B" w:rsidRPr="004859E4">
        <w:rPr>
          <w:rFonts w:cs="Arial"/>
          <w:sz w:val="16"/>
          <w:szCs w:val="18"/>
        </w:rPr>
        <w:t xml:space="preserve">Fuente: </w:t>
      </w:r>
      <w:bookmarkStart w:id="815" w:name="_Toc380057135"/>
      <w:r w:rsidR="0083557B" w:rsidRPr="004859E4">
        <w:rPr>
          <w:rFonts w:cs="Arial"/>
          <w:sz w:val="16"/>
          <w:szCs w:val="16"/>
        </w:rPr>
        <w:t>E</w:t>
      </w:r>
      <w:r w:rsidR="0083557B" w:rsidRPr="004859E4">
        <w:rPr>
          <w:rFonts w:cs="Arial"/>
          <w:iCs/>
          <w:sz w:val="16"/>
          <w:szCs w:val="32"/>
        </w:rPr>
        <w:t>studio descriptivo de las actividades de la cadena de distribución de combustibles líquido</w:t>
      </w:r>
      <w:bookmarkStart w:id="816" w:name="_Toc433295749"/>
      <w:bookmarkStart w:id="817" w:name="_Toc433296474"/>
      <w:r w:rsidR="00F34AF1">
        <w:rPr>
          <w:rFonts w:cs="Arial"/>
          <w:iCs/>
          <w:sz w:val="16"/>
          <w:szCs w:val="32"/>
        </w:rPr>
        <w:t>s.</w:t>
      </w:r>
    </w:p>
    <w:p w:rsidR="0083557B" w:rsidRPr="00C341FD" w:rsidRDefault="0083557B" w:rsidP="00391FB3">
      <w:pPr>
        <w:pStyle w:val="Ttulo3"/>
        <w:rPr>
          <w:b w:val="0"/>
          <w:sz w:val="24"/>
          <w:szCs w:val="24"/>
        </w:rPr>
      </w:pPr>
      <w:bookmarkStart w:id="818" w:name="_Toc437500903"/>
      <w:bookmarkStart w:id="819" w:name="_Toc437501562"/>
      <w:bookmarkStart w:id="820" w:name="_Toc437501742"/>
      <w:bookmarkStart w:id="821" w:name="_Toc437501832"/>
      <w:bookmarkStart w:id="822" w:name="_Toc437502595"/>
      <w:bookmarkStart w:id="823" w:name="_Toc437505955"/>
      <w:bookmarkStart w:id="824" w:name="_Toc437512768"/>
      <w:r w:rsidRPr="00C341FD">
        <w:rPr>
          <w:sz w:val="24"/>
          <w:szCs w:val="24"/>
        </w:rPr>
        <w:t xml:space="preserve">Poliducto </w:t>
      </w:r>
      <w:r w:rsidRPr="00686184">
        <w:rPr>
          <w:sz w:val="24"/>
          <w:szCs w:val="24"/>
        </w:rPr>
        <w:t>Cartagena – Baranoa</w:t>
      </w:r>
      <w:bookmarkEnd w:id="815"/>
      <w:bookmarkEnd w:id="816"/>
      <w:bookmarkEnd w:id="817"/>
      <w:bookmarkEnd w:id="818"/>
      <w:bookmarkEnd w:id="819"/>
      <w:bookmarkEnd w:id="820"/>
      <w:bookmarkEnd w:id="821"/>
      <w:bookmarkEnd w:id="822"/>
      <w:bookmarkEnd w:id="823"/>
      <w:bookmarkEnd w:id="824"/>
    </w:p>
    <w:p w:rsidR="00F34AF1" w:rsidRDefault="00F34AF1" w:rsidP="0083557B">
      <w:pPr>
        <w:rPr>
          <w:rFonts w:cs="Arial"/>
          <w:sz w:val="24"/>
        </w:rPr>
      </w:pPr>
    </w:p>
    <w:p w:rsidR="0083557B" w:rsidRPr="00C341FD" w:rsidRDefault="0083557B" w:rsidP="0083557B">
      <w:pPr>
        <w:rPr>
          <w:rFonts w:cs="Arial"/>
          <w:sz w:val="24"/>
        </w:rPr>
      </w:pPr>
      <w:r w:rsidRPr="00C341FD">
        <w:rPr>
          <w:rFonts w:cs="Arial"/>
          <w:sz w:val="24"/>
        </w:rPr>
        <w:t xml:space="preserve">Este sistema alimenta la ciudad de Barranquilla y su área de influencia con combustibles producidos por la refinería de Cartagena, especialmente B4, GMR, GPR, KERO, JET A1. El extremo final de poliducto se denomina “Baranoa”, y atiende dos plantas: la de Baranoa que es de propiedad de Terpel y la de Galapa  que es operada en conjunto por Chevron-Texaco y Exxon-Mobil. Este poliducto tiene un lleno de línea de 50.100 barriles. El perfil del recorrido del tubo se puede apreciar en la gráfica </w:t>
      </w:r>
      <w:r w:rsidR="00586928" w:rsidRPr="00C341FD">
        <w:rPr>
          <w:rFonts w:cs="Arial"/>
          <w:sz w:val="24"/>
        </w:rPr>
        <w:t>18</w:t>
      </w:r>
      <w:r w:rsidRPr="00C341FD">
        <w:rPr>
          <w:rFonts w:cs="Arial"/>
          <w:sz w:val="24"/>
        </w:rPr>
        <w:t xml:space="preserve">. </w:t>
      </w:r>
    </w:p>
    <w:p w:rsidR="00F42CA3" w:rsidRPr="00C341FD" w:rsidRDefault="00F42CA3" w:rsidP="0083557B">
      <w:pPr>
        <w:ind w:left="195"/>
        <w:rPr>
          <w:rFonts w:cs="Arial"/>
          <w:sz w:val="24"/>
        </w:rPr>
      </w:pPr>
    </w:p>
    <w:p w:rsidR="002864AD" w:rsidRDefault="0083557B" w:rsidP="002864AD">
      <w:pPr>
        <w:keepNext/>
        <w:contextualSpacing/>
        <w:jc w:val="center"/>
      </w:pPr>
      <w:r w:rsidRPr="004859E4">
        <w:rPr>
          <w:rFonts w:cs="Arial"/>
          <w:noProof/>
          <w:lang w:val="es-CO" w:eastAsia="es-CO"/>
        </w:rPr>
        <w:drawing>
          <wp:inline distT="0" distB="0" distL="0" distR="0" wp14:anchorId="39E3AF48" wp14:editId="6EC833D9">
            <wp:extent cx="4551529" cy="2939271"/>
            <wp:effectExtent l="0" t="0" r="1905" b="0"/>
            <wp:docPr id="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51136" cy="2939017"/>
                    </a:xfrm>
                    <a:prstGeom prst="rect">
                      <a:avLst/>
                    </a:prstGeom>
                    <a:noFill/>
                    <a:ln>
                      <a:noFill/>
                    </a:ln>
                  </pic:spPr>
                </pic:pic>
              </a:graphicData>
            </a:graphic>
          </wp:inline>
        </w:drawing>
      </w:r>
    </w:p>
    <w:p w:rsidR="0083557B" w:rsidRPr="004859E4" w:rsidRDefault="0083557B" w:rsidP="0083557B">
      <w:pPr>
        <w:pStyle w:val="Textoindependiente2"/>
        <w:spacing w:after="100" w:afterAutospacing="1" w:line="240" w:lineRule="auto"/>
        <w:contextualSpacing/>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3C25F5" w:rsidRPr="003C25F5" w:rsidRDefault="00BC557B" w:rsidP="00BC557B">
      <w:pPr>
        <w:pStyle w:val="Epgrafe"/>
      </w:pPr>
      <w:bookmarkStart w:id="825" w:name="_Ref437264319"/>
      <w:bookmarkStart w:id="826" w:name="_Toc437512854"/>
      <w:r>
        <w:t xml:space="preserve">Gráfica </w:t>
      </w:r>
      <w:r>
        <w:fldChar w:fldCharType="begin"/>
      </w:r>
      <w:r>
        <w:instrText xml:space="preserve"> SEQ Gráfica \* ARABIC </w:instrText>
      </w:r>
      <w:r>
        <w:fldChar w:fldCharType="separate"/>
      </w:r>
      <w:r w:rsidR="00625BEB">
        <w:rPr>
          <w:noProof/>
        </w:rPr>
        <w:t>17</w:t>
      </w:r>
      <w:r>
        <w:fldChar w:fldCharType="end"/>
      </w:r>
      <w:bookmarkEnd w:id="825"/>
      <w:r>
        <w:t xml:space="preserve"> </w:t>
      </w:r>
      <w:r w:rsidRPr="005D0FD8">
        <w:t>Perfil Poliducto  Cartagena – Baranoa</w:t>
      </w:r>
      <w:bookmarkEnd w:id="826"/>
    </w:p>
    <w:p w:rsidR="00F42CA3" w:rsidRDefault="00F42CA3" w:rsidP="0083557B">
      <w:pPr>
        <w:tabs>
          <w:tab w:val="decimal" w:pos="3544"/>
        </w:tabs>
        <w:rPr>
          <w:rFonts w:cs="Arial"/>
          <w:sz w:val="24"/>
        </w:rPr>
      </w:pPr>
    </w:p>
    <w:p w:rsidR="0083557B" w:rsidRDefault="0083557B" w:rsidP="0083557B">
      <w:pPr>
        <w:tabs>
          <w:tab w:val="decimal" w:pos="3544"/>
        </w:tabs>
        <w:rPr>
          <w:rFonts w:cs="Arial"/>
          <w:sz w:val="24"/>
        </w:rPr>
      </w:pPr>
      <w:r w:rsidRPr="00C341FD">
        <w:rPr>
          <w:rFonts w:cs="Arial"/>
          <w:sz w:val="24"/>
        </w:rPr>
        <w:t>Este poliducto tiene una longitud de 103,7 kilómetros y una  capacidad operacional de 30,9 kbl/día</w:t>
      </w:r>
      <w:r w:rsidRPr="00C341FD">
        <w:rPr>
          <w:rFonts w:cs="Arial"/>
          <w:sz w:val="24"/>
        </w:rPr>
        <w:tab/>
        <w:t xml:space="preserve">. El diámetro a lo largo del todo recorrido es de 12 pulgadas. La </w:t>
      </w:r>
      <w:r w:rsidR="009241D4" w:rsidRPr="00C341FD">
        <w:rPr>
          <w:rFonts w:cs="Arial"/>
          <w:sz w:val="24"/>
        </w:rPr>
        <w:fldChar w:fldCharType="begin"/>
      </w:r>
      <w:r w:rsidR="009241D4" w:rsidRPr="00C341FD">
        <w:rPr>
          <w:rFonts w:cs="Arial"/>
          <w:sz w:val="24"/>
        </w:rPr>
        <w:instrText xml:space="preserve"> REF _Ref437018526 \h </w:instrText>
      </w:r>
      <w:r w:rsidR="00C341FD">
        <w:rPr>
          <w:rFonts w:cs="Arial"/>
          <w:sz w:val="24"/>
        </w:rPr>
        <w:instrText xml:space="preserve"> \* MERGEFORMAT </w:instrText>
      </w:r>
      <w:r w:rsidR="009241D4" w:rsidRPr="00C341FD">
        <w:rPr>
          <w:rFonts w:cs="Arial"/>
          <w:sz w:val="24"/>
        </w:rPr>
      </w:r>
      <w:r w:rsidR="009241D4" w:rsidRPr="00C341FD">
        <w:rPr>
          <w:rFonts w:cs="Arial"/>
          <w:sz w:val="24"/>
        </w:rPr>
        <w:fldChar w:fldCharType="separate"/>
      </w:r>
      <w:r w:rsidR="00625BEB" w:rsidRPr="00625BEB">
        <w:rPr>
          <w:sz w:val="24"/>
        </w:rPr>
        <w:t xml:space="preserve">Tabla </w:t>
      </w:r>
      <w:r w:rsidR="00625BEB" w:rsidRPr="00625BEB">
        <w:rPr>
          <w:noProof/>
          <w:sz w:val="24"/>
        </w:rPr>
        <w:t>19</w:t>
      </w:r>
      <w:r w:rsidR="009241D4" w:rsidRPr="00C341FD">
        <w:rPr>
          <w:rFonts w:cs="Arial"/>
          <w:sz w:val="24"/>
        </w:rPr>
        <w:fldChar w:fldCharType="end"/>
      </w:r>
      <w:r w:rsidR="009241D4" w:rsidRPr="00C341FD">
        <w:rPr>
          <w:rFonts w:cs="Arial"/>
          <w:sz w:val="24"/>
        </w:rPr>
        <w:t xml:space="preserve"> </w:t>
      </w:r>
      <w:r w:rsidRPr="00C341FD">
        <w:rPr>
          <w:rFonts w:cs="Arial"/>
          <w:sz w:val="24"/>
        </w:rPr>
        <w:t>muestra las estaciones asociadas al poliducto Pozos Colorados – Galán.</w:t>
      </w:r>
    </w:p>
    <w:p w:rsidR="00F34AF1" w:rsidRPr="00C341FD" w:rsidRDefault="00F34AF1" w:rsidP="0083557B">
      <w:pPr>
        <w:tabs>
          <w:tab w:val="decimal" w:pos="3544"/>
        </w:tabs>
        <w:rPr>
          <w:rFonts w:cs="Arial"/>
          <w:sz w:val="24"/>
        </w:rPr>
      </w:pPr>
    </w:p>
    <w:tbl>
      <w:tblPr>
        <w:tblW w:w="707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780"/>
        <w:gridCol w:w="1400"/>
        <w:gridCol w:w="1206"/>
        <w:gridCol w:w="2684"/>
      </w:tblGrid>
      <w:tr w:rsidR="00F34AF1" w:rsidRPr="004859E4" w:rsidTr="00B22E6A">
        <w:trPr>
          <w:trHeight w:val="315"/>
          <w:jc w:val="center"/>
        </w:trPr>
        <w:tc>
          <w:tcPr>
            <w:tcW w:w="7070" w:type="dxa"/>
            <w:gridSpan w:val="4"/>
            <w:tcBorders>
              <w:top w:val="single" w:sz="8" w:space="0" w:color="4F81BD"/>
              <w:left w:val="single" w:sz="8" w:space="0" w:color="4F81BD"/>
              <w:bottom w:val="single" w:sz="18" w:space="0" w:color="4F81BD"/>
              <w:right w:val="single" w:sz="8" w:space="0" w:color="4F81BD"/>
            </w:tcBorders>
            <w:shd w:val="clear" w:color="auto" w:fill="auto"/>
            <w:noWrap/>
          </w:tcPr>
          <w:p w:rsidR="00F34AF1" w:rsidRPr="004859E4" w:rsidRDefault="00F34AF1" w:rsidP="00F34AF1">
            <w:pPr>
              <w:jc w:val="center"/>
              <w:rPr>
                <w:rFonts w:cs="Arial"/>
                <w:b/>
                <w:bCs/>
                <w:color w:val="000000"/>
                <w:szCs w:val="22"/>
                <w:lang w:eastAsia="es-CO"/>
              </w:rPr>
            </w:pPr>
            <w:bookmarkStart w:id="827" w:name="_Ref437018526"/>
            <w:bookmarkStart w:id="828" w:name="_Toc437512825"/>
            <w:r>
              <w:t xml:space="preserve">Tabla </w:t>
            </w:r>
            <w:r>
              <w:fldChar w:fldCharType="begin"/>
            </w:r>
            <w:r>
              <w:instrText xml:space="preserve"> SEQ Tabla \* ARABIC </w:instrText>
            </w:r>
            <w:r>
              <w:fldChar w:fldCharType="separate"/>
            </w:r>
            <w:r w:rsidR="00625BEB">
              <w:rPr>
                <w:noProof/>
              </w:rPr>
              <w:t>19</w:t>
            </w:r>
            <w:r>
              <w:fldChar w:fldCharType="end"/>
            </w:r>
            <w:bookmarkEnd w:id="827"/>
            <w:r>
              <w:rPr>
                <w:noProof/>
              </w:rPr>
              <w:t xml:space="preserve">  </w:t>
            </w:r>
            <w:r w:rsidRPr="00F0222B">
              <w:rPr>
                <w:noProof/>
              </w:rPr>
              <w:t>Estaciones poliducto Pozos Colorados – Galán</w:t>
            </w:r>
            <w:bookmarkEnd w:id="828"/>
          </w:p>
        </w:tc>
      </w:tr>
      <w:tr w:rsidR="0083557B" w:rsidRPr="004859E4" w:rsidTr="002F63E2">
        <w:trPr>
          <w:trHeight w:val="315"/>
          <w:jc w:val="center"/>
        </w:trPr>
        <w:tc>
          <w:tcPr>
            <w:tcW w:w="178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4859E4" w:rsidRDefault="0083557B" w:rsidP="002F63E2">
            <w:pPr>
              <w:rPr>
                <w:rFonts w:cs="Arial"/>
                <w:b/>
                <w:bCs/>
                <w:color w:val="000000"/>
                <w:szCs w:val="22"/>
                <w:lang w:eastAsia="es-CO"/>
              </w:rPr>
            </w:pPr>
            <w:r w:rsidRPr="004859E4">
              <w:rPr>
                <w:rFonts w:cs="Arial"/>
                <w:b/>
                <w:bCs/>
                <w:color w:val="000000"/>
                <w:szCs w:val="22"/>
              </w:rPr>
              <w:lastRenderedPageBreak/>
              <w:t>Estaciones</w:t>
            </w:r>
          </w:p>
        </w:tc>
        <w:tc>
          <w:tcPr>
            <w:tcW w:w="140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4859E4" w:rsidRDefault="0083557B" w:rsidP="002F63E2">
            <w:pPr>
              <w:rPr>
                <w:rFonts w:cs="Arial"/>
                <w:b/>
                <w:bCs/>
                <w:color w:val="000000"/>
                <w:szCs w:val="22"/>
                <w:lang w:eastAsia="es-CO"/>
              </w:rPr>
            </w:pPr>
            <w:r w:rsidRPr="004859E4">
              <w:rPr>
                <w:rFonts w:cs="Arial"/>
                <w:b/>
                <w:bCs/>
                <w:color w:val="000000"/>
                <w:szCs w:val="22"/>
                <w:lang w:eastAsia="es-CO"/>
              </w:rPr>
              <w:t>Kilómetro</w:t>
            </w:r>
          </w:p>
        </w:tc>
        <w:tc>
          <w:tcPr>
            <w:tcW w:w="1206"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4859E4" w:rsidRDefault="0083557B" w:rsidP="002F63E2">
            <w:pPr>
              <w:jc w:val="center"/>
              <w:rPr>
                <w:rFonts w:cs="Arial"/>
                <w:b/>
                <w:bCs/>
                <w:color w:val="000000"/>
                <w:szCs w:val="22"/>
                <w:lang w:eastAsia="es-CO"/>
              </w:rPr>
            </w:pPr>
            <w:r w:rsidRPr="004859E4">
              <w:rPr>
                <w:rFonts w:cs="Arial"/>
                <w:b/>
                <w:bCs/>
                <w:color w:val="000000"/>
                <w:szCs w:val="22"/>
                <w:lang w:eastAsia="es-CO"/>
              </w:rPr>
              <w:t>Tipo</w:t>
            </w:r>
          </w:p>
        </w:tc>
        <w:tc>
          <w:tcPr>
            <w:tcW w:w="2684"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4859E4" w:rsidRDefault="0083557B" w:rsidP="002F63E2">
            <w:pPr>
              <w:rPr>
                <w:rFonts w:cs="Arial"/>
                <w:b/>
                <w:bCs/>
                <w:color w:val="000000"/>
                <w:szCs w:val="22"/>
                <w:lang w:eastAsia="es-CO"/>
              </w:rPr>
            </w:pPr>
            <w:r w:rsidRPr="004859E4">
              <w:rPr>
                <w:rFonts w:cs="Arial"/>
                <w:b/>
                <w:bCs/>
                <w:color w:val="000000"/>
                <w:szCs w:val="22"/>
                <w:lang w:eastAsia="es-CO"/>
              </w:rPr>
              <w:t>Unidades de bombeo</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b/>
                <w:bCs/>
                <w:color w:val="000000"/>
                <w:szCs w:val="22"/>
                <w:lang w:eastAsia="es-CO"/>
              </w:rPr>
            </w:pPr>
            <w:r w:rsidRPr="004859E4">
              <w:rPr>
                <w:rFonts w:cs="Arial"/>
                <w:b/>
                <w:bCs/>
                <w:color w:val="000000"/>
                <w:szCs w:val="22"/>
              </w:rPr>
              <w:t>Cartagena</w:t>
            </w:r>
          </w:p>
        </w:tc>
        <w:tc>
          <w:tcPr>
            <w:tcW w:w="140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jc w:val="center"/>
              <w:rPr>
                <w:rFonts w:cs="Arial"/>
                <w:color w:val="000000"/>
                <w:szCs w:val="22"/>
                <w:lang w:eastAsia="es-CO"/>
              </w:rPr>
            </w:pPr>
            <w:r w:rsidRPr="004859E4">
              <w:rPr>
                <w:rFonts w:cs="Arial"/>
                <w:color w:val="000000"/>
                <w:szCs w:val="22"/>
                <w:lang w:eastAsia="es-CO"/>
              </w:rPr>
              <w:t>0</w:t>
            </w:r>
          </w:p>
        </w:tc>
        <w:tc>
          <w:tcPr>
            <w:tcW w:w="120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jc w:val="center"/>
              <w:rPr>
                <w:rFonts w:cs="Arial"/>
                <w:color w:val="000000"/>
                <w:szCs w:val="22"/>
                <w:lang w:eastAsia="es-CO"/>
              </w:rPr>
            </w:pPr>
            <w:r w:rsidRPr="004859E4">
              <w:rPr>
                <w:rFonts w:cs="Arial"/>
                <w:color w:val="000000"/>
                <w:szCs w:val="22"/>
                <w:lang w:eastAsia="es-CO"/>
              </w:rPr>
              <w:t>Bombeo</w:t>
            </w:r>
          </w:p>
        </w:tc>
        <w:tc>
          <w:tcPr>
            <w:tcW w:w="268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jc w:val="center"/>
              <w:rPr>
                <w:rFonts w:cs="Arial"/>
                <w:color w:val="000000"/>
                <w:szCs w:val="22"/>
                <w:lang w:eastAsia="es-CO"/>
              </w:rPr>
            </w:pPr>
            <w:r w:rsidRPr="004859E4">
              <w:rPr>
                <w:rFonts w:cs="Arial"/>
                <w:color w:val="000000"/>
                <w:szCs w:val="22"/>
                <w:lang w:eastAsia="es-CO"/>
              </w:rPr>
              <w:t>2</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rPr>
                <w:rFonts w:cs="Arial"/>
                <w:b/>
                <w:bCs/>
                <w:color w:val="000000"/>
                <w:szCs w:val="22"/>
                <w:lang w:eastAsia="es-CO"/>
              </w:rPr>
            </w:pPr>
            <w:r w:rsidRPr="004859E4">
              <w:rPr>
                <w:rFonts w:cs="Arial"/>
                <w:b/>
                <w:bCs/>
                <w:color w:val="000000"/>
                <w:szCs w:val="22"/>
              </w:rPr>
              <w:t>Baranoa</w:t>
            </w:r>
          </w:p>
        </w:tc>
        <w:tc>
          <w:tcPr>
            <w:tcW w:w="140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jc w:val="center"/>
              <w:rPr>
                <w:rFonts w:cs="Arial"/>
                <w:color w:val="000000"/>
                <w:szCs w:val="22"/>
                <w:lang w:eastAsia="es-CO"/>
              </w:rPr>
            </w:pPr>
            <w:r w:rsidRPr="004859E4">
              <w:rPr>
                <w:rFonts w:cs="Arial"/>
                <w:color w:val="000000"/>
                <w:szCs w:val="22"/>
                <w:lang w:eastAsia="es-CO"/>
              </w:rPr>
              <w:t>103,7</w:t>
            </w:r>
          </w:p>
        </w:tc>
        <w:tc>
          <w:tcPr>
            <w:tcW w:w="1206"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jc w:val="center"/>
              <w:rPr>
                <w:rFonts w:cs="Arial"/>
                <w:color w:val="000000"/>
                <w:szCs w:val="22"/>
                <w:lang w:eastAsia="es-CO"/>
              </w:rPr>
            </w:pPr>
            <w:r w:rsidRPr="004859E4">
              <w:rPr>
                <w:rFonts w:cs="Arial"/>
                <w:color w:val="000000"/>
                <w:szCs w:val="22"/>
                <w:lang w:eastAsia="es-CO"/>
              </w:rPr>
              <w:t>Recibo</w:t>
            </w:r>
          </w:p>
        </w:tc>
        <w:tc>
          <w:tcPr>
            <w:tcW w:w="2684"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jc w:val="center"/>
              <w:rPr>
                <w:rFonts w:cs="Arial"/>
                <w:color w:val="000000"/>
                <w:lang w:eastAsia="es-CO"/>
              </w:rPr>
            </w:pP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b/>
                <w:bCs/>
                <w:color w:val="000000"/>
                <w:szCs w:val="22"/>
                <w:lang w:eastAsia="es-CO"/>
              </w:rPr>
            </w:pPr>
            <w:r w:rsidRPr="004859E4">
              <w:rPr>
                <w:rFonts w:cs="Arial"/>
                <w:b/>
                <w:bCs/>
                <w:color w:val="000000"/>
                <w:szCs w:val="22"/>
              </w:rPr>
              <w:t>Galapa</w:t>
            </w:r>
          </w:p>
        </w:tc>
        <w:tc>
          <w:tcPr>
            <w:tcW w:w="140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jc w:val="center"/>
              <w:rPr>
                <w:rFonts w:cs="Arial"/>
                <w:color w:val="000000"/>
                <w:szCs w:val="22"/>
                <w:lang w:eastAsia="es-CO"/>
              </w:rPr>
            </w:pPr>
            <w:r w:rsidRPr="004859E4">
              <w:rPr>
                <w:rFonts w:cs="Arial"/>
                <w:color w:val="000000"/>
                <w:szCs w:val="22"/>
                <w:lang w:eastAsia="es-CO"/>
              </w:rPr>
              <w:t>103,7</w:t>
            </w:r>
          </w:p>
        </w:tc>
        <w:tc>
          <w:tcPr>
            <w:tcW w:w="120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jc w:val="center"/>
              <w:rPr>
                <w:rFonts w:cs="Arial"/>
                <w:color w:val="000000"/>
                <w:szCs w:val="22"/>
                <w:lang w:eastAsia="es-CO"/>
              </w:rPr>
            </w:pPr>
            <w:r w:rsidRPr="004859E4">
              <w:rPr>
                <w:rFonts w:cs="Arial"/>
                <w:color w:val="000000"/>
                <w:szCs w:val="22"/>
                <w:lang w:eastAsia="es-CO"/>
              </w:rPr>
              <w:t>Recibo</w:t>
            </w:r>
          </w:p>
        </w:tc>
        <w:tc>
          <w:tcPr>
            <w:tcW w:w="268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jc w:val="center"/>
              <w:rPr>
                <w:rFonts w:cs="Arial"/>
                <w:color w:val="000000"/>
                <w:lang w:eastAsia="es-CO"/>
              </w:rPr>
            </w:pPr>
          </w:p>
        </w:tc>
      </w:tr>
    </w:tbl>
    <w:p w:rsidR="0083557B" w:rsidRPr="004859E4" w:rsidRDefault="00F42CA3" w:rsidP="0083557B">
      <w:pPr>
        <w:contextualSpacing/>
        <w:rPr>
          <w:rFonts w:cs="Arial"/>
          <w:sz w:val="16"/>
          <w:szCs w:val="18"/>
        </w:rPr>
      </w:pPr>
      <w:r>
        <w:rPr>
          <w:rFonts w:cs="Arial"/>
          <w:sz w:val="16"/>
          <w:szCs w:val="18"/>
        </w:rPr>
        <w:t xml:space="preserve"> </w:t>
      </w:r>
      <w:r w:rsidR="0083557B" w:rsidRPr="004859E4">
        <w:rPr>
          <w:rFonts w:cs="Arial"/>
          <w:sz w:val="16"/>
          <w:szCs w:val="18"/>
        </w:rPr>
        <w:t xml:space="preserve">Fuente: </w:t>
      </w:r>
      <w:r w:rsidR="0083557B" w:rsidRPr="004859E4">
        <w:rPr>
          <w:rFonts w:cs="Arial"/>
          <w:sz w:val="16"/>
          <w:szCs w:val="16"/>
        </w:rPr>
        <w:t>E</w:t>
      </w:r>
      <w:r w:rsidR="0083557B" w:rsidRPr="004859E4">
        <w:rPr>
          <w:rFonts w:cs="Arial"/>
          <w:iCs/>
          <w:sz w:val="16"/>
          <w:szCs w:val="32"/>
        </w:rPr>
        <w:t>studio descriptivo de la cadena de distribución de combustibles líquidos derivados del petróleo.</w:t>
      </w:r>
    </w:p>
    <w:p w:rsidR="00F42CA3" w:rsidRPr="004859E4" w:rsidRDefault="00F42CA3" w:rsidP="0083557B">
      <w:pPr>
        <w:ind w:left="195"/>
        <w:rPr>
          <w:rFonts w:cs="Arial"/>
          <w:b/>
        </w:rPr>
      </w:pPr>
    </w:p>
    <w:p w:rsidR="0083557B" w:rsidRPr="00C341FD" w:rsidRDefault="0083557B" w:rsidP="00391FB3">
      <w:pPr>
        <w:pStyle w:val="Ttulo3"/>
        <w:rPr>
          <w:b w:val="0"/>
          <w:sz w:val="24"/>
          <w:szCs w:val="24"/>
        </w:rPr>
      </w:pPr>
      <w:bookmarkStart w:id="829" w:name="_Toc380057136"/>
      <w:bookmarkStart w:id="830" w:name="_Toc433295750"/>
      <w:bookmarkStart w:id="831" w:name="_Toc433296475"/>
      <w:bookmarkStart w:id="832" w:name="_Toc437500904"/>
      <w:bookmarkStart w:id="833" w:name="_Toc437501563"/>
      <w:bookmarkStart w:id="834" w:name="_Toc437501743"/>
      <w:bookmarkStart w:id="835" w:name="_Toc437501833"/>
      <w:bookmarkStart w:id="836" w:name="_Toc437502596"/>
      <w:bookmarkStart w:id="837" w:name="_Toc437505956"/>
      <w:bookmarkStart w:id="838" w:name="_Toc437512769"/>
      <w:r w:rsidRPr="00C341FD">
        <w:rPr>
          <w:sz w:val="24"/>
          <w:szCs w:val="24"/>
        </w:rPr>
        <w:t>Poliducto Buenaventura - Yumbo</w:t>
      </w:r>
      <w:bookmarkEnd w:id="829"/>
      <w:bookmarkEnd w:id="830"/>
      <w:bookmarkEnd w:id="831"/>
      <w:bookmarkEnd w:id="832"/>
      <w:bookmarkEnd w:id="833"/>
      <w:bookmarkEnd w:id="834"/>
      <w:bookmarkEnd w:id="835"/>
      <w:bookmarkEnd w:id="836"/>
      <w:bookmarkEnd w:id="837"/>
      <w:bookmarkEnd w:id="838"/>
    </w:p>
    <w:p w:rsidR="0083557B" w:rsidRPr="00C341FD" w:rsidRDefault="0083557B" w:rsidP="0083557B">
      <w:pPr>
        <w:ind w:left="195"/>
        <w:rPr>
          <w:rFonts w:cs="Arial"/>
          <w:sz w:val="24"/>
        </w:rPr>
      </w:pPr>
    </w:p>
    <w:p w:rsidR="0083557B" w:rsidRPr="00C341FD" w:rsidRDefault="0083557B" w:rsidP="0083557B">
      <w:pPr>
        <w:tabs>
          <w:tab w:val="decimal" w:pos="3544"/>
        </w:tabs>
        <w:rPr>
          <w:rFonts w:cs="Arial"/>
          <w:sz w:val="24"/>
        </w:rPr>
      </w:pPr>
      <w:r w:rsidRPr="00C341FD">
        <w:rPr>
          <w:rFonts w:cs="Arial"/>
          <w:sz w:val="24"/>
        </w:rPr>
        <w:t xml:space="preserve">Se trata de un poliducto bidireccional que permite el ingreso hacia occidente de volúmenes de combustibles traídos desde Cartagena por cabotaje y eventuales importaciones por Buenaventura o posibles exportaciones de excedentes por el pacífico. Este poliducto cuenta con un lleno de línea de 43.031 barriles. </w:t>
      </w:r>
    </w:p>
    <w:p w:rsidR="00C77B93" w:rsidRPr="00C341FD" w:rsidRDefault="00C77B93" w:rsidP="0083557B">
      <w:pPr>
        <w:tabs>
          <w:tab w:val="decimal" w:pos="3544"/>
        </w:tabs>
        <w:rPr>
          <w:rFonts w:cs="Arial"/>
          <w:sz w:val="24"/>
        </w:rPr>
      </w:pPr>
    </w:p>
    <w:p w:rsidR="002864AD" w:rsidRDefault="0083557B" w:rsidP="002864AD">
      <w:pPr>
        <w:keepNext/>
        <w:contextualSpacing/>
        <w:jc w:val="center"/>
      </w:pPr>
      <w:r w:rsidRPr="004859E4">
        <w:rPr>
          <w:rFonts w:cs="Arial"/>
          <w:noProof/>
          <w:lang w:val="es-CO" w:eastAsia="es-CO"/>
        </w:rPr>
        <w:drawing>
          <wp:inline distT="0" distB="0" distL="0" distR="0" wp14:anchorId="1179EBBE" wp14:editId="0D559EAF">
            <wp:extent cx="4458313" cy="2982036"/>
            <wp:effectExtent l="0" t="0" r="0" b="8890"/>
            <wp:docPr id="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65753" cy="2987013"/>
                    </a:xfrm>
                    <a:prstGeom prst="rect">
                      <a:avLst/>
                    </a:prstGeom>
                    <a:noFill/>
                    <a:ln>
                      <a:noFill/>
                    </a:ln>
                  </pic:spPr>
                </pic:pic>
              </a:graphicData>
            </a:graphic>
          </wp:inline>
        </w:drawing>
      </w:r>
    </w:p>
    <w:p w:rsidR="0083557B" w:rsidRDefault="0083557B" w:rsidP="0083557B">
      <w:pPr>
        <w:pStyle w:val="Textoindependiente2"/>
        <w:spacing w:after="100" w:afterAutospacing="1" w:line="240" w:lineRule="auto"/>
        <w:contextualSpacing/>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3C25F5" w:rsidRPr="003C25F5" w:rsidRDefault="00BC557B" w:rsidP="00BC557B">
      <w:pPr>
        <w:pStyle w:val="Epgrafe"/>
        <w:rPr>
          <w:rFonts w:cs="Arial"/>
        </w:rPr>
      </w:pPr>
      <w:bookmarkStart w:id="839" w:name="_Ref437018573"/>
      <w:bookmarkStart w:id="840" w:name="_Toc437512855"/>
      <w:r>
        <w:t xml:space="preserve">Gráfica </w:t>
      </w:r>
      <w:r>
        <w:fldChar w:fldCharType="begin"/>
      </w:r>
      <w:r>
        <w:instrText xml:space="preserve"> SEQ Gráfica \* ARABIC </w:instrText>
      </w:r>
      <w:r>
        <w:fldChar w:fldCharType="separate"/>
      </w:r>
      <w:r w:rsidR="00625BEB">
        <w:rPr>
          <w:noProof/>
        </w:rPr>
        <w:t>18</w:t>
      </w:r>
      <w:r>
        <w:fldChar w:fldCharType="end"/>
      </w:r>
      <w:bookmarkEnd w:id="839"/>
      <w:r>
        <w:t xml:space="preserve"> </w:t>
      </w:r>
      <w:r w:rsidRPr="00280019">
        <w:t>Perfil Poliducto Buenaventura – Yumbo</w:t>
      </w:r>
      <w:bookmarkEnd w:id="840"/>
    </w:p>
    <w:p w:rsidR="0083557B" w:rsidRPr="004859E4" w:rsidRDefault="0083557B" w:rsidP="003C25F5">
      <w:r w:rsidRPr="003C25F5">
        <w:rPr>
          <w:sz w:val="24"/>
        </w:rPr>
        <w:t xml:space="preserve">Este poliducto tiene una longitud de 102,7 kilómetros y una capacidad operativa de 22,1 kbl/día. Presenta tres diámetros asociados, del kilómetro cero al 13, presenta diámetro de 8 pulgadas, del kilómetro 13 al 97 el diámetro es de 12 pulgadas y </w:t>
      </w:r>
      <w:r w:rsidRPr="00D07D66">
        <w:rPr>
          <w:sz w:val="24"/>
        </w:rPr>
        <w:t>finaliza el recorrido con 5 kilómetros con un diámetro de 6 pulgadas (Véase</w:t>
      </w:r>
      <w:r w:rsidR="009241D4">
        <w:rPr>
          <w:sz w:val="24"/>
        </w:rPr>
        <w:t xml:space="preserve"> </w:t>
      </w:r>
      <w:r w:rsidR="009241D4">
        <w:rPr>
          <w:sz w:val="24"/>
        </w:rPr>
        <w:fldChar w:fldCharType="begin"/>
      </w:r>
      <w:r w:rsidR="009241D4">
        <w:rPr>
          <w:sz w:val="24"/>
        </w:rPr>
        <w:instrText xml:space="preserve"> REF _Ref437018573 \h </w:instrText>
      </w:r>
      <w:r w:rsidR="009241D4">
        <w:rPr>
          <w:sz w:val="24"/>
        </w:rPr>
      </w:r>
      <w:r w:rsidR="009241D4">
        <w:rPr>
          <w:sz w:val="24"/>
        </w:rPr>
        <w:fldChar w:fldCharType="separate"/>
      </w:r>
      <w:r w:rsidR="00625BEB">
        <w:t xml:space="preserve">Gráfica </w:t>
      </w:r>
      <w:r w:rsidR="00625BEB">
        <w:rPr>
          <w:noProof/>
        </w:rPr>
        <w:t>18</w:t>
      </w:r>
      <w:r w:rsidR="009241D4">
        <w:rPr>
          <w:sz w:val="24"/>
        </w:rPr>
        <w:fldChar w:fldCharType="end"/>
      </w:r>
      <w:r w:rsidRPr="00D07D66">
        <w:rPr>
          <w:sz w:val="24"/>
        </w:rPr>
        <w:t xml:space="preserve">). La </w:t>
      </w:r>
      <w:r w:rsidR="00D07D66" w:rsidRPr="00D07D66">
        <w:rPr>
          <w:sz w:val="24"/>
        </w:rPr>
        <w:fldChar w:fldCharType="begin"/>
      </w:r>
      <w:r w:rsidR="00D07D66" w:rsidRPr="00D07D66">
        <w:rPr>
          <w:sz w:val="24"/>
        </w:rPr>
        <w:instrText xml:space="preserve"> REF _Ref437015461 \h  \* MERGEFORMAT </w:instrText>
      </w:r>
      <w:r w:rsidR="00D07D66" w:rsidRPr="00D07D66">
        <w:rPr>
          <w:sz w:val="24"/>
        </w:rPr>
      </w:r>
      <w:r w:rsidR="00D07D66" w:rsidRPr="00D07D66">
        <w:rPr>
          <w:sz w:val="24"/>
        </w:rPr>
        <w:fldChar w:fldCharType="separate"/>
      </w:r>
      <w:r w:rsidR="00625BEB" w:rsidRPr="00625BEB">
        <w:rPr>
          <w:sz w:val="24"/>
        </w:rPr>
        <w:t xml:space="preserve">Tabla </w:t>
      </w:r>
      <w:r w:rsidR="00625BEB" w:rsidRPr="00625BEB">
        <w:rPr>
          <w:noProof/>
          <w:sz w:val="24"/>
        </w:rPr>
        <w:t>20</w:t>
      </w:r>
      <w:r w:rsidR="00D07D66" w:rsidRPr="00D07D66">
        <w:rPr>
          <w:sz w:val="24"/>
        </w:rPr>
        <w:fldChar w:fldCharType="end"/>
      </w:r>
      <w:r w:rsidR="00D07D66" w:rsidRPr="00D07D66">
        <w:rPr>
          <w:sz w:val="24"/>
        </w:rPr>
        <w:t xml:space="preserve"> </w:t>
      </w:r>
      <w:r w:rsidRPr="00D07D66">
        <w:rPr>
          <w:sz w:val="24"/>
        </w:rPr>
        <w:t>presenta las estaciones asociadas al poliducto Buenaventura – Yumbo.</w:t>
      </w:r>
    </w:p>
    <w:p w:rsidR="003C25F5" w:rsidRDefault="003C25F5" w:rsidP="00122B75"/>
    <w:tbl>
      <w:tblPr>
        <w:tblW w:w="7217"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810"/>
        <w:gridCol w:w="1369"/>
        <w:gridCol w:w="1330"/>
        <w:gridCol w:w="2708"/>
      </w:tblGrid>
      <w:tr w:rsidR="00F34AF1" w:rsidRPr="004859E4" w:rsidTr="00B22E6A">
        <w:trPr>
          <w:trHeight w:val="315"/>
          <w:jc w:val="center"/>
        </w:trPr>
        <w:tc>
          <w:tcPr>
            <w:tcW w:w="7217" w:type="dxa"/>
            <w:gridSpan w:val="4"/>
            <w:tcBorders>
              <w:top w:val="single" w:sz="8" w:space="0" w:color="4F81BD"/>
              <w:left w:val="single" w:sz="8" w:space="0" w:color="4F81BD"/>
              <w:bottom w:val="single" w:sz="18" w:space="0" w:color="4F81BD"/>
              <w:right w:val="single" w:sz="8" w:space="0" w:color="4F81BD"/>
            </w:tcBorders>
            <w:shd w:val="clear" w:color="auto" w:fill="auto"/>
            <w:noWrap/>
          </w:tcPr>
          <w:p w:rsidR="00F34AF1" w:rsidRPr="004859E4" w:rsidRDefault="00F34AF1" w:rsidP="00F34AF1">
            <w:pPr>
              <w:jc w:val="center"/>
              <w:rPr>
                <w:rFonts w:cs="Arial"/>
                <w:b/>
                <w:bCs/>
                <w:color w:val="000000"/>
                <w:szCs w:val="22"/>
                <w:lang w:eastAsia="es-CO"/>
              </w:rPr>
            </w:pPr>
            <w:bookmarkStart w:id="841" w:name="_Ref437015461"/>
            <w:bookmarkStart w:id="842" w:name="_Toc437512826"/>
            <w:r>
              <w:t xml:space="preserve">Tabla </w:t>
            </w:r>
            <w:r>
              <w:fldChar w:fldCharType="begin"/>
            </w:r>
            <w:r>
              <w:instrText xml:space="preserve"> SEQ Tabla \* ARABIC </w:instrText>
            </w:r>
            <w:r>
              <w:fldChar w:fldCharType="separate"/>
            </w:r>
            <w:r w:rsidR="00625BEB">
              <w:rPr>
                <w:noProof/>
              </w:rPr>
              <w:t>20</w:t>
            </w:r>
            <w:r>
              <w:fldChar w:fldCharType="end"/>
            </w:r>
            <w:bookmarkEnd w:id="841"/>
            <w:r>
              <w:rPr>
                <w:noProof/>
              </w:rPr>
              <w:t xml:space="preserve">  </w:t>
            </w:r>
            <w:r w:rsidRPr="00C5593B">
              <w:rPr>
                <w:noProof/>
              </w:rPr>
              <w:t>Estaciones poliducto Buenaventura - Yumbo</w:t>
            </w:r>
            <w:bookmarkEnd w:id="842"/>
          </w:p>
        </w:tc>
      </w:tr>
      <w:tr w:rsidR="0083557B" w:rsidRPr="004859E4" w:rsidTr="002F63E2">
        <w:trPr>
          <w:trHeight w:val="315"/>
          <w:jc w:val="center"/>
        </w:trPr>
        <w:tc>
          <w:tcPr>
            <w:tcW w:w="181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 xml:space="preserve">Estaciones: </w:t>
            </w:r>
          </w:p>
        </w:tc>
        <w:tc>
          <w:tcPr>
            <w:tcW w:w="1369"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lang w:eastAsia="es-CO"/>
              </w:rPr>
              <w:t>Kilómetro</w:t>
            </w:r>
          </w:p>
        </w:tc>
        <w:tc>
          <w:tcPr>
            <w:tcW w:w="133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lang w:eastAsia="es-CO"/>
              </w:rPr>
              <w:t>Tipo</w:t>
            </w:r>
          </w:p>
        </w:tc>
        <w:tc>
          <w:tcPr>
            <w:tcW w:w="2708"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lang w:eastAsia="es-CO"/>
              </w:rPr>
              <w:t>Unidades de bombeo</w:t>
            </w:r>
          </w:p>
        </w:tc>
      </w:tr>
      <w:tr w:rsidR="0083557B" w:rsidRPr="004859E4" w:rsidTr="002F63E2">
        <w:trPr>
          <w:trHeight w:val="315"/>
          <w:jc w:val="center"/>
        </w:trPr>
        <w:tc>
          <w:tcPr>
            <w:tcW w:w="181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rPr>
              <w:t>Buenaventura</w:t>
            </w:r>
          </w:p>
        </w:tc>
        <w:tc>
          <w:tcPr>
            <w:tcW w:w="13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0</w:t>
            </w:r>
          </w:p>
        </w:tc>
        <w:tc>
          <w:tcPr>
            <w:tcW w:w="133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Bombeo</w:t>
            </w:r>
          </w:p>
        </w:tc>
        <w:tc>
          <w:tcPr>
            <w:tcW w:w="270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2</w:t>
            </w:r>
          </w:p>
        </w:tc>
      </w:tr>
      <w:tr w:rsidR="0083557B" w:rsidRPr="004859E4" w:rsidTr="002F63E2">
        <w:trPr>
          <w:trHeight w:val="315"/>
          <w:jc w:val="center"/>
        </w:trPr>
        <w:tc>
          <w:tcPr>
            <w:tcW w:w="181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 xml:space="preserve">Dagua </w:t>
            </w:r>
          </w:p>
        </w:tc>
        <w:tc>
          <w:tcPr>
            <w:tcW w:w="1369"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67</w:t>
            </w:r>
          </w:p>
        </w:tc>
        <w:tc>
          <w:tcPr>
            <w:tcW w:w="133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Rebombeo</w:t>
            </w:r>
          </w:p>
        </w:tc>
        <w:tc>
          <w:tcPr>
            <w:tcW w:w="2708"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2</w:t>
            </w:r>
          </w:p>
        </w:tc>
      </w:tr>
      <w:tr w:rsidR="0083557B" w:rsidRPr="004859E4" w:rsidTr="00122B75">
        <w:trPr>
          <w:trHeight w:val="37"/>
          <w:jc w:val="center"/>
        </w:trPr>
        <w:tc>
          <w:tcPr>
            <w:tcW w:w="181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rPr>
              <w:t>Yumbo</w:t>
            </w:r>
          </w:p>
        </w:tc>
        <w:tc>
          <w:tcPr>
            <w:tcW w:w="13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102</w:t>
            </w:r>
          </w:p>
        </w:tc>
        <w:tc>
          <w:tcPr>
            <w:tcW w:w="133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Recibo</w:t>
            </w:r>
          </w:p>
        </w:tc>
        <w:tc>
          <w:tcPr>
            <w:tcW w:w="270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center"/>
              <w:rPr>
                <w:rFonts w:cs="Arial"/>
                <w:color w:val="000000"/>
                <w:lang w:eastAsia="es-CO"/>
              </w:rPr>
            </w:pPr>
          </w:p>
        </w:tc>
      </w:tr>
    </w:tbl>
    <w:p w:rsidR="0083557B" w:rsidRPr="004859E4" w:rsidRDefault="0083557B" w:rsidP="0083557B">
      <w:pPr>
        <w:contextualSpacing/>
        <w:rPr>
          <w:rFonts w:cs="Arial"/>
          <w:sz w:val="16"/>
          <w:szCs w:val="18"/>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F42CA3" w:rsidRPr="00F42CA3" w:rsidRDefault="00F42CA3" w:rsidP="00F34AF1">
      <w:bookmarkStart w:id="843" w:name="_Toc380057137"/>
      <w:bookmarkStart w:id="844" w:name="_Toc433295751"/>
      <w:bookmarkStart w:id="845" w:name="_Toc433296476"/>
    </w:p>
    <w:p w:rsidR="0083557B" w:rsidRPr="00F42CA3" w:rsidRDefault="0083557B" w:rsidP="00391FB3">
      <w:pPr>
        <w:pStyle w:val="Ttulo3"/>
        <w:rPr>
          <w:b w:val="0"/>
          <w:sz w:val="24"/>
          <w:szCs w:val="24"/>
        </w:rPr>
      </w:pPr>
      <w:bookmarkStart w:id="846" w:name="_Toc437500905"/>
      <w:bookmarkStart w:id="847" w:name="_Toc437501564"/>
      <w:bookmarkStart w:id="848" w:name="_Toc437501744"/>
      <w:bookmarkStart w:id="849" w:name="_Toc437501834"/>
      <w:bookmarkStart w:id="850" w:name="_Toc437502597"/>
      <w:bookmarkStart w:id="851" w:name="_Toc437505957"/>
      <w:bookmarkStart w:id="852" w:name="_Toc437512770"/>
      <w:r w:rsidRPr="00F42CA3">
        <w:rPr>
          <w:sz w:val="24"/>
          <w:szCs w:val="24"/>
        </w:rPr>
        <w:t>Poliducto Galán – Bucaramanga</w:t>
      </w:r>
      <w:bookmarkEnd w:id="843"/>
      <w:bookmarkEnd w:id="844"/>
      <w:bookmarkEnd w:id="845"/>
      <w:bookmarkEnd w:id="846"/>
      <w:bookmarkEnd w:id="847"/>
      <w:bookmarkEnd w:id="848"/>
      <w:bookmarkEnd w:id="849"/>
      <w:bookmarkEnd w:id="850"/>
      <w:bookmarkEnd w:id="851"/>
      <w:bookmarkEnd w:id="852"/>
    </w:p>
    <w:p w:rsidR="0083557B" w:rsidRPr="004859E4" w:rsidRDefault="0083557B" w:rsidP="00F34AF1">
      <w:pPr>
        <w:rPr>
          <w:lang w:val="es-ES_tradnl"/>
        </w:rPr>
      </w:pPr>
    </w:p>
    <w:p w:rsidR="0083557B" w:rsidRPr="00C341FD" w:rsidRDefault="0083557B" w:rsidP="0083557B">
      <w:pPr>
        <w:contextualSpacing/>
        <w:rPr>
          <w:rFonts w:cs="Arial"/>
          <w:sz w:val="24"/>
        </w:rPr>
      </w:pPr>
      <w:r w:rsidRPr="00C341FD">
        <w:rPr>
          <w:rFonts w:cs="Arial"/>
          <w:sz w:val="24"/>
        </w:rPr>
        <w:lastRenderedPageBreak/>
        <w:t>Poliducto dedicado al abastecimiento de parte del Magdalena Medio y el oriente del país. Este poliducto tiene un lleno de línea de 25.335 barriles, presenta tres diámetros asociados: del kilómetro cero al 40 presenta diámetro de 12 pulgadas, del kilómetro 40 al 98 el diámetro es de 6 pulgadas y finaliza el recorrido con 5 kilómetro</w:t>
      </w:r>
      <w:r w:rsidR="00754AC7" w:rsidRPr="00C341FD">
        <w:rPr>
          <w:rFonts w:cs="Arial"/>
          <w:sz w:val="24"/>
        </w:rPr>
        <w:t>s con un diámetro de 4 pulgadas.</w:t>
      </w:r>
    </w:p>
    <w:p w:rsidR="00F42CA3" w:rsidRPr="00C341FD" w:rsidRDefault="00F42CA3" w:rsidP="0083557B">
      <w:pPr>
        <w:ind w:left="195"/>
        <w:rPr>
          <w:rFonts w:cs="Arial"/>
          <w:sz w:val="24"/>
        </w:rPr>
      </w:pPr>
    </w:p>
    <w:p w:rsidR="00C90AE6" w:rsidRDefault="0083557B" w:rsidP="00C90AE6">
      <w:pPr>
        <w:keepNext/>
        <w:contextualSpacing/>
        <w:jc w:val="center"/>
      </w:pPr>
      <w:r w:rsidRPr="004859E4">
        <w:rPr>
          <w:rFonts w:cs="Arial"/>
          <w:noProof/>
          <w:lang w:val="es-CO" w:eastAsia="es-CO"/>
        </w:rPr>
        <w:drawing>
          <wp:inline distT="0" distB="0" distL="0" distR="0" wp14:anchorId="28B55E11" wp14:editId="50E67862">
            <wp:extent cx="4567390" cy="3050275"/>
            <wp:effectExtent l="0" t="0" r="5080" b="0"/>
            <wp:docPr id="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71843" cy="3053249"/>
                    </a:xfrm>
                    <a:prstGeom prst="rect">
                      <a:avLst/>
                    </a:prstGeom>
                    <a:noFill/>
                    <a:ln>
                      <a:noFill/>
                    </a:ln>
                  </pic:spPr>
                </pic:pic>
              </a:graphicData>
            </a:graphic>
          </wp:inline>
        </w:drawing>
      </w:r>
    </w:p>
    <w:p w:rsidR="0083557B"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 xml:space="preserve">studio descriptivo de las actividades de la cadena de distribución de combustibles líquidos. </w:t>
      </w:r>
    </w:p>
    <w:p w:rsidR="00BC557B" w:rsidRPr="00BC557B" w:rsidRDefault="00BC557B" w:rsidP="00BC557B">
      <w:pPr>
        <w:pStyle w:val="Epgrafe"/>
      </w:pPr>
      <w:bookmarkStart w:id="853" w:name="_Toc437512856"/>
      <w:r>
        <w:t xml:space="preserve">Gráfica </w:t>
      </w:r>
      <w:r>
        <w:fldChar w:fldCharType="begin"/>
      </w:r>
      <w:r>
        <w:instrText xml:space="preserve"> SEQ Gráfica \* ARABIC </w:instrText>
      </w:r>
      <w:r>
        <w:fldChar w:fldCharType="separate"/>
      </w:r>
      <w:r w:rsidR="00625BEB">
        <w:rPr>
          <w:noProof/>
        </w:rPr>
        <w:t>19</w:t>
      </w:r>
      <w:r>
        <w:fldChar w:fldCharType="end"/>
      </w:r>
      <w:r>
        <w:rPr>
          <w:noProof/>
        </w:rPr>
        <w:t xml:space="preserve"> </w:t>
      </w:r>
      <w:r w:rsidRPr="006D7B10">
        <w:rPr>
          <w:noProof/>
        </w:rPr>
        <w:t>Perfil Poliducto Galán Bucaramanga</w:t>
      </w:r>
      <w:bookmarkEnd w:id="853"/>
    </w:p>
    <w:p w:rsidR="0083557B" w:rsidRDefault="0083557B" w:rsidP="0083557B">
      <w:pPr>
        <w:tabs>
          <w:tab w:val="decimal" w:pos="3544"/>
        </w:tabs>
        <w:rPr>
          <w:rFonts w:cs="Arial"/>
          <w:sz w:val="24"/>
        </w:rPr>
      </w:pPr>
      <w:r w:rsidRPr="000331D2">
        <w:rPr>
          <w:rFonts w:cs="Arial"/>
          <w:sz w:val="24"/>
        </w:rPr>
        <w:t>El poliducto Galán – Bucaramanga tiene una longitud de 96,9 kilómetros y una capacida</w:t>
      </w:r>
      <w:r w:rsidR="00F34AF1">
        <w:rPr>
          <w:rFonts w:cs="Arial"/>
          <w:sz w:val="24"/>
        </w:rPr>
        <w:t xml:space="preserve">d operacional de 25,3 kbl/día. </w:t>
      </w:r>
    </w:p>
    <w:p w:rsidR="00F34AF1" w:rsidRPr="000331D2" w:rsidRDefault="00F34AF1" w:rsidP="0083557B">
      <w:pPr>
        <w:tabs>
          <w:tab w:val="decimal" w:pos="3544"/>
        </w:tabs>
        <w:rPr>
          <w:rFonts w:cs="Arial"/>
          <w:sz w:val="24"/>
        </w:rPr>
      </w:pPr>
    </w:p>
    <w:tbl>
      <w:tblPr>
        <w:tblW w:w="783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961"/>
        <w:gridCol w:w="1369"/>
        <w:gridCol w:w="1861"/>
        <w:gridCol w:w="2639"/>
      </w:tblGrid>
      <w:tr w:rsidR="00F34AF1" w:rsidRPr="004859E4" w:rsidTr="00F34AF1">
        <w:trPr>
          <w:trHeight w:val="315"/>
          <w:tblHeader/>
          <w:jc w:val="center"/>
        </w:trPr>
        <w:tc>
          <w:tcPr>
            <w:tcW w:w="7830" w:type="dxa"/>
            <w:gridSpan w:val="4"/>
            <w:tcBorders>
              <w:top w:val="single" w:sz="8" w:space="0" w:color="4F81BD"/>
              <w:left w:val="single" w:sz="8" w:space="0" w:color="4F81BD"/>
              <w:bottom w:val="single" w:sz="18" w:space="0" w:color="4F81BD"/>
              <w:right w:val="single" w:sz="8" w:space="0" w:color="4F81BD"/>
            </w:tcBorders>
            <w:shd w:val="clear" w:color="auto" w:fill="auto"/>
            <w:noWrap/>
          </w:tcPr>
          <w:p w:rsidR="00F34AF1" w:rsidRPr="004859E4" w:rsidRDefault="0083557B" w:rsidP="00F34AF1">
            <w:pPr>
              <w:jc w:val="center"/>
              <w:rPr>
                <w:rFonts w:cs="Arial"/>
                <w:b/>
                <w:bCs/>
                <w:color w:val="000000"/>
                <w:szCs w:val="22"/>
                <w:lang w:eastAsia="es-CO"/>
              </w:rPr>
            </w:pPr>
            <w:bookmarkStart w:id="854" w:name="_Toc433276724"/>
            <w:bookmarkStart w:id="855" w:name="_Toc433295810"/>
            <w:bookmarkStart w:id="856" w:name="_Toc433296412"/>
            <w:r w:rsidRPr="004859E4">
              <w:t xml:space="preserve"> </w:t>
            </w:r>
            <w:bookmarkStart w:id="857" w:name="_Toc437512827"/>
            <w:bookmarkEnd w:id="854"/>
            <w:bookmarkEnd w:id="855"/>
            <w:bookmarkEnd w:id="856"/>
            <w:r w:rsidR="00F34AF1">
              <w:t xml:space="preserve">Tabla </w:t>
            </w:r>
            <w:r w:rsidR="00F34AF1">
              <w:fldChar w:fldCharType="begin"/>
            </w:r>
            <w:r w:rsidR="00F34AF1">
              <w:instrText xml:space="preserve"> SEQ Tabla \* ARABIC </w:instrText>
            </w:r>
            <w:r w:rsidR="00F34AF1">
              <w:fldChar w:fldCharType="separate"/>
            </w:r>
            <w:r w:rsidR="00625BEB">
              <w:rPr>
                <w:noProof/>
              </w:rPr>
              <w:t>21</w:t>
            </w:r>
            <w:r w:rsidR="00F34AF1">
              <w:fldChar w:fldCharType="end"/>
            </w:r>
            <w:r w:rsidR="00F34AF1">
              <w:rPr>
                <w:noProof/>
              </w:rPr>
              <w:t xml:space="preserve">  </w:t>
            </w:r>
            <w:r w:rsidR="00F34AF1" w:rsidRPr="00A73D0B">
              <w:rPr>
                <w:noProof/>
              </w:rPr>
              <w:t>Estaciones poliducto Galán - Bucaramanga</w:t>
            </w:r>
            <w:bookmarkEnd w:id="857"/>
          </w:p>
        </w:tc>
      </w:tr>
      <w:tr w:rsidR="0083557B" w:rsidRPr="004859E4" w:rsidTr="00F34AF1">
        <w:trPr>
          <w:trHeight w:val="315"/>
          <w:tblHeader/>
          <w:jc w:val="center"/>
        </w:trPr>
        <w:tc>
          <w:tcPr>
            <w:tcW w:w="1961"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 xml:space="preserve">Estaciones </w:t>
            </w:r>
          </w:p>
        </w:tc>
        <w:tc>
          <w:tcPr>
            <w:tcW w:w="1369"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lang w:eastAsia="es-CO"/>
              </w:rPr>
              <w:t>Kilómetro</w:t>
            </w:r>
          </w:p>
        </w:tc>
        <w:tc>
          <w:tcPr>
            <w:tcW w:w="1861"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lang w:eastAsia="es-CO"/>
              </w:rPr>
              <w:t>Tipo</w:t>
            </w:r>
          </w:p>
        </w:tc>
        <w:tc>
          <w:tcPr>
            <w:tcW w:w="2639"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lang w:eastAsia="es-CO"/>
              </w:rPr>
              <w:t>Unidades de bombeo</w:t>
            </w:r>
          </w:p>
        </w:tc>
      </w:tr>
      <w:tr w:rsidR="0083557B" w:rsidRPr="004859E4" w:rsidTr="002F63E2">
        <w:trPr>
          <w:trHeight w:val="315"/>
          <w:jc w:val="center"/>
        </w:trPr>
        <w:tc>
          <w:tcPr>
            <w:tcW w:w="196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rPr>
              <w:t>Galán</w:t>
            </w:r>
          </w:p>
        </w:tc>
        <w:tc>
          <w:tcPr>
            <w:tcW w:w="13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0</w:t>
            </w:r>
          </w:p>
        </w:tc>
        <w:tc>
          <w:tcPr>
            <w:tcW w:w="186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Bombeo</w:t>
            </w:r>
          </w:p>
        </w:tc>
        <w:tc>
          <w:tcPr>
            <w:tcW w:w="263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D07D66">
            <w:pPr>
              <w:jc w:val="center"/>
              <w:rPr>
                <w:rFonts w:cs="Arial"/>
                <w:color w:val="000000"/>
                <w:szCs w:val="22"/>
                <w:lang w:eastAsia="es-CO"/>
              </w:rPr>
            </w:pPr>
            <w:r w:rsidRPr="00122B75">
              <w:rPr>
                <w:rFonts w:cs="Arial"/>
                <w:color w:val="000000"/>
                <w:szCs w:val="22"/>
                <w:lang w:eastAsia="es-CO"/>
              </w:rPr>
              <w:t>2</w:t>
            </w:r>
          </w:p>
        </w:tc>
      </w:tr>
      <w:tr w:rsidR="0083557B" w:rsidRPr="004859E4" w:rsidTr="002F63E2">
        <w:trPr>
          <w:trHeight w:val="315"/>
          <w:jc w:val="center"/>
        </w:trPr>
        <w:tc>
          <w:tcPr>
            <w:tcW w:w="1961"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 xml:space="preserve">Lisama </w:t>
            </w:r>
          </w:p>
        </w:tc>
        <w:tc>
          <w:tcPr>
            <w:tcW w:w="1369"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41</w:t>
            </w:r>
          </w:p>
        </w:tc>
        <w:tc>
          <w:tcPr>
            <w:tcW w:w="1861"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Recibo al paso</w:t>
            </w:r>
          </w:p>
        </w:tc>
        <w:tc>
          <w:tcPr>
            <w:tcW w:w="2639" w:type="dxa"/>
            <w:tcBorders>
              <w:top w:val="single" w:sz="8" w:space="0" w:color="4F81BD"/>
              <w:left w:val="single" w:sz="8" w:space="0" w:color="4F81BD"/>
              <w:bottom w:val="single" w:sz="8" w:space="0" w:color="4F81BD"/>
              <w:right w:val="single" w:sz="8" w:space="0" w:color="4F81BD"/>
            </w:tcBorders>
            <w:shd w:val="clear" w:color="auto" w:fill="auto"/>
          </w:tcPr>
          <w:p w:rsidR="0083557B" w:rsidRPr="00122B75" w:rsidRDefault="0083557B" w:rsidP="002F63E2">
            <w:pPr>
              <w:jc w:val="center"/>
              <w:rPr>
                <w:rFonts w:cs="Arial"/>
                <w:color w:val="000000"/>
                <w:szCs w:val="22"/>
                <w:lang w:eastAsia="es-CO"/>
              </w:rPr>
            </w:pPr>
          </w:p>
        </w:tc>
      </w:tr>
      <w:tr w:rsidR="0083557B" w:rsidRPr="004859E4" w:rsidTr="002F63E2">
        <w:trPr>
          <w:trHeight w:val="315"/>
          <w:jc w:val="center"/>
        </w:trPr>
        <w:tc>
          <w:tcPr>
            <w:tcW w:w="196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rPr>
              <w:t xml:space="preserve">Río Sogamoso </w:t>
            </w:r>
          </w:p>
        </w:tc>
        <w:tc>
          <w:tcPr>
            <w:tcW w:w="13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51</w:t>
            </w:r>
          </w:p>
        </w:tc>
        <w:tc>
          <w:tcPr>
            <w:tcW w:w="186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Recibo al paso</w:t>
            </w:r>
          </w:p>
        </w:tc>
        <w:tc>
          <w:tcPr>
            <w:tcW w:w="2639" w:type="dxa"/>
            <w:tcBorders>
              <w:top w:val="single" w:sz="8" w:space="0" w:color="4F81BD"/>
              <w:left w:val="single" w:sz="8" w:space="0" w:color="4F81BD"/>
              <w:bottom w:val="single" w:sz="8" w:space="0" w:color="4F81BD"/>
              <w:right w:val="single" w:sz="8" w:space="0" w:color="4F81BD"/>
            </w:tcBorders>
            <w:shd w:val="clear" w:color="auto" w:fill="D3DFEE"/>
          </w:tcPr>
          <w:p w:rsidR="0083557B" w:rsidRPr="00122B75" w:rsidRDefault="0083557B" w:rsidP="002F63E2">
            <w:pPr>
              <w:jc w:val="center"/>
              <w:rPr>
                <w:rFonts w:cs="Arial"/>
                <w:color w:val="000000"/>
                <w:szCs w:val="22"/>
                <w:lang w:eastAsia="es-CO"/>
              </w:rPr>
            </w:pPr>
          </w:p>
        </w:tc>
      </w:tr>
      <w:tr w:rsidR="0083557B" w:rsidRPr="004859E4" w:rsidTr="002F63E2">
        <w:trPr>
          <w:trHeight w:val="315"/>
          <w:jc w:val="center"/>
        </w:trPr>
        <w:tc>
          <w:tcPr>
            <w:tcW w:w="1961"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Bucaramanga</w:t>
            </w:r>
          </w:p>
        </w:tc>
        <w:tc>
          <w:tcPr>
            <w:tcW w:w="1369"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97</w:t>
            </w:r>
          </w:p>
        </w:tc>
        <w:tc>
          <w:tcPr>
            <w:tcW w:w="1861"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Recibo</w:t>
            </w:r>
          </w:p>
        </w:tc>
        <w:tc>
          <w:tcPr>
            <w:tcW w:w="2639"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jc w:val="center"/>
              <w:rPr>
                <w:rFonts w:cs="Arial"/>
                <w:color w:val="000000"/>
                <w:lang w:eastAsia="es-CO"/>
              </w:rPr>
            </w:pPr>
          </w:p>
        </w:tc>
      </w:tr>
    </w:tbl>
    <w:p w:rsidR="0083557B" w:rsidRDefault="0083557B" w:rsidP="0083557B">
      <w:pPr>
        <w:contextualSpacing/>
        <w:rPr>
          <w:rFonts w:cs="Arial"/>
          <w:iCs/>
          <w:sz w:val="16"/>
          <w:szCs w:val="32"/>
        </w:rPr>
      </w:pPr>
      <w:bookmarkStart w:id="858" w:name="_Toc380057138"/>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F42CA3" w:rsidRPr="00F42CA3" w:rsidRDefault="00F42CA3" w:rsidP="00F34AF1">
      <w:pPr>
        <w:rPr>
          <w:lang w:val="es-ES_tradnl"/>
        </w:rPr>
      </w:pPr>
      <w:bookmarkStart w:id="859" w:name="_Toc433295752"/>
      <w:bookmarkStart w:id="860" w:name="_Toc433296477"/>
    </w:p>
    <w:p w:rsidR="0083557B" w:rsidRPr="00F42CA3" w:rsidRDefault="0083557B" w:rsidP="00391FB3">
      <w:pPr>
        <w:pStyle w:val="Ttulo3"/>
        <w:rPr>
          <w:b w:val="0"/>
          <w:sz w:val="24"/>
          <w:szCs w:val="24"/>
        </w:rPr>
      </w:pPr>
      <w:bookmarkStart w:id="861" w:name="_Toc437500906"/>
      <w:bookmarkStart w:id="862" w:name="_Toc437501565"/>
      <w:bookmarkStart w:id="863" w:name="_Toc437501745"/>
      <w:bookmarkStart w:id="864" w:name="_Toc437501835"/>
      <w:bookmarkStart w:id="865" w:name="_Toc437502598"/>
      <w:bookmarkStart w:id="866" w:name="_Toc437505958"/>
      <w:bookmarkStart w:id="867" w:name="_Toc437512771"/>
      <w:r w:rsidRPr="00F42CA3">
        <w:rPr>
          <w:sz w:val="24"/>
          <w:szCs w:val="24"/>
        </w:rPr>
        <w:t>Sistema Galán - Sebastopol</w:t>
      </w:r>
      <w:bookmarkEnd w:id="858"/>
      <w:bookmarkEnd w:id="859"/>
      <w:bookmarkEnd w:id="860"/>
      <w:bookmarkEnd w:id="861"/>
      <w:bookmarkEnd w:id="862"/>
      <w:bookmarkEnd w:id="863"/>
      <w:bookmarkEnd w:id="864"/>
      <w:bookmarkEnd w:id="865"/>
      <w:bookmarkEnd w:id="866"/>
      <w:bookmarkEnd w:id="867"/>
    </w:p>
    <w:p w:rsidR="0083557B" w:rsidRPr="004859E4" w:rsidRDefault="0083557B" w:rsidP="0083557B">
      <w:pPr>
        <w:ind w:left="195"/>
        <w:rPr>
          <w:rFonts w:cs="Arial"/>
        </w:rPr>
      </w:pPr>
    </w:p>
    <w:p w:rsidR="0083557B" w:rsidRDefault="0083557B" w:rsidP="0083557B">
      <w:pPr>
        <w:rPr>
          <w:rFonts w:cs="Arial"/>
          <w:sz w:val="24"/>
        </w:rPr>
      </w:pPr>
      <w:r w:rsidRPr="000331D2">
        <w:rPr>
          <w:rFonts w:cs="Arial"/>
          <w:sz w:val="24"/>
        </w:rPr>
        <w:t xml:space="preserve">Este sistema constituye la troncal de transporte de combustibles hacia el interior del país. Está compuesta de 2 líneas paralelas e independientes en toda su longitud: la línea de 16" y la línea de 12" destinadas para el envío de combustibles al centro, occidente y sur del país. La </w:t>
      </w:r>
      <w:r w:rsidR="009241D4" w:rsidRPr="000331D2">
        <w:rPr>
          <w:rFonts w:cs="Arial"/>
          <w:sz w:val="24"/>
        </w:rPr>
        <w:fldChar w:fldCharType="begin"/>
      </w:r>
      <w:r w:rsidR="009241D4" w:rsidRPr="000331D2">
        <w:rPr>
          <w:rFonts w:cs="Arial"/>
          <w:sz w:val="24"/>
        </w:rPr>
        <w:instrText xml:space="preserve"> REF _Ref437018618 \h </w:instrText>
      </w:r>
      <w:r w:rsidR="000331D2">
        <w:rPr>
          <w:rFonts w:cs="Arial"/>
          <w:sz w:val="24"/>
        </w:rPr>
        <w:instrText xml:space="preserve"> \* MERGEFORMAT </w:instrText>
      </w:r>
      <w:r w:rsidR="009241D4" w:rsidRPr="000331D2">
        <w:rPr>
          <w:rFonts w:cs="Arial"/>
          <w:sz w:val="24"/>
        </w:rPr>
      </w:r>
      <w:r w:rsidR="009241D4" w:rsidRPr="000331D2">
        <w:rPr>
          <w:rFonts w:cs="Arial"/>
          <w:sz w:val="24"/>
        </w:rPr>
        <w:fldChar w:fldCharType="separate"/>
      </w:r>
      <w:r w:rsidR="00625BEB" w:rsidRPr="00625BEB">
        <w:rPr>
          <w:sz w:val="24"/>
        </w:rPr>
        <w:t xml:space="preserve">Gráfica </w:t>
      </w:r>
      <w:r w:rsidR="00625BEB" w:rsidRPr="00625BEB">
        <w:rPr>
          <w:noProof/>
          <w:sz w:val="24"/>
        </w:rPr>
        <w:t>20</w:t>
      </w:r>
      <w:r w:rsidR="009241D4" w:rsidRPr="000331D2">
        <w:rPr>
          <w:rFonts w:cs="Arial"/>
          <w:sz w:val="24"/>
        </w:rPr>
        <w:fldChar w:fldCharType="end"/>
      </w:r>
      <w:r w:rsidR="009241D4" w:rsidRPr="000331D2">
        <w:rPr>
          <w:rFonts w:cs="Arial"/>
          <w:sz w:val="24"/>
        </w:rPr>
        <w:t xml:space="preserve"> </w:t>
      </w:r>
      <w:r w:rsidRPr="000331D2">
        <w:rPr>
          <w:rFonts w:cs="Arial"/>
          <w:sz w:val="24"/>
        </w:rPr>
        <w:t>muestra el perfil del Sistema Galán – Sebastopol.</w:t>
      </w:r>
    </w:p>
    <w:p w:rsidR="00932398" w:rsidRDefault="00932398" w:rsidP="0083557B">
      <w:pPr>
        <w:rPr>
          <w:rFonts w:cs="Arial"/>
          <w:sz w:val="24"/>
        </w:rPr>
      </w:pPr>
    </w:p>
    <w:p w:rsidR="00F42CA3" w:rsidRDefault="00F42CA3" w:rsidP="0083557B">
      <w:pPr>
        <w:rPr>
          <w:rFonts w:cs="Arial"/>
          <w:sz w:val="24"/>
        </w:rPr>
      </w:pPr>
    </w:p>
    <w:p w:rsidR="00C90AE6" w:rsidRDefault="0083557B" w:rsidP="00C90AE6">
      <w:pPr>
        <w:keepNext/>
        <w:ind w:left="195"/>
        <w:contextualSpacing/>
        <w:jc w:val="center"/>
      </w:pPr>
      <w:r w:rsidRPr="004859E4">
        <w:rPr>
          <w:rFonts w:cs="Arial"/>
          <w:noProof/>
          <w:lang w:val="es-CO" w:eastAsia="es-CO"/>
        </w:rPr>
        <w:lastRenderedPageBreak/>
        <w:drawing>
          <wp:inline distT="0" distB="0" distL="0" distR="0" wp14:anchorId="34A52902" wp14:editId="3F2310A9">
            <wp:extent cx="3719014" cy="2460509"/>
            <wp:effectExtent l="0" t="0" r="0" b="0"/>
            <wp:docPr id="8"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47858" cy="2479592"/>
                    </a:xfrm>
                    <a:prstGeom prst="rect">
                      <a:avLst/>
                    </a:prstGeom>
                    <a:noFill/>
                    <a:ln>
                      <a:noFill/>
                    </a:ln>
                  </pic:spPr>
                </pic:pic>
              </a:graphicData>
            </a:graphic>
          </wp:inline>
        </w:drawing>
      </w:r>
    </w:p>
    <w:p w:rsidR="0083557B" w:rsidRDefault="0083557B" w:rsidP="0083557B">
      <w:pPr>
        <w:pStyle w:val="Epgrafe"/>
        <w:spacing w:line="240" w:lineRule="auto"/>
        <w:contextualSpacing/>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 xml:space="preserve">studio descriptivo de las actividades de la cadena de distribución de combustibles líquidos. </w:t>
      </w:r>
    </w:p>
    <w:p w:rsidR="00C90AE6" w:rsidRPr="00C90AE6" w:rsidRDefault="00BC557B" w:rsidP="00BC557B">
      <w:pPr>
        <w:pStyle w:val="Epgrafe"/>
      </w:pPr>
      <w:bookmarkStart w:id="868" w:name="_Ref437018618"/>
      <w:bookmarkStart w:id="869" w:name="_Toc437512857"/>
      <w:r>
        <w:t xml:space="preserve">Gráfica </w:t>
      </w:r>
      <w:r>
        <w:fldChar w:fldCharType="begin"/>
      </w:r>
      <w:r>
        <w:instrText xml:space="preserve"> SEQ Gráfica \* ARABIC </w:instrText>
      </w:r>
      <w:r>
        <w:fldChar w:fldCharType="separate"/>
      </w:r>
      <w:r w:rsidR="00625BEB">
        <w:rPr>
          <w:noProof/>
        </w:rPr>
        <w:t>20</w:t>
      </w:r>
      <w:r>
        <w:fldChar w:fldCharType="end"/>
      </w:r>
      <w:bookmarkEnd w:id="868"/>
      <w:r>
        <w:t xml:space="preserve"> </w:t>
      </w:r>
      <w:r w:rsidRPr="006A2333">
        <w:t>Perfil Sistema Galán – Sebastopol</w:t>
      </w:r>
      <w:bookmarkEnd w:id="869"/>
    </w:p>
    <w:p w:rsidR="00F42CA3" w:rsidRDefault="00F42CA3" w:rsidP="0083557B">
      <w:pPr>
        <w:contextualSpacing/>
        <w:rPr>
          <w:rFonts w:cs="Arial"/>
          <w:sz w:val="24"/>
        </w:rPr>
      </w:pPr>
    </w:p>
    <w:p w:rsidR="0083557B" w:rsidRDefault="0083557B" w:rsidP="0083557B">
      <w:pPr>
        <w:contextualSpacing/>
        <w:rPr>
          <w:rFonts w:cs="Arial"/>
          <w:sz w:val="24"/>
        </w:rPr>
      </w:pPr>
      <w:r w:rsidRPr="000331D2">
        <w:rPr>
          <w:rFonts w:cs="Arial"/>
          <w:sz w:val="24"/>
        </w:rPr>
        <w:t xml:space="preserve">La línea de 16 pulgadas tienen una longitud de 114,3 kilómetros y una capacidad operacional de 142,6 kbl/día. La línea de 12 pulgadas mide </w:t>
      </w:r>
      <w:r w:rsidRPr="00686184">
        <w:rPr>
          <w:rFonts w:cs="Arial"/>
          <w:sz w:val="24"/>
        </w:rPr>
        <w:t xml:space="preserve">116,23 kilómetros y cuenta con una capacidad operacional de 57,7 kbl/día. La </w:t>
      </w:r>
      <w:r w:rsidR="00686184" w:rsidRPr="00686184">
        <w:rPr>
          <w:rFonts w:cs="Arial"/>
          <w:sz w:val="24"/>
        </w:rPr>
        <w:fldChar w:fldCharType="begin"/>
      </w:r>
      <w:r w:rsidR="00686184" w:rsidRPr="00686184">
        <w:rPr>
          <w:rFonts w:cs="Arial"/>
          <w:sz w:val="24"/>
        </w:rPr>
        <w:instrText xml:space="preserve"> REF _Ref437015452 \h </w:instrText>
      </w:r>
      <w:r w:rsidR="00686184">
        <w:rPr>
          <w:rFonts w:cs="Arial"/>
          <w:sz w:val="24"/>
        </w:rPr>
        <w:instrText xml:space="preserve"> \* MERGEFORMAT </w:instrText>
      </w:r>
      <w:r w:rsidR="00686184" w:rsidRPr="00686184">
        <w:rPr>
          <w:rFonts w:cs="Arial"/>
          <w:sz w:val="24"/>
        </w:rPr>
      </w:r>
      <w:r w:rsidR="00686184" w:rsidRPr="00686184">
        <w:rPr>
          <w:rFonts w:cs="Arial"/>
          <w:sz w:val="24"/>
        </w:rPr>
        <w:fldChar w:fldCharType="separate"/>
      </w:r>
      <w:r w:rsidR="00625BEB" w:rsidRPr="00625BEB">
        <w:rPr>
          <w:sz w:val="24"/>
        </w:rPr>
        <w:t xml:space="preserve">Tabla </w:t>
      </w:r>
      <w:r w:rsidR="00625BEB" w:rsidRPr="00625BEB">
        <w:rPr>
          <w:noProof/>
          <w:sz w:val="24"/>
        </w:rPr>
        <w:t>22</w:t>
      </w:r>
      <w:r w:rsidR="00686184" w:rsidRPr="00686184">
        <w:rPr>
          <w:rFonts w:cs="Arial"/>
          <w:sz w:val="24"/>
        </w:rPr>
        <w:fldChar w:fldCharType="end"/>
      </w:r>
      <w:r w:rsidR="00686184" w:rsidRPr="00686184">
        <w:rPr>
          <w:rFonts w:cs="Arial"/>
          <w:sz w:val="24"/>
        </w:rPr>
        <w:t xml:space="preserve"> </w:t>
      </w:r>
      <w:r w:rsidRPr="00686184">
        <w:rPr>
          <w:rFonts w:cs="Arial"/>
          <w:sz w:val="24"/>
        </w:rPr>
        <w:t>presenta las e</w:t>
      </w:r>
      <w:r w:rsidR="00D07D66" w:rsidRPr="00686184">
        <w:rPr>
          <w:rFonts w:cs="Arial"/>
          <w:sz w:val="24"/>
        </w:rPr>
        <w:t>staciones asociadas al Sistema G</w:t>
      </w:r>
      <w:r w:rsidRPr="00686184">
        <w:rPr>
          <w:rFonts w:cs="Arial"/>
          <w:sz w:val="24"/>
        </w:rPr>
        <w:t>alán – Sebastopol.</w:t>
      </w:r>
    </w:p>
    <w:p w:rsidR="00F34AF1" w:rsidRPr="00686184" w:rsidRDefault="00F34AF1" w:rsidP="0083557B">
      <w:pPr>
        <w:contextualSpacing/>
        <w:rPr>
          <w:rFonts w:cs="Arial"/>
          <w:sz w:val="24"/>
        </w:rPr>
      </w:pPr>
    </w:p>
    <w:tbl>
      <w:tblPr>
        <w:tblW w:w="7183"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780"/>
        <w:gridCol w:w="1369"/>
        <w:gridCol w:w="1320"/>
        <w:gridCol w:w="2714"/>
      </w:tblGrid>
      <w:tr w:rsidR="00F34AF1" w:rsidRPr="004859E4" w:rsidTr="00B22E6A">
        <w:trPr>
          <w:trHeight w:val="315"/>
          <w:jc w:val="center"/>
        </w:trPr>
        <w:tc>
          <w:tcPr>
            <w:tcW w:w="7183" w:type="dxa"/>
            <w:gridSpan w:val="4"/>
            <w:tcBorders>
              <w:top w:val="single" w:sz="8" w:space="0" w:color="4F81BD"/>
              <w:left w:val="single" w:sz="8" w:space="0" w:color="4F81BD"/>
              <w:bottom w:val="single" w:sz="18" w:space="0" w:color="4F81BD"/>
              <w:right w:val="single" w:sz="8" w:space="0" w:color="4F81BD"/>
            </w:tcBorders>
            <w:shd w:val="clear" w:color="auto" w:fill="auto"/>
            <w:noWrap/>
          </w:tcPr>
          <w:p w:rsidR="00F34AF1" w:rsidRPr="004859E4" w:rsidRDefault="00F34AF1" w:rsidP="00F34AF1">
            <w:pPr>
              <w:jc w:val="center"/>
              <w:rPr>
                <w:rFonts w:cs="Arial"/>
                <w:b/>
                <w:bCs/>
                <w:color w:val="000000"/>
                <w:szCs w:val="22"/>
                <w:lang w:eastAsia="es-CO"/>
              </w:rPr>
            </w:pPr>
            <w:bookmarkStart w:id="870" w:name="_Ref437015452"/>
            <w:bookmarkStart w:id="871" w:name="_Toc437512828"/>
            <w:r>
              <w:t xml:space="preserve">Tabla </w:t>
            </w:r>
            <w:r>
              <w:fldChar w:fldCharType="begin"/>
            </w:r>
            <w:r>
              <w:instrText xml:space="preserve"> SEQ Tabla \* ARABIC </w:instrText>
            </w:r>
            <w:r>
              <w:fldChar w:fldCharType="separate"/>
            </w:r>
            <w:r w:rsidR="00625BEB">
              <w:rPr>
                <w:noProof/>
              </w:rPr>
              <w:t>22</w:t>
            </w:r>
            <w:r>
              <w:fldChar w:fldCharType="end"/>
            </w:r>
            <w:bookmarkEnd w:id="870"/>
            <w:r>
              <w:t xml:space="preserve"> </w:t>
            </w:r>
            <w:r w:rsidRPr="00BD01FE">
              <w:t xml:space="preserve">Estaciones Sistema Galán - </w:t>
            </w:r>
            <w:r>
              <w:t>Sebastopol</w:t>
            </w:r>
            <w:bookmarkEnd w:id="871"/>
          </w:p>
        </w:tc>
      </w:tr>
      <w:tr w:rsidR="0083557B" w:rsidRPr="004859E4" w:rsidTr="002F63E2">
        <w:trPr>
          <w:trHeight w:val="315"/>
          <w:jc w:val="center"/>
        </w:trPr>
        <w:tc>
          <w:tcPr>
            <w:tcW w:w="178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 xml:space="preserve">Estaciones </w:t>
            </w:r>
          </w:p>
        </w:tc>
        <w:tc>
          <w:tcPr>
            <w:tcW w:w="1369"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lang w:eastAsia="es-CO"/>
              </w:rPr>
              <w:t>Kilómetro</w:t>
            </w:r>
          </w:p>
        </w:tc>
        <w:tc>
          <w:tcPr>
            <w:tcW w:w="132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lang w:eastAsia="es-CO"/>
              </w:rPr>
              <w:t>Tipo</w:t>
            </w:r>
          </w:p>
        </w:tc>
        <w:tc>
          <w:tcPr>
            <w:tcW w:w="2714"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lang w:eastAsia="es-CO"/>
              </w:rPr>
              <w:t>Unidades de bombeo</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rPr>
              <w:t>Galán</w:t>
            </w:r>
          </w:p>
        </w:tc>
        <w:tc>
          <w:tcPr>
            <w:tcW w:w="13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right"/>
              <w:rPr>
                <w:rFonts w:cs="Arial"/>
                <w:color w:val="000000"/>
                <w:szCs w:val="22"/>
                <w:lang w:eastAsia="es-CO"/>
              </w:rPr>
            </w:pPr>
            <w:r w:rsidRPr="00122B75">
              <w:rPr>
                <w:rFonts w:cs="Arial"/>
                <w:color w:val="000000"/>
                <w:szCs w:val="22"/>
                <w:lang w:eastAsia="es-CO"/>
              </w:rPr>
              <w:t>0</w:t>
            </w:r>
          </w:p>
        </w:tc>
        <w:tc>
          <w:tcPr>
            <w:tcW w:w="13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Bombeo</w:t>
            </w:r>
          </w:p>
        </w:tc>
        <w:tc>
          <w:tcPr>
            <w:tcW w:w="271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 xml:space="preserve">  6</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Sebastopol</w:t>
            </w:r>
          </w:p>
        </w:tc>
        <w:tc>
          <w:tcPr>
            <w:tcW w:w="1369"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jc w:val="right"/>
              <w:rPr>
                <w:rFonts w:cs="Arial"/>
                <w:color w:val="000000"/>
                <w:szCs w:val="22"/>
                <w:lang w:eastAsia="es-CO"/>
              </w:rPr>
            </w:pPr>
            <w:r w:rsidRPr="00122B75">
              <w:rPr>
                <w:rFonts w:cs="Arial"/>
                <w:color w:val="000000"/>
                <w:szCs w:val="22"/>
                <w:lang w:eastAsia="es-CO"/>
              </w:rPr>
              <w:t>115</w:t>
            </w:r>
          </w:p>
        </w:tc>
        <w:tc>
          <w:tcPr>
            <w:tcW w:w="132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Recibo</w:t>
            </w:r>
          </w:p>
        </w:tc>
        <w:tc>
          <w:tcPr>
            <w:tcW w:w="2714"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lang w:eastAsia="es-CO"/>
              </w:rPr>
            </w:pPr>
          </w:p>
        </w:tc>
      </w:tr>
    </w:tbl>
    <w:p w:rsidR="0083557B" w:rsidRPr="004859E4" w:rsidRDefault="0083557B" w:rsidP="0083557B">
      <w:pPr>
        <w:tabs>
          <w:tab w:val="right" w:pos="851"/>
          <w:tab w:val="right" w:pos="4536"/>
          <w:tab w:val="right" w:pos="6804"/>
        </w:tabs>
        <w:ind w:left="195"/>
        <w:rPr>
          <w:rFonts w:cs="Arial"/>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402B6F" w:rsidRDefault="00402B6F">
      <w:pPr>
        <w:jc w:val="left"/>
        <w:rPr>
          <w:b/>
          <w:snapToGrid w:val="0"/>
          <w:color w:val="000000"/>
          <w:sz w:val="24"/>
          <w:lang w:val="es-ES_tradnl"/>
        </w:rPr>
      </w:pPr>
      <w:bookmarkStart w:id="872" w:name="_Toc380057139"/>
      <w:bookmarkStart w:id="873" w:name="_Toc433295753"/>
      <w:bookmarkStart w:id="874" w:name="_Toc433296478"/>
      <w:bookmarkStart w:id="875" w:name="_Toc437500907"/>
      <w:bookmarkStart w:id="876" w:name="_Toc437501566"/>
      <w:bookmarkStart w:id="877" w:name="_Toc437501746"/>
      <w:bookmarkStart w:id="878" w:name="_Toc437501836"/>
      <w:bookmarkStart w:id="879" w:name="_Toc437502599"/>
      <w:bookmarkStart w:id="880" w:name="_Toc437505959"/>
    </w:p>
    <w:p w:rsidR="0083557B" w:rsidRPr="000331D2" w:rsidRDefault="0083557B" w:rsidP="00391FB3">
      <w:pPr>
        <w:pStyle w:val="Ttulo3"/>
        <w:rPr>
          <w:b w:val="0"/>
          <w:sz w:val="24"/>
          <w:szCs w:val="24"/>
        </w:rPr>
      </w:pPr>
      <w:bookmarkStart w:id="881" w:name="_Toc437512772"/>
      <w:r w:rsidRPr="000331D2">
        <w:rPr>
          <w:sz w:val="24"/>
          <w:szCs w:val="24"/>
        </w:rPr>
        <w:t>Sistema Sebastopol – Puerto Salgar</w:t>
      </w:r>
      <w:bookmarkEnd w:id="872"/>
      <w:bookmarkEnd w:id="873"/>
      <w:bookmarkEnd w:id="874"/>
      <w:bookmarkEnd w:id="875"/>
      <w:bookmarkEnd w:id="876"/>
      <w:bookmarkEnd w:id="877"/>
      <w:bookmarkEnd w:id="878"/>
      <w:bookmarkEnd w:id="879"/>
      <w:bookmarkEnd w:id="880"/>
      <w:bookmarkEnd w:id="881"/>
    </w:p>
    <w:p w:rsidR="0083557B" w:rsidRPr="000331D2" w:rsidRDefault="0083557B" w:rsidP="00F34AF1">
      <w:pPr>
        <w:rPr>
          <w:rFonts w:cs="Arial"/>
          <w:sz w:val="24"/>
        </w:rPr>
      </w:pPr>
    </w:p>
    <w:p w:rsidR="0083557B" w:rsidRPr="000331D2" w:rsidRDefault="00A56932" w:rsidP="0083557B">
      <w:pPr>
        <w:rPr>
          <w:rFonts w:cs="Arial"/>
          <w:sz w:val="24"/>
        </w:rPr>
      </w:pPr>
      <w:r w:rsidRPr="000331D2">
        <w:rPr>
          <w:rFonts w:cs="Arial"/>
          <w:sz w:val="24"/>
        </w:rPr>
        <w:t>Este sistema es la continuación del sistema anterior, manteniendo las líneas de 12" y 16" paralelas e independientes hasta Puerto Salgar.</w:t>
      </w:r>
    </w:p>
    <w:p w:rsidR="00F42CA3" w:rsidRPr="000331D2" w:rsidRDefault="00F42CA3" w:rsidP="0083557B">
      <w:pPr>
        <w:rPr>
          <w:rFonts w:cs="Arial"/>
          <w:sz w:val="24"/>
        </w:rPr>
      </w:pPr>
    </w:p>
    <w:p w:rsidR="00754AC7" w:rsidRDefault="0083557B" w:rsidP="00754AC7">
      <w:pPr>
        <w:keepNext/>
        <w:contextualSpacing/>
        <w:jc w:val="center"/>
      </w:pPr>
      <w:r w:rsidRPr="004859E4">
        <w:rPr>
          <w:rFonts w:cs="Arial"/>
          <w:noProof/>
          <w:lang w:val="es-CO" w:eastAsia="es-CO"/>
        </w:rPr>
        <w:drawing>
          <wp:inline distT="0" distB="0" distL="0" distR="0" wp14:anchorId="3F43028E" wp14:editId="08C5CF4A">
            <wp:extent cx="3601469" cy="2413842"/>
            <wp:effectExtent l="0" t="0" r="0" b="5715"/>
            <wp:docPr id="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14405" cy="2422512"/>
                    </a:xfrm>
                    <a:prstGeom prst="rect">
                      <a:avLst/>
                    </a:prstGeom>
                    <a:noFill/>
                    <a:ln>
                      <a:noFill/>
                    </a:ln>
                  </pic:spPr>
                </pic:pic>
              </a:graphicData>
            </a:graphic>
          </wp:inline>
        </w:drawing>
      </w:r>
    </w:p>
    <w:p w:rsidR="0083557B"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E16A4E" w:rsidRPr="00E16A4E" w:rsidRDefault="00BC557B" w:rsidP="00BC557B">
      <w:pPr>
        <w:pStyle w:val="Epgrafe"/>
      </w:pPr>
      <w:bookmarkStart w:id="882" w:name="_Toc437512858"/>
      <w:r>
        <w:t xml:space="preserve">Gráfica </w:t>
      </w:r>
      <w:r>
        <w:fldChar w:fldCharType="begin"/>
      </w:r>
      <w:r>
        <w:instrText xml:space="preserve"> SEQ Gráfica \* ARABIC </w:instrText>
      </w:r>
      <w:r>
        <w:fldChar w:fldCharType="separate"/>
      </w:r>
      <w:r w:rsidR="00625BEB">
        <w:rPr>
          <w:noProof/>
        </w:rPr>
        <w:t>21</w:t>
      </w:r>
      <w:r>
        <w:fldChar w:fldCharType="end"/>
      </w:r>
      <w:r>
        <w:t xml:space="preserve"> </w:t>
      </w:r>
      <w:r w:rsidR="00932398">
        <w:t>Perfil Sistema</w:t>
      </w:r>
      <w:r w:rsidRPr="00377461">
        <w:t xml:space="preserve"> Sebastopol – Puerto Salgar</w:t>
      </w:r>
      <w:bookmarkEnd w:id="882"/>
    </w:p>
    <w:p w:rsidR="0083557B" w:rsidRDefault="0083557B" w:rsidP="0083557B">
      <w:pPr>
        <w:contextualSpacing/>
        <w:rPr>
          <w:rFonts w:cs="Arial"/>
          <w:sz w:val="24"/>
        </w:rPr>
      </w:pPr>
      <w:r w:rsidRPr="000331D2">
        <w:rPr>
          <w:rFonts w:cs="Arial"/>
          <w:sz w:val="24"/>
        </w:rPr>
        <w:lastRenderedPageBreak/>
        <w:t xml:space="preserve">La línea de 16 pulgadas tiene una longitud de 134,8 kilómetros y una capacidad operacional de 168,4 kbl/día. La línea de 12 pulgadas mide 136,5 kilómetros y cuenta con una capacidad operacional de 75,8 kbl/día. La </w:t>
      </w:r>
      <w:r w:rsidR="009241D4" w:rsidRPr="000331D2">
        <w:rPr>
          <w:rFonts w:cs="Arial"/>
          <w:sz w:val="24"/>
        </w:rPr>
        <w:fldChar w:fldCharType="begin"/>
      </w:r>
      <w:r w:rsidR="009241D4" w:rsidRPr="000331D2">
        <w:rPr>
          <w:rFonts w:cs="Arial"/>
          <w:sz w:val="24"/>
        </w:rPr>
        <w:instrText xml:space="preserve"> REF _Ref437018695 \h </w:instrText>
      </w:r>
      <w:r w:rsidR="000331D2">
        <w:rPr>
          <w:rFonts w:cs="Arial"/>
          <w:sz w:val="24"/>
        </w:rPr>
        <w:instrText xml:space="preserve"> \* MERGEFORMAT </w:instrText>
      </w:r>
      <w:r w:rsidR="009241D4" w:rsidRPr="000331D2">
        <w:rPr>
          <w:rFonts w:cs="Arial"/>
          <w:sz w:val="24"/>
        </w:rPr>
      </w:r>
      <w:r w:rsidR="009241D4" w:rsidRPr="000331D2">
        <w:rPr>
          <w:rFonts w:cs="Arial"/>
          <w:sz w:val="24"/>
        </w:rPr>
        <w:fldChar w:fldCharType="separate"/>
      </w:r>
      <w:r w:rsidR="00625BEB" w:rsidRPr="00625BEB">
        <w:rPr>
          <w:sz w:val="24"/>
        </w:rPr>
        <w:t xml:space="preserve">Tabla </w:t>
      </w:r>
      <w:r w:rsidR="00625BEB" w:rsidRPr="00625BEB">
        <w:rPr>
          <w:noProof/>
          <w:sz w:val="24"/>
        </w:rPr>
        <w:t>23</w:t>
      </w:r>
      <w:r w:rsidR="009241D4" w:rsidRPr="000331D2">
        <w:rPr>
          <w:rFonts w:cs="Arial"/>
          <w:sz w:val="24"/>
        </w:rPr>
        <w:fldChar w:fldCharType="end"/>
      </w:r>
      <w:r w:rsidR="009241D4" w:rsidRPr="000331D2">
        <w:rPr>
          <w:rFonts w:cs="Arial"/>
          <w:sz w:val="24"/>
        </w:rPr>
        <w:t xml:space="preserve"> </w:t>
      </w:r>
      <w:r w:rsidRPr="000331D2">
        <w:rPr>
          <w:rFonts w:cs="Arial"/>
          <w:sz w:val="24"/>
        </w:rPr>
        <w:t>presenta las estaciones asociadas al Sistema galán – Sebastopol.</w:t>
      </w:r>
    </w:p>
    <w:p w:rsidR="00F34AF1" w:rsidRPr="000331D2" w:rsidRDefault="00F34AF1" w:rsidP="0083557B">
      <w:pPr>
        <w:contextualSpacing/>
        <w:rPr>
          <w:rFonts w:cs="Arial"/>
          <w:b/>
          <w:sz w:val="24"/>
        </w:rPr>
      </w:pPr>
    </w:p>
    <w:tbl>
      <w:tblPr>
        <w:tblW w:w="837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780"/>
        <w:gridCol w:w="1936"/>
        <w:gridCol w:w="1928"/>
        <w:gridCol w:w="2730"/>
      </w:tblGrid>
      <w:tr w:rsidR="00F34AF1" w:rsidRPr="004859E4" w:rsidTr="00B22E6A">
        <w:trPr>
          <w:trHeight w:val="315"/>
          <w:jc w:val="center"/>
        </w:trPr>
        <w:tc>
          <w:tcPr>
            <w:tcW w:w="8374" w:type="dxa"/>
            <w:gridSpan w:val="4"/>
            <w:tcBorders>
              <w:top w:val="single" w:sz="8" w:space="0" w:color="4F81BD"/>
              <w:left w:val="single" w:sz="8" w:space="0" w:color="4F81BD"/>
              <w:bottom w:val="single" w:sz="18" w:space="0" w:color="4F81BD"/>
              <w:right w:val="single" w:sz="8" w:space="0" w:color="4F81BD"/>
            </w:tcBorders>
            <w:shd w:val="clear" w:color="auto" w:fill="auto"/>
            <w:noWrap/>
          </w:tcPr>
          <w:p w:rsidR="00F34AF1" w:rsidRPr="004859E4" w:rsidRDefault="00F34AF1" w:rsidP="00F34AF1">
            <w:pPr>
              <w:jc w:val="center"/>
              <w:rPr>
                <w:rFonts w:cs="Arial"/>
                <w:b/>
                <w:bCs/>
                <w:color w:val="000000"/>
                <w:szCs w:val="22"/>
                <w:lang w:eastAsia="es-CO"/>
              </w:rPr>
            </w:pPr>
            <w:bookmarkStart w:id="883" w:name="_Ref437018695"/>
            <w:bookmarkStart w:id="884" w:name="_Toc437512829"/>
            <w:r>
              <w:t xml:space="preserve">Tabla </w:t>
            </w:r>
            <w:r>
              <w:fldChar w:fldCharType="begin"/>
            </w:r>
            <w:r>
              <w:instrText xml:space="preserve"> SEQ Tabla \* ARABIC </w:instrText>
            </w:r>
            <w:r>
              <w:fldChar w:fldCharType="separate"/>
            </w:r>
            <w:r w:rsidR="00625BEB">
              <w:rPr>
                <w:noProof/>
              </w:rPr>
              <w:t>23</w:t>
            </w:r>
            <w:r>
              <w:fldChar w:fldCharType="end"/>
            </w:r>
            <w:bookmarkEnd w:id="883"/>
            <w:r>
              <w:rPr>
                <w:noProof/>
              </w:rPr>
              <w:t xml:space="preserve"> </w:t>
            </w:r>
            <w:r w:rsidRPr="001C0E62">
              <w:rPr>
                <w:noProof/>
              </w:rPr>
              <w:t>Estaciones Sistema Sebastopol – Puerto Salgar</w:t>
            </w:r>
            <w:bookmarkEnd w:id="884"/>
          </w:p>
        </w:tc>
      </w:tr>
      <w:tr w:rsidR="0083557B" w:rsidRPr="004859E4" w:rsidTr="002F63E2">
        <w:trPr>
          <w:trHeight w:val="315"/>
          <w:jc w:val="center"/>
        </w:trPr>
        <w:tc>
          <w:tcPr>
            <w:tcW w:w="178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 xml:space="preserve">Estaciones </w:t>
            </w:r>
          </w:p>
        </w:tc>
        <w:tc>
          <w:tcPr>
            <w:tcW w:w="1936"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lang w:eastAsia="es-CO"/>
              </w:rPr>
              <w:t>Kilómetro</w:t>
            </w:r>
          </w:p>
        </w:tc>
        <w:tc>
          <w:tcPr>
            <w:tcW w:w="1928"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lang w:eastAsia="es-CO"/>
              </w:rPr>
              <w:t>Tipo</w:t>
            </w:r>
          </w:p>
        </w:tc>
        <w:tc>
          <w:tcPr>
            <w:tcW w:w="273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lang w:eastAsia="es-CO"/>
              </w:rPr>
              <w:t>Unidades de bombeo</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rPr>
              <w:t>Sebastopol</w:t>
            </w:r>
          </w:p>
        </w:tc>
        <w:tc>
          <w:tcPr>
            <w:tcW w:w="193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0</w:t>
            </w:r>
          </w:p>
        </w:tc>
        <w:tc>
          <w:tcPr>
            <w:tcW w:w="192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Bombeo</w:t>
            </w:r>
          </w:p>
        </w:tc>
        <w:tc>
          <w:tcPr>
            <w:tcW w:w="273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6</w:t>
            </w:r>
          </w:p>
        </w:tc>
      </w:tr>
      <w:tr w:rsidR="0083557B" w:rsidRPr="004859E4" w:rsidTr="002F63E2">
        <w:trPr>
          <w:trHeight w:val="98"/>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Puerto Salgar</w:t>
            </w:r>
          </w:p>
        </w:tc>
        <w:tc>
          <w:tcPr>
            <w:tcW w:w="1936"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136,3</w:t>
            </w:r>
          </w:p>
        </w:tc>
        <w:tc>
          <w:tcPr>
            <w:tcW w:w="1928"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Recibo/Bombeo</w:t>
            </w:r>
          </w:p>
        </w:tc>
        <w:tc>
          <w:tcPr>
            <w:tcW w:w="2730" w:type="dxa"/>
            <w:tcBorders>
              <w:top w:val="single" w:sz="8" w:space="0" w:color="4F81BD"/>
              <w:left w:val="single" w:sz="8" w:space="0" w:color="4F81BD"/>
              <w:bottom w:val="single" w:sz="8" w:space="0" w:color="4F81BD"/>
              <w:right w:val="single" w:sz="8" w:space="0" w:color="4F81BD"/>
            </w:tcBorders>
            <w:shd w:val="clear" w:color="auto" w:fill="auto"/>
          </w:tcPr>
          <w:p w:rsidR="0083557B" w:rsidRPr="00122B75" w:rsidRDefault="0083557B" w:rsidP="002F63E2">
            <w:pPr>
              <w:jc w:val="center"/>
              <w:rPr>
                <w:rFonts w:cs="Arial"/>
                <w:color w:val="000000"/>
                <w:szCs w:val="22"/>
                <w:lang w:eastAsia="es-CO"/>
              </w:rPr>
            </w:pPr>
          </w:p>
        </w:tc>
      </w:tr>
    </w:tbl>
    <w:p w:rsidR="0083557B" w:rsidRPr="004859E4" w:rsidRDefault="0083557B" w:rsidP="0083557B">
      <w:pPr>
        <w:tabs>
          <w:tab w:val="right" w:pos="851"/>
          <w:tab w:val="right" w:pos="4536"/>
          <w:tab w:val="right" w:pos="6804"/>
        </w:tabs>
        <w:ind w:left="195"/>
        <w:rPr>
          <w:rFonts w:cs="Arial"/>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83557B" w:rsidRPr="004859E4" w:rsidRDefault="0083557B" w:rsidP="0083557B">
      <w:pPr>
        <w:ind w:left="195"/>
        <w:rPr>
          <w:rFonts w:cs="Arial"/>
          <w:b/>
        </w:rPr>
      </w:pPr>
      <w:bookmarkStart w:id="885" w:name="_Toc380057140"/>
    </w:p>
    <w:p w:rsidR="0083557B" w:rsidRPr="004859E4" w:rsidRDefault="0083557B" w:rsidP="00391FB3">
      <w:pPr>
        <w:pStyle w:val="Ttulo3"/>
        <w:rPr>
          <w:b w:val="0"/>
        </w:rPr>
      </w:pPr>
      <w:bookmarkStart w:id="886" w:name="_Toc433295754"/>
      <w:bookmarkStart w:id="887" w:name="_Toc433296479"/>
      <w:bookmarkStart w:id="888" w:name="_Toc437500908"/>
      <w:bookmarkStart w:id="889" w:name="_Toc437501567"/>
      <w:bookmarkStart w:id="890" w:name="_Toc437501747"/>
      <w:bookmarkStart w:id="891" w:name="_Toc437501837"/>
      <w:bookmarkStart w:id="892" w:name="_Toc437502600"/>
      <w:bookmarkStart w:id="893" w:name="_Toc437505960"/>
      <w:bookmarkStart w:id="894" w:name="_Toc437512773"/>
      <w:r w:rsidRPr="004859E4">
        <w:t>Propanoducto Galán – Salgar</w:t>
      </w:r>
      <w:bookmarkEnd w:id="885"/>
      <w:bookmarkEnd w:id="886"/>
      <w:bookmarkEnd w:id="887"/>
      <w:bookmarkEnd w:id="888"/>
      <w:bookmarkEnd w:id="889"/>
      <w:bookmarkEnd w:id="890"/>
      <w:bookmarkEnd w:id="891"/>
      <w:bookmarkEnd w:id="892"/>
      <w:bookmarkEnd w:id="893"/>
      <w:bookmarkEnd w:id="894"/>
    </w:p>
    <w:p w:rsidR="0083557B" w:rsidRPr="004859E4" w:rsidRDefault="0083557B" w:rsidP="0083557B">
      <w:pPr>
        <w:ind w:left="195"/>
        <w:rPr>
          <w:rFonts w:cs="Arial"/>
          <w:b/>
        </w:rPr>
      </w:pPr>
    </w:p>
    <w:p w:rsidR="0083557B" w:rsidRDefault="0083557B" w:rsidP="0083557B">
      <w:pPr>
        <w:tabs>
          <w:tab w:val="decimal" w:pos="3544"/>
        </w:tabs>
        <w:rPr>
          <w:rFonts w:cs="Arial"/>
          <w:sz w:val="24"/>
        </w:rPr>
      </w:pPr>
      <w:r w:rsidRPr="000331D2">
        <w:rPr>
          <w:rFonts w:cs="Arial"/>
          <w:sz w:val="24"/>
        </w:rPr>
        <w:t>Línea de 8 pulgadas dedicada al transporte de GLP. Lleno de línea: 51.553 barriles.</w:t>
      </w:r>
    </w:p>
    <w:p w:rsidR="00754AC7" w:rsidRDefault="0083557B" w:rsidP="00754AC7">
      <w:pPr>
        <w:keepNext/>
        <w:contextualSpacing/>
        <w:jc w:val="center"/>
      </w:pPr>
      <w:r w:rsidRPr="004859E4">
        <w:rPr>
          <w:rFonts w:cs="Arial"/>
          <w:b/>
          <w:noProof/>
          <w:lang w:val="es-CO" w:eastAsia="es-CO"/>
        </w:rPr>
        <w:drawing>
          <wp:inline distT="0" distB="0" distL="0" distR="0" wp14:anchorId="27AE0B39" wp14:editId="5AF14C2B">
            <wp:extent cx="3381675" cy="2256342"/>
            <wp:effectExtent l="0" t="0" r="9525" b="0"/>
            <wp:docPr id="10"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93053" cy="2263934"/>
                    </a:xfrm>
                    <a:prstGeom prst="rect">
                      <a:avLst/>
                    </a:prstGeom>
                    <a:noFill/>
                    <a:ln>
                      <a:noFill/>
                    </a:ln>
                  </pic:spPr>
                </pic:pic>
              </a:graphicData>
            </a:graphic>
          </wp:inline>
        </w:drawing>
      </w:r>
    </w:p>
    <w:p w:rsidR="0083557B"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BC557B" w:rsidRPr="00BC557B" w:rsidRDefault="00BC557B" w:rsidP="00BC557B">
      <w:pPr>
        <w:pStyle w:val="Epgrafe"/>
      </w:pPr>
      <w:bookmarkStart w:id="895" w:name="_Toc437512859"/>
      <w:r>
        <w:t xml:space="preserve">Gráfica </w:t>
      </w:r>
      <w:r>
        <w:fldChar w:fldCharType="begin"/>
      </w:r>
      <w:r>
        <w:instrText xml:space="preserve"> SEQ Gráfica \* ARABIC </w:instrText>
      </w:r>
      <w:r>
        <w:fldChar w:fldCharType="separate"/>
      </w:r>
      <w:r w:rsidR="00625BEB">
        <w:rPr>
          <w:noProof/>
        </w:rPr>
        <w:t>22</w:t>
      </w:r>
      <w:r>
        <w:fldChar w:fldCharType="end"/>
      </w:r>
      <w:r>
        <w:t xml:space="preserve"> </w:t>
      </w:r>
      <w:r w:rsidRPr="002B68A1">
        <w:t>Perfil propanoducto Galán – Salgar</w:t>
      </w:r>
      <w:bookmarkEnd w:id="895"/>
    </w:p>
    <w:p w:rsidR="0083557B" w:rsidRDefault="0083557B" w:rsidP="0083557B">
      <w:pPr>
        <w:tabs>
          <w:tab w:val="decimal" w:pos="3544"/>
        </w:tabs>
        <w:rPr>
          <w:rFonts w:cs="Arial"/>
          <w:sz w:val="24"/>
        </w:rPr>
      </w:pPr>
      <w:r w:rsidRPr="000331D2">
        <w:rPr>
          <w:rFonts w:cs="Arial"/>
          <w:sz w:val="24"/>
        </w:rPr>
        <w:t xml:space="preserve">El propanoducto Galán – Salgar tiene un tiene una longitud de 245 kilómetros y una  capacidad operacional de 14,4 kbl/día. El diámetro a lo largo del todo recorrido es de 8 pulgadas. La </w:t>
      </w:r>
      <w:r w:rsidR="009241D4" w:rsidRPr="000331D2">
        <w:rPr>
          <w:rFonts w:cs="Arial"/>
          <w:sz w:val="24"/>
        </w:rPr>
        <w:fldChar w:fldCharType="begin"/>
      </w:r>
      <w:r w:rsidR="009241D4" w:rsidRPr="000331D2">
        <w:rPr>
          <w:rFonts w:cs="Arial"/>
          <w:sz w:val="24"/>
        </w:rPr>
        <w:instrText xml:space="preserve"> REF _Ref437018719 \h </w:instrText>
      </w:r>
      <w:r w:rsidR="000331D2">
        <w:rPr>
          <w:rFonts w:cs="Arial"/>
          <w:sz w:val="24"/>
        </w:rPr>
        <w:instrText xml:space="preserve"> \* MERGEFORMAT </w:instrText>
      </w:r>
      <w:r w:rsidR="009241D4" w:rsidRPr="000331D2">
        <w:rPr>
          <w:rFonts w:cs="Arial"/>
          <w:sz w:val="24"/>
        </w:rPr>
      </w:r>
      <w:r w:rsidR="009241D4" w:rsidRPr="000331D2">
        <w:rPr>
          <w:rFonts w:cs="Arial"/>
          <w:sz w:val="24"/>
        </w:rPr>
        <w:fldChar w:fldCharType="separate"/>
      </w:r>
      <w:r w:rsidR="00625BEB" w:rsidRPr="00625BEB">
        <w:rPr>
          <w:sz w:val="24"/>
        </w:rPr>
        <w:t xml:space="preserve">Tabla </w:t>
      </w:r>
      <w:r w:rsidR="00625BEB" w:rsidRPr="00625BEB">
        <w:rPr>
          <w:noProof/>
          <w:sz w:val="24"/>
        </w:rPr>
        <w:t>24</w:t>
      </w:r>
      <w:r w:rsidR="009241D4" w:rsidRPr="000331D2">
        <w:rPr>
          <w:rFonts w:cs="Arial"/>
          <w:sz w:val="24"/>
        </w:rPr>
        <w:fldChar w:fldCharType="end"/>
      </w:r>
      <w:r w:rsidR="009241D4" w:rsidRPr="000331D2">
        <w:rPr>
          <w:rFonts w:cs="Arial"/>
          <w:sz w:val="24"/>
        </w:rPr>
        <w:t xml:space="preserve"> </w:t>
      </w:r>
      <w:r w:rsidRPr="000331D2">
        <w:rPr>
          <w:rFonts w:cs="Arial"/>
          <w:sz w:val="24"/>
        </w:rPr>
        <w:t>muestra las estaciones asociadas propanoducto.</w:t>
      </w:r>
    </w:p>
    <w:p w:rsidR="00402B6F" w:rsidRPr="000331D2" w:rsidRDefault="00402B6F" w:rsidP="0083557B">
      <w:pPr>
        <w:tabs>
          <w:tab w:val="decimal" w:pos="3544"/>
        </w:tabs>
        <w:rPr>
          <w:rFonts w:cs="Arial"/>
          <w:sz w:val="24"/>
        </w:rPr>
      </w:pPr>
    </w:p>
    <w:tbl>
      <w:tblPr>
        <w:tblW w:w="7773"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780"/>
        <w:gridCol w:w="1369"/>
        <w:gridCol w:w="1789"/>
        <w:gridCol w:w="2835"/>
      </w:tblGrid>
      <w:tr w:rsidR="00402B6F" w:rsidRPr="004859E4" w:rsidTr="00B22E6A">
        <w:trPr>
          <w:trHeight w:val="315"/>
          <w:jc w:val="center"/>
        </w:trPr>
        <w:tc>
          <w:tcPr>
            <w:tcW w:w="7773" w:type="dxa"/>
            <w:gridSpan w:val="4"/>
            <w:tcBorders>
              <w:top w:val="single" w:sz="8" w:space="0" w:color="4F81BD"/>
              <w:left w:val="single" w:sz="8" w:space="0" w:color="4F81BD"/>
              <w:bottom w:val="single" w:sz="18" w:space="0" w:color="4F81BD"/>
              <w:right w:val="single" w:sz="8" w:space="0" w:color="4F81BD"/>
            </w:tcBorders>
            <w:shd w:val="clear" w:color="auto" w:fill="auto"/>
            <w:noWrap/>
          </w:tcPr>
          <w:p w:rsidR="00402B6F" w:rsidRPr="004859E4" w:rsidRDefault="00402B6F" w:rsidP="002F63E2">
            <w:pPr>
              <w:jc w:val="center"/>
              <w:rPr>
                <w:rFonts w:cs="Arial"/>
                <w:b/>
                <w:bCs/>
                <w:color w:val="000000"/>
                <w:szCs w:val="22"/>
                <w:lang w:eastAsia="es-CO"/>
              </w:rPr>
            </w:pPr>
            <w:bookmarkStart w:id="896" w:name="_Ref437018719"/>
            <w:bookmarkStart w:id="897" w:name="_Toc437512830"/>
            <w:r>
              <w:t xml:space="preserve">Tabla </w:t>
            </w:r>
            <w:r>
              <w:fldChar w:fldCharType="begin"/>
            </w:r>
            <w:r>
              <w:instrText xml:space="preserve"> SEQ Tabla \* ARABIC </w:instrText>
            </w:r>
            <w:r>
              <w:fldChar w:fldCharType="separate"/>
            </w:r>
            <w:r w:rsidR="00625BEB">
              <w:rPr>
                <w:noProof/>
              </w:rPr>
              <w:t>24</w:t>
            </w:r>
            <w:r>
              <w:fldChar w:fldCharType="end"/>
            </w:r>
            <w:bookmarkEnd w:id="896"/>
            <w:r>
              <w:rPr>
                <w:noProof/>
              </w:rPr>
              <w:t xml:space="preserve"> </w:t>
            </w:r>
            <w:r w:rsidRPr="005B415B">
              <w:rPr>
                <w:noProof/>
              </w:rPr>
              <w:t>Estaciones propanoducto Galán - Salgar</w:t>
            </w:r>
            <w:bookmarkEnd w:id="897"/>
          </w:p>
        </w:tc>
      </w:tr>
      <w:tr w:rsidR="0083557B" w:rsidRPr="004859E4" w:rsidTr="002F63E2">
        <w:trPr>
          <w:trHeight w:val="315"/>
          <w:jc w:val="center"/>
        </w:trPr>
        <w:tc>
          <w:tcPr>
            <w:tcW w:w="178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jc w:val="center"/>
              <w:rPr>
                <w:rFonts w:cs="Arial"/>
                <w:bCs/>
                <w:color w:val="000000"/>
                <w:szCs w:val="22"/>
                <w:lang w:eastAsia="es-CO"/>
              </w:rPr>
            </w:pPr>
            <w:r w:rsidRPr="00122B75">
              <w:rPr>
                <w:rFonts w:cs="Arial"/>
                <w:bCs/>
                <w:color w:val="000000"/>
                <w:szCs w:val="22"/>
              </w:rPr>
              <w:t>Estaciones</w:t>
            </w:r>
          </w:p>
        </w:tc>
        <w:tc>
          <w:tcPr>
            <w:tcW w:w="1369"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jc w:val="center"/>
              <w:rPr>
                <w:rFonts w:cs="Arial"/>
                <w:bCs/>
                <w:color w:val="000000"/>
                <w:szCs w:val="22"/>
                <w:lang w:eastAsia="es-CO"/>
              </w:rPr>
            </w:pPr>
            <w:r w:rsidRPr="00122B75">
              <w:rPr>
                <w:rFonts w:cs="Arial"/>
                <w:bCs/>
                <w:color w:val="000000"/>
                <w:szCs w:val="22"/>
                <w:lang w:eastAsia="es-CO"/>
              </w:rPr>
              <w:t>Kilómetro</w:t>
            </w:r>
          </w:p>
        </w:tc>
        <w:tc>
          <w:tcPr>
            <w:tcW w:w="1789"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jc w:val="center"/>
              <w:rPr>
                <w:rFonts w:cs="Arial"/>
                <w:bCs/>
                <w:color w:val="000000"/>
                <w:szCs w:val="22"/>
                <w:lang w:eastAsia="es-CO"/>
              </w:rPr>
            </w:pPr>
            <w:r w:rsidRPr="00122B75">
              <w:rPr>
                <w:rFonts w:cs="Arial"/>
                <w:bCs/>
                <w:color w:val="000000"/>
                <w:szCs w:val="22"/>
                <w:lang w:eastAsia="es-CO"/>
              </w:rPr>
              <w:t>Tipo</w:t>
            </w:r>
          </w:p>
        </w:tc>
        <w:tc>
          <w:tcPr>
            <w:tcW w:w="2835"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jc w:val="center"/>
              <w:rPr>
                <w:rFonts w:cs="Arial"/>
                <w:bCs/>
                <w:color w:val="000000"/>
                <w:szCs w:val="22"/>
                <w:lang w:eastAsia="es-CO"/>
              </w:rPr>
            </w:pPr>
            <w:r w:rsidRPr="00122B75">
              <w:rPr>
                <w:rFonts w:cs="Arial"/>
                <w:bCs/>
                <w:color w:val="000000"/>
                <w:szCs w:val="22"/>
                <w:lang w:eastAsia="es-CO"/>
              </w:rPr>
              <w:t>Unidades de bombeo</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rPr>
              <w:t>Galán</w:t>
            </w:r>
          </w:p>
        </w:tc>
        <w:tc>
          <w:tcPr>
            <w:tcW w:w="13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0</w:t>
            </w:r>
          </w:p>
        </w:tc>
        <w:tc>
          <w:tcPr>
            <w:tcW w:w="178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Bombeo</w:t>
            </w:r>
          </w:p>
        </w:tc>
        <w:tc>
          <w:tcPr>
            <w:tcW w:w="283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2</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Sebastopol</w:t>
            </w:r>
          </w:p>
        </w:tc>
        <w:tc>
          <w:tcPr>
            <w:tcW w:w="1369"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107</w:t>
            </w:r>
          </w:p>
        </w:tc>
        <w:tc>
          <w:tcPr>
            <w:tcW w:w="1789"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Recibo al paso</w:t>
            </w:r>
          </w:p>
        </w:tc>
        <w:tc>
          <w:tcPr>
            <w:tcW w:w="2835" w:type="dxa"/>
            <w:tcBorders>
              <w:top w:val="single" w:sz="8" w:space="0" w:color="4F81BD"/>
              <w:left w:val="single" w:sz="8" w:space="0" w:color="4F81BD"/>
              <w:bottom w:val="single" w:sz="8" w:space="0" w:color="4F81BD"/>
              <w:right w:val="single" w:sz="8" w:space="0" w:color="4F81BD"/>
            </w:tcBorders>
            <w:shd w:val="clear" w:color="auto" w:fill="auto"/>
          </w:tcPr>
          <w:p w:rsidR="0083557B" w:rsidRPr="00122B75" w:rsidRDefault="0083557B" w:rsidP="002F63E2">
            <w:pPr>
              <w:jc w:val="center"/>
              <w:rPr>
                <w:rFonts w:cs="Arial"/>
                <w:color w:val="000000"/>
                <w:szCs w:val="22"/>
                <w:lang w:eastAsia="es-CO"/>
              </w:rPr>
            </w:pPr>
          </w:p>
        </w:tc>
      </w:tr>
      <w:tr w:rsidR="0083557B" w:rsidRPr="004859E4" w:rsidTr="002F63E2">
        <w:trPr>
          <w:trHeight w:val="390"/>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lang w:eastAsia="es-CO"/>
              </w:rPr>
              <w:t>Puerto Salgar</w:t>
            </w:r>
          </w:p>
        </w:tc>
        <w:tc>
          <w:tcPr>
            <w:tcW w:w="13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245</w:t>
            </w:r>
          </w:p>
        </w:tc>
        <w:tc>
          <w:tcPr>
            <w:tcW w:w="178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Recibo</w:t>
            </w:r>
          </w:p>
        </w:tc>
        <w:tc>
          <w:tcPr>
            <w:tcW w:w="2835"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center"/>
              <w:rPr>
                <w:rFonts w:cs="Arial"/>
                <w:color w:val="000000"/>
                <w:lang w:eastAsia="es-CO"/>
              </w:rPr>
            </w:pPr>
          </w:p>
        </w:tc>
      </w:tr>
    </w:tbl>
    <w:p w:rsidR="0083557B" w:rsidRPr="004859E4" w:rsidRDefault="0083557B" w:rsidP="0083557B">
      <w:pPr>
        <w:rPr>
          <w:rFonts w:cs="Arial"/>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F42CA3" w:rsidRPr="004859E4" w:rsidRDefault="00F42CA3" w:rsidP="0083557B">
      <w:pPr>
        <w:ind w:left="195"/>
        <w:rPr>
          <w:rFonts w:cs="Arial"/>
          <w:b/>
        </w:rPr>
      </w:pPr>
      <w:bookmarkStart w:id="898" w:name="_Toc380057141"/>
    </w:p>
    <w:p w:rsidR="0083557B" w:rsidRPr="000331D2" w:rsidRDefault="0083557B" w:rsidP="00391FB3">
      <w:pPr>
        <w:pStyle w:val="Ttulo3"/>
        <w:rPr>
          <w:b w:val="0"/>
          <w:sz w:val="24"/>
          <w:szCs w:val="24"/>
        </w:rPr>
      </w:pPr>
      <w:bookmarkStart w:id="899" w:name="_Toc433295755"/>
      <w:bookmarkStart w:id="900" w:name="_Toc433296480"/>
      <w:bookmarkStart w:id="901" w:name="_Toc437500909"/>
      <w:bookmarkStart w:id="902" w:name="_Toc437501568"/>
      <w:bookmarkStart w:id="903" w:name="_Toc437501748"/>
      <w:bookmarkStart w:id="904" w:name="_Toc437501838"/>
      <w:bookmarkStart w:id="905" w:name="_Toc437502601"/>
      <w:bookmarkStart w:id="906" w:name="_Toc437505961"/>
      <w:bookmarkStart w:id="907" w:name="_Toc437512774"/>
      <w:r w:rsidRPr="000331D2">
        <w:rPr>
          <w:sz w:val="24"/>
          <w:szCs w:val="24"/>
        </w:rPr>
        <w:t>Poliducto Salgar – Mansilla</w:t>
      </w:r>
      <w:bookmarkEnd w:id="898"/>
      <w:bookmarkEnd w:id="899"/>
      <w:bookmarkEnd w:id="900"/>
      <w:bookmarkEnd w:id="901"/>
      <w:bookmarkEnd w:id="902"/>
      <w:bookmarkEnd w:id="903"/>
      <w:bookmarkEnd w:id="904"/>
      <w:bookmarkEnd w:id="905"/>
      <w:bookmarkEnd w:id="906"/>
      <w:bookmarkEnd w:id="907"/>
    </w:p>
    <w:p w:rsidR="0083557B" w:rsidRPr="000331D2" w:rsidRDefault="0083557B" w:rsidP="0083557B">
      <w:pPr>
        <w:ind w:left="195"/>
        <w:rPr>
          <w:rFonts w:cs="Arial"/>
          <w:b/>
          <w:sz w:val="24"/>
        </w:rPr>
      </w:pPr>
    </w:p>
    <w:p w:rsidR="0083557B" w:rsidRPr="000331D2" w:rsidRDefault="0083557B" w:rsidP="0083557B">
      <w:pPr>
        <w:tabs>
          <w:tab w:val="decimal" w:pos="3544"/>
        </w:tabs>
        <w:rPr>
          <w:rFonts w:cs="Arial"/>
          <w:sz w:val="24"/>
        </w:rPr>
      </w:pPr>
      <w:r w:rsidRPr="000331D2">
        <w:rPr>
          <w:rFonts w:cs="Arial"/>
          <w:sz w:val="24"/>
        </w:rPr>
        <w:t xml:space="preserve">Este poliducto realiza el transporte de combustibles desde Puerto Salgar al área de Bogotá, cuenta con un lleno de línea de 38.413 barriles. El poliducto presenta dos diámetros de tubería asociados al recorrido: del kilómetro cero al 72, presenta diámetro de 10 pulgadas, del kilómetro 72 al 87 el diámetro </w:t>
      </w:r>
      <w:r w:rsidRPr="000331D2">
        <w:rPr>
          <w:rFonts w:cs="Arial"/>
          <w:sz w:val="24"/>
        </w:rPr>
        <w:lastRenderedPageBreak/>
        <w:t>aumenta a 12 pulgadas y finaliza el recorrido desde el kilómetro  87 hasta el 109 retornando al diámetro de 10 pulgadas (Véase</w:t>
      </w:r>
      <w:r w:rsidR="009241D4" w:rsidRPr="000331D2">
        <w:rPr>
          <w:rFonts w:cs="Arial"/>
          <w:sz w:val="24"/>
        </w:rPr>
        <w:t xml:space="preserve"> </w:t>
      </w:r>
      <w:r w:rsidR="009241D4" w:rsidRPr="000331D2">
        <w:rPr>
          <w:rFonts w:cs="Arial"/>
          <w:sz w:val="24"/>
        </w:rPr>
        <w:fldChar w:fldCharType="begin"/>
      </w:r>
      <w:r w:rsidR="009241D4" w:rsidRPr="000331D2">
        <w:rPr>
          <w:rFonts w:cs="Arial"/>
          <w:sz w:val="24"/>
        </w:rPr>
        <w:instrText xml:space="preserve"> REF _Ref437018757 \h </w:instrText>
      </w:r>
      <w:r w:rsidR="000331D2">
        <w:rPr>
          <w:rFonts w:cs="Arial"/>
          <w:sz w:val="24"/>
        </w:rPr>
        <w:instrText xml:space="preserve"> \* MERGEFORMAT </w:instrText>
      </w:r>
      <w:r w:rsidR="009241D4" w:rsidRPr="000331D2">
        <w:rPr>
          <w:rFonts w:cs="Arial"/>
          <w:sz w:val="24"/>
        </w:rPr>
      </w:r>
      <w:r w:rsidR="009241D4" w:rsidRPr="000331D2">
        <w:rPr>
          <w:rFonts w:cs="Arial"/>
          <w:sz w:val="24"/>
        </w:rPr>
        <w:fldChar w:fldCharType="separate"/>
      </w:r>
      <w:r w:rsidR="00625BEB" w:rsidRPr="00625BEB">
        <w:rPr>
          <w:sz w:val="24"/>
        </w:rPr>
        <w:t xml:space="preserve">Gráfica </w:t>
      </w:r>
      <w:r w:rsidR="00625BEB" w:rsidRPr="00625BEB">
        <w:rPr>
          <w:noProof/>
          <w:sz w:val="24"/>
        </w:rPr>
        <w:t>23</w:t>
      </w:r>
      <w:r w:rsidR="009241D4" w:rsidRPr="000331D2">
        <w:rPr>
          <w:rFonts w:cs="Arial"/>
          <w:sz w:val="24"/>
        </w:rPr>
        <w:fldChar w:fldCharType="end"/>
      </w:r>
      <w:r w:rsidRPr="000331D2">
        <w:rPr>
          <w:rFonts w:cs="Arial"/>
          <w:sz w:val="24"/>
        </w:rPr>
        <w:t>).</w:t>
      </w:r>
    </w:p>
    <w:p w:rsidR="00F42CA3" w:rsidRPr="000331D2" w:rsidRDefault="00F42CA3" w:rsidP="0083557B">
      <w:pPr>
        <w:tabs>
          <w:tab w:val="decimal" w:pos="3544"/>
        </w:tabs>
        <w:rPr>
          <w:rFonts w:cs="Arial"/>
          <w:sz w:val="24"/>
        </w:rPr>
      </w:pPr>
    </w:p>
    <w:p w:rsidR="00E87B28" w:rsidRDefault="0083557B" w:rsidP="00E87B28">
      <w:pPr>
        <w:keepNext/>
        <w:contextualSpacing/>
        <w:jc w:val="center"/>
      </w:pPr>
      <w:r w:rsidRPr="004859E4">
        <w:rPr>
          <w:rFonts w:cs="Arial"/>
          <w:b/>
          <w:noProof/>
          <w:lang w:val="es-CO" w:eastAsia="es-CO"/>
        </w:rPr>
        <w:drawing>
          <wp:inline distT="0" distB="0" distL="0" distR="0" wp14:anchorId="7603EBE1" wp14:editId="0F7D03E9">
            <wp:extent cx="4067033" cy="2716133"/>
            <wp:effectExtent l="0" t="0" r="0" b="8255"/>
            <wp:docPr id="1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071587" cy="2719174"/>
                    </a:xfrm>
                    <a:prstGeom prst="rect">
                      <a:avLst/>
                    </a:prstGeom>
                    <a:noFill/>
                    <a:ln>
                      <a:noFill/>
                    </a:ln>
                  </pic:spPr>
                </pic:pic>
              </a:graphicData>
            </a:graphic>
          </wp:inline>
        </w:drawing>
      </w:r>
    </w:p>
    <w:p w:rsidR="0083557B"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BC557B" w:rsidRPr="00BC557B" w:rsidRDefault="00BC557B" w:rsidP="00BC557B">
      <w:pPr>
        <w:pStyle w:val="Epgrafe"/>
      </w:pPr>
      <w:bookmarkStart w:id="908" w:name="_Ref437018757"/>
      <w:bookmarkStart w:id="909" w:name="_Toc437512860"/>
      <w:r>
        <w:t xml:space="preserve">Gráfica </w:t>
      </w:r>
      <w:r>
        <w:fldChar w:fldCharType="begin"/>
      </w:r>
      <w:r>
        <w:instrText xml:space="preserve"> SEQ Gráfica \* ARABIC </w:instrText>
      </w:r>
      <w:r>
        <w:fldChar w:fldCharType="separate"/>
      </w:r>
      <w:r w:rsidR="00625BEB">
        <w:rPr>
          <w:noProof/>
        </w:rPr>
        <w:t>23</w:t>
      </w:r>
      <w:r>
        <w:fldChar w:fldCharType="end"/>
      </w:r>
      <w:bookmarkEnd w:id="908"/>
      <w:r>
        <w:t xml:space="preserve"> </w:t>
      </w:r>
      <w:r w:rsidRPr="00130FCE">
        <w:t>Perfil poliducto Salgar - Mansilla</w:t>
      </w:r>
      <w:bookmarkEnd w:id="909"/>
    </w:p>
    <w:p w:rsidR="00F42CA3" w:rsidRDefault="00F42CA3" w:rsidP="0083557B">
      <w:pPr>
        <w:contextualSpacing/>
        <w:rPr>
          <w:rFonts w:cs="Arial"/>
          <w:sz w:val="24"/>
        </w:rPr>
      </w:pPr>
    </w:p>
    <w:p w:rsidR="00E90EA9" w:rsidRDefault="0083557B" w:rsidP="0083557B">
      <w:pPr>
        <w:contextualSpacing/>
        <w:rPr>
          <w:rFonts w:cs="Arial"/>
          <w:sz w:val="24"/>
        </w:rPr>
      </w:pPr>
      <w:r w:rsidRPr="000331D2">
        <w:rPr>
          <w:rFonts w:cs="Arial"/>
          <w:sz w:val="24"/>
        </w:rPr>
        <w:t>El poliducto tiene una longitud de 94,54 kilómetros y una capacidad operacional de 94,7 kbl/día.</w:t>
      </w:r>
    </w:p>
    <w:p w:rsidR="00E90EA9" w:rsidRDefault="00E90EA9" w:rsidP="0083557B">
      <w:pPr>
        <w:contextualSpacing/>
        <w:rPr>
          <w:rFonts w:cs="Arial"/>
          <w:sz w:val="24"/>
        </w:rPr>
      </w:pPr>
    </w:p>
    <w:p w:rsidR="0083557B" w:rsidRDefault="0083557B" w:rsidP="0083557B">
      <w:pPr>
        <w:contextualSpacing/>
        <w:rPr>
          <w:rFonts w:cs="Arial"/>
          <w:sz w:val="24"/>
        </w:rPr>
      </w:pPr>
      <w:r w:rsidRPr="000331D2">
        <w:rPr>
          <w:rFonts w:cs="Arial"/>
          <w:sz w:val="24"/>
        </w:rPr>
        <w:t xml:space="preserve"> La </w:t>
      </w:r>
      <w:r w:rsidR="00686184" w:rsidRPr="00686184">
        <w:rPr>
          <w:rFonts w:cs="Arial"/>
          <w:sz w:val="24"/>
        </w:rPr>
        <w:fldChar w:fldCharType="begin"/>
      </w:r>
      <w:r w:rsidR="00686184" w:rsidRPr="00686184">
        <w:rPr>
          <w:rFonts w:cs="Arial"/>
          <w:sz w:val="24"/>
        </w:rPr>
        <w:instrText xml:space="preserve"> REF _Ref437264587 \h </w:instrText>
      </w:r>
      <w:r w:rsidR="00686184">
        <w:rPr>
          <w:rFonts w:cs="Arial"/>
          <w:sz w:val="24"/>
        </w:rPr>
        <w:instrText xml:space="preserve"> \* MERGEFORMAT </w:instrText>
      </w:r>
      <w:r w:rsidR="00686184" w:rsidRPr="00686184">
        <w:rPr>
          <w:rFonts w:cs="Arial"/>
          <w:sz w:val="24"/>
        </w:rPr>
      </w:r>
      <w:r w:rsidR="00686184" w:rsidRPr="00686184">
        <w:rPr>
          <w:rFonts w:cs="Arial"/>
          <w:sz w:val="24"/>
        </w:rPr>
        <w:fldChar w:fldCharType="separate"/>
      </w:r>
      <w:r w:rsidR="00625BEB" w:rsidRPr="00625BEB">
        <w:rPr>
          <w:sz w:val="24"/>
        </w:rPr>
        <w:t xml:space="preserve">Tabla </w:t>
      </w:r>
      <w:r w:rsidR="00625BEB" w:rsidRPr="00625BEB">
        <w:rPr>
          <w:noProof/>
          <w:sz w:val="24"/>
        </w:rPr>
        <w:t>25</w:t>
      </w:r>
      <w:r w:rsidR="00686184" w:rsidRPr="00686184">
        <w:rPr>
          <w:rFonts w:cs="Arial"/>
          <w:sz w:val="24"/>
        </w:rPr>
        <w:fldChar w:fldCharType="end"/>
      </w:r>
      <w:r w:rsidR="00686184" w:rsidRPr="00686184">
        <w:rPr>
          <w:rFonts w:cs="Arial"/>
          <w:sz w:val="24"/>
        </w:rPr>
        <w:t xml:space="preserve"> </w:t>
      </w:r>
      <w:r w:rsidRPr="00686184">
        <w:rPr>
          <w:rFonts w:cs="Arial"/>
          <w:sz w:val="24"/>
        </w:rPr>
        <w:t>prese</w:t>
      </w:r>
      <w:r w:rsidRPr="000331D2">
        <w:rPr>
          <w:rFonts w:cs="Arial"/>
          <w:sz w:val="24"/>
        </w:rPr>
        <w:t>nta las estaciones asociadas al propanoducto Salgar – Mansilla.</w:t>
      </w:r>
    </w:p>
    <w:p w:rsidR="00402B6F" w:rsidRPr="000331D2" w:rsidRDefault="00402B6F" w:rsidP="0083557B">
      <w:pPr>
        <w:contextualSpacing/>
        <w:rPr>
          <w:rFonts w:cs="Arial"/>
          <w:sz w:val="24"/>
        </w:rPr>
      </w:pPr>
    </w:p>
    <w:tbl>
      <w:tblPr>
        <w:tblW w:w="7322"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020"/>
        <w:gridCol w:w="1400"/>
        <w:gridCol w:w="1330"/>
        <w:gridCol w:w="2572"/>
      </w:tblGrid>
      <w:tr w:rsidR="00402B6F" w:rsidRPr="004859E4" w:rsidTr="00402B6F">
        <w:trPr>
          <w:trHeight w:val="315"/>
          <w:tblHeader/>
          <w:jc w:val="center"/>
        </w:trPr>
        <w:tc>
          <w:tcPr>
            <w:tcW w:w="7322" w:type="dxa"/>
            <w:gridSpan w:val="4"/>
            <w:tcBorders>
              <w:top w:val="single" w:sz="8" w:space="0" w:color="4F81BD"/>
              <w:left w:val="single" w:sz="8" w:space="0" w:color="4F81BD"/>
              <w:bottom w:val="single" w:sz="18" w:space="0" w:color="4F81BD"/>
              <w:right w:val="single" w:sz="8" w:space="0" w:color="4F81BD"/>
            </w:tcBorders>
            <w:shd w:val="clear" w:color="auto" w:fill="auto"/>
            <w:noWrap/>
          </w:tcPr>
          <w:p w:rsidR="00402B6F" w:rsidRPr="004859E4" w:rsidRDefault="00402B6F" w:rsidP="002F63E2">
            <w:pPr>
              <w:jc w:val="center"/>
              <w:rPr>
                <w:rFonts w:cs="Arial"/>
                <w:b/>
                <w:bCs/>
                <w:color w:val="000000"/>
                <w:szCs w:val="22"/>
                <w:lang w:eastAsia="es-CO"/>
              </w:rPr>
            </w:pPr>
            <w:bookmarkStart w:id="910" w:name="_Ref437264587"/>
            <w:bookmarkStart w:id="911" w:name="_Toc437512831"/>
            <w:r>
              <w:t xml:space="preserve">Tabla </w:t>
            </w:r>
            <w:r>
              <w:fldChar w:fldCharType="begin"/>
            </w:r>
            <w:r>
              <w:instrText xml:space="preserve"> SEQ Tabla \* ARABIC </w:instrText>
            </w:r>
            <w:r>
              <w:fldChar w:fldCharType="separate"/>
            </w:r>
            <w:r w:rsidR="00625BEB">
              <w:rPr>
                <w:noProof/>
              </w:rPr>
              <w:t>25</w:t>
            </w:r>
            <w:r>
              <w:fldChar w:fldCharType="end"/>
            </w:r>
            <w:bookmarkEnd w:id="910"/>
            <w:r>
              <w:rPr>
                <w:noProof/>
              </w:rPr>
              <w:t xml:space="preserve"> </w:t>
            </w:r>
            <w:r w:rsidRPr="00D53DED">
              <w:rPr>
                <w:noProof/>
              </w:rPr>
              <w:t>Estaciones poliducto Salgar - Mansilla</w:t>
            </w:r>
            <w:bookmarkEnd w:id="911"/>
          </w:p>
        </w:tc>
      </w:tr>
      <w:tr w:rsidR="0083557B" w:rsidRPr="004859E4" w:rsidTr="00402B6F">
        <w:trPr>
          <w:trHeight w:val="315"/>
          <w:tblHeader/>
          <w:jc w:val="center"/>
        </w:trPr>
        <w:tc>
          <w:tcPr>
            <w:tcW w:w="202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jc w:val="center"/>
              <w:rPr>
                <w:rFonts w:cs="Arial"/>
                <w:bCs/>
                <w:color w:val="000000"/>
                <w:szCs w:val="22"/>
                <w:lang w:eastAsia="es-CO"/>
              </w:rPr>
            </w:pPr>
            <w:r w:rsidRPr="00122B75">
              <w:rPr>
                <w:rFonts w:cs="Arial"/>
                <w:bCs/>
                <w:color w:val="000000"/>
                <w:szCs w:val="22"/>
              </w:rPr>
              <w:t>Estaciones</w:t>
            </w:r>
          </w:p>
        </w:tc>
        <w:tc>
          <w:tcPr>
            <w:tcW w:w="140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jc w:val="center"/>
              <w:rPr>
                <w:rFonts w:cs="Arial"/>
                <w:bCs/>
                <w:color w:val="000000"/>
                <w:szCs w:val="22"/>
                <w:lang w:eastAsia="es-CO"/>
              </w:rPr>
            </w:pPr>
            <w:r w:rsidRPr="00122B75">
              <w:rPr>
                <w:rFonts w:cs="Arial"/>
                <w:bCs/>
                <w:color w:val="000000"/>
                <w:szCs w:val="22"/>
                <w:lang w:eastAsia="es-CO"/>
              </w:rPr>
              <w:t>Kilómetro</w:t>
            </w:r>
          </w:p>
        </w:tc>
        <w:tc>
          <w:tcPr>
            <w:tcW w:w="133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jc w:val="center"/>
              <w:rPr>
                <w:rFonts w:cs="Arial"/>
                <w:bCs/>
                <w:color w:val="000000"/>
                <w:szCs w:val="22"/>
                <w:lang w:eastAsia="es-CO"/>
              </w:rPr>
            </w:pPr>
            <w:r w:rsidRPr="00122B75">
              <w:rPr>
                <w:rFonts w:cs="Arial"/>
                <w:bCs/>
                <w:color w:val="000000"/>
                <w:szCs w:val="22"/>
                <w:lang w:eastAsia="es-CO"/>
              </w:rPr>
              <w:t>Tipo</w:t>
            </w:r>
          </w:p>
        </w:tc>
        <w:tc>
          <w:tcPr>
            <w:tcW w:w="2572"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122B75" w:rsidRDefault="0083557B" w:rsidP="002F63E2">
            <w:pPr>
              <w:jc w:val="center"/>
              <w:rPr>
                <w:rFonts w:cs="Arial"/>
                <w:bCs/>
                <w:color w:val="000000"/>
                <w:szCs w:val="22"/>
                <w:lang w:eastAsia="es-CO"/>
              </w:rPr>
            </w:pPr>
            <w:r w:rsidRPr="00122B75">
              <w:rPr>
                <w:rFonts w:cs="Arial"/>
                <w:bCs/>
                <w:color w:val="000000"/>
                <w:szCs w:val="22"/>
                <w:lang w:eastAsia="es-CO"/>
              </w:rPr>
              <w:t>Unidades de bombeo</w:t>
            </w:r>
          </w:p>
        </w:tc>
      </w:tr>
      <w:tr w:rsidR="0083557B" w:rsidRPr="004859E4" w:rsidTr="002F63E2">
        <w:trPr>
          <w:trHeight w:val="315"/>
          <w:jc w:val="center"/>
        </w:trPr>
        <w:tc>
          <w:tcPr>
            <w:tcW w:w="20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rPr>
              <w:t>Puerto Salgar</w:t>
            </w:r>
          </w:p>
        </w:tc>
        <w:tc>
          <w:tcPr>
            <w:tcW w:w="140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0</w:t>
            </w:r>
          </w:p>
        </w:tc>
        <w:tc>
          <w:tcPr>
            <w:tcW w:w="133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Bombeo</w:t>
            </w:r>
          </w:p>
        </w:tc>
        <w:tc>
          <w:tcPr>
            <w:tcW w:w="257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3</w:t>
            </w:r>
          </w:p>
        </w:tc>
      </w:tr>
      <w:tr w:rsidR="0083557B" w:rsidRPr="004859E4" w:rsidTr="002F63E2">
        <w:trPr>
          <w:trHeight w:val="315"/>
          <w:jc w:val="center"/>
        </w:trPr>
        <w:tc>
          <w:tcPr>
            <w:tcW w:w="202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Guaduero</w:t>
            </w:r>
          </w:p>
        </w:tc>
        <w:tc>
          <w:tcPr>
            <w:tcW w:w="140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41,5</w:t>
            </w:r>
          </w:p>
        </w:tc>
        <w:tc>
          <w:tcPr>
            <w:tcW w:w="133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Rebombeo</w:t>
            </w:r>
          </w:p>
        </w:tc>
        <w:tc>
          <w:tcPr>
            <w:tcW w:w="2572"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3</w:t>
            </w:r>
          </w:p>
        </w:tc>
      </w:tr>
      <w:tr w:rsidR="0083557B" w:rsidRPr="004859E4" w:rsidTr="002F63E2">
        <w:trPr>
          <w:trHeight w:val="315"/>
          <w:jc w:val="center"/>
        </w:trPr>
        <w:tc>
          <w:tcPr>
            <w:tcW w:w="20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rPr>
              <w:t>Villeta</w:t>
            </w:r>
          </w:p>
        </w:tc>
        <w:tc>
          <w:tcPr>
            <w:tcW w:w="140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72,1</w:t>
            </w:r>
          </w:p>
        </w:tc>
        <w:tc>
          <w:tcPr>
            <w:tcW w:w="133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Rebombeo</w:t>
            </w:r>
          </w:p>
        </w:tc>
        <w:tc>
          <w:tcPr>
            <w:tcW w:w="257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3</w:t>
            </w:r>
          </w:p>
        </w:tc>
      </w:tr>
      <w:tr w:rsidR="0083557B" w:rsidRPr="004859E4" w:rsidTr="002F63E2">
        <w:trPr>
          <w:trHeight w:val="315"/>
          <w:jc w:val="center"/>
        </w:trPr>
        <w:tc>
          <w:tcPr>
            <w:tcW w:w="202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Albán</w:t>
            </w:r>
          </w:p>
        </w:tc>
        <w:tc>
          <w:tcPr>
            <w:tcW w:w="140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91,4</w:t>
            </w:r>
          </w:p>
        </w:tc>
        <w:tc>
          <w:tcPr>
            <w:tcW w:w="133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Rebombeo</w:t>
            </w:r>
          </w:p>
        </w:tc>
        <w:tc>
          <w:tcPr>
            <w:tcW w:w="2572"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jc w:val="center"/>
              <w:rPr>
                <w:rFonts w:cs="Arial"/>
                <w:color w:val="000000"/>
                <w:szCs w:val="22"/>
                <w:lang w:eastAsia="es-CO"/>
              </w:rPr>
            </w:pPr>
            <w:r w:rsidRPr="00122B75">
              <w:rPr>
                <w:rFonts w:cs="Arial"/>
                <w:color w:val="000000"/>
                <w:szCs w:val="22"/>
                <w:lang w:eastAsia="es-CO"/>
              </w:rPr>
              <w:t>3</w:t>
            </w:r>
          </w:p>
        </w:tc>
      </w:tr>
      <w:tr w:rsidR="0083557B" w:rsidRPr="004859E4" w:rsidTr="002F63E2">
        <w:trPr>
          <w:trHeight w:val="315"/>
          <w:jc w:val="center"/>
        </w:trPr>
        <w:tc>
          <w:tcPr>
            <w:tcW w:w="202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rPr>
              <w:t>Mansilla</w:t>
            </w:r>
          </w:p>
        </w:tc>
        <w:tc>
          <w:tcPr>
            <w:tcW w:w="140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1.094</w:t>
            </w:r>
          </w:p>
        </w:tc>
        <w:tc>
          <w:tcPr>
            <w:tcW w:w="133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Recibo</w:t>
            </w:r>
          </w:p>
        </w:tc>
        <w:tc>
          <w:tcPr>
            <w:tcW w:w="2572"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center"/>
              <w:rPr>
                <w:rFonts w:cs="Arial"/>
                <w:color w:val="000000"/>
                <w:lang w:eastAsia="es-CO"/>
              </w:rPr>
            </w:pPr>
          </w:p>
        </w:tc>
      </w:tr>
    </w:tbl>
    <w:p w:rsidR="0083557B"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83557B" w:rsidRPr="004859E4" w:rsidRDefault="0083557B" w:rsidP="0083557B">
      <w:pPr>
        <w:contextualSpacing/>
        <w:rPr>
          <w:rFonts w:cs="Arial"/>
          <w:sz w:val="18"/>
          <w:szCs w:val="18"/>
        </w:rPr>
      </w:pPr>
    </w:p>
    <w:p w:rsidR="0083557B" w:rsidRPr="00F42CA3" w:rsidRDefault="0083557B" w:rsidP="00391FB3">
      <w:pPr>
        <w:pStyle w:val="Ttulo3"/>
        <w:rPr>
          <w:b w:val="0"/>
          <w:sz w:val="24"/>
          <w:szCs w:val="24"/>
        </w:rPr>
      </w:pPr>
      <w:bookmarkStart w:id="912" w:name="_Toc380057142"/>
      <w:bookmarkStart w:id="913" w:name="_Toc433295756"/>
      <w:bookmarkStart w:id="914" w:name="_Toc433296481"/>
      <w:bookmarkStart w:id="915" w:name="_Toc437500910"/>
      <w:bookmarkStart w:id="916" w:name="_Toc437501569"/>
      <w:bookmarkStart w:id="917" w:name="_Toc437501749"/>
      <w:bookmarkStart w:id="918" w:name="_Toc437501839"/>
      <w:bookmarkStart w:id="919" w:name="_Toc437502602"/>
      <w:bookmarkStart w:id="920" w:name="_Toc437505962"/>
      <w:bookmarkStart w:id="921" w:name="_Toc437512775"/>
      <w:r w:rsidRPr="00F42CA3">
        <w:rPr>
          <w:sz w:val="24"/>
          <w:szCs w:val="24"/>
        </w:rPr>
        <w:t>Propanoducto Salgar – Mansilla 8”</w:t>
      </w:r>
      <w:bookmarkEnd w:id="912"/>
      <w:bookmarkEnd w:id="913"/>
      <w:bookmarkEnd w:id="914"/>
      <w:bookmarkEnd w:id="915"/>
      <w:bookmarkEnd w:id="916"/>
      <w:bookmarkEnd w:id="917"/>
      <w:bookmarkEnd w:id="918"/>
      <w:bookmarkEnd w:id="919"/>
      <w:bookmarkEnd w:id="920"/>
      <w:bookmarkEnd w:id="921"/>
    </w:p>
    <w:p w:rsidR="0083557B" w:rsidRPr="004859E4" w:rsidRDefault="0083557B" w:rsidP="0083557B">
      <w:pPr>
        <w:ind w:left="195"/>
        <w:rPr>
          <w:rFonts w:cs="Arial"/>
        </w:rPr>
      </w:pPr>
    </w:p>
    <w:p w:rsidR="0083557B" w:rsidRDefault="0083557B" w:rsidP="0083557B">
      <w:pPr>
        <w:tabs>
          <w:tab w:val="decimal" w:pos="3544"/>
        </w:tabs>
        <w:rPr>
          <w:rFonts w:cs="Arial"/>
          <w:sz w:val="24"/>
        </w:rPr>
      </w:pPr>
      <w:r w:rsidRPr="000331D2">
        <w:rPr>
          <w:rFonts w:cs="Arial"/>
          <w:sz w:val="24"/>
        </w:rPr>
        <w:t>Transporta GLP desde Salgar al área de Bogotá, el lleno de línea correspondiente es de 20.955 barriles. En el recorrido se presentan dos diámetros asociados al propanoducto, los primeros 90 kilómetros presentan ducto de 8 pulgadas y en los restantes 17 kilómetros el ducto disminuye el diámetro a 6 pulgadas</w:t>
      </w:r>
      <w:r w:rsidR="00AD3F1B">
        <w:rPr>
          <w:rFonts w:cs="Arial"/>
          <w:sz w:val="24"/>
        </w:rPr>
        <w:t xml:space="preserve">. </w:t>
      </w:r>
      <w:r w:rsidR="00E90EA9">
        <w:rPr>
          <w:rFonts w:cs="Arial"/>
          <w:sz w:val="24"/>
        </w:rPr>
        <w:t xml:space="preserve">En la </w:t>
      </w:r>
      <w:r w:rsidR="00B30132" w:rsidRPr="000331D2">
        <w:rPr>
          <w:rFonts w:cs="Arial"/>
          <w:sz w:val="24"/>
        </w:rPr>
        <w:fldChar w:fldCharType="begin"/>
      </w:r>
      <w:r w:rsidR="00B30132" w:rsidRPr="000331D2">
        <w:rPr>
          <w:rFonts w:cs="Arial"/>
          <w:sz w:val="24"/>
        </w:rPr>
        <w:instrText xml:space="preserve"> REF _Ref437018830 \h </w:instrText>
      </w:r>
      <w:r w:rsidR="000331D2">
        <w:rPr>
          <w:rFonts w:cs="Arial"/>
          <w:sz w:val="24"/>
        </w:rPr>
        <w:instrText xml:space="preserve"> \* MERGEFORMAT </w:instrText>
      </w:r>
      <w:r w:rsidR="00B30132" w:rsidRPr="000331D2">
        <w:rPr>
          <w:rFonts w:cs="Arial"/>
          <w:sz w:val="24"/>
        </w:rPr>
      </w:r>
      <w:r w:rsidR="00B30132" w:rsidRPr="000331D2">
        <w:rPr>
          <w:rFonts w:cs="Arial"/>
          <w:sz w:val="24"/>
        </w:rPr>
        <w:fldChar w:fldCharType="separate"/>
      </w:r>
      <w:r w:rsidR="00625BEB" w:rsidRPr="00625BEB">
        <w:rPr>
          <w:sz w:val="24"/>
        </w:rPr>
        <w:t xml:space="preserve">Gráfica </w:t>
      </w:r>
      <w:r w:rsidR="00625BEB" w:rsidRPr="00625BEB">
        <w:rPr>
          <w:noProof/>
          <w:sz w:val="24"/>
        </w:rPr>
        <w:t>24</w:t>
      </w:r>
      <w:r w:rsidR="00B30132" w:rsidRPr="000331D2">
        <w:rPr>
          <w:rFonts w:cs="Arial"/>
          <w:sz w:val="24"/>
        </w:rPr>
        <w:fldChar w:fldCharType="end"/>
      </w:r>
      <w:r w:rsidR="008D5E98">
        <w:rPr>
          <w:rFonts w:cs="Arial"/>
          <w:sz w:val="24"/>
        </w:rPr>
        <w:t xml:space="preserve"> </w:t>
      </w:r>
      <w:r w:rsidR="00E90EA9">
        <w:rPr>
          <w:rFonts w:cs="Arial"/>
          <w:sz w:val="24"/>
        </w:rPr>
        <w:t>se presenta el perfil de alturas</w:t>
      </w:r>
      <w:r w:rsidR="00AD3F1B">
        <w:rPr>
          <w:rFonts w:cs="Arial"/>
          <w:sz w:val="24"/>
        </w:rPr>
        <w:t>.</w:t>
      </w:r>
    </w:p>
    <w:p w:rsidR="00F42CA3" w:rsidRPr="000331D2" w:rsidRDefault="00F42CA3" w:rsidP="0083557B">
      <w:pPr>
        <w:tabs>
          <w:tab w:val="decimal" w:pos="3544"/>
        </w:tabs>
        <w:rPr>
          <w:rFonts w:cs="Arial"/>
          <w:sz w:val="24"/>
        </w:rPr>
      </w:pPr>
    </w:p>
    <w:p w:rsidR="008447E2" w:rsidRDefault="0083557B" w:rsidP="008447E2">
      <w:pPr>
        <w:keepNext/>
        <w:ind w:left="195"/>
        <w:contextualSpacing/>
        <w:jc w:val="center"/>
      </w:pPr>
      <w:r w:rsidRPr="004859E4">
        <w:rPr>
          <w:rFonts w:cs="Arial"/>
          <w:b/>
          <w:noProof/>
          <w:lang w:val="es-CO" w:eastAsia="es-CO"/>
        </w:rPr>
        <w:lastRenderedPageBreak/>
        <w:drawing>
          <wp:inline distT="0" distB="0" distL="0" distR="0" wp14:anchorId="4A0BCE25" wp14:editId="41F04CBD">
            <wp:extent cx="4644676" cy="3091218"/>
            <wp:effectExtent l="0" t="0" r="3810" b="0"/>
            <wp:docPr id="1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46020" cy="3092113"/>
                    </a:xfrm>
                    <a:prstGeom prst="rect">
                      <a:avLst/>
                    </a:prstGeom>
                    <a:noFill/>
                    <a:ln>
                      <a:noFill/>
                    </a:ln>
                  </pic:spPr>
                </pic:pic>
              </a:graphicData>
            </a:graphic>
          </wp:inline>
        </w:drawing>
      </w:r>
    </w:p>
    <w:p w:rsidR="0083557B"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8447E2" w:rsidRPr="008447E2" w:rsidRDefault="00BC557B" w:rsidP="00BC557B">
      <w:pPr>
        <w:pStyle w:val="Epgrafe"/>
      </w:pPr>
      <w:bookmarkStart w:id="922" w:name="_Ref437018830"/>
      <w:bookmarkStart w:id="923" w:name="_Toc437512861"/>
      <w:r>
        <w:t xml:space="preserve">Gráfica </w:t>
      </w:r>
      <w:r>
        <w:fldChar w:fldCharType="begin"/>
      </w:r>
      <w:r>
        <w:instrText xml:space="preserve"> SEQ Gráfica \* ARABIC </w:instrText>
      </w:r>
      <w:r>
        <w:fldChar w:fldCharType="separate"/>
      </w:r>
      <w:r w:rsidR="00625BEB">
        <w:rPr>
          <w:noProof/>
        </w:rPr>
        <w:t>24</w:t>
      </w:r>
      <w:r>
        <w:fldChar w:fldCharType="end"/>
      </w:r>
      <w:bookmarkEnd w:id="922"/>
      <w:r>
        <w:t xml:space="preserve"> </w:t>
      </w:r>
      <w:r w:rsidRPr="00146C78">
        <w:t>Perfil propanoducto Salgar – Mansilla</w:t>
      </w:r>
      <w:bookmarkEnd w:id="923"/>
    </w:p>
    <w:p w:rsidR="00F42CA3" w:rsidRDefault="00F42CA3" w:rsidP="0083557B">
      <w:pPr>
        <w:rPr>
          <w:rFonts w:cs="Arial"/>
          <w:sz w:val="24"/>
        </w:rPr>
      </w:pPr>
    </w:p>
    <w:p w:rsidR="0083557B" w:rsidRPr="000331D2" w:rsidRDefault="0083557B" w:rsidP="0083557B">
      <w:pPr>
        <w:rPr>
          <w:rFonts w:cs="Arial"/>
          <w:b/>
          <w:sz w:val="24"/>
        </w:rPr>
      </w:pPr>
      <w:r w:rsidRPr="000331D2">
        <w:rPr>
          <w:rFonts w:cs="Arial"/>
          <w:sz w:val="24"/>
        </w:rPr>
        <w:t>El propanoducto tiene capacidad operativa de 14,4 kbl/día y un lleno de línea de 20.995 barriles. Presenta las siguientes estaciones:</w:t>
      </w:r>
    </w:p>
    <w:p w:rsidR="00963451" w:rsidRPr="00B22E6A" w:rsidRDefault="00963451" w:rsidP="00932398">
      <w:pPr>
        <w:rPr>
          <w:b/>
        </w:rPr>
      </w:pPr>
    </w:p>
    <w:tbl>
      <w:tblPr>
        <w:tblW w:w="7146"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780"/>
        <w:gridCol w:w="1400"/>
        <w:gridCol w:w="1330"/>
        <w:gridCol w:w="2636"/>
      </w:tblGrid>
      <w:tr w:rsidR="00932398" w:rsidRPr="00B22E6A" w:rsidTr="00B22E6A">
        <w:trPr>
          <w:trHeight w:val="315"/>
          <w:jc w:val="center"/>
        </w:trPr>
        <w:tc>
          <w:tcPr>
            <w:tcW w:w="7146" w:type="dxa"/>
            <w:gridSpan w:val="4"/>
            <w:tcBorders>
              <w:top w:val="single" w:sz="8" w:space="0" w:color="4F81BD"/>
              <w:left w:val="single" w:sz="8" w:space="0" w:color="4F81BD"/>
              <w:bottom w:val="single" w:sz="18" w:space="0" w:color="4F81BD"/>
              <w:right w:val="single" w:sz="8" w:space="0" w:color="4F81BD"/>
            </w:tcBorders>
            <w:shd w:val="clear" w:color="auto" w:fill="auto"/>
            <w:noWrap/>
          </w:tcPr>
          <w:p w:rsidR="00932398" w:rsidRPr="00722321" w:rsidRDefault="00932398" w:rsidP="00932398">
            <w:pPr>
              <w:jc w:val="center"/>
              <w:rPr>
                <w:rFonts w:cs="Arial"/>
                <w:bCs/>
                <w:color w:val="000000"/>
                <w:szCs w:val="22"/>
                <w:lang w:eastAsia="es-CO"/>
              </w:rPr>
            </w:pPr>
            <w:bookmarkStart w:id="924" w:name="_Toc437512832"/>
            <w:r w:rsidRPr="00722321">
              <w:t xml:space="preserve">Tabla </w:t>
            </w:r>
            <w:r w:rsidRPr="00722321">
              <w:fldChar w:fldCharType="begin"/>
            </w:r>
            <w:r w:rsidRPr="00722321">
              <w:instrText xml:space="preserve"> SEQ Tabla \* ARABIC </w:instrText>
            </w:r>
            <w:r w:rsidRPr="00722321">
              <w:fldChar w:fldCharType="separate"/>
            </w:r>
            <w:r w:rsidR="00625BEB">
              <w:rPr>
                <w:noProof/>
              </w:rPr>
              <w:t>26</w:t>
            </w:r>
            <w:r w:rsidRPr="00722321">
              <w:fldChar w:fldCharType="end"/>
            </w:r>
            <w:r w:rsidRPr="00722321">
              <w:t xml:space="preserve"> Estaciones poliducto Salgar - Mansilla</w:t>
            </w:r>
            <w:bookmarkEnd w:id="924"/>
          </w:p>
        </w:tc>
      </w:tr>
      <w:tr w:rsidR="0083557B" w:rsidRPr="004859E4" w:rsidTr="002F63E2">
        <w:trPr>
          <w:trHeight w:val="315"/>
          <w:jc w:val="center"/>
        </w:trPr>
        <w:tc>
          <w:tcPr>
            <w:tcW w:w="178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2F63E2">
            <w:pPr>
              <w:rPr>
                <w:rFonts w:cs="Arial"/>
                <w:bCs/>
                <w:color w:val="000000"/>
                <w:szCs w:val="22"/>
                <w:lang w:eastAsia="es-CO"/>
              </w:rPr>
            </w:pPr>
            <w:r w:rsidRPr="00722321">
              <w:rPr>
                <w:rFonts w:cs="Arial"/>
                <w:bCs/>
                <w:color w:val="000000"/>
                <w:szCs w:val="22"/>
              </w:rPr>
              <w:t xml:space="preserve">Estaciones </w:t>
            </w:r>
          </w:p>
        </w:tc>
        <w:tc>
          <w:tcPr>
            <w:tcW w:w="140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2F63E2">
            <w:pPr>
              <w:rPr>
                <w:rFonts w:cs="Arial"/>
                <w:bCs/>
                <w:color w:val="000000"/>
                <w:szCs w:val="22"/>
                <w:lang w:eastAsia="es-CO"/>
              </w:rPr>
            </w:pPr>
            <w:r w:rsidRPr="00722321">
              <w:rPr>
                <w:rFonts w:cs="Arial"/>
                <w:bCs/>
                <w:color w:val="000000"/>
                <w:szCs w:val="22"/>
                <w:lang w:eastAsia="es-CO"/>
              </w:rPr>
              <w:t>Kilómetro</w:t>
            </w:r>
          </w:p>
        </w:tc>
        <w:tc>
          <w:tcPr>
            <w:tcW w:w="133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2F63E2">
            <w:pPr>
              <w:rPr>
                <w:rFonts w:cs="Arial"/>
                <w:bCs/>
                <w:color w:val="000000"/>
                <w:szCs w:val="22"/>
                <w:lang w:eastAsia="es-CO"/>
              </w:rPr>
            </w:pPr>
            <w:r w:rsidRPr="00722321">
              <w:rPr>
                <w:rFonts w:cs="Arial"/>
                <w:bCs/>
                <w:color w:val="000000"/>
                <w:szCs w:val="22"/>
                <w:lang w:eastAsia="es-CO"/>
              </w:rPr>
              <w:t>Tipo</w:t>
            </w:r>
          </w:p>
        </w:tc>
        <w:tc>
          <w:tcPr>
            <w:tcW w:w="2636"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2F63E2">
            <w:pPr>
              <w:rPr>
                <w:rFonts w:cs="Arial"/>
                <w:bCs/>
                <w:color w:val="000000"/>
                <w:szCs w:val="22"/>
                <w:lang w:eastAsia="es-CO"/>
              </w:rPr>
            </w:pPr>
            <w:r w:rsidRPr="00722321">
              <w:rPr>
                <w:rFonts w:cs="Arial"/>
                <w:bCs/>
                <w:color w:val="000000"/>
                <w:szCs w:val="22"/>
                <w:lang w:eastAsia="es-CO"/>
              </w:rPr>
              <w:t>Unidades de bombeo</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rPr>
              <w:t>Puerto Salgar</w:t>
            </w:r>
          </w:p>
        </w:tc>
        <w:tc>
          <w:tcPr>
            <w:tcW w:w="140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right"/>
              <w:rPr>
                <w:rFonts w:cs="Arial"/>
                <w:color w:val="000000"/>
                <w:szCs w:val="22"/>
                <w:lang w:eastAsia="es-CO"/>
              </w:rPr>
            </w:pPr>
            <w:r w:rsidRPr="00122B75">
              <w:rPr>
                <w:rFonts w:cs="Arial"/>
                <w:color w:val="000000"/>
                <w:szCs w:val="22"/>
                <w:lang w:eastAsia="es-CO"/>
              </w:rPr>
              <w:t>0</w:t>
            </w:r>
          </w:p>
        </w:tc>
        <w:tc>
          <w:tcPr>
            <w:tcW w:w="133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Bombeo</w:t>
            </w:r>
          </w:p>
        </w:tc>
        <w:tc>
          <w:tcPr>
            <w:tcW w:w="263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right"/>
              <w:rPr>
                <w:rFonts w:cs="Arial"/>
                <w:color w:val="000000"/>
                <w:szCs w:val="22"/>
                <w:lang w:eastAsia="es-CO"/>
              </w:rPr>
            </w:pPr>
            <w:r w:rsidRPr="00122B75">
              <w:rPr>
                <w:rFonts w:cs="Arial"/>
                <w:color w:val="000000"/>
                <w:szCs w:val="22"/>
                <w:lang w:eastAsia="es-CO"/>
              </w:rPr>
              <w:t>2</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Guaduero</w:t>
            </w:r>
          </w:p>
        </w:tc>
        <w:tc>
          <w:tcPr>
            <w:tcW w:w="140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41,5</w:t>
            </w:r>
          </w:p>
        </w:tc>
        <w:tc>
          <w:tcPr>
            <w:tcW w:w="133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Rebombeo</w:t>
            </w:r>
          </w:p>
        </w:tc>
        <w:tc>
          <w:tcPr>
            <w:tcW w:w="2636"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jc w:val="right"/>
              <w:rPr>
                <w:rFonts w:cs="Arial"/>
                <w:color w:val="000000"/>
                <w:szCs w:val="22"/>
                <w:lang w:eastAsia="es-CO"/>
              </w:rPr>
            </w:pPr>
            <w:r w:rsidRPr="00122B75">
              <w:rPr>
                <w:rFonts w:cs="Arial"/>
                <w:color w:val="000000"/>
                <w:szCs w:val="22"/>
                <w:lang w:eastAsia="es-CO"/>
              </w:rPr>
              <w:t>2</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rPr>
              <w:t>Villeta</w:t>
            </w:r>
          </w:p>
        </w:tc>
        <w:tc>
          <w:tcPr>
            <w:tcW w:w="140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72,1</w:t>
            </w:r>
          </w:p>
        </w:tc>
        <w:tc>
          <w:tcPr>
            <w:tcW w:w="133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Rebombeo</w:t>
            </w:r>
          </w:p>
        </w:tc>
        <w:tc>
          <w:tcPr>
            <w:tcW w:w="263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jc w:val="right"/>
              <w:rPr>
                <w:rFonts w:cs="Arial"/>
                <w:color w:val="000000"/>
                <w:szCs w:val="22"/>
                <w:lang w:eastAsia="es-CO"/>
              </w:rPr>
            </w:pPr>
            <w:r w:rsidRPr="00122B75">
              <w:rPr>
                <w:rFonts w:cs="Arial"/>
                <w:color w:val="000000"/>
                <w:szCs w:val="22"/>
                <w:lang w:eastAsia="es-CO"/>
              </w:rPr>
              <w:t>2</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bCs/>
                <w:color w:val="000000"/>
                <w:szCs w:val="22"/>
                <w:lang w:eastAsia="es-CO"/>
              </w:rPr>
            </w:pPr>
            <w:r w:rsidRPr="00122B75">
              <w:rPr>
                <w:rFonts w:cs="Arial"/>
                <w:bCs/>
                <w:color w:val="000000"/>
                <w:szCs w:val="22"/>
              </w:rPr>
              <w:t>Albán</w:t>
            </w:r>
          </w:p>
        </w:tc>
        <w:tc>
          <w:tcPr>
            <w:tcW w:w="140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91,4</w:t>
            </w:r>
          </w:p>
        </w:tc>
        <w:tc>
          <w:tcPr>
            <w:tcW w:w="133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Rebombeo</w:t>
            </w:r>
          </w:p>
        </w:tc>
        <w:tc>
          <w:tcPr>
            <w:tcW w:w="2636"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122B75" w:rsidRDefault="0083557B" w:rsidP="002F63E2">
            <w:pPr>
              <w:jc w:val="right"/>
              <w:rPr>
                <w:rFonts w:cs="Arial"/>
                <w:color w:val="000000"/>
                <w:szCs w:val="22"/>
                <w:lang w:eastAsia="es-CO"/>
              </w:rPr>
            </w:pPr>
            <w:r w:rsidRPr="00122B75">
              <w:rPr>
                <w:rFonts w:cs="Arial"/>
                <w:color w:val="000000"/>
                <w:szCs w:val="22"/>
                <w:lang w:eastAsia="es-CO"/>
              </w:rPr>
              <w:t>2</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bCs/>
                <w:color w:val="000000"/>
                <w:szCs w:val="22"/>
                <w:lang w:eastAsia="es-CO"/>
              </w:rPr>
            </w:pPr>
            <w:r w:rsidRPr="00122B75">
              <w:rPr>
                <w:rFonts w:cs="Arial"/>
                <w:bCs/>
                <w:color w:val="000000"/>
                <w:szCs w:val="22"/>
              </w:rPr>
              <w:t>Mansilla</w:t>
            </w:r>
          </w:p>
        </w:tc>
        <w:tc>
          <w:tcPr>
            <w:tcW w:w="140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107,7</w:t>
            </w:r>
          </w:p>
        </w:tc>
        <w:tc>
          <w:tcPr>
            <w:tcW w:w="133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szCs w:val="22"/>
                <w:lang w:eastAsia="es-CO"/>
              </w:rPr>
            </w:pPr>
            <w:r w:rsidRPr="00122B75">
              <w:rPr>
                <w:rFonts w:cs="Arial"/>
                <w:color w:val="000000"/>
                <w:szCs w:val="22"/>
                <w:lang w:eastAsia="es-CO"/>
              </w:rPr>
              <w:t>Recibo</w:t>
            </w:r>
          </w:p>
        </w:tc>
        <w:tc>
          <w:tcPr>
            <w:tcW w:w="2636"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122B75" w:rsidRDefault="0083557B" w:rsidP="002F63E2">
            <w:pPr>
              <w:rPr>
                <w:rFonts w:cs="Arial"/>
                <w:color w:val="000000"/>
                <w:lang w:eastAsia="es-CO"/>
              </w:rPr>
            </w:pPr>
          </w:p>
        </w:tc>
      </w:tr>
    </w:tbl>
    <w:p w:rsidR="0083557B" w:rsidRPr="004859E4"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C77B93" w:rsidRPr="004859E4" w:rsidRDefault="00C77B93" w:rsidP="0083557B">
      <w:pPr>
        <w:contextualSpacing/>
        <w:rPr>
          <w:rFonts w:cs="Arial"/>
          <w:b/>
          <w:bCs/>
          <w:szCs w:val="26"/>
        </w:rPr>
      </w:pPr>
    </w:p>
    <w:p w:rsidR="0083557B" w:rsidRPr="000331D2" w:rsidRDefault="0083557B" w:rsidP="00391FB3">
      <w:pPr>
        <w:pStyle w:val="Ttulo3"/>
        <w:rPr>
          <w:b w:val="0"/>
          <w:sz w:val="24"/>
          <w:szCs w:val="24"/>
        </w:rPr>
      </w:pPr>
      <w:bookmarkStart w:id="925" w:name="_Toc380057143"/>
      <w:bookmarkStart w:id="926" w:name="_Toc433295757"/>
      <w:bookmarkStart w:id="927" w:name="_Toc433296482"/>
      <w:bookmarkStart w:id="928" w:name="_Toc437500911"/>
      <w:bookmarkStart w:id="929" w:name="_Toc437501570"/>
      <w:bookmarkStart w:id="930" w:name="_Toc437501750"/>
      <w:bookmarkStart w:id="931" w:name="_Toc437501840"/>
      <w:bookmarkStart w:id="932" w:name="_Toc437502603"/>
      <w:bookmarkStart w:id="933" w:name="_Toc437505963"/>
      <w:bookmarkStart w:id="934" w:name="_Toc437512776"/>
      <w:r w:rsidRPr="000331D2">
        <w:rPr>
          <w:sz w:val="24"/>
          <w:szCs w:val="24"/>
        </w:rPr>
        <w:t>Poliducto Mansilla – Puente Aranda</w:t>
      </w:r>
      <w:bookmarkEnd w:id="925"/>
      <w:bookmarkEnd w:id="926"/>
      <w:bookmarkEnd w:id="927"/>
      <w:bookmarkEnd w:id="928"/>
      <w:bookmarkEnd w:id="929"/>
      <w:bookmarkEnd w:id="930"/>
      <w:bookmarkEnd w:id="931"/>
      <w:bookmarkEnd w:id="932"/>
      <w:bookmarkEnd w:id="933"/>
      <w:bookmarkEnd w:id="934"/>
    </w:p>
    <w:p w:rsidR="0083557B" w:rsidRPr="000331D2" w:rsidRDefault="0083557B" w:rsidP="0083557B">
      <w:pPr>
        <w:ind w:left="195"/>
        <w:rPr>
          <w:rFonts w:cs="Arial"/>
          <w:b/>
          <w:sz w:val="24"/>
        </w:rPr>
      </w:pPr>
    </w:p>
    <w:p w:rsidR="0083557B" w:rsidRDefault="0083557B" w:rsidP="0083557B">
      <w:pPr>
        <w:tabs>
          <w:tab w:val="decimal" w:pos="3544"/>
        </w:tabs>
        <w:rPr>
          <w:rFonts w:cs="Arial"/>
          <w:sz w:val="24"/>
        </w:rPr>
      </w:pPr>
      <w:r w:rsidRPr="000331D2">
        <w:rPr>
          <w:rFonts w:cs="Arial"/>
          <w:sz w:val="24"/>
        </w:rPr>
        <w:t>Consiste en un ducto de 10 pulgadas y 43 kilómetros de longitud, de los cuales cerca de 14 kilómetros atraviesan zonas urbanas de Fontibón y Bogotá. Presenta un lleno de línea de 14.855 barriles y capacidad operacional de 68,4 kbl/día.</w:t>
      </w:r>
    </w:p>
    <w:p w:rsidR="008447E2" w:rsidRDefault="0083557B" w:rsidP="008447E2">
      <w:pPr>
        <w:keepNext/>
        <w:ind w:left="195"/>
        <w:contextualSpacing/>
        <w:jc w:val="center"/>
      </w:pPr>
      <w:r w:rsidRPr="004859E4">
        <w:rPr>
          <w:rFonts w:cs="Arial"/>
          <w:b/>
          <w:noProof/>
          <w:lang w:val="es-CO" w:eastAsia="es-CO"/>
        </w:rPr>
        <w:lastRenderedPageBreak/>
        <w:drawing>
          <wp:inline distT="0" distB="0" distL="0" distR="0" wp14:anchorId="3ABCCCB2" wp14:editId="7805A0ED">
            <wp:extent cx="4049631" cy="2702256"/>
            <wp:effectExtent l="0" t="0" r="8255" b="3175"/>
            <wp:docPr id="1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47821" cy="2701048"/>
                    </a:xfrm>
                    <a:prstGeom prst="rect">
                      <a:avLst/>
                    </a:prstGeom>
                    <a:noFill/>
                    <a:ln>
                      <a:noFill/>
                    </a:ln>
                  </pic:spPr>
                </pic:pic>
              </a:graphicData>
            </a:graphic>
          </wp:inline>
        </w:drawing>
      </w:r>
    </w:p>
    <w:p w:rsidR="0083557B" w:rsidRDefault="0083557B" w:rsidP="00B22E6A">
      <w:pPr>
        <w:pStyle w:val="Epgrafe"/>
        <w:spacing w:line="240" w:lineRule="auto"/>
        <w:contextualSpacing/>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BC557B" w:rsidRDefault="00BC557B" w:rsidP="00BC557B">
      <w:pPr>
        <w:pStyle w:val="Epgrafe"/>
      </w:pPr>
      <w:bookmarkStart w:id="935" w:name="_Toc437512862"/>
      <w:r>
        <w:t xml:space="preserve">Gráfica </w:t>
      </w:r>
      <w:r>
        <w:fldChar w:fldCharType="begin"/>
      </w:r>
      <w:r>
        <w:instrText xml:space="preserve"> SEQ Gráfica \* ARABIC </w:instrText>
      </w:r>
      <w:r>
        <w:fldChar w:fldCharType="separate"/>
      </w:r>
      <w:r w:rsidR="00625BEB">
        <w:rPr>
          <w:noProof/>
        </w:rPr>
        <w:t>25</w:t>
      </w:r>
      <w:r>
        <w:fldChar w:fldCharType="end"/>
      </w:r>
      <w:r>
        <w:t xml:space="preserve"> </w:t>
      </w:r>
      <w:r w:rsidRPr="007A7151">
        <w:t>Perfil Mansilla – Puente Aranda</w:t>
      </w:r>
      <w:bookmarkEnd w:id="935"/>
    </w:p>
    <w:p w:rsidR="00F42CA3" w:rsidRPr="00F42CA3" w:rsidRDefault="00F42CA3" w:rsidP="00F42CA3"/>
    <w:p w:rsidR="0083557B" w:rsidRPr="000331D2" w:rsidRDefault="0083557B" w:rsidP="00391FB3">
      <w:pPr>
        <w:pStyle w:val="Ttulo3"/>
        <w:rPr>
          <w:b w:val="0"/>
          <w:sz w:val="24"/>
          <w:szCs w:val="24"/>
        </w:rPr>
      </w:pPr>
      <w:bookmarkStart w:id="936" w:name="_Toc380057144"/>
      <w:bookmarkStart w:id="937" w:name="_Toc433295758"/>
      <w:bookmarkStart w:id="938" w:name="_Toc433296483"/>
      <w:bookmarkStart w:id="939" w:name="_Toc437500912"/>
      <w:bookmarkStart w:id="940" w:name="_Toc437501571"/>
      <w:bookmarkStart w:id="941" w:name="_Toc437501751"/>
      <w:bookmarkStart w:id="942" w:name="_Toc437501841"/>
      <w:bookmarkStart w:id="943" w:name="_Toc437502604"/>
      <w:bookmarkStart w:id="944" w:name="_Toc437505964"/>
      <w:bookmarkStart w:id="945" w:name="_Toc437512777"/>
      <w:r w:rsidRPr="000331D2">
        <w:rPr>
          <w:sz w:val="24"/>
          <w:szCs w:val="24"/>
        </w:rPr>
        <w:t xml:space="preserve">Poliducto Puente Aranda – </w:t>
      </w:r>
      <w:r w:rsidRPr="000331D2">
        <w:rPr>
          <w:b w:val="0"/>
          <w:sz w:val="24"/>
          <w:szCs w:val="24"/>
        </w:rPr>
        <w:t>El Dorado</w:t>
      </w:r>
      <w:bookmarkEnd w:id="936"/>
      <w:bookmarkEnd w:id="937"/>
      <w:bookmarkEnd w:id="938"/>
      <w:bookmarkEnd w:id="939"/>
      <w:bookmarkEnd w:id="940"/>
      <w:bookmarkEnd w:id="941"/>
      <w:bookmarkEnd w:id="942"/>
      <w:bookmarkEnd w:id="943"/>
      <w:bookmarkEnd w:id="944"/>
      <w:bookmarkEnd w:id="945"/>
    </w:p>
    <w:p w:rsidR="0083557B" w:rsidRPr="000331D2" w:rsidRDefault="0083557B" w:rsidP="0083557B">
      <w:pPr>
        <w:ind w:left="195"/>
        <w:rPr>
          <w:rFonts w:cs="Arial"/>
          <w:b/>
          <w:snapToGrid w:val="0"/>
          <w:sz w:val="24"/>
        </w:rPr>
      </w:pPr>
    </w:p>
    <w:p w:rsidR="0083557B" w:rsidRDefault="0083557B" w:rsidP="0083557B">
      <w:pPr>
        <w:rPr>
          <w:rFonts w:cs="Arial"/>
          <w:sz w:val="24"/>
        </w:rPr>
      </w:pPr>
      <w:r w:rsidRPr="000331D2">
        <w:rPr>
          <w:rFonts w:cs="Arial"/>
          <w:sz w:val="24"/>
        </w:rPr>
        <w:t xml:space="preserve">Consiste en un ducto de 6 pulgadas y una longitud de 9,5 kilómetros con recorrido totalmente urbano. Atiende principalmente </w:t>
      </w:r>
      <w:r w:rsidR="00741ACD" w:rsidRPr="000331D2">
        <w:rPr>
          <w:rFonts w:cs="Arial"/>
          <w:sz w:val="24"/>
        </w:rPr>
        <w:t xml:space="preserve">las necesidades de Diésel y JET </w:t>
      </w:r>
      <w:r w:rsidRPr="000331D2">
        <w:rPr>
          <w:rFonts w:cs="Arial"/>
          <w:sz w:val="24"/>
        </w:rPr>
        <w:t>A1 del aeropuerto El Dorado. Posee un lleno de línea de 14.855 barriles y una capacidad operacional de 16 kbl/día.</w:t>
      </w:r>
    </w:p>
    <w:p w:rsidR="0083557B" w:rsidRPr="004859E4" w:rsidRDefault="0083557B" w:rsidP="0083557B">
      <w:pPr>
        <w:rPr>
          <w:rFonts w:cs="Arial"/>
        </w:rPr>
      </w:pPr>
      <w:r w:rsidRPr="004859E4">
        <w:rPr>
          <w:rFonts w:cs="Arial"/>
        </w:rPr>
        <w:t xml:space="preserve"> </w:t>
      </w:r>
    </w:p>
    <w:p w:rsidR="003C78EE" w:rsidRDefault="0083557B" w:rsidP="003C78EE">
      <w:pPr>
        <w:keepNext/>
        <w:ind w:left="195"/>
        <w:contextualSpacing/>
        <w:jc w:val="center"/>
      </w:pPr>
      <w:r w:rsidRPr="004859E4">
        <w:rPr>
          <w:rFonts w:cs="Arial"/>
          <w:b/>
          <w:noProof/>
          <w:lang w:val="es-CO" w:eastAsia="es-CO"/>
        </w:rPr>
        <w:drawing>
          <wp:inline distT="0" distB="0" distL="0" distR="0" wp14:anchorId="0AFBA341" wp14:editId="72B2B187">
            <wp:extent cx="4094329" cy="2839760"/>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096575" cy="2841318"/>
                    </a:xfrm>
                    <a:prstGeom prst="rect">
                      <a:avLst/>
                    </a:prstGeom>
                    <a:noFill/>
                    <a:ln>
                      <a:noFill/>
                    </a:ln>
                  </pic:spPr>
                </pic:pic>
              </a:graphicData>
            </a:graphic>
          </wp:inline>
        </w:drawing>
      </w:r>
    </w:p>
    <w:p w:rsidR="0083557B" w:rsidRPr="004859E4"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83557B" w:rsidRPr="004859E4" w:rsidRDefault="00BC557B" w:rsidP="00BC557B">
      <w:pPr>
        <w:pStyle w:val="Epgrafe"/>
        <w:rPr>
          <w:rFonts w:cs="Arial"/>
          <w:b/>
        </w:rPr>
      </w:pPr>
      <w:bookmarkStart w:id="946" w:name="_Toc437512863"/>
      <w:r>
        <w:t xml:space="preserve">Gráfica </w:t>
      </w:r>
      <w:r>
        <w:fldChar w:fldCharType="begin"/>
      </w:r>
      <w:r>
        <w:instrText xml:space="preserve"> SEQ Gráfica \* ARABIC </w:instrText>
      </w:r>
      <w:r>
        <w:fldChar w:fldCharType="separate"/>
      </w:r>
      <w:r w:rsidR="00625BEB">
        <w:rPr>
          <w:noProof/>
        </w:rPr>
        <w:t>26</w:t>
      </w:r>
      <w:r>
        <w:fldChar w:fldCharType="end"/>
      </w:r>
      <w:r>
        <w:t xml:space="preserve"> </w:t>
      </w:r>
      <w:r w:rsidRPr="001152D4">
        <w:t>Perfil poliducto Puente Aranda – El Dorado</w:t>
      </w:r>
      <w:bookmarkEnd w:id="946"/>
    </w:p>
    <w:p w:rsidR="00C77B93" w:rsidRPr="004859E4" w:rsidRDefault="00C77B93" w:rsidP="0083557B">
      <w:pPr>
        <w:ind w:left="195"/>
        <w:rPr>
          <w:rFonts w:cs="Arial"/>
          <w:b/>
        </w:rPr>
      </w:pPr>
      <w:bookmarkStart w:id="947" w:name="_Toc380057145"/>
    </w:p>
    <w:p w:rsidR="0083557B" w:rsidRPr="000331D2" w:rsidRDefault="0083557B" w:rsidP="00391FB3">
      <w:pPr>
        <w:pStyle w:val="Ttulo3"/>
        <w:rPr>
          <w:b w:val="0"/>
          <w:sz w:val="24"/>
          <w:szCs w:val="24"/>
        </w:rPr>
      </w:pPr>
      <w:bookmarkStart w:id="948" w:name="_Toc433295759"/>
      <w:bookmarkStart w:id="949" w:name="_Toc433296484"/>
      <w:bookmarkStart w:id="950" w:name="_Toc437500913"/>
      <w:bookmarkStart w:id="951" w:name="_Toc437501572"/>
      <w:bookmarkStart w:id="952" w:name="_Toc437501752"/>
      <w:bookmarkStart w:id="953" w:name="_Toc437501842"/>
      <w:bookmarkStart w:id="954" w:name="_Toc437502605"/>
      <w:bookmarkStart w:id="955" w:name="_Toc437505965"/>
      <w:bookmarkStart w:id="956" w:name="_Toc437512778"/>
      <w:r w:rsidRPr="000331D2">
        <w:rPr>
          <w:sz w:val="24"/>
          <w:szCs w:val="24"/>
        </w:rPr>
        <w:t>Poliducto Sebastopol – Medellín</w:t>
      </w:r>
      <w:bookmarkEnd w:id="947"/>
      <w:bookmarkEnd w:id="948"/>
      <w:bookmarkEnd w:id="949"/>
      <w:bookmarkEnd w:id="950"/>
      <w:bookmarkEnd w:id="951"/>
      <w:bookmarkEnd w:id="952"/>
      <w:bookmarkEnd w:id="953"/>
      <w:bookmarkEnd w:id="954"/>
      <w:bookmarkEnd w:id="955"/>
      <w:bookmarkEnd w:id="956"/>
    </w:p>
    <w:p w:rsidR="0083557B" w:rsidRPr="000331D2" w:rsidRDefault="0083557B" w:rsidP="0083557B">
      <w:pPr>
        <w:ind w:left="195"/>
        <w:rPr>
          <w:rFonts w:cs="Arial"/>
          <w:b/>
          <w:sz w:val="24"/>
        </w:rPr>
      </w:pPr>
    </w:p>
    <w:p w:rsidR="0083557B" w:rsidRPr="000331D2" w:rsidRDefault="00C22FC6" w:rsidP="0083557B">
      <w:pPr>
        <w:tabs>
          <w:tab w:val="decimal" w:pos="3544"/>
        </w:tabs>
        <w:rPr>
          <w:rFonts w:cs="Arial"/>
          <w:sz w:val="24"/>
        </w:rPr>
      </w:pPr>
      <w:r>
        <w:rPr>
          <w:rFonts w:cs="Arial"/>
          <w:sz w:val="24"/>
        </w:rPr>
        <w:t>El</w:t>
      </w:r>
      <w:r w:rsidR="0083557B" w:rsidRPr="000331D2">
        <w:rPr>
          <w:rFonts w:cs="Arial"/>
          <w:sz w:val="24"/>
        </w:rPr>
        <w:t xml:space="preserve"> poliducto Sebastopol – Medellín tiene una longitud de 165,5 kilómetros,  transporta la totalidad de los combustibles requeridos por Medellín y su área de influencia, además de los combustibles transportados hacia Yumbo por el </w:t>
      </w:r>
      <w:r w:rsidR="0083557B" w:rsidRPr="000331D2">
        <w:rPr>
          <w:rFonts w:cs="Arial"/>
          <w:sz w:val="24"/>
        </w:rPr>
        <w:lastRenderedPageBreak/>
        <w:t>sistema Medellín-Cartago-Yumbo de 10 pul</w:t>
      </w:r>
      <w:r w:rsidR="009241D4" w:rsidRPr="000331D2">
        <w:rPr>
          <w:rFonts w:cs="Arial"/>
          <w:sz w:val="24"/>
        </w:rPr>
        <w:t xml:space="preserve">gadas. El lleno de línea es de </w:t>
      </w:r>
      <w:r w:rsidR="0083557B" w:rsidRPr="000331D2">
        <w:rPr>
          <w:rFonts w:cs="Arial"/>
          <w:sz w:val="24"/>
        </w:rPr>
        <w:t>81.025 barriles y la capacidad operacional es de 68,4 kbl/día. El poliducto presenta tramos de diferentes diámetros (10, 12 y 16 pulgadas) en el recorrido total, tal como se ilustra en la</w:t>
      </w:r>
      <w:r w:rsidR="00B30132" w:rsidRPr="000331D2">
        <w:rPr>
          <w:rFonts w:cs="Arial"/>
          <w:sz w:val="24"/>
        </w:rPr>
        <w:t xml:space="preserve"> </w:t>
      </w:r>
      <w:r w:rsidR="00B30132" w:rsidRPr="000331D2">
        <w:rPr>
          <w:rFonts w:cs="Arial"/>
          <w:sz w:val="24"/>
        </w:rPr>
        <w:fldChar w:fldCharType="begin"/>
      </w:r>
      <w:r w:rsidR="00B30132" w:rsidRPr="000331D2">
        <w:rPr>
          <w:rFonts w:cs="Arial"/>
          <w:sz w:val="24"/>
        </w:rPr>
        <w:instrText xml:space="preserve"> REF _Ref437018927 \h </w:instrText>
      </w:r>
      <w:r w:rsidR="000331D2">
        <w:rPr>
          <w:rFonts w:cs="Arial"/>
          <w:sz w:val="24"/>
        </w:rPr>
        <w:instrText xml:space="preserve"> \* MERGEFORMAT </w:instrText>
      </w:r>
      <w:r w:rsidR="00B30132" w:rsidRPr="000331D2">
        <w:rPr>
          <w:rFonts w:cs="Arial"/>
          <w:sz w:val="24"/>
        </w:rPr>
      </w:r>
      <w:r w:rsidR="00B30132" w:rsidRPr="000331D2">
        <w:rPr>
          <w:rFonts w:cs="Arial"/>
          <w:sz w:val="24"/>
        </w:rPr>
        <w:fldChar w:fldCharType="separate"/>
      </w:r>
      <w:r w:rsidR="00625BEB" w:rsidRPr="00625BEB">
        <w:rPr>
          <w:sz w:val="24"/>
        </w:rPr>
        <w:t xml:space="preserve">Gráfica </w:t>
      </w:r>
      <w:r w:rsidR="00625BEB" w:rsidRPr="00625BEB">
        <w:rPr>
          <w:noProof/>
          <w:sz w:val="24"/>
        </w:rPr>
        <w:t>27</w:t>
      </w:r>
      <w:r w:rsidR="00B30132" w:rsidRPr="000331D2">
        <w:rPr>
          <w:rFonts w:cs="Arial"/>
          <w:sz w:val="24"/>
        </w:rPr>
        <w:fldChar w:fldCharType="end"/>
      </w:r>
      <w:r w:rsidR="0083557B" w:rsidRPr="000331D2">
        <w:rPr>
          <w:rFonts w:cs="Arial"/>
          <w:sz w:val="24"/>
        </w:rPr>
        <w:t>.</w:t>
      </w:r>
    </w:p>
    <w:p w:rsidR="00C77B93" w:rsidRPr="004859E4" w:rsidRDefault="00C77B93" w:rsidP="0083557B">
      <w:pPr>
        <w:tabs>
          <w:tab w:val="decimal" w:pos="3544"/>
        </w:tabs>
        <w:rPr>
          <w:rFonts w:cs="Arial"/>
        </w:rPr>
      </w:pPr>
    </w:p>
    <w:p w:rsidR="0054179C" w:rsidRDefault="0083557B" w:rsidP="0054179C">
      <w:pPr>
        <w:keepNext/>
        <w:ind w:left="195"/>
        <w:contextualSpacing/>
        <w:jc w:val="center"/>
      </w:pPr>
      <w:r w:rsidRPr="004859E4">
        <w:rPr>
          <w:rFonts w:cs="Arial"/>
          <w:noProof/>
          <w:lang w:val="es-CO" w:eastAsia="es-CO"/>
        </w:rPr>
        <w:drawing>
          <wp:inline distT="0" distB="0" distL="0" distR="0" wp14:anchorId="4C517BBB" wp14:editId="6D04A027">
            <wp:extent cx="5055732" cy="3364173"/>
            <wp:effectExtent l="0" t="0" r="0" b="8255"/>
            <wp:docPr id="15"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58366" cy="3365926"/>
                    </a:xfrm>
                    <a:prstGeom prst="rect">
                      <a:avLst/>
                    </a:prstGeom>
                    <a:noFill/>
                    <a:ln>
                      <a:noFill/>
                    </a:ln>
                  </pic:spPr>
                </pic:pic>
              </a:graphicData>
            </a:graphic>
          </wp:inline>
        </w:drawing>
      </w:r>
    </w:p>
    <w:p w:rsidR="0083557B" w:rsidRPr="004859E4"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83557B" w:rsidRPr="004859E4" w:rsidRDefault="00BC557B" w:rsidP="00BC557B">
      <w:pPr>
        <w:pStyle w:val="Epgrafe"/>
        <w:rPr>
          <w:rFonts w:cs="Arial"/>
          <w:b/>
          <w:sz w:val="18"/>
          <w:szCs w:val="18"/>
        </w:rPr>
      </w:pPr>
      <w:bookmarkStart w:id="957" w:name="_Ref437018927"/>
      <w:bookmarkStart w:id="958" w:name="_Toc437512864"/>
      <w:r>
        <w:t xml:space="preserve">Gráfica </w:t>
      </w:r>
      <w:r>
        <w:fldChar w:fldCharType="begin"/>
      </w:r>
      <w:r>
        <w:instrText xml:space="preserve"> SEQ Gráfica \* ARABIC </w:instrText>
      </w:r>
      <w:r>
        <w:fldChar w:fldCharType="separate"/>
      </w:r>
      <w:r w:rsidR="00625BEB">
        <w:rPr>
          <w:noProof/>
        </w:rPr>
        <w:t>27</w:t>
      </w:r>
      <w:r>
        <w:fldChar w:fldCharType="end"/>
      </w:r>
      <w:bookmarkEnd w:id="957"/>
      <w:r>
        <w:t xml:space="preserve"> </w:t>
      </w:r>
      <w:r w:rsidRPr="00171AC7">
        <w:t>Perfil poliducto Sebastopol – Medellín</w:t>
      </w:r>
      <w:bookmarkEnd w:id="958"/>
    </w:p>
    <w:p w:rsidR="00F42CA3" w:rsidRDefault="00F42CA3" w:rsidP="0083557B">
      <w:pPr>
        <w:rPr>
          <w:rFonts w:cs="Arial"/>
          <w:sz w:val="24"/>
        </w:rPr>
      </w:pPr>
    </w:p>
    <w:p w:rsidR="0083557B" w:rsidRPr="000331D2" w:rsidRDefault="0083557B" w:rsidP="0083557B">
      <w:pPr>
        <w:rPr>
          <w:rFonts w:cs="Arial"/>
          <w:sz w:val="24"/>
        </w:rPr>
      </w:pPr>
      <w:r w:rsidRPr="000331D2">
        <w:rPr>
          <w:rFonts w:cs="Arial"/>
          <w:sz w:val="24"/>
        </w:rPr>
        <w:t>El poliducto cuenta solamente con la estación Cisneros, en el kilómetro 89,5 que realiza rebombeo y cuenta con tres unidades para desarrollar esta actividad.</w:t>
      </w:r>
    </w:p>
    <w:p w:rsidR="0083557B" w:rsidRDefault="0083557B" w:rsidP="0083557B">
      <w:pPr>
        <w:ind w:left="195"/>
        <w:rPr>
          <w:rFonts w:cs="Arial"/>
          <w:sz w:val="24"/>
        </w:rPr>
      </w:pPr>
    </w:p>
    <w:p w:rsidR="00481FC0" w:rsidRPr="000331D2" w:rsidRDefault="00481FC0" w:rsidP="0083557B">
      <w:pPr>
        <w:ind w:left="195"/>
        <w:rPr>
          <w:rFonts w:cs="Arial"/>
          <w:sz w:val="24"/>
        </w:rPr>
      </w:pPr>
    </w:p>
    <w:p w:rsidR="0083557B" w:rsidRPr="00F42CA3" w:rsidRDefault="0083557B" w:rsidP="00391FB3">
      <w:pPr>
        <w:pStyle w:val="Ttulo3"/>
        <w:rPr>
          <w:b w:val="0"/>
          <w:sz w:val="24"/>
          <w:szCs w:val="24"/>
        </w:rPr>
      </w:pPr>
      <w:bookmarkStart w:id="959" w:name="_Toc380057147"/>
      <w:bookmarkStart w:id="960" w:name="_Toc433295760"/>
      <w:bookmarkStart w:id="961" w:name="_Toc433296485"/>
      <w:bookmarkStart w:id="962" w:name="_Toc437500914"/>
      <w:bookmarkStart w:id="963" w:name="_Toc437501573"/>
      <w:bookmarkStart w:id="964" w:name="_Toc437501753"/>
      <w:bookmarkStart w:id="965" w:name="_Toc437501843"/>
      <w:bookmarkStart w:id="966" w:name="_Toc437502606"/>
      <w:bookmarkStart w:id="967" w:name="_Toc437505966"/>
      <w:bookmarkStart w:id="968" w:name="_Toc437512779"/>
      <w:r w:rsidRPr="00F42CA3">
        <w:rPr>
          <w:sz w:val="24"/>
          <w:szCs w:val="24"/>
        </w:rPr>
        <w:t>Poliducto Medellín – Cartago – Yumbo</w:t>
      </w:r>
      <w:bookmarkEnd w:id="959"/>
      <w:bookmarkEnd w:id="960"/>
      <w:bookmarkEnd w:id="961"/>
      <w:bookmarkEnd w:id="962"/>
      <w:bookmarkEnd w:id="963"/>
      <w:bookmarkEnd w:id="964"/>
      <w:bookmarkEnd w:id="965"/>
      <w:bookmarkEnd w:id="966"/>
      <w:bookmarkEnd w:id="967"/>
      <w:bookmarkEnd w:id="968"/>
    </w:p>
    <w:p w:rsidR="0083557B" w:rsidRPr="000331D2" w:rsidRDefault="0083557B" w:rsidP="0083557B">
      <w:pPr>
        <w:ind w:left="195"/>
        <w:rPr>
          <w:rFonts w:cs="Arial"/>
          <w:sz w:val="24"/>
        </w:rPr>
      </w:pPr>
    </w:p>
    <w:p w:rsidR="0083557B" w:rsidRPr="000331D2" w:rsidRDefault="0083557B" w:rsidP="0083557B">
      <w:pPr>
        <w:rPr>
          <w:rFonts w:cs="Arial"/>
          <w:sz w:val="24"/>
        </w:rPr>
      </w:pPr>
      <w:r w:rsidRPr="000331D2">
        <w:rPr>
          <w:rFonts w:cs="Arial"/>
          <w:sz w:val="24"/>
        </w:rPr>
        <w:t>Este poliducto transporta combustibles líquidos hac</w:t>
      </w:r>
      <w:r w:rsidR="000B3849">
        <w:rPr>
          <w:rFonts w:cs="Arial"/>
          <w:sz w:val="24"/>
        </w:rPr>
        <w:t>ia el occidente del país, tiene</w:t>
      </w:r>
      <w:r w:rsidRPr="000331D2">
        <w:rPr>
          <w:rFonts w:cs="Arial"/>
          <w:sz w:val="24"/>
        </w:rPr>
        <w:t xml:space="preserve">  una longitud de 393,7 kilómetros y una capacidad operacional de 49,1 kbl/día. Los primeros cuatro kilómetros de este poliducto están construidos en tubería de diámetro de 12 pulgadas y los restantes 383 kilómetros con tubería de 10 pulgadas. El lleno de línea de poliducto es de 130.662 barriles.</w:t>
      </w:r>
    </w:p>
    <w:p w:rsidR="0054179C" w:rsidRDefault="0083557B" w:rsidP="0054179C">
      <w:pPr>
        <w:keepNext/>
        <w:ind w:left="195"/>
        <w:contextualSpacing/>
        <w:jc w:val="center"/>
      </w:pPr>
      <w:r w:rsidRPr="004859E4">
        <w:rPr>
          <w:rFonts w:cs="Arial"/>
          <w:noProof/>
          <w:lang w:val="es-CO" w:eastAsia="es-CO"/>
        </w:rPr>
        <w:lastRenderedPageBreak/>
        <w:drawing>
          <wp:inline distT="0" distB="0" distL="0" distR="0" wp14:anchorId="6580F599" wp14:editId="1F5ACAF9">
            <wp:extent cx="4827170" cy="3207224"/>
            <wp:effectExtent l="0" t="0" r="0" b="0"/>
            <wp:docPr id="1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29971" cy="3209085"/>
                    </a:xfrm>
                    <a:prstGeom prst="rect">
                      <a:avLst/>
                    </a:prstGeom>
                    <a:noFill/>
                    <a:ln>
                      <a:noFill/>
                    </a:ln>
                  </pic:spPr>
                </pic:pic>
              </a:graphicData>
            </a:graphic>
          </wp:inline>
        </w:drawing>
      </w:r>
    </w:p>
    <w:p w:rsidR="0083557B" w:rsidRPr="004859E4"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83557B" w:rsidRPr="004859E4" w:rsidRDefault="00BC557B" w:rsidP="00BC557B">
      <w:pPr>
        <w:pStyle w:val="Epgrafe"/>
        <w:rPr>
          <w:rFonts w:cs="Arial"/>
          <w:b/>
          <w:sz w:val="18"/>
          <w:szCs w:val="18"/>
        </w:rPr>
      </w:pPr>
      <w:bookmarkStart w:id="969" w:name="_Toc437512865"/>
      <w:r>
        <w:t xml:space="preserve">Gráfica </w:t>
      </w:r>
      <w:r>
        <w:fldChar w:fldCharType="begin"/>
      </w:r>
      <w:r>
        <w:instrText xml:space="preserve"> SEQ Gráfica \* ARABIC </w:instrText>
      </w:r>
      <w:r>
        <w:fldChar w:fldCharType="separate"/>
      </w:r>
      <w:r w:rsidR="00625BEB">
        <w:rPr>
          <w:noProof/>
        </w:rPr>
        <w:t>28</w:t>
      </w:r>
      <w:r>
        <w:fldChar w:fldCharType="end"/>
      </w:r>
      <w:r>
        <w:t xml:space="preserve"> </w:t>
      </w:r>
      <w:r w:rsidRPr="00824ED9">
        <w:t>Perfil poliducto Medellín – Cartago – Yumbo</w:t>
      </w:r>
      <w:bookmarkEnd w:id="969"/>
    </w:p>
    <w:p w:rsidR="00F42CA3" w:rsidRDefault="00F42CA3" w:rsidP="0083557B">
      <w:pPr>
        <w:rPr>
          <w:rFonts w:cs="Arial"/>
          <w:sz w:val="24"/>
        </w:rPr>
      </w:pPr>
    </w:p>
    <w:p w:rsidR="0083557B" w:rsidRPr="000331D2" w:rsidRDefault="0083557B" w:rsidP="0083557B">
      <w:pPr>
        <w:rPr>
          <w:rFonts w:cs="Arial"/>
          <w:sz w:val="24"/>
        </w:rPr>
      </w:pPr>
      <w:r w:rsidRPr="000331D2">
        <w:rPr>
          <w:rFonts w:cs="Arial"/>
          <w:sz w:val="24"/>
        </w:rPr>
        <w:t>El poliducto Medellín – Cartago – Yumbo presenta las siguientes estaciones:</w:t>
      </w:r>
    </w:p>
    <w:p w:rsidR="00963451" w:rsidRDefault="00963451" w:rsidP="00B22E6A"/>
    <w:tbl>
      <w:tblPr>
        <w:tblW w:w="7434"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481"/>
        <w:gridCol w:w="1417"/>
        <w:gridCol w:w="1858"/>
        <w:gridCol w:w="2678"/>
      </w:tblGrid>
      <w:tr w:rsidR="00B22E6A" w:rsidRPr="004859E4" w:rsidTr="00B22E6A">
        <w:trPr>
          <w:trHeight w:val="315"/>
          <w:jc w:val="center"/>
        </w:trPr>
        <w:tc>
          <w:tcPr>
            <w:tcW w:w="7434" w:type="dxa"/>
            <w:gridSpan w:val="4"/>
            <w:tcBorders>
              <w:top w:val="single" w:sz="8" w:space="0" w:color="4F81BD"/>
              <w:left w:val="single" w:sz="8" w:space="0" w:color="4F81BD"/>
              <w:bottom w:val="single" w:sz="18" w:space="0" w:color="4F81BD"/>
              <w:right w:val="single" w:sz="8" w:space="0" w:color="4F81BD"/>
            </w:tcBorders>
            <w:shd w:val="clear" w:color="auto" w:fill="auto"/>
            <w:noWrap/>
          </w:tcPr>
          <w:p w:rsidR="00B22E6A" w:rsidRPr="004859E4" w:rsidRDefault="00B22E6A" w:rsidP="00B22E6A">
            <w:pPr>
              <w:jc w:val="center"/>
              <w:rPr>
                <w:rFonts w:cs="Arial"/>
                <w:b/>
                <w:bCs/>
                <w:color w:val="000000"/>
                <w:szCs w:val="22"/>
                <w:lang w:eastAsia="es-CO"/>
              </w:rPr>
            </w:pPr>
            <w:bookmarkStart w:id="970" w:name="_Toc437512833"/>
            <w:r>
              <w:t xml:space="preserve">Tabla </w:t>
            </w:r>
            <w:r>
              <w:fldChar w:fldCharType="begin"/>
            </w:r>
            <w:r>
              <w:instrText xml:space="preserve"> SEQ Tabla \* ARABIC </w:instrText>
            </w:r>
            <w:r>
              <w:fldChar w:fldCharType="separate"/>
            </w:r>
            <w:r w:rsidR="00625BEB">
              <w:rPr>
                <w:noProof/>
              </w:rPr>
              <w:t>27</w:t>
            </w:r>
            <w:r>
              <w:fldChar w:fldCharType="end"/>
            </w:r>
            <w:r>
              <w:t xml:space="preserve"> </w:t>
            </w:r>
            <w:r w:rsidRPr="00EA7C08">
              <w:t>Estaciones poliducto Medellín – Cartago - Yumbo</w:t>
            </w:r>
            <w:bookmarkEnd w:id="970"/>
          </w:p>
        </w:tc>
      </w:tr>
      <w:tr w:rsidR="0083557B" w:rsidRPr="004859E4" w:rsidTr="002F63E2">
        <w:trPr>
          <w:trHeight w:val="315"/>
          <w:jc w:val="center"/>
        </w:trPr>
        <w:tc>
          <w:tcPr>
            <w:tcW w:w="1481"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2F63E2">
            <w:pPr>
              <w:rPr>
                <w:rFonts w:cs="Arial"/>
                <w:bCs/>
                <w:color w:val="000000"/>
                <w:szCs w:val="22"/>
                <w:lang w:eastAsia="es-CO"/>
              </w:rPr>
            </w:pPr>
            <w:r w:rsidRPr="00722321">
              <w:rPr>
                <w:rFonts w:cs="Arial"/>
                <w:bCs/>
                <w:color w:val="000000"/>
                <w:szCs w:val="22"/>
              </w:rPr>
              <w:t xml:space="preserve">Estaciones </w:t>
            </w:r>
          </w:p>
        </w:tc>
        <w:tc>
          <w:tcPr>
            <w:tcW w:w="1417"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2F63E2">
            <w:pPr>
              <w:rPr>
                <w:rFonts w:cs="Arial"/>
                <w:bCs/>
                <w:color w:val="000000"/>
                <w:szCs w:val="22"/>
                <w:lang w:eastAsia="es-CO"/>
              </w:rPr>
            </w:pPr>
            <w:r w:rsidRPr="00722321">
              <w:rPr>
                <w:rFonts w:cs="Arial"/>
                <w:bCs/>
                <w:color w:val="000000"/>
                <w:szCs w:val="22"/>
                <w:lang w:eastAsia="es-CO"/>
              </w:rPr>
              <w:t>Kilómetro</w:t>
            </w:r>
          </w:p>
        </w:tc>
        <w:tc>
          <w:tcPr>
            <w:tcW w:w="1858"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2F63E2">
            <w:pPr>
              <w:rPr>
                <w:rFonts w:cs="Arial"/>
                <w:bCs/>
                <w:color w:val="000000"/>
                <w:szCs w:val="22"/>
                <w:lang w:eastAsia="es-CO"/>
              </w:rPr>
            </w:pPr>
            <w:r w:rsidRPr="00722321">
              <w:rPr>
                <w:rFonts w:cs="Arial"/>
                <w:bCs/>
                <w:color w:val="000000"/>
                <w:szCs w:val="22"/>
                <w:lang w:eastAsia="es-CO"/>
              </w:rPr>
              <w:t>Tipo</w:t>
            </w:r>
          </w:p>
        </w:tc>
        <w:tc>
          <w:tcPr>
            <w:tcW w:w="2678"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2F63E2">
            <w:pPr>
              <w:rPr>
                <w:rFonts w:cs="Arial"/>
                <w:bCs/>
                <w:color w:val="000000"/>
                <w:szCs w:val="22"/>
                <w:lang w:eastAsia="es-CO"/>
              </w:rPr>
            </w:pPr>
            <w:r w:rsidRPr="00722321">
              <w:rPr>
                <w:rFonts w:cs="Arial"/>
                <w:bCs/>
                <w:color w:val="000000"/>
                <w:szCs w:val="22"/>
                <w:lang w:eastAsia="es-CO"/>
              </w:rPr>
              <w:t>Unidades de bombeo</w:t>
            </w:r>
          </w:p>
        </w:tc>
      </w:tr>
      <w:tr w:rsidR="0083557B" w:rsidRPr="004859E4" w:rsidTr="002F63E2">
        <w:trPr>
          <w:trHeight w:val="315"/>
          <w:jc w:val="center"/>
        </w:trPr>
        <w:tc>
          <w:tcPr>
            <w:tcW w:w="148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581CA4" w:rsidRDefault="0083557B" w:rsidP="002F63E2">
            <w:pPr>
              <w:rPr>
                <w:rFonts w:cs="Arial"/>
                <w:bCs/>
                <w:color w:val="000000"/>
                <w:szCs w:val="22"/>
                <w:lang w:eastAsia="es-CO"/>
              </w:rPr>
            </w:pPr>
            <w:r w:rsidRPr="00581CA4">
              <w:rPr>
                <w:rFonts w:cs="Arial"/>
                <w:bCs/>
                <w:color w:val="000000"/>
                <w:szCs w:val="22"/>
              </w:rPr>
              <w:t xml:space="preserve">La Pintada </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jc w:val="center"/>
              <w:rPr>
                <w:rFonts w:cs="Arial"/>
                <w:color w:val="000000"/>
                <w:szCs w:val="22"/>
                <w:lang w:eastAsia="es-CO"/>
              </w:rPr>
            </w:pPr>
            <w:r w:rsidRPr="004859E4">
              <w:rPr>
                <w:rFonts w:cs="Arial"/>
                <w:color w:val="000000"/>
                <w:szCs w:val="22"/>
                <w:lang w:eastAsia="es-CO"/>
              </w:rPr>
              <w:t>93,8</w:t>
            </w:r>
          </w:p>
        </w:tc>
        <w:tc>
          <w:tcPr>
            <w:tcW w:w="185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Rebombeo</w:t>
            </w:r>
          </w:p>
        </w:tc>
        <w:tc>
          <w:tcPr>
            <w:tcW w:w="267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jc w:val="center"/>
              <w:rPr>
                <w:rFonts w:cs="Arial"/>
                <w:color w:val="000000"/>
                <w:szCs w:val="22"/>
                <w:lang w:eastAsia="es-CO"/>
              </w:rPr>
            </w:pPr>
            <w:r w:rsidRPr="004859E4">
              <w:rPr>
                <w:rFonts w:cs="Arial"/>
                <w:color w:val="000000"/>
                <w:szCs w:val="22"/>
                <w:lang w:eastAsia="es-CO"/>
              </w:rPr>
              <w:t>2</w:t>
            </w:r>
          </w:p>
        </w:tc>
      </w:tr>
      <w:tr w:rsidR="0083557B" w:rsidRPr="004859E4" w:rsidTr="002F63E2">
        <w:trPr>
          <w:trHeight w:val="315"/>
          <w:jc w:val="center"/>
        </w:trPr>
        <w:tc>
          <w:tcPr>
            <w:tcW w:w="1481"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581CA4" w:rsidRDefault="0083557B" w:rsidP="002F63E2">
            <w:pPr>
              <w:rPr>
                <w:rFonts w:cs="Arial"/>
                <w:bCs/>
                <w:color w:val="000000"/>
                <w:szCs w:val="22"/>
                <w:lang w:eastAsia="es-CO"/>
              </w:rPr>
            </w:pPr>
            <w:r w:rsidRPr="00581CA4">
              <w:rPr>
                <w:rFonts w:cs="Arial"/>
                <w:bCs/>
                <w:color w:val="000000"/>
                <w:szCs w:val="22"/>
              </w:rPr>
              <w:t xml:space="preserve">Cartago </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jc w:val="center"/>
              <w:rPr>
                <w:rFonts w:cs="Arial"/>
                <w:color w:val="000000"/>
                <w:szCs w:val="22"/>
                <w:lang w:eastAsia="es-CO"/>
              </w:rPr>
            </w:pPr>
            <w:r w:rsidRPr="004859E4">
              <w:rPr>
                <w:rFonts w:cs="Arial"/>
                <w:color w:val="000000"/>
                <w:szCs w:val="22"/>
                <w:lang w:eastAsia="es-CO"/>
              </w:rPr>
              <w:t>236,0</w:t>
            </w:r>
          </w:p>
        </w:tc>
        <w:tc>
          <w:tcPr>
            <w:tcW w:w="1858"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Recibo al paso</w:t>
            </w:r>
          </w:p>
        </w:tc>
        <w:tc>
          <w:tcPr>
            <w:tcW w:w="2678" w:type="dxa"/>
            <w:tcBorders>
              <w:top w:val="single" w:sz="8" w:space="0" w:color="4F81BD"/>
              <w:left w:val="single" w:sz="8" w:space="0" w:color="4F81BD"/>
              <w:bottom w:val="single" w:sz="8" w:space="0" w:color="4F81BD"/>
              <w:right w:val="single" w:sz="8" w:space="0" w:color="4F81BD"/>
            </w:tcBorders>
            <w:shd w:val="clear" w:color="auto" w:fill="auto"/>
          </w:tcPr>
          <w:p w:rsidR="0083557B" w:rsidRPr="004859E4" w:rsidRDefault="0083557B" w:rsidP="002F63E2">
            <w:pPr>
              <w:jc w:val="center"/>
              <w:rPr>
                <w:rFonts w:cs="Arial"/>
                <w:color w:val="000000"/>
                <w:szCs w:val="22"/>
                <w:lang w:eastAsia="es-CO"/>
              </w:rPr>
            </w:pPr>
          </w:p>
        </w:tc>
      </w:tr>
      <w:tr w:rsidR="0083557B" w:rsidRPr="004859E4" w:rsidTr="002F63E2">
        <w:trPr>
          <w:trHeight w:val="315"/>
          <w:jc w:val="center"/>
        </w:trPr>
        <w:tc>
          <w:tcPr>
            <w:tcW w:w="148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581CA4" w:rsidRDefault="0083557B" w:rsidP="002F63E2">
            <w:pPr>
              <w:rPr>
                <w:rFonts w:cs="Arial"/>
                <w:bCs/>
                <w:color w:val="000000"/>
                <w:szCs w:val="22"/>
                <w:lang w:eastAsia="es-CO"/>
              </w:rPr>
            </w:pPr>
            <w:r w:rsidRPr="00581CA4">
              <w:rPr>
                <w:rFonts w:cs="Arial"/>
                <w:bCs/>
                <w:color w:val="000000"/>
                <w:szCs w:val="22"/>
              </w:rPr>
              <w:t xml:space="preserve">Buga </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jc w:val="center"/>
              <w:rPr>
                <w:rFonts w:cs="Arial"/>
                <w:color w:val="000000"/>
                <w:szCs w:val="22"/>
                <w:lang w:eastAsia="es-CO"/>
              </w:rPr>
            </w:pPr>
            <w:r w:rsidRPr="004859E4">
              <w:rPr>
                <w:rFonts w:cs="Arial"/>
                <w:color w:val="000000"/>
                <w:szCs w:val="22"/>
                <w:lang w:eastAsia="es-CO"/>
              </w:rPr>
              <w:t>338,6</w:t>
            </w:r>
          </w:p>
        </w:tc>
        <w:tc>
          <w:tcPr>
            <w:tcW w:w="1858"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Recibo al paso</w:t>
            </w:r>
          </w:p>
        </w:tc>
        <w:tc>
          <w:tcPr>
            <w:tcW w:w="2678" w:type="dxa"/>
            <w:tcBorders>
              <w:top w:val="single" w:sz="8" w:space="0" w:color="4F81BD"/>
              <w:left w:val="single" w:sz="8" w:space="0" w:color="4F81BD"/>
              <w:bottom w:val="single" w:sz="8" w:space="0" w:color="4F81BD"/>
              <w:right w:val="single" w:sz="8" w:space="0" w:color="4F81BD"/>
            </w:tcBorders>
            <w:shd w:val="clear" w:color="auto" w:fill="D3DFEE"/>
          </w:tcPr>
          <w:p w:rsidR="0083557B" w:rsidRPr="004859E4" w:rsidRDefault="0083557B" w:rsidP="002F63E2">
            <w:pPr>
              <w:jc w:val="center"/>
              <w:rPr>
                <w:rFonts w:cs="Arial"/>
                <w:color w:val="000000"/>
                <w:szCs w:val="22"/>
                <w:lang w:eastAsia="es-CO"/>
              </w:rPr>
            </w:pPr>
          </w:p>
        </w:tc>
      </w:tr>
      <w:tr w:rsidR="0083557B" w:rsidRPr="004859E4" w:rsidTr="002F63E2">
        <w:trPr>
          <w:trHeight w:val="315"/>
          <w:jc w:val="center"/>
        </w:trPr>
        <w:tc>
          <w:tcPr>
            <w:tcW w:w="1481"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581CA4" w:rsidRDefault="0083557B" w:rsidP="002F63E2">
            <w:pPr>
              <w:rPr>
                <w:rFonts w:cs="Arial"/>
                <w:bCs/>
                <w:color w:val="000000"/>
                <w:szCs w:val="22"/>
                <w:lang w:eastAsia="es-CO"/>
              </w:rPr>
            </w:pPr>
            <w:r w:rsidRPr="00581CA4">
              <w:rPr>
                <w:rFonts w:cs="Arial"/>
                <w:bCs/>
                <w:color w:val="000000"/>
                <w:szCs w:val="22"/>
              </w:rPr>
              <w:t xml:space="preserve">Mulalo </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jc w:val="center"/>
              <w:rPr>
                <w:rFonts w:cs="Arial"/>
                <w:color w:val="000000"/>
                <w:szCs w:val="22"/>
                <w:lang w:eastAsia="es-CO"/>
              </w:rPr>
            </w:pPr>
            <w:r w:rsidRPr="004859E4">
              <w:rPr>
                <w:rFonts w:cs="Arial"/>
                <w:color w:val="000000"/>
                <w:szCs w:val="22"/>
                <w:lang w:eastAsia="es-CO"/>
              </w:rPr>
              <w:t>389,4</w:t>
            </w:r>
          </w:p>
        </w:tc>
        <w:tc>
          <w:tcPr>
            <w:tcW w:w="1858"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Recibo al paso</w:t>
            </w:r>
          </w:p>
        </w:tc>
        <w:tc>
          <w:tcPr>
            <w:tcW w:w="2678" w:type="dxa"/>
            <w:tcBorders>
              <w:top w:val="single" w:sz="8" w:space="0" w:color="4F81BD"/>
              <w:left w:val="single" w:sz="8" w:space="0" w:color="4F81BD"/>
              <w:bottom w:val="single" w:sz="8" w:space="0" w:color="4F81BD"/>
              <w:right w:val="single" w:sz="8" w:space="0" w:color="4F81BD"/>
            </w:tcBorders>
            <w:shd w:val="clear" w:color="auto" w:fill="auto"/>
          </w:tcPr>
          <w:p w:rsidR="0083557B" w:rsidRPr="004859E4" w:rsidRDefault="0083557B" w:rsidP="002F63E2">
            <w:pPr>
              <w:jc w:val="center"/>
              <w:rPr>
                <w:rFonts w:cs="Arial"/>
                <w:color w:val="000000"/>
                <w:szCs w:val="22"/>
                <w:lang w:eastAsia="es-CO"/>
              </w:rPr>
            </w:pPr>
          </w:p>
        </w:tc>
      </w:tr>
    </w:tbl>
    <w:p w:rsidR="0083557B" w:rsidRPr="004859E4"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F42CA3" w:rsidRDefault="00F42CA3" w:rsidP="0083557B">
      <w:pPr>
        <w:tabs>
          <w:tab w:val="left" w:pos="284"/>
          <w:tab w:val="center" w:pos="3402"/>
          <w:tab w:val="left" w:pos="4536"/>
          <w:tab w:val="left" w:pos="6237"/>
        </w:tabs>
        <w:ind w:left="195"/>
        <w:rPr>
          <w:rFonts w:cs="Arial"/>
        </w:rPr>
      </w:pPr>
    </w:p>
    <w:p w:rsidR="00481FC0" w:rsidRPr="004859E4" w:rsidRDefault="00481FC0" w:rsidP="0083557B">
      <w:pPr>
        <w:tabs>
          <w:tab w:val="left" w:pos="284"/>
          <w:tab w:val="center" w:pos="3402"/>
          <w:tab w:val="left" w:pos="4536"/>
          <w:tab w:val="left" w:pos="6237"/>
        </w:tabs>
        <w:ind w:left="195"/>
        <w:rPr>
          <w:rFonts w:cs="Arial"/>
        </w:rPr>
      </w:pPr>
    </w:p>
    <w:p w:rsidR="0083557B" w:rsidRPr="00F42CA3" w:rsidRDefault="0083557B" w:rsidP="00391FB3">
      <w:pPr>
        <w:pStyle w:val="Ttulo3"/>
        <w:rPr>
          <w:b w:val="0"/>
          <w:sz w:val="24"/>
          <w:szCs w:val="24"/>
        </w:rPr>
      </w:pPr>
      <w:bookmarkStart w:id="971" w:name="_Toc380057148"/>
      <w:bookmarkStart w:id="972" w:name="_Toc433295761"/>
      <w:bookmarkStart w:id="973" w:name="_Toc433296486"/>
      <w:bookmarkStart w:id="974" w:name="_Toc437500915"/>
      <w:bookmarkStart w:id="975" w:name="_Toc437501574"/>
      <w:bookmarkStart w:id="976" w:name="_Toc437501754"/>
      <w:bookmarkStart w:id="977" w:name="_Toc437501844"/>
      <w:bookmarkStart w:id="978" w:name="_Toc437502607"/>
      <w:bookmarkStart w:id="979" w:name="_Toc437505967"/>
      <w:bookmarkStart w:id="980" w:name="_Toc437512780"/>
      <w:r w:rsidRPr="00F42CA3">
        <w:rPr>
          <w:sz w:val="24"/>
          <w:szCs w:val="24"/>
        </w:rPr>
        <w:t>Poliducto Odeca Salgar - Manizales – Cartago</w:t>
      </w:r>
      <w:bookmarkEnd w:id="971"/>
      <w:bookmarkEnd w:id="972"/>
      <w:bookmarkEnd w:id="973"/>
      <w:bookmarkEnd w:id="974"/>
      <w:bookmarkEnd w:id="975"/>
      <w:bookmarkEnd w:id="976"/>
      <w:bookmarkEnd w:id="977"/>
      <w:bookmarkEnd w:id="978"/>
      <w:bookmarkEnd w:id="979"/>
      <w:bookmarkEnd w:id="980"/>
    </w:p>
    <w:p w:rsidR="0083557B" w:rsidRPr="000331D2" w:rsidRDefault="0083557B" w:rsidP="00481FC0"/>
    <w:p w:rsidR="0083557B" w:rsidRPr="000331D2" w:rsidRDefault="0083557B" w:rsidP="0083557B">
      <w:pPr>
        <w:tabs>
          <w:tab w:val="center" w:pos="567"/>
          <w:tab w:val="decimal" w:pos="3544"/>
        </w:tabs>
        <w:rPr>
          <w:rFonts w:cs="Arial"/>
          <w:sz w:val="24"/>
        </w:rPr>
      </w:pPr>
      <w:r w:rsidRPr="000331D2">
        <w:rPr>
          <w:rFonts w:cs="Arial"/>
          <w:sz w:val="24"/>
        </w:rPr>
        <w:t>En este sistema se realiza el transporte de combustibles líquidos y  de GLP para las ciudades de Manizales y Pereira. El ducto cuenta con un lleno de línea de 36.867 barriles, una longitud de 207,5 kilómetros y una capacidad operativa de 26,3 kbl/día. A lo largo del poliducto se encuentran tramos de 6 y de 8 pulgadas que se intercalan de acuerdo a lo que se aprecia en la</w:t>
      </w:r>
      <w:r w:rsidR="00B30132" w:rsidRPr="000331D2">
        <w:rPr>
          <w:rFonts w:cs="Arial"/>
          <w:sz w:val="24"/>
        </w:rPr>
        <w:t xml:space="preserve"> </w:t>
      </w:r>
      <w:r w:rsidR="00B30132" w:rsidRPr="000331D2">
        <w:rPr>
          <w:rFonts w:cs="Arial"/>
          <w:sz w:val="24"/>
        </w:rPr>
        <w:fldChar w:fldCharType="begin"/>
      </w:r>
      <w:r w:rsidR="00B30132" w:rsidRPr="000331D2">
        <w:rPr>
          <w:rFonts w:cs="Arial"/>
          <w:sz w:val="24"/>
        </w:rPr>
        <w:instrText xml:space="preserve"> REF _Ref437019032 \h </w:instrText>
      </w:r>
      <w:r w:rsidR="000331D2">
        <w:rPr>
          <w:rFonts w:cs="Arial"/>
          <w:sz w:val="24"/>
        </w:rPr>
        <w:instrText xml:space="preserve"> \* MERGEFORMAT </w:instrText>
      </w:r>
      <w:r w:rsidR="00B30132" w:rsidRPr="000331D2">
        <w:rPr>
          <w:rFonts w:cs="Arial"/>
          <w:sz w:val="24"/>
        </w:rPr>
      </w:r>
      <w:r w:rsidR="00B30132" w:rsidRPr="000331D2">
        <w:rPr>
          <w:rFonts w:cs="Arial"/>
          <w:sz w:val="24"/>
        </w:rPr>
        <w:fldChar w:fldCharType="separate"/>
      </w:r>
      <w:r w:rsidR="00625BEB" w:rsidRPr="00625BEB">
        <w:rPr>
          <w:sz w:val="24"/>
        </w:rPr>
        <w:t xml:space="preserve">Gráfica </w:t>
      </w:r>
      <w:r w:rsidR="00625BEB" w:rsidRPr="00625BEB">
        <w:rPr>
          <w:noProof/>
          <w:sz w:val="24"/>
        </w:rPr>
        <w:t>29</w:t>
      </w:r>
      <w:r w:rsidR="00B30132" w:rsidRPr="000331D2">
        <w:rPr>
          <w:rFonts w:cs="Arial"/>
          <w:sz w:val="24"/>
        </w:rPr>
        <w:fldChar w:fldCharType="end"/>
      </w:r>
      <w:r w:rsidRPr="000331D2">
        <w:rPr>
          <w:rFonts w:cs="Arial"/>
          <w:sz w:val="24"/>
        </w:rPr>
        <w:t>.</w:t>
      </w:r>
    </w:p>
    <w:p w:rsidR="008A10CB" w:rsidRDefault="0083557B" w:rsidP="008A10CB">
      <w:pPr>
        <w:keepNext/>
        <w:ind w:left="195"/>
        <w:contextualSpacing/>
        <w:jc w:val="center"/>
      </w:pPr>
      <w:r w:rsidRPr="004859E4">
        <w:rPr>
          <w:rFonts w:cs="Arial"/>
          <w:noProof/>
          <w:lang w:val="es-CO" w:eastAsia="es-CO"/>
        </w:rPr>
        <w:lastRenderedPageBreak/>
        <w:drawing>
          <wp:inline distT="0" distB="0" distL="0" distR="0" wp14:anchorId="79296482" wp14:editId="4401B5F4">
            <wp:extent cx="5375082" cy="3582833"/>
            <wp:effectExtent l="0" t="0" r="0" b="0"/>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6565" cy="3583822"/>
                    </a:xfrm>
                    <a:prstGeom prst="rect">
                      <a:avLst/>
                    </a:prstGeom>
                    <a:noFill/>
                    <a:ln>
                      <a:noFill/>
                    </a:ln>
                  </pic:spPr>
                </pic:pic>
              </a:graphicData>
            </a:graphic>
          </wp:inline>
        </w:drawing>
      </w:r>
    </w:p>
    <w:p w:rsidR="0083557B" w:rsidRPr="004859E4"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 xml:space="preserve">studio descriptivo de las actividades de la cadena de distribución de combustibles líquidos. </w:t>
      </w:r>
    </w:p>
    <w:p w:rsidR="0083557B" w:rsidRPr="004859E4" w:rsidRDefault="00BC557B" w:rsidP="00BC557B">
      <w:pPr>
        <w:pStyle w:val="Epgrafe"/>
        <w:rPr>
          <w:rFonts w:cs="Arial"/>
          <w:b/>
          <w:sz w:val="18"/>
          <w:szCs w:val="18"/>
        </w:rPr>
      </w:pPr>
      <w:bookmarkStart w:id="981" w:name="_Ref437019032"/>
      <w:bookmarkStart w:id="982" w:name="_Toc437512866"/>
      <w:r>
        <w:t xml:space="preserve">Gráfica </w:t>
      </w:r>
      <w:r>
        <w:fldChar w:fldCharType="begin"/>
      </w:r>
      <w:r>
        <w:instrText xml:space="preserve"> SEQ Gráfica \* ARABIC </w:instrText>
      </w:r>
      <w:r>
        <w:fldChar w:fldCharType="separate"/>
      </w:r>
      <w:r w:rsidR="00625BEB">
        <w:rPr>
          <w:noProof/>
        </w:rPr>
        <w:t>29</w:t>
      </w:r>
      <w:r>
        <w:fldChar w:fldCharType="end"/>
      </w:r>
      <w:bookmarkEnd w:id="981"/>
      <w:r>
        <w:t xml:space="preserve"> </w:t>
      </w:r>
      <w:r w:rsidRPr="002B1C8D">
        <w:t>Perfil poliducto Odeca Salgar - Manizales - Cartago</w:t>
      </w:r>
      <w:bookmarkEnd w:id="982"/>
    </w:p>
    <w:p w:rsidR="006E0B4E" w:rsidRDefault="006E0B4E" w:rsidP="0083557B">
      <w:pPr>
        <w:rPr>
          <w:rFonts w:cs="Arial"/>
          <w:sz w:val="24"/>
        </w:rPr>
      </w:pPr>
    </w:p>
    <w:p w:rsidR="0083557B" w:rsidRPr="000331D2" w:rsidRDefault="0083557B" w:rsidP="0083557B">
      <w:pPr>
        <w:rPr>
          <w:rFonts w:cs="Arial"/>
          <w:sz w:val="24"/>
        </w:rPr>
      </w:pPr>
      <w:r w:rsidRPr="000331D2">
        <w:rPr>
          <w:rFonts w:cs="Arial"/>
          <w:sz w:val="24"/>
        </w:rPr>
        <w:t>El poliducto Odeca Salgar - Manizales - Cartago presenta las siguientes estaciones:</w:t>
      </w:r>
    </w:p>
    <w:p w:rsidR="00963451" w:rsidRDefault="00963451" w:rsidP="00B22E6A"/>
    <w:tbl>
      <w:tblPr>
        <w:tblW w:w="7709"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527"/>
        <w:gridCol w:w="1417"/>
        <w:gridCol w:w="2114"/>
        <w:gridCol w:w="2651"/>
      </w:tblGrid>
      <w:tr w:rsidR="00B22E6A" w:rsidRPr="004859E4" w:rsidTr="00B22E6A">
        <w:trPr>
          <w:trHeight w:val="315"/>
          <w:jc w:val="center"/>
        </w:trPr>
        <w:tc>
          <w:tcPr>
            <w:tcW w:w="7709" w:type="dxa"/>
            <w:gridSpan w:val="4"/>
            <w:tcBorders>
              <w:top w:val="single" w:sz="8" w:space="0" w:color="4F81BD"/>
              <w:left w:val="single" w:sz="8" w:space="0" w:color="4F81BD"/>
              <w:bottom w:val="single" w:sz="18" w:space="0" w:color="4F81BD"/>
              <w:right w:val="single" w:sz="8" w:space="0" w:color="4F81BD"/>
            </w:tcBorders>
            <w:shd w:val="clear" w:color="auto" w:fill="auto"/>
            <w:noWrap/>
          </w:tcPr>
          <w:p w:rsidR="00B22E6A" w:rsidRPr="004859E4" w:rsidRDefault="00B22E6A" w:rsidP="00B22E6A">
            <w:pPr>
              <w:jc w:val="center"/>
              <w:rPr>
                <w:rFonts w:cs="Arial"/>
                <w:b/>
                <w:bCs/>
                <w:color w:val="000000"/>
                <w:szCs w:val="22"/>
                <w:lang w:eastAsia="es-CO"/>
              </w:rPr>
            </w:pPr>
            <w:bookmarkStart w:id="983" w:name="_Toc437512834"/>
            <w:r>
              <w:t xml:space="preserve">Tabla </w:t>
            </w:r>
            <w:r>
              <w:fldChar w:fldCharType="begin"/>
            </w:r>
            <w:r>
              <w:instrText xml:space="preserve"> SEQ Tabla \* ARABIC </w:instrText>
            </w:r>
            <w:r>
              <w:fldChar w:fldCharType="separate"/>
            </w:r>
            <w:r w:rsidR="00625BEB">
              <w:rPr>
                <w:noProof/>
              </w:rPr>
              <w:t>28</w:t>
            </w:r>
            <w:r>
              <w:fldChar w:fldCharType="end"/>
            </w:r>
            <w:r>
              <w:t xml:space="preserve"> </w:t>
            </w:r>
            <w:r w:rsidRPr="00D578AE">
              <w:t>Estaciones poliducto Odeca Salgar - Manizales - Cartago</w:t>
            </w:r>
            <w:bookmarkEnd w:id="983"/>
          </w:p>
        </w:tc>
      </w:tr>
      <w:tr w:rsidR="0083557B" w:rsidRPr="004859E4" w:rsidTr="002F63E2">
        <w:trPr>
          <w:trHeight w:val="315"/>
          <w:jc w:val="center"/>
        </w:trPr>
        <w:tc>
          <w:tcPr>
            <w:tcW w:w="1527"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2F63E2">
            <w:pPr>
              <w:rPr>
                <w:rFonts w:cs="Arial"/>
                <w:bCs/>
                <w:color w:val="000000"/>
                <w:szCs w:val="22"/>
                <w:lang w:eastAsia="es-CO"/>
              </w:rPr>
            </w:pPr>
            <w:r w:rsidRPr="00722321">
              <w:rPr>
                <w:rFonts w:cs="Arial"/>
                <w:bCs/>
                <w:color w:val="000000"/>
                <w:szCs w:val="22"/>
              </w:rPr>
              <w:t xml:space="preserve">Estaciones </w:t>
            </w:r>
          </w:p>
        </w:tc>
        <w:tc>
          <w:tcPr>
            <w:tcW w:w="1417"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2F63E2">
            <w:pPr>
              <w:rPr>
                <w:rFonts w:cs="Arial"/>
                <w:bCs/>
                <w:color w:val="000000"/>
                <w:szCs w:val="22"/>
                <w:lang w:eastAsia="es-CO"/>
              </w:rPr>
            </w:pPr>
            <w:r w:rsidRPr="00722321">
              <w:rPr>
                <w:rFonts w:cs="Arial"/>
                <w:bCs/>
                <w:color w:val="000000"/>
                <w:szCs w:val="22"/>
                <w:lang w:eastAsia="es-CO"/>
              </w:rPr>
              <w:t>Kilómetro</w:t>
            </w:r>
          </w:p>
        </w:tc>
        <w:tc>
          <w:tcPr>
            <w:tcW w:w="2114"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2F63E2">
            <w:pPr>
              <w:rPr>
                <w:rFonts w:cs="Arial"/>
                <w:bCs/>
                <w:color w:val="000000"/>
                <w:szCs w:val="22"/>
                <w:lang w:eastAsia="es-CO"/>
              </w:rPr>
            </w:pPr>
            <w:r w:rsidRPr="00722321">
              <w:rPr>
                <w:rFonts w:cs="Arial"/>
                <w:bCs/>
                <w:color w:val="000000"/>
                <w:szCs w:val="22"/>
                <w:lang w:eastAsia="es-CO"/>
              </w:rPr>
              <w:t>Tipo</w:t>
            </w:r>
          </w:p>
        </w:tc>
        <w:tc>
          <w:tcPr>
            <w:tcW w:w="2651"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2F63E2">
            <w:pPr>
              <w:rPr>
                <w:rFonts w:cs="Arial"/>
                <w:bCs/>
                <w:color w:val="000000"/>
                <w:szCs w:val="22"/>
                <w:lang w:eastAsia="es-CO"/>
              </w:rPr>
            </w:pPr>
            <w:r w:rsidRPr="00722321">
              <w:rPr>
                <w:rFonts w:cs="Arial"/>
                <w:bCs/>
                <w:color w:val="000000"/>
                <w:szCs w:val="22"/>
                <w:lang w:eastAsia="es-CO"/>
              </w:rPr>
              <w:t>Unidades de bombeo</w:t>
            </w:r>
          </w:p>
        </w:tc>
      </w:tr>
      <w:tr w:rsidR="0083557B" w:rsidRPr="004859E4" w:rsidTr="002F63E2">
        <w:trPr>
          <w:trHeight w:val="315"/>
          <w:jc w:val="center"/>
        </w:trPr>
        <w:tc>
          <w:tcPr>
            <w:tcW w:w="152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581CA4" w:rsidRDefault="0083557B" w:rsidP="002F63E2">
            <w:pPr>
              <w:rPr>
                <w:rFonts w:cs="Arial"/>
                <w:bCs/>
                <w:color w:val="000000"/>
                <w:szCs w:val="22"/>
                <w:lang w:eastAsia="es-CO"/>
              </w:rPr>
            </w:pPr>
            <w:r w:rsidRPr="00581CA4">
              <w:rPr>
                <w:rFonts w:cs="Arial"/>
                <w:bCs/>
                <w:color w:val="000000"/>
                <w:szCs w:val="22"/>
              </w:rPr>
              <w:t xml:space="preserve">Fresno </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72,5</w:t>
            </w:r>
          </w:p>
        </w:tc>
        <w:tc>
          <w:tcPr>
            <w:tcW w:w="211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Rebombeo</w:t>
            </w:r>
          </w:p>
        </w:tc>
        <w:tc>
          <w:tcPr>
            <w:tcW w:w="2651"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jc w:val="right"/>
              <w:rPr>
                <w:rFonts w:cs="Arial"/>
                <w:color w:val="000000"/>
                <w:szCs w:val="22"/>
                <w:lang w:eastAsia="es-CO"/>
              </w:rPr>
            </w:pPr>
            <w:r w:rsidRPr="004859E4">
              <w:rPr>
                <w:rFonts w:cs="Arial"/>
                <w:color w:val="000000"/>
                <w:szCs w:val="22"/>
                <w:lang w:eastAsia="es-CO"/>
              </w:rPr>
              <w:t>2</w:t>
            </w:r>
          </w:p>
        </w:tc>
      </w:tr>
      <w:tr w:rsidR="0083557B" w:rsidRPr="004859E4" w:rsidTr="002F63E2">
        <w:trPr>
          <w:trHeight w:val="315"/>
          <w:jc w:val="center"/>
        </w:trPr>
        <w:tc>
          <w:tcPr>
            <w:tcW w:w="1527"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581CA4" w:rsidRDefault="0083557B" w:rsidP="002F63E2">
            <w:pPr>
              <w:rPr>
                <w:rFonts w:cs="Arial"/>
                <w:bCs/>
                <w:color w:val="000000"/>
                <w:szCs w:val="22"/>
                <w:lang w:eastAsia="es-CO"/>
              </w:rPr>
            </w:pPr>
            <w:r w:rsidRPr="00581CA4">
              <w:rPr>
                <w:rFonts w:cs="Arial"/>
                <w:bCs/>
                <w:color w:val="000000"/>
                <w:szCs w:val="22"/>
              </w:rPr>
              <w:t xml:space="preserve">Herveo </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96,0</w:t>
            </w:r>
          </w:p>
        </w:tc>
        <w:tc>
          <w:tcPr>
            <w:tcW w:w="2114"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Rebombeo</w:t>
            </w:r>
          </w:p>
        </w:tc>
        <w:tc>
          <w:tcPr>
            <w:tcW w:w="2651"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jc w:val="right"/>
              <w:rPr>
                <w:rFonts w:cs="Arial"/>
                <w:color w:val="000000"/>
                <w:szCs w:val="22"/>
                <w:lang w:eastAsia="es-CO"/>
              </w:rPr>
            </w:pPr>
            <w:r w:rsidRPr="004859E4">
              <w:rPr>
                <w:rFonts w:cs="Arial"/>
                <w:color w:val="000000"/>
                <w:szCs w:val="22"/>
                <w:lang w:eastAsia="es-CO"/>
              </w:rPr>
              <w:t>2</w:t>
            </w:r>
          </w:p>
        </w:tc>
      </w:tr>
      <w:tr w:rsidR="0083557B" w:rsidRPr="004859E4" w:rsidTr="002F63E2">
        <w:trPr>
          <w:trHeight w:val="315"/>
          <w:jc w:val="center"/>
        </w:trPr>
        <w:tc>
          <w:tcPr>
            <w:tcW w:w="152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581CA4" w:rsidRDefault="0083557B" w:rsidP="002F63E2">
            <w:pPr>
              <w:rPr>
                <w:rFonts w:cs="Arial"/>
                <w:bCs/>
                <w:color w:val="000000"/>
                <w:szCs w:val="22"/>
                <w:lang w:eastAsia="es-CO"/>
              </w:rPr>
            </w:pPr>
            <w:r w:rsidRPr="00581CA4">
              <w:rPr>
                <w:rFonts w:cs="Arial"/>
                <w:bCs/>
                <w:color w:val="000000"/>
                <w:szCs w:val="22"/>
              </w:rPr>
              <w:t xml:space="preserve">Manizales </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124,0</w:t>
            </w:r>
          </w:p>
        </w:tc>
        <w:tc>
          <w:tcPr>
            <w:tcW w:w="211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Recibo al paso</w:t>
            </w:r>
          </w:p>
        </w:tc>
        <w:tc>
          <w:tcPr>
            <w:tcW w:w="2651" w:type="dxa"/>
            <w:tcBorders>
              <w:top w:val="single" w:sz="8" w:space="0" w:color="4F81BD"/>
              <w:left w:val="single" w:sz="8" w:space="0" w:color="4F81BD"/>
              <w:bottom w:val="single" w:sz="8" w:space="0" w:color="4F81BD"/>
              <w:right w:val="single" w:sz="8" w:space="0" w:color="4F81BD"/>
            </w:tcBorders>
            <w:shd w:val="clear" w:color="auto" w:fill="D3DFEE"/>
          </w:tcPr>
          <w:p w:rsidR="0083557B" w:rsidRPr="004859E4" w:rsidRDefault="0083557B" w:rsidP="002F63E2">
            <w:pPr>
              <w:rPr>
                <w:rFonts w:cs="Arial"/>
                <w:color w:val="000000"/>
                <w:szCs w:val="22"/>
                <w:lang w:eastAsia="es-CO"/>
              </w:rPr>
            </w:pPr>
          </w:p>
        </w:tc>
      </w:tr>
      <w:tr w:rsidR="0083557B" w:rsidRPr="004859E4" w:rsidTr="002F63E2">
        <w:trPr>
          <w:trHeight w:val="315"/>
          <w:jc w:val="center"/>
        </w:trPr>
        <w:tc>
          <w:tcPr>
            <w:tcW w:w="1527"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581CA4" w:rsidRDefault="0083557B" w:rsidP="002F63E2">
            <w:pPr>
              <w:rPr>
                <w:rFonts w:cs="Arial"/>
                <w:bCs/>
                <w:color w:val="000000"/>
                <w:szCs w:val="22"/>
                <w:lang w:eastAsia="es-CO"/>
              </w:rPr>
            </w:pPr>
            <w:r w:rsidRPr="00581CA4">
              <w:rPr>
                <w:rFonts w:cs="Arial"/>
                <w:bCs/>
                <w:color w:val="000000"/>
                <w:szCs w:val="22"/>
              </w:rPr>
              <w:t xml:space="preserve">Pereira  </w:t>
            </w:r>
          </w:p>
        </w:tc>
        <w:tc>
          <w:tcPr>
            <w:tcW w:w="1417"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185,6</w:t>
            </w:r>
          </w:p>
        </w:tc>
        <w:tc>
          <w:tcPr>
            <w:tcW w:w="2114"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Recibo al paso</w:t>
            </w:r>
          </w:p>
        </w:tc>
        <w:tc>
          <w:tcPr>
            <w:tcW w:w="2651" w:type="dxa"/>
            <w:tcBorders>
              <w:top w:val="single" w:sz="8" w:space="0" w:color="4F81BD"/>
              <w:left w:val="single" w:sz="8" w:space="0" w:color="4F81BD"/>
              <w:bottom w:val="single" w:sz="8" w:space="0" w:color="4F81BD"/>
              <w:right w:val="single" w:sz="8" w:space="0" w:color="4F81BD"/>
            </w:tcBorders>
            <w:shd w:val="clear" w:color="auto" w:fill="auto"/>
          </w:tcPr>
          <w:p w:rsidR="0083557B" w:rsidRPr="004859E4" w:rsidRDefault="0083557B" w:rsidP="002F63E2">
            <w:pPr>
              <w:rPr>
                <w:rFonts w:cs="Arial"/>
                <w:color w:val="000000"/>
                <w:szCs w:val="22"/>
                <w:lang w:eastAsia="es-CO"/>
              </w:rPr>
            </w:pPr>
          </w:p>
        </w:tc>
      </w:tr>
      <w:tr w:rsidR="0083557B" w:rsidRPr="004859E4" w:rsidTr="002F63E2">
        <w:trPr>
          <w:trHeight w:val="315"/>
          <w:jc w:val="center"/>
        </w:trPr>
        <w:tc>
          <w:tcPr>
            <w:tcW w:w="152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581CA4" w:rsidRDefault="0083557B" w:rsidP="002F63E2">
            <w:pPr>
              <w:rPr>
                <w:rFonts w:cs="Arial"/>
                <w:bCs/>
                <w:color w:val="000000"/>
                <w:szCs w:val="22"/>
                <w:lang w:eastAsia="es-CO"/>
              </w:rPr>
            </w:pPr>
            <w:r w:rsidRPr="00581CA4">
              <w:rPr>
                <w:rFonts w:cs="Arial"/>
                <w:bCs/>
                <w:color w:val="000000"/>
                <w:szCs w:val="22"/>
                <w:lang w:eastAsia="es-CO"/>
              </w:rPr>
              <w:t>Cartago</w:t>
            </w:r>
          </w:p>
        </w:tc>
        <w:tc>
          <w:tcPr>
            <w:tcW w:w="1417"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207,5</w:t>
            </w:r>
          </w:p>
        </w:tc>
        <w:tc>
          <w:tcPr>
            <w:tcW w:w="2114"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Recibo y bombeo</w:t>
            </w:r>
          </w:p>
        </w:tc>
        <w:tc>
          <w:tcPr>
            <w:tcW w:w="2651" w:type="dxa"/>
            <w:tcBorders>
              <w:top w:val="single" w:sz="8" w:space="0" w:color="4F81BD"/>
              <w:left w:val="single" w:sz="8" w:space="0" w:color="4F81BD"/>
              <w:bottom w:val="single" w:sz="8" w:space="0" w:color="4F81BD"/>
              <w:right w:val="single" w:sz="8" w:space="0" w:color="4F81BD"/>
            </w:tcBorders>
            <w:shd w:val="clear" w:color="auto" w:fill="D3DFEE"/>
          </w:tcPr>
          <w:p w:rsidR="0083557B" w:rsidRPr="004859E4" w:rsidRDefault="0083557B" w:rsidP="002F63E2">
            <w:pPr>
              <w:rPr>
                <w:rFonts w:cs="Arial"/>
                <w:color w:val="000000"/>
                <w:szCs w:val="22"/>
                <w:lang w:eastAsia="es-CO"/>
              </w:rPr>
            </w:pPr>
          </w:p>
        </w:tc>
      </w:tr>
    </w:tbl>
    <w:p w:rsidR="0083557B" w:rsidRPr="004859E4"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83557B" w:rsidRPr="004859E4" w:rsidRDefault="0083557B" w:rsidP="0083557B">
      <w:pPr>
        <w:ind w:left="195"/>
        <w:rPr>
          <w:rFonts w:cs="Arial"/>
        </w:rPr>
      </w:pPr>
    </w:p>
    <w:p w:rsidR="0083557B" w:rsidRPr="000331D2" w:rsidRDefault="0083557B" w:rsidP="00391FB3">
      <w:pPr>
        <w:pStyle w:val="Ttulo3"/>
        <w:rPr>
          <w:b w:val="0"/>
          <w:sz w:val="24"/>
          <w:szCs w:val="24"/>
        </w:rPr>
      </w:pPr>
      <w:bookmarkStart w:id="984" w:name="_Toc380057149"/>
      <w:bookmarkStart w:id="985" w:name="_Toc433295762"/>
      <w:bookmarkStart w:id="986" w:name="_Toc433296487"/>
      <w:bookmarkStart w:id="987" w:name="_Toc437500916"/>
      <w:bookmarkStart w:id="988" w:name="_Toc437501575"/>
      <w:bookmarkStart w:id="989" w:name="_Toc437501755"/>
      <w:bookmarkStart w:id="990" w:name="_Toc437501845"/>
      <w:bookmarkStart w:id="991" w:name="_Toc437502608"/>
      <w:bookmarkStart w:id="992" w:name="_Toc437505968"/>
      <w:bookmarkStart w:id="993" w:name="_Toc437512781"/>
      <w:r w:rsidRPr="000331D2">
        <w:rPr>
          <w:sz w:val="24"/>
          <w:szCs w:val="24"/>
        </w:rPr>
        <w:t>Poliducto Cartago – Yumbo</w:t>
      </w:r>
      <w:bookmarkEnd w:id="984"/>
      <w:bookmarkEnd w:id="985"/>
      <w:bookmarkEnd w:id="986"/>
      <w:bookmarkEnd w:id="987"/>
      <w:bookmarkEnd w:id="988"/>
      <w:bookmarkEnd w:id="989"/>
      <w:bookmarkEnd w:id="990"/>
      <w:bookmarkEnd w:id="991"/>
      <w:bookmarkEnd w:id="992"/>
      <w:bookmarkEnd w:id="993"/>
    </w:p>
    <w:p w:rsidR="0083557B" w:rsidRPr="000331D2" w:rsidRDefault="0083557B" w:rsidP="0083557B">
      <w:pPr>
        <w:ind w:left="195"/>
        <w:rPr>
          <w:rFonts w:cs="Arial"/>
          <w:b/>
          <w:snapToGrid w:val="0"/>
          <w:sz w:val="24"/>
        </w:rPr>
      </w:pPr>
    </w:p>
    <w:p w:rsidR="0083557B" w:rsidRPr="000331D2" w:rsidRDefault="0083557B" w:rsidP="0083557B">
      <w:pPr>
        <w:pStyle w:val="Epgrafe"/>
        <w:spacing w:line="240" w:lineRule="auto"/>
        <w:contextualSpacing/>
        <w:jc w:val="both"/>
        <w:rPr>
          <w:rFonts w:cs="Arial"/>
          <w:szCs w:val="24"/>
        </w:rPr>
      </w:pPr>
      <w:r w:rsidRPr="000331D2">
        <w:rPr>
          <w:rFonts w:cs="Arial"/>
          <w:szCs w:val="24"/>
        </w:rPr>
        <w:t>Este sistema transporta GLP y parte de la demanda de combustibles líquidos entre Cartago y Yumbo. Este poliducto tiene una longitud de 157,7 kilómetros y una capacidad operativa de 13 kbl/día. El lleno de línea asociado a este poliducto es de 36.286 barriles. Durante el recorrido del poliducto se encuentran tramos de 6, 8 y 10 pulgadas ubicados en la forma que se observa en la</w:t>
      </w:r>
      <w:r w:rsidR="00B30132" w:rsidRPr="000331D2">
        <w:rPr>
          <w:rFonts w:cs="Arial"/>
          <w:szCs w:val="24"/>
        </w:rPr>
        <w:t xml:space="preserve"> </w:t>
      </w:r>
      <w:r w:rsidR="00B30132" w:rsidRPr="000331D2">
        <w:rPr>
          <w:rFonts w:cs="Arial"/>
          <w:szCs w:val="24"/>
        </w:rPr>
        <w:fldChar w:fldCharType="begin"/>
      </w:r>
      <w:r w:rsidR="00B30132" w:rsidRPr="000331D2">
        <w:rPr>
          <w:rFonts w:cs="Arial"/>
          <w:szCs w:val="24"/>
        </w:rPr>
        <w:instrText xml:space="preserve"> REF _Ref437019102 \h </w:instrText>
      </w:r>
      <w:r w:rsidR="000331D2">
        <w:rPr>
          <w:rFonts w:cs="Arial"/>
          <w:szCs w:val="24"/>
        </w:rPr>
        <w:instrText xml:space="preserve"> \* MERGEFORMAT </w:instrText>
      </w:r>
      <w:r w:rsidR="00B30132" w:rsidRPr="000331D2">
        <w:rPr>
          <w:rFonts w:cs="Arial"/>
          <w:szCs w:val="24"/>
        </w:rPr>
      </w:r>
      <w:r w:rsidR="00B30132" w:rsidRPr="000331D2">
        <w:rPr>
          <w:rFonts w:cs="Arial"/>
          <w:szCs w:val="24"/>
        </w:rPr>
        <w:fldChar w:fldCharType="separate"/>
      </w:r>
      <w:r w:rsidR="00625BEB" w:rsidRPr="00625BEB">
        <w:rPr>
          <w:szCs w:val="24"/>
        </w:rPr>
        <w:t xml:space="preserve">Gráfica </w:t>
      </w:r>
      <w:r w:rsidR="00625BEB" w:rsidRPr="00625BEB">
        <w:rPr>
          <w:noProof/>
          <w:szCs w:val="24"/>
        </w:rPr>
        <w:t>30</w:t>
      </w:r>
      <w:r w:rsidR="00B30132" w:rsidRPr="000331D2">
        <w:rPr>
          <w:rFonts w:cs="Arial"/>
          <w:szCs w:val="24"/>
        </w:rPr>
        <w:fldChar w:fldCharType="end"/>
      </w:r>
      <w:r w:rsidRPr="000331D2">
        <w:rPr>
          <w:rFonts w:cs="Arial"/>
          <w:szCs w:val="24"/>
        </w:rPr>
        <w:t>.</w:t>
      </w:r>
    </w:p>
    <w:p w:rsidR="00F338BB" w:rsidRDefault="0083557B" w:rsidP="00F338BB">
      <w:pPr>
        <w:keepNext/>
        <w:ind w:left="195"/>
        <w:contextualSpacing/>
        <w:jc w:val="center"/>
      </w:pPr>
      <w:r w:rsidRPr="004859E4">
        <w:rPr>
          <w:rFonts w:cs="Arial"/>
          <w:noProof/>
          <w:lang w:val="es-CO" w:eastAsia="es-CO"/>
        </w:rPr>
        <w:lastRenderedPageBreak/>
        <w:drawing>
          <wp:inline distT="0" distB="0" distL="0" distR="0" wp14:anchorId="10AE2CAF" wp14:editId="04F4DD4A">
            <wp:extent cx="4427544" cy="2954740"/>
            <wp:effectExtent l="0" t="0" r="0" b="0"/>
            <wp:docPr id="1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33493" cy="2958710"/>
                    </a:xfrm>
                    <a:prstGeom prst="rect">
                      <a:avLst/>
                    </a:prstGeom>
                    <a:noFill/>
                    <a:ln>
                      <a:noFill/>
                    </a:ln>
                  </pic:spPr>
                </pic:pic>
              </a:graphicData>
            </a:graphic>
          </wp:inline>
        </w:drawing>
      </w:r>
    </w:p>
    <w:p w:rsidR="0083557B"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 xml:space="preserve">studio descriptivo de las actividades de la cadena de distribución de combustibles líquidos. </w:t>
      </w:r>
    </w:p>
    <w:p w:rsidR="00F338BB" w:rsidRDefault="00BC557B" w:rsidP="00BC557B">
      <w:pPr>
        <w:pStyle w:val="Epgrafe"/>
      </w:pPr>
      <w:bookmarkStart w:id="994" w:name="_Ref437019102"/>
      <w:bookmarkStart w:id="995" w:name="_Toc437512867"/>
      <w:r>
        <w:t xml:space="preserve">Gráfica </w:t>
      </w:r>
      <w:r>
        <w:fldChar w:fldCharType="begin"/>
      </w:r>
      <w:r>
        <w:instrText xml:space="preserve"> SEQ Gráfica \* ARABIC </w:instrText>
      </w:r>
      <w:r>
        <w:fldChar w:fldCharType="separate"/>
      </w:r>
      <w:r w:rsidR="00625BEB">
        <w:rPr>
          <w:noProof/>
        </w:rPr>
        <w:t>30</w:t>
      </w:r>
      <w:r>
        <w:fldChar w:fldCharType="end"/>
      </w:r>
      <w:bookmarkEnd w:id="994"/>
      <w:r>
        <w:t xml:space="preserve"> </w:t>
      </w:r>
      <w:r w:rsidRPr="00882DC6">
        <w:t>Perfil poliducto Cartago - Yumbo</w:t>
      </w:r>
      <w:bookmarkEnd w:id="995"/>
    </w:p>
    <w:p w:rsidR="00BE2F8E" w:rsidRPr="00F338BB" w:rsidRDefault="00BE2F8E" w:rsidP="00F338BB"/>
    <w:p w:rsidR="0083557B" w:rsidRPr="00F42CA3" w:rsidRDefault="0083557B" w:rsidP="00391FB3">
      <w:pPr>
        <w:pStyle w:val="Ttulo3"/>
        <w:rPr>
          <w:sz w:val="24"/>
          <w:szCs w:val="24"/>
        </w:rPr>
      </w:pPr>
      <w:bookmarkStart w:id="996" w:name="_Toc380057150"/>
      <w:bookmarkStart w:id="997" w:name="_Toc433295763"/>
      <w:bookmarkStart w:id="998" w:name="_Toc433296488"/>
      <w:bookmarkStart w:id="999" w:name="_Toc437500917"/>
      <w:bookmarkStart w:id="1000" w:name="_Toc437501576"/>
      <w:bookmarkStart w:id="1001" w:name="_Toc437501756"/>
      <w:bookmarkStart w:id="1002" w:name="_Toc437501846"/>
      <w:bookmarkStart w:id="1003" w:name="_Toc437502609"/>
      <w:bookmarkStart w:id="1004" w:name="_Toc437505969"/>
      <w:bookmarkStart w:id="1005" w:name="_Toc437512782"/>
      <w:r w:rsidRPr="00F42CA3">
        <w:rPr>
          <w:sz w:val="24"/>
          <w:szCs w:val="24"/>
        </w:rPr>
        <w:t>Poliducto Salgar - Neiva</w:t>
      </w:r>
      <w:bookmarkEnd w:id="996"/>
      <w:bookmarkEnd w:id="997"/>
      <w:bookmarkEnd w:id="998"/>
      <w:bookmarkEnd w:id="999"/>
      <w:bookmarkEnd w:id="1000"/>
      <w:bookmarkEnd w:id="1001"/>
      <w:bookmarkEnd w:id="1002"/>
      <w:bookmarkEnd w:id="1003"/>
      <w:bookmarkEnd w:id="1004"/>
      <w:bookmarkEnd w:id="1005"/>
    </w:p>
    <w:p w:rsidR="0083557B" w:rsidRPr="000331D2" w:rsidRDefault="0083557B" w:rsidP="0083557B">
      <w:pPr>
        <w:tabs>
          <w:tab w:val="center" w:pos="567"/>
          <w:tab w:val="decimal" w:pos="3544"/>
        </w:tabs>
        <w:rPr>
          <w:rFonts w:cs="Arial"/>
          <w:b/>
        </w:rPr>
      </w:pPr>
    </w:p>
    <w:p w:rsidR="0083557B" w:rsidRPr="000331D2" w:rsidRDefault="0083557B" w:rsidP="0083557B">
      <w:pPr>
        <w:tabs>
          <w:tab w:val="center" w:pos="567"/>
          <w:tab w:val="decimal" w:pos="3544"/>
        </w:tabs>
        <w:rPr>
          <w:rFonts w:cs="Arial"/>
          <w:sz w:val="24"/>
        </w:rPr>
      </w:pPr>
      <w:r w:rsidRPr="000331D2">
        <w:rPr>
          <w:rFonts w:cs="Arial"/>
          <w:sz w:val="24"/>
        </w:rPr>
        <w:t>El poliducto Salgar – Neiva transporta combustibles líquidos para atender la zona sur del país.  Presenta tres tramos con diferente diámetro a lo largo del recorrido, 6, 8 y 12 pulgadas y un lleno de línea de 106.604 barriles.</w:t>
      </w:r>
    </w:p>
    <w:p w:rsidR="0083557B" w:rsidRPr="004859E4" w:rsidRDefault="0083557B" w:rsidP="0083557B">
      <w:pPr>
        <w:tabs>
          <w:tab w:val="center" w:pos="567"/>
          <w:tab w:val="decimal" w:pos="3544"/>
        </w:tabs>
        <w:rPr>
          <w:rFonts w:cs="Arial"/>
        </w:rPr>
      </w:pPr>
    </w:p>
    <w:p w:rsidR="00BE2F8E" w:rsidRDefault="0083557B" w:rsidP="00BE2F8E">
      <w:pPr>
        <w:keepNext/>
        <w:ind w:left="195"/>
        <w:contextualSpacing/>
        <w:jc w:val="center"/>
      </w:pPr>
      <w:r w:rsidRPr="004859E4">
        <w:rPr>
          <w:rFonts w:cs="Arial"/>
          <w:noProof/>
          <w:lang w:val="es-CO" w:eastAsia="es-CO"/>
        </w:rPr>
        <w:drawing>
          <wp:inline distT="0" distB="0" distL="0" distR="0" wp14:anchorId="40DA1DB3" wp14:editId="0AB23040">
            <wp:extent cx="4182386" cy="2788492"/>
            <wp:effectExtent l="0" t="0" r="8890" b="0"/>
            <wp:docPr id="1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196266" cy="2797746"/>
                    </a:xfrm>
                    <a:prstGeom prst="rect">
                      <a:avLst/>
                    </a:prstGeom>
                    <a:noFill/>
                    <a:ln>
                      <a:noFill/>
                    </a:ln>
                  </pic:spPr>
                </pic:pic>
              </a:graphicData>
            </a:graphic>
          </wp:inline>
        </w:drawing>
      </w:r>
    </w:p>
    <w:p w:rsidR="0083557B"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 xml:space="preserve">studio descriptivo de las actividades de la cadena de distribución de combustibles líquidos. </w:t>
      </w:r>
    </w:p>
    <w:p w:rsidR="00BE2F8E" w:rsidRPr="00BE2F8E" w:rsidRDefault="00BC557B" w:rsidP="00BC557B">
      <w:pPr>
        <w:pStyle w:val="Epgrafe"/>
      </w:pPr>
      <w:bookmarkStart w:id="1006" w:name="_Toc437512868"/>
      <w:r>
        <w:t xml:space="preserve">Gráfica </w:t>
      </w:r>
      <w:r>
        <w:fldChar w:fldCharType="begin"/>
      </w:r>
      <w:r>
        <w:instrText xml:space="preserve"> SEQ Gráfica \* ARABIC </w:instrText>
      </w:r>
      <w:r>
        <w:fldChar w:fldCharType="separate"/>
      </w:r>
      <w:r w:rsidR="00625BEB">
        <w:rPr>
          <w:noProof/>
        </w:rPr>
        <w:t>31</w:t>
      </w:r>
      <w:r>
        <w:fldChar w:fldCharType="end"/>
      </w:r>
      <w:r>
        <w:t xml:space="preserve"> </w:t>
      </w:r>
      <w:r w:rsidRPr="00FE5E96">
        <w:t>Perfil poliducto Salgar – Neiva</w:t>
      </w:r>
      <w:bookmarkEnd w:id="1006"/>
    </w:p>
    <w:p w:rsidR="005911AC" w:rsidRDefault="0083557B" w:rsidP="0083557B">
      <w:pPr>
        <w:rPr>
          <w:rFonts w:cs="Arial"/>
          <w:sz w:val="24"/>
        </w:rPr>
      </w:pPr>
      <w:r w:rsidRPr="000331D2">
        <w:rPr>
          <w:rFonts w:cs="Arial"/>
          <w:sz w:val="24"/>
        </w:rPr>
        <w:t>Este poliducto tiene una longitud de 331 kilómetros y una capacidad operativa promedio de 19 kbl/día. El poliducto Salgar - Neiva presenta las siguientes estaciones:</w:t>
      </w:r>
    </w:p>
    <w:p w:rsidR="005911AC" w:rsidRDefault="005911AC">
      <w:pPr>
        <w:jc w:val="left"/>
        <w:rPr>
          <w:rFonts w:cs="Arial"/>
          <w:sz w:val="24"/>
        </w:rPr>
      </w:pPr>
      <w:r>
        <w:rPr>
          <w:rFonts w:cs="Arial"/>
          <w:sz w:val="24"/>
        </w:rPr>
        <w:br w:type="page"/>
      </w:r>
    </w:p>
    <w:p w:rsidR="0083557B" w:rsidRDefault="0083557B" w:rsidP="0083557B">
      <w:pPr>
        <w:rPr>
          <w:rFonts w:cs="Arial"/>
          <w:sz w:val="24"/>
        </w:rPr>
      </w:pPr>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583"/>
        <w:gridCol w:w="1429"/>
        <w:gridCol w:w="2009"/>
      </w:tblGrid>
      <w:tr w:rsidR="005911AC" w:rsidRPr="004859E4" w:rsidTr="005911AC">
        <w:trPr>
          <w:trHeight w:val="315"/>
          <w:jc w:val="center"/>
        </w:trPr>
        <w:tc>
          <w:tcPr>
            <w:tcW w:w="0" w:type="auto"/>
            <w:gridSpan w:val="3"/>
            <w:tcBorders>
              <w:top w:val="single" w:sz="8" w:space="0" w:color="4F81BD"/>
              <w:left w:val="single" w:sz="8" w:space="0" w:color="4F81BD"/>
              <w:bottom w:val="single" w:sz="18" w:space="0" w:color="4F81BD"/>
              <w:right w:val="single" w:sz="8" w:space="0" w:color="4F81BD"/>
            </w:tcBorders>
            <w:shd w:val="clear" w:color="auto" w:fill="auto"/>
            <w:noWrap/>
          </w:tcPr>
          <w:p w:rsidR="005911AC" w:rsidRPr="00722321" w:rsidRDefault="005911AC" w:rsidP="005911AC">
            <w:pPr>
              <w:rPr>
                <w:rFonts w:cs="Arial"/>
                <w:bCs/>
                <w:color w:val="000000"/>
                <w:szCs w:val="22"/>
                <w:lang w:eastAsia="es-CO"/>
              </w:rPr>
            </w:pPr>
            <w:bookmarkStart w:id="1007" w:name="_Toc437512835"/>
            <w:r w:rsidRPr="00722321">
              <w:t xml:space="preserve">Tabla </w:t>
            </w:r>
            <w:r w:rsidRPr="00722321">
              <w:fldChar w:fldCharType="begin"/>
            </w:r>
            <w:r w:rsidRPr="00722321">
              <w:instrText xml:space="preserve"> SEQ Tabla \* ARABIC </w:instrText>
            </w:r>
            <w:r w:rsidRPr="00722321">
              <w:fldChar w:fldCharType="separate"/>
            </w:r>
            <w:r w:rsidR="00625BEB">
              <w:rPr>
                <w:noProof/>
              </w:rPr>
              <w:t>29</w:t>
            </w:r>
            <w:r w:rsidRPr="00722321">
              <w:fldChar w:fldCharType="end"/>
            </w:r>
            <w:r w:rsidRPr="00722321">
              <w:t xml:space="preserve"> Estaciones poliducto Salgar - Neiva</w:t>
            </w:r>
            <w:bookmarkEnd w:id="1007"/>
          </w:p>
        </w:tc>
      </w:tr>
      <w:tr w:rsidR="0083557B" w:rsidRPr="004859E4" w:rsidTr="005911AC">
        <w:trPr>
          <w:trHeight w:val="315"/>
          <w:jc w:val="center"/>
        </w:trPr>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5911AC">
            <w:pPr>
              <w:jc w:val="center"/>
              <w:rPr>
                <w:rFonts w:cs="Arial"/>
                <w:bCs/>
                <w:color w:val="000000"/>
                <w:szCs w:val="22"/>
                <w:lang w:eastAsia="es-CO"/>
              </w:rPr>
            </w:pPr>
            <w:r w:rsidRPr="00722321">
              <w:rPr>
                <w:rFonts w:cs="Arial"/>
                <w:bCs/>
                <w:color w:val="000000"/>
                <w:szCs w:val="22"/>
              </w:rPr>
              <w:t>Estaciones</w:t>
            </w: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5911AC">
            <w:pPr>
              <w:jc w:val="center"/>
              <w:rPr>
                <w:rFonts w:cs="Arial"/>
                <w:bCs/>
                <w:color w:val="000000"/>
                <w:szCs w:val="22"/>
                <w:lang w:eastAsia="es-CO"/>
              </w:rPr>
            </w:pPr>
            <w:r w:rsidRPr="00722321">
              <w:rPr>
                <w:rFonts w:cs="Arial"/>
                <w:bCs/>
                <w:color w:val="000000"/>
                <w:szCs w:val="22"/>
                <w:lang w:eastAsia="es-CO"/>
              </w:rPr>
              <w:t>Kilómetro</w:t>
            </w: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722321" w:rsidRDefault="0083557B" w:rsidP="005911AC">
            <w:pPr>
              <w:jc w:val="center"/>
              <w:rPr>
                <w:rFonts w:cs="Arial"/>
                <w:bCs/>
                <w:color w:val="000000"/>
                <w:szCs w:val="22"/>
                <w:lang w:eastAsia="es-CO"/>
              </w:rPr>
            </w:pPr>
            <w:r w:rsidRPr="00722321">
              <w:rPr>
                <w:rFonts w:cs="Arial"/>
                <w:bCs/>
                <w:color w:val="000000"/>
                <w:szCs w:val="22"/>
                <w:lang w:eastAsia="es-CO"/>
              </w:rPr>
              <w:t>Tipo</w:t>
            </w:r>
          </w:p>
        </w:tc>
      </w:tr>
      <w:tr w:rsidR="0083557B" w:rsidRPr="004859E4" w:rsidTr="005911AC">
        <w:trPr>
          <w:trHeight w:val="315"/>
          <w:jc w:val="center"/>
        </w:trPr>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581CA4" w:rsidRDefault="0083557B" w:rsidP="002F63E2">
            <w:pPr>
              <w:rPr>
                <w:rFonts w:cs="Arial"/>
                <w:bCs/>
                <w:color w:val="000000"/>
                <w:szCs w:val="22"/>
                <w:lang w:eastAsia="es-CO"/>
              </w:rPr>
            </w:pPr>
            <w:r w:rsidRPr="00581CA4">
              <w:rPr>
                <w:rFonts w:cs="Arial"/>
                <w:bCs/>
                <w:color w:val="000000"/>
                <w:szCs w:val="22"/>
              </w:rPr>
              <w:t>Mariquita</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49.8</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Recibo al paso</w:t>
            </w:r>
          </w:p>
        </w:tc>
      </w:tr>
      <w:tr w:rsidR="0083557B" w:rsidRPr="004859E4" w:rsidTr="005911AC">
        <w:trPr>
          <w:trHeight w:val="315"/>
          <w:jc w:val="center"/>
        </w:trPr>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581CA4" w:rsidRDefault="0083557B" w:rsidP="002F63E2">
            <w:pPr>
              <w:rPr>
                <w:rFonts w:cs="Arial"/>
                <w:bCs/>
                <w:color w:val="000000"/>
                <w:szCs w:val="22"/>
                <w:lang w:eastAsia="es-CO"/>
              </w:rPr>
            </w:pPr>
            <w:r w:rsidRPr="00581CA4">
              <w:rPr>
                <w:rFonts w:cs="Arial"/>
                <w:bCs/>
                <w:color w:val="000000"/>
                <w:szCs w:val="22"/>
              </w:rPr>
              <w:t>Gualanday</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 xml:space="preserve">168.5 </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4859E4" w:rsidRDefault="0083557B" w:rsidP="002F63E2">
            <w:pPr>
              <w:rPr>
                <w:rFonts w:cs="Arial"/>
                <w:color w:val="000000"/>
                <w:szCs w:val="22"/>
                <w:lang w:eastAsia="es-CO"/>
              </w:rPr>
            </w:pPr>
            <w:r w:rsidRPr="004859E4">
              <w:rPr>
                <w:rFonts w:cs="Arial"/>
                <w:color w:val="000000"/>
                <w:szCs w:val="22"/>
                <w:lang w:eastAsia="es-CO"/>
              </w:rPr>
              <w:t>Recibo al paso</w:t>
            </w:r>
          </w:p>
        </w:tc>
      </w:tr>
    </w:tbl>
    <w:p w:rsidR="0083557B" w:rsidRPr="004859E4"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83557B" w:rsidRPr="004859E4" w:rsidRDefault="0083557B" w:rsidP="005911AC"/>
    <w:p w:rsidR="0083557B" w:rsidRPr="00F42CA3" w:rsidRDefault="0083557B" w:rsidP="00391FB3">
      <w:pPr>
        <w:pStyle w:val="Ttulo3"/>
        <w:rPr>
          <w:b w:val="0"/>
          <w:sz w:val="24"/>
          <w:szCs w:val="24"/>
        </w:rPr>
      </w:pPr>
      <w:bookmarkStart w:id="1008" w:name="_Toc380057151"/>
      <w:bookmarkStart w:id="1009" w:name="_Toc433295764"/>
      <w:bookmarkStart w:id="1010" w:name="_Toc433296489"/>
      <w:bookmarkStart w:id="1011" w:name="_Toc437500918"/>
      <w:bookmarkStart w:id="1012" w:name="_Toc437501577"/>
      <w:bookmarkStart w:id="1013" w:name="_Toc437501757"/>
      <w:bookmarkStart w:id="1014" w:name="_Toc437501847"/>
      <w:bookmarkStart w:id="1015" w:name="_Toc437502610"/>
      <w:bookmarkStart w:id="1016" w:name="_Toc437505970"/>
      <w:bookmarkStart w:id="1017" w:name="_Toc437512783"/>
      <w:r w:rsidRPr="00F42CA3">
        <w:rPr>
          <w:sz w:val="24"/>
          <w:szCs w:val="24"/>
        </w:rPr>
        <w:t>Poliducto Sebastopol – Tocancipá</w:t>
      </w:r>
      <w:bookmarkEnd w:id="1008"/>
      <w:bookmarkEnd w:id="1009"/>
      <w:bookmarkEnd w:id="1010"/>
      <w:bookmarkEnd w:id="1011"/>
      <w:bookmarkEnd w:id="1012"/>
      <w:bookmarkEnd w:id="1013"/>
      <w:bookmarkEnd w:id="1014"/>
      <w:bookmarkEnd w:id="1015"/>
      <w:bookmarkEnd w:id="1016"/>
      <w:bookmarkEnd w:id="1017"/>
    </w:p>
    <w:p w:rsidR="0083557B" w:rsidRPr="004859E4" w:rsidRDefault="0083557B" w:rsidP="0083557B">
      <w:pPr>
        <w:ind w:left="195"/>
        <w:rPr>
          <w:rFonts w:cs="Arial"/>
        </w:rPr>
      </w:pPr>
    </w:p>
    <w:p w:rsidR="0083557B" w:rsidRPr="000331D2" w:rsidRDefault="0083557B" w:rsidP="0083557B">
      <w:pPr>
        <w:rPr>
          <w:rFonts w:cs="Arial"/>
          <w:sz w:val="24"/>
        </w:rPr>
      </w:pPr>
      <w:r w:rsidRPr="000331D2">
        <w:rPr>
          <w:rFonts w:cs="Arial"/>
          <w:sz w:val="24"/>
        </w:rPr>
        <w:t>Este poliducto de 275,9 kilómetros de longitud constituye en un sistema alterno estratégico de transporte de combustibles para el área de Bogotá. Cuenta con un a lleno de línea 246.322 barriles y una capacidad operacional de 75,8 kbl/día.</w:t>
      </w:r>
    </w:p>
    <w:p w:rsidR="00B700A6" w:rsidRDefault="0083557B" w:rsidP="00B700A6">
      <w:pPr>
        <w:keepNext/>
        <w:ind w:left="195"/>
        <w:contextualSpacing/>
        <w:jc w:val="center"/>
      </w:pPr>
      <w:r w:rsidRPr="004859E4">
        <w:rPr>
          <w:rFonts w:cs="Arial"/>
          <w:noProof/>
          <w:lang w:val="es-CO" w:eastAsia="es-CO"/>
        </w:rPr>
        <w:drawing>
          <wp:inline distT="0" distB="0" distL="0" distR="0" wp14:anchorId="70F1C104" wp14:editId="0586B862">
            <wp:extent cx="4605730" cy="3070746"/>
            <wp:effectExtent l="0" t="0" r="4445" b="0"/>
            <wp:docPr id="2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13662" cy="3076034"/>
                    </a:xfrm>
                    <a:prstGeom prst="rect">
                      <a:avLst/>
                    </a:prstGeom>
                    <a:noFill/>
                    <a:ln>
                      <a:noFill/>
                    </a:ln>
                  </pic:spPr>
                </pic:pic>
              </a:graphicData>
            </a:graphic>
          </wp:inline>
        </w:drawing>
      </w:r>
    </w:p>
    <w:p w:rsidR="0083557B" w:rsidRPr="004859E4"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 xml:space="preserve">studio descriptivo de las actividades de la cadena de distribución de combustibles líquidos. </w:t>
      </w:r>
    </w:p>
    <w:p w:rsidR="0083557B" w:rsidRPr="004859E4" w:rsidRDefault="00BC557B" w:rsidP="00BC557B">
      <w:pPr>
        <w:pStyle w:val="Epgrafe"/>
        <w:rPr>
          <w:rFonts w:cs="Arial"/>
          <w:b/>
          <w:sz w:val="18"/>
          <w:szCs w:val="18"/>
        </w:rPr>
      </w:pPr>
      <w:bookmarkStart w:id="1018" w:name="_Toc437512869"/>
      <w:r>
        <w:t xml:space="preserve">Gráfica </w:t>
      </w:r>
      <w:r>
        <w:fldChar w:fldCharType="begin"/>
      </w:r>
      <w:r>
        <w:instrText xml:space="preserve"> SEQ Gráfica \* ARABIC </w:instrText>
      </w:r>
      <w:r>
        <w:fldChar w:fldCharType="separate"/>
      </w:r>
      <w:r w:rsidR="00625BEB">
        <w:rPr>
          <w:noProof/>
        </w:rPr>
        <w:t>32</w:t>
      </w:r>
      <w:r>
        <w:fldChar w:fldCharType="end"/>
      </w:r>
      <w:r>
        <w:t xml:space="preserve"> </w:t>
      </w:r>
      <w:r w:rsidRPr="00CD0500">
        <w:t>Perfil poliducto Sebastopol - Tocancipá</w:t>
      </w:r>
      <w:bookmarkEnd w:id="1018"/>
    </w:p>
    <w:p w:rsidR="00F42CA3" w:rsidRDefault="00F42CA3" w:rsidP="0083557B">
      <w:pPr>
        <w:tabs>
          <w:tab w:val="center" w:pos="567"/>
          <w:tab w:val="decimal" w:pos="3544"/>
        </w:tabs>
        <w:rPr>
          <w:rFonts w:cs="Arial"/>
          <w:sz w:val="24"/>
        </w:rPr>
      </w:pPr>
    </w:p>
    <w:p w:rsidR="0083557B" w:rsidRPr="000331D2" w:rsidRDefault="0083557B" w:rsidP="0083557B">
      <w:pPr>
        <w:tabs>
          <w:tab w:val="center" w:pos="567"/>
          <w:tab w:val="decimal" w:pos="3544"/>
        </w:tabs>
        <w:rPr>
          <w:rFonts w:cs="Arial"/>
          <w:sz w:val="24"/>
        </w:rPr>
      </w:pPr>
      <w:r w:rsidRPr="000331D2">
        <w:rPr>
          <w:rFonts w:cs="Arial"/>
          <w:sz w:val="24"/>
        </w:rPr>
        <w:t>El poliducto Sebastopol – Tocancipá presenta diámetro de 20 pulgadas en los primeros 100 kilómetros y a partir de la estación de Santa Rosa cambia el diámetro a 16 pulgadas. Las estaciones correspondientes a este poliducto se pueden apreciar en la siguiente tabla:</w:t>
      </w:r>
    </w:p>
    <w:p w:rsidR="00963451" w:rsidRDefault="00963451" w:rsidP="00722321"/>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375"/>
        <w:gridCol w:w="1768"/>
        <w:gridCol w:w="1873"/>
      </w:tblGrid>
      <w:tr w:rsidR="00722321" w:rsidRPr="004859E4" w:rsidTr="00722321">
        <w:trPr>
          <w:trHeight w:val="315"/>
          <w:jc w:val="center"/>
        </w:trPr>
        <w:tc>
          <w:tcPr>
            <w:tcW w:w="0" w:type="auto"/>
            <w:gridSpan w:val="3"/>
            <w:tcBorders>
              <w:top w:val="single" w:sz="8" w:space="0" w:color="4F81BD"/>
              <w:left w:val="single" w:sz="8" w:space="0" w:color="4F81BD"/>
              <w:bottom w:val="single" w:sz="18" w:space="0" w:color="4F81BD"/>
              <w:right w:val="single" w:sz="8" w:space="0" w:color="4F81BD"/>
            </w:tcBorders>
            <w:shd w:val="clear" w:color="auto" w:fill="auto"/>
            <w:noWrap/>
          </w:tcPr>
          <w:p w:rsidR="00722321" w:rsidRPr="004859E4" w:rsidRDefault="00722321" w:rsidP="002F63E2">
            <w:pPr>
              <w:rPr>
                <w:rFonts w:cs="Arial"/>
                <w:b/>
                <w:bCs/>
                <w:color w:val="000000"/>
                <w:szCs w:val="22"/>
                <w:lang w:eastAsia="es-CO"/>
              </w:rPr>
            </w:pPr>
            <w:bookmarkStart w:id="1019" w:name="_Toc437512836"/>
            <w:r>
              <w:t xml:space="preserve">Tabla </w:t>
            </w:r>
            <w:r>
              <w:fldChar w:fldCharType="begin"/>
            </w:r>
            <w:r>
              <w:instrText xml:space="preserve"> SEQ Tabla \* ARABIC </w:instrText>
            </w:r>
            <w:r>
              <w:fldChar w:fldCharType="separate"/>
            </w:r>
            <w:r w:rsidR="00625BEB">
              <w:rPr>
                <w:noProof/>
              </w:rPr>
              <w:t>30</w:t>
            </w:r>
            <w:r>
              <w:fldChar w:fldCharType="end"/>
            </w:r>
            <w:r>
              <w:t xml:space="preserve"> </w:t>
            </w:r>
            <w:r w:rsidRPr="005A222B">
              <w:t>Estaciones poliducto Sebastopol - Tocancipá</w:t>
            </w:r>
            <w:bookmarkEnd w:id="1019"/>
          </w:p>
        </w:tc>
      </w:tr>
      <w:tr w:rsidR="0083557B" w:rsidRPr="004859E4" w:rsidTr="00722321">
        <w:trPr>
          <w:trHeight w:val="315"/>
          <w:jc w:val="center"/>
        </w:trPr>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581CA4" w:rsidRDefault="0083557B" w:rsidP="002F63E2">
            <w:pPr>
              <w:rPr>
                <w:rFonts w:cs="Arial"/>
                <w:bCs/>
                <w:color w:val="000000"/>
                <w:szCs w:val="22"/>
                <w:lang w:eastAsia="es-CO"/>
              </w:rPr>
            </w:pPr>
            <w:r w:rsidRPr="00581CA4">
              <w:rPr>
                <w:rFonts w:cs="Arial"/>
                <w:bCs/>
                <w:color w:val="000000"/>
                <w:szCs w:val="22"/>
              </w:rPr>
              <w:t xml:space="preserve">Estaciones </w:t>
            </w: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581CA4" w:rsidRDefault="0083557B" w:rsidP="002F63E2">
            <w:pPr>
              <w:rPr>
                <w:rFonts w:cs="Arial"/>
                <w:bCs/>
                <w:color w:val="000000"/>
                <w:szCs w:val="22"/>
                <w:lang w:eastAsia="es-CO"/>
              </w:rPr>
            </w:pPr>
            <w:r w:rsidRPr="00581CA4">
              <w:rPr>
                <w:rFonts w:cs="Arial"/>
                <w:bCs/>
                <w:color w:val="000000"/>
                <w:szCs w:val="22"/>
                <w:lang w:eastAsia="es-CO"/>
              </w:rPr>
              <w:t>Kilómetro</w:t>
            </w:r>
          </w:p>
        </w:tc>
        <w:tc>
          <w:tcPr>
            <w:tcW w:w="0" w:type="auto"/>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581CA4" w:rsidRDefault="0083557B" w:rsidP="002F63E2">
            <w:pPr>
              <w:rPr>
                <w:rFonts w:cs="Arial"/>
                <w:bCs/>
                <w:color w:val="000000"/>
                <w:szCs w:val="22"/>
                <w:lang w:eastAsia="es-CO"/>
              </w:rPr>
            </w:pPr>
            <w:r w:rsidRPr="00581CA4">
              <w:rPr>
                <w:rFonts w:cs="Arial"/>
                <w:bCs/>
                <w:color w:val="000000"/>
                <w:szCs w:val="22"/>
                <w:lang w:eastAsia="es-CO"/>
              </w:rPr>
              <w:t>Tipo</w:t>
            </w:r>
          </w:p>
        </w:tc>
      </w:tr>
      <w:tr w:rsidR="0083557B" w:rsidRPr="004859E4" w:rsidTr="00722321">
        <w:trPr>
          <w:trHeight w:val="315"/>
          <w:jc w:val="center"/>
        </w:trPr>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581CA4" w:rsidRDefault="0083557B" w:rsidP="002F63E2">
            <w:pPr>
              <w:rPr>
                <w:rFonts w:cs="Arial"/>
                <w:bCs/>
                <w:color w:val="000000"/>
                <w:szCs w:val="22"/>
                <w:lang w:eastAsia="es-CO"/>
              </w:rPr>
            </w:pPr>
            <w:r w:rsidRPr="00581CA4">
              <w:rPr>
                <w:rFonts w:cs="Arial"/>
                <w:bCs/>
                <w:color w:val="000000"/>
                <w:szCs w:val="22"/>
              </w:rPr>
              <w:t>Santa Rosa</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581CA4" w:rsidRDefault="0083557B" w:rsidP="002F63E2">
            <w:pPr>
              <w:rPr>
                <w:rFonts w:cs="Arial"/>
                <w:color w:val="000000"/>
                <w:szCs w:val="22"/>
                <w:lang w:eastAsia="es-CO"/>
              </w:rPr>
            </w:pPr>
            <w:r w:rsidRPr="00581CA4">
              <w:rPr>
                <w:rFonts w:cs="Arial"/>
                <w:color w:val="000000"/>
                <w:szCs w:val="22"/>
                <w:lang w:eastAsia="es-CO"/>
              </w:rPr>
              <w:t>100.7</w:t>
            </w:r>
          </w:p>
        </w:tc>
        <w:tc>
          <w:tcPr>
            <w:tcW w:w="0" w:type="auto"/>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581CA4" w:rsidRDefault="0083557B" w:rsidP="002F63E2">
            <w:pPr>
              <w:rPr>
                <w:rFonts w:cs="Arial"/>
                <w:color w:val="000000"/>
                <w:szCs w:val="22"/>
                <w:lang w:eastAsia="es-CO"/>
              </w:rPr>
            </w:pPr>
            <w:r w:rsidRPr="00581CA4">
              <w:rPr>
                <w:rFonts w:cs="Arial"/>
                <w:color w:val="000000"/>
                <w:szCs w:val="22"/>
                <w:lang w:eastAsia="es-CO"/>
              </w:rPr>
              <w:t>Rebombeo</w:t>
            </w:r>
          </w:p>
        </w:tc>
      </w:tr>
      <w:tr w:rsidR="0083557B" w:rsidRPr="004859E4" w:rsidTr="00722321">
        <w:trPr>
          <w:trHeight w:val="315"/>
          <w:jc w:val="center"/>
        </w:trPr>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581CA4" w:rsidRDefault="0083557B" w:rsidP="002F63E2">
            <w:pPr>
              <w:rPr>
                <w:rFonts w:cs="Arial"/>
                <w:bCs/>
                <w:color w:val="000000"/>
                <w:szCs w:val="22"/>
                <w:lang w:eastAsia="es-CO"/>
              </w:rPr>
            </w:pPr>
            <w:r w:rsidRPr="00581CA4">
              <w:rPr>
                <w:rFonts w:cs="Arial"/>
                <w:bCs/>
                <w:color w:val="000000"/>
                <w:szCs w:val="22"/>
              </w:rPr>
              <w:t xml:space="preserve">Sutamarchán </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581CA4" w:rsidRDefault="0083557B" w:rsidP="002F63E2">
            <w:pPr>
              <w:rPr>
                <w:rFonts w:cs="Arial"/>
                <w:color w:val="000000"/>
                <w:szCs w:val="22"/>
                <w:lang w:eastAsia="es-CO"/>
              </w:rPr>
            </w:pPr>
            <w:r w:rsidRPr="00581CA4">
              <w:rPr>
                <w:rFonts w:cs="Arial"/>
                <w:color w:val="000000"/>
                <w:szCs w:val="22"/>
                <w:lang w:eastAsia="es-CO"/>
              </w:rPr>
              <w:t>174.6</w:t>
            </w:r>
          </w:p>
        </w:tc>
        <w:tc>
          <w:tcPr>
            <w:tcW w:w="0" w:type="auto"/>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581CA4" w:rsidRDefault="0083557B" w:rsidP="002F63E2">
            <w:pPr>
              <w:rPr>
                <w:rFonts w:cs="Arial"/>
                <w:color w:val="000000"/>
                <w:szCs w:val="22"/>
                <w:lang w:eastAsia="es-CO"/>
              </w:rPr>
            </w:pPr>
            <w:r w:rsidRPr="00581CA4">
              <w:rPr>
                <w:rFonts w:cs="Arial"/>
                <w:color w:val="000000"/>
                <w:szCs w:val="22"/>
                <w:lang w:eastAsia="es-CO"/>
              </w:rPr>
              <w:t>Rebombeo</w:t>
            </w:r>
          </w:p>
        </w:tc>
      </w:tr>
    </w:tbl>
    <w:p w:rsidR="0083557B" w:rsidRPr="004859E4"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83557B" w:rsidRPr="004859E4" w:rsidRDefault="0083557B" w:rsidP="0083557B">
      <w:pPr>
        <w:ind w:left="195"/>
        <w:rPr>
          <w:rFonts w:cs="Arial"/>
        </w:rPr>
      </w:pPr>
    </w:p>
    <w:p w:rsidR="005911AC" w:rsidRDefault="005911AC">
      <w:pPr>
        <w:jc w:val="left"/>
        <w:rPr>
          <w:b/>
          <w:snapToGrid w:val="0"/>
          <w:color w:val="000000"/>
          <w:sz w:val="24"/>
          <w:lang w:val="es-ES_tradnl"/>
        </w:rPr>
      </w:pPr>
      <w:bookmarkStart w:id="1020" w:name="_Toc433295765"/>
      <w:bookmarkStart w:id="1021" w:name="_Toc433296490"/>
      <w:bookmarkStart w:id="1022" w:name="_Toc437500919"/>
      <w:bookmarkStart w:id="1023" w:name="_Toc437501578"/>
      <w:bookmarkStart w:id="1024" w:name="_Toc437501758"/>
      <w:bookmarkStart w:id="1025" w:name="_Toc437501848"/>
      <w:bookmarkStart w:id="1026" w:name="_Toc437502611"/>
      <w:bookmarkStart w:id="1027" w:name="_Toc437505971"/>
      <w:r>
        <w:rPr>
          <w:sz w:val="24"/>
        </w:rPr>
        <w:br w:type="page"/>
      </w:r>
    </w:p>
    <w:p w:rsidR="0083557B" w:rsidRPr="00F42CA3" w:rsidRDefault="0083557B" w:rsidP="00391FB3">
      <w:pPr>
        <w:pStyle w:val="Ttulo3"/>
        <w:rPr>
          <w:b w:val="0"/>
          <w:sz w:val="24"/>
          <w:szCs w:val="24"/>
        </w:rPr>
      </w:pPr>
      <w:bookmarkStart w:id="1028" w:name="_Toc437512784"/>
      <w:r w:rsidRPr="00F42CA3">
        <w:rPr>
          <w:sz w:val="24"/>
          <w:szCs w:val="24"/>
        </w:rPr>
        <w:lastRenderedPageBreak/>
        <w:t>Poliducto Sutamarchán – Apiay</w:t>
      </w:r>
      <w:bookmarkEnd w:id="1020"/>
      <w:bookmarkEnd w:id="1021"/>
      <w:bookmarkEnd w:id="1022"/>
      <w:bookmarkEnd w:id="1023"/>
      <w:bookmarkEnd w:id="1024"/>
      <w:bookmarkEnd w:id="1025"/>
      <w:bookmarkEnd w:id="1026"/>
      <w:bookmarkEnd w:id="1027"/>
      <w:bookmarkEnd w:id="1028"/>
    </w:p>
    <w:p w:rsidR="00F42CA3" w:rsidRDefault="00F42CA3" w:rsidP="0083557B">
      <w:pPr>
        <w:rPr>
          <w:rFonts w:cs="Arial"/>
          <w:sz w:val="24"/>
        </w:rPr>
      </w:pPr>
    </w:p>
    <w:p w:rsidR="0083557B" w:rsidRPr="000331D2" w:rsidRDefault="0083557B" w:rsidP="0083557B">
      <w:pPr>
        <w:rPr>
          <w:rFonts w:cs="Arial"/>
          <w:sz w:val="24"/>
        </w:rPr>
      </w:pPr>
      <w:r w:rsidRPr="000331D2">
        <w:rPr>
          <w:rFonts w:cs="Arial"/>
          <w:sz w:val="24"/>
        </w:rPr>
        <w:t>Este poliducto presenta una longitud de 255,7 kilómetros y fue construido específicamente para el transporte de naftas requeridas como diluyente de crudos pesados. El lleno de línea es de 149,364 barriles y su capacidad operacional es de 62 kbl/día.</w:t>
      </w:r>
    </w:p>
    <w:p w:rsidR="0083557B" w:rsidRPr="004859E4" w:rsidRDefault="0083557B" w:rsidP="0083557B">
      <w:pPr>
        <w:rPr>
          <w:rFonts w:cs="Arial"/>
        </w:rPr>
      </w:pPr>
    </w:p>
    <w:p w:rsidR="00B700A6" w:rsidRDefault="0083557B" w:rsidP="00B700A6">
      <w:pPr>
        <w:keepNext/>
        <w:ind w:left="195"/>
        <w:contextualSpacing/>
        <w:jc w:val="center"/>
      </w:pPr>
      <w:r w:rsidRPr="004859E4">
        <w:rPr>
          <w:rFonts w:cs="Arial"/>
          <w:noProof/>
          <w:lang w:val="es-CO" w:eastAsia="es-CO"/>
        </w:rPr>
        <w:drawing>
          <wp:inline distT="0" distB="0" distL="0" distR="0" wp14:anchorId="1C5C39BB" wp14:editId="191F8245">
            <wp:extent cx="4694830" cy="3132515"/>
            <wp:effectExtent l="0" t="0" r="0" b="0"/>
            <wp:docPr id="21"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00142" cy="3136059"/>
                    </a:xfrm>
                    <a:prstGeom prst="rect">
                      <a:avLst/>
                    </a:prstGeom>
                    <a:noFill/>
                    <a:ln>
                      <a:noFill/>
                    </a:ln>
                  </pic:spPr>
                </pic:pic>
              </a:graphicData>
            </a:graphic>
          </wp:inline>
        </w:drawing>
      </w:r>
    </w:p>
    <w:p w:rsidR="0083557B" w:rsidRPr="004859E4"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 xml:space="preserve">studio descriptivo de las actividades de la cadena de distribución de combustibles líquidos. </w:t>
      </w:r>
    </w:p>
    <w:p w:rsidR="0083557B" w:rsidRPr="004859E4" w:rsidRDefault="00BC557B" w:rsidP="00BC557B">
      <w:pPr>
        <w:pStyle w:val="Epgrafe"/>
        <w:rPr>
          <w:rFonts w:cs="Arial"/>
          <w:b/>
          <w:sz w:val="18"/>
          <w:szCs w:val="18"/>
        </w:rPr>
      </w:pPr>
      <w:bookmarkStart w:id="1029" w:name="_Toc437512870"/>
      <w:r>
        <w:t xml:space="preserve">Gráfica </w:t>
      </w:r>
      <w:r>
        <w:fldChar w:fldCharType="begin"/>
      </w:r>
      <w:r>
        <w:instrText xml:space="preserve"> SEQ Gráfica \* ARABIC </w:instrText>
      </w:r>
      <w:r>
        <w:fldChar w:fldCharType="separate"/>
      </w:r>
      <w:r w:rsidR="00625BEB">
        <w:rPr>
          <w:noProof/>
        </w:rPr>
        <w:t>33</w:t>
      </w:r>
      <w:r>
        <w:fldChar w:fldCharType="end"/>
      </w:r>
      <w:r>
        <w:t xml:space="preserve"> </w:t>
      </w:r>
      <w:r w:rsidRPr="00FC1015">
        <w:t>Perfil poliducto Sutamarchán - Apiay</w:t>
      </w:r>
      <w:bookmarkEnd w:id="1029"/>
    </w:p>
    <w:p w:rsidR="00F42CA3" w:rsidRDefault="00F42CA3" w:rsidP="0083557B">
      <w:pPr>
        <w:rPr>
          <w:rFonts w:cs="Arial"/>
          <w:sz w:val="24"/>
        </w:rPr>
      </w:pPr>
    </w:p>
    <w:p w:rsidR="00F42CA3" w:rsidRDefault="00F42CA3" w:rsidP="0083557B">
      <w:pPr>
        <w:rPr>
          <w:rFonts w:cs="Arial"/>
          <w:sz w:val="24"/>
        </w:rPr>
      </w:pPr>
    </w:p>
    <w:p w:rsidR="0083557B" w:rsidRPr="000331D2" w:rsidRDefault="0083557B" w:rsidP="0083557B">
      <w:pPr>
        <w:rPr>
          <w:rFonts w:cs="Arial"/>
          <w:sz w:val="24"/>
        </w:rPr>
      </w:pPr>
      <w:r w:rsidRPr="000331D2">
        <w:rPr>
          <w:rFonts w:cs="Arial"/>
          <w:sz w:val="24"/>
        </w:rPr>
        <w:t>El poliducto Sutamarchán – Apiay presenta las siguientes estaciones:</w:t>
      </w:r>
    </w:p>
    <w:p w:rsidR="0083557B" w:rsidRPr="000331D2" w:rsidRDefault="0083557B" w:rsidP="00963451">
      <w:pPr>
        <w:rPr>
          <w:sz w:val="24"/>
        </w:rPr>
      </w:pPr>
    </w:p>
    <w:p w:rsidR="00963451" w:rsidRDefault="00963451" w:rsidP="00963451">
      <w:pPr>
        <w:pStyle w:val="Epgrafe"/>
        <w:keepNext/>
      </w:pPr>
      <w:bookmarkStart w:id="1030" w:name="_Toc437512837"/>
      <w:r>
        <w:t xml:space="preserve">Tabla </w:t>
      </w:r>
      <w:r>
        <w:fldChar w:fldCharType="begin"/>
      </w:r>
      <w:r>
        <w:instrText xml:space="preserve"> SEQ Tabla \* ARABIC </w:instrText>
      </w:r>
      <w:r>
        <w:fldChar w:fldCharType="separate"/>
      </w:r>
      <w:r w:rsidR="00625BEB">
        <w:rPr>
          <w:noProof/>
        </w:rPr>
        <w:t>31</w:t>
      </w:r>
      <w:r>
        <w:fldChar w:fldCharType="end"/>
      </w:r>
      <w:r>
        <w:t xml:space="preserve"> </w:t>
      </w:r>
      <w:r w:rsidRPr="003952D2">
        <w:t>Estaciones poliducto Sutamarchán - Apiay</w:t>
      </w:r>
      <w:bookmarkEnd w:id="1030"/>
    </w:p>
    <w:tbl>
      <w:tblPr>
        <w:tblW w:w="4479"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1780"/>
        <w:gridCol w:w="1369"/>
        <w:gridCol w:w="1330"/>
      </w:tblGrid>
      <w:tr w:rsidR="0083557B" w:rsidRPr="004859E4" w:rsidTr="002F63E2">
        <w:trPr>
          <w:trHeight w:val="315"/>
          <w:jc w:val="center"/>
        </w:trPr>
        <w:tc>
          <w:tcPr>
            <w:tcW w:w="178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581CA4" w:rsidRDefault="0083557B" w:rsidP="002F63E2">
            <w:pPr>
              <w:rPr>
                <w:rFonts w:cs="Arial"/>
                <w:bCs/>
                <w:color w:val="000000"/>
                <w:szCs w:val="22"/>
                <w:lang w:eastAsia="es-CO"/>
              </w:rPr>
            </w:pPr>
            <w:r w:rsidRPr="00581CA4">
              <w:rPr>
                <w:rFonts w:cs="Arial"/>
                <w:bCs/>
                <w:color w:val="000000"/>
                <w:szCs w:val="22"/>
              </w:rPr>
              <w:t xml:space="preserve">Estaciones </w:t>
            </w:r>
          </w:p>
        </w:tc>
        <w:tc>
          <w:tcPr>
            <w:tcW w:w="1369"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581CA4" w:rsidRDefault="0083557B" w:rsidP="002F63E2">
            <w:pPr>
              <w:rPr>
                <w:rFonts w:cs="Arial"/>
                <w:bCs/>
                <w:color w:val="000000"/>
                <w:szCs w:val="22"/>
                <w:lang w:eastAsia="es-CO"/>
              </w:rPr>
            </w:pPr>
            <w:r w:rsidRPr="00581CA4">
              <w:rPr>
                <w:rFonts w:cs="Arial"/>
                <w:bCs/>
                <w:color w:val="000000"/>
                <w:szCs w:val="22"/>
                <w:lang w:eastAsia="es-CO"/>
              </w:rPr>
              <w:t>Kilómetro</w:t>
            </w:r>
          </w:p>
        </w:tc>
        <w:tc>
          <w:tcPr>
            <w:tcW w:w="1330" w:type="dxa"/>
            <w:tcBorders>
              <w:top w:val="single" w:sz="8" w:space="0" w:color="4F81BD"/>
              <w:left w:val="single" w:sz="8" w:space="0" w:color="4F81BD"/>
              <w:bottom w:val="single" w:sz="18" w:space="0" w:color="4F81BD"/>
              <w:right w:val="single" w:sz="8" w:space="0" w:color="4F81BD"/>
            </w:tcBorders>
            <w:shd w:val="clear" w:color="auto" w:fill="auto"/>
            <w:noWrap/>
            <w:hideMark/>
          </w:tcPr>
          <w:p w:rsidR="0083557B" w:rsidRPr="00581CA4" w:rsidRDefault="0083557B" w:rsidP="002F63E2">
            <w:pPr>
              <w:rPr>
                <w:rFonts w:cs="Arial"/>
                <w:bCs/>
                <w:color w:val="000000"/>
                <w:szCs w:val="22"/>
                <w:lang w:eastAsia="es-CO"/>
              </w:rPr>
            </w:pPr>
            <w:r w:rsidRPr="00581CA4">
              <w:rPr>
                <w:rFonts w:cs="Arial"/>
                <w:bCs/>
                <w:color w:val="000000"/>
                <w:szCs w:val="22"/>
                <w:lang w:eastAsia="es-CO"/>
              </w:rPr>
              <w:t>Tipo</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581CA4" w:rsidRDefault="0083557B" w:rsidP="002F63E2">
            <w:pPr>
              <w:rPr>
                <w:rFonts w:cs="Arial"/>
                <w:bCs/>
                <w:color w:val="000000"/>
                <w:szCs w:val="22"/>
                <w:lang w:eastAsia="es-CO"/>
              </w:rPr>
            </w:pPr>
            <w:r w:rsidRPr="00581CA4">
              <w:rPr>
                <w:rFonts w:cs="Arial"/>
                <w:bCs/>
                <w:color w:val="000000"/>
                <w:szCs w:val="22"/>
              </w:rPr>
              <w:t>Santa Rosa</w:t>
            </w:r>
          </w:p>
        </w:tc>
        <w:tc>
          <w:tcPr>
            <w:tcW w:w="1369"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581CA4" w:rsidRDefault="0083557B" w:rsidP="002F63E2">
            <w:pPr>
              <w:rPr>
                <w:rFonts w:cs="Arial"/>
                <w:color w:val="000000"/>
                <w:szCs w:val="22"/>
                <w:lang w:eastAsia="es-CO"/>
              </w:rPr>
            </w:pPr>
            <w:r w:rsidRPr="00581CA4">
              <w:rPr>
                <w:rFonts w:cs="Arial"/>
                <w:color w:val="000000"/>
                <w:szCs w:val="22"/>
                <w:lang w:eastAsia="es-CO"/>
              </w:rPr>
              <w:t>100,7</w:t>
            </w:r>
          </w:p>
        </w:tc>
        <w:tc>
          <w:tcPr>
            <w:tcW w:w="1330" w:type="dxa"/>
            <w:tcBorders>
              <w:top w:val="single" w:sz="8" w:space="0" w:color="4F81BD"/>
              <w:left w:val="single" w:sz="8" w:space="0" w:color="4F81BD"/>
              <w:bottom w:val="single" w:sz="8" w:space="0" w:color="4F81BD"/>
              <w:right w:val="single" w:sz="8" w:space="0" w:color="4F81BD"/>
            </w:tcBorders>
            <w:shd w:val="clear" w:color="auto" w:fill="D3DFEE"/>
            <w:noWrap/>
            <w:hideMark/>
          </w:tcPr>
          <w:p w:rsidR="0083557B" w:rsidRPr="00581CA4" w:rsidRDefault="0083557B" w:rsidP="002F63E2">
            <w:pPr>
              <w:rPr>
                <w:rFonts w:cs="Arial"/>
                <w:color w:val="000000"/>
                <w:szCs w:val="22"/>
                <w:lang w:eastAsia="es-CO"/>
              </w:rPr>
            </w:pPr>
            <w:r w:rsidRPr="00581CA4">
              <w:rPr>
                <w:rFonts w:cs="Arial"/>
                <w:color w:val="000000"/>
                <w:szCs w:val="22"/>
                <w:lang w:eastAsia="es-CO"/>
              </w:rPr>
              <w:t>Rebombeo</w:t>
            </w:r>
          </w:p>
        </w:tc>
      </w:tr>
      <w:tr w:rsidR="0083557B" w:rsidRPr="004859E4" w:rsidTr="002F63E2">
        <w:trPr>
          <w:trHeight w:val="315"/>
          <w:jc w:val="center"/>
        </w:trPr>
        <w:tc>
          <w:tcPr>
            <w:tcW w:w="178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581CA4" w:rsidRDefault="0083557B" w:rsidP="002F63E2">
            <w:pPr>
              <w:rPr>
                <w:rFonts w:cs="Arial"/>
                <w:bCs/>
                <w:color w:val="000000"/>
                <w:szCs w:val="22"/>
                <w:lang w:eastAsia="es-CO"/>
              </w:rPr>
            </w:pPr>
            <w:r w:rsidRPr="00581CA4">
              <w:rPr>
                <w:rFonts w:cs="Arial"/>
                <w:bCs/>
                <w:color w:val="000000"/>
                <w:szCs w:val="22"/>
              </w:rPr>
              <w:t xml:space="preserve">Sutamarchán </w:t>
            </w:r>
          </w:p>
        </w:tc>
        <w:tc>
          <w:tcPr>
            <w:tcW w:w="1369"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581CA4" w:rsidRDefault="0083557B" w:rsidP="002F63E2">
            <w:pPr>
              <w:rPr>
                <w:rFonts w:cs="Arial"/>
                <w:color w:val="000000"/>
                <w:szCs w:val="22"/>
                <w:lang w:eastAsia="es-CO"/>
              </w:rPr>
            </w:pPr>
            <w:r w:rsidRPr="00581CA4">
              <w:rPr>
                <w:rFonts w:cs="Arial"/>
                <w:color w:val="000000"/>
                <w:szCs w:val="22"/>
                <w:lang w:eastAsia="es-CO"/>
              </w:rPr>
              <w:t>174,6</w:t>
            </w:r>
          </w:p>
        </w:tc>
        <w:tc>
          <w:tcPr>
            <w:tcW w:w="1330" w:type="dxa"/>
            <w:tcBorders>
              <w:top w:val="single" w:sz="8" w:space="0" w:color="4F81BD"/>
              <w:left w:val="single" w:sz="8" w:space="0" w:color="4F81BD"/>
              <w:bottom w:val="single" w:sz="8" w:space="0" w:color="4F81BD"/>
              <w:right w:val="single" w:sz="8" w:space="0" w:color="4F81BD"/>
            </w:tcBorders>
            <w:shd w:val="clear" w:color="auto" w:fill="auto"/>
            <w:noWrap/>
            <w:hideMark/>
          </w:tcPr>
          <w:p w:rsidR="0083557B" w:rsidRPr="00581CA4" w:rsidRDefault="0083557B" w:rsidP="002F63E2">
            <w:pPr>
              <w:rPr>
                <w:rFonts w:cs="Arial"/>
                <w:color w:val="000000"/>
                <w:szCs w:val="22"/>
                <w:lang w:eastAsia="es-CO"/>
              </w:rPr>
            </w:pPr>
            <w:r w:rsidRPr="00581CA4">
              <w:rPr>
                <w:rFonts w:cs="Arial"/>
                <w:color w:val="000000"/>
                <w:szCs w:val="22"/>
                <w:lang w:eastAsia="es-CO"/>
              </w:rPr>
              <w:t>Rebombeo</w:t>
            </w:r>
          </w:p>
        </w:tc>
      </w:tr>
    </w:tbl>
    <w:p w:rsidR="0083557B" w:rsidRPr="004859E4" w:rsidRDefault="0083557B" w:rsidP="0083557B">
      <w:pPr>
        <w:pStyle w:val="Epgrafe"/>
        <w:spacing w:line="240" w:lineRule="auto"/>
        <w:contextualSpacing/>
        <w:jc w:val="both"/>
        <w:rPr>
          <w:rFonts w:cs="Arial"/>
          <w:iCs/>
          <w:sz w:val="16"/>
          <w:szCs w:val="32"/>
        </w:rPr>
      </w:pPr>
      <w:r w:rsidRPr="004859E4">
        <w:rPr>
          <w:rFonts w:cs="Arial"/>
          <w:sz w:val="16"/>
          <w:szCs w:val="18"/>
        </w:rPr>
        <w:t xml:space="preserve">Fuente: </w:t>
      </w:r>
      <w:r w:rsidRPr="004859E4">
        <w:rPr>
          <w:rFonts w:cs="Arial"/>
          <w:sz w:val="16"/>
          <w:szCs w:val="16"/>
        </w:rPr>
        <w:t>E</w:t>
      </w:r>
      <w:r w:rsidRPr="004859E4">
        <w:rPr>
          <w:rFonts w:cs="Arial"/>
          <w:iCs/>
          <w:sz w:val="16"/>
          <w:szCs w:val="32"/>
        </w:rPr>
        <w:t>studio descriptivo de las actividades de la cadena de distribución de combustibles líquidos.</w:t>
      </w:r>
    </w:p>
    <w:p w:rsidR="0083557B" w:rsidRPr="004859E4" w:rsidRDefault="0083557B" w:rsidP="0083557B">
      <w:pPr>
        <w:pStyle w:val="Epgrafe"/>
        <w:rPr>
          <w:rFonts w:cs="Arial"/>
          <w:sz w:val="22"/>
          <w:szCs w:val="22"/>
        </w:rPr>
      </w:pPr>
    </w:p>
    <w:p w:rsidR="0083557B" w:rsidRPr="004859E4" w:rsidRDefault="0083557B" w:rsidP="0083557B">
      <w:pPr>
        <w:tabs>
          <w:tab w:val="center" w:pos="4512"/>
          <w:tab w:val="left" w:pos="7088"/>
        </w:tabs>
        <w:suppressAutoHyphens/>
        <w:ind w:right="51"/>
        <w:rPr>
          <w:rFonts w:cs="Arial"/>
          <w:b/>
          <w:color w:val="000000"/>
        </w:rPr>
      </w:pPr>
    </w:p>
    <w:p w:rsidR="0083557B" w:rsidRPr="004859E4" w:rsidRDefault="0083557B" w:rsidP="0083557B">
      <w:pPr>
        <w:tabs>
          <w:tab w:val="center" w:pos="4512"/>
          <w:tab w:val="left" w:pos="7088"/>
        </w:tabs>
        <w:suppressAutoHyphens/>
        <w:ind w:right="51"/>
        <w:rPr>
          <w:rFonts w:cs="Arial"/>
          <w:b/>
          <w:color w:val="000000"/>
        </w:rPr>
      </w:pPr>
    </w:p>
    <w:p w:rsidR="0083557B" w:rsidRDefault="0083557B" w:rsidP="0083557B">
      <w:pPr>
        <w:rPr>
          <w:rFonts w:cs="Arial"/>
          <w:b/>
          <w:color w:val="000000"/>
        </w:rPr>
      </w:pPr>
      <w:r w:rsidRPr="004859E4">
        <w:rPr>
          <w:rFonts w:cs="Arial"/>
          <w:b/>
          <w:color w:val="000000"/>
        </w:rPr>
        <w:br w:type="page"/>
      </w:r>
    </w:p>
    <w:p w:rsidR="00F42CA3" w:rsidRDefault="00F42CA3" w:rsidP="0083557B">
      <w:pPr>
        <w:rPr>
          <w:rFonts w:cs="Arial"/>
          <w:b/>
          <w:color w:val="000000"/>
        </w:rPr>
      </w:pPr>
    </w:p>
    <w:p w:rsidR="0083557B" w:rsidRPr="00276D30" w:rsidRDefault="00276D30" w:rsidP="00F42CA3">
      <w:pPr>
        <w:pStyle w:val="T1"/>
        <w:spacing w:before="0"/>
        <w:rPr>
          <w:rFonts w:ascii="Bookman Old Style" w:hAnsi="Bookman Old Style"/>
          <w:lang w:val="es-CO"/>
        </w:rPr>
      </w:pPr>
      <w:bookmarkStart w:id="1031" w:name="_Toc426035062"/>
      <w:bookmarkStart w:id="1032" w:name="_Toc427333622"/>
      <w:bookmarkStart w:id="1033" w:name="_Toc427336562"/>
      <w:bookmarkStart w:id="1034" w:name="_Toc427681854"/>
      <w:bookmarkStart w:id="1035" w:name="_Toc433276784"/>
      <w:bookmarkStart w:id="1036" w:name="_Toc433295766"/>
      <w:bookmarkStart w:id="1037" w:name="_Toc433296491"/>
      <w:bookmarkStart w:id="1038" w:name="_Toc437500920"/>
      <w:bookmarkStart w:id="1039" w:name="_Toc437501579"/>
      <w:bookmarkStart w:id="1040" w:name="_Toc437501759"/>
      <w:bookmarkStart w:id="1041" w:name="_Toc437501849"/>
      <w:bookmarkStart w:id="1042" w:name="_Toc437502612"/>
      <w:bookmarkStart w:id="1043" w:name="_Toc437505972"/>
      <w:bookmarkStart w:id="1044" w:name="_Toc437512785"/>
      <w:r w:rsidRPr="00276D30">
        <w:rPr>
          <w:rFonts w:ascii="Bookman Old Style" w:hAnsi="Bookman Old Style"/>
        </w:rPr>
        <w:t xml:space="preserve">Anexo </w:t>
      </w:r>
      <w:r w:rsidRPr="00276D30">
        <w:rPr>
          <w:rFonts w:ascii="Bookman Old Style" w:hAnsi="Bookman Old Style"/>
        </w:rPr>
        <w:fldChar w:fldCharType="begin"/>
      </w:r>
      <w:r w:rsidRPr="00276D30">
        <w:rPr>
          <w:rFonts w:ascii="Bookman Old Style" w:hAnsi="Bookman Old Style"/>
        </w:rPr>
        <w:instrText xml:space="preserve"> SEQ Anexo \* ARABIC </w:instrText>
      </w:r>
      <w:r w:rsidRPr="00276D30">
        <w:rPr>
          <w:rFonts w:ascii="Bookman Old Style" w:hAnsi="Bookman Old Style"/>
        </w:rPr>
        <w:fldChar w:fldCharType="separate"/>
      </w:r>
      <w:r w:rsidR="00625BEB">
        <w:rPr>
          <w:rFonts w:ascii="Bookman Old Style" w:hAnsi="Bookman Old Style"/>
          <w:noProof/>
        </w:rPr>
        <w:t>2</w:t>
      </w:r>
      <w:r w:rsidRPr="00276D30">
        <w:rPr>
          <w:rFonts w:ascii="Bookman Old Style" w:hAnsi="Bookman Old Style"/>
        </w:rPr>
        <w:fldChar w:fldCharType="end"/>
      </w:r>
      <w:r w:rsidR="0083557B" w:rsidRPr="00276D30">
        <w:rPr>
          <w:rFonts w:ascii="Bookman Old Style" w:hAnsi="Bookman Old Style"/>
        </w:rPr>
        <w:t xml:space="preserve"> Estadísticas por tramo</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p>
    <w:p w:rsidR="0083557B" w:rsidRPr="000331D2" w:rsidRDefault="0083557B" w:rsidP="0083557B">
      <w:pPr>
        <w:rPr>
          <w:rFonts w:cs="Arial"/>
          <w:sz w:val="24"/>
          <w:lang w:val="es-ES_tradnl"/>
        </w:rPr>
      </w:pPr>
    </w:p>
    <w:p w:rsidR="0083557B" w:rsidRPr="000331D2" w:rsidRDefault="0083557B" w:rsidP="0083557B">
      <w:pPr>
        <w:rPr>
          <w:rFonts w:cs="Arial"/>
          <w:sz w:val="24"/>
          <w:lang w:val="es-ES_tradnl"/>
        </w:rPr>
      </w:pPr>
      <w:r w:rsidRPr="000331D2">
        <w:rPr>
          <w:rFonts w:cs="Arial"/>
          <w:sz w:val="24"/>
          <w:lang w:val="es-ES_tradnl"/>
        </w:rPr>
        <w:t>A continuación se presenta un análisis de la evolución del volumen transportado para los diferentes tramos del sistema de poliductos</w:t>
      </w:r>
    </w:p>
    <w:p w:rsidR="0083557B" w:rsidRPr="000331D2" w:rsidRDefault="0083557B" w:rsidP="00391FB3">
      <w:pPr>
        <w:pStyle w:val="Ttulo2"/>
        <w:rPr>
          <w:sz w:val="24"/>
          <w:szCs w:val="24"/>
        </w:rPr>
      </w:pPr>
      <w:bookmarkStart w:id="1045" w:name="_Toc427336563"/>
      <w:bookmarkStart w:id="1046" w:name="_Toc427681855"/>
      <w:bookmarkStart w:id="1047" w:name="_Toc433276785"/>
      <w:bookmarkStart w:id="1048" w:name="_Toc433295767"/>
      <w:bookmarkStart w:id="1049" w:name="_Toc433296492"/>
      <w:bookmarkStart w:id="1050" w:name="_Toc437500921"/>
      <w:bookmarkStart w:id="1051" w:name="_Toc437501580"/>
      <w:bookmarkStart w:id="1052" w:name="_Toc437501760"/>
      <w:bookmarkStart w:id="1053" w:name="_Toc437501850"/>
      <w:bookmarkStart w:id="1054" w:name="_Toc437502613"/>
      <w:bookmarkStart w:id="1055" w:name="_Toc437505973"/>
      <w:bookmarkStart w:id="1056" w:name="_Toc437512786"/>
      <w:r w:rsidRPr="000331D2">
        <w:rPr>
          <w:sz w:val="24"/>
          <w:szCs w:val="24"/>
        </w:rPr>
        <w:t>Cartagena – Barranquilla.</w:t>
      </w:r>
      <w:bookmarkEnd w:id="1045"/>
      <w:bookmarkEnd w:id="1046"/>
      <w:bookmarkEnd w:id="1047"/>
      <w:bookmarkEnd w:id="1048"/>
      <w:bookmarkEnd w:id="1049"/>
      <w:bookmarkEnd w:id="1050"/>
      <w:bookmarkEnd w:id="1051"/>
      <w:bookmarkEnd w:id="1052"/>
      <w:bookmarkEnd w:id="1053"/>
      <w:bookmarkEnd w:id="1054"/>
      <w:bookmarkEnd w:id="1055"/>
      <w:bookmarkEnd w:id="1056"/>
      <w:r w:rsidRPr="000331D2">
        <w:rPr>
          <w:sz w:val="24"/>
          <w:szCs w:val="24"/>
        </w:rPr>
        <w:t xml:space="preserve"> </w:t>
      </w:r>
    </w:p>
    <w:p w:rsidR="0083557B" w:rsidRPr="000331D2" w:rsidRDefault="0083557B" w:rsidP="0083557B">
      <w:pPr>
        <w:contextualSpacing/>
        <w:rPr>
          <w:rFonts w:cs="Arial"/>
          <w:sz w:val="24"/>
          <w:lang w:val="es-ES_tradnl"/>
        </w:rPr>
      </w:pPr>
      <w:r w:rsidRPr="000331D2">
        <w:rPr>
          <w:rFonts w:cs="Arial"/>
          <w:sz w:val="24"/>
          <w:lang w:val="es-ES_tradnl"/>
        </w:rPr>
        <w:t>El tramo Cartagena – Barranquilla presenta un volumen transportado promedio de 15,2 kbd y una capacidad nominal</w:t>
      </w:r>
      <w:r w:rsidRPr="000331D2">
        <w:rPr>
          <w:rStyle w:val="Refdenotaalpie"/>
          <w:rFonts w:cs="Arial"/>
          <w:sz w:val="24"/>
          <w:lang w:val="es-ES_tradnl"/>
        </w:rPr>
        <w:footnoteReference w:id="5"/>
      </w:r>
      <w:r w:rsidRPr="000331D2">
        <w:rPr>
          <w:rFonts w:cs="Arial"/>
          <w:sz w:val="24"/>
          <w:lang w:val="es-ES_tradnl"/>
        </w:rPr>
        <w:t xml:space="preserve"> de  30 kbd, presentando un porcentaje de uso promedio de 51%. La cantidad transportada presenta una volatilidad mensual  de 2,41%. Los productos que más se transportan por este tramo son B4 (41,4</w:t>
      </w:r>
      <w:r w:rsidR="00741ACD" w:rsidRPr="000331D2">
        <w:rPr>
          <w:rFonts w:cs="Arial"/>
          <w:sz w:val="24"/>
          <w:lang w:val="es-ES_tradnl"/>
        </w:rPr>
        <w:t>%), Gasolina Motor (30,4%) y JET</w:t>
      </w:r>
      <w:r w:rsidRPr="000331D2">
        <w:rPr>
          <w:rFonts w:cs="Arial"/>
          <w:sz w:val="24"/>
          <w:lang w:val="es-ES_tradnl"/>
        </w:rPr>
        <w:t xml:space="preserve"> A1 nacional e importado (21,6%).</w:t>
      </w:r>
    </w:p>
    <w:p w:rsidR="0083557B" w:rsidRPr="000331D2" w:rsidRDefault="0083557B" w:rsidP="0083557B">
      <w:pPr>
        <w:contextualSpacing/>
        <w:rPr>
          <w:rFonts w:cs="Arial"/>
          <w:sz w:val="24"/>
          <w:lang w:val="es-ES_tradnl"/>
        </w:rPr>
      </w:pPr>
    </w:p>
    <w:p w:rsidR="0083557B" w:rsidRPr="004859E4" w:rsidRDefault="0083557B" w:rsidP="0083557B">
      <w:pPr>
        <w:pStyle w:val="Ttulo"/>
        <w:rPr>
          <w:lang w:val="es-CO"/>
        </w:rPr>
      </w:pPr>
      <w:r w:rsidRPr="004859E4">
        <w:rPr>
          <w:noProof/>
          <w:lang w:val="es-CO" w:eastAsia="es-CO"/>
        </w:rPr>
        <w:drawing>
          <wp:inline distT="0" distB="0" distL="0" distR="0" wp14:anchorId="68D5418B" wp14:editId="58405F57">
            <wp:extent cx="5796116" cy="2300748"/>
            <wp:effectExtent l="0" t="0" r="14605" b="23495"/>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83557B" w:rsidRDefault="0083557B" w:rsidP="0083557B">
      <w:pPr>
        <w:ind w:left="195"/>
        <w:rPr>
          <w:rFonts w:cs="Arial"/>
          <w:sz w:val="16"/>
        </w:rPr>
      </w:pPr>
      <w:r w:rsidRPr="004859E4">
        <w:rPr>
          <w:rFonts w:cs="Arial"/>
          <w:sz w:val="16"/>
        </w:rPr>
        <w:t>Fuente: Cálculos CREG. Datos Cenit.</w:t>
      </w:r>
    </w:p>
    <w:p w:rsidR="00BC557B" w:rsidRPr="004859E4" w:rsidRDefault="00BC557B" w:rsidP="00BC557B">
      <w:pPr>
        <w:pStyle w:val="Epgrafe"/>
        <w:rPr>
          <w:rFonts w:cs="Arial"/>
          <w:sz w:val="16"/>
        </w:rPr>
      </w:pPr>
      <w:bookmarkStart w:id="1057" w:name="_Toc437512871"/>
      <w:r>
        <w:t xml:space="preserve">Gráfica </w:t>
      </w:r>
      <w:r>
        <w:fldChar w:fldCharType="begin"/>
      </w:r>
      <w:r>
        <w:instrText xml:space="preserve"> SEQ Gráfica \* ARABIC </w:instrText>
      </w:r>
      <w:r>
        <w:fldChar w:fldCharType="separate"/>
      </w:r>
      <w:r w:rsidR="00625BEB">
        <w:rPr>
          <w:noProof/>
        </w:rPr>
        <w:t>34</w:t>
      </w:r>
      <w:r>
        <w:fldChar w:fldCharType="end"/>
      </w:r>
      <w:r>
        <w:t xml:space="preserve"> </w:t>
      </w:r>
      <w:r w:rsidRPr="000D73EA">
        <w:t>Cantidad transportada Cartagena - Barranquilla</w:t>
      </w:r>
      <w:bookmarkEnd w:id="1057"/>
    </w:p>
    <w:p w:rsidR="0083557B" w:rsidRPr="000331D2" w:rsidRDefault="0083557B" w:rsidP="00391FB3">
      <w:pPr>
        <w:pStyle w:val="Ttulo2"/>
        <w:rPr>
          <w:sz w:val="24"/>
          <w:szCs w:val="24"/>
        </w:rPr>
      </w:pPr>
      <w:bookmarkStart w:id="1058" w:name="_Toc427336564"/>
      <w:bookmarkStart w:id="1059" w:name="_Toc427681856"/>
      <w:bookmarkStart w:id="1060" w:name="_Toc433276786"/>
      <w:bookmarkStart w:id="1061" w:name="_Toc433295768"/>
      <w:bookmarkStart w:id="1062" w:name="_Toc433296493"/>
      <w:bookmarkStart w:id="1063" w:name="_Toc437500922"/>
      <w:bookmarkStart w:id="1064" w:name="_Toc437501581"/>
      <w:bookmarkStart w:id="1065" w:name="_Toc437501761"/>
      <w:bookmarkStart w:id="1066" w:name="_Toc437501851"/>
      <w:bookmarkStart w:id="1067" w:name="_Toc437502614"/>
      <w:bookmarkStart w:id="1068" w:name="_Toc437505974"/>
      <w:bookmarkStart w:id="1069" w:name="_Toc437512787"/>
      <w:r w:rsidRPr="000331D2">
        <w:rPr>
          <w:sz w:val="24"/>
          <w:szCs w:val="24"/>
        </w:rPr>
        <w:t>Pozos Colorados - Galán 14”</w:t>
      </w:r>
      <w:bookmarkEnd w:id="1058"/>
      <w:bookmarkEnd w:id="1059"/>
      <w:bookmarkEnd w:id="1060"/>
      <w:bookmarkEnd w:id="1061"/>
      <w:bookmarkEnd w:id="1062"/>
      <w:bookmarkEnd w:id="1063"/>
      <w:bookmarkEnd w:id="1064"/>
      <w:bookmarkEnd w:id="1065"/>
      <w:bookmarkEnd w:id="1066"/>
      <w:bookmarkEnd w:id="1067"/>
      <w:bookmarkEnd w:id="1068"/>
      <w:bookmarkEnd w:id="1069"/>
    </w:p>
    <w:p w:rsidR="0083557B" w:rsidRPr="000331D2" w:rsidRDefault="0083557B" w:rsidP="0083557B">
      <w:pPr>
        <w:rPr>
          <w:rFonts w:cs="Arial"/>
          <w:sz w:val="24"/>
          <w:lang w:val="es-ES_tradnl"/>
        </w:rPr>
      </w:pPr>
    </w:p>
    <w:p w:rsidR="0083557B" w:rsidRPr="000331D2" w:rsidRDefault="0083557B" w:rsidP="0083557B">
      <w:pPr>
        <w:rPr>
          <w:rFonts w:cs="Arial"/>
          <w:sz w:val="24"/>
          <w:lang w:val="es-ES_tradnl"/>
        </w:rPr>
      </w:pPr>
      <w:r w:rsidRPr="000331D2">
        <w:rPr>
          <w:rFonts w:cs="Arial"/>
          <w:sz w:val="24"/>
          <w:lang w:val="es-ES_tradnl"/>
        </w:rPr>
        <w:t>Este segmento del sistema comunica el puerto de importación de Pozos Colorados con la refinería de Barrancabermeja. Constituye la principal forma de transporte para llevar productos importados al centro del país. Desde octubre de 2014 la capacidad nominal de transporte se amplió, pasando de 96,3 kbd 105 kbd, con un porcentaje de utilización promedio de 85,8% entre abril de 2013 y abril de 2015.</w:t>
      </w:r>
    </w:p>
    <w:p w:rsidR="0083557B" w:rsidRPr="000331D2" w:rsidRDefault="0083557B" w:rsidP="0083557B">
      <w:pPr>
        <w:rPr>
          <w:rFonts w:cs="Arial"/>
          <w:sz w:val="24"/>
          <w:lang w:val="es-ES_tradnl"/>
        </w:rPr>
      </w:pPr>
    </w:p>
    <w:p w:rsidR="0083557B" w:rsidRPr="000331D2" w:rsidRDefault="0083557B" w:rsidP="0083557B">
      <w:pPr>
        <w:contextualSpacing/>
        <w:rPr>
          <w:rFonts w:cs="Arial"/>
          <w:sz w:val="24"/>
          <w:lang w:val="es-ES_tradnl"/>
        </w:rPr>
      </w:pPr>
      <w:r w:rsidRPr="000331D2">
        <w:rPr>
          <w:rFonts w:cs="Arial"/>
          <w:sz w:val="24"/>
          <w:lang w:val="es-ES_tradnl"/>
        </w:rPr>
        <w:t>La cantidad transportada través de este tramo presenta una volatilidad mensual de 2%. Los productos que más se transportan por este tramo son</w:t>
      </w:r>
      <w:r w:rsidR="00AA6CA3" w:rsidRPr="000331D2">
        <w:rPr>
          <w:rFonts w:cs="Arial"/>
          <w:sz w:val="24"/>
          <w:lang w:val="es-ES_tradnl"/>
        </w:rPr>
        <w:t>:</w:t>
      </w:r>
      <w:r w:rsidRPr="000331D2">
        <w:rPr>
          <w:rFonts w:cs="Arial"/>
          <w:sz w:val="24"/>
          <w:lang w:val="es-ES_tradnl"/>
        </w:rPr>
        <w:t xml:space="preserve"> ACEM (43,8%), Nafta importada (47,7%) y Gasolina Motor (8,5%).</w:t>
      </w:r>
    </w:p>
    <w:p w:rsidR="0083557B" w:rsidRPr="004859E4" w:rsidRDefault="0083557B" w:rsidP="0083557B">
      <w:pPr>
        <w:contextualSpacing/>
        <w:rPr>
          <w:rFonts w:cs="Arial"/>
          <w:lang w:val="es-ES_tradnl"/>
        </w:rPr>
      </w:pPr>
    </w:p>
    <w:p w:rsidR="0083557B" w:rsidRPr="004859E4" w:rsidRDefault="0083557B" w:rsidP="0083557B">
      <w:pPr>
        <w:contextualSpacing/>
        <w:rPr>
          <w:rFonts w:cs="Arial"/>
          <w:lang w:val="es-ES_tradnl"/>
        </w:rPr>
      </w:pPr>
    </w:p>
    <w:p w:rsidR="0083557B" w:rsidRPr="004859E4" w:rsidRDefault="0083557B" w:rsidP="0083557B">
      <w:pPr>
        <w:rPr>
          <w:rFonts w:cs="Arial"/>
          <w:lang w:val="es-ES_tradnl"/>
        </w:rPr>
      </w:pPr>
    </w:p>
    <w:p w:rsidR="0083557B" w:rsidRPr="004859E4" w:rsidRDefault="0083557B" w:rsidP="0083557B">
      <w:pPr>
        <w:pStyle w:val="Ttulo"/>
        <w:rPr>
          <w:lang w:val="es-CO"/>
        </w:rPr>
      </w:pPr>
      <w:r w:rsidRPr="004859E4">
        <w:rPr>
          <w:noProof/>
          <w:lang w:val="es-CO" w:eastAsia="es-CO"/>
        </w:rPr>
        <w:drawing>
          <wp:inline distT="0" distB="0" distL="0" distR="0" wp14:anchorId="38967163" wp14:editId="7E88A233">
            <wp:extent cx="5644055" cy="2743200"/>
            <wp:effectExtent l="0" t="0" r="13970" b="1905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3557B" w:rsidRPr="004859E4" w:rsidRDefault="0083557B" w:rsidP="0083557B">
      <w:pPr>
        <w:ind w:left="195"/>
        <w:rPr>
          <w:rFonts w:cs="Arial"/>
          <w:sz w:val="16"/>
        </w:rPr>
      </w:pPr>
      <w:r w:rsidRPr="004859E4">
        <w:rPr>
          <w:rFonts w:cs="Arial"/>
          <w:sz w:val="16"/>
        </w:rPr>
        <w:t>Fuente: Cálculos CREG. Datos Cenit.</w:t>
      </w:r>
    </w:p>
    <w:p w:rsidR="0083557B" w:rsidRPr="004859E4" w:rsidRDefault="00BC557B" w:rsidP="00BC557B">
      <w:pPr>
        <w:pStyle w:val="Epgrafe"/>
      </w:pPr>
      <w:bookmarkStart w:id="1070" w:name="_Toc437512872"/>
      <w:r>
        <w:t xml:space="preserve">Gráfica </w:t>
      </w:r>
      <w:r>
        <w:fldChar w:fldCharType="begin"/>
      </w:r>
      <w:r>
        <w:instrText xml:space="preserve"> SEQ Gráfica \* ARABIC </w:instrText>
      </w:r>
      <w:r>
        <w:fldChar w:fldCharType="separate"/>
      </w:r>
      <w:r w:rsidR="00625BEB">
        <w:rPr>
          <w:noProof/>
        </w:rPr>
        <w:t>35</w:t>
      </w:r>
      <w:r>
        <w:fldChar w:fldCharType="end"/>
      </w:r>
      <w:r>
        <w:t xml:space="preserve"> </w:t>
      </w:r>
      <w:r w:rsidRPr="00092A34">
        <w:t>Cantidad transportada Pozos Colorados - Galán</w:t>
      </w:r>
      <w:bookmarkEnd w:id="1070"/>
    </w:p>
    <w:p w:rsidR="0083557B" w:rsidRPr="000331D2" w:rsidRDefault="0083557B" w:rsidP="00391FB3">
      <w:pPr>
        <w:pStyle w:val="Ttulo2"/>
        <w:rPr>
          <w:sz w:val="24"/>
          <w:szCs w:val="24"/>
        </w:rPr>
      </w:pPr>
      <w:bookmarkStart w:id="1071" w:name="_Toc427336565"/>
      <w:bookmarkStart w:id="1072" w:name="_Toc427681857"/>
      <w:bookmarkStart w:id="1073" w:name="_Toc433276787"/>
      <w:bookmarkStart w:id="1074" w:name="_Toc433295769"/>
      <w:bookmarkStart w:id="1075" w:name="_Toc433296494"/>
      <w:bookmarkStart w:id="1076" w:name="_Toc437500923"/>
      <w:bookmarkStart w:id="1077" w:name="_Toc437501582"/>
      <w:bookmarkStart w:id="1078" w:name="_Toc437501762"/>
      <w:bookmarkStart w:id="1079" w:name="_Toc437501852"/>
      <w:bookmarkStart w:id="1080" w:name="_Toc437502615"/>
      <w:bookmarkStart w:id="1081" w:name="_Toc437505975"/>
      <w:bookmarkStart w:id="1082" w:name="_Toc437512788"/>
      <w:r w:rsidRPr="000331D2">
        <w:rPr>
          <w:sz w:val="24"/>
          <w:szCs w:val="24"/>
        </w:rPr>
        <w:t>Galán – Bucaramanga</w:t>
      </w:r>
      <w:bookmarkEnd w:id="1071"/>
      <w:bookmarkEnd w:id="1072"/>
      <w:bookmarkEnd w:id="1073"/>
      <w:bookmarkEnd w:id="1074"/>
      <w:bookmarkEnd w:id="1075"/>
      <w:bookmarkEnd w:id="1076"/>
      <w:bookmarkEnd w:id="1077"/>
      <w:bookmarkEnd w:id="1078"/>
      <w:bookmarkEnd w:id="1079"/>
      <w:bookmarkEnd w:id="1080"/>
      <w:bookmarkEnd w:id="1081"/>
      <w:bookmarkEnd w:id="1082"/>
    </w:p>
    <w:p w:rsidR="0083557B" w:rsidRPr="000331D2" w:rsidRDefault="0083557B" w:rsidP="0083557B">
      <w:pPr>
        <w:contextualSpacing/>
        <w:rPr>
          <w:rFonts w:cs="Arial"/>
          <w:sz w:val="24"/>
          <w:lang w:val="es-ES_tradnl"/>
        </w:rPr>
      </w:pPr>
    </w:p>
    <w:p w:rsidR="00AA6CA3" w:rsidRPr="000331D2" w:rsidRDefault="0083557B" w:rsidP="00AA6CA3">
      <w:pPr>
        <w:contextualSpacing/>
        <w:rPr>
          <w:rFonts w:cs="Arial"/>
          <w:sz w:val="24"/>
          <w:lang w:val="es-ES_tradnl"/>
        </w:rPr>
      </w:pPr>
      <w:r w:rsidRPr="000331D2">
        <w:rPr>
          <w:rFonts w:cs="Arial"/>
          <w:sz w:val="24"/>
          <w:lang w:val="es-CO"/>
        </w:rPr>
        <w:t>El tramo Galán – Bucaramanga cuent</w:t>
      </w:r>
      <w:r w:rsidR="009241D4" w:rsidRPr="000331D2">
        <w:rPr>
          <w:rFonts w:cs="Arial"/>
          <w:sz w:val="24"/>
          <w:lang w:val="es-CO"/>
        </w:rPr>
        <w:t xml:space="preserve">a con una capacidad nominal de </w:t>
      </w:r>
      <w:r w:rsidRPr="000331D2">
        <w:rPr>
          <w:rFonts w:cs="Arial"/>
          <w:sz w:val="24"/>
          <w:lang w:val="es-CO"/>
        </w:rPr>
        <w:t>transporte de 25,5 kbd. Para el periodo que cubre abril de 2013 a abril de 2015, se transportaron en promedio 22,5 kbd. Este tramo del sistema de poliductos presenta periodos en los que el porcentaje de utilización para transporte de combustibles ha sido del 100%, no obstante el porcentaje de utilización  promedio ha sido del 88,6%.</w:t>
      </w:r>
      <w:r w:rsidR="00AA6CA3" w:rsidRPr="000331D2">
        <w:rPr>
          <w:rFonts w:cs="Arial"/>
          <w:sz w:val="24"/>
          <w:lang w:val="es-CO"/>
        </w:rPr>
        <w:t xml:space="preserve"> </w:t>
      </w:r>
      <w:r w:rsidR="00AA6CA3" w:rsidRPr="000331D2">
        <w:rPr>
          <w:rFonts w:cs="Arial"/>
          <w:sz w:val="24"/>
          <w:lang w:val="es-ES_tradnl"/>
        </w:rPr>
        <w:t>Los productos que más se transportan por este tramo son</w:t>
      </w:r>
      <w:r w:rsidR="00741ACD" w:rsidRPr="000331D2">
        <w:rPr>
          <w:rFonts w:cs="Arial"/>
          <w:sz w:val="24"/>
          <w:lang w:val="es-ES_tradnl"/>
        </w:rPr>
        <w:t>: B2 (44,28</w:t>
      </w:r>
      <w:r w:rsidR="00AA6CA3" w:rsidRPr="000331D2">
        <w:rPr>
          <w:rFonts w:cs="Arial"/>
          <w:sz w:val="24"/>
          <w:lang w:val="es-ES_tradnl"/>
        </w:rPr>
        <w:t>%), Gasolina Motor (</w:t>
      </w:r>
      <w:r w:rsidR="00741ACD" w:rsidRPr="000331D2">
        <w:rPr>
          <w:rFonts w:cs="Arial"/>
          <w:sz w:val="24"/>
          <w:lang w:val="es-ES_tradnl"/>
        </w:rPr>
        <w:t>25,85</w:t>
      </w:r>
      <w:r w:rsidR="00AA6CA3" w:rsidRPr="000331D2">
        <w:rPr>
          <w:rFonts w:cs="Arial"/>
          <w:sz w:val="24"/>
          <w:lang w:val="es-ES_tradnl"/>
        </w:rPr>
        <w:t>%)</w:t>
      </w:r>
      <w:r w:rsidR="00741ACD" w:rsidRPr="000331D2">
        <w:rPr>
          <w:rFonts w:cs="Arial"/>
          <w:sz w:val="24"/>
          <w:lang w:val="es-ES_tradnl"/>
        </w:rPr>
        <w:t>, B2E (17,62%), y GLP (9,59</w:t>
      </w:r>
      <w:r w:rsidR="00AA6CA3" w:rsidRPr="000331D2">
        <w:rPr>
          <w:rFonts w:cs="Arial"/>
          <w:sz w:val="24"/>
          <w:lang w:val="es-ES_tradnl"/>
        </w:rPr>
        <w:t>%).</w:t>
      </w:r>
    </w:p>
    <w:p w:rsidR="0083557B" w:rsidRPr="000331D2" w:rsidRDefault="0083557B" w:rsidP="0083557B">
      <w:pPr>
        <w:rPr>
          <w:rFonts w:cs="Arial"/>
          <w:sz w:val="24"/>
          <w:lang w:val="es-CO"/>
        </w:rPr>
      </w:pPr>
    </w:p>
    <w:p w:rsidR="0083557B" w:rsidRPr="004859E4" w:rsidRDefault="0083557B" w:rsidP="0083557B">
      <w:pPr>
        <w:pStyle w:val="Ttulo"/>
        <w:rPr>
          <w:lang w:val="es-CO"/>
        </w:rPr>
      </w:pPr>
      <w:r w:rsidRPr="004859E4">
        <w:rPr>
          <w:noProof/>
          <w:lang w:val="es-CO" w:eastAsia="es-CO"/>
        </w:rPr>
        <w:drawing>
          <wp:inline distT="0" distB="0" distL="0" distR="0" wp14:anchorId="5AC38A6B" wp14:editId="1AA20982">
            <wp:extent cx="5707117" cy="2743200"/>
            <wp:effectExtent l="0" t="0" r="27305" b="19050"/>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83557B" w:rsidRPr="004859E4" w:rsidRDefault="0083557B" w:rsidP="0083557B">
      <w:pPr>
        <w:ind w:left="195"/>
        <w:rPr>
          <w:rFonts w:cs="Arial"/>
          <w:sz w:val="16"/>
        </w:rPr>
      </w:pPr>
      <w:r w:rsidRPr="004859E4">
        <w:rPr>
          <w:rFonts w:cs="Arial"/>
          <w:sz w:val="16"/>
        </w:rPr>
        <w:t>Fuente: Cálculos CREG. Datos Cenit.</w:t>
      </w:r>
    </w:p>
    <w:p w:rsidR="0083557B" w:rsidRDefault="00BC557B" w:rsidP="00BC557B">
      <w:pPr>
        <w:pStyle w:val="Epgrafe"/>
      </w:pPr>
      <w:bookmarkStart w:id="1083" w:name="_Toc437512873"/>
      <w:r>
        <w:t xml:space="preserve">Gráfica </w:t>
      </w:r>
      <w:r>
        <w:fldChar w:fldCharType="begin"/>
      </w:r>
      <w:r>
        <w:instrText xml:space="preserve"> SEQ Gráfica \* ARABIC </w:instrText>
      </w:r>
      <w:r>
        <w:fldChar w:fldCharType="separate"/>
      </w:r>
      <w:r w:rsidR="00625BEB">
        <w:rPr>
          <w:noProof/>
        </w:rPr>
        <w:t>36</w:t>
      </w:r>
      <w:r>
        <w:fldChar w:fldCharType="end"/>
      </w:r>
      <w:r>
        <w:t xml:space="preserve"> </w:t>
      </w:r>
      <w:r w:rsidRPr="00B70804">
        <w:t>Cantidad transportada Galán – Bucaramanga</w:t>
      </w:r>
      <w:bookmarkEnd w:id="1083"/>
    </w:p>
    <w:p w:rsidR="00BA3FB3" w:rsidRPr="00BA3FB3" w:rsidRDefault="00BA3FB3" w:rsidP="00BA3FB3"/>
    <w:p w:rsidR="0083557B" w:rsidRPr="000331D2" w:rsidRDefault="0083557B" w:rsidP="00391FB3">
      <w:pPr>
        <w:pStyle w:val="Ttulo2"/>
        <w:rPr>
          <w:sz w:val="24"/>
          <w:szCs w:val="24"/>
        </w:rPr>
      </w:pPr>
      <w:bookmarkStart w:id="1084" w:name="_Toc427336566"/>
      <w:bookmarkStart w:id="1085" w:name="_Toc427681858"/>
      <w:bookmarkStart w:id="1086" w:name="_Toc433276788"/>
      <w:bookmarkStart w:id="1087" w:name="_Toc433295770"/>
      <w:bookmarkStart w:id="1088" w:name="_Toc433296495"/>
      <w:bookmarkStart w:id="1089" w:name="_Toc437500924"/>
      <w:bookmarkStart w:id="1090" w:name="_Toc437501583"/>
      <w:bookmarkStart w:id="1091" w:name="_Toc437501763"/>
      <w:bookmarkStart w:id="1092" w:name="_Toc437501853"/>
      <w:bookmarkStart w:id="1093" w:name="_Toc437502616"/>
      <w:bookmarkStart w:id="1094" w:name="_Toc437505976"/>
      <w:bookmarkStart w:id="1095" w:name="_Toc437512789"/>
      <w:r w:rsidRPr="000331D2">
        <w:rPr>
          <w:sz w:val="24"/>
          <w:szCs w:val="24"/>
        </w:rPr>
        <w:t>Galán - Sebastopol 16”</w:t>
      </w:r>
      <w:bookmarkEnd w:id="1084"/>
      <w:bookmarkEnd w:id="1085"/>
      <w:bookmarkEnd w:id="1086"/>
      <w:bookmarkEnd w:id="1087"/>
      <w:bookmarkEnd w:id="1088"/>
      <w:bookmarkEnd w:id="1089"/>
      <w:bookmarkEnd w:id="1090"/>
      <w:bookmarkEnd w:id="1091"/>
      <w:bookmarkEnd w:id="1092"/>
      <w:bookmarkEnd w:id="1093"/>
      <w:bookmarkEnd w:id="1094"/>
      <w:bookmarkEnd w:id="1095"/>
    </w:p>
    <w:p w:rsidR="0083557B" w:rsidRPr="000331D2" w:rsidRDefault="0083557B" w:rsidP="0083557B">
      <w:pPr>
        <w:contextualSpacing/>
        <w:rPr>
          <w:rFonts w:cs="Arial"/>
          <w:sz w:val="24"/>
          <w:lang w:val="es-ES_tradnl"/>
        </w:rPr>
      </w:pPr>
      <w:r w:rsidRPr="000331D2">
        <w:rPr>
          <w:rFonts w:cs="Arial"/>
          <w:sz w:val="24"/>
          <w:lang w:val="es-ES_tradnl"/>
        </w:rPr>
        <w:t>El tramo Galán – Sebastopol de 16 pulgadas tiene una capacidad nominal de transporte de 190 kbd. En promedio se han transportado 231,1 kbd en el periodo analizado de abril de 2013 a abril de 2015, con una volatilidad mensual de la cantidad transportada de 1,3%. Los productos que más se transportan por este tramo son: Gasolina Motor (38,2%), B2E (22,6%), B2 (19,1%) y Nafta (17,3%). El porcentaje de utilización promedio de este ducto ha sido de 69%.</w:t>
      </w:r>
    </w:p>
    <w:p w:rsidR="0083557B" w:rsidRPr="004859E4" w:rsidRDefault="0083557B" w:rsidP="0083557B">
      <w:pPr>
        <w:rPr>
          <w:rFonts w:cs="Arial"/>
          <w:lang w:val="es-CO"/>
        </w:rPr>
      </w:pPr>
    </w:p>
    <w:p w:rsidR="0083557B" w:rsidRPr="004859E4" w:rsidRDefault="0083557B" w:rsidP="0083557B">
      <w:pPr>
        <w:pStyle w:val="Ttulo"/>
        <w:rPr>
          <w:lang w:val="es-CO"/>
        </w:rPr>
      </w:pPr>
      <w:r w:rsidRPr="004859E4">
        <w:rPr>
          <w:noProof/>
          <w:lang w:val="es-CO" w:eastAsia="es-CO"/>
        </w:rPr>
        <w:drawing>
          <wp:inline distT="0" distB="0" distL="0" distR="0" wp14:anchorId="55538383" wp14:editId="7FE916C5">
            <wp:extent cx="5849007" cy="2743200"/>
            <wp:effectExtent l="0" t="0" r="18415" b="1905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3557B" w:rsidRDefault="0083557B" w:rsidP="0083557B">
      <w:pPr>
        <w:ind w:left="195"/>
        <w:rPr>
          <w:rFonts w:cs="Arial"/>
          <w:sz w:val="16"/>
        </w:rPr>
      </w:pPr>
      <w:r w:rsidRPr="004859E4">
        <w:rPr>
          <w:rFonts w:cs="Arial"/>
          <w:sz w:val="16"/>
        </w:rPr>
        <w:t>Fuente: Cálculos CREG. Datos Cenit.</w:t>
      </w:r>
    </w:p>
    <w:p w:rsidR="00BC557B" w:rsidRDefault="00BC557B" w:rsidP="00BC557B">
      <w:pPr>
        <w:pStyle w:val="Epgrafe"/>
      </w:pPr>
      <w:bookmarkStart w:id="1096" w:name="_Toc437512874"/>
      <w:r>
        <w:t xml:space="preserve">Gráfica </w:t>
      </w:r>
      <w:r>
        <w:fldChar w:fldCharType="begin"/>
      </w:r>
      <w:r>
        <w:instrText xml:space="preserve"> SEQ Gráfica \* ARABIC </w:instrText>
      </w:r>
      <w:r>
        <w:fldChar w:fldCharType="separate"/>
      </w:r>
      <w:r w:rsidR="00625BEB">
        <w:rPr>
          <w:noProof/>
        </w:rPr>
        <w:t>37</w:t>
      </w:r>
      <w:r>
        <w:fldChar w:fldCharType="end"/>
      </w:r>
      <w:r>
        <w:t xml:space="preserve"> </w:t>
      </w:r>
      <w:r w:rsidRPr="001407C9">
        <w:t>Cantidad transportada Galán – Sebastopol 16”</w:t>
      </w:r>
      <w:bookmarkEnd w:id="1096"/>
    </w:p>
    <w:p w:rsidR="0083557B" w:rsidRPr="000331D2" w:rsidRDefault="0083557B" w:rsidP="00391FB3">
      <w:pPr>
        <w:pStyle w:val="Ttulo2"/>
        <w:rPr>
          <w:sz w:val="24"/>
          <w:szCs w:val="24"/>
        </w:rPr>
      </w:pPr>
      <w:bookmarkStart w:id="1097" w:name="_Toc427336567"/>
      <w:bookmarkStart w:id="1098" w:name="_Toc427681859"/>
      <w:bookmarkStart w:id="1099" w:name="_Toc433276789"/>
      <w:bookmarkStart w:id="1100" w:name="_Toc433295771"/>
      <w:bookmarkStart w:id="1101" w:name="_Toc433296496"/>
      <w:bookmarkStart w:id="1102" w:name="_Toc437500925"/>
      <w:bookmarkStart w:id="1103" w:name="_Toc437501584"/>
      <w:bookmarkStart w:id="1104" w:name="_Toc437501764"/>
      <w:bookmarkStart w:id="1105" w:name="_Toc437501854"/>
      <w:bookmarkStart w:id="1106" w:name="_Toc437502617"/>
      <w:bookmarkStart w:id="1107" w:name="_Toc437505977"/>
      <w:bookmarkStart w:id="1108" w:name="_Toc437512790"/>
      <w:r w:rsidRPr="000331D2">
        <w:rPr>
          <w:sz w:val="24"/>
          <w:szCs w:val="24"/>
        </w:rPr>
        <w:t>Galán - Sebastopol 12”</w:t>
      </w:r>
      <w:bookmarkEnd w:id="1097"/>
      <w:bookmarkEnd w:id="1098"/>
      <w:bookmarkEnd w:id="1099"/>
      <w:bookmarkEnd w:id="1100"/>
      <w:bookmarkEnd w:id="1101"/>
      <w:bookmarkEnd w:id="1102"/>
      <w:bookmarkEnd w:id="1103"/>
      <w:bookmarkEnd w:id="1104"/>
      <w:bookmarkEnd w:id="1105"/>
      <w:bookmarkEnd w:id="1106"/>
      <w:bookmarkEnd w:id="1107"/>
      <w:bookmarkEnd w:id="1108"/>
    </w:p>
    <w:p w:rsidR="0083557B" w:rsidRPr="000331D2" w:rsidRDefault="0083557B" w:rsidP="0083557B">
      <w:pPr>
        <w:rPr>
          <w:rFonts w:cs="Arial"/>
          <w:sz w:val="24"/>
          <w:lang w:val="es-ES_tradnl"/>
        </w:rPr>
      </w:pPr>
    </w:p>
    <w:p w:rsidR="0083557B" w:rsidRPr="000331D2" w:rsidRDefault="0083557B" w:rsidP="0083557B">
      <w:pPr>
        <w:contextualSpacing/>
        <w:rPr>
          <w:rFonts w:cs="Arial"/>
          <w:sz w:val="24"/>
          <w:lang w:val="es-ES_tradnl"/>
        </w:rPr>
      </w:pPr>
      <w:r w:rsidRPr="000331D2">
        <w:rPr>
          <w:rFonts w:cs="Arial"/>
          <w:sz w:val="24"/>
          <w:lang w:val="es-ES_tradnl"/>
        </w:rPr>
        <w:t xml:space="preserve">El tramo Galán – Sebastopol de </w:t>
      </w:r>
      <w:r w:rsidR="00590167" w:rsidRPr="000331D2">
        <w:rPr>
          <w:rFonts w:cs="Arial"/>
          <w:sz w:val="24"/>
          <w:lang w:val="es-ES_tradnl"/>
        </w:rPr>
        <w:t>12</w:t>
      </w:r>
      <w:r w:rsidRPr="000331D2">
        <w:rPr>
          <w:rFonts w:cs="Arial"/>
          <w:sz w:val="24"/>
          <w:lang w:val="es-ES_tradnl"/>
        </w:rPr>
        <w:t xml:space="preserve"> pulgadas tiene una capacidad nominal de transporte de </w:t>
      </w:r>
      <w:r w:rsidR="00590167" w:rsidRPr="000331D2">
        <w:rPr>
          <w:rFonts w:cs="Arial"/>
          <w:sz w:val="24"/>
          <w:lang w:val="es-ES_tradnl"/>
        </w:rPr>
        <w:t>75,8</w:t>
      </w:r>
      <w:r w:rsidRPr="000331D2">
        <w:rPr>
          <w:rFonts w:cs="Arial"/>
          <w:sz w:val="24"/>
          <w:lang w:val="es-ES_tradnl"/>
        </w:rPr>
        <w:t xml:space="preserve"> kbd. En promedio se han transportado </w:t>
      </w:r>
      <w:r w:rsidR="00590167" w:rsidRPr="000331D2">
        <w:rPr>
          <w:rFonts w:cs="Arial"/>
          <w:sz w:val="24"/>
          <w:lang w:val="es-ES_tradnl"/>
        </w:rPr>
        <w:t>67</w:t>
      </w:r>
      <w:r w:rsidRPr="000331D2">
        <w:rPr>
          <w:rFonts w:cs="Arial"/>
          <w:sz w:val="24"/>
          <w:lang w:val="es-ES_tradnl"/>
        </w:rPr>
        <w:t xml:space="preserve"> kbd en el periodo analizado de abril de 2013 a abril de 2015, </w:t>
      </w:r>
      <w:r w:rsidR="00590167" w:rsidRPr="000331D2">
        <w:rPr>
          <w:rFonts w:cs="Arial"/>
          <w:sz w:val="24"/>
          <w:lang w:val="es-ES_tradnl"/>
        </w:rPr>
        <w:t>lo que indica que el porcentaje de utilización promedio de este ducto h</w:t>
      </w:r>
      <w:r w:rsidR="00C9788E" w:rsidRPr="000331D2">
        <w:rPr>
          <w:rFonts w:cs="Arial"/>
          <w:sz w:val="24"/>
          <w:lang w:val="es-ES_tradnl"/>
        </w:rPr>
        <w:t xml:space="preserve">a sido de 88,5% </w:t>
      </w:r>
      <w:r w:rsidRPr="000331D2">
        <w:rPr>
          <w:rFonts w:cs="Arial"/>
          <w:sz w:val="24"/>
          <w:lang w:val="es-ES_tradnl"/>
        </w:rPr>
        <w:t xml:space="preserve">con una volatilidad mensual de la cantidad transportada de </w:t>
      </w:r>
      <w:r w:rsidR="00590167" w:rsidRPr="000331D2">
        <w:rPr>
          <w:rFonts w:cs="Arial"/>
          <w:sz w:val="24"/>
          <w:lang w:val="es-ES_tradnl"/>
        </w:rPr>
        <w:t>2,</w:t>
      </w:r>
      <w:r w:rsidRPr="000331D2">
        <w:rPr>
          <w:rFonts w:cs="Arial"/>
          <w:sz w:val="24"/>
          <w:lang w:val="es-ES_tradnl"/>
        </w:rPr>
        <w:t xml:space="preserve">1%. Los productos que más se transportan por este tramo son: </w:t>
      </w:r>
      <w:r w:rsidR="00741ACD" w:rsidRPr="000331D2">
        <w:rPr>
          <w:rFonts w:cs="Arial"/>
          <w:sz w:val="24"/>
          <w:lang w:val="es-ES_tradnl"/>
        </w:rPr>
        <w:t>Nafta (30,6%), JET A1 (29,68</w:t>
      </w:r>
      <w:r w:rsidRPr="000331D2">
        <w:rPr>
          <w:rFonts w:cs="Arial"/>
          <w:sz w:val="24"/>
          <w:lang w:val="es-ES_tradnl"/>
        </w:rPr>
        <w:t>%)</w:t>
      </w:r>
      <w:r w:rsidR="00C9788E" w:rsidRPr="000331D2">
        <w:rPr>
          <w:rFonts w:cs="Arial"/>
          <w:sz w:val="24"/>
          <w:lang w:val="es-ES_tradnl"/>
        </w:rPr>
        <w:t>, Gasolina Motor</w:t>
      </w:r>
      <w:r w:rsidRPr="000331D2">
        <w:rPr>
          <w:rFonts w:cs="Arial"/>
          <w:sz w:val="24"/>
          <w:lang w:val="es-ES_tradnl"/>
        </w:rPr>
        <w:t xml:space="preserve"> </w:t>
      </w:r>
      <w:r w:rsidR="00741ACD" w:rsidRPr="000331D2">
        <w:rPr>
          <w:rFonts w:cs="Arial"/>
          <w:sz w:val="24"/>
          <w:lang w:val="es-ES_tradnl"/>
        </w:rPr>
        <w:t>(17,22%), B2 (11,8</w:t>
      </w:r>
      <w:r w:rsidR="00C9788E" w:rsidRPr="000331D2">
        <w:rPr>
          <w:rFonts w:cs="Arial"/>
          <w:sz w:val="24"/>
          <w:lang w:val="es-ES_tradnl"/>
        </w:rPr>
        <w:t>%) y B2E (7,57%).</w:t>
      </w:r>
    </w:p>
    <w:p w:rsidR="0083557B" w:rsidRPr="000331D2" w:rsidRDefault="0083557B" w:rsidP="0083557B">
      <w:pPr>
        <w:rPr>
          <w:rFonts w:cs="Arial"/>
          <w:b/>
          <w:bCs/>
          <w:sz w:val="24"/>
          <w:lang w:val="es-ES_tradnl"/>
        </w:rPr>
      </w:pPr>
    </w:p>
    <w:p w:rsidR="0083557B" w:rsidRPr="004859E4" w:rsidRDefault="0083557B" w:rsidP="0083557B">
      <w:pPr>
        <w:pStyle w:val="Ttulo"/>
        <w:rPr>
          <w:lang w:val="es-CO"/>
        </w:rPr>
      </w:pPr>
      <w:r w:rsidRPr="004859E4">
        <w:rPr>
          <w:noProof/>
          <w:lang w:val="es-CO" w:eastAsia="es-CO"/>
        </w:rPr>
        <w:lastRenderedPageBreak/>
        <w:drawing>
          <wp:inline distT="0" distB="0" distL="0" distR="0" wp14:anchorId="2C1B9022" wp14:editId="387538E6">
            <wp:extent cx="5754414" cy="2743200"/>
            <wp:effectExtent l="0" t="0" r="17780" b="1905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3557B" w:rsidRDefault="0083557B" w:rsidP="0083557B">
      <w:pPr>
        <w:ind w:left="195"/>
        <w:rPr>
          <w:rFonts w:cs="Arial"/>
          <w:sz w:val="16"/>
        </w:rPr>
      </w:pPr>
      <w:r w:rsidRPr="004859E4">
        <w:rPr>
          <w:rFonts w:cs="Arial"/>
          <w:sz w:val="16"/>
        </w:rPr>
        <w:t>Fuente: Cálculos CREG. Datos Cenit.</w:t>
      </w:r>
    </w:p>
    <w:p w:rsidR="00BC557B" w:rsidRDefault="00BC557B" w:rsidP="00BC557B">
      <w:pPr>
        <w:pStyle w:val="Epgrafe"/>
      </w:pPr>
      <w:bookmarkStart w:id="1109" w:name="_Toc437512875"/>
      <w:r>
        <w:t xml:space="preserve">Gráfica </w:t>
      </w:r>
      <w:r>
        <w:fldChar w:fldCharType="begin"/>
      </w:r>
      <w:r>
        <w:instrText xml:space="preserve"> SEQ Gráfica \* ARABIC </w:instrText>
      </w:r>
      <w:r>
        <w:fldChar w:fldCharType="separate"/>
      </w:r>
      <w:r w:rsidR="00625BEB">
        <w:rPr>
          <w:noProof/>
        </w:rPr>
        <w:t>38</w:t>
      </w:r>
      <w:r>
        <w:fldChar w:fldCharType="end"/>
      </w:r>
      <w:r>
        <w:t xml:space="preserve"> </w:t>
      </w:r>
      <w:r w:rsidRPr="005374AF">
        <w:t>Cantidad transportada Galán – Sebastopol 12”</w:t>
      </w:r>
      <w:bookmarkEnd w:id="1109"/>
    </w:p>
    <w:p w:rsidR="0083557B" w:rsidRPr="000331D2" w:rsidRDefault="0083557B" w:rsidP="00391FB3">
      <w:pPr>
        <w:pStyle w:val="Ttulo2"/>
        <w:rPr>
          <w:sz w:val="24"/>
          <w:szCs w:val="24"/>
        </w:rPr>
      </w:pPr>
      <w:bookmarkStart w:id="1110" w:name="_Toc427336568"/>
      <w:bookmarkStart w:id="1111" w:name="_Toc427681860"/>
      <w:bookmarkStart w:id="1112" w:name="_Toc433276790"/>
      <w:bookmarkStart w:id="1113" w:name="_Toc433295772"/>
      <w:bookmarkStart w:id="1114" w:name="_Toc433296497"/>
      <w:bookmarkStart w:id="1115" w:name="_Toc437500926"/>
      <w:bookmarkStart w:id="1116" w:name="_Toc437501585"/>
      <w:bookmarkStart w:id="1117" w:name="_Toc437501765"/>
      <w:bookmarkStart w:id="1118" w:name="_Toc437501855"/>
      <w:bookmarkStart w:id="1119" w:name="_Toc437502618"/>
      <w:bookmarkStart w:id="1120" w:name="_Toc437505978"/>
      <w:bookmarkStart w:id="1121" w:name="_Toc437512791"/>
      <w:r w:rsidRPr="000331D2">
        <w:rPr>
          <w:sz w:val="24"/>
          <w:szCs w:val="24"/>
        </w:rPr>
        <w:t>Galán - Puerto Salgar 8”</w:t>
      </w:r>
      <w:bookmarkEnd w:id="1110"/>
      <w:bookmarkEnd w:id="1111"/>
      <w:bookmarkEnd w:id="1112"/>
      <w:bookmarkEnd w:id="1113"/>
      <w:bookmarkEnd w:id="1114"/>
      <w:bookmarkEnd w:id="1115"/>
      <w:bookmarkEnd w:id="1116"/>
      <w:bookmarkEnd w:id="1117"/>
      <w:bookmarkEnd w:id="1118"/>
      <w:bookmarkEnd w:id="1119"/>
      <w:bookmarkEnd w:id="1120"/>
      <w:bookmarkEnd w:id="1121"/>
    </w:p>
    <w:p w:rsidR="00262B78" w:rsidRPr="000331D2" w:rsidRDefault="00C9788E" w:rsidP="00635F0A">
      <w:pPr>
        <w:contextualSpacing/>
        <w:rPr>
          <w:sz w:val="24"/>
          <w:lang w:val="es-CO"/>
        </w:rPr>
      </w:pPr>
      <w:r w:rsidRPr="000331D2">
        <w:rPr>
          <w:sz w:val="24"/>
          <w:lang w:val="es-CO"/>
        </w:rPr>
        <w:t>Este tramo de 8 pulgadas corresponde a un propanoducto</w:t>
      </w:r>
      <w:r w:rsidR="00262B78" w:rsidRPr="000331D2">
        <w:rPr>
          <w:sz w:val="24"/>
          <w:lang w:val="es-CO"/>
        </w:rPr>
        <w:t xml:space="preserve"> que principalmente transporta GLP pero que de acuerdo a los datos reportados por Cen</w:t>
      </w:r>
      <w:r w:rsidR="001D1BBE">
        <w:rPr>
          <w:sz w:val="24"/>
          <w:lang w:val="es-CO"/>
        </w:rPr>
        <w:t>i</w:t>
      </w:r>
      <w:r w:rsidR="00262B78" w:rsidRPr="000331D2">
        <w:rPr>
          <w:sz w:val="24"/>
          <w:lang w:val="es-CO"/>
        </w:rPr>
        <w:t xml:space="preserve">t ha transportado una cantidad mínima de Gasolina Motor Corriente (1,14%) durante abril de 2013 y abril de 2015. </w:t>
      </w:r>
      <w:r w:rsidR="00262B78" w:rsidRPr="000331D2">
        <w:rPr>
          <w:rFonts w:cs="Arial"/>
          <w:sz w:val="24"/>
          <w:lang w:val="es-ES_tradnl"/>
        </w:rPr>
        <w:t>En promedio se han transportado 6,54 kbd con respecto a una capacidad nominal de 14,4 kbd, lo que indica que el porcentaje de utilización promedio de este ducto ha sido de 45,4% con una volatilidad mensual de la cantidad transportada de 2,4%</w:t>
      </w:r>
      <w:r w:rsidR="00E434E7" w:rsidRPr="000331D2">
        <w:rPr>
          <w:rFonts w:cs="Arial"/>
          <w:sz w:val="24"/>
          <w:lang w:val="es-ES_tradnl"/>
        </w:rPr>
        <w:t>.</w:t>
      </w:r>
    </w:p>
    <w:p w:rsidR="00262B78" w:rsidRDefault="00262B78" w:rsidP="0083557B">
      <w:pPr>
        <w:pStyle w:val="Ttulo"/>
        <w:rPr>
          <w:lang w:val="es-CO"/>
        </w:rPr>
      </w:pPr>
    </w:p>
    <w:p w:rsidR="0083557B" w:rsidRPr="004859E4" w:rsidRDefault="0083557B" w:rsidP="0083557B">
      <w:pPr>
        <w:pStyle w:val="Ttulo"/>
        <w:rPr>
          <w:lang w:val="es-CO"/>
        </w:rPr>
      </w:pPr>
      <w:r w:rsidRPr="004859E4">
        <w:rPr>
          <w:noProof/>
          <w:lang w:val="es-CO" w:eastAsia="es-CO"/>
        </w:rPr>
        <w:drawing>
          <wp:inline distT="0" distB="0" distL="0" distR="0" wp14:anchorId="0414B383" wp14:editId="293767E8">
            <wp:extent cx="5707118" cy="2743200"/>
            <wp:effectExtent l="0" t="0" r="27305" b="1905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3557B" w:rsidRDefault="0083557B" w:rsidP="0083557B">
      <w:pPr>
        <w:ind w:left="193"/>
        <w:contextualSpacing/>
        <w:rPr>
          <w:rFonts w:cs="Arial"/>
          <w:sz w:val="16"/>
        </w:rPr>
      </w:pPr>
      <w:r w:rsidRPr="004859E4">
        <w:rPr>
          <w:rFonts w:cs="Arial"/>
          <w:sz w:val="16"/>
        </w:rPr>
        <w:t>Fuente: Cálculos CREG. Datos Cenit.</w:t>
      </w:r>
    </w:p>
    <w:p w:rsidR="00BC557B" w:rsidRDefault="00BC557B" w:rsidP="00BC557B">
      <w:pPr>
        <w:pStyle w:val="Epgrafe"/>
      </w:pPr>
      <w:bookmarkStart w:id="1122" w:name="_Toc437512876"/>
      <w:r>
        <w:t xml:space="preserve">Gráfica </w:t>
      </w:r>
      <w:r>
        <w:fldChar w:fldCharType="begin"/>
      </w:r>
      <w:r>
        <w:instrText xml:space="preserve"> SEQ Gráfica \* ARABIC </w:instrText>
      </w:r>
      <w:r>
        <w:fldChar w:fldCharType="separate"/>
      </w:r>
      <w:r w:rsidR="00625BEB">
        <w:rPr>
          <w:noProof/>
        </w:rPr>
        <w:t>39</w:t>
      </w:r>
      <w:r>
        <w:fldChar w:fldCharType="end"/>
      </w:r>
      <w:r>
        <w:t xml:space="preserve"> </w:t>
      </w:r>
      <w:r w:rsidRPr="001C51F9">
        <w:t>Cantidad transportada Galán – Puerto Salgar 8”</w:t>
      </w:r>
      <w:bookmarkEnd w:id="1122"/>
    </w:p>
    <w:p w:rsidR="0027325C" w:rsidRDefault="0027325C">
      <w:pPr>
        <w:jc w:val="left"/>
      </w:pPr>
      <w:r>
        <w:br w:type="page"/>
      </w:r>
    </w:p>
    <w:p w:rsidR="0083557B" w:rsidRPr="000331D2" w:rsidRDefault="0083557B" w:rsidP="00391FB3">
      <w:pPr>
        <w:pStyle w:val="Ttulo2"/>
        <w:rPr>
          <w:sz w:val="24"/>
          <w:szCs w:val="24"/>
        </w:rPr>
      </w:pPr>
      <w:bookmarkStart w:id="1123" w:name="_Toc427336569"/>
      <w:bookmarkStart w:id="1124" w:name="_Toc427681861"/>
      <w:bookmarkStart w:id="1125" w:name="_Toc433276791"/>
      <w:bookmarkStart w:id="1126" w:name="_Toc433295773"/>
      <w:bookmarkStart w:id="1127" w:name="_Toc433296498"/>
      <w:bookmarkStart w:id="1128" w:name="_Toc437500927"/>
      <w:bookmarkStart w:id="1129" w:name="_Toc437501586"/>
      <w:bookmarkStart w:id="1130" w:name="_Toc437501766"/>
      <w:bookmarkStart w:id="1131" w:name="_Toc437501856"/>
      <w:bookmarkStart w:id="1132" w:name="_Toc437502619"/>
      <w:bookmarkStart w:id="1133" w:name="_Toc437505979"/>
      <w:bookmarkStart w:id="1134" w:name="_Toc437512792"/>
      <w:r w:rsidRPr="000331D2">
        <w:rPr>
          <w:sz w:val="24"/>
          <w:szCs w:val="24"/>
        </w:rPr>
        <w:lastRenderedPageBreak/>
        <w:t>Sebastopol – Medellín 12”</w:t>
      </w:r>
      <w:bookmarkEnd w:id="1123"/>
      <w:bookmarkEnd w:id="1124"/>
      <w:bookmarkEnd w:id="1125"/>
      <w:bookmarkEnd w:id="1126"/>
      <w:bookmarkEnd w:id="1127"/>
      <w:bookmarkEnd w:id="1128"/>
      <w:bookmarkEnd w:id="1129"/>
      <w:bookmarkEnd w:id="1130"/>
      <w:bookmarkEnd w:id="1131"/>
      <w:bookmarkEnd w:id="1132"/>
      <w:bookmarkEnd w:id="1133"/>
      <w:bookmarkEnd w:id="1134"/>
    </w:p>
    <w:p w:rsidR="00E434E7" w:rsidRPr="000331D2" w:rsidRDefault="00575074" w:rsidP="00E434E7">
      <w:pPr>
        <w:contextualSpacing/>
        <w:rPr>
          <w:rFonts w:cs="Arial"/>
          <w:sz w:val="24"/>
          <w:lang w:val="es-ES_tradnl"/>
        </w:rPr>
      </w:pPr>
      <w:r w:rsidRPr="000331D2">
        <w:rPr>
          <w:rFonts w:cs="Arial"/>
          <w:bCs/>
          <w:sz w:val="24"/>
        </w:rPr>
        <w:t>Con respecto al poliducto Sebastopol – Medellín</w:t>
      </w:r>
      <w:r w:rsidR="00E65E93" w:rsidRPr="000331D2">
        <w:rPr>
          <w:rFonts w:cs="Arial"/>
          <w:bCs/>
          <w:sz w:val="24"/>
        </w:rPr>
        <w:t xml:space="preserve"> de 12 pulgadas</w:t>
      </w:r>
      <w:r w:rsidRPr="000331D2">
        <w:rPr>
          <w:rFonts w:cs="Arial"/>
          <w:bCs/>
          <w:sz w:val="24"/>
        </w:rPr>
        <w:t xml:space="preserve">, la cantidad transportada promedio ha sido de 45,63 kbd con una </w:t>
      </w:r>
      <w:r w:rsidR="00F6759C" w:rsidRPr="000331D2">
        <w:rPr>
          <w:rFonts w:cs="Arial"/>
          <w:bCs/>
          <w:sz w:val="24"/>
        </w:rPr>
        <w:t>volatilidad</w:t>
      </w:r>
      <w:r w:rsidRPr="000331D2">
        <w:rPr>
          <w:rFonts w:cs="Arial"/>
          <w:bCs/>
          <w:sz w:val="24"/>
        </w:rPr>
        <w:t xml:space="preserve"> mensual de 1,1%. La capacidad nominal de este tramo es de 66,7 kbd </w:t>
      </w:r>
      <w:r w:rsidR="00E434E7" w:rsidRPr="000331D2">
        <w:rPr>
          <w:rFonts w:cs="Arial"/>
          <w:bCs/>
          <w:sz w:val="24"/>
        </w:rPr>
        <w:t xml:space="preserve">y ha presentado un porcentaje de ocupación de 66,7%. </w:t>
      </w:r>
      <w:r w:rsidR="00E434E7" w:rsidRPr="000331D2">
        <w:rPr>
          <w:rFonts w:cs="Arial"/>
          <w:sz w:val="24"/>
          <w:lang w:val="es-ES_tradnl"/>
        </w:rPr>
        <w:t>Los productos que más se transportan por este tramo son: Gasolina Motor (44,25</w:t>
      </w:r>
      <w:r w:rsidR="00741ACD" w:rsidRPr="000331D2">
        <w:rPr>
          <w:rFonts w:cs="Arial"/>
          <w:sz w:val="24"/>
          <w:lang w:val="es-ES_tradnl"/>
        </w:rPr>
        <w:t>%), B2E (26,98%), B2 (15,11%) y JET A1 (9,01</w:t>
      </w:r>
      <w:r w:rsidR="00E434E7" w:rsidRPr="000331D2">
        <w:rPr>
          <w:rFonts w:cs="Arial"/>
          <w:sz w:val="24"/>
          <w:lang w:val="es-ES_tradnl"/>
        </w:rPr>
        <w:t>%).</w:t>
      </w:r>
    </w:p>
    <w:p w:rsidR="0083557B" w:rsidRPr="004859E4" w:rsidRDefault="0083557B" w:rsidP="0083557B">
      <w:pPr>
        <w:ind w:left="193"/>
        <w:contextualSpacing/>
        <w:jc w:val="center"/>
        <w:rPr>
          <w:rFonts w:cs="Arial"/>
          <w:b/>
          <w:bCs/>
          <w:szCs w:val="22"/>
        </w:rPr>
      </w:pPr>
      <w:r w:rsidRPr="004859E4">
        <w:rPr>
          <w:rFonts w:cs="Arial"/>
          <w:noProof/>
          <w:lang w:val="es-CO" w:eastAsia="es-CO"/>
        </w:rPr>
        <w:drawing>
          <wp:inline distT="0" distB="0" distL="0" distR="0" wp14:anchorId="4D99F56A" wp14:editId="2668BDF3">
            <wp:extent cx="5465929" cy="2497540"/>
            <wp:effectExtent l="0" t="0" r="20955" b="17145"/>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3557B" w:rsidRPr="004859E4" w:rsidRDefault="0083557B" w:rsidP="0083557B">
      <w:pPr>
        <w:ind w:left="193"/>
        <w:contextualSpacing/>
        <w:rPr>
          <w:rFonts w:cs="Arial"/>
          <w:sz w:val="16"/>
        </w:rPr>
      </w:pPr>
      <w:r w:rsidRPr="004859E4">
        <w:rPr>
          <w:rFonts w:cs="Arial"/>
          <w:sz w:val="16"/>
        </w:rPr>
        <w:t>Fuente: Cálculos CREG. Datos Cenit.</w:t>
      </w:r>
    </w:p>
    <w:p w:rsidR="00BA3FB3" w:rsidRDefault="00BA3FB3" w:rsidP="00BA3FB3">
      <w:pPr>
        <w:pStyle w:val="Epgrafe"/>
        <w:spacing w:before="0" w:after="0"/>
      </w:pPr>
    </w:p>
    <w:p w:rsidR="0083557B" w:rsidRDefault="00BC557B" w:rsidP="00BA3FB3">
      <w:pPr>
        <w:pStyle w:val="Epgrafe"/>
        <w:spacing w:before="0" w:after="0"/>
      </w:pPr>
      <w:bookmarkStart w:id="1135" w:name="_Toc437512877"/>
      <w:r>
        <w:t xml:space="preserve">Gráfica </w:t>
      </w:r>
      <w:r>
        <w:fldChar w:fldCharType="begin"/>
      </w:r>
      <w:r>
        <w:instrText xml:space="preserve"> SEQ Gráfica \* ARABIC </w:instrText>
      </w:r>
      <w:r>
        <w:fldChar w:fldCharType="separate"/>
      </w:r>
      <w:r w:rsidR="00625BEB">
        <w:rPr>
          <w:noProof/>
        </w:rPr>
        <w:t>40</w:t>
      </w:r>
      <w:r>
        <w:fldChar w:fldCharType="end"/>
      </w:r>
      <w:r>
        <w:t xml:space="preserve"> </w:t>
      </w:r>
      <w:r w:rsidRPr="00FA221B">
        <w:t>Cantidad transportada Sebastopol - Medellín 12”</w:t>
      </w:r>
      <w:bookmarkEnd w:id="1135"/>
    </w:p>
    <w:p w:rsidR="00BA3FB3" w:rsidRPr="00BA3FB3" w:rsidRDefault="00BA3FB3" w:rsidP="005F555C"/>
    <w:p w:rsidR="0083557B" w:rsidRPr="000331D2" w:rsidRDefault="0083557B" w:rsidP="00BA3FB3">
      <w:pPr>
        <w:pStyle w:val="Ttulo2"/>
        <w:spacing w:before="0"/>
        <w:rPr>
          <w:sz w:val="24"/>
          <w:szCs w:val="24"/>
        </w:rPr>
      </w:pPr>
      <w:bookmarkStart w:id="1136" w:name="_Toc427336570"/>
      <w:bookmarkStart w:id="1137" w:name="_Toc427681862"/>
      <w:bookmarkStart w:id="1138" w:name="_Toc433276792"/>
      <w:bookmarkStart w:id="1139" w:name="_Toc433295774"/>
      <w:bookmarkStart w:id="1140" w:name="_Toc433296499"/>
      <w:bookmarkStart w:id="1141" w:name="_Toc437500928"/>
      <w:bookmarkStart w:id="1142" w:name="_Toc437501587"/>
      <w:bookmarkStart w:id="1143" w:name="_Toc437501767"/>
      <w:bookmarkStart w:id="1144" w:name="_Toc437501857"/>
      <w:bookmarkStart w:id="1145" w:name="_Toc437502620"/>
      <w:bookmarkStart w:id="1146" w:name="_Toc437505980"/>
      <w:bookmarkStart w:id="1147" w:name="_Toc437512793"/>
      <w:r w:rsidRPr="000331D2">
        <w:rPr>
          <w:sz w:val="24"/>
          <w:szCs w:val="24"/>
        </w:rPr>
        <w:t>Medellín - Cartago</w:t>
      </w:r>
      <w:bookmarkEnd w:id="1136"/>
      <w:bookmarkEnd w:id="1137"/>
      <w:bookmarkEnd w:id="1138"/>
      <w:bookmarkEnd w:id="1139"/>
      <w:bookmarkEnd w:id="1140"/>
      <w:bookmarkEnd w:id="1141"/>
      <w:bookmarkEnd w:id="1142"/>
      <w:bookmarkEnd w:id="1143"/>
      <w:bookmarkEnd w:id="1144"/>
      <w:bookmarkEnd w:id="1145"/>
      <w:bookmarkEnd w:id="1146"/>
      <w:bookmarkEnd w:id="1147"/>
    </w:p>
    <w:p w:rsidR="002F7F26" w:rsidRPr="000331D2" w:rsidRDefault="00702783" w:rsidP="002F7F26">
      <w:pPr>
        <w:contextualSpacing/>
        <w:rPr>
          <w:rFonts w:cs="Arial"/>
          <w:sz w:val="24"/>
          <w:lang w:val="es-ES_tradnl"/>
        </w:rPr>
      </w:pPr>
      <w:r w:rsidRPr="000331D2">
        <w:rPr>
          <w:rFonts w:cs="Arial"/>
          <w:sz w:val="24"/>
          <w:lang w:val="es-ES_tradnl"/>
        </w:rPr>
        <w:t xml:space="preserve">El tramo Medellín - Cartago tiene una capacidad nominal de transporte de </w:t>
      </w:r>
      <w:r w:rsidR="002F7F26" w:rsidRPr="000331D2">
        <w:rPr>
          <w:rFonts w:cs="Arial"/>
          <w:sz w:val="24"/>
          <w:lang w:val="es-ES_tradnl"/>
        </w:rPr>
        <w:t xml:space="preserve">49,1 </w:t>
      </w:r>
      <w:r w:rsidRPr="000331D2">
        <w:rPr>
          <w:rFonts w:cs="Arial"/>
          <w:sz w:val="24"/>
          <w:lang w:val="es-ES_tradnl"/>
        </w:rPr>
        <w:t xml:space="preserve">kbd. </w:t>
      </w:r>
      <w:r w:rsidR="002F7F26" w:rsidRPr="000331D2">
        <w:rPr>
          <w:rFonts w:cs="Arial"/>
          <w:sz w:val="24"/>
          <w:lang w:val="es-ES_tradnl"/>
        </w:rPr>
        <w:t>En promedio se han transportado 21,97</w:t>
      </w:r>
      <w:r w:rsidRPr="000331D2">
        <w:rPr>
          <w:rFonts w:cs="Arial"/>
          <w:sz w:val="24"/>
          <w:lang w:val="es-ES_tradnl"/>
        </w:rPr>
        <w:t xml:space="preserve"> kbd en el periodo analizado de abril de 2013 a abril de 2015, lo que indica que el porcentaje de utilización promedio de este ducto h</w:t>
      </w:r>
      <w:r w:rsidR="002F7F26" w:rsidRPr="000331D2">
        <w:rPr>
          <w:rFonts w:cs="Arial"/>
          <w:sz w:val="24"/>
          <w:lang w:val="es-ES_tradnl"/>
        </w:rPr>
        <w:t>a sido de 44,7</w:t>
      </w:r>
      <w:r w:rsidRPr="000331D2">
        <w:rPr>
          <w:rFonts w:cs="Arial"/>
          <w:sz w:val="24"/>
          <w:lang w:val="es-ES_tradnl"/>
        </w:rPr>
        <w:t xml:space="preserve">% con una volatilidad mensual de la cantidad transportada de </w:t>
      </w:r>
      <w:r w:rsidR="002F7F26" w:rsidRPr="000331D2">
        <w:rPr>
          <w:rFonts w:cs="Arial"/>
          <w:sz w:val="24"/>
          <w:lang w:val="es-ES_tradnl"/>
        </w:rPr>
        <w:t xml:space="preserve">1,6 </w:t>
      </w:r>
      <w:r w:rsidRPr="000331D2">
        <w:rPr>
          <w:rFonts w:cs="Arial"/>
          <w:sz w:val="24"/>
          <w:lang w:val="es-ES_tradnl"/>
        </w:rPr>
        <w:t xml:space="preserve">%. </w:t>
      </w:r>
      <w:r w:rsidR="002F7F26" w:rsidRPr="000331D2">
        <w:rPr>
          <w:rFonts w:cs="Arial"/>
          <w:sz w:val="24"/>
          <w:lang w:val="es-ES_tradnl"/>
        </w:rPr>
        <w:t xml:space="preserve">Los productos que más se transportan por este tramo son: Gasolina Motor </w:t>
      </w:r>
      <w:r w:rsidR="00741ACD" w:rsidRPr="000331D2">
        <w:rPr>
          <w:rFonts w:cs="Arial"/>
          <w:sz w:val="24"/>
          <w:lang w:val="es-ES_tradnl"/>
        </w:rPr>
        <w:t>(45,01</w:t>
      </w:r>
      <w:r w:rsidR="002F7F26" w:rsidRPr="000331D2">
        <w:rPr>
          <w:rFonts w:cs="Arial"/>
          <w:sz w:val="24"/>
          <w:lang w:val="es-ES_tradnl"/>
        </w:rPr>
        <w:t>%), B2 (</w:t>
      </w:r>
      <w:r w:rsidR="00E17860" w:rsidRPr="000331D2">
        <w:rPr>
          <w:rFonts w:cs="Arial"/>
          <w:sz w:val="24"/>
          <w:lang w:val="es-ES_tradnl"/>
        </w:rPr>
        <w:t>30,53</w:t>
      </w:r>
      <w:r w:rsidR="002F7F26" w:rsidRPr="000331D2">
        <w:rPr>
          <w:rFonts w:cs="Arial"/>
          <w:sz w:val="24"/>
          <w:lang w:val="es-ES_tradnl"/>
        </w:rPr>
        <w:t>%), B2</w:t>
      </w:r>
      <w:r w:rsidR="00E17860" w:rsidRPr="000331D2">
        <w:rPr>
          <w:rFonts w:cs="Arial"/>
          <w:sz w:val="24"/>
          <w:lang w:val="es-ES_tradnl"/>
        </w:rPr>
        <w:t>E</w:t>
      </w:r>
      <w:r w:rsidR="002F7F26" w:rsidRPr="000331D2">
        <w:rPr>
          <w:rFonts w:cs="Arial"/>
          <w:sz w:val="24"/>
          <w:lang w:val="es-ES_tradnl"/>
        </w:rPr>
        <w:t xml:space="preserve"> (</w:t>
      </w:r>
      <w:r w:rsidR="00E17860" w:rsidRPr="000331D2">
        <w:rPr>
          <w:rFonts w:cs="Arial"/>
          <w:sz w:val="24"/>
          <w:lang w:val="es-ES_tradnl"/>
        </w:rPr>
        <w:t>12,42</w:t>
      </w:r>
      <w:r w:rsidR="002F7F26" w:rsidRPr="000331D2">
        <w:rPr>
          <w:rFonts w:cs="Arial"/>
          <w:sz w:val="24"/>
          <w:lang w:val="es-ES_tradnl"/>
        </w:rPr>
        <w:t>%) y JET A1 (</w:t>
      </w:r>
      <w:r w:rsidR="00E17860" w:rsidRPr="000331D2">
        <w:rPr>
          <w:rFonts w:cs="Arial"/>
          <w:sz w:val="24"/>
          <w:lang w:val="es-ES_tradnl"/>
        </w:rPr>
        <w:t>8,28</w:t>
      </w:r>
      <w:r w:rsidR="002F7F26" w:rsidRPr="000331D2">
        <w:rPr>
          <w:rFonts w:cs="Arial"/>
          <w:sz w:val="24"/>
          <w:lang w:val="es-ES_tradnl"/>
        </w:rPr>
        <w:t>%).</w:t>
      </w:r>
    </w:p>
    <w:p w:rsidR="0083557B" w:rsidRPr="004859E4" w:rsidRDefault="0083557B" w:rsidP="00702783">
      <w:pPr>
        <w:contextualSpacing/>
        <w:rPr>
          <w:lang w:val="es-CO"/>
        </w:rPr>
      </w:pPr>
      <w:r w:rsidRPr="004859E4">
        <w:rPr>
          <w:noProof/>
          <w:lang w:val="es-CO" w:eastAsia="es-CO"/>
        </w:rPr>
        <w:drawing>
          <wp:inline distT="0" distB="0" distL="0" distR="0" wp14:anchorId="1B4BCFF9" wp14:editId="46763BE1">
            <wp:extent cx="5486400" cy="2326944"/>
            <wp:effectExtent l="0" t="0" r="19050" b="16510"/>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3557B" w:rsidRDefault="0083557B" w:rsidP="0083557B">
      <w:pPr>
        <w:ind w:left="193"/>
        <w:contextualSpacing/>
        <w:rPr>
          <w:rFonts w:cs="Arial"/>
          <w:sz w:val="16"/>
        </w:rPr>
      </w:pPr>
      <w:r w:rsidRPr="004859E4">
        <w:rPr>
          <w:rFonts w:cs="Arial"/>
          <w:sz w:val="16"/>
        </w:rPr>
        <w:t>Fuente: Cálculos CREG. Datos Cenit.</w:t>
      </w:r>
    </w:p>
    <w:p w:rsidR="00BC557B" w:rsidRDefault="00BC557B" w:rsidP="006E0B4E">
      <w:pPr>
        <w:pStyle w:val="Epgrafe"/>
        <w:spacing w:before="0" w:after="0"/>
      </w:pPr>
      <w:bookmarkStart w:id="1148" w:name="_Toc437512878"/>
      <w:r>
        <w:t xml:space="preserve">Gráfica </w:t>
      </w:r>
      <w:r>
        <w:fldChar w:fldCharType="begin"/>
      </w:r>
      <w:r>
        <w:instrText xml:space="preserve"> SEQ Gráfica \* ARABIC </w:instrText>
      </w:r>
      <w:r>
        <w:fldChar w:fldCharType="separate"/>
      </w:r>
      <w:r w:rsidR="00625BEB">
        <w:rPr>
          <w:noProof/>
        </w:rPr>
        <w:t>41</w:t>
      </w:r>
      <w:r>
        <w:fldChar w:fldCharType="end"/>
      </w:r>
      <w:r>
        <w:t xml:space="preserve"> </w:t>
      </w:r>
      <w:r w:rsidRPr="007317A1">
        <w:t xml:space="preserve">Cantidad transportada Medellín </w:t>
      </w:r>
      <w:r w:rsidR="006E0B4E">
        <w:t>–</w:t>
      </w:r>
      <w:r w:rsidRPr="007317A1">
        <w:t xml:space="preserve"> Cartago</w:t>
      </w:r>
      <w:bookmarkEnd w:id="1148"/>
    </w:p>
    <w:p w:rsidR="0027325C" w:rsidRDefault="0027325C" w:rsidP="0027325C">
      <w:bookmarkStart w:id="1149" w:name="_Toc427336571"/>
      <w:bookmarkStart w:id="1150" w:name="_Toc427681863"/>
      <w:bookmarkStart w:id="1151" w:name="_Toc433276793"/>
      <w:bookmarkStart w:id="1152" w:name="_Toc433295775"/>
      <w:bookmarkStart w:id="1153" w:name="_Toc433296500"/>
      <w:bookmarkStart w:id="1154" w:name="_Toc437500929"/>
      <w:bookmarkStart w:id="1155" w:name="_Toc437501588"/>
      <w:bookmarkStart w:id="1156" w:name="_Toc437501768"/>
      <w:bookmarkStart w:id="1157" w:name="_Toc437501858"/>
      <w:bookmarkStart w:id="1158" w:name="_Toc437502621"/>
      <w:bookmarkStart w:id="1159" w:name="_Toc437505981"/>
    </w:p>
    <w:p w:rsidR="0083557B" w:rsidRDefault="0083557B" w:rsidP="00391FB3">
      <w:pPr>
        <w:pStyle w:val="Ttulo2"/>
        <w:rPr>
          <w:sz w:val="24"/>
          <w:szCs w:val="24"/>
        </w:rPr>
      </w:pPr>
      <w:bookmarkStart w:id="1160" w:name="_Toc437512794"/>
      <w:r w:rsidRPr="000331D2">
        <w:rPr>
          <w:sz w:val="24"/>
          <w:szCs w:val="24"/>
        </w:rPr>
        <w:t>Sebastopol – Tocancipá</w:t>
      </w:r>
      <w:bookmarkEnd w:id="1149"/>
      <w:bookmarkEnd w:id="1150"/>
      <w:bookmarkEnd w:id="1151"/>
      <w:bookmarkEnd w:id="1152"/>
      <w:bookmarkEnd w:id="1153"/>
      <w:bookmarkEnd w:id="1154"/>
      <w:bookmarkEnd w:id="1155"/>
      <w:bookmarkEnd w:id="1156"/>
      <w:bookmarkEnd w:id="1157"/>
      <w:bookmarkEnd w:id="1158"/>
      <w:bookmarkEnd w:id="1159"/>
      <w:bookmarkEnd w:id="1160"/>
    </w:p>
    <w:p w:rsidR="0027325C" w:rsidRPr="0027325C" w:rsidRDefault="0027325C" w:rsidP="0027325C"/>
    <w:p w:rsidR="0083557B" w:rsidRDefault="00AA6CA3" w:rsidP="00AA6CA3">
      <w:pPr>
        <w:rPr>
          <w:rFonts w:cs="Arial"/>
          <w:sz w:val="24"/>
          <w:lang w:val="es-ES_tradnl"/>
        </w:rPr>
      </w:pPr>
      <w:r w:rsidRPr="000331D2">
        <w:rPr>
          <w:rFonts w:cs="Arial"/>
          <w:sz w:val="24"/>
          <w:lang w:val="es-CO"/>
        </w:rPr>
        <w:t>El tramo Sebastopol – Tocancipá cuent</w:t>
      </w:r>
      <w:r w:rsidR="009241D4" w:rsidRPr="000331D2">
        <w:rPr>
          <w:rFonts w:cs="Arial"/>
          <w:sz w:val="24"/>
          <w:lang w:val="es-CO"/>
        </w:rPr>
        <w:t xml:space="preserve">a con una capacidad nominal de </w:t>
      </w:r>
      <w:r w:rsidRPr="000331D2">
        <w:rPr>
          <w:rFonts w:cs="Arial"/>
          <w:sz w:val="24"/>
          <w:lang w:val="es-CO"/>
        </w:rPr>
        <w:t xml:space="preserve">transporte de 100 kbd. </w:t>
      </w:r>
      <w:r w:rsidR="00184854" w:rsidRPr="000331D2">
        <w:rPr>
          <w:rFonts w:cs="Arial"/>
          <w:sz w:val="24"/>
          <w:lang w:val="es-CO"/>
        </w:rPr>
        <w:t xml:space="preserve">Durante </w:t>
      </w:r>
      <w:r w:rsidRPr="000331D2">
        <w:rPr>
          <w:rFonts w:cs="Arial"/>
          <w:sz w:val="24"/>
          <w:lang w:val="es-CO"/>
        </w:rPr>
        <w:t>el periodo que cubre abril de 2013 a abril de 2015, se transportaron en promedio 48</w:t>
      </w:r>
      <w:r w:rsidR="00184854" w:rsidRPr="000331D2">
        <w:rPr>
          <w:rFonts w:cs="Arial"/>
          <w:sz w:val="24"/>
          <w:lang w:val="es-CO"/>
        </w:rPr>
        <w:t xml:space="preserve"> kbd, p</w:t>
      </w:r>
      <w:r w:rsidRPr="000331D2">
        <w:rPr>
          <w:rFonts w:cs="Arial"/>
          <w:sz w:val="24"/>
          <w:lang w:val="es-CO"/>
        </w:rPr>
        <w:t xml:space="preserve">ara un </w:t>
      </w:r>
      <w:r w:rsidR="00184854" w:rsidRPr="000331D2">
        <w:rPr>
          <w:rFonts w:cs="Arial"/>
          <w:sz w:val="24"/>
          <w:lang w:val="es-CO"/>
        </w:rPr>
        <w:t xml:space="preserve">porcentaje de utilización </w:t>
      </w:r>
      <w:r w:rsidRPr="000331D2">
        <w:rPr>
          <w:rFonts w:cs="Arial"/>
          <w:sz w:val="24"/>
          <w:lang w:val="es-CO"/>
        </w:rPr>
        <w:t xml:space="preserve">promedio </w:t>
      </w:r>
      <w:r w:rsidR="00741ACD" w:rsidRPr="000331D2">
        <w:rPr>
          <w:rFonts w:cs="Arial"/>
          <w:sz w:val="24"/>
          <w:lang w:val="es-CO"/>
        </w:rPr>
        <w:t>de 48,06</w:t>
      </w:r>
      <w:r w:rsidRPr="000331D2">
        <w:rPr>
          <w:rFonts w:cs="Arial"/>
          <w:sz w:val="24"/>
          <w:lang w:val="es-CO"/>
        </w:rPr>
        <w:t>%. Este tramo ha sido utilizado principalmente para transportar Nafta (98</w:t>
      </w:r>
      <w:r w:rsidR="00F6759C" w:rsidRPr="000331D2">
        <w:rPr>
          <w:rFonts w:cs="Arial"/>
          <w:sz w:val="24"/>
          <w:lang w:val="es-CO"/>
        </w:rPr>
        <w:t xml:space="preserve">,48%) y la </w:t>
      </w:r>
      <w:r w:rsidR="00F6759C" w:rsidRPr="000331D2">
        <w:rPr>
          <w:rFonts w:cs="Arial"/>
          <w:sz w:val="24"/>
          <w:lang w:val="es-ES_tradnl"/>
        </w:rPr>
        <w:t xml:space="preserve">volatilidad mensual de la cantidad transportada </w:t>
      </w:r>
      <w:r w:rsidR="00741ACD" w:rsidRPr="000331D2">
        <w:rPr>
          <w:rFonts w:cs="Arial"/>
          <w:sz w:val="24"/>
          <w:lang w:val="es-ES_tradnl"/>
        </w:rPr>
        <w:t>ha sido de 3</w:t>
      </w:r>
      <w:r w:rsidR="00F6759C" w:rsidRPr="000331D2">
        <w:rPr>
          <w:rFonts w:cs="Arial"/>
          <w:sz w:val="24"/>
          <w:lang w:val="es-ES_tradnl"/>
        </w:rPr>
        <w:t>%.</w:t>
      </w:r>
    </w:p>
    <w:p w:rsidR="0027325C" w:rsidRPr="000331D2" w:rsidRDefault="0027325C" w:rsidP="00AA6CA3">
      <w:pPr>
        <w:rPr>
          <w:rFonts w:cs="Arial"/>
          <w:sz w:val="24"/>
          <w:lang w:val="es-CO"/>
        </w:rPr>
      </w:pPr>
    </w:p>
    <w:p w:rsidR="00AA6CA3" w:rsidRPr="000331D2" w:rsidRDefault="00AA6CA3" w:rsidP="00AA6CA3">
      <w:pPr>
        <w:rPr>
          <w:sz w:val="24"/>
          <w:lang w:val="es-CO"/>
        </w:rPr>
      </w:pPr>
    </w:p>
    <w:p w:rsidR="0083557B" w:rsidRPr="004859E4" w:rsidRDefault="0083557B" w:rsidP="0083557B">
      <w:pPr>
        <w:pStyle w:val="Ttulo"/>
        <w:rPr>
          <w:lang w:val="es-CO"/>
        </w:rPr>
      </w:pPr>
      <w:r w:rsidRPr="004859E4">
        <w:rPr>
          <w:noProof/>
          <w:lang w:val="es-CO" w:eastAsia="es-CO"/>
        </w:rPr>
        <w:drawing>
          <wp:inline distT="0" distB="0" distL="0" distR="0" wp14:anchorId="40E3F7F6" wp14:editId="04AC6E50">
            <wp:extent cx="5984543" cy="2954741"/>
            <wp:effectExtent l="0" t="0" r="16510" b="1714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3557B" w:rsidRDefault="0083557B" w:rsidP="0083557B">
      <w:pPr>
        <w:ind w:left="193"/>
        <w:contextualSpacing/>
        <w:rPr>
          <w:rFonts w:cs="Arial"/>
          <w:sz w:val="16"/>
        </w:rPr>
      </w:pPr>
      <w:r w:rsidRPr="004859E4">
        <w:rPr>
          <w:rFonts w:cs="Arial"/>
          <w:sz w:val="16"/>
        </w:rPr>
        <w:t>Fuente: Cálculos CREG. Datos Cenit.</w:t>
      </w:r>
    </w:p>
    <w:p w:rsidR="00BC557B" w:rsidRDefault="00BC557B" w:rsidP="00BC557B">
      <w:pPr>
        <w:pStyle w:val="Epgrafe"/>
      </w:pPr>
      <w:bookmarkStart w:id="1161" w:name="_Toc437512879"/>
      <w:r>
        <w:t xml:space="preserve">Gráfica </w:t>
      </w:r>
      <w:r>
        <w:fldChar w:fldCharType="begin"/>
      </w:r>
      <w:r>
        <w:instrText xml:space="preserve"> SEQ Gráfica \* ARABIC </w:instrText>
      </w:r>
      <w:r>
        <w:fldChar w:fldCharType="separate"/>
      </w:r>
      <w:r w:rsidR="00625BEB">
        <w:rPr>
          <w:noProof/>
        </w:rPr>
        <w:t>42</w:t>
      </w:r>
      <w:r>
        <w:fldChar w:fldCharType="end"/>
      </w:r>
      <w:r>
        <w:t xml:space="preserve"> </w:t>
      </w:r>
      <w:r w:rsidRPr="00D05363">
        <w:t>Cantidad transportada Sebastopol – Tocancipá.</w:t>
      </w:r>
      <w:bookmarkEnd w:id="1161"/>
    </w:p>
    <w:p w:rsidR="0027325C" w:rsidRPr="0027325C" w:rsidRDefault="0027325C" w:rsidP="0027325C"/>
    <w:p w:rsidR="0083557B" w:rsidRDefault="0083557B" w:rsidP="00391FB3">
      <w:pPr>
        <w:pStyle w:val="Ttulo2"/>
        <w:rPr>
          <w:sz w:val="24"/>
          <w:szCs w:val="24"/>
        </w:rPr>
      </w:pPr>
      <w:bookmarkStart w:id="1162" w:name="_Toc427336572"/>
      <w:bookmarkStart w:id="1163" w:name="_Toc427681864"/>
      <w:bookmarkStart w:id="1164" w:name="_Toc433276794"/>
      <w:bookmarkStart w:id="1165" w:name="_Toc433295776"/>
      <w:bookmarkStart w:id="1166" w:name="_Toc433296501"/>
      <w:bookmarkStart w:id="1167" w:name="_Toc437500930"/>
      <w:bookmarkStart w:id="1168" w:name="_Toc437501589"/>
      <w:bookmarkStart w:id="1169" w:name="_Toc437501769"/>
      <w:bookmarkStart w:id="1170" w:name="_Toc437501859"/>
      <w:bookmarkStart w:id="1171" w:name="_Toc437502622"/>
      <w:bookmarkStart w:id="1172" w:name="_Toc437505982"/>
      <w:bookmarkStart w:id="1173" w:name="_Toc437512795"/>
      <w:r w:rsidRPr="000331D2">
        <w:rPr>
          <w:sz w:val="24"/>
          <w:szCs w:val="24"/>
        </w:rPr>
        <w:t xml:space="preserve">Sutamarchán </w:t>
      </w:r>
      <w:r w:rsidR="0027325C">
        <w:rPr>
          <w:sz w:val="24"/>
          <w:szCs w:val="24"/>
        </w:rPr>
        <w:t>–</w:t>
      </w:r>
      <w:r w:rsidRPr="000331D2">
        <w:rPr>
          <w:sz w:val="24"/>
          <w:szCs w:val="24"/>
        </w:rPr>
        <w:t xml:space="preserve"> Apiay</w:t>
      </w:r>
      <w:bookmarkEnd w:id="1162"/>
      <w:bookmarkEnd w:id="1163"/>
      <w:bookmarkEnd w:id="1164"/>
      <w:bookmarkEnd w:id="1165"/>
      <w:bookmarkEnd w:id="1166"/>
      <w:bookmarkEnd w:id="1167"/>
      <w:bookmarkEnd w:id="1168"/>
      <w:bookmarkEnd w:id="1169"/>
      <w:bookmarkEnd w:id="1170"/>
      <w:bookmarkEnd w:id="1171"/>
      <w:bookmarkEnd w:id="1172"/>
      <w:bookmarkEnd w:id="1173"/>
    </w:p>
    <w:p w:rsidR="0027325C" w:rsidRPr="0027325C" w:rsidRDefault="0027325C" w:rsidP="0027325C"/>
    <w:p w:rsidR="0083557B" w:rsidRDefault="00F6759C" w:rsidP="0083557B">
      <w:pPr>
        <w:rPr>
          <w:rFonts w:cs="Arial"/>
          <w:sz w:val="24"/>
          <w:lang w:val="es-ES_tradnl"/>
        </w:rPr>
      </w:pPr>
      <w:r w:rsidRPr="000331D2">
        <w:rPr>
          <w:rFonts w:cs="Arial"/>
          <w:sz w:val="24"/>
          <w:lang w:val="es-CO"/>
        </w:rPr>
        <w:t xml:space="preserve">El tramo Sutamarchán – Apiay se utiliza totalmente para el transporte de Nafta que es utilizada para diluir crudos pesados en Apiay. Cuenta con una capacidad nominal de  transporte de 100 kbd. Para el periodo que cubre abril de 2013 a abril de 2015, se transportaron en promedio 46,51 kbd, para un porcentaje de utilización  promedio de 48,06%. La </w:t>
      </w:r>
      <w:r w:rsidRPr="000331D2">
        <w:rPr>
          <w:rFonts w:cs="Arial"/>
          <w:sz w:val="24"/>
          <w:lang w:val="es-ES_tradnl"/>
        </w:rPr>
        <w:t>volatilidad mensual de la cantidad transpor</w:t>
      </w:r>
      <w:r w:rsidR="00741ACD" w:rsidRPr="000331D2">
        <w:rPr>
          <w:rFonts w:cs="Arial"/>
          <w:sz w:val="24"/>
          <w:lang w:val="es-ES_tradnl"/>
        </w:rPr>
        <w:t>tada ha sido de 3,1</w:t>
      </w:r>
      <w:r w:rsidRPr="000331D2">
        <w:rPr>
          <w:rFonts w:cs="Arial"/>
          <w:sz w:val="24"/>
          <w:lang w:val="es-ES_tradnl"/>
        </w:rPr>
        <w:t>%.</w:t>
      </w:r>
    </w:p>
    <w:p w:rsidR="0083557B" w:rsidRPr="004859E4" w:rsidRDefault="0083557B" w:rsidP="0083557B">
      <w:pPr>
        <w:pStyle w:val="Ttulo"/>
        <w:rPr>
          <w:lang w:val="es-CO"/>
        </w:rPr>
      </w:pPr>
      <w:r w:rsidRPr="004859E4">
        <w:rPr>
          <w:noProof/>
          <w:lang w:val="es-CO" w:eastAsia="es-CO"/>
        </w:rPr>
        <w:lastRenderedPageBreak/>
        <w:drawing>
          <wp:inline distT="0" distB="0" distL="0" distR="0" wp14:anchorId="6610B3A6" wp14:editId="29C8D72D">
            <wp:extent cx="6005015" cy="2988859"/>
            <wp:effectExtent l="0" t="0" r="15240" b="2159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3557B" w:rsidRDefault="0083557B" w:rsidP="0083557B">
      <w:pPr>
        <w:ind w:left="193"/>
        <w:contextualSpacing/>
        <w:rPr>
          <w:rFonts w:cs="Arial"/>
          <w:sz w:val="16"/>
        </w:rPr>
      </w:pPr>
      <w:r w:rsidRPr="004859E4">
        <w:rPr>
          <w:rFonts w:cs="Arial"/>
          <w:sz w:val="16"/>
        </w:rPr>
        <w:t>Fuente: Cálculos CREG. Datos Cenit.</w:t>
      </w:r>
    </w:p>
    <w:p w:rsidR="00963451" w:rsidRDefault="00963451" w:rsidP="00963451">
      <w:pPr>
        <w:pStyle w:val="Epgrafe"/>
      </w:pPr>
      <w:bookmarkStart w:id="1174" w:name="_Toc437512880"/>
      <w:r>
        <w:t xml:space="preserve">Gráfica </w:t>
      </w:r>
      <w:r>
        <w:fldChar w:fldCharType="begin"/>
      </w:r>
      <w:r>
        <w:instrText xml:space="preserve"> SEQ Gráfica \* ARABIC </w:instrText>
      </w:r>
      <w:r>
        <w:fldChar w:fldCharType="separate"/>
      </w:r>
      <w:r w:rsidR="00625BEB">
        <w:rPr>
          <w:noProof/>
        </w:rPr>
        <w:t>43</w:t>
      </w:r>
      <w:r>
        <w:fldChar w:fldCharType="end"/>
      </w:r>
      <w:r>
        <w:t xml:space="preserve"> </w:t>
      </w:r>
      <w:r w:rsidRPr="006730BD">
        <w:t xml:space="preserve">Cantidad transportada Sutamarchán </w:t>
      </w:r>
      <w:r w:rsidR="006E0B4E">
        <w:t>–</w:t>
      </w:r>
      <w:r w:rsidRPr="006730BD">
        <w:t xml:space="preserve"> Apiay</w:t>
      </w:r>
      <w:bookmarkEnd w:id="1174"/>
    </w:p>
    <w:p w:rsidR="00C84D46" w:rsidRPr="00C84D46" w:rsidRDefault="00C84D46" w:rsidP="00C84D46"/>
    <w:p w:rsidR="0083557B" w:rsidRPr="000331D2" w:rsidRDefault="0083557B" w:rsidP="006E0B4E">
      <w:pPr>
        <w:pStyle w:val="Ttulo2"/>
        <w:spacing w:before="0"/>
        <w:rPr>
          <w:sz w:val="24"/>
          <w:szCs w:val="24"/>
        </w:rPr>
      </w:pPr>
      <w:bookmarkStart w:id="1175" w:name="_Toc427336573"/>
      <w:bookmarkStart w:id="1176" w:name="_Toc427681865"/>
      <w:bookmarkStart w:id="1177" w:name="_Toc433276795"/>
      <w:bookmarkStart w:id="1178" w:name="_Toc433295777"/>
      <w:bookmarkStart w:id="1179" w:name="_Toc433296502"/>
      <w:bookmarkStart w:id="1180" w:name="_Toc437500931"/>
      <w:bookmarkStart w:id="1181" w:name="_Toc437501590"/>
      <w:bookmarkStart w:id="1182" w:name="_Toc437501770"/>
      <w:bookmarkStart w:id="1183" w:name="_Toc437501860"/>
      <w:bookmarkStart w:id="1184" w:name="_Toc437502623"/>
      <w:bookmarkStart w:id="1185" w:name="_Toc437505983"/>
      <w:bookmarkStart w:id="1186" w:name="_Toc437512796"/>
      <w:r w:rsidRPr="000331D2">
        <w:rPr>
          <w:sz w:val="24"/>
          <w:szCs w:val="24"/>
          <w:lang w:val="es-CO"/>
        </w:rPr>
        <w:t xml:space="preserve">Puerto </w:t>
      </w:r>
      <w:r w:rsidRPr="000331D2">
        <w:rPr>
          <w:sz w:val="24"/>
          <w:szCs w:val="24"/>
        </w:rPr>
        <w:t>Salgar - Cartago</w:t>
      </w:r>
      <w:bookmarkEnd w:id="1175"/>
      <w:bookmarkEnd w:id="1176"/>
      <w:bookmarkEnd w:id="1177"/>
      <w:bookmarkEnd w:id="1178"/>
      <w:bookmarkEnd w:id="1179"/>
      <w:bookmarkEnd w:id="1180"/>
      <w:bookmarkEnd w:id="1181"/>
      <w:bookmarkEnd w:id="1182"/>
      <w:bookmarkEnd w:id="1183"/>
      <w:bookmarkEnd w:id="1184"/>
      <w:bookmarkEnd w:id="1185"/>
      <w:bookmarkEnd w:id="1186"/>
    </w:p>
    <w:p w:rsidR="00431378" w:rsidRDefault="00431378" w:rsidP="00431378">
      <w:pPr>
        <w:contextualSpacing/>
        <w:rPr>
          <w:rFonts w:cs="Arial"/>
          <w:sz w:val="24"/>
          <w:lang w:val="es-ES_tradnl"/>
        </w:rPr>
      </w:pPr>
      <w:r w:rsidRPr="000331D2">
        <w:rPr>
          <w:rFonts w:cs="Arial"/>
          <w:sz w:val="24"/>
          <w:lang w:val="es-CO"/>
        </w:rPr>
        <w:t xml:space="preserve">El tramo Puerto Salgar – Cartago cuenta con una capacidad nominal de  transporte de 26,3 kbd. Para el periodo que cubre abril de 2013 a abril de 2015, se transportaron en promedio 16,35 kbd reportando un porcentaje de utilización promedio de 62,2% y una </w:t>
      </w:r>
      <w:r w:rsidRPr="000331D2">
        <w:rPr>
          <w:rFonts w:cs="Arial"/>
          <w:bCs/>
          <w:sz w:val="24"/>
        </w:rPr>
        <w:t>volatilidad mensual de la cantidad transportada de 1,1%</w:t>
      </w:r>
      <w:r w:rsidRPr="000331D2">
        <w:rPr>
          <w:rFonts w:cs="Arial"/>
          <w:sz w:val="24"/>
          <w:lang w:val="es-CO"/>
        </w:rPr>
        <w:t xml:space="preserve">. </w:t>
      </w:r>
      <w:r w:rsidRPr="000331D2">
        <w:rPr>
          <w:rFonts w:cs="Arial"/>
          <w:sz w:val="24"/>
          <w:lang w:val="es-ES_tradnl"/>
        </w:rPr>
        <w:t>Los productos que más se transportan por este tramo son: Gasolina Motor (46,12%)</w:t>
      </w:r>
      <w:r w:rsidR="00741ACD" w:rsidRPr="000331D2">
        <w:rPr>
          <w:rFonts w:cs="Arial"/>
          <w:sz w:val="24"/>
          <w:lang w:val="es-ES_tradnl"/>
        </w:rPr>
        <w:t>, B2 (25,76</w:t>
      </w:r>
      <w:r w:rsidRPr="000331D2">
        <w:rPr>
          <w:rFonts w:cs="Arial"/>
          <w:sz w:val="24"/>
          <w:lang w:val="es-ES_tradnl"/>
        </w:rPr>
        <w:t xml:space="preserve">%), </w:t>
      </w:r>
      <w:r w:rsidR="00741ACD" w:rsidRPr="000331D2">
        <w:rPr>
          <w:rFonts w:cs="Arial"/>
          <w:sz w:val="24"/>
          <w:lang w:val="es-ES_tradnl"/>
        </w:rPr>
        <w:t>GLP (15,21</w:t>
      </w:r>
      <w:r w:rsidR="00F60B80" w:rsidRPr="000331D2">
        <w:rPr>
          <w:rFonts w:cs="Arial"/>
          <w:sz w:val="24"/>
          <w:lang w:val="es-ES_tradnl"/>
        </w:rPr>
        <w:t xml:space="preserve">%) </w:t>
      </w:r>
      <w:r w:rsidRPr="000331D2">
        <w:rPr>
          <w:rFonts w:cs="Arial"/>
          <w:sz w:val="24"/>
          <w:lang w:val="es-ES_tradnl"/>
        </w:rPr>
        <w:t>y</w:t>
      </w:r>
      <w:r w:rsidR="00F60B80" w:rsidRPr="000331D2">
        <w:rPr>
          <w:rFonts w:cs="Arial"/>
          <w:sz w:val="24"/>
          <w:lang w:val="es-ES_tradnl"/>
        </w:rPr>
        <w:t xml:space="preserve"> B2E </w:t>
      </w:r>
      <w:r w:rsidRPr="000331D2">
        <w:rPr>
          <w:rFonts w:cs="Arial"/>
          <w:sz w:val="24"/>
          <w:lang w:val="es-ES_tradnl"/>
        </w:rPr>
        <w:t>(</w:t>
      </w:r>
      <w:r w:rsidR="00741ACD" w:rsidRPr="000331D2">
        <w:rPr>
          <w:rFonts w:cs="Arial"/>
          <w:sz w:val="24"/>
          <w:lang w:val="es-ES_tradnl"/>
        </w:rPr>
        <w:t>11,63</w:t>
      </w:r>
      <w:r w:rsidRPr="000331D2">
        <w:rPr>
          <w:rFonts w:cs="Arial"/>
          <w:sz w:val="24"/>
          <w:lang w:val="es-ES_tradnl"/>
        </w:rPr>
        <w:t>%).</w:t>
      </w:r>
    </w:p>
    <w:p w:rsidR="0027325C" w:rsidRPr="000331D2" w:rsidRDefault="0027325C" w:rsidP="00431378">
      <w:pPr>
        <w:contextualSpacing/>
        <w:rPr>
          <w:rFonts w:cs="Arial"/>
          <w:sz w:val="24"/>
          <w:lang w:val="es-ES_tradnl"/>
        </w:rPr>
      </w:pPr>
    </w:p>
    <w:p w:rsidR="0083557B" w:rsidRPr="004859E4" w:rsidRDefault="0083557B" w:rsidP="0083557B">
      <w:pPr>
        <w:pStyle w:val="Ttulo"/>
        <w:rPr>
          <w:lang w:val="es-CO"/>
        </w:rPr>
      </w:pPr>
      <w:r w:rsidRPr="004859E4">
        <w:rPr>
          <w:noProof/>
          <w:lang w:val="es-CO" w:eastAsia="es-CO"/>
        </w:rPr>
        <w:drawing>
          <wp:inline distT="0" distB="0" distL="0" distR="0" wp14:anchorId="18F39418" wp14:editId="53851FC7">
            <wp:extent cx="5929952" cy="3077570"/>
            <wp:effectExtent l="0" t="0" r="13970" b="2794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83557B" w:rsidRDefault="0083557B" w:rsidP="0083557B">
      <w:pPr>
        <w:ind w:left="193"/>
        <w:contextualSpacing/>
        <w:rPr>
          <w:rFonts w:cs="Arial"/>
          <w:sz w:val="16"/>
        </w:rPr>
      </w:pPr>
      <w:r w:rsidRPr="004859E4">
        <w:rPr>
          <w:rFonts w:cs="Arial"/>
          <w:sz w:val="16"/>
        </w:rPr>
        <w:t>Fuente: Cálculos CREG. Datos Cenit.</w:t>
      </w:r>
    </w:p>
    <w:p w:rsidR="00D54259" w:rsidRDefault="00D54259" w:rsidP="00D54259">
      <w:pPr>
        <w:pStyle w:val="Epgrafe"/>
      </w:pPr>
      <w:bookmarkStart w:id="1187" w:name="_Toc437512881"/>
      <w:r>
        <w:t xml:space="preserve">Gráfica </w:t>
      </w:r>
      <w:r>
        <w:fldChar w:fldCharType="begin"/>
      </w:r>
      <w:r>
        <w:instrText xml:space="preserve"> SEQ Gráfica \* ARABIC </w:instrText>
      </w:r>
      <w:r>
        <w:fldChar w:fldCharType="separate"/>
      </w:r>
      <w:r w:rsidR="00625BEB">
        <w:rPr>
          <w:noProof/>
        </w:rPr>
        <w:t>44</w:t>
      </w:r>
      <w:r>
        <w:fldChar w:fldCharType="end"/>
      </w:r>
      <w:r>
        <w:t xml:space="preserve"> </w:t>
      </w:r>
      <w:r w:rsidRPr="00C079BF">
        <w:t xml:space="preserve">Cantidad transportada Puerto Salgar </w:t>
      </w:r>
      <w:r w:rsidR="00BA3FB3">
        <w:t>–</w:t>
      </w:r>
      <w:r w:rsidRPr="00C079BF">
        <w:t xml:space="preserve"> Cartago</w:t>
      </w:r>
      <w:bookmarkEnd w:id="1187"/>
    </w:p>
    <w:p w:rsidR="00BA3FB3" w:rsidRPr="00BA3FB3" w:rsidRDefault="00BA3FB3" w:rsidP="00BA3FB3"/>
    <w:p w:rsidR="0083557B" w:rsidRPr="000331D2" w:rsidRDefault="0083557B" w:rsidP="00BA3FB3">
      <w:pPr>
        <w:pStyle w:val="Ttulo2"/>
        <w:spacing w:before="0"/>
        <w:rPr>
          <w:sz w:val="24"/>
          <w:szCs w:val="24"/>
        </w:rPr>
      </w:pPr>
      <w:bookmarkStart w:id="1188" w:name="_Toc433276796"/>
      <w:bookmarkStart w:id="1189" w:name="_Toc433295778"/>
      <w:bookmarkStart w:id="1190" w:name="_Toc433296503"/>
      <w:bookmarkStart w:id="1191" w:name="_Toc437500932"/>
      <w:bookmarkStart w:id="1192" w:name="_Toc437501591"/>
      <w:bookmarkStart w:id="1193" w:name="_Toc437501771"/>
      <w:bookmarkStart w:id="1194" w:name="_Toc437501861"/>
      <w:bookmarkStart w:id="1195" w:name="_Toc437502624"/>
      <w:bookmarkStart w:id="1196" w:name="_Toc437505984"/>
      <w:bookmarkStart w:id="1197" w:name="_Toc437512797"/>
      <w:r w:rsidRPr="000331D2">
        <w:rPr>
          <w:sz w:val="24"/>
          <w:szCs w:val="24"/>
        </w:rPr>
        <w:lastRenderedPageBreak/>
        <w:t>Cartago – Yumbo 10”</w:t>
      </w:r>
      <w:bookmarkEnd w:id="1188"/>
      <w:bookmarkEnd w:id="1189"/>
      <w:bookmarkEnd w:id="1190"/>
      <w:bookmarkEnd w:id="1191"/>
      <w:bookmarkEnd w:id="1192"/>
      <w:bookmarkEnd w:id="1193"/>
      <w:bookmarkEnd w:id="1194"/>
      <w:bookmarkEnd w:id="1195"/>
      <w:bookmarkEnd w:id="1196"/>
      <w:bookmarkEnd w:id="1197"/>
    </w:p>
    <w:p w:rsidR="00C84D46" w:rsidRDefault="00E65E93" w:rsidP="00E65E93">
      <w:pPr>
        <w:contextualSpacing/>
        <w:rPr>
          <w:rFonts w:cs="Arial"/>
          <w:bCs/>
          <w:sz w:val="24"/>
        </w:rPr>
      </w:pPr>
      <w:r w:rsidRPr="000331D2">
        <w:rPr>
          <w:rFonts w:cs="Arial"/>
          <w:bCs/>
          <w:sz w:val="24"/>
        </w:rPr>
        <w:t xml:space="preserve">Con respecto al poliducto Cartago – Yumbo de 12 pulgadas, la cantidad transportada promedio ha sido de 18,77 kbd con una volatilidad mensual de </w:t>
      </w:r>
      <w:r w:rsidR="00741ACD" w:rsidRPr="000331D2">
        <w:rPr>
          <w:rFonts w:cs="Arial"/>
          <w:bCs/>
          <w:sz w:val="24"/>
        </w:rPr>
        <w:t>1,94</w:t>
      </w:r>
      <w:r w:rsidRPr="000331D2">
        <w:rPr>
          <w:rFonts w:cs="Arial"/>
          <w:bCs/>
          <w:sz w:val="24"/>
        </w:rPr>
        <w:t>%. La capacidad nominal de este tramo es de 32 kbd y ha presentado u</w:t>
      </w:r>
      <w:r w:rsidR="00741ACD" w:rsidRPr="000331D2">
        <w:rPr>
          <w:rFonts w:cs="Arial"/>
          <w:bCs/>
          <w:sz w:val="24"/>
        </w:rPr>
        <w:t>n porcentaje de ocupación de 59</w:t>
      </w:r>
      <w:r w:rsidRPr="000331D2">
        <w:rPr>
          <w:rFonts w:cs="Arial"/>
          <w:bCs/>
          <w:sz w:val="24"/>
        </w:rPr>
        <w:t xml:space="preserve">%. </w:t>
      </w:r>
    </w:p>
    <w:p w:rsidR="00C84D46" w:rsidRDefault="00C84D46" w:rsidP="00E65E93">
      <w:pPr>
        <w:contextualSpacing/>
        <w:rPr>
          <w:rFonts w:cs="Arial"/>
          <w:bCs/>
          <w:sz w:val="24"/>
        </w:rPr>
      </w:pPr>
    </w:p>
    <w:p w:rsidR="00E65E93" w:rsidRPr="000331D2" w:rsidRDefault="00E65E93" w:rsidP="00E65E93">
      <w:pPr>
        <w:contextualSpacing/>
        <w:rPr>
          <w:rFonts w:cs="Arial"/>
          <w:sz w:val="24"/>
          <w:lang w:val="es-ES_tradnl"/>
        </w:rPr>
      </w:pPr>
      <w:r w:rsidRPr="000331D2">
        <w:rPr>
          <w:rFonts w:cs="Arial"/>
          <w:sz w:val="24"/>
          <w:lang w:val="es-ES_tradnl"/>
        </w:rPr>
        <w:t>Los productos que más se transportan por este tramo son: Gasolina Motor (</w:t>
      </w:r>
      <w:r w:rsidR="00897C58" w:rsidRPr="000331D2">
        <w:rPr>
          <w:rFonts w:cs="Arial"/>
          <w:sz w:val="24"/>
          <w:lang w:val="es-ES_tradnl"/>
        </w:rPr>
        <w:t>46.04</w:t>
      </w:r>
      <w:r w:rsidRPr="000331D2">
        <w:rPr>
          <w:rFonts w:cs="Arial"/>
          <w:sz w:val="24"/>
          <w:lang w:val="es-ES_tradnl"/>
        </w:rPr>
        <w:t>%), B2 (</w:t>
      </w:r>
      <w:r w:rsidR="00897C58" w:rsidRPr="000331D2">
        <w:rPr>
          <w:rFonts w:cs="Arial"/>
          <w:sz w:val="24"/>
          <w:lang w:val="es-ES_tradnl"/>
        </w:rPr>
        <w:t>28,07</w:t>
      </w:r>
      <w:r w:rsidRPr="000331D2">
        <w:rPr>
          <w:rFonts w:cs="Arial"/>
          <w:sz w:val="24"/>
          <w:lang w:val="es-ES_tradnl"/>
        </w:rPr>
        <w:t>%), B2</w:t>
      </w:r>
      <w:r w:rsidR="00897C58" w:rsidRPr="000331D2">
        <w:rPr>
          <w:rFonts w:cs="Arial"/>
          <w:sz w:val="24"/>
          <w:lang w:val="es-ES_tradnl"/>
        </w:rPr>
        <w:t>E</w:t>
      </w:r>
      <w:r w:rsidRPr="000331D2">
        <w:rPr>
          <w:rFonts w:cs="Arial"/>
          <w:sz w:val="24"/>
          <w:lang w:val="es-ES_tradnl"/>
        </w:rPr>
        <w:t xml:space="preserve"> (</w:t>
      </w:r>
      <w:r w:rsidR="00897C58" w:rsidRPr="000331D2">
        <w:rPr>
          <w:rFonts w:cs="Arial"/>
          <w:sz w:val="24"/>
          <w:lang w:val="es-ES_tradnl"/>
        </w:rPr>
        <w:t>11,43</w:t>
      </w:r>
      <w:r w:rsidRPr="000331D2">
        <w:rPr>
          <w:rFonts w:cs="Arial"/>
          <w:sz w:val="24"/>
          <w:lang w:val="es-ES_tradnl"/>
        </w:rPr>
        <w:t>%) y JET A1 (9,</w:t>
      </w:r>
      <w:r w:rsidR="00897C58" w:rsidRPr="000331D2">
        <w:rPr>
          <w:rFonts w:cs="Arial"/>
          <w:sz w:val="24"/>
          <w:lang w:val="es-ES_tradnl"/>
        </w:rPr>
        <w:t>49</w:t>
      </w:r>
      <w:r w:rsidRPr="000331D2">
        <w:rPr>
          <w:rFonts w:cs="Arial"/>
          <w:sz w:val="24"/>
          <w:lang w:val="es-ES_tradnl"/>
        </w:rPr>
        <w:t>%).</w:t>
      </w:r>
    </w:p>
    <w:p w:rsidR="0083557B" w:rsidRPr="000331D2" w:rsidRDefault="0083557B" w:rsidP="0083557B">
      <w:pPr>
        <w:pStyle w:val="Ttulo"/>
        <w:rPr>
          <w:sz w:val="24"/>
          <w:lang w:val="es-CO"/>
        </w:rPr>
      </w:pPr>
    </w:p>
    <w:p w:rsidR="0083557B" w:rsidRPr="004859E4" w:rsidRDefault="0083557B" w:rsidP="0083557B">
      <w:pPr>
        <w:pStyle w:val="Ttulo"/>
        <w:rPr>
          <w:lang w:val="es-CO"/>
        </w:rPr>
      </w:pPr>
      <w:r w:rsidRPr="004859E4">
        <w:rPr>
          <w:noProof/>
          <w:lang w:val="es-CO" w:eastAsia="es-CO"/>
        </w:rPr>
        <w:drawing>
          <wp:inline distT="0" distB="0" distL="0" distR="0" wp14:anchorId="352104F0" wp14:editId="4EC73764">
            <wp:extent cx="5895833" cy="3357349"/>
            <wp:effectExtent l="0" t="0" r="10160" b="14605"/>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83557B" w:rsidRDefault="0083557B" w:rsidP="0083557B">
      <w:pPr>
        <w:ind w:left="193"/>
        <w:contextualSpacing/>
        <w:rPr>
          <w:rFonts w:cs="Arial"/>
          <w:sz w:val="16"/>
        </w:rPr>
      </w:pPr>
      <w:r w:rsidRPr="004859E4">
        <w:rPr>
          <w:rFonts w:cs="Arial"/>
          <w:sz w:val="16"/>
        </w:rPr>
        <w:t>Fuente: Cálculos CREG. Datos Cenit.</w:t>
      </w:r>
    </w:p>
    <w:p w:rsidR="00D54259" w:rsidRDefault="00D54259" w:rsidP="00D54259">
      <w:pPr>
        <w:pStyle w:val="Epgrafe"/>
      </w:pPr>
      <w:bookmarkStart w:id="1198" w:name="_Toc437512882"/>
      <w:r>
        <w:t xml:space="preserve">Gráfica </w:t>
      </w:r>
      <w:r>
        <w:fldChar w:fldCharType="begin"/>
      </w:r>
      <w:r>
        <w:instrText xml:space="preserve"> SEQ Gráfica \* ARABIC </w:instrText>
      </w:r>
      <w:r>
        <w:fldChar w:fldCharType="separate"/>
      </w:r>
      <w:r w:rsidR="00625BEB">
        <w:rPr>
          <w:noProof/>
        </w:rPr>
        <w:t>45</w:t>
      </w:r>
      <w:r>
        <w:fldChar w:fldCharType="end"/>
      </w:r>
      <w:r>
        <w:t xml:space="preserve"> </w:t>
      </w:r>
      <w:r w:rsidRPr="00B048CF">
        <w:t>Cantidad transportada Cartago – Yumbo 10”</w:t>
      </w:r>
      <w:bookmarkEnd w:id="1198"/>
    </w:p>
    <w:p w:rsidR="00C84D46" w:rsidRDefault="00C84D46" w:rsidP="00C84D46"/>
    <w:p w:rsidR="00C84D46" w:rsidRPr="00C84D46" w:rsidRDefault="00C84D46" w:rsidP="00C84D46"/>
    <w:p w:rsidR="0083557B" w:rsidRPr="000331D2" w:rsidRDefault="0083557B" w:rsidP="00BA3FB3">
      <w:pPr>
        <w:pStyle w:val="Ttulo2"/>
        <w:spacing w:before="0"/>
        <w:rPr>
          <w:sz w:val="24"/>
          <w:szCs w:val="24"/>
        </w:rPr>
      </w:pPr>
      <w:bookmarkStart w:id="1199" w:name="_Toc427336574"/>
      <w:bookmarkStart w:id="1200" w:name="_Toc427681866"/>
      <w:bookmarkStart w:id="1201" w:name="_Toc433276797"/>
      <w:bookmarkStart w:id="1202" w:name="_Toc433295779"/>
      <w:bookmarkStart w:id="1203" w:name="_Toc433296504"/>
      <w:bookmarkStart w:id="1204" w:name="_Toc437500933"/>
      <w:bookmarkStart w:id="1205" w:name="_Toc437501592"/>
      <w:bookmarkStart w:id="1206" w:name="_Toc437501772"/>
      <w:bookmarkStart w:id="1207" w:name="_Toc437501862"/>
      <w:bookmarkStart w:id="1208" w:name="_Toc437502625"/>
      <w:bookmarkStart w:id="1209" w:name="_Toc437505985"/>
      <w:bookmarkStart w:id="1210" w:name="_Toc437512798"/>
      <w:r w:rsidRPr="000331D2">
        <w:rPr>
          <w:sz w:val="24"/>
          <w:szCs w:val="24"/>
        </w:rPr>
        <w:t>Cartago – Yumbo 6”</w:t>
      </w:r>
      <w:bookmarkEnd w:id="1199"/>
      <w:bookmarkEnd w:id="1200"/>
      <w:bookmarkEnd w:id="1201"/>
      <w:bookmarkEnd w:id="1202"/>
      <w:bookmarkEnd w:id="1203"/>
      <w:bookmarkEnd w:id="1204"/>
      <w:bookmarkEnd w:id="1205"/>
      <w:bookmarkEnd w:id="1206"/>
      <w:bookmarkEnd w:id="1207"/>
      <w:bookmarkEnd w:id="1208"/>
      <w:bookmarkEnd w:id="1209"/>
      <w:bookmarkEnd w:id="1210"/>
    </w:p>
    <w:p w:rsidR="00C84D46" w:rsidRDefault="00C84D46" w:rsidP="00364DBD">
      <w:pPr>
        <w:contextualSpacing/>
        <w:rPr>
          <w:rFonts w:cs="Arial"/>
          <w:bCs/>
          <w:sz w:val="24"/>
        </w:rPr>
      </w:pPr>
    </w:p>
    <w:p w:rsidR="00C84D46" w:rsidRDefault="00364DBD" w:rsidP="00364DBD">
      <w:pPr>
        <w:contextualSpacing/>
        <w:rPr>
          <w:rFonts w:cs="Arial"/>
          <w:bCs/>
          <w:sz w:val="24"/>
        </w:rPr>
      </w:pPr>
      <w:r w:rsidRPr="000331D2">
        <w:rPr>
          <w:rFonts w:cs="Arial"/>
          <w:bCs/>
          <w:sz w:val="24"/>
        </w:rPr>
        <w:t xml:space="preserve">El poliducto Cartago – Yumbo de </w:t>
      </w:r>
      <w:r w:rsidR="001F244E" w:rsidRPr="000331D2">
        <w:rPr>
          <w:rFonts w:cs="Arial"/>
          <w:bCs/>
          <w:sz w:val="24"/>
        </w:rPr>
        <w:t>6</w:t>
      </w:r>
      <w:r w:rsidRPr="000331D2">
        <w:rPr>
          <w:rFonts w:cs="Arial"/>
          <w:bCs/>
          <w:sz w:val="24"/>
        </w:rPr>
        <w:t xml:space="preserve"> pulgadas, la cantidad transportada promedio ha sido de </w:t>
      </w:r>
      <w:r w:rsidR="001F244E" w:rsidRPr="000331D2">
        <w:rPr>
          <w:rFonts w:cs="Arial"/>
          <w:bCs/>
          <w:sz w:val="24"/>
        </w:rPr>
        <w:t xml:space="preserve">5,89 </w:t>
      </w:r>
      <w:r w:rsidRPr="000331D2">
        <w:rPr>
          <w:rFonts w:cs="Arial"/>
          <w:bCs/>
          <w:sz w:val="24"/>
        </w:rPr>
        <w:t xml:space="preserve">kbd con una volatilidad mensual de </w:t>
      </w:r>
      <w:r w:rsidR="001F244E" w:rsidRPr="000331D2">
        <w:rPr>
          <w:rFonts w:cs="Arial"/>
          <w:bCs/>
          <w:sz w:val="24"/>
        </w:rPr>
        <w:t>2,4</w:t>
      </w:r>
      <w:r w:rsidRPr="000331D2">
        <w:rPr>
          <w:rFonts w:cs="Arial"/>
          <w:bCs/>
          <w:sz w:val="24"/>
        </w:rPr>
        <w:t xml:space="preserve">%. </w:t>
      </w:r>
    </w:p>
    <w:p w:rsidR="00C84D46" w:rsidRDefault="00C84D46" w:rsidP="00364DBD">
      <w:pPr>
        <w:contextualSpacing/>
        <w:rPr>
          <w:rFonts w:cs="Arial"/>
          <w:bCs/>
          <w:sz w:val="24"/>
        </w:rPr>
      </w:pPr>
    </w:p>
    <w:p w:rsidR="00364DBD" w:rsidRPr="000331D2" w:rsidRDefault="00364DBD" w:rsidP="00364DBD">
      <w:pPr>
        <w:contextualSpacing/>
        <w:rPr>
          <w:rFonts w:cs="Arial"/>
          <w:sz w:val="24"/>
          <w:lang w:val="es-ES_tradnl"/>
        </w:rPr>
      </w:pPr>
      <w:r w:rsidRPr="000331D2">
        <w:rPr>
          <w:rFonts w:cs="Arial"/>
          <w:bCs/>
          <w:sz w:val="24"/>
        </w:rPr>
        <w:t xml:space="preserve">La capacidad nominal de este tramo es de </w:t>
      </w:r>
      <w:r w:rsidR="001F244E" w:rsidRPr="000331D2">
        <w:rPr>
          <w:rFonts w:cs="Arial"/>
          <w:bCs/>
          <w:sz w:val="24"/>
        </w:rPr>
        <w:t>13</w:t>
      </w:r>
      <w:r w:rsidRPr="000331D2">
        <w:rPr>
          <w:rFonts w:cs="Arial"/>
          <w:bCs/>
          <w:sz w:val="24"/>
        </w:rPr>
        <w:t xml:space="preserve"> kbd y ha presentado un porcentaje de ocupación de</w:t>
      </w:r>
      <w:r w:rsidR="001F244E" w:rsidRPr="000331D2">
        <w:rPr>
          <w:rFonts w:cs="Arial"/>
          <w:bCs/>
          <w:sz w:val="24"/>
        </w:rPr>
        <w:t xml:space="preserve"> 45,3</w:t>
      </w:r>
      <w:r w:rsidRPr="000331D2">
        <w:rPr>
          <w:rFonts w:cs="Arial"/>
          <w:bCs/>
          <w:sz w:val="24"/>
        </w:rPr>
        <w:t xml:space="preserve">%. </w:t>
      </w:r>
      <w:r w:rsidRPr="000331D2">
        <w:rPr>
          <w:rFonts w:cs="Arial"/>
          <w:sz w:val="24"/>
          <w:lang w:val="es-ES_tradnl"/>
        </w:rPr>
        <w:t>Los productos que más se transportan por este tramo son: Gasolina Motor (</w:t>
      </w:r>
      <w:r w:rsidR="001F244E" w:rsidRPr="000331D2">
        <w:rPr>
          <w:rFonts w:cs="Arial"/>
          <w:sz w:val="24"/>
          <w:lang w:val="es-ES_tradnl"/>
        </w:rPr>
        <w:t>49,17</w:t>
      </w:r>
      <w:r w:rsidRPr="000331D2">
        <w:rPr>
          <w:rFonts w:cs="Arial"/>
          <w:sz w:val="24"/>
          <w:lang w:val="es-ES_tradnl"/>
        </w:rPr>
        <w:t xml:space="preserve">%), </w:t>
      </w:r>
      <w:r w:rsidR="001F244E" w:rsidRPr="000331D2">
        <w:rPr>
          <w:rFonts w:cs="Arial"/>
          <w:sz w:val="24"/>
          <w:lang w:val="es-ES_tradnl"/>
        </w:rPr>
        <w:t>GLP</w:t>
      </w:r>
      <w:r w:rsidRPr="000331D2">
        <w:rPr>
          <w:rFonts w:cs="Arial"/>
          <w:sz w:val="24"/>
          <w:lang w:val="es-ES_tradnl"/>
        </w:rPr>
        <w:t xml:space="preserve"> (</w:t>
      </w:r>
      <w:r w:rsidR="001F244E" w:rsidRPr="000331D2">
        <w:rPr>
          <w:rFonts w:cs="Arial"/>
          <w:sz w:val="24"/>
          <w:lang w:val="es-ES_tradnl"/>
        </w:rPr>
        <w:t>26,97</w:t>
      </w:r>
      <w:r w:rsidRPr="000331D2">
        <w:rPr>
          <w:rFonts w:cs="Arial"/>
          <w:sz w:val="24"/>
          <w:lang w:val="es-ES_tradnl"/>
        </w:rPr>
        <w:t>%), B2 (</w:t>
      </w:r>
      <w:r w:rsidR="001F244E" w:rsidRPr="000331D2">
        <w:rPr>
          <w:rFonts w:cs="Arial"/>
          <w:sz w:val="24"/>
          <w:lang w:val="es-ES_tradnl"/>
        </w:rPr>
        <w:t>12,85</w:t>
      </w:r>
      <w:r w:rsidRPr="000331D2">
        <w:rPr>
          <w:rFonts w:cs="Arial"/>
          <w:sz w:val="24"/>
          <w:lang w:val="es-ES_tradnl"/>
        </w:rPr>
        <w:t xml:space="preserve"> %) y </w:t>
      </w:r>
      <w:r w:rsidR="001F244E" w:rsidRPr="000331D2">
        <w:rPr>
          <w:rFonts w:cs="Arial"/>
          <w:sz w:val="24"/>
          <w:lang w:val="es-ES_tradnl"/>
        </w:rPr>
        <w:t xml:space="preserve">B2E </w:t>
      </w:r>
      <w:r w:rsidRPr="000331D2">
        <w:rPr>
          <w:rFonts w:cs="Arial"/>
          <w:sz w:val="24"/>
          <w:lang w:val="es-ES_tradnl"/>
        </w:rPr>
        <w:t>(9,</w:t>
      </w:r>
      <w:r w:rsidR="001F244E" w:rsidRPr="000331D2">
        <w:rPr>
          <w:rFonts w:cs="Arial"/>
          <w:sz w:val="24"/>
          <w:lang w:val="es-ES_tradnl"/>
        </w:rPr>
        <w:t>22</w:t>
      </w:r>
      <w:r w:rsidRPr="000331D2">
        <w:rPr>
          <w:rFonts w:cs="Arial"/>
          <w:sz w:val="24"/>
          <w:lang w:val="es-ES_tradnl"/>
        </w:rPr>
        <w:t>%).</w:t>
      </w:r>
    </w:p>
    <w:p w:rsidR="0083557B" w:rsidRPr="00364DBD" w:rsidRDefault="0083557B" w:rsidP="0083557B">
      <w:pPr>
        <w:pStyle w:val="Ttulo"/>
        <w:rPr>
          <w:lang w:val="es-ES_tradnl"/>
        </w:rPr>
      </w:pPr>
    </w:p>
    <w:p w:rsidR="0083557B" w:rsidRPr="004859E4" w:rsidRDefault="0083557B" w:rsidP="0083557B">
      <w:pPr>
        <w:pStyle w:val="Ttulo"/>
        <w:rPr>
          <w:lang w:val="es-CO"/>
        </w:rPr>
      </w:pPr>
      <w:r w:rsidRPr="004859E4">
        <w:rPr>
          <w:noProof/>
          <w:lang w:val="es-CO" w:eastAsia="es-CO"/>
        </w:rPr>
        <w:lastRenderedPageBreak/>
        <w:drawing>
          <wp:inline distT="0" distB="0" distL="0" distR="0" wp14:anchorId="4BA4C6C0" wp14:editId="0B69A246">
            <wp:extent cx="5666282" cy="2818151"/>
            <wp:effectExtent l="0" t="0" r="10795" b="2032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3557B" w:rsidRDefault="0083557B" w:rsidP="0083557B">
      <w:pPr>
        <w:ind w:left="193"/>
        <w:contextualSpacing/>
        <w:rPr>
          <w:rFonts w:cs="Arial"/>
          <w:sz w:val="16"/>
        </w:rPr>
      </w:pPr>
      <w:r w:rsidRPr="004859E4">
        <w:rPr>
          <w:rFonts w:cs="Arial"/>
          <w:sz w:val="16"/>
        </w:rPr>
        <w:t>Fuente: Cálculos CREG. Datos Cenit.</w:t>
      </w:r>
    </w:p>
    <w:p w:rsidR="00D54259" w:rsidRDefault="00D54259" w:rsidP="006E0B4E">
      <w:pPr>
        <w:pStyle w:val="Epgrafe"/>
        <w:spacing w:before="0" w:after="0" w:line="240" w:lineRule="auto"/>
      </w:pPr>
      <w:bookmarkStart w:id="1211" w:name="_Toc437512883"/>
      <w:r>
        <w:t xml:space="preserve">Gráfica </w:t>
      </w:r>
      <w:r>
        <w:fldChar w:fldCharType="begin"/>
      </w:r>
      <w:r>
        <w:instrText xml:space="preserve"> SEQ Gráfica \* ARABIC </w:instrText>
      </w:r>
      <w:r>
        <w:fldChar w:fldCharType="separate"/>
      </w:r>
      <w:r w:rsidR="00625BEB">
        <w:rPr>
          <w:noProof/>
        </w:rPr>
        <w:t>46</w:t>
      </w:r>
      <w:r>
        <w:fldChar w:fldCharType="end"/>
      </w:r>
      <w:r>
        <w:t xml:space="preserve"> </w:t>
      </w:r>
      <w:r w:rsidRPr="004663B8">
        <w:t>Cantidad transportada Cartago – Yumbo 6”</w:t>
      </w:r>
      <w:bookmarkEnd w:id="1211"/>
    </w:p>
    <w:p w:rsidR="006E0B4E" w:rsidRDefault="006E0B4E" w:rsidP="006E0B4E"/>
    <w:p w:rsidR="0083557B" w:rsidRPr="000331D2" w:rsidRDefault="0083557B" w:rsidP="00391FB3">
      <w:pPr>
        <w:pStyle w:val="Ttulo2"/>
        <w:rPr>
          <w:sz w:val="24"/>
          <w:szCs w:val="24"/>
        </w:rPr>
      </w:pPr>
      <w:bookmarkStart w:id="1212" w:name="_Toc427336575"/>
      <w:bookmarkStart w:id="1213" w:name="_Toc427681867"/>
      <w:bookmarkStart w:id="1214" w:name="_Toc433276798"/>
      <w:bookmarkStart w:id="1215" w:name="_Toc433295780"/>
      <w:bookmarkStart w:id="1216" w:name="_Toc433296505"/>
      <w:bookmarkStart w:id="1217" w:name="_Toc437500934"/>
      <w:bookmarkStart w:id="1218" w:name="_Toc437501593"/>
      <w:bookmarkStart w:id="1219" w:name="_Toc437501773"/>
      <w:bookmarkStart w:id="1220" w:name="_Toc437501863"/>
      <w:bookmarkStart w:id="1221" w:name="_Toc437502626"/>
      <w:bookmarkStart w:id="1222" w:name="_Toc437505986"/>
      <w:bookmarkStart w:id="1223" w:name="_Toc437512799"/>
      <w:r w:rsidRPr="000331D2">
        <w:rPr>
          <w:sz w:val="24"/>
          <w:szCs w:val="24"/>
        </w:rPr>
        <w:t>Yumbo - Buenaventura</w:t>
      </w:r>
      <w:bookmarkEnd w:id="1212"/>
      <w:bookmarkEnd w:id="1213"/>
      <w:bookmarkEnd w:id="1214"/>
      <w:bookmarkEnd w:id="1215"/>
      <w:bookmarkEnd w:id="1216"/>
      <w:bookmarkEnd w:id="1217"/>
      <w:bookmarkEnd w:id="1218"/>
      <w:bookmarkEnd w:id="1219"/>
      <w:bookmarkEnd w:id="1220"/>
      <w:bookmarkEnd w:id="1221"/>
      <w:bookmarkEnd w:id="1222"/>
      <w:bookmarkEnd w:id="1223"/>
    </w:p>
    <w:p w:rsidR="000E4EA0" w:rsidRPr="000331D2" w:rsidRDefault="008520BE" w:rsidP="000E4EA0">
      <w:pPr>
        <w:contextualSpacing/>
        <w:rPr>
          <w:rFonts w:cs="Arial"/>
          <w:sz w:val="24"/>
          <w:lang w:val="es-ES_tradnl"/>
        </w:rPr>
      </w:pPr>
      <w:r w:rsidRPr="000331D2">
        <w:rPr>
          <w:rFonts w:cs="Arial"/>
          <w:sz w:val="24"/>
          <w:lang w:val="es-CO"/>
        </w:rPr>
        <w:t>El tramo Puerto Yumbo – Buenaventura, se trata de un poliducto bidireccional con acceso a puerto que permite realizar importaciones. Cuenta con una capacidad nominal de transporte de 22,1</w:t>
      </w:r>
      <w:r w:rsidR="00F07A7D" w:rsidRPr="000331D2">
        <w:rPr>
          <w:rFonts w:cs="Arial"/>
          <w:sz w:val="24"/>
          <w:lang w:val="es-CO"/>
        </w:rPr>
        <w:t xml:space="preserve"> </w:t>
      </w:r>
      <w:r w:rsidRPr="000331D2">
        <w:rPr>
          <w:rFonts w:cs="Arial"/>
          <w:sz w:val="24"/>
          <w:lang w:val="es-CO"/>
        </w:rPr>
        <w:t xml:space="preserve">kbd. Para el periodo que cubre abril de 2013 a abril de 2015, se transportaron en promedio </w:t>
      </w:r>
      <w:r w:rsidR="00F07A7D" w:rsidRPr="000331D2">
        <w:rPr>
          <w:rFonts w:cs="Arial"/>
          <w:sz w:val="24"/>
          <w:lang w:val="es-CO"/>
        </w:rPr>
        <w:t>3,84</w:t>
      </w:r>
      <w:r w:rsidRPr="000331D2">
        <w:rPr>
          <w:rFonts w:cs="Arial"/>
          <w:sz w:val="24"/>
          <w:lang w:val="es-CO"/>
        </w:rPr>
        <w:t xml:space="preserve"> kbd reportando un porcentaje de utilización  promedio de </w:t>
      </w:r>
      <w:r w:rsidR="00F07A7D" w:rsidRPr="000331D2">
        <w:rPr>
          <w:rFonts w:cs="Arial"/>
          <w:sz w:val="24"/>
          <w:lang w:val="es-CO"/>
        </w:rPr>
        <w:t>17,4</w:t>
      </w:r>
      <w:r w:rsidRPr="000331D2">
        <w:rPr>
          <w:rFonts w:cs="Arial"/>
          <w:sz w:val="24"/>
          <w:lang w:val="es-CO"/>
        </w:rPr>
        <w:t xml:space="preserve">% y una </w:t>
      </w:r>
      <w:r w:rsidRPr="000331D2">
        <w:rPr>
          <w:rFonts w:cs="Arial"/>
          <w:bCs/>
          <w:sz w:val="24"/>
        </w:rPr>
        <w:t xml:space="preserve">volatilidad mensual de </w:t>
      </w:r>
      <w:r w:rsidR="00C066D9" w:rsidRPr="000331D2">
        <w:rPr>
          <w:rFonts w:cs="Arial"/>
          <w:bCs/>
          <w:sz w:val="24"/>
        </w:rPr>
        <w:t>la cantidad transportada de 11</w:t>
      </w:r>
      <w:r w:rsidRPr="000331D2">
        <w:rPr>
          <w:rFonts w:cs="Arial"/>
          <w:bCs/>
          <w:sz w:val="24"/>
        </w:rPr>
        <w:t>%</w:t>
      </w:r>
      <w:r w:rsidRPr="000331D2">
        <w:rPr>
          <w:rFonts w:cs="Arial"/>
          <w:sz w:val="24"/>
          <w:lang w:val="es-CO"/>
        </w:rPr>
        <w:t xml:space="preserve">. </w:t>
      </w:r>
      <w:r w:rsidRPr="000331D2">
        <w:rPr>
          <w:rFonts w:cs="Arial"/>
          <w:sz w:val="24"/>
          <w:lang w:val="es-ES_tradnl"/>
        </w:rPr>
        <w:t>Los productos que más se transportan por este tramo son: B2 (</w:t>
      </w:r>
      <w:r w:rsidR="00F07A7D" w:rsidRPr="000331D2">
        <w:rPr>
          <w:rFonts w:cs="Arial"/>
          <w:sz w:val="24"/>
          <w:lang w:val="es-ES_tradnl"/>
        </w:rPr>
        <w:t>73,12</w:t>
      </w:r>
      <w:r w:rsidRPr="000331D2">
        <w:rPr>
          <w:rFonts w:cs="Arial"/>
          <w:sz w:val="24"/>
          <w:lang w:val="es-ES_tradnl"/>
        </w:rPr>
        <w:t xml:space="preserve">%), </w:t>
      </w:r>
      <w:r w:rsidR="00F07A7D" w:rsidRPr="000331D2">
        <w:rPr>
          <w:rFonts w:cs="Arial"/>
          <w:sz w:val="24"/>
          <w:lang w:val="es-ES_tradnl"/>
        </w:rPr>
        <w:t xml:space="preserve">B2E </w:t>
      </w:r>
      <w:r w:rsidRPr="000331D2">
        <w:rPr>
          <w:rFonts w:cs="Arial"/>
          <w:sz w:val="24"/>
          <w:lang w:val="es-ES_tradnl"/>
        </w:rPr>
        <w:t>(</w:t>
      </w:r>
      <w:r w:rsidR="00741ACD" w:rsidRPr="000331D2">
        <w:rPr>
          <w:rFonts w:cs="Arial"/>
          <w:sz w:val="24"/>
          <w:lang w:val="es-ES_tradnl"/>
        </w:rPr>
        <w:t>19,1</w:t>
      </w:r>
      <w:r w:rsidR="00F07A7D" w:rsidRPr="000331D2">
        <w:rPr>
          <w:rFonts w:cs="Arial"/>
          <w:sz w:val="24"/>
          <w:lang w:val="es-ES_tradnl"/>
        </w:rPr>
        <w:t>5</w:t>
      </w:r>
      <w:r w:rsidRPr="000331D2">
        <w:rPr>
          <w:rFonts w:cs="Arial"/>
          <w:sz w:val="24"/>
          <w:lang w:val="es-ES_tradnl"/>
        </w:rPr>
        <w:t xml:space="preserve"> %) y </w:t>
      </w:r>
      <w:r w:rsidR="00F07A7D" w:rsidRPr="000331D2">
        <w:rPr>
          <w:rFonts w:cs="Arial"/>
          <w:sz w:val="24"/>
          <w:lang w:val="es-ES_tradnl"/>
        </w:rPr>
        <w:t>G</w:t>
      </w:r>
      <w:r w:rsidR="00136B94" w:rsidRPr="000331D2">
        <w:rPr>
          <w:rFonts w:cs="Arial"/>
          <w:sz w:val="24"/>
          <w:lang w:val="es-ES_tradnl"/>
        </w:rPr>
        <w:t>asolina Motor</w:t>
      </w:r>
      <w:r w:rsidRPr="000331D2">
        <w:rPr>
          <w:rFonts w:cs="Arial"/>
          <w:sz w:val="24"/>
          <w:lang w:val="es-ES_tradnl"/>
        </w:rPr>
        <w:t xml:space="preserve"> (</w:t>
      </w:r>
      <w:r w:rsidR="00F07A7D" w:rsidRPr="000331D2">
        <w:rPr>
          <w:rFonts w:cs="Arial"/>
          <w:sz w:val="24"/>
          <w:lang w:val="es-ES_tradnl"/>
        </w:rPr>
        <w:t>7,71</w:t>
      </w:r>
      <w:r w:rsidRPr="000331D2">
        <w:rPr>
          <w:rFonts w:cs="Arial"/>
          <w:sz w:val="24"/>
          <w:lang w:val="es-ES_tradnl"/>
        </w:rPr>
        <w:t>%).</w:t>
      </w:r>
    </w:p>
    <w:p w:rsidR="0083557B" w:rsidRPr="004859E4" w:rsidRDefault="0083557B" w:rsidP="000E4EA0">
      <w:pPr>
        <w:contextualSpacing/>
        <w:rPr>
          <w:lang w:val="es-CO"/>
        </w:rPr>
      </w:pPr>
      <w:r w:rsidRPr="004859E4">
        <w:rPr>
          <w:noProof/>
          <w:lang w:val="es-CO" w:eastAsia="es-CO"/>
        </w:rPr>
        <w:t xml:space="preserve"> </w:t>
      </w:r>
      <w:r w:rsidRPr="004859E4">
        <w:rPr>
          <w:noProof/>
          <w:lang w:val="es-CO" w:eastAsia="es-CO"/>
        </w:rPr>
        <w:drawing>
          <wp:inline distT="0" distB="0" distL="0" distR="0" wp14:anchorId="6E8307D5" wp14:editId="33D05D42">
            <wp:extent cx="5906125" cy="2893101"/>
            <wp:effectExtent l="0" t="0" r="19050" b="2159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3557B" w:rsidRDefault="0083557B" w:rsidP="0083557B">
      <w:pPr>
        <w:ind w:left="193"/>
        <w:contextualSpacing/>
        <w:rPr>
          <w:rFonts w:cs="Arial"/>
          <w:sz w:val="16"/>
        </w:rPr>
      </w:pPr>
      <w:r w:rsidRPr="004859E4">
        <w:rPr>
          <w:rFonts w:cs="Arial"/>
          <w:sz w:val="16"/>
        </w:rPr>
        <w:t>Fuente: Cálculos CREG. Datos Cenit.</w:t>
      </w:r>
    </w:p>
    <w:p w:rsidR="00010004" w:rsidRDefault="00010004" w:rsidP="00010004">
      <w:pPr>
        <w:pStyle w:val="Epgrafe"/>
        <w:rPr>
          <w:rFonts w:cs="Arial"/>
          <w:sz w:val="16"/>
        </w:rPr>
      </w:pPr>
      <w:bookmarkStart w:id="1224" w:name="_Toc437512884"/>
      <w:r>
        <w:t xml:space="preserve">Gráfica </w:t>
      </w:r>
      <w:r>
        <w:fldChar w:fldCharType="begin"/>
      </w:r>
      <w:r>
        <w:instrText xml:space="preserve"> SEQ Gráfica \* ARABIC </w:instrText>
      </w:r>
      <w:r>
        <w:fldChar w:fldCharType="separate"/>
      </w:r>
      <w:r w:rsidR="00625BEB">
        <w:rPr>
          <w:noProof/>
        </w:rPr>
        <w:t>47</w:t>
      </w:r>
      <w:r>
        <w:fldChar w:fldCharType="end"/>
      </w:r>
      <w:r>
        <w:t xml:space="preserve"> </w:t>
      </w:r>
      <w:r w:rsidRPr="004E76F9">
        <w:t>Cantidad transportada Yumbo - Buenaventura</w:t>
      </w:r>
      <w:bookmarkEnd w:id="1224"/>
    </w:p>
    <w:p w:rsidR="00BA3FB3" w:rsidRPr="00BA3FB3" w:rsidRDefault="00BA3FB3" w:rsidP="00BA3FB3">
      <w:pPr>
        <w:pStyle w:val="Ttulo2"/>
        <w:numPr>
          <w:ilvl w:val="0"/>
          <w:numId w:val="0"/>
        </w:numPr>
        <w:rPr>
          <w:sz w:val="24"/>
          <w:szCs w:val="24"/>
        </w:rPr>
      </w:pPr>
      <w:bookmarkStart w:id="1225" w:name="_Toc427336576"/>
      <w:bookmarkStart w:id="1226" w:name="_Toc427681868"/>
      <w:bookmarkStart w:id="1227" w:name="_Toc433276799"/>
      <w:bookmarkStart w:id="1228" w:name="_Toc433295781"/>
      <w:bookmarkStart w:id="1229" w:name="_Toc433296506"/>
    </w:p>
    <w:p w:rsidR="0083557B" w:rsidRPr="000331D2" w:rsidRDefault="0083557B" w:rsidP="00391FB3">
      <w:pPr>
        <w:pStyle w:val="Ttulo2"/>
        <w:rPr>
          <w:sz w:val="24"/>
          <w:szCs w:val="24"/>
        </w:rPr>
      </w:pPr>
      <w:bookmarkStart w:id="1230" w:name="_Toc437500935"/>
      <w:bookmarkStart w:id="1231" w:name="_Toc437501594"/>
      <w:bookmarkStart w:id="1232" w:name="_Toc437501774"/>
      <w:bookmarkStart w:id="1233" w:name="_Toc437501864"/>
      <w:bookmarkStart w:id="1234" w:name="_Toc437502627"/>
      <w:bookmarkStart w:id="1235" w:name="_Toc437505987"/>
      <w:bookmarkStart w:id="1236" w:name="_Toc437512800"/>
      <w:r w:rsidRPr="000331D2">
        <w:rPr>
          <w:sz w:val="24"/>
          <w:szCs w:val="24"/>
          <w:lang w:val="es-CO"/>
        </w:rPr>
        <w:t xml:space="preserve">Puerto </w:t>
      </w:r>
      <w:r w:rsidRPr="000331D2">
        <w:rPr>
          <w:sz w:val="24"/>
          <w:szCs w:val="24"/>
        </w:rPr>
        <w:t>Salgar - Gualanday</w:t>
      </w:r>
      <w:bookmarkEnd w:id="1225"/>
      <w:bookmarkEnd w:id="1226"/>
      <w:bookmarkEnd w:id="1227"/>
      <w:bookmarkEnd w:id="1228"/>
      <w:bookmarkEnd w:id="1229"/>
      <w:bookmarkEnd w:id="1230"/>
      <w:bookmarkEnd w:id="1231"/>
      <w:bookmarkEnd w:id="1232"/>
      <w:bookmarkEnd w:id="1233"/>
      <w:bookmarkEnd w:id="1234"/>
      <w:bookmarkEnd w:id="1235"/>
      <w:bookmarkEnd w:id="1236"/>
    </w:p>
    <w:p w:rsidR="0083557B" w:rsidRPr="000331D2" w:rsidRDefault="00741ACD" w:rsidP="00741ACD">
      <w:pPr>
        <w:contextualSpacing/>
        <w:rPr>
          <w:rFonts w:cs="Arial"/>
          <w:sz w:val="24"/>
          <w:lang w:val="es-ES_tradnl"/>
        </w:rPr>
      </w:pPr>
      <w:r w:rsidRPr="000331D2">
        <w:rPr>
          <w:sz w:val="24"/>
          <w:lang w:val="es-CO"/>
        </w:rPr>
        <w:t xml:space="preserve">El tramo que conecta Puerto Salgar con Gualanday es un ducto que cuenta con </w:t>
      </w:r>
      <w:r w:rsidR="009241D4" w:rsidRPr="000331D2">
        <w:rPr>
          <w:rFonts w:cs="Arial"/>
          <w:sz w:val="24"/>
          <w:lang w:val="es-CO"/>
        </w:rPr>
        <w:t>una capacidad nominal de</w:t>
      </w:r>
      <w:r w:rsidRPr="000331D2">
        <w:rPr>
          <w:rFonts w:cs="Arial"/>
          <w:sz w:val="24"/>
          <w:lang w:val="es-CO"/>
        </w:rPr>
        <w:t xml:space="preserve"> transporte de 26,3 kbd. Para el periodo comprendido entre abril de 2013 y abril de 2015 se transportaron en promedio 15,2 kbd reportando un porcentaje de utilización  promedio de 57,8% y una </w:t>
      </w:r>
      <w:r w:rsidRPr="000331D2">
        <w:rPr>
          <w:rFonts w:cs="Arial"/>
          <w:bCs/>
          <w:sz w:val="24"/>
        </w:rPr>
        <w:t>volatilidad mensual de la cantidad transportada de 1,1%</w:t>
      </w:r>
      <w:r w:rsidRPr="000331D2">
        <w:rPr>
          <w:rFonts w:cs="Arial"/>
          <w:sz w:val="24"/>
          <w:lang w:val="es-CO"/>
        </w:rPr>
        <w:t xml:space="preserve">. </w:t>
      </w:r>
      <w:r w:rsidRPr="000331D2">
        <w:rPr>
          <w:rFonts w:cs="Arial"/>
          <w:sz w:val="24"/>
          <w:lang w:val="es-ES_tradnl"/>
        </w:rPr>
        <w:t>Los productos que más se transportan por este tramo son: Gasolina Motor (42,03%), B2 (39,73%) y B2E (15,23%).</w:t>
      </w:r>
    </w:p>
    <w:p w:rsidR="00741ACD" w:rsidRPr="000331D2" w:rsidRDefault="00741ACD" w:rsidP="00741ACD">
      <w:pPr>
        <w:contextualSpacing/>
        <w:rPr>
          <w:sz w:val="24"/>
          <w:lang w:val="es-CO"/>
        </w:rPr>
      </w:pPr>
    </w:p>
    <w:p w:rsidR="0083557B" w:rsidRPr="004859E4" w:rsidRDefault="0083557B" w:rsidP="0083557B">
      <w:pPr>
        <w:pStyle w:val="Ttulo"/>
        <w:rPr>
          <w:lang w:val="es-CO"/>
        </w:rPr>
      </w:pPr>
      <w:r w:rsidRPr="004859E4">
        <w:rPr>
          <w:noProof/>
          <w:lang w:val="es-CO" w:eastAsia="es-CO"/>
        </w:rPr>
        <w:drawing>
          <wp:inline distT="0" distB="0" distL="0" distR="0" wp14:anchorId="5B966F96" wp14:editId="3543B9B1">
            <wp:extent cx="6005015" cy="2743200"/>
            <wp:effectExtent l="0" t="0" r="15240" b="1905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83557B" w:rsidRDefault="0083557B" w:rsidP="0083557B">
      <w:pPr>
        <w:ind w:left="193"/>
        <w:contextualSpacing/>
        <w:rPr>
          <w:rFonts w:cs="Arial"/>
          <w:sz w:val="16"/>
        </w:rPr>
      </w:pPr>
      <w:r w:rsidRPr="004859E4">
        <w:rPr>
          <w:rFonts w:cs="Arial"/>
          <w:sz w:val="16"/>
        </w:rPr>
        <w:t>Fuente: Cálculos CREG. Datos Cenit.</w:t>
      </w:r>
    </w:p>
    <w:p w:rsidR="00010004" w:rsidRDefault="00010004" w:rsidP="00010004">
      <w:pPr>
        <w:pStyle w:val="Epgrafe"/>
      </w:pPr>
      <w:bookmarkStart w:id="1237" w:name="_Toc437512885"/>
      <w:r>
        <w:t xml:space="preserve">Gráfica </w:t>
      </w:r>
      <w:r>
        <w:fldChar w:fldCharType="begin"/>
      </w:r>
      <w:r>
        <w:instrText xml:space="preserve"> SEQ Gráfica \* ARABIC </w:instrText>
      </w:r>
      <w:r>
        <w:fldChar w:fldCharType="separate"/>
      </w:r>
      <w:r w:rsidR="00625BEB">
        <w:rPr>
          <w:noProof/>
        </w:rPr>
        <w:t>48</w:t>
      </w:r>
      <w:r>
        <w:fldChar w:fldCharType="end"/>
      </w:r>
      <w:r>
        <w:t xml:space="preserve"> </w:t>
      </w:r>
      <w:r w:rsidRPr="00D402B9">
        <w:t xml:space="preserve">Cantidad transportada Puerto Salgar </w:t>
      </w:r>
      <w:r w:rsidR="00BA3FB3">
        <w:t>–</w:t>
      </w:r>
      <w:r w:rsidRPr="00D402B9">
        <w:t xml:space="preserve"> Gualanday</w:t>
      </w:r>
      <w:bookmarkEnd w:id="1237"/>
    </w:p>
    <w:p w:rsidR="00BA3FB3" w:rsidRDefault="00BA3FB3" w:rsidP="00BA3FB3">
      <w:pPr>
        <w:rPr>
          <w:sz w:val="24"/>
        </w:rPr>
      </w:pPr>
    </w:p>
    <w:p w:rsidR="00C84D46" w:rsidRPr="00BA3FB3" w:rsidRDefault="00C84D46" w:rsidP="00BA3FB3">
      <w:pPr>
        <w:rPr>
          <w:sz w:val="24"/>
        </w:rPr>
      </w:pPr>
    </w:p>
    <w:p w:rsidR="0083557B" w:rsidRPr="000331D2" w:rsidRDefault="0083557B" w:rsidP="00BA3FB3">
      <w:pPr>
        <w:pStyle w:val="Ttulo2"/>
        <w:spacing w:before="0"/>
        <w:rPr>
          <w:sz w:val="24"/>
          <w:szCs w:val="24"/>
        </w:rPr>
      </w:pPr>
      <w:bookmarkStart w:id="1238" w:name="_Toc427336577"/>
      <w:bookmarkStart w:id="1239" w:name="_Toc427681869"/>
      <w:bookmarkStart w:id="1240" w:name="_Toc433276800"/>
      <w:bookmarkStart w:id="1241" w:name="_Toc433295782"/>
      <w:bookmarkStart w:id="1242" w:name="_Toc433296507"/>
      <w:bookmarkStart w:id="1243" w:name="_Toc437500936"/>
      <w:bookmarkStart w:id="1244" w:name="_Toc437501595"/>
      <w:bookmarkStart w:id="1245" w:name="_Toc437501775"/>
      <w:bookmarkStart w:id="1246" w:name="_Toc437501865"/>
      <w:bookmarkStart w:id="1247" w:name="_Toc437502628"/>
      <w:bookmarkStart w:id="1248" w:name="_Toc437505988"/>
      <w:bookmarkStart w:id="1249" w:name="_Toc437512801"/>
      <w:r w:rsidRPr="000331D2">
        <w:rPr>
          <w:sz w:val="24"/>
          <w:szCs w:val="24"/>
        </w:rPr>
        <w:t xml:space="preserve">Gualanday </w:t>
      </w:r>
      <w:r w:rsidR="00741ACD" w:rsidRPr="000331D2">
        <w:rPr>
          <w:sz w:val="24"/>
          <w:szCs w:val="24"/>
        </w:rPr>
        <w:t>–</w:t>
      </w:r>
      <w:r w:rsidRPr="000331D2">
        <w:rPr>
          <w:sz w:val="24"/>
          <w:szCs w:val="24"/>
        </w:rPr>
        <w:t xml:space="preserve"> Neiva</w:t>
      </w:r>
      <w:bookmarkEnd w:id="1238"/>
      <w:bookmarkEnd w:id="1239"/>
      <w:bookmarkEnd w:id="1240"/>
      <w:bookmarkEnd w:id="1241"/>
      <w:bookmarkEnd w:id="1242"/>
      <w:bookmarkEnd w:id="1243"/>
      <w:bookmarkEnd w:id="1244"/>
      <w:bookmarkEnd w:id="1245"/>
      <w:bookmarkEnd w:id="1246"/>
      <w:bookmarkEnd w:id="1247"/>
      <w:bookmarkEnd w:id="1248"/>
      <w:bookmarkEnd w:id="1249"/>
    </w:p>
    <w:p w:rsidR="00C84D46" w:rsidRDefault="00741ACD" w:rsidP="00741ACD">
      <w:pPr>
        <w:contextualSpacing/>
        <w:rPr>
          <w:rFonts w:cs="Arial"/>
          <w:sz w:val="24"/>
          <w:lang w:val="es-CO"/>
        </w:rPr>
      </w:pPr>
      <w:r w:rsidRPr="000331D2">
        <w:rPr>
          <w:rFonts w:cs="Arial"/>
          <w:sz w:val="24"/>
          <w:lang w:val="es-CO"/>
        </w:rPr>
        <w:t>El tramo entre Gualanday y Neiva cuen</w:t>
      </w:r>
      <w:r w:rsidR="009241D4" w:rsidRPr="000331D2">
        <w:rPr>
          <w:rFonts w:cs="Arial"/>
          <w:sz w:val="24"/>
          <w:lang w:val="es-CO"/>
        </w:rPr>
        <w:t>ta con una capacidad nominal de</w:t>
      </w:r>
      <w:r w:rsidRPr="000331D2">
        <w:rPr>
          <w:rFonts w:cs="Arial"/>
          <w:sz w:val="24"/>
          <w:lang w:val="es-CO"/>
        </w:rPr>
        <w:t xml:space="preserve"> transporte de 12 kbd. Para el periodo que comprende abril de 2013 a abril de 2015, se transportaron en promedio 7,18 kbd reportando un porcentaje de utilización promedio de 59,9% y una </w:t>
      </w:r>
      <w:r w:rsidRPr="000331D2">
        <w:rPr>
          <w:rFonts w:cs="Arial"/>
          <w:bCs/>
          <w:sz w:val="24"/>
        </w:rPr>
        <w:t>volatilidad mensual de la cantidad transportada de 1,6%</w:t>
      </w:r>
      <w:r w:rsidRPr="000331D2">
        <w:rPr>
          <w:rFonts w:cs="Arial"/>
          <w:sz w:val="24"/>
          <w:lang w:val="es-CO"/>
        </w:rPr>
        <w:t xml:space="preserve">. </w:t>
      </w:r>
    </w:p>
    <w:p w:rsidR="00C84D46" w:rsidRDefault="00C84D46" w:rsidP="00741ACD">
      <w:pPr>
        <w:contextualSpacing/>
        <w:rPr>
          <w:rFonts w:cs="Arial"/>
          <w:sz w:val="24"/>
          <w:lang w:val="es-CO"/>
        </w:rPr>
      </w:pPr>
    </w:p>
    <w:p w:rsidR="00741ACD" w:rsidRPr="000331D2" w:rsidRDefault="00741ACD" w:rsidP="00741ACD">
      <w:pPr>
        <w:contextualSpacing/>
        <w:rPr>
          <w:rFonts w:cs="Arial"/>
          <w:sz w:val="24"/>
          <w:lang w:val="es-ES_tradnl"/>
        </w:rPr>
      </w:pPr>
      <w:r w:rsidRPr="000331D2">
        <w:rPr>
          <w:rFonts w:cs="Arial"/>
          <w:sz w:val="24"/>
          <w:lang w:val="es-ES_tradnl"/>
        </w:rPr>
        <w:t>Los productos que más se transportan por este tramo son: Gasolina Motor (48,01%), B2 (36,19%) y B2E (14,34%).</w:t>
      </w:r>
    </w:p>
    <w:p w:rsidR="0083557B" w:rsidRPr="004859E4" w:rsidRDefault="0083557B" w:rsidP="0083557B">
      <w:pPr>
        <w:pStyle w:val="Ttulo"/>
        <w:rPr>
          <w:lang w:val="es-CO"/>
        </w:rPr>
      </w:pPr>
    </w:p>
    <w:p w:rsidR="0083557B" w:rsidRPr="004859E4" w:rsidRDefault="0083557B" w:rsidP="0083557B">
      <w:pPr>
        <w:pStyle w:val="Ttulo"/>
        <w:rPr>
          <w:lang w:val="es-CO"/>
        </w:rPr>
      </w:pPr>
      <w:r w:rsidRPr="004859E4">
        <w:rPr>
          <w:noProof/>
          <w:lang w:val="es-CO" w:eastAsia="es-CO"/>
        </w:rPr>
        <w:lastRenderedPageBreak/>
        <w:drawing>
          <wp:inline distT="0" distB="0" distL="0" distR="0" wp14:anchorId="023779DF" wp14:editId="254B06D4">
            <wp:extent cx="5895833" cy="2893325"/>
            <wp:effectExtent l="0" t="0" r="10160" b="2159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83557B" w:rsidRDefault="0083557B" w:rsidP="0083557B">
      <w:pPr>
        <w:ind w:left="193"/>
        <w:contextualSpacing/>
        <w:rPr>
          <w:rFonts w:cs="Arial"/>
          <w:sz w:val="16"/>
        </w:rPr>
      </w:pPr>
      <w:r w:rsidRPr="004859E4">
        <w:rPr>
          <w:rFonts w:cs="Arial"/>
          <w:sz w:val="16"/>
        </w:rPr>
        <w:t>Fuente: Cálculos CREG. Datos Cenit.</w:t>
      </w:r>
    </w:p>
    <w:p w:rsidR="00010004" w:rsidRDefault="00010004" w:rsidP="00010004">
      <w:pPr>
        <w:pStyle w:val="Epgrafe"/>
      </w:pPr>
      <w:bookmarkStart w:id="1250" w:name="_Toc437512886"/>
      <w:r>
        <w:t xml:space="preserve">Gráfica </w:t>
      </w:r>
      <w:r>
        <w:fldChar w:fldCharType="begin"/>
      </w:r>
      <w:r>
        <w:instrText xml:space="preserve"> SEQ Gráfica \* ARABIC </w:instrText>
      </w:r>
      <w:r>
        <w:fldChar w:fldCharType="separate"/>
      </w:r>
      <w:r w:rsidR="00625BEB">
        <w:rPr>
          <w:noProof/>
        </w:rPr>
        <w:t>49</w:t>
      </w:r>
      <w:r>
        <w:fldChar w:fldCharType="end"/>
      </w:r>
      <w:r>
        <w:t xml:space="preserve"> </w:t>
      </w:r>
      <w:r w:rsidRPr="0006700E">
        <w:t xml:space="preserve">Cantidad transportada Gualanday </w:t>
      </w:r>
      <w:r w:rsidR="006E0B4E">
        <w:t>–</w:t>
      </w:r>
      <w:r w:rsidRPr="0006700E">
        <w:t xml:space="preserve"> Neiva</w:t>
      </w:r>
      <w:bookmarkEnd w:id="1250"/>
    </w:p>
    <w:p w:rsidR="006E0B4E" w:rsidRPr="006E0B4E" w:rsidRDefault="006E0B4E" w:rsidP="006E0B4E"/>
    <w:p w:rsidR="0083557B" w:rsidRPr="000331D2" w:rsidRDefault="0083557B" w:rsidP="006E0B4E">
      <w:pPr>
        <w:pStyle w:val="Ttulo2"/>
        <w:spacing w:before="0"/>
        <w:rPr>
          <w:sz w:val="24"/>
          <w:szCs w:val="24"/>
        </w:rPr>
      </w:pPr>
      <w:bookmarkStart w:id="1251" w:name="_Toc427336578"/>
      <w:bookmarkStart w:id="1252" w:name="_Toc427681870"/>
      <w:bookmarkStart w:id="1253" w:name="_Toc433276801"/>
      <w:bookmarkStart w:id="1254" w:name="_Toc433295783"/>
      <w:bookmarkStart w:id="1255" w:name="_Toc433296508"/>
      <w:bookmarkStart w:id="1256" w:name="_Toc437500937"/>
      <w:bookmarkStart w:id="1257" w:name="_Toc437501596"/>
      <w:bookmarkStart w:id="1258" w:name="_Toc437501776"/>
      <w:bookmarkStart w:id="1259" w:name="_Toc437501866"/>
      <w:bookmarkStart w:id="1260" w:name="_Toc437502629"/>
      <w:bookmarkStart w:id="1261" w:name="_Toc437505989"/>
      <w:bookmarkStart w:id="1262" w:name="_Toc437512802"/>
      <w:r w:rsidRPr="000331D2">
        <w:rPr>
          <w:sz w:val="24"/>
          <w:szCs w:val="24"/>
        </w:rPr>
        <w:t>Puerto Salgar – Mansilla 10”</w:t>
      </w:r>
      <w:bookmarkEnd w:id="1251"/>
      <w:bookmarkEnd w:id="1252"/>
      <w:bookmarkEnd w:id="1253"/>
      <w:bookmarkEnd w:id="1254"/>
      <w:bookmarkEnd w:id="1255"/>
      <w:bookmarkEnd w:id="1256"/>
      <w:bookmarkEnd w:id="1257"/>
      <w:bookmarkEnd w:id="1258"/>
      <w:bookmarkEnd w:id="1259"/>
      <w:bookmarkEnd w:id="1260"/>
      <w:bookmarkEnd w:id="1261"/>
      <w:bookmarkEnd w:id="1262"/>
    </w:p>
    <w:p w:rsidR="00184854" w:rsidRDefault="00184854" w:rsidP="00184854">
      <w:pPr>
        <w:contextualSpacing/>
        <w:rPr>
          <w:rFonts w:cs="Arial"/>
          <w:sz w:val="24"/>
          <w:lang w:val="es-ES_tradnl"/>
        </w:rPr>
      </w:pPr>
      <w:r w:rsidRPr="000331D2">
        <w:rPr>
          <w:rFonts w:cs="Arial"/>
          <w:sz w:val="24"/>
          <w:lang w:val="es-ES_tradnl"/>
        </w:rPr>
        <w:t>El tramo Puerto Salgar – Mansilla</w:t>
      </w:r>
      <w:r w:rsidR="00E65E93" w:rsidRPr="000331D2">
        <w:rPr>
          <w:rFonts w:cs="Arial"/>
          <w:sz w:val="24"/>
          <w:lang w:val="es-ES_tradnl"/>
        </w:rPr>
        <w:t xml:space="preserve"> de 10 pulgadas</w:t>
      </w:r>
      <w:r w:rsidRPr="000331D2">
        <w:rPr>
          <w:rFonts w:cs="Arial"/>
          <w:sz w:val="24"/>
          <w:lang w:val="es-ES_tradnl"/>
        </w:rPr>
        <w:t xml:space="preserve"> tiene una capacidad nominal de transporte de </w:t>
      </w:r>
      <w:r w:rsidR="00E65E93" w:rsidRPr="000331D2">
        <w:rPr>
          <w:rFonts w:cs="Arial"/>
          <w:sz w:val="24"/>
          <w:lang w:val="es-ES_tradnl"/>
        </w:rPr>
        <w:t>94,7</w:t>
      </w:r>
      <w:r w:rsidRPr="000331D2">
        <w:rPr>
          <w:rFonts w:cs="Arial"/>
          <w:sz w:val="24"/>
          <w:lang w:val="es-ES_tradnl"/>
        </w:rPr>
        <w:t xml:space="preserve"> kbd. En promedio se han transportado </w:t>
      </w:r>
      <w:r w:rsidR="00E65E93" w:rsidRPr="000331D2">
        <w:rPr>
          <w:rFonts w:cs="Arial"/>
          <w:sz w:val="24"/>
          <w:lang w:val="es-ES_tradnl"/>
        </w:rPr>
        <w:t>74,16</w:t>
      </w:r>
      <w:r w:rsidRPr="000331D2">
        <w:rPr>
          <w:rFonts w:cs="Arial"/>
          <w:sz w:val="24"/>
          <w:lang w:val="es-ES_tradnl"/>
        </w:rPr>
        <w:t xml:space="preserve"> kbd en el periodo analizado de abril de 2013 a abril de 2015, lo que indica que el porcentaje de utilización promedio de este ducto ha sido de </w:t>
      </w:r>
      <w:r w:rsidR="00E65E93" w:rsidRPr="000331D2">
        <w:rPr>
          <w:rFonts w:cs="Arial"/>
          <w:sz w:val="24"/>
          <w:lang w:val="es-ES_tradnl"/>
        </w:rPr>
        <w:t>78,3%</w:t>
      </w:r>
      <w:r w:rsidRPr="000331D2">
        <w:rPr>
          <w:rFonts w:cs="Arial"/>
          <w:sz w:val="24"/>
          <w:lang w:val="es-ES_tradnl"/>
        </w:rPr>
        <w:t xml:space="preserve"> con una volatilidad mensual de la cantidad transportada de 1,</w:t>
      </w:r>
      <w:r w:rsidR="00E65E93" w:rsidRPr="000331D2">
        <w:rPr>
          <w:rFonts w:cs="Arial"/>
          <w:sz w:val="24"/>
          <w:lang w:val="es-ES_tradnl"/>
        </w:rPr>
        <w:t>3</w:t>
      </w:r>
      <w:r w:rsidRPr="000331D2">
        <w:rPr>
          <w:rFonts w:cs="Arial"/>
          <w:sz w:val="24"/>
          <w:lang w:val="es-ES_tradnl"/>
        </w:rPr>
        <w:t>%. Los productos que más se transportan por este tramo son: Gasolina Motor (</w:t>
      </w:r>
      <w:r w:rsidR="00E65E93" w:rsidRPr="000331D2">
        <w:rPr>
          <w:rFonts w:cs="Arial"/>
          <w:sz w:val="24"/>
          <w:lang w:val="es-ES_tradnl"/>
        </w:rPr>
        <w:t>34,54</w:t>
      </w:r>
      <w:r w:rsidRPr="000331D2">
        <w:rPr>
          <w:rFonts w:cs="Arial"/>
          <w:sz w:val="24"/>
          <w:lang w:val="es-ES_tradnl"/>
        </w:rPr>
        <w:t>%), B2</w:t>
      </w:r>
      <w:r w:rsidR="00E65E93" w:rsidRPr="000331D2">
        <w:rPr>
          <w:rFonts w:cs="Arial"/>
          <w:sz w:val="24"/>
          <w:lang w:val="es-ES_tradnl"/>
        </w:rPr>
        <w:t>E</w:t>
      </w:r>
      <w:r w:rsidRPr="000331D2">
        <w:rPr>
          <w:rFonts w:cs="Arial"/>
          <w:sz w:val="24"/>
          <w:lang w:val="es-ES_tradnl"/>
        </w:rPr>
        <w:t xml:space="preserve"> (</w:t>
      </w:r>
      <w:r w:rsidR="00E65E93" w:rsidRPr="000331D2">
        <w:rPr>
          <w:rFonts w:cs="Arial"/>
          <w:sz w:val="24"/>
          <w:lang w:val="es-ES_tradnl"/>
        </w:rPr>
        <w:t>23,31</w:t>
      </w:r>
      <w:r w:rsidRPr="000331D2">
        <w:rPr>
          <w:rFonts w:cs="Arial"/>
          <w:sz w:val="24"/>
          <w:lang w:val="es-ES_tradnl"/>
        </w:rPr>
        <w:t xml:space="preserve">%), </w:t>
      </w:r>
      <w:r w:rsidR="00E65E93" w:rsidRPr="000331D2">
        <w:rPr>
          <w:rFonts w:cs="Arial"/>
          <w:sz w:val="24"/>
          <w:lang w:val="es-ES_tradnl"/>
        </w:rPr>
        <w:t xml:space="preserve">JET A1 (20,63%) y </w:t>
      </w:r>
      <w:r w:rsidRPr="000331D2">
        <w:rPr>
          <w:rFonts w:cs="Arial"/>
          <w:sz w:val="24"/>
          <w:lang w:val="es-ES_tradnl"/>
        </w:rPr>
        <w:t>B2 (</w:t>
      </w:r>
      <w:r w:rsidR="00E65E93" w:rsidRPr="000331D2">
        <w:rPr>
          <w:rFonts w:cs="Arial"/>
          <w:sz w:val="24"/>
          <w:lang w:val="es-ES_tradnl"/>
        </w:rPr>
        <w:t>19,81</w:t>
      </w:r>
      <w:r w:rsidRPr="000331D2">
        <w:rPr>
          <w:rFonts w:cs="Arial"/>
          <w:sz w:val="24"/>
          <w:lang w:val="es-ES_tradnl"/>
        </w:rPr>
        <w:t>%)</w:t>
      </w:r>
      <w:r w:rsidR="00E65E93" w:rsidRPr="000331D2">
        <w:rPr>
          <w:rFonts w:cs="Arial"/>
          <w:sz w:val="24"/>
          <w:lang w:val="es-ES_tradnl"/>
        </w:rPr>
        <w:t>.</w:t>
      </w:r>
    </w:p>
    <w:p w:rsidR="00C84D46" w:rsidRPr="000331D2" w:rsidRDefault="00C84D46" w:rsidP="00184854">
      <w:pPr>
        <w:contextualSpacing/>
        <w:rPr>
          <w:rFonts w:cs="Arial"/>
          <w:sz w:val="24"/>
          <w:lang w:val="es-ES_tradnl"/>
        </w:rPr>
      </w:pPr>
    </w:p>
    <w:p w:rsidR="0083557B" w:rsidRPr="004859E4" w:rsidRDefault="0083557B" w:rsidP="0083557B">
      <w:pPr>
        <w:pStyle w:val="Ttulo"/>
        <w:rPr>
          <w:lang w:val="es-CO"/>
        </w:rPr>
      </w:pPr>
      <w:r w:rsidRPr="004859E4">
        <w:rPr>
          <w:noProof/>
          <w:lang w:val="es-CO" w:eastAsia="es-CO"/>
        </w:rPr>
        <w:drawing>
          <wp:inline distT="0" distB="0" distL="0" distR="0" wp14:anchorId="4A51A9F1" wp14:editId="39F15280">
            <wp:extent cx="5759355" cy="3104866"/>
            <wp:effectExtent l="0" t="0" r="13335" b="1968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83557B" w:rsidRDefault="0083557B" w:rsidP="0083557B">
      <w:pPr>
        <w:ind w:left="193"/>
        <w:contextualSpacing/>
        <w:rPr>
          <w:rFonts w:cs="Arial"/>
          <w:sz w:val="16"/>
        </w:rPr>
      </w:pPr>
      <w:r w:rsidRPr="004859E4">
        <w:rPr>
          <w:rFonts w:cs="Arial"/>
          <w:sz w:val="16"/>
        </w:rPr>
        <w:t>Fuente: Cálculos CREG. Datos Cenit.</w:t>
      </w:r>
    </w:p>
    <w:p w:rsidR="00010004" w:rsidRDefault="00010004" w:rsidP="00010004">
      <w:pPr>
        <w:pStyle w:val="Epgrafe"/>
      </w:pPr>
      <w:bookmarkStart w:id="1263" w:name="_Toc437512887"/>
      <w:r>
        <w:t xml:space="preserve">Gráfica </w:t>
      </w:r>
      <w:r>
        <w:fldChar w:fldCharType="begin"/>
      </w:r>
      <w:r>
        <w:instrText xml:space="preserve"> SEQ Gráfica \* ARABIC </w:instrText>
      </w:r>
      <w:r>
        <w:fldChar w:fldCharType="separate"/>
      </w:r>
      <w:r w:rsidR="00625BEB">
        <w:rPr>
          <w:noProof/>
        </w:rPr>
        <w:t>50</w:t>
      </w:r>
      <w:r>
        <w:fldChar w:fldCharType="end"/>
      </w:r>
      <w:r>
        <w:t xml:space="preserve"> </w:t>
      </w:r>
      <w:r w:rsidRPr="00D52AA5">
        <w:t>Cantidad transportada Puerto Salgar – Mansilla 10”</w:t>
      </w:r>
      <w:bookmarkEnd w:id="1263"/>
    </w:p>
    <w:p w:rsidR="0083557B" w:rsidRPr="000331D2" w:rsidRDefault="0083557B" w:rsidP="00391FB3">
      <w:pPr>
        <w:pStyle w:val="Ttulo2"/>
        <w:rPr>
          <w:sz w:val="24"/>
          <w:szCs w:val="24"/>
          <w:lang w:val="es-CO"/>
        </w:rPr>
      </w:pPr>
      <w:bookmarkStart w:id="1264" w:name="_Toc427336579"/>
      <w:bookmarkStart w:id="1265" w:name="_Toc427681871"/>
      <w:bookmarkStart w:id="1266" w:name="_Toc433276802"/>
      <w:bookmarkStart w:id="1267" w:name="_Toc433295784"/>
      <w:bookmarkStart w:id="1268" w:name="_Toc433296509"/>
      <w:bookmarkStart w:id="1269" w:name="_Toc437500938"/>
      <w:bookmarkStart w:id="1270" w:name="_Toc437501597"/>
      <w:bookmarkStart w:id="1271" w:name="_Toc437501777"/>
      <w:bookmarkStart w:id="1272" w:name="_Toc437501867"/>
      <w:bookmarkStart w:id="1273" w:name="_Toc437502630"/>
      <w:bookmarkStart w:id="1274" w:name="_Toc437505990"/>
      <w:bookmarkStart w:id="1275" w:name="_Toc437512803"/>
      <w:r w:rsidRPr="000331D2">
        <w:rPr>
          <w:sz w:val="24"/>
          <w:szCs w:val="24"/>
        </w:rPr>
        <w:lastRenderedPageBreak/>
        <w:t xml:space="preserve">Puerto Salgar </w:t>
      </w:r>
      <w:r w:rsidRPr="000331D2">
        <w:rPr>
          <w:rStyle w:val="Ttulo2Car"/>
          <w:sz w:val="24"/>
          <w:szCs w:val="24"/>
        </w:rPr>
        <w:t>–</w:t>
      </w:r>
      <w:r w:rsidRPr="000331D2">
        <w:rPr>
          <w:sz w:val="24"/>
          <w:szCs w:val="24"/>
        </w:rPr>
        <w:t xml:space="preserve"> Mansilla 8”</w:t>
      </w:r>
      <w:bookmarkEnd w:id="1264"/>
      <w:bookmarkEnd w:id="1265"/>
      <w:bookmarkEnd w:id="1266"/>
      <w:bookmarkEnd w:id="1267"/>
      <w:bookmarkEnd w:id="1268"/>
      <w:bookmarkEnd w:id="1269"/>
      <w:bookmarkEnd w:id="1270"/>
      <w:bookmarkEnd w:id="1271"/>
      <w:bookmarkEnd w:id="1272"/>
      <w:bookmarkEnd w:id="1273"/>
      <w:bookmarkEnd w:id="1274"/>
      <w:bookmarkEnd w:id="1275"/>
      <w:r w:rsidR="00B266FA" w:rsidRPr="000331D2">
        <w:rPr>
          <w:sz w:val="24"/>
          <w:szCs w:val="24"/>
          <w:lang w:val="es-CO"/>
        </w:rPr>
        <w:t xml:space="preserve"> </w:t>
      </w:r>
    </w:p>
    <w:p w:rsidR="00C066D9" w:rsidRPr="000331D2" w:rsidRDefault="00C066D9" w:rsidP="00C066D9">
      <w:pPr>
        <w:contextualSpacing/>
        <w:rPr>
          <w:sz w:val="24"/>
          <w:lang w:val="es-CO"/>
        </w:rPr>
      </w:pPr>
      <w:r w:rsidRPr="000331D2">
        <w:rPr>
          <w:rFonts w:cs="Arial"/>
          <w:sz w:val="24"/>
          <w:lang w:val="es-ES_tradnl"/>
        </w:rPr>
        <w:t>El tramo Puerto Salgar – Mansilla de 8 pulgadas corresponde a un ducto dedicado al transporte de GLP</w:t>
      </w:r>
      <w:r w:rsidR="00455928" w:rsidRPr="000331D2">
        <w:rPr>
          <w:rFonts w:cs="Arial"/>
          <w:sz w:val="24"/>
          <w:lang w:val="es-ES_tradnl"/>
        </w:rPr>
        <w:t xml:space="preserve"> </w:t>
      </w:r>
      <w:r w:rsidRPr="000331D2">
        <w:rPr>
          <w:rFonts w:cs="Arial"/>
          <w:sz w:val="24"/>
          <w:lang w:val="es-ES_tradnl"/>
        </w:rPr>
        <w:t>con una capacidad nominal de transporte de 14,4 kbd. En promedio se han transportado 0,2 kbd en el periodo analizado de abril de 2013 a abril de 2015, lo que indica que el porcentaje de utilización promedio de este ducto ha sido de 1,4% con una volatilidad mensual de la cantidad transportada de 28,3%. La gráfica muestra claramente el descenso en la cantidad transportada de GLP, reportando la ocupación más baja de todo el sistema de transporte por ductos.</w:t>
      </w:r>
    </w:p>
    <w:p w:rsidR="00C066D9" w:rsidRPr="00C066D9" w:rsidRDefault="00C066D9" w:rsidP="00C066D9">
      <w:pPr>
        <w:rPr>
          <w:lang w:val="es-CO"/>
        </w:rPr>
      </w:pPr>
    </w:p>
    <w:p w:rsidR="0083557B" w:rsidRPr="004859E4" w:rsidRDefault="0083557B" w:rsidP="0083557B">
      <w:pPr>
        <w:pStyle w:val="Ttulo"/>
        <w:rPr>
          <w:lang w:val="es-CO"/>
        </w:rPr>
      </w:pPr>
      <w:r w:rsidRPr="004859E4">
        <w:rPr>
          <w:noProof/>
          <w:lang w:val="es-CO" w:eastAsia="es-CO"/>
        </w:rPr>
        <w:drawing>
          <wp:inline distT="0" distB="0" distL="0" distR="0" wp14:anchorId="79F6CB11" wp14:editId="0BD951D3">
            <wp:extent cx="5568286" cy="2306472"/>
            <wp:effectExtent l="0" t="0" r="13970" b="1778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3557B" w:rsidRDefault="0083557B" w:rsidP="0083557B">
      <w:pPr>
        <w:ind w:left="193"/>
        <w:contextualSpacing/>
        <w:rPr>
          <w:rFonts w:cs="Arial"/>
          <w:sz w:val="16"/>
        </w:rPr>
      </w:pPr>
      <w:r w:rsidRPr="004859E4">
        <w:rPr>
          <w:rFonts w:cs="Arial"/>
          <w:sz w:val="16"/>
        </w:rPr>
        <w:t>Fuente: Cálculos CREG. Datos Cenit.</w:t>
      </w:r>
    </w:p>
    <w:p w:rsidR="00010004" w:rsidRDefault="00010004" w:rsidP="00010004">
      <w:pPr>
        <w:pStyle w:val="Epgrafe"/>
      </w:pPr>
      <w:bookmarkStart w:id="1276" w:name="_Toc437512888"/>
      <w:r>
        <w:t xml:space="preserve">Gráfica </w:t>
      </w:r>
      <w:r>
        <w:fldChar w:fldCharType="begin"/>
      </w:r>
      <w:r>
        <w:instrText xml:space="preserve"> SEQ Gráfica \* ARABIC </w:instrText>
      </w:r>
      <w:r>
        <w:fldChar w:fldCharType="separate"/>
      </w:r>
      <w:r w:rsidR="00625BEB">
        <w:rPr>
          <w:noProof/>
        </w:rPr>
        <w:t>51</w:t>
      </w:r>
      <w:r>
        <w:fldChar w:fldCharType="end"/>
      </w:r>
      <w:r>
        <w:t xml:space="preserve"> </w:t>
      </w:r>
      <w:r w:rsidRPr="00686188">
        <w:t>Cantidad transportada Puerto Salgar – Mansilla 8”</w:t>
      </w:r>
      <w:bookmarkEnd w:id="1276"/>
    </w:p>
    <w:p w:rsidR="00BA3FB3" w:rsidRPr="00BA3FB3" w:rsidRDefault="00BA3FB3" w:rsidP="00BA3FB3">
      <w:pPr>
        <w:rPr>
          <w:sz w:val="32"/>
        </w:rPr>
      </w:pPr>
    </w:p>
    <w:p w:rsidR="0083557B" w:rsidRPr="000331D2" w:rsidRDefault="0083557B" w:rsidP="00BA3FB3">
      <w:pPr>
        <w:pStyle w:val="Ttulo2"/>
        <w:spacing w:before="0"/>
        <w:rPr>
          <w:sz w:val="24"/>
          <w:szCs w:val="24"/>
        </w:rPr>
      </w:pPr>
      <w:bookmarkStart w:id="1277" w:name="_Toc427336580"/>
      <w:bookmarkStart w:id="1278" w:name="_Toc427681872"/>
      <w:bookmarkStart w:id="1279" w:name="_Toc433276803"/>
      <w:bookmarkStart w:id="1280" w:name="_Toc433295785"/>
      <w:bookmarkStart w:id="1281" w:name="_Toc433296510"/>
      <w:bookmarkStart w:id="1282" w:name="_Toc437500939"/>
      <w:bookmarkStart w:id="1283" w:name="_Toc437501598"/>
      <w:bookmarkStart w:id="1284" w:name="_Toc437501778"/>
      <w:bookmarkStart w:id="1285" w:name="_Toc437501868"/>
      <w:bookmarkStart w:id="1286" w:name="_Toc437502631"/>
      <w:bookmarkStart w:id="1287" w:name="_Toc437505991"/>
      <w:bookmarkStart w:id="1288" w:name="_Toc437512804"/>
      <w:r w:rsidRPr="000331D2">
        <w:rPr>
          <w:sz w:val="24"/>
          <w:szCs w:val="24"/>
        </w:rPr>
        <w:t>Mansilla – Puente Aranda</w:t>
      </w:r>
      <w:bookmarkEnd w:id="1277"/>
      <w:bookmarkEnd w:id="1278"/>
      <w:bookmarkEnd w:id="1279"/>
      <w:bookmarkEnd w:id="1280"/>
      <w:bookmarkEnd w:id="1281"/>
      <w:bookmarkEnd w:id="1282"/>
      <w:bookmarkEnd w:id="1283"/>
      <w:bookmarkEnd w:id="1284"/>
      <w:bookmarkEnd w:id="1285"/>
      <w:bookmarkEnd w:id="1286"/>
      <w:bookmarkEnd w:id="1287"/>
      <w:bookmarkEnd w:id="1288"/>
    </w:p>
    <w:p w:rsidR="00455928" w:rsidRDefault="00455928" w:rsidP="00455928">
      <w:pPr>
        <w:contextualSpacing/>
        <w:rPr>
          <w:rFonts w:cs="Arial"/>
          <w:sz w:val="24"/>
          <w:lang w:val="es-ES_tradnl"/>
        </w:rPr>
      </w:pPr>
      <w:r w:rsidRPr="000331D2">
        <w:rPr>
          <w:rFonts w:cs="Arial"/>
          <w:sz w:val="24"/>
          <w:lang w:val="es-ES_tradnl"/>
        </w:rPr>
        <w:t>El tramo mansilla – Puente Aranda tiene una capacidad nominal de transporte de 68,4 kbd. En promedio se han transportado 36,37 kbd en el periodo que comprende abril de 2013 a abril de 2015, lo que indica que el porcentaje de utilización promedio de este ducto ha sido de 53,2% con una volatilidad mensual de la cantidad transportada de 1,2%. Los productos que más se transportan por este tramo son: Gasolina Motor (45,81%), B2E (28,46%), B2 (14,5%) y JET A1 (14,46%).</w:t>
      </w:r>
    </w:p>
    <w:p w:rsidR="0083557B" w:rsidRPr="004859E4" w:rsidRDefault="0083557B" w:rsidP="0083557B">
      <w:pPr>
        <w:pStyle w:val="Ttulo"/>
        <w:rPr>
          <w:lang w:val="es-CO"/>
        </w:rPr>
      </w:pPr>
      <w:r w:rsidRPr="004859E4">
        <w:rPr>
          <w:noProof/>
          <w:lang w:val="es-CO" w:eastAsia="es-CO"/>
        </w:rPr>
        <w:drawing>
          <wp:inline distT="0" distB="0" distL="0" distR="0" wp14:anchorId="2B24CEDD" wp14:editId="3E20CB81">
            <wp:extent cx="6039134" cy="2060812"/>
            <wp:effectExtent l="0" t="0" r="19050" b="1587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83557B" w:rsidRDefault="0083557B" w:rsidP="0083557B">
      <w:pPr>
        <w:ind w:left="193"/>
        <w:contextualSpacing/>
        <w:rPr>
          <w:rFonts w:cs="Arial"/>
          <w:sz w:val="16"/>
        </w:rPr>
      </w:pPr>
      <w:r w:rsidRPr="004859E4">
        <w:rPr>
          <w:rFonts w:cs="Arial"/>
          <w:sz w:val="16"/>
        </w:rPr>
        <w:t>Fuente: Cálculos CREG. Datos Cenit.</w:t>
      </w:r>
    </w:p>
    <w:p w:rsidR="00010004" w:rsidRDefault="00010004" w:rsidP="00010004">
      <w:pPr>
        <w:pStyle w:val="Epgrafe"/>
      </w:pPr>
      <w:bookmarkStart w:id="1289" w:name="_Toc437512889"/>
      <w:r>
        <w:t xml:space="preserve">Gráfica </w:t>
      </w:r>
      <w:r>
        <w:fldChar w:fldCharType="begin"/>
      </w:r>
      <w:r>
        <w:instrText xml:space="preserve"> SEQ Gráfica \* ARABIC </w:instrText>
      </w:r>
      <w:r>
        <w:fldChar w:fldCharType="separate"/>
      </w:r>
      <w:r w:rsidR="00625BEB">
        <w:rPr>
          <w:noProof/>
        </w:rPr>
        <w:t>52</w:t>
      </w:r>
      <w:r>
        <w:fldChar w:fldCharType="end"/>
      </w:r>
      <w:r>
        <w:t xml:space="preserve"> </w:t>
      </w:r>
      <w:r w:rsidRPr="007B0F14">
        <w:t>Cantidad transportada Mansilla – Puente Aranda</w:t>
      </w:r>
      <w:bookmarkEnd w:id="1289"/>
    </w:p>
    <w:p w:rsidR="005D0A25" w:rsidRPr="005D0A25" w:rsidRDefault="005D0A25" w:rsidP="005D0A25">
      <w:pPr>
        <w:rPr>
          <w:sz w:val="36"/>
        </w:rPr>
      </w:pPr>
    </w:p>
    <w:p w:rsidR="0083557B" w:rsidRPr="000331D2" w:rsidRDefault="0083557B" w:rsidP="005D0A25">
      <w:pPr>
        <w:pStyle w:val="Ttulo2"/>
        <w:spacing w:before="0"/>
        <w:rPr>
          <w:sz w:val="24"/>
          <w:szCs w:val="24"/>
        </w:rPr>
      </w:pPr>
      <w:bookmarkStart w:id="1290" w:name="_Toc427336581"/>
      <w:bookmarkStart w:id="1291" w:name="_Toc427681873"/>
      <w:bookmarkStart w:id="1292" w:name="_Toc433276804"/>
      <w:bookmarkStart w:id="1293" w:name="_Toc433295786"/>
      <w:bookmarkStart w:id="1294" w:name="_Toc433296511"/>
      <w:bookmarkStart w:id="1295" w:name="_Toc437500940"/>
      <w:bookmarkStart w:id="1296" w:name="_Toc437501599"/>
      <w:bookmarkStart w:id="1297" w:name="_Toc437501779"/>
      <w:bookmarkStart w:id="1298" w:name="_Toc437501869"/>
      <w:bookmarkStart w:id="1299" w:name="_Toc437502632"/>
      <w:bookmarkStart w:id="1300" w:name="_Toc437505992"/>
      <w:bookmarkStart w:id="1301" w:name="_Toc437512805"/>
      <w:r w:rsidRPr="000331D2">
        <w:rPr>
          <w:sz w:val="24"/>
          <w:szCs w:val="24"/>
        </w:rPr>
        <w:t>Puente Aranda – El Dorado</w:t>
      </w:r>
      <w:bookmarkEnd w:id="1290"/>
      <w:bookmarkEnd w:id="1291"/>
      <w:bookmarkEnd w:id="1292"/>
      <w:bookmarkEnd w:id="1293"/>
      <w:bookmarkEnd w:id="1294"/>
      <w:bookmarkEnd w:id="1295"/>
      <w:bookmarkEnd w:id="1296"/>
      <w:bookmarkEnd w:id="1297"/>
      <w:bookmarkEnd w:id="1298"/>
      <w:bookmarkEnd w:id="1299"/>
      <w:bookmarkEnd w:id="1300"/>
      <w:bookmarkEnd w:id="1301"/>
    </w:p>
    <w:p w:rsidR="00C1719B" w:rsidRPr="000331D2" w:rsidRDefault="00C1719B" w:rsidP="00C1719B">
      <w:pPr>
        <w:rPr>
          <w:rFonts w:cs="Arial"/>
          <w:sz w:val="24"/>
          <w:lang w:val="es-CO"/>
        </w:rPr>
      </w:pPr>
      <w:r w:rsidRPr="000331D2">
        <w:rPr>
          <w:rFonts w:cs="Arial"/>
          <w:sz w:val="24"/>
          <w:lang w:val="es-CO"/>
        </w:rPr>
        <w:t xml:space="preserve">El tramo Puente Aranda – El Dorado se utiliza totalmente para el transporte de JET A1 hacia el aeropuerto. Cuenta con una capacidad nominal de  transporte de 12,6 kbd. Para el periodo que cubre abril de 2013 a abril de 2015, se transportaron en promedio 4,64 kbd, para un porcentaje de utilización  promedio de 36,6%. La </w:t>
      </w:r>
      <w:r w:rsidRPr="000331D2">
        <w:rPr>
          <w:rFonts w:cs="Arial"/>
          <w:sz w:val="24"/>
          <w:lang w:val="es-ES_tradnl"/>
        </w:rPr>
        <w:t>volatilidad mensual de la cantidad transportada ha sido de 2,9%.</w:t>
      </w:r>
    </w:p>
    <w:p w:rsidR="0083557B" w:rsidRPr="004859E4" w:rsidRDefault="0083557B" w:rsidP="0083557B">
      <w:pPr>
        <w:pStyle w:val="Ttulo"/>
        <w:rPr>
          <w:lang w:val="es-CO"/>
        </w:rPr>
      </w:pPr>
      <w:r w:rsidRPr="004859E4">
        <w:rPr>
          <w:noProof/>
          <w:lang w:val="es-CO" w:eastAsia="es-CO"/>
        </w:rPr>
        <w:drawing>
          <wp:inline distT="0" distB="0" distL="0" distR="0" wp14:anchorId="0B2BD7D4" wp14:editId="2C0389D4">
            <wp:extent cx="5691351" cy="2963917"/>
            <wp:effectExtent l="0" t="0" r="24130" b="2730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83557B" w:rsidRPr="004859E4" w:rsidRDefault="0083557B" w:rsidP="0083557B">
      <w:pPr>
        <w:ind w:left="193"/>
        <w:contextualSpacing/>
        <w:rPr>
          <w:rFonts w:cs="Arial"/>
          <w:sz w:val="16"/>
        </w:rPr>
      </w:pPr>
      <w:r w:rsidRPr="004859E4">
        <w:rPr>
          <w:rFonts w:cs="Arial"/>
          <w:sz w:val="16"/>
        </w:rPr>
        <w:t>Fuente: Cálculos CREG. Datos Cenit.</w:t>
      </w:r>
    </w:p>
    <w:p w:rsidR="005D0A25" w:rsidRDefault="00010004" w:rsidP="00010004">
      <w:pPr>
        <w:pStyle w:val="Epgrafe"/>
        <w:rPr>
          <w:noProof/>
        </w:rPr>
      </w:pPr>
      <w:bookmarkStart w:id="1302" w:name="_Toc433295874"/>
      <w:bookmarkStart w:id="1303" w:name="_Toc433296389"/>
      <w:bookmarkStart w:id="1304" w:name="_Toc437512890"/>
      <w:bookmarkStart w:id="1305" w:name="_Toc427681874"/>
      <w:bookmarkStart w:id="1306" w:name="_Toc427336582"/>
      <w:bookmarkStart w:id="1307" w:name="_Toc427333623"/>
      <w:bookmarkStart w:id="1308" w:name="_Toc424887692"/>
      <w:bookmarkStart w:id="1309" w:name="_Toc425488454"/>
      <w:bookmarkStart w:id="1310" w:name="_Toc426035103"/>
      <w:bookmarkEnd w:id="1302"/>
      <w:bookmarkEnd w:id="1303"/>
      <w:r>
        <w:t xml:space="preserve">Gráfica </w:t>
      </w:r>
      <w:r>
        <w:fldChar w:fldCharType="begin"/>
      </w:r>
      <w:r>
        <w:instrText xml:space="preserve"> SEQ Gráfica \* ARABIC </w:instrText>
      </w:r>
      <w:r>
        <w:fldChar w:fldCharType="separate"/>
      </w:r>
      <w:r w:rsidR="00625BEB">
        <w:rPr>
          <w:noProof/>
        </w:rPr>
        <w:t>53</w:t>
      </w:r>
      <w:r>
        <w:fldChar w:fldCharType="end"/>
      </w:r>
      <w:r>
        <w:t xml:space="preserve"> </w:t>
      </w:r>
      <w:r w:rsidRPr="00C41C57">
        <w:rPr>
          <w:noProof/>
        </w:rPr>
        <w:t>Cantidad Puente Aranda – El Dorado</w:t>
      </w:r>
      <w:bookmarkEnd w:id="1304"/>
    </w:p>
    <w:p w:rsidR="005F555C" w:rsidRDefault="005F555C">
      <w:pPr>
        <w:jc w:val="left"/>
        <w:rPr>
          <w:rFonts w:cs="Arial"/>
          <w:b/>
          <w:bCs/>
          <w:sz w:val="24"/>
          <w:szCs w:val="22"/>
        </w:rPr>
      </w:pPr>
      <w:r>
        <w:rPr>
          <w:rFonts w:cs="Arial"/>
          <w:b/>
          <w:bCs/>
          <w:szCs w:val="22"/>
        </w:rPr>
        <w:br w:type="page"/>
      </w:r>
    </w:p>
    <w:p w:rsidR="004547E4" w:rsidRPr="004547E4" w:rsidRDefault="004547E4" w:rsidP="00010004">
      <w:pPr>
        <w:pStyle w:val="Epgrafe"/>
        <w:rPr>
          <w:rFonts w:cs="Arial"/>
          <w:b/>
          <w:bCs/>
          <w:szCs w:val="22"/>
        </w:rPr>
      </w:pPr>
    </w:p>
    <w:bookmarkStart w:id="1311" w:name="_Toc437512806" w:displacedByCustomXml="next"/>
    <w:bookmarkStart w:id="1312" w:name="_Toc437505993" w:displacedByCustomXml="next"/>
    <w:bookmarkStart w:id="1313" w:name="_Toc437502633" w:displacedByCustomXml="next"/>
    <w:bookmarkStart w:id="1314" w:name="_Toc437501870" w:displacedByCustomXml="next"/>
    <w:bookmarkStart w:id="1315" w:name="_Toc437501780" w:displacedByCustomXml="next"/>
    <w:bookmarkStart w:id="1316" w:name="_Toc437501600" w:displacedByCustomXml="next"/>
    <w:bookmarkStart w:id="1317" w:name="_Toc437500941" w:displacedByCustomXml="next"/>
    <w:bookmarkStart w:id="1318" w:name="_Toc433276805" w:displacedByCustomXml="next"/>
    <w:bookmarkStart w:id="1319" w:name="_Toc433295787" w:displacedByCustomXml="next"/>
    <w:bookmarkStart w:id="1320" w:name="_Toc433296512" w:displacedByCustomXml="next"/>
    <w:sdt>
      <w:sdtPr>
        <w:rPr>
          <w:rFonts w:ascii="Bookman Old Style" w:hAnsi="Bookman Old Style" w:cs="Times New Roman"/>
          <w:b w:val="0"/>
          <w:caps w:val="0"/>
          <w:szCs w:val="24"/>
          <w:lang w:val="es-ES"/>
        </w:rPr>
        <w:id w:val="2145377157"/>
        <w:docPartObj>
          <w:docPartGallery w:val="Bibliographies"/>
          <w:docPartUnique/>
        </w:docPartObj>
      </w:sdtPr>
      <w:sdtEndPr/>
      <w:sdtContent>
        <w:p w:rsidR="0083557B" w:rsidRPr="005F555C" w:rsidRDefault="0083557B" w:rsidP="005F555C">
          <w:pPr>
            <w:pStyle w:val="T1"/>
            <w:tabs>
              <w:tab w:val="clear" w:pos="502"/>
              <w:tab w:val="num" w:pos="360"/>
            </w:tabs>
            <w:spacing w:before="0"/>
            <w:ind w:left="0"/>
            <w:rPr>
              <w:rFonts w:ascii="Bookman Old Style" w:hAnsi="Bookman Old Style"/>
            </w:rPr>
          </w:pPr>
          <w:r w:rsidRPr="005F555C">
            <w:rPr>
              <w:rFonts w:ascii="Bookman Old Style" w:hAnsi="Bookman Old Style"/>
            </w:rPr>
            <w:t>Bibliografía</w:t>
          </w:r>
          <w:bookmarkEnd w:id="1305"/>
          <w:bookmarkEnd w:id="1306"/>
          <w:bookmarkEnd w:id="1307"/>
          <w:bookmarkEnd w:id="1308"/>
          <w:bookmarkEnd w:id="1309"/>
          <w:bookmarkEnd w:id="1310"/>
          <w:bookmarkEnd w:id="1320"/>
          <w:bookmarkEnd w:id="1319"/>
          <w:bookmarkEnd w:id="1318"/>
          <w:bookmarkEnd w:id="1317"/>
          <w:bookmarkEnd w:id="1316"/>
          <w:bookmarkEnd w:id="1315"/>
          <w:bookmarkEnd w:id="1314"/>
          <w:bookmarkEnd w:id="1313"/>
          <w:bookmarkEnd w:id="1312"/>
          <w:bookmarkEnd w:id="1311"/>
        </w:p>
        <w:p w:rsidR="0083557B" w:rsidRPr="004859E4" w:rsidRDefault="0083557B" w:rsidP="0083557B">
          <w:pPr>
            <w:rPr>
              <w:rFonts w:cs="Arial"/>
            </w:rPr>
          </w:pPr>
        </w:p>
        <w:sdt>
          <w:sdtPr>
            <w:rPr>
              <w:rFonts w:cs="Arial"/>
            </w:rPr>
            <w:id w:val="111145805"/>
            <w:bibliography/>
          </w:sdtPr>
          <w:sdtEndPr/>
          <w:sdtContent>
            <w:p w:rsidR="00E90EA9" w:rsidRPr="00BB3232" w:rsidRDefault="0083557B" w:rsidP="00E90EA9">
              <w:pPr>
                <w:pStyle w:val="Bibliografa"/>
                <w:ind w:left="720" w:hanging="720"/>
                <w:rPr>
                  <w:noProof/>
                  <w:lang w:val="es-CO"/>
                </w:rPr>
              </w:pPr>
              <w:r w:rsidRPr="004859E4">
                <w:rPr>
                  <w:rFonts w:cs="Arial"/>
                </w:rPr>
                <w:fldChar w:fldCharType="begin"/>
              </w:r>
              <w:r w:rsidRPr="004859E4">
                <w:rPr>
                  <w:rFonts w:cs="Arial"/>
                </w:rPr>
                <w:instrText>BIBLIOGRAPHY</w:instrText>
              </w:r>
              <w:r w:rsidRPr="004859E4">
                <w:rPr>
                  <w:rFonts w:cs="Arial"/>
                </w:rPr>
                <w:fldChar w:fldCharType="separate"/>
              </w:r>
              <w:r w:rsidR="00E90EA9" w:rsidRPr="00BB3232">
                <w:rPr>
                  <w:noProof/>
                  <w:lang w:val="es-CO"/>
                </w:rPr>
                <w:t>Circular CREG 061 -2012. (n.d.). Estudio del impacto del marco regulatorio del sector de energía eléctrica, incluida la regulación de los intercambios internacionales de energía.</w:t>
              </w:r>
            </w:p>
            <w:p w:rsidR="00E90EA9" w:rsidRPr="00BB3232" w:rsidRDefault="00E90EA9" w:rsidP="00E90EA9">
              <w:pPr>
                <w:pStyle w:val="Bibliografa"/>
                <w:ind w:left="720" w:hanging="720"/>
                <w:rPr>
                  <w:noProof/>
                  <w:lang w:val="es-CO"/>
                </w:rPr>
              </w:pPr>
              <w:r w:rsidRPr="00BB3232">
                <w:rPr>
                  <w:noProof/>
                  <w:lang w:val="es-CO"/>
                </w:rPr>
                <w:t xml:space="preserve">Econometría. (2009). </w:t>
              </w:r>
              <w:r w:rsidRPr="00BB3232">
                <w:rPr>
                  <w:i/>
                  <w:iCs/>
                  <w:noProof/>
                  <w:lang w:val="es-CO"/>
                </w:rPr>
                <w:t>Revisión de la metodología tarifaria para el transporte de derivados del petróleo en poliductos y establecimiento de la tasa de remuneración de los activos.</w:t>
              </w:r>
              <w:r w:rsidRPr="00BB3232">
                <w:rPr>
                  <w:noProof/>
                  <w:lang w:val="es-CO"/>
                </w:rPr>
                <w:t xml:space="preserve"> Bogotá D.C.</w:t>
              </w:r>
            </w:p>
            <w:p w:rsidR="00E90EA9" w:rsidRPr="00BB3232" w:rsidRDefault="00E90EA9" w:rsidP="00E90EA9">
              <w:pPr>
                <w:pStyle w:val="Bibliografa"/>
                <w:ind w:left="720" w:hanging="720"/>
                <w:rPr>
                  <w:noProof/>
                  <w:lang w:val="es-CO"/>
                </w:rPr>
              </w:pPr>
              <w:r w:rsidRPr="00BB3232">
                <w:rPr>
                  <w:noProof/>
                  <w:lang w:val="es-CO"/>
                </w:rPr>
                <w:t xml:space="preserve">SNC- Lavalin. (2014). </w:t>
              </w:r>
              <w:r w:rsidRPr="00BB3232">
                <w:rPr>
                  <w:i/>
                  <w:iCs/>
                  <w:noProof/>
                  <w:lang w:val="es-CO"/>
                </w:rPr>
                <w:t>Análisis base para definir la metodología de remuneración de transporte de combustibles líquidos por ductos.</w:t>
              </w:r>
              <w:r w:rsidRPr="00BB3232">
                <w:rPr>
                  <w:noProof/>
                  <w:lang w:val="es-CO"/>
                </w:rPr>
                <w:t xml:space="preserve"> Bogotá D.C.</w:t>
              </w:r>
            </w:p>
            <w:p w:rsidR="00E90EA9" w:rsidRPr="00BB3232" w:rsidRDefault="00E90EA9" w:rsidP="00E90EA9">
              <w:pPr>
                <w:pStyle w:val="Bibliografa"/>
                <w:ind w:left="720" w:hanging="720"/>
                <w:rPr>
                  <w:noProof/>
                  <w:lang w:val="es-CO"/>
                </w:rPr>
              </w:pPr>
              <w:r w:rsidRPr="00BB3232">
                <w:rPr>
                  <w:noProof/>
                  <w:lang w:val="es-CO"/>
                </w:rPr>
                <w:t xml:space="preserve">Sumatoria S.A.S. (2013). </w:t>
              </w:r>
              <w:r w:rsidRPr="00BB3232">
                <w:rPr>
                  <w:i/>
                  <w:iCs/>
                  <w:noProof/>
                  <w:lang w:val="es-CO"/>
                </w:rPr>
                <w:t>Propuesta de un esquema de regulación económica para la actividad de transporte de derivados de petróleo por poliductos .</w:t>
              </w:r>
              <w:r w:rsidRPr="00BB3232">
                <w:rPr>
                  <w:noProof/>
                  <w:lang w:val="es-CO"/>
                </w:rPr>
                <w:t xml:space="preserve"> Bogotá D.C.</w:t>
              </w:r>
            </w:p>
            <w:p w:rsidR="00E90EA9" w:rsidRDefault="00E90EA9" w:rsidP="00E90EA9">
              <w:pPr>
                <w:pStyle w:val="Bibliografa"/>
                <w:ind w:left="720" w:hanging="720"/>
                <w:rPr>
                  <w:noProof/>
                  <w:lang w:val="en-US"/>
                </w:rPr>
              </w:pPr>
              <w:r w:rsidRPr="00BB3232">
                <w:rPr>
                  <w:noProof/>
                  <w:lang w:val="es-CO"/>
                </w:rPr>
                <w:t xml:space="preserve">Sumatoria S.A.S. (2015). </w:t>
              </w:r>
              <w:r w:rsidRPr="00BB3232">
                <w:rPr>
                  <w:i/>
                  <w:iCs/>
                  <w:noProof/>
                  <w:lang w:val="es-CO"/>
                </w:rPr>
                <w:t>Consultoría para el análisis y actualización del estudio de márgenes de la gasolina y el diésel contratado por el MME en el 2011, con el fin de aplicarlo en el esquema tarifario de la CREG.</w:t>
              </w:r>
              <w:r w:rsidRPr="00BB3232">
                <w:rPr>
                  <w:noProof/>
                  <w:lang w:val="es-CO"/>
                </w:rPr>
                <w:t xml:space="preserve"> </w:t>
              </w:r>
              <w:r>
                <w:rPr>
                  <w:noProof/>
                  <w:lang w:val="en-US"/>
                </w:rPr>
                <w:t>Bogotá.</w:t>
              </w:r>
            </w:p>
            <w:p w:rsidR="0083557B" w:rsidRPr="004859E4" w:rsidRDefault="0083557B" w:rsidP="00E90EA9">
              <w:pPr>
                <w:rPr>
                  <w:rFonts w:cs="Arial"/>
                </w:rPr>
              </w:pPr>
              <w:r w:rsidRPr="004859E4">
                <w:rPr>
                  <w:rFonts w:cs="Arial"/>
                  <w:b/>
                  <w:bCs/>
                </w:rPr>
                <w:fldChar w:fldCharType="end"/>
              </w:r>
            </w:p>
          </w:sdtContent>
        </w:sdt>
      </w:sdtContent>
    </w:sdt>
    <w:p w:rsidR="0083557B" w:rsidRPr="004859E4" w:rsidRDefault="0083557B" w:rsidP="0083557B">
      <w:pPr>
        <w:tabs>
          <w:tab w:val="center" w:pos="4512"/>
          <w:tab w:val="left" w:pos="7088"/>
        </w:tabs>
        <w:suppressAutoHyphens/>
        <w:ind w:right="51"/>
        <w:rPr>
          <w:rFonts w:cs="Arial"/>
          <w:b/>
          <w:color w:val="000000"/>
        </w:rPr>
      </w:pPr>
    </w:p>
    <w:p w:rsidR="00620294" w:rsidRDefault="00620294" w:rsidP="0083557B"/>
    <w:p w:rsidR="00BA3FB3" w:rsidRDefault="00BA3FB3" w:rsidP="0083557B"/>
    <w:p w:rsidR="008A07BF" w:rsidRDefault="008A07BF" w:rsidP="0083557B"/>
    <w:p w:rsidR="008A07BF" w:rsidRDefault="008A07BF" w:rsidP="0083557B"/>
    <w:p w:rsidR="00BA3FB3" w:rsidRDefault="00BA3FB3" w:rsidP="0083557B"/>
    <w:p w:rsidR="00BA3FB3" w:rsidRDefault="00BA3FB3" w:rsidP="0083557B"/>
    <w:tbl>
      <w:tblPr>
        <w:tblW w:w="10187" w:type="dxa"/>
        <w:jc w:val="center"/>
        <w:tblLayout w:type="fixed"/>
        <w:tblCellMar>
          <w:left w:w="70" w:type="dxa"/>
          <w:right w:w="70" w:type="dxa"/>
        </w:tblCellMar>
        <w:tblLook w:val="0000" w:firstRow="0" w:lastRow="0" w:firstColumn="0" w:lastColumn="0" w:noHBand="0" w:noVBand="0"/>
      </w:tblPr>
      <w:tblGrid>
        <w:gridCol w:w="5696"/>
        <w:gridCol w:w="4491"/>
      </w:tblGrid>
      <w:tr w:rsidR="00BA3FB3" w:rsidRPr="00437FEA" w:rsidTr="00C77B93">
        <w:trPr>
          <w:trHeight w:val="391"/>
          <w:jc w:val="center"/>
        </w:trPr>
        <w:tc>
          <w:tcPr>
            <w:tcW w:w="5696" w:type="dxa"/>
            <w:vAlign w:val="center"/>
          </w:tcPr>
          <w:p w:rsidR="00BA3FB3" w:rsidRPr="00437FEA" w:rsidRDefault="00BA3FB3" w:rsidP="00C77B93">
            <w:pPr>
              <w:snapToGrid w:val="0"/>
              <w:ind w:firstLine="27"/>
              <w:jc w:val="center"/>
              <w:rPr>
                <w:rFonts w:cs="Arial"/>
                <w:b/>
                <w:spacing w:val="-3"/>
                <w:sz w:val="24"/>
              </w:rPr>
            </w:pPr>
            <w:r w:rsidRPr="00437FEA">
              <w:rPr>
                <w:rFonts w:cs="Arial"/>
                <w:b/>
                <w:spacing w:val="-3"/>
                <w:sz w:val="24"/>
              </w:rPr>
              <w:t>CARLOS FERNANDO ERASO</w:t>
            </w:r>
            <w:r w:rsidR="00996520">
              <w:rPr>
                <w:rFonts w:cs="Arial"/>
                <w:b/>
                <w:spacing w:val="-3"/>
                <w:sz w:val="24"/>
              </w:rPr>
              <w:t xml:space="preserve"> CALERO</w:t>
            </w:r>
            <w:r w:rsidRPr="00437FEA">
              <w:rPr>
                <w:rFonts w:cs="Arial"/>
                <w:b/>
                <w:spacing w:val="-3"/>
                <w:sz w:val="24"/>
              </w:rPr>
              <w:t xml:space="preserve"> </w:t>
            </w:r>
          </w:p>
        </w:tc>
        <w:tc>
          <w:tcPr>
            <w:tcW w:w="4491" w:type="dxa"/>
            <w:vAlign w:val="center"/>
          </w:tcPr>
          <w:p w:rsidR="00BA3FB3" w:rsidRPr="00437FEA" w:rsidRDefault="005D0A25" w:rsidP="00C77B93">
            <w:pPr>
              <w:snapToGrid w:val="0"/>
              <w:ind w:left="72"/>
              <w:jc w:val="center"/>
              <w:rPr>
                <w:rFonts w:cs="Arial"/>
                <w:b/>
                <w:spacing w:val="-3"/>
                <w:sz w:val="24"/>
              </w:rPr>
            </w:pPr>
            <w:r>
              <w:rPr>
                <w:rFonts w:cs="Arial"/>
                <w:b/>
                <w:spacing w:val="-3"/>
                <w:sz w:val="24"/>
              </w:rPr>
              <w:t>GERMÁN CASTRO FERREIRA</w:t>
            </w:r>
          </w:p>
        </w:tc>
      </w:tr>
      <w:tr w:rsidR="00BA3FB3" w:rsidRPr="00437FEA" w:rsidTr="00C77B93">
        <w:trPr>
          <w:trHeight w:val="349"/>
          <w:jc w:val="center"/>
        </w:trPr>
        <w:tc>
          <w:tcPr>
            <w:tcW w:w="5696" w:type="dxa"/>
          </w:tcPr>
          <w:p w:rsidR="00BA3FB3" w:rsidRPr="00437FEA" w:rsidRDefault="00BA3FB3" w:rsidP="00C77B93">
            <w:pPr>
              <w:snapToGrid w:val="0"/>
              <w:ind w:firstLine="27"/>
              <w:jc w:val="center"/>
              <w:rPr>
                <w:rFonts w:cs="Arial"/>
                <w:spacing w:val="-3"/>
                <w:sz w:val="24"/>
              </w:rPr>
            </w:pPr>
            <w:r w:rsidRPr="00437FEA">
              <w:rPr>
                <w:rFonts w:cs="Arial"/>
                <w:spacing w:val="-3"/>
                <w:sz w:val="24"/>
              </w:rPr>
              <w:t>Viceministro de Energía</w:t>
            </w:r>
          </w:p>
        </w:tc>
        <w:tc>
          <w:tcPr>
            <w:tcW w:w="4491" w:type="dxa"/>
          </w:tcPr>
          <w:p w:rsidR="00BA3FB3" w:rsidRPr="00437FEA" w:rsidRDefault="00BA3FB3" w:rsidP="00C77B93">
            <w:pPr>
              <w:tabs>
                <w:tab w:val="left" w:pos="-720"/>
              </w:tabs>
              <w:snapToGrid w:val="0"/>
              <w:jc w:val="center"/>
              <w:rPr>
                <w:rFonts w:cs="Arial"/>
                <w:spacing w:val="-3"/>
                <w:sz w:val="24"/>
              </w:rPr>
            </w:pPr>
            <w:r w:rsidRPr="00437FEA">
              <w:rPr>
                <w:rFonts w:cs="Arial"/>
                <w:spacing w:val="-3"/>
                <w:sz w:val="24"/>
              </w:rPr>
              <w:t>Director Ejecutivo</w:t>
            </w:r>
            <w:r w:rsidR="005D0A25">
              <w:rPr>
                <w:rFonts w:cs="Arial"/>
                <w:spacing w:val="-3"/>
                <w:sz w:val="24"/>
              </w:rPr>
              <w:t xml:space="preserve"> (E)</w:t>
            </w:r>
          </w:p>
        </w:tc>
      </w:tr>
      <w:tr w:rsidR="00BA3FB3" w:rsidRPr="00437FEA" w:rsidTr="00C77B93">
        <w:trPr>
          <w:jc w:val="center"/>
        </w:trPr>
        <w:tc>
          <w:tcPr>
            <w:tcW w:w="5696" w:type="dxa"/>
          </w:tcPr>
          <w:p w:rsidR="00BA3FB3" w:rsidRPr="00437FEA" w:rsidRDefault="00BA3FB3" w:rsidP="00C77B93">
            <w:pPr>
              <w:snapToGrid w:val="0"/>
              <w:ind w:firstLine="27"/>
              <w:jc w:val="center"/>
              <w:rPr>
                <w:rFonts w:cs="Arial"/>
                <w:spacing w:val="-3"/>
                <w:sz w:val="24"/>
              </w:rPr>
            </w:pPr>
            <w:r w:rsidRPr="00437FEA">
              <w:rPr>
                <w:rFonts w:cs="Arial"/>
                <w:spacing w:val="-3"/>
                <w:sz w:val="24"/>
              </w:rPr>
              <w:t>Delegado del Ministro de Minas y Energía</w:t>
            </w:r>
          </w:p>
        </w:tc>
        <w:tc>
          <w:tcPr>
            <w:tcW w:w="4491" w:type="dxa"/>
          </w:tcPr>
          <w:p w:rsidR="00BA3FB3" w:rsidRPr="00437FEA" w:rsidRDefault="00BA3FB3" w:rsidP="00C77B93">
            <w:pPr>
              <w:tabs>
                <w:tab w:val="left" w:pos="-720"/>
              </w:tabs>
              <w:snapToGrid w:val="0"/>
              <w:jc w:val="center"/>
              <w:rPr>
                <w:rFonts w:cs="Arial"/>
                <w:spacing w:val="-3"/>
                <w:sz w:val="24"/>
              </w:rPr>
            </w:pPr>
          </w:p>
        </w:tc>
      </w:tr>
      <w:tr w:rsidR="00BA3FB3" w:rsidRPr="00437FEA" w:rsidTr="00C77B93">
        <w:trPr>
          <w:jc w:val="center"/>
        </w:trPr>
        <w:tc>
          <w:tcPr>
            <w:tcW w:w="5696" w:type="dxa"/>
          </w:tcPr>
          <w:p w:rsidR="00BA3FB3" w:rsidRPr="00437FEA" w:rsidRDefault="00BA3FB3" w:rsidP="00C77B93">
            <w:pPr>
              <w:snapToGrid w:val="0"/>
              <w:ind w:firstLine="27"/>
              <w:jc w:val="center"/>
              <w:rPr>
                <w:rFonts w:cs="Arial"/>
                <w:spacing w:val="-3"/>
                <w:sz w:val="24"/>
              </w:rPr>
            </w:pPr>
            <w:r w:rsidRPr="00437FEA">
              <w:rPr>
                <w:rFonts w:cs="Arial"/>
                <w:spacing w:val="-3"/>
                <w:sz w:val="24"/>
              </w:rPr>
              <w:t>Presidente</w:t>
            </w:r>
          </w:p>
        </w:tc>
        <w:tc>
          <w:tcPr>
            <w:tcW w:w="4491" w:type="dxa"/>
          </w:tcPr>
          <w:p w:rsidR="00BA3FB3" w:rsidRPr="00437FEA" w:rsidRDefault="00BA3FB3" w:rsidP="00C77B93">
            <w:pPr>
              <w:tabs>
                <w:tab w:val="left" w:pos="-720"/>
              </w:tabs>
              <w:snapToGrid w:val="0"/>
              <w:jc w:val="center"/>
              <w:rPr>
                <w:rFonts w:cs="Arial"/>
                <w:spacing w:val="-3"/>
                <w:sz w:val="24"/>
              </w:rPr>
            </w:pPr>
          </w:p>
        </w:tc>
      </w:tr>
    </w:tbl>
    <w:p w:rsidR="00BA3FB3" w:rsidRPr="0083557B" w:rsidRDefault="00BA3FB3" w:rsidP="0083557B"/>
    <w:sectPr w:rsidR="00BA3FB3" w:rsidRPr="0083557B" w:rsidSect="00316322">
      <w:headerReference w:type="default" r:id="rId72"/>
      <w:headerReference w:type="first" r:id="rId73"/>
      <w:pgSz w:w="12242" w:h="18722" w:code="198"/>
      <w:pgMar w:top="2341" w:right="1185" w:bottom="1758" w:left="1701" w:header="709" w:footer="709" w:gutter="0"/>
      <w:cols w:space="708"/>
      <w:titlePg/>
      <w:docGrid w:linePitch="360"/>
    </w:sectPr>
  </w:body>
</w:document>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1D003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BBE" w:rsidRDefault="001D1BBE">
      <w:r>
        <w:separator/>
      </w:r>
    </w:p>
  </w:endnote>
  <w:endnote w:type="continuationSeparator" w:id="0">
    <w:p w:rsidR="001D1BBE" w:rsidRDefault="001D1BBE">
      <w:r>
        <w:continuationSeparator/>
      </w:r>
    </w:p>
  </w:endnote>
  <w:endnote w:type="continuationNotice" w:id="1">
    <w:p w:rsidR="001D1BBE" w:rsidRDefault="001D1B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BBE" w:rsidRDefault="001D1BBE">
      <w:r>
        <w:separator/>
      </w:r>
    </w:p>
  </w:footnote>
  <w:footnote w:type="continuationSeparator" w:id="0">
    <w:p w:rsidR="001D1BBE" w:rsidRDefault="001D1BBE">
      <w:r>
        <w:continuationSeparator/>
      </w:r>
    </w:p>
  </w:footnote>
  <w:footnote w:type="continuationNotice" w:id="1">
    <w:p w:rsidR="001D1BBE" w:rsidRDefault="001D1BBE"/>
  </w:footnote>
  <w:footnote w:id="2">
    <w:p w:rsidR="001D1BBE" w:rsidRDefault="001D1BBE">
      <w:pPr>
        <w:pStyle w:val="Textonotapie"/>
      </w:pPr>
      <w:r>
        <w:rPr>
          <w:rStyle w:val="Refdenotaalpie"/>
        </w:rPr>
        <w:footnoteRef/>
      </w:r>
      <w:r>
        <w:t xml:space="preserve"> Fuente Cenit</w:t>
      </w:r>
    </w:p>
  </w:footnote>
  <w:footnote w:id="3">
    <w:p w:rsidR="001D1BBE" w:rsidRDefault="001D1BBE" w:rsidP="0083557B">
      <w:pPr>
        <w:pStyle w:val="Textonotapie"/>
      </w:pPr>
      <w:r>
        <w:rPr>
          <w:rStyle w:val="Refdenotaalpie"/>
        </w:rPr>
        <w:footnoteRef/>
      </w:r>
      <w:r>
        <w:t xml:space="preserve"> </w:t>
      </w:r>
      <w:r w:rsidRPr="00700DA9">
        <w:rPr>
          <w:rFonts w:ascii="Bookman Old Style" w:hAnsi="Bookman Old Style"/>
        </w:rPr>
        <w:t xml:space="preserve">Se han incluido en este análisis los ductos troncales en el entendido de que lo que es transportado a través de estos ductos es el total de lo que se </w:t>
      </w:r>
      <w:r>
        <w:rPr>
          <w:rFonts w:ascii="Bookman Old Style" w:hAnsi="Bookman Old Style"/>
        </w:rPr>
        <w:t>re</w:t>
      </w:r>
      <w:r w:rsidRPr="00700DA9">
        <w:rPr>
          <w:rFonts w:ascii="Bookman Old Style" w:hAnsi="Bookman Old Style"/>
        </w:rPr>
        <w:t xml:space="preserve">distribuye a </w:t>
      </w:r>
      <w:r>
        <w:rPr>
          <w:rFonts w:ascii="Bookman Old Style" w:hAnsi="Bookman Old Style"/>
        </w:rPr>
        <w:t>través de todo el sistema.</w:t>
      </w:r>
    </w:p>
  </w:footnote>
  <w:footnote w:id="4">
    <w:p w:rsidR="001D1BBE" w:rsidRPr="00297616" w:rsidRDefault="001D1BBE" w:rsidP="00297616">
      <w:pPr>
        <w:autoSpaceDE w:val="0"/>
        <w:autoSpaceDN w:val="0"/>
        <w:adjustRightInd w:val="0"/>
        <w:jc w:val="left"/>
        <w:rPr>
          <w:rFonts w:ascii="Cambria" w:hAnsi="Cambria" w:cs="Cambria"/>
          <w:sz w:val="20"/>
          <w:szCs w:val="20"/>
          <w:lang w:val="en-US" w:eastAsia="es-CO"/>
        </w:rPr>
      </w:pPr>
      <w:r>
        <w:rPr>
          <w:rStyle w:val="Refdenotaalpie"/>
        </w:rPr>
        <w:footnoteRef/>
      </w:r>
      <w:r w:rsidRPr="00297616">
        <w:rPr>
          <w:lang w:val="en-US"/>
        </w:rPr>
        <w:t xml:space="preserve"> </w:t>
      </w:r>
      <w:r w:rsidRPr="00297616">
        <w:rPr>
          <w:rFonts w:ascii="Cambria" w:hAnsi="Cambria" w:cs="Cambria"/>
          <w:sz w:val="20"/>
          <w:szCs w:val="20"/>
          <w:lang w:val="en-US" w:eastAsia="es-CO"/>
        </w:rPr>
        <w:t>Joskow, Paul L, Incentive regulation in theory and practice: electricity distribution and transmission</w:t>
      </w:r>
    </w:p>
    <w:p w:rsidR="001D1BBE" w:rsidRDefault="001D1BBE" w:rsidP="00297616">
      <w:pPr>
        <w:pStyle w:val="Textonotapie"/>
      </w:pPr>
      <w:r>
        <w:rPr>
          <w:rFonts w:ascii="Cambria" w:hAnsi="Cambria" w:cs="Cambria"/>
          <w:lang w:eastAsia="es-CO"/>
        </w:rPr>
        <w:t>networks, MIT, January, 2006.</w:t>
      </w:r>
    </w:p>
  </w:footnote>
  <w:footnote w:id="5">
    <w:p w:rsidR="001D1BBE" w:rsidRDefault="001D1BBE" w:rsidP="0083557B">
      <w:pPr>
        <w:pStyle w:val="Textonotapie"/>
      </w:pPr>
      <w:r>
        <w:rPr>
          <w:rStyle w:val="Refdenotaalpie"/>
        </w:rPr>
        <w:footnoteRef/>
      </w:r>
      <w:r>
        <w:t xml:space="preserve"> </w:t>
      </w:r>
      <w:r w:rsidRPr="002B5BDC">
        <w:rPr>
          <w:rFonts w:ascii="Bookman Old Style" w:hAnsi="Bookman Old Style"/>
        </w:rPr>
        <w:t>La resolución</w:t>
      </w:r>
      <w:r>
        <w:rPr>
          <w:rFonts w:ascii="Bookman Old Style" w:hAnsi="Bookman Old Style"/>
        </w:rPr>
        <w:t xml:space="preserve"> CREG 153 de 2014 que modificó la resolución CREG </w:t>
      </w:r>
      <w:r w:rsidRPr="002B5BDC">
        <w:rPr>
          <w:rFonts w:ascii="Bookman Old Style" w:hAnsi="Bookman Old Style"/>
        </w:rPr>
        <w:t>092 de 20</w:t>
      </w:r>
      <w:r>
        <w:rPr>
          <w:rFonts w:ascii="Bookman Old Style" w:hAnsi="Bookman Old Style"/>
        </w:rPr>
        <w:t>0</w:t>
      </w:r>
      <w:r w:rsidRPr="002B5BDC">
        <w:rPr>
          <w:rFonts w:ascii="Bookman Old Style" w:hAnsi="Bookman Old Style"/>
        </w:rPr>
        <w:t>9 establece que l</w:t>
      </w:r>
      <w:r w:rsidRPr="002B5BDC">
        <w:rPr>
          <w:rFonts w:ascii="Bookman Old Style" w:hAnsi="Bookman Old Style" w:cs="Arial"/>
        </w:rPr>
        <w:t>a capacidad de transporte por tramo de ducto corresponde a la capacidad nominal del ducto para el caso de los propanoductos y a la cantidad promedio de GLP transportado durante los últimos cinco años para el caso de los poliductos (en toneladas por día – TOND o miles de barriles día -KBD)</w:t>
      </w:r>
      <w:r>
        <w:rPr>
          <w:rFonts w:ascii="Bookman Old Style" w:hAnsi="Bookman Old Style"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BBE" w:rsidRDefault="001D1BBE" w:rsidP="0020638E">
    <w:pPr>
      <w:ind w:left="142"/>
    </w:pPr>
  </w:p>
  <w:p w:rsidR="001D1BBE" w:rsidRPr="00951F79" w:rsidRDefault="001D1BBE" w:rsidP="0020638E">
    <w:r w:rsidRPr="00654384">
      <w:t>RESOLUCIÓN No.</w:t>
    </w:r>
    <w:r>
      <w:t xml:space="preserve">  ________________</w:t>
    </w:r>
    <w:r w:rsidRPr="00654384">
      <w:tab/>
    </w:r>
    <w:r>
      <w:t>DE ________________</w:t>
    </w:r>
    <w:r>
      <w:tab/>
    </w:r>
    <w:r w:rsidRPr="00654384">
      <w:t xml:space="preserve">HOJA No. </w:t>
    </w:r>
    <w:r w:rsidRPr="00654384">
      <w:fldChar w:fldCharType="begin"/>
    </w:r>
    <w:r w:rsidRPr="00654384">
      <w:instrText xml:space="preserve"> PAGE   \* MERGEFORMAT </w:instrText>
    </w:r>
    <w:r w:rsidRPr="00654384">
      <w:fldChar w:fldCharType="separate"/>
    </w:r>
    <w:r w:rsidR="004B021B">
      <w:rPr>
        <w:noProof/>
      </w:rPr>
      <w:t>76</w:t>
    </w:r>
    <w:r w:rsidRPr="00654384">
      <w:fldChar w:fldCharType="end"/>
    </w:r>
    <w:r w:rsidRPr="00654384">
      <w:t>/</w:t>
    </w:r>
    <w:r w:rsidR="004B021B">
      <w:fldChar w:fldCharType="begin"/>
    </w:r>
    <w:r w:rsidR="004B021B">
      <w:instrText xml:space="preserve"> NUMPAGES  \* MERGEFORMAT </w:instrText>
    </w:r>
    <w:r w:rsidR="004B021B">
      <w:fldChar w:fldCharType="separate"/>
    </w:r>
    <w:r w:rsidR="004B021B">
      <w:rPr>
        <w:noProof/>
      </w:rPr>
      <w:t>76</w:t>
    </w:r>
    <w:r w:rsidR="004B021B">
      <w:rPr>
        <w:noProof/>
      </w:rPr>
      <w:fldChar w:fldCharType="end"/>
    </w:r>
  </w:p>
  <w:p w:rsidR="001D1BBE" w:rsidRDefault="001D1BBE" w:rsidP="00AD01E4">
    <w:pPr>
      <w:ind w:left="142" w:right="148"/>
      <w:rPr>
        <w:rFonts w:cs="Arial"/>
      </w:rPr>
    </w:pPr>
    <w:r>
      <w:rPr>
        <w:noProof/>
        <w:lang w:val="es-CO" w:eastAsia="es-CO"/>
      </w:rPr>
      <mc:AlternateContent>
        <mc:Choice Requires="wps">
          <w:drawing>
            <wp:anchor distT="0" distB="0" distL="114300" distR="114300" simplePos="0" relativeHeight="251658241" behindDoc="0" locked="0" layoutInCell="1" allowOverlap="1" wp14:anchorId="21D5BD8F" wp14:editId="1FD5D4C4">
              <wp:simplePos x="0" y="0"/>
              <wp:positionH relativeFrom="column">
                <wp:posOffset>-175260</wp:posOffset>
              </wp:positionH>
              <wp:positionV relativeFrom="paragraph">
                <wp:posOffset>139065</wp:posOffset>
              </wp:positionV>
              <wp:extent cx="6267450" cy="9900920"/>
              <wp:effectExtent l="9525" t="12065" r="9525" b="1206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99009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1" o:spid="_x0000_s1026" style="position:absolute;margin-left:-13.8pt;margin-top:10.95pt;width:493.5pt;height:779.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" filled="f" strokeweight="1.5pt"/>
          </w:pict>
        </mc:Fallback>
      </mc:AlternateContent>
    </w:r>
  </w:p>
  <w:p w:rsidR="001D1BBE" w:rsidRPr="003D09E0" w:rsidRDefault="001D1BBE" w:rsidP="003C4E6E">
    <w:pPr>
      <w:pBdr>
        <w:bottom w:val="single" w:sz="4" w:space="1" w:color="auto"/>
      </w:pBdr>
      <w:rPr>
        <w:b/>
        <w:sz w:val="24"/>
      </w:rPr>
    </w:pPr>
    <w:r w:rsidRPr="003D09E0">
      <w:rPr>
        <w:bCs/>
        <w:sz w:val="24"/>
      </w:rPr>
      <w:t xml:space="preserve">Por la cual se presenta a los agentes de la cadena, usuarios y terceros interesados, las </w:t>
    </w:r>
    <w:r w:rsidRPr="003D09E0">
      <w:rPr>
        <w:sz w:val="24"/>
      </w:rPr>
      <w:t>bases sobre las cuales la Comisión efectuará los estudios para determinar la metodología tarifaria para la remuneración del transporte de combustibles líquidos y GLP por ductos.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1BBE" w:rsidRDefault="001D1BBE" w:rsidP="00025383">
    <w:pPr>
      <w:pStyle w:val="Encabezado"/>
      <w:rPr>
        <w:rFonts w:ascii="Arial" w:hAnsi="Arial" w:cs="Arial"/>
        <w:spacing w:val="20"/>
        <w:sz w:val="20"/>
      </w:rPr>
    </w:pPr>
    <w:r>
      <w:rPr>
        <w:rFonts w:ascii="Arial" w:hAnsi="Arial" w:cs="Arial"/>
        <w:spacing w:val="20"/>
        <w:sz w:val="20"/>
      </w:rPr>
      <w:t xml:space="preserve">                                            República de Colombia</w:t>
    </w:r>
  </w:p>
  <w:p w:rsidR="001D1BBE" w:rsidRDefault="001D1BBE">
    <w:pPr>
      <w:pStyle w:val="Encabezado"/>
      <w:jc w:val="center"/>
      <w:rPr>
        <w:rFonts w:ascii="Arial" w:hAnsi="Arial" w:cs="Arial"/>
        <w:spacing w:val="20"/>
        <w:sz w:val="20"/>
      </w:rPr>
    </w:pPr>
  </w:p>
  <w:p w:rsidR="001D1BBE" w:rsidRDefault="004B021B" w:rsidP="00CA77FB">
    <w:pPr>
      <w:pStyle w:val="Encabezado"/>
      <w:jc w:val="center"/>
    </w:pPr>
    <w:r>
      <w:rPr>
        <w:rFonts w:ascii="Arial" w:hAnsi="Arial" w:cs="Arial"/>
        <w:noProof/>
        <w:spacing w:val="20"/>
        <w:sz w:val="20"/>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41" type="#_x0000_t75" style="position:absolute;left:0;text-align:left;margin-left:206.15pt;margin-top:5.25pt;width:52.5pt;height:48.75pt;z-index:251659266" fillcolor="#0c9">
          <v:imagedata r:id="rId1" o:title=""/>
        </v:shape>
        <o:OLEObject Type="Embed" ProgID="PBrush" ShapeID="_x0000_s10241" DrawAspect="Content" ObjectID="_1513750681" r:id="rId2"/>
      </w:pict>
    </w:r>
    <w:r w:rsidR="001D1BBE">
      <w:rPr>
        <w:rFonts w:ascii="Arial" w:hAnsi="Arial" w:cs="Arial"/>
        <w:noProof/>
        <w:spacing w:val="20"/>
        <w:sz w:val="20"/>
        <w:lang w:eastAsia="es-CO"/>
      </w:rPr>
      <mc:AlternateContent>
        <mc:Choice Requires="wps">
          <w:drawing>
            <wp:anchor distT="0" distB="0" distL="114300" distR="114300" simplePos="0" relativeHeight="251658242" behindDoc="0" locked="0" layoutInCell="1" allowOverlap="1" wp14:anchorId="598C1551" wp14:editId="6E1AB62A">
              <wp:simplePos x="0" y="0"/>
              <wp:positionH relativeFrom="column">
                <wp:posOffset>-213360</wp:posOffset>
              </wp:positionH>
              <wp:positionV relativeFrom="paragraph">
                <wp:posOffset>377190</wp:posOffset>
              </wp:positionV>
              <wp:extent cx="6343650" cy="9839325"/>
              <wp:effectExtent l="9525" t="14605" r="952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0" cy="98393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id="Rectangle 2" o:spid="_x0000_s1026" style="position:absolute;margin-left:-16.8pt;margin-top:29.7pt;width:499.5pt;height:774.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" filled="f" strokeweight="1.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F"/>
    <w:multiLevelType w:val="multilevel"/>
    <w:tmpl w:val="0000001F"/>
    <w:name w:val="WW8StyleNum"/>
    <w:lvl w:ilvl="0">
      <w:start w:val="1"/>
      <w:numFmt w:val="lowerLetter"/>
      <w:pStyle w:val="Vietaletra"/>
      <w:lvlText w:val="%1)"/>
      <w:lvlJc w:val="left"/>
      <w:pPr>
        <w:tabs>
          <w:tab w:val="num" w:pos="36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1">
    <w:nsid w:val="0275639B"/>
    <w:multiLevelType w:val="hybridMultilevel"/>
    <w:tmpl w:val="17D6D7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9A3260"/>
    <w:multiLevelType w:val="hybridMultilevel"/>
    <w:tmpl w:val="9A0C24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nsid w:val="08973FBA"/>
    <w:multiLevelType w:val="hybridMultilevel"/>
    <w:tmpl w:val="FD30B762"/>
    <w:lvl w:ilvl="0" w:tplc="240A0001">
      <w:start w:val="1"/>
      <w:numFmt w:val="bullet"/>
      <w:lvlText w:val=""/>
      <w:lvlJc w:val="left"/>
      <w:pPr>
        <w:ind w:left="735" w:hanging="360"/>
      </w:pPr>
      <w:rPr>
        <w:rFonts w:ascii="Symbol" w:hAnsi="Symbol" w:hint="default"/>
      </w:rPr>
    </w:lvl>
    <w:lvl w:ilvl="1" w:tplc="240A0003" w:tentative="1">
      <w:start w:val="1"/>
      <w:numFmt w:val="bullet"/>
      <w:lvlText w:val="o"/>
      <w:lvlJc w:val="left"/>
      <w:pPr>
        <w:ind w:left="1455" w:hanging="360"/>
      </w:pPr>
      <w:rPr>
        <w:rFonts w:ascii="Courier New" w:hAnsi="Courier New" w:cs="Courier New" w:hint="default"/>
      </w:rPr>
    </w:lvl>
    <w:lvl w:ilvl="2" w:tplc="240A0005" w:tentative="1">
      <w:start w:val="1"/>
      <w:numFmt w:val="bullet"/>
      <w:lvlText w:val=""/>
      <w:lvlJc w:val="left"/>
      <w:pPr>
        <w:ind w:left="2175" w:hanging="360"/>
      </w:pPr>
      <w:rPr>
        <w:rFonts w:ascii="Wingdings" w:hAnsi="Wingdings" w:hint="default"/>
      </w:rPr>
    </w:lvl>
    <w:lvl w:ilvl="3" w:tplc="240A0001" w:tentative="1">
      <w:start w:val="1"/>
      <w:numFmt w:val="bullet"/>
      <w:lvlText w:val=""/>
      <w:lvlJc w:val="left"/>
      <w:pPr>
        <w:ind w:left="2895" w:hanging="360"/>
      </w:pPr>
      <w:rPr>
        <w:rFonts w:ascii="Symbol" w:hAnsi="Symbol" w:hint="default"/>
      </w:rPr>
    </w:lvl>
    <w:lvl w:ilvl="4" w:tplc="240A0003" w:tentative="1">
      <w:start w:val="1"/>
      <w:numFmt w:val="bullet"/>
      <w:lvlText w:val="o"/>
      <w:lvlJc w:val="left"/>
      <w:pPr>
        <w:ind w:left="3615" w:hanging="360"/>
      </w:pPr>
      <w:rPr>
        <w:rFonts w:ascii="Courier New" w:hAnsi="Courier New" w:cs="Courier New" w:hint="default"/>
      </w:rPr>
    </w:lvl>
    <w:lvl w:ilvl="5" w:tplc="240A0005" w:tentative="1">
      <w:start w:val="1"/>
      <w:numFmt w:val="bullet"/>
      <w:lvlText w:val=""/>
      <w:lvlJc w:val="left"/>
      <w:pPr>
        <w:ind w:left="4335" w:hanging="360"/>
      </w:pPr>
      <w:rPr>
        <w:rFonts w:ascii="Wingdings" w:hAnsi="Wingdings" w:hint="default"/>
      </w:rPr>
    </w:lvl>
    <w:lvl w:ilvl="6" w:tplc="240A0001" w:tentative="1">
      <w:start w:val="1"/>
      <w:numFmt w:val="bullet"/>
      <w:lvlText w:val=""/>
      <w:lvlJc w:val="left"/>
      <w:pPr>
        <w:ind w:left="5055" w:hanging="360"/>
      </w:pPr>
      <w:rPr>
        <w:rFonts w:ascii="Symbol" w:hAnsi="Symbol" w:hint="default"/>
      </w:rPr>
    </w:lvl>
    <w:lvl w:ilvl="7" w:tplc="240A0003" w:tentative="1">
      <w:start w:val="1"/>
      <w:numFmt w:val="bullet"/>
      <w:lvlText w:val="o"/>
      <w:lvlJc w:val="left"/>
      <w:pPr>
        <w:ind w:left="5775" w:hanging="360"/>
      </w:pPr>
      <w:rPr>
        <w:rFonts w:ascii="Courier New" w:hAnsi="Courier New" w:cs="Courier New" w:hint="default"/>
      </w:rPr>
    </w:lvl>
    <w:lvl w:ilvl="8" w:tplc="240A0005" w:tentative="1">
      <w:start w:val="1"/>
      <w:numFmt w:val="bullet"/>
      <w:lvlText w:val=""/>
      <w:lvlJc w:val="left"/>
      <w:pPr>
        <w:ind w:left="6495" w:hanging="360"/>
      </w:pPr>
      <w:rPr>
        <w:rFonts w:ascii="Wingdings" w:hAnsi="Wingdings" w:hint="default"/>
      </w:rPr>
    </w:lvl>
  </w:abstractNum>
  <w:abstractNum w:abstractNumId="4">
    <w:nsid w:val="0E42208F"/>
    <w:multiLevelType w:val="hybridMultilevel"/>
    <w:tmpl w:val="592A0668"/>
    <w:lvl w:ilvl="0" w:tplc="AE5C9114">
      <w:start w:val="1"/>
      <w:numFmt w:val="lowerLetter"/>
      <w:lvlText w:val="%1)"/>
      <w:lvlJc w:val="left"/>
      <w:pPr>
        <w:tabs>
          <w:tab w:val="num" w:pos="750"/>
        </w:tabs>
        <w:ind w:left="750" w:hanging="39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9DA780E"/>
    <w:multiLevelType w:val="multilevel"/>
    <w:tmpl w:val="FD9269DC"/>
    <w:lvl w:ilvl="0">
      <w:start w:val="1"/>
      <w:numFmt w:val="decimal"/>
      <w:pStyle w:val="Ttulo1"/>
      <w:lvlText w:val="%1"/>
      <w:lvlJc w:val="left"/>
      <w:pPr>
        <w:tabs>
          <w:tab w:val="num" w:pos="502"/>
        </w:tabs>
        <w:ind w:left="142" w:firstLine="0"/>
      </w:pPr>
      <w:rPr>
        <w:rFonts w:ascii="Bookman Old Style" w:hAnsi="Bookman Old Style" w:cs="Times New Roman" w:hint="default"/>
        <w:b/>
        <w:i w:val="0"/>
        <w:sz w:val="24"/>
        <w:szCs w:val="22"/>
      </w:rPr>
    </w:lvl>
    <w:lvl w:ilvl="1">
      <w:start w:val="1"/>
      <w:numFmt w:val="decimal"/>
      <w:pStyle w:val="Ttulo2"/>
      <w:lvlText w:val="%1.%2."/>
      <w:lvlJc w:val="left"/>
      <w:pPr>
        <w:tabs>
          <w:tab w:val="num" w:pos="720"/>
        </w:tabs>
        <w:ind w:left="0" w:firstLine="0"/>
      </w:pPr>
      <w:rPr>
        <w:rFonts w:hint="default"/>
        <w:b/>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tabs>
          <w:tab w:val="num" w:pos="1288"/>
        </w:tabs>
        <w:ind w:left="568" w:firstLine="0"/>
      </w:pPr>
      <w:rPr>
        <w:rFonts w:cs="Times New Roman"/>
        <w:b/>
        <w:i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Ttulo4"/>
      <w:lvlText w:val="%1.%2.%3.%4."/>
      <w:lvlJc w:val="left"/>
      <w:pPr>
        <w:tabs>
          <w:tab w:val="num" w:pos="10436"/>
        </w:tabs>
        <w:ind w:left="9356" w:firstLine="0"/>
      </w:pPr>
      <w:rPr>
        <w:rFonts w:cs="Times New Roman"/>
        <w:i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tulo5"/>
      <w:lvlText w:val="%1.%2.%3.%4.%5."/>
      <w:lvlJc w:val="left"/>
      <w:pPr>
        <w:tabs>
          <w:tab w:val="num" w:pos="1080"/>
        </w:tabs>
        <w:ind w:left="0" w:firstLine="0"/>
      </w:pPr>
      <w:rPr>
        <w:rFonts w:ascii="Bookman Old Style" w:hAnsi="Bookman Old Style" w:cs="Times New Roman" w:hint="default"/>
        <w:b/>
        <w:i w:val="0"/>
        <w:sz w:val="24"/>
        <w:szCs w:val="24"/>
      </w:rPr>
    </w:lvl>
    <w:lvl w:ilvl="5">
      <w:start w:val="1"/>
      <w:numFmt w:val="decimal"/>
      <w:lvlText w:val="%1.%2.%3.%4.%5.%6."/>
      <w:lvlJc w:val="left"/>
      <w:pPr>
        <w:tabs>
          <w:tab w:val="num" w:pos="0"/>
        </w:tabs>
        <w:ind w:left="0" w:firstLine="0"/>
      </w:pPr>
      <w:rPr>
        <w:rFonts w:ascii="Arial" w:hAnsi="Arial" w:cs="Times New Roman" w:hint="default"/>
        <w:b/>
        <w:i w:val="0"/>
        <w:sz w:val="24"/>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6">
    <w:nsid w:val="1F290EBC"/>
    <w:multiLevelType w:val="hybridMultilevel"/>
    <w:tmpl w:val="3A8C9B3C"/>
    <w:lvl w:ilvl="0" w:tplc="240A0019">
      <w:start w:val="1"/>
      <w:numFmt w:val="lowerLetter"/>
      <w:lvlText w:val="%1."/>
      <w:lvlJc w:val="left"/>
      <w:pPr>
        <w:ind w:left="1080" w:hanging="720"/>
      </w:pPr>
      <w:rPr>
        <w:rFonts w:hint="default"/>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3005F65"/>
    <w:multiLevelType w:val="hybridMultilevel"/>
    <w:tmpl w:val="E52EB4E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24796AD3"/>
    <w:multiLevelType w:val="hybridMultilevel"/>
    <w:tmpl w:val="B8BE06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295C5DDB"/>
    <w:multiLevelType w:val="hybridMultilevel"/>
    <w:tmpl w:val="B6D81F5A"/>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31CB7103"/>
    <w:multiLevelType w:val="hybridMultilevel"/>
    <w:tmpl w:val="81CAA0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278738F"/>
    <w:multiLevelType w:val="hybridMultilevel"/>
    <w:tmpl w:val="16A28A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3C66D34"/>
    <w:multiLevelType w:val="hybridMultilevel"/>
    <w:tmpl w:val="4E06D6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3">
    <w:nsid w:val="3FF56304"/>
    <w:multiLevelType w:val="hybridMultilevel"/>
    <w:tmpl w:val="ACA24F82"/>
    <w:lvl w:ilvl="0" w:tplc="90B4DA9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49FE6BF2"/>
    <w:multiLevelType w:val="hybridMultilevel"/>
    <w:tmpl w:val="4B6492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ADA54AC"/>
    <w:multiLevelType w:val="hybridMultilevel"/>
    <w:tmpl w:val="386E32F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6">
    <w:nsid w:val="51BF6587"/>
    <w:multiLevelType w:val="hybridMultilevel"/>
    <w:tmpl w:val="8F4A841C"/>
    <w:lvl w:ilvl="0" w:tplc="A99407C0">
      <w:start w:val="1"/>
      <w:numFmt w:val="bullet"/>
      <w:lvlText w:val="•"/>
      <w:lvlJc w:val="left"/>
      <w:pPr>
        <w:tabs>
          <w:tab w:val="num" w:pos="360"/>
        </w:tabs>
        <w:ind w:left="360" w:hanging="360"/>
      </w:pPr>
      <w:rPr>
        <w:rFonts w:ascii="Arial" w:hAnsi="Arial" w:hint="default"/>
      </w:rPr>
    </w:lvl>
    <w:lvl w:ilvl="1" w:tplc="9814BEFC" w:tentative="1">
      <w:start w:val="1"/>
      <w:numFmt w:val="bullet"/>
      <w:lvlText w:val="•"/>
      <w:lvlJc w:val="left"/>
      <w:pPr>
        <w:tabs>
          <w:tab w:val="num" w:pos="1080"/>
        </w:tabs>
        <w:ind w:left="1080" w:hanging="360"/>
      </w:pPr>
      <w:rPr>
        <w:rFonts w:ascii="Arial" w:hAnsi="Arial" w:hint="default"/>
      </w:rPr>
    </w:lvl>
    <w:lvl w:ilvl="2" w:tplc="6F6E3E9C" w:tentative="1">
      <w:start w:val="1"/>
      <w:numFmt w:val="bullet"/>
      <w:lvlText w:val="•"/>
      <w:lvlJc w:val="left"/>
      <w:pPr>
        <w:tabs>
          <w:tab w:val="num" w:pos="1800"/>
        </w:tabs>
        <w:ind w:left="1800" w:hanging="360"/>
      </w:pPr>
      <w:rPr>
        <w:rFonts w:ascii="Arial" w:hAnsi="Arial" w:hint="default"/>
      </w:rPr>
    </w:lvl>
    <w:lvl w:ilvl="3" w:tplc="6B949228" w:tentative="1">
      <w:start w:val="1"/>
      <w:numFmt w:val="bullet"/>
      <w:lvlText w:val="•"/>
      <w:lvlJc w:val="left"/>
      <w:pPr>
        <w:tabs>
          <w:tab w:val="num" w:pos="2520"/>
        </w:tabs>
        <w:ind w:left="2520" w:hanging="360"/>
      </w:pPr>
      <w:rPr>
        <w:rFonts w:ascii="Arial" w:hAnsi="Arial" w:hint="default"/>
      </w:rPr>
    </w:lvl>
    <w:lvl w:ilvl="4" w:tplc="7570C32E" w:tentative="1">
      <w:start w:val="1"/>
      <w:numFmt w:val="bullet"/>
      <w:lvlText w:val="•"/>
      <w:lvlJc w:val="left"/>
      <w:pPr>
        <w:tabs>
          <w:tab w:val="num" w:pos="3240"/>
        </w:tabs>
        <w:ind w:left="3240" w:hanging="360"/>
      </w:pPr>
      <w:rPr>
        <w:rFonts w:ascii="Arial" w:hAnsi="Arial" w:hint="default"/>
      </w:rPr>
    </w:lvl>
    <w:lvl w:ilvl="5" w:tplc="3DBCCC2A" w:tentative="1">
      <w:start w:val="1"/>
      <w:numFmt w:val="bullet"/>
      <w:lvlText w:val="•"/>
      <w:lvlJc w:val="left"/>
      <w:pPr>
        <w:tabs>
          <w:tab w:val="num" w:pos="3960"/>
        </w:tabs>
        <w:ind w:left="3960" w:hanging="360"/>
      </w:pPr>
      <w:rPr>
        <w:rFonts w:ascii="Arial" w:hAnsi="Arial" w:hint="default"/>
      </w:rPr>
    </w:lvl>
    <w:lvl w:ilvl="6" w:tplc="0B52B96C" w:tentative="1">
      <w:start w:val="1"/>
      <w:numFmt w:val="bullet"/>
      <w:lvlText w:val="•"/>
      <w:lvlJc w:val="left"/>
      <w:pPr>
        <w:tabs>
          <w:tab w:val="num" w:pos="4680"/>
        </w:tabs>
        <w:ind w:left="4680" w:hanging="360"/>
      </w:pPr>
      <w:rPr>
        <w:rFonts w:ascii="Arial" w:hAnsi="Arial" w:hint="default"/>
      </w:rPr>
    </w:lvl>
    <w:lvl w:ilvl="7" w:tplc="F37A2B1E" w:tentative="1">
      <w:start w:val="1"/>
      <w:numFmt w:val="bullet"/>
      <w:lvlText w:val="•"/>
      <w:lvlJc w:val="left"/>
      <w:pPr>
        <w:tabs>
          <w:tab w:val="num" w:pos="5400"/>
        </w:tabs>
        <w:ind w:left="5400" w:hanging="360"/>
      </w:pPr>
      <w:rPr>
        <w:rFonts w:ascii="Arial" w:hAnsi="Arial" w:hint="default"/>
      </w:rPr>
    </w:lvl>
    <w:lvl w:ilvl="8" w:tplc="8B20B7C0" w:tentative="1">
      <w:start w:val="1"/>
      <w:numFmt w:val="bullet"/>
      <w:lvlText w:val="•"/>
      <w:lvlJc w:val="left"/>
      <w:pPr>
        <w:tabs>
          <w:tab w:val="num" w:pos="6120"/>
        </w:tabs>
        <w:ind w:left="6120" w:hanging="360"/>
      </w:pPr>
      <w:rPr>
        <w:rFonts w:ascii="Arial" w:hAnsi="Arial" w:hint="default"/>
      </w:rPr>
    </w:lvl>
  </w:abstractNum>
  <w:abstractNum w:abstractNumId="17">
    <w:nsid w:val="52001590"/>
    <w:multiLevelType w:val="hybridMultilevel"/>
    <w:tmpl w:val="CEFAE7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56071E49"/>
    <w:multiLevelType w:val="hybridMultilevel"/>
    <w:tmpl w:val="144E30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D3D4936"/>
    <w:multiLevelType w:val="hybridMultilevel"/>
    <w:tmpl w:val="CD3E3804"/>
    <w:lvl w:ilvl="0" w:tplc="240A0001">
      <w:start w:val="1"/>
      <w:numFmt w:val="bullet"/>
      <w:lvlText w:val=""/>
      <w:lvlJc w:val="left"/>
      <w:pPr>
        <w:ind w:left="735" w:hanging="360"/>
      </w:pPr>
      <w:rPr>
        <w:rFonts w:ascii="Symbol" w:hAnsi="Symbol" w:hint="default"/>
      </w:rPr>
    </w:lvl>
    <w:lvl w:ilvl="1" w:tplc="240A0003" w:tentative="1">
      <w:start w:val="1"/>
      <w:numFmt w:val="bullet"/>
      <w:lvlText w:val="o"/>
      <w:lvlJc w:val="left"/>
      <w:pPr>
        <w:ind w:left="1455" w:hanging="360"/>
      </w:pPr>
      <w:rPr>
        <w:rFonts w:ascii="Courier New" w:hAnsi="Courier New" w:cs="Courier New" w:hint="default"/>
      </w:rPr>
    </w:lvl>
    <w:lvl w:ilvl="2" w:tplc="240A0005" w:tentative="1">
      <w:start w:val="1"/>
      <w:numFmt w:val="bullet"/>
      <w:lvlText w:val=""/>
      <w:lvlJc w:val="left"/>
      <w:pPr>
        <w:ind w:left="2175" w:hanging="360"/>
      </w:pPr>
      <w:rPr>
        <w:rFonts w:ascii="Wingdings" w:hAnsi="Wingdings" w:hint="default"/>
      </w:rPr>
    </w:lvl>
    <w:lvl w:ilvl="3" w:tplc="240A0001" w:tentative="1">
      <w:start w:val="1"/>
      <w:numFmt w:val="bullet"/>
      <w:lvlText w:val=""/>
      <w:lvlJc w:val="left"/>
      <w:pPr>
        <w:ind w:left="2895" w:hanging="360"/>
      </w:pPr>
      <w:rPr>
        <w:rFonts w:ascii="Symbol" w:hAnsi="Symbol" w:hint="default"/>
      </w:rPr>
    </w:lvl>
    <w:lvl w:ilvl="4" w:tplc="240A0003" w:tentative="1">
      <w:start w:val="1"/>
      <w:numFmt w:val="bullet"/>
      <w:lvlText w:val="o"/>
      <w:lvlJc w:val="left"/>
      <w:pPr>
        <w:ind w:left="3615" w:hanging="360"/>
      </w:pPr>
      <w:rPr>
        <w:rFonts w:ascii="Courier New" w:hAnsi="Courier New" w:cs="Courier New" w:hint="default"/>
      </w:rPr>
    </w:lvl>
    <w:lvl w:ilvl="5" w:tplc="240A0005" w:tentative="1">
      <w:start w:val="1"/>
      <w:numFmt w:val="bullet"/>
      <w:lvlText w:val=""/>
      <w:lvlJc w:val="left"/>
      <w:pPr>
        <w:ind w:left="4335" w:hanging="360"/>
      </w:pPr>
      <w:rPr>
        <w:rFonts w:ascii="Wingdings" w:hAnsi="Wingdings" w:hint="default"/>
      </w:rPr>
    </w:lvl>
    <w:lvl w:ilvl="6" w:tplc="240A0001" w:tentative="1">
      <w:start w:val="1"/>
      <w:numFmt w:val="bullet"/>
      <w:lvlText w:val=""/>
      <w:lvlJc w:val="left"/>
      <w:pPr>
        <w:ind w:left="5055" w:hanging="360"/>
      </w:pPr>
      <w:rPr>
        <w:rFonts w:ascii="Symbol" w:hAnsi="Symbol" w:hint="default"/>
      </w:rPr>
    </w:lvl>
    <w:lvl w:ilvl="7" w:tplc="240A0003" w:tentative="1">
      <w:start w:val="1"/>
      <w:numFmt w:val="bullet"/>
      <w:lvlText w:val="o"/>
      <w:lvlJc w:val="left"/>
      <w:pPr>
        <w:ind w:left="5775" w:hanging="360"/>
      </w:pPr>
      <w:rPr>
        <w:rFonts w:ascii="Courier New" w:hAnsi="Courier New" w:cs="Courier New" w:hint="default"/>
      </w:rPr>
    </w:lvl>
    <w:lvl w:ilvl="8" w:tplc="240A0005" w:tentative="1">
      <w:start w:val="1"/>
      <w:numFmt w:val="bullet"/>
      <w:lvlText w:val=""/>
      <w:lvlJc w:val="left"/>
      <w:pPr>
        <w:ind w:left="6495" w:hanging="360"/>
      </w:pPr>
      <w:rPr>
        <w:rFonts w:ascii="Wingdings" w:hAnsi="Wingdings" w:hint="default"/>
      </w:rPr>
    </w:lvl>
  </w:abstractNum>
  <w:abstractNum w:abstractNumId="20">
    <w:nsid w:val="619B4D21"/>
    <w:multiLevelType w:val="hybridMultilevel"/>
    <w:tmpl w:val="767CD8A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1">
    <w:nsid w:val="69B801B7"/>
    <w:multiLevelType w:val="hybridMultilevel"/>
    <w:tmpl w:val="DBC80D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BDD3DD7"/>
    <w:multiLevelType w:val="hybridMultilevel"/>
    <w:tmpl w:val="4A04D3C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71BE5C96"/>
    <w:multiLevelType w:val="hybridMultilevel"/>
    <w:tmpl w:val="3D125FE4"/>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4">
    <w:nsid w:val="73136BC9"/>
    <w:multiLevelType w:val="hybridMultilevel"/>
    <w:tmpl w:val="B7A826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3432BD8"/>
    <w:multiLevelType w:val="hybridMultilevel"/>
    <w:tmpl w:val="7E0857EC"/>
    <w:lvl w:ilvl="0" w:tplc="AC409332">
      <w:start w:val="1"/>
      <w:numFmt w:val="decimal"/>
      <w:pStyle w:val="ARTICULOS"/>
      <w:lvlText w:val="Artículo %1."/>
      <w:lvlJc w:val="left"/>
      <w:pPr>
        <w:ind w:left="1637" w:hanging="360"/>
      </w:pPr>
      <w:rPr>
        <w:rFonts w:ascii="Bookman Old Style" w:hAnsi="Bookman Old Style"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lang w:val="es-CO" w:eastAsia="x-none"/>
        <w:specVanish w:val="0"/>
      </w:rPr>
    </w:lvl>
    <w:lvl w:ilvl="1" w:tplc="240A0019">
      <w:start w:val="1"/>
      <w:numFmt w:val="lowerLetter"/>
      <w:lvlText w:val="%2."/>
      <w:lvlJc w:val="left"/>
      <w:pPr>
        <w:ind w:left="-338" w:hanging="360"/>
      </w:pPr>
    </w:lvl>
    <w:lvl w:ilvl="2" w:tplc="240A000F">
      <w:start w:val="1"/>
      <w:numFmt w:val="decimal"/>
      <w:lvlText w:val="%3."/>
      <w:lvlJc w:val="left"/>
      <w:pPr>
        <w:ind w:left="382" w:hanging="180"/>
      </w:pPr>
    </w:lvl>
    <w:lvl w:ilvl="3" w:tplc="F4E8F414">
      <w:start w:val="1"/>
      <w:numFmt w:val="lowerRoman"/>
      <w:lvlText w:val="%4)"/>
      <w:lvlJc w:val="left"/>
      <w:pPr>
        <w:ind w:left="1462" w:hanging="720"/>
      </w:pPr>
      <w:rPr>
        <w:rFonts w:hint="default"/>
      </w:rPr>
    </w:lvl>
    <w:lvl w:ilvl="4" w:tplc="240A0019" w:tentative="1">
      <w:start w:val="1"/>
      <w:numFmt w:val="lowerLetter"/>
      <w:lvlText w:val="%5."/>
      <w:lvlJc w:val="left"/>
      <w:pPr>
        <w:ind w:left="1822" w:hanging="360"/>
      </w:pPr>
    </w:lvl>
    <w:lvl w:ilvl="5" w:tplc="240A001B" w:tentative="1">
      <w:start w:val="1"/>
      <w:numFmt w:val="lowerRoman"/>
      <w:lvlText w:val="%6."/>
      <w:lvlJc w:val="right"/>
      <w:pPr>
        <w:ind w:left="2542" w:hanging="180"/>
      </w:pPr>
    </w:lvl>
    <w:lvl w:ilvl="6" w:tplc="240A000F" w:tentative="1">
      <w:start w:val="1"/>
      <w:numFmt w:val="decimal"/>
      <w:lvlText w:val="%7."/>
      <w:lvlJc w:val="left"/>
      <w:pPr>
        <w:ind w:left="3262" w:hanging="360"/>
      </w:pPr>
    </w:lvl>
    <w:lvl w:ilvl="7" w:tplc="240A0019" w:tentative="1">
      <w:start w:val="1"/>
      <w:numFmt w:val="lowerLetter"/>
      <w:lvlText w:val="%8."/>
      <w:lvlJc w:val="left"/>
      <w:pPr>
        <w:ind w:left="3982" w:hanging="360"/>
      </w:pPr>
    </w:lvl>
    <w:lvl w:ilvl="8" w:tplc="240A001B" w:tentative="1">
      <w:start w:val="1"/>
      <w:numFmt w:val="lowerRoman"/>
      <w:lvlText w:val="%9."/>
      <w:lvlJc w:val="right"/>
      <w:pPr>
        <w:ind w:left="4702" w:hanging="180"/>
      </w:pPr>
    </w:lvl>
  </w:abstractNum>
  <w:abstractNum w:abstractNumId="26">
    <w:nsid w:val="754B18FE"/>
    <w:multiLevelType w:val="hybridMultilevel"/>
    <w:tmpl w:val="92D8FAB8"/>
    <w:lvl w:ilvl="0" w:tplc="240A0019">
      <w:start w:val="1"/>
      <w:numFmt w:val="lowerLetter"/>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7586760B"/>
    <w:multiLevelType w:val="multilevel"/>
    <w:tmpl w:val="9A54036A"/>
    <w:lvl w:ilvl="0">
      <w:start w:val="1"/>
      <w:numFmt w:val="decimal"/>
      <w:lvlText w:val="%1"/>
      <w:lvlJc w:val="left"/>
      <w:pPr>
        <w:ind w:left="1566" w:hanging="432"/>
      </w:pPr>
      <w:rPr>
        <w:rFonts w:hint="default"/>
      </w:rPr>
    </w:lvl>
    <w:lvl w:ilvl="1">
      <w:start w:val="1"/>
      <w:numFmt w:val="decimal"/>
      <w:lvlText w:val="%1.%2"/>
      <w:lvlJc w:val="left"/>
      <w:pPr>
        <w:ind w:left="718"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862" w:hanging="720"/>
      </w:pPr>
      <w:rPr>
        <w:rFonts w:ascii="Bookman Old Style" w:hAnsi="Bookman Old Style" w:hint="default"/>
      </w:rPr>
    </w:lvl>
    <w:lvl w:ilvl="3">
      <w:start w:val="1"/>
      <w:numFmt w:val="decimal"/>
      <w:lvlText w:val="%1.%2.%3.%4"/>
      <w:lvlJc w:val="left"/>
      <w:pPr>
        <w:ind w:left="1006" w:hanging="864"/>
      </w:pPr>
      <w:rPr>
        <w:rFonts w:hint="default"/>
      </w:rPr>
    </w:lvl>
    <w:lvl w:ilvl="4">
      <w:start w:val="1"/>
      <w:numFmt w:val="decimal"/>
      <w:lvlText w:val="%1.%2.%3.%4.%5"/>
      <w:lvlJc w:val="left"/>
      <w:pPr>
        <w:ind w:left="1150" w:hanging="1008"/>
      </w:pPr>
      <w:rPr>
        <w:rFonts w:hint="default"/>
      </w:rPr>
    </w:lvl>
    <w:lvl w:ilvl="5">
      <w:start w:val="1"/>
      <w:numFmt w:val="decimal"/>
      <w:pStyle w:val="Ttulo6"/>
      <w:lvlText w:val="%1.%2.%3.%4.%5.%6"/>
      <w:lvlJc w:val="left"/>
      <w:pPr>
        <w:ind w:left="1294" w:hanging="1152"/>
      </w:pPr>
      <w:rPr>
        <w:rFonts w:hint="default"/>
      </w:rPr>
    </w:lvl>
    <w:lvl w:ilvl="6">
      <w:start w:val="1"/>
      <w:numFmt w:val="decimal"/>
      <w:pStyle w:val="Ttulo7"/>
      <w:lvlText w:val="%1.%2.%3.%4.%5.%6.%7"/>
      <w:lvlJc w:val="left"/>
      <w:pPr>
        <w:ind w:left="1438" w:hanging="1296"/>
      </w:pPr>
      <w:rPr>
        <w:rFonts w:hint="default"/>
      </w:rPr>
    </w:lvl>
    <w:lvl w:ilvl="7">
      <w:start w:val="1"/>
      <w:numFmt w:val="decimal"/>
      <w:pStyle w:val="Ttulo8"/>
      <w:lvlText w:val="%1.%2.%3.%4.%5.%6.%7.%8"/>
      <w:lvlJc w:val="left"/>
      <w:pPr>
        <w:ind w:left="1582" w:hanging="1440"/>
      </w:pPr>
      <w:rPr>
        <w:rFonts w:hint="default"/>
      </w:rPr>
    </w:lvl>
    <w:lvl w:ilvl="8">
      <w:start w:val="1"/>
      <w:numFmt w:val="decimal"/>
      <w:pStyle w:val="Ttulo9"/>
      <w:lvlText w:val="%1.%2.%3.%4.%5.%6.%7.%8.%9"/>
      <w:lvlJc w:val="left"/>
      <w:pPr>
        <w:ind w:left="1726" w:hanging="1584"/>
      </w:pPr>
      <w:rPr>
        <w:rFonts w:hint="default"/>
      </w:rPr>
    </w:lvl>
  </w:abstractNum>
  <w:abstractNum w:abstractNumId="28">
    <w:nsid w:val="765F6FE7"/>
    <w:multiLevelType w:val="hybridMultilevel"/>
    <w:tmpl w:val="63D20874"/>
    <w:lvl w:ilvl="0" w:tplc="240A0001">
      <w:start w:val="1"/>
      <w:numFmt w:val="bullet"/>
      <w:lvlText w:val=""/>
      <w:lvlJc w:val="left"/>
      <w:pPr>
        <w:ind w:left="735" w:hanging="360"/>
      </w:pPr>
      <w:rPr>
        <w:rFonts w:ascii="Symbol" w:hAnsi="Symbol" w:hint="default"/>
      </w:rPr>
    </w:lvl>
    <w:lvl w:ilvl="1" w:tplc="240A0003" w:tentative="1">
      <w:start w:val="1"/>
      <w:numFmt w:val="bullet"/>
      <w:lvlText w:val="o"/>
      <w:lvlJc w:val="left"/>
      <w:pPr>
        <w:ind w:left="1455" w:hanging="360"/>
      </w:pPr>
      <w:rPr>
        <w:rFonts w:ascii="Courier New" w:hAnsi="Courier New" w:cs="Courier New" w:hint="default"/>
      </w:rPr>
    </w:lvl>
    <w:lvl w:ilvl="2" w:tplc="240A0005" w:tentative="1">
      <w:start w:val="1"/>
      <w:numFmt w:val="bullet"/>
      <w:lvlText w:val=""/>
      <w:lvlJc w:val="left"/>
      <w:pPr>
        <w:ind w:left="2175" w:hanging="360"/>
      </w:pPr>
      <w:rPr>
        <w:rFonts w:ascii="Wingdings" w:hAnsi="Wingdings" w:hint="default"/>
      </w:rPr>
    </w:lvl>
    <w:lvl w:ilvl="3" w:tplc="240A0001" w:tentative="1">
      <w:start w:val="1"/>
      <w:numFmt w:val="bullet"/>
      <w:lvlText w:val=""/>
      <w:lvlJc w:val="left"/>
      <w:pPr>
        <w:ind w:left="2895" w:hanging="360"/>
      </w:pPr>
      <w:rPr>
        <w:rFonts w:ascii="Symbol" w:hAnsi="Symbol" w:hint="default"/>
      </w:rPr>
    </w:lvl>
    <w:lvl w:ilvl="4" w:tplc="240A0003" w:tentative="1">
      <w:start w:val="1"/>
      <w:numFmt w:val="bullet"/>
      <w:lvlText w:val="o"/>
      <w:lvlJc w:val="left"/>
      <w:pPr>
        <w:ind w:left="3615" w:hanging="360"/>
      </w:pPr>
      <w:rPr>
        <w:rFonts w:ascii="Courier New" w:hAnsi="Courier New" w:cs="Courier New" w:hint="default"/>
      </w:rPr>
    </w:lvl>
    <w:lvl w:ilvl="5" w:tplc="240A0005" w:tentative="1">
      <w:start w:val="1"/>
      <w:numFmt w:val="bullet"/>
      <w:lvlText w:val=""/>
      <w:lvlJc w:val="left"/>
      <w:pPr>
        <w:ind w:left="4335" w:hanging="360"/>
      </w:pPr>
      <w:rPr>
        <w:rFonts w:ascii="Wingdings" w:hAnsi="Wingdings" w:hint="default"/>
      </w:rPr>
    </w:lvl>
    <w:lvl w:ilvl="6" w:tplc="240A0001" w:tentative="1">
      <w:start w:val="1"/>
      <w:numFmt w:val="bullet"/>
      <w:lvlText w:val=""/>
      <w:lvlJc w:val="left"/>
      <w:pPr>
        <w:ind w:left="5055" w:hanging="360"/>
      </w:pPr>
      <w:rPr>
        <w:rFonts w:ascii="Symbol" w:hAnsi="Symbol" w:hint="default"/>
      </w:rPr>
    </w:lvl>
    <w:lvl w:ilvl="7" w:tplc="240A0003" w:tentative="1">
      <w:start w:val="1"/>
      <w:numFmt w:val="bullet"/>
      <w:lvlText w:val="o"/>
      <w:lvlJc w:val="left"/>
      <w:pPr>
        <w:ind w:left="5775" w:hanging="360"/>
      </w:pPr>
      <w:rPr>
        <w:rFonts w:ascii="Courier New" w:hAnsi="Courier New" w:cs="Courier New" w:hint="default"/>
      </w:rPr>
    </w:lvl>
    <w:lvl w:ilvl="8" w:tplc="240A0005" w:tentative="1">
      <w:start w:val="1"/>
      <w:numFmt w:val="bullet"/>
      <w:lvlText w:val=""/>
      <w:lvlJc w:val="left"/>
      <w:pPr>
        <w:ind w:left="6495" w:hanging="360"/>
      </w:pPr>
      <w:rPr>
        <w:rFonts w:ascii="Wingdings" w:hAnsi="Wingdings" w:hint="default"/>
      </w:rPr>
    </w:lvl>
  </w:abstractNum>
  <w:abstractNum w:abstractNumId="29">
    <w:nsid w:val="7A09017A"/>
    <w:multiLevelType w:val="hybridMultilevel"/>
    <w:tmpl w:val="9F3A234E"/>
    <w:lvl w:ilvl="0" w:tplc="240A0001">
      <w:start w:val="1"/>
      <w:numFmt w:val="bullet"/>
      <w:lvlText w:val=""/>
      <w:lvlJc w:val="left"/>
      <w:pPr>
        <w:ind w:left="1230" w:hanging="360"/>
      </w:pPr>
      <w:rPr>
        <w:rFonts w:ascii="Symbol" w:hAnsi="Symbol" w:hint="default"/>
      </w:rPr>
    </w:lvl>
    <w:lvl w:ilvl="1" w:tplc="240A0003">
      <w:start w:val="1"/>
      <w:numFmt w:val="bullet"/>
      <w:lvlText w:val="o"/>
      <w:lvlJc w:val="left"/>
      <w:pPr>
        <w:ind w:left="1950" w:hanging="360"/>
      </w:pPr>
      <w:rPr>
        <w:rFonts w:ascii="Courier New" w:hAnsi="Courier New" w:cs="Courier New" w:hint="default"/>
      </w:rPr>
    </w:lvl>
    <w:lvl w:ilvl="2" w:tplc="240A0005">
      <w:start w:val="1"/>
      <w:numFmt w:val="bullet"/>
      <w:lvlText w:val=""/>
      <w:lvlJc w:val="left"/>
      <w:pPr>
        <w:ind w:left="2670" w:hanging="360"/>
      </w:pPr>
      <w:rPr>
        <w:rFonts w:ascii="Wingdings" w:hAnsi="Wingdings" w:hint="default"/>
      </w:rPr>
    </w:lvl>
    <w:lvl w:ilvl="3" w:tplc="240A0001">
      <w:start w:val="1"/>
      <w:numFmt w:val="bullet"/>
      <w:lvlText w:val=""/>
      <w:lvlJc w:val="left"/>
      <w:pPr>
        <w:ind w:left="3390" w:hanging="360"/>
      </w:pPr>
      <w:rPr>
        <w:rFonts w:ascii="Symbol" w:hAnsi="Symbol" w:hint="default"/>
      </w:rPr>
    </w:lvl>
    <w:lvl w:ilvl="4" w:tplc="240A0003">
      <w:start w:val="1"/>
      <w:numFmt w:val="bullet"/>
      <w:lvlText w:val="o"/>
      <w:lvlJc w:val="left"/>
      <w:pPr>
        <w:ind w:left="4110" w:hanging="360"/>
      </w:pPr>
      <w:rPr>
        <w:rFonts w:ascii="Courier New" w:hAnsi="Courier New" w:cs="Courier New" w:hint="default"/>
      </w:rPr>
    </w:lvl>
    <w:lvl w:ilvl="5" w:tplc="240A0005">
      <w:start w:val="1"/>
      <w:numFmt w:val="bullet"/>
      <w:lvlText w:val=""/>
      <w:lvlJc w:val="left"/>
      <w:pPr>
        <w:ind w:left="4830" w:hanging="360"/>
      </w:pPr>
      <w:rPr>
        <w:rFonts w:ascii="Wingdings" w:hAnsi="Wingdings" w:hint="default"/>
      </w:rPr>
    </w:lvl>
    <w:lvl w:ilvl="6" w:tplc="240A0001">
      <w:start w:val="1"/>
      <w:numFmt w:val="bullet"/>
      <w:lvlText w:val=""/>
      <w:lvlJc w:val="left"/>
      <w:pPr>
        <w:ind w:left="5550" w:hanging="360"/>
      </w:pPr>
      <w:rPr>
        <w:rFonts w:ascii="Symbol" w:hAnsi="Symbol" w:hint="default"/>
      </w:rPr>
    </w:lvl>
    <w:lvl w:ilvl="7" w:tplc="240A0003">
      <w:start w:val="1"/>
      <w:numFmt w:val="bullet"/>
      <w:lvlText w:val="o"/>
      <w:lvlJc w:val="left"/>
      <w:pPr>
        <w:ind w:left="6270" w:hanging="360"/>
      </w:pPr>
      <w:rPr>
        <w:rFonts w:ascii="Courier New" w:hAnsi="Courier New" w:cs="Courier New" w:hint="default"/>
      </w:rPr>
    </w:lvl>
    <w:lvl w:ilvl="8" w:tplc="240A0005">
      <w:start w:val="1"/>
      <w:numFmt w:val="bullet"/>
      <w:lvlText w:val=""/>
      <w:lvlJc w:val="left"/>
      <w:pPr>
        <w:ind w:left="6990" w:hanging="360"/>
      </w:pPr>
      <w:rPr>
        <w:rFonts w:ascii="Wingdings" w:hAnsi="Wingdings" w:hint="default"/>
      </w:rPr>
    </w:lvl>
  </w:abstractNum>
  <w:abstractNum w:abstractNumId="30">
    <w:nsid w:val="7A93361C"/>
    <w:multiLevelType w:val="hybridMultilevel"/>
    <w:tmpl w:val="033214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5"/>
  </w:num>
  <w:num w:numId="4">
    <w:abstractNumId w:val="23"/>
  </w:num>
  <w:num w:numId="5">
    <w:abstractNumId w:val="15"/>
  </w:num>
  <w:num w:numId="6">
    <w:abstractNumId w:val="28"/>
  </w:num>
  <w:num w:numId="7">
    <w:abstractNumId w:val="3"/>
  </w:num>
  <w:num w:numId="8">
    <w:abstractNumId w:val="19"/>
  </w:num>
  <w:num w:numId="9">
    <w:abstractNumId w:val="4"/>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29"/>
  </w:num>
  <w:num w:numId="13">
    <w:abstractNumId w:val="5"/>
  </w:num>
  <w:num w:numId="14">
    <w:abstractNumId w:val="18"/>
  </w:num>
  <w:num w:numId="15">
    <w:abstractNumId w:val="7"/>
  </w:num>
  <w:num w:numId="16">
    <w:abstractNumId w:val="20"/>
  </w:num>
  <w:num w:numId="17">
    <w:abstractNumId w:val="11"/>
  </w:num>
  <w:num w:numId="18">
    <w:abstractNumId w:val="16"/>
  </w:num>
  <w:num w:numId="19">
    <w:abstractNumId w:val="17"/>
  </w:num>
  <w:num w:numId="20">
    <w:abstractNumId w:val="26"/>
  </w:num>
  <w:num w:numId="21">
    <w:abstractNumId w:val="6"/>
  </w:num>
  <w:num w:numId="22">
    <w:abstractNumId w:val="2"/>
  </w:num>
  <w:num w:numId="23">
    <w:abstractNumId w:val="12"/>
  </w:num>
  <w:num w:numId="24">
    <w:abstractNumId w:val="30"/>
  </w:num>
  <w:num w:numId="25">
    <w:abstractNumId w:val="8"/>
  </w:num>
  <w:num w:numId="26">
    <w:abstractNumId w:val="21"/>
  </w:num>
  <w:num w:numId="27">
    <w:abstractNumId w:val="24"/>
  </w:num>
  <w:num w:numId="28">
    <w:abstractNumId w:val="13"/>
  </w:num>
  <w:num w:numId="29">
    <w:abstractNumId w:val="22"/>
  </w:num>
  <w:num w:numId="30">
    <w:abstractNumId w:val="9"/>
  </w:num>
  <w:num w:numId="31">
    <w:abstractNumId w:val="10"/>
  </w:num>
  <w:num w:numId="32">
    <w:abstractNumId w:val="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n-US" w:vendorID="64" w:dllVersion="131078" w:nlCheck="1" w:checkStyle="0"/>
  <w:attachedTemplate r:id="rId1"/>
  <w:defaultTabStop w:val="708"/>
  <w:hyphenationZone w:val="425"/>
  <w:drawingGridHorizontalSpacing w:val="120"/>
  <w:displayHorizontalDrawingGridEvery w:val="2"/>
  <w:noPunctuationKerning/>
  <w:characterSpacingControl w:val="doNotCompress"/>
  <w:hdrShapeDefaults>
    <o:shapedefaults v:ext="edit" spidmax="10242"/>
    <o:shapelayout v:ext="edit">
      <o:idmap v:ext="edit" data="10"/>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340"/>
    <w:rsid w:val="00005338"/>
    <w:rsid w:val="00006AE2"/>
    <w:rsid w:val="00006F4A"/>
    <w:rsid w:val="000076A1"/>
    <w:rsid w:val="00007CAF"/>
    <w:rsid w:val="00007FED"/>
    <w:rsid w:val="00010004"/>
    <w:rsid w:val="00012259"/>
    <w:rsid w:val="000127D2"/>
    <w:rsid w:val="00013BA8"/>
    <w:rsid w:val="00014882"/>
    <w:rsid w:val="00017635"/>
    <w:rsid w:val="00020712"/>
    <w:rsid w:val="00023977"/>
    <w:rsid w:val="00025383"/>
    <w:rsid w:val="00026DA4"/>
    <w:rsid w:val="00032000"/>
    <w:rsid w:val="00032A16"/>
    <w:rsid w:val="00032A62"/>
    <w:rsid w:val="00032FC4"/>
    <w:rsid w:val="000331D2"/>
    <w:rsid w:val="00035A94"/>
    <w:rsid w:val="000373B0"/>
    <w:rsid w:val="00037711"/>
    <w:rsid w:val="0003796A"/>
    <w:rsid w:val="00044B15"/>
    <w:rsid w:val="000472DB"/>
    <w:rsid w:val="00047DFA"/>
    <w:rsid w:val="000501CD"/>
    <w:rsid w:val="00052265"/>
    <w:rsid w:val="000551C2"/>
    <w:rsid w:val="00056473"/>
    <w:rsid w:val="00057299"/>
    <w:rsid w:val="00061FAA"/>
    <w:rsid w:val="00063657"/>
    <w:rsid w:val="00064E45"/>
    <w:rsid w:val="00064FC5"/>
    <w:rsid w:val="00065023"/>
    <w:rsid w:val="000661C2"/>
    <w:rsid w:val="000674CD"/>
    <w:rsid w:val="000679E5"/>
    <w:rsid w:val="00076680"/>
    <w:rsid w:val="00076A1D"/>
    <w:rsid w:val="0008073E"/>
    <w:rsid w:val="00080D00"/>
    <w:rsid w:val="0008263E"/>
    <w:rsid w:val="00082680"/>
    <w:rsid w:val="00087F49"/>
    <w:rsid w:val="00091C6D"/>
    <w:rsid w:val="00091CDB"/>
    <w:rsid w:val="0009246D"/>
    <w:rsid w:val="0009471F"/>
    <w:rsid w:val="00094D94"/>
    <w:rsid w:val="000A00F1"/>
    <w:rsid w:val="000A19AC"/>
    <w:rsid w:val="000A212A"/>
    <w:rsid w:val="000A3AD2"/>
    <w:rsid w:val="000A4696"/>
    <w:rsid w:val="000A4E51"/>
    <w:rsid w:val="000A6D94"/>
    <w:rsid w:val="000A7D75"/>
    <w:rsid w:val="000B085E"/>
    <w:rsid w:val="000B25E1"/>
    <w:rsid w:val="000B2834"/>
    <w:rsid w:val="000B368C"/>
    <w:rsid w:val="000B3849"/>
    <w:rsid w:val="000B5D86"/>
    <w:rsid w:val="000B64FD"/>
    <w:rsid w:val="000B687B"/>
    <w:rsid w:val="000C00AE"/>
    <w:rsid w:val="000C154A"/>
    <w:rsid w:val="000C3050"/>
    <w:rsid w:val="000C3DBD"/>
    <w:rsid w:val="000C721F"/>
    <w:rsid w:val="000D11D5"/>
    <w:rsid w:val="000D26F8"/>
    <w:rsid w:val="000D46AA"/>
    <w:rsid w:val="000D5CF9"/>
    <w:rsid w:val="000D656F"/>
    <w:rsid w:val="000D7C01"/>
    <w:rsid w:val="000E1E9A"/>
    <w:rsid w:val="000E3DA2"/>
    <w:rsid w:val="000E4189"/>
    <w:rsid w:val="000E4EA0"/>
    <w:rsid w:val="000E660F"/>
    <w:rsid w:val="000E6DE8"/>
    <w:rsid w:val="000F1D09"/>
    <w:rsid w:val="000F403F"/>
    <w:rsid w:val="000F417C"/>
    <w:rsid w:val="000F4C5A"/>
    <w:rsid w:val="000F54FF"/>
    <w:rsid w:val="000F5F34"/>
    <w:rsid w:val="0010430C"/>
    <w:rsid w:val="0010464D"/>
    <w:rsid w:val="001058B7"/>
    <w:rsid w:val="00107CC5"/>
    <w:rsid w:val="00112C64"/>
    <w:rsid w:val="00115B4A"/>
    <w:rsid w:val="001160E9"/>
    <w:rsid w:val="00116782"/>
    <w:rsid w:val="00121EB4"/>
    <w:rsid w:val="00122B75"/>
    <w:rsid w:val="00127F03"/>
    <w:rsid w:val="0013136B"/>
    <w:rsid w:val="00134DC1"/>
    <w:rsid w:val="00134FB8"/>
    <w:rsid w:val="00135F8A"/>
    <w:rsid w:val="00136B94"/>
    <w:rsid w:val="00136D63"/>
    <w:rsid w:val="00137F3E"/>
    <w:rsid w:val="001405C6"/>
    <w:rsid w:val="00141013"/>
    <w:rsid w:val="0014350F"/>
    <w:rsid w:val="0014353D"/>
    <w:rsid w:val="001442B8"/>
    <w:rsid w:val="001462B8"/>
    <w:rsid w:val="001473DD"/>
    <w:rsid w:val="0015377B"/>
    <w:rsid w:val="00154415"/>
    <w:rsid w:val="00156104"/>
    <w:rsid w:val="001562CA"/>
    <w:rsid w:val="00163C0C"/>
    <w:rsid w:val="00163FAB"/>
    <w:rsid w:val="00163FF4"/>
    <w:rsid w:val="00164230"/>
    <w:rsid w:val="00164524"/>
    <w:rsid w:val="00166C27"/>
    <w:rsid w:val="00166ED9"/>
    <w:rsid w:val="00167BB1"/>
    <w:rsid w:val="001714ED"/>
    <w:rsid w:val="00174911"/>
    <w:rsid w:val="00174D83"/>
    <w:rsid w:val="00176985"/>
    <w:rsid w:val="0018441E"/>
    <w:rsid w:val="001844F7"/>
    <w:rsid w:val="00184854"/>
    <w:rsid w:val="00186E3A"/>
    <w:rsid w:val="00190376"/>
    <w:rsid w:val="00192CBF"/>
    <w:rsid w:val="00192FF1"/>
    <w:rsid w:val="00193645"/>
    <w:rsid w:val="00194850"/>
    <w:rsid w:val="00196F12"/>
    <w:rsid w:val="00196FF2"/>
    <w:rsid w:val="001A2091"/>
    <w:rsid w:val="001A4955"/>
    <w:rsid w:val="001A4E6F"/>
    <w:rsid w:val="001A5F1B"/>
    <w:rsid w:val="001A6632"/>
    <w:rsid w:val="001A6FBE"/>
    <w:rsid w:val="001B07C0"/>
    <w:rsid w:val="001B0AA9"/>
    <w:rsid w:val="001B1C22"/>
    <w:rsid w:val="001B1E2F"/>
    <w:rsid w:val="001B29ED"/>
    <w:rsid w:val="001B34C6"/>
    <w:rsid w:val="001B61DC"/>
    <w:rsid w:val="001B7990"/>
    <w:rsid w:val="001B7D00"/>
    <w:rsid w:val="001C3F9A"/>
    <w:rsid w:val="001C4140"/>
    <w:rsid w:val="001C4AA1"/>
    <w:rsid w:val="001C7A1F"/>
    <w:rsid w:val="001D00B9"/>
    <w:rsid w:val="001D1BBE"/>
    <w:rsid w:val="001D2068"/>
    <w:rsid w:val="001D3B30"/>
    <w:rsid w:val="001D4008"/>
    <w:rsid w:val="001D4DE3"/>
    <w:rsid w:val="001D5106"/>
    <w:rsid w:val="001D7832"/>
    <w:rsid w:val="001D7E3E"/>
    <w:rsid w:val="001E1EE9"/>
    <w:rsid w:val="001E2212"/>
    <w:rsid w:val="001E28E5"/>
    <w:rsid w:val="001E488A"/>
    <w:rsid w:val="001E4AD8"/>
    <w:rsid w:val="001E5E2C"/>
    <w:rsid w:val="001F127F"/>
    <w:rsid w:val="001F1524"/>
    <w:rsid w:val="001F1994"/>
    <w:rsid w:val="001F2300"/>
    <w:rsid w:val="001F244E"/>
    <w:rsid w:val="001F3DFA"/>
    <w:rsid w:val="001F3FBD"/>
    <w:rsid w:val="001F4E60"/>
    <w:rsid w:val="001F5347"/>
    <w:rsid w:val="001F63DC"/>
    <w:rsid w:val="001F6AAE"/>
    <w:rsid w:val="0020069C"/>
    <w:rsid w:val="0020244B"/>
    <w:rsid w:val="00205AE7"/>
    <w:rsid w:val="0020638E"/>
    <w:rsid w:val="0020687C"/>
    <w:rsid w:val="00210D27"/>
    <w:rsid w:val="00211D34"/>
    <w:rsid w:val="00212D72"/>
    <w:rsid w:val="00214F04"/>
    <w:rsid w:val="0021566E"/>
    <w:rsid w:val="00215A64"/>
    <w:rsid w:val="0021691C"/>
    <w:rsid w:val="00221541"/>
    <w:rsid w:val="00222DD8"/>
    <w:rsid w:val="00226039"/>
    <w:rsid w:val="00227BC5"/>
    <w:rsid w:val="00232FE6"/>
    <w:rsid w:val="00236223"/>
    <w:rsid w:val="00236944"/>
    <w:rsid w:val="00236BE2"/>
    <w:rsid w:val="0023736D"/>
    <w:rsid w:val="002409E2"/>
    <w:rsid w:val="002436A1"/>
    <w:rsid w:val="00243CDC"/>
    <w:rsid w:val="00247996"/>
    <w:rsid w:val="00250769"/>
    <w:rsid w:val="002534D6"/>
    <w:rsid w:val="00255783"/>
    <w:rsid w:val="002578FF"/>
    <w:rsid w:val="00260210"/>
    <w:rsid w:val="00262B78"/>
    <w:rsid w:val="00266CD6"/>
    <w:rsid w:val="00270C3A"/>
    <w:rsid w:val="00272B94"/>
    <w:rsid w:val="00272C4C"/>
    <w:rsid w:val="0027325C"/>
    <w:rsid w:val="0027468A"/>
    <w:rsid w:val="00274E3D"/>
    <w:rsid w:val="00275AEA"/>
    <w:rsid w:val="00275DAB"/>
    <w:rsid w:val="00276D30"/>
    <w:rsid w:val="002772F6"/>
    <w:rsid w:val="00283206"/>
    <w:rsid w:val="00285912"/>
    <w:rsid w:val="002864AD"/>
    <w:rsid w:val="00287467"/>
    <w:rsid w:val="0028793F"/>
    <w:rsid w:val="0029082A"/>
    <w:rsid w:val="00292C69"/>
    <w:rsid w:val="00294E28"/>
    <w:rsid w:val="0029628C"/>
    <w:rsid w:val="00297616"/>
    <w:rsid w:val="002A11BD"/>
    <w:rsid w:val="002A1453"/>
    <w:rsid w:val="002A1AC2"/>
    <w:rsid w:val="002A2EE4"/>
    <w:rsid w:val="002A782A"/>
    <w:rsid w:val="002B00BD"/>
    <w:rsid w:val="002B05C6"/>
    <w:rsid w:val="002B069F"/>
    <w:rsid w:val="002B1068"/>
    <w:rsid w:val="002B11E2"/>
    <w:rsid w:val="002B1709"/>
    <w:rsid w:val="002B24B8"/>
    <w:rsid w:val="002B5BDC"/>
    <w:rsid w:val="002B67AC"/>
    <w:rsid w:val="002B6EF3"/>
    <w:rsid w:val="002B7903"/>
    <w:rsid w:val="002C1A6F"/>
    <w:rsid w:val="002C1ACD"/>
    <w:rsid w:val="002C1CB3"/>
    <w:rsid w:val="002C209A"/>
    <w:rsid w:val="002C5251"/>
    <w:rsid w:val="002C6364"/>
    <w:rsid w:val="002C72F0"/>
    <w:rsid w:val="002C7AF2"/>
    <w:rsid w:val="002D36D8"/>
    <w:rsid w:val="002D3AE9"/>
    <w:rsid w:val="002D4510"/>
    <w:rsid w:val="002D4CD7"/>
    <w:rsid w:val="002D68EB"/>
    <w:rsid w:val="002E04CC"/>
    <w:rsid w:val="002E0E65"/>
    <w:rsid w:val="002E355D"/>
    <w:rsid w:val="002E36C6"/>
    <w:rsid w:val="002F0734"/>
    <w:rsid w:val="002F118E"/>
    <w:rsid w:val="002F1FE4"/>
    <w:rsid w:val="002F3030"/>
    <w:rsid w:val="002F46E7"/>
    <w:rsid w:val="002F58B0"/>
    <w:rsid w:val="002F63E2"/>
    <w:rsid w:val="002F649D"/>
    <w:rsid w:val="002F7F26"/>
    <w:rsid w:val="00300A3C"/>
    <w:rsid w:val="00302984"/>
    <w:rsid w:val="00303566"/>
    <w:rsid w:val="00305997"/>
    <w:rsid w:val="00307BBA"/>
    <w:rsid w:val="003101DA"/>
    <w:rsid w:val="00310281"/>
    <w:rsid w:val="00311EF0"/>
    <w:rsid w:val="00314757"/>
    <w:rsid w:val="00314AA9"/>
    <w:rsid w:val="00314D2A"/>
    <w:rsid w:val="00316322"/>
    <w:rsid w:val="00316419"/>
    <w:rsid w:val="00320344"/>
    <w:rsid w:val="00320F5D"/>
    <w:rsid w:val="003211CE"/>
    <w:rsid w:val="003214B8"/>
    <w:rsid w:val="00321D73"/>
    <w:rsid w:val="00321FA0"/>
    <w:rsid w:val="003253B6"/>
    <w:rsid w:val="00325A7F"/>
    <w:rsid w:val="00327930"/>
    <w:rsid w:val="00332A36"/>
    <w:rsid w:val="00333AC6"/>
    <w:rsid w:val="00333B77"/>
    <w:rsid w:val="00335292"/>
    <w:rsid w:val="00342C8D"/>
    <w:rsid w:val="00345C68"/>
    <w:rsid w:val="0034650C"/>
    <w:rsid w:val="003508B6"/>
    <w:rsid w:val="0035113C"/>
    <w:rsid w:val="00351716"/>
    <w:rsid w:val="00352B32"/>
    <w:rsid w:val="00352D9B"/>
    <w:rsid w:val="003538FA"/>
    <w:rsid w:val="0035403A"/>
    <w:rsid w:val="00357C23"/>
    <w:rsid w:val="0036290F"/>
    <w:rsid w:val="00363811"/>
    <w:rsid w:val="0036394B"/>
    <w:rsid w:val="00364DBD"/>
    <w:rsid w:val="00366DB6"/>
    <w:rsid w:val="003709B5"/>
    <w:rsid w:val="00371FF0"/>
    <w:rsid w:val="003733BA"/>
    <w:rsid w:val="00373A35"/>
    <w:rsid w:val="00373F25"/>
    <w:rsid w:val="003759C2"/>
    <w:rsid w:val="003811D3"/>
    <w:rsid w:val="0038266E"/>
    <w:rsid w:val="00382AE3"/>
    <w:rsid w:val="00383835"/>
    <w:rsid w:val="00391C42"/>
    <w:rsid w:val="00391FB3"/>
    <w:rsid w:val="00392EFE"/>
    <w:rsid w:val="00395641"/>
    <w:rsid w:val="00395AA5"/>
    <w:rsid w:val="00397365"/>
    <w:rsid w:val="003A2257"/>
    <w:rsid w:val="003A254B"/>
    <w:rsid w:val="003A31F6"/>
    <w:rsid w:val="003A3358"/>
    <w:rsid w:val="003B07BC"/>
    <w:rsid w:val="003B3E3F"/>
    <w:rsid w:val="003B70BB"/>
    <w:rsid w:val="003C022D"/>
    <w:rsid w:val="003C1C55"/>
    <w:rsid w:val="003C24AC"/>
    <w:rsid w:val="003C25F5"/>
    <w:rsid w:val="003C3447"/>
    <w:rsid w:val="003C35F8"/>
    <w:rsid w:val="003C4E6E"/>
    <w:rsid w:val="003C628E"/>
    <w:rsid w:val="003C78EE"/>
    <w:rsid w:val="003D0650"/>
    <w:rsid w:val="003D076C"/>
    <w:rsid w:val="003D09E0"/>
    <w:rsid w:val="003D72E6"/>
    <w:rsid w:val="003E0F90"/>
    <w:rsid w:val="003E177A"/>
    <w:rsid w:val="003E19F6"/>
    <w:rsid w:val="003E4311"/>
    <w:rsid w:val="003E5823"/>
    <w:rsid w:val="003E78B5"/>
    <w:rsid w:val="003F05F4"/>
    <w:rsid w:val="003F1F71"/>
    <w:rsid w:val="003F2F66"/>
    <w:rsid w:val="003F4781"/>
    <w:rsid w:val="003F5151"/>
    <w:rsid w:val="003F5539"/>
    <w:rsid w:val="003F58D4"/>
    <w:rsid w:val="003F7B12"/>
    <w:rsid w:val="00400E54"/>
    <w:rsid w:val="00402461"/>
    <w:rsid w:val="00402B6F"/>
    <w:rsid w:val="00406701"/>
    <w:rsid w:val="00410520"/>
    <w:rsid w:val="00410A9D"/>
    <w:rsid w:val="0041354D"/>
    <w:rsid w:val="004139A3"/>
    <w:rsid w:val="00414C74"/>
    <w:rsid w:val="004158C3"/>
    <w:rsid w:val="00415BAB"/>
    <w:rsid w:val="00415ED2"/>
    <w:rsid w:val="00417882"/>
    <w:rsid w:val="00420236"/>
    <w:rsid w:val="0042068C"/>
    <w:rsid w:val="004209FA"/>
    <w:rsid w:val="00420CF0"/>
    <w:rsid w:val="00422C3B"/>
    <w:rsid w:val="00425E0B"/>
    <w:rsid w:val="0042697E"/>
    <w:rsid w:val="00426A96"/>
    <w:rsid w:val="00427867"/>
    <w:rsid w:val="004302B6"/>
    <w:rsid w:val="00430D4B"/>
    <w:rsid w:val="00431378"/>
    <w:rsid w:val="0043294A"/>
    <w:rsid w:val="00433593"/>
    <w:rsid w:val="00437FEA"/>
    <w:rsid w:val="0044219C"/>
    <w:rsid w:val="00443132"/>
    <w:rsid w:val="00444037"/>
    <w:rsid w:val="00445EA6"/>
    <w:rsid w:val="00446290"/>
    <w:rsid w:val="00447E1C"/>
    <w:rsid w:val="004500E8"/>
    <w:rsid w:val="00452328"/>
    <w:rsid w:val="004547E4"/>
    <w:rsid w:val="0045554F"/>
    <w:rsid w:val="00455928"/>
    <w:rsid w:val="00456B12"/>
    <w:rsid w:val="00456D24"/>
    <w:rsid w:val="00456E06"/>
    <w:rsid w:val="00457422"/>
    <w:rsid w:val="00463342"/>
    <w:rsid w:val="00464494"/>
    <w:rsid w:val="004647EB"/>
    <w:rsid w:val="00465EE2"/>
    <w:rsid w:val="0046637D"/>
    <w:rsid w:val="00466D4E"/>
    <w:rsid w:val="00470E58"/>
    <w:rsid w:val="0047122B"/>
    <w:rsid w:val="00471653"/>
    <w:rsid w:val="00472373"/>
    <w:rsid w:val="00473B7A"/>
    <w:rsid w:val="00474C91"/>
    <w:rsid w:val="00476703"/>
    <w:rsid w:val="004814D2"/>
    <w:rsid w:val="0048167C"/>
    <w:rsid w:val="00481FC0"/>
    <w:rsid w:val="00483A16"/>
    <w:rsid w:val="00484CC9"/>
    <w:rsid w:val="004859E4"/>
    <w:rsid w:val="0048678F"/>
    <w:rsid w:val="00492DFA"/>
    <w:rsid w:val="00494FD2"/>
    <w:rsid w:val="0049538D"/>
    <w:rsid w:val="00495AF8"/>
    <w:rsid w:val="004960E9"/>
    <w:rsid w:val="00496B70"/>
    <w:rsid w:val="004A089D"/>
    <w:rsid w:val="004A2E88"/>
    <w:rsid w:val="004A5305"/>
    <w:rsid w:val="004A5819"/>
    <w:rsid w:val="004A7BC1"/>
    <w:rsid w:val="004B021B"/>
    <w:rsid w:val="004B47C3"/>
    <w:rsid w:val="004B67C6"/>
    <w:rsid w:val="004B6848"/>
    <w:rsid w:val="004B7BBB"/>
    <w:rsid w:val="004C132E"/>
    <w:rsid w:val="004C6A53"/>
    <w:rsid w:val="004D2466"/>
    <w:rsid w:val="004D3416"/>
    <w:rsid w:val="004D7634"/>
    <w:rsid w:val="004D7CC3"/>
    <w:rsid w:val="004D7DDB"/>
    <w:rsid w:val="004E1DDA"/>
    <w:rsid w:val="004E41D1"/>
    <w:rsid w:val="004E4B5F"/>
    <w:rsid w:val="004E51EA"/>
    <w:rsid w:val="004E5573"/>
    <w:rsid w:val="004E59FE"/>
    <w:rsid w:val="004E65EB"/>
    <w:rsid w:val="004E7261"/>
    <w:rsid w:val="004F1513"/>
    <w:rsid w:val="004F5747"/>
    <w:rsid w:val="0050317A"/>
    <w:rsid w:val="00503590"/>
    <w:rsid w:val="005049EC"/>
    <w:rsid w:val="00504FAB"/>
    <w:rsid w:val="005056B3"/>
    <w:rsid w:val="00506A63"/>
    <w:rsid w:val="00506BC0"/>
    <w:rsid w:val="005077B1"/>
    <w:rsid w:val="00510A4E"/>
    <w:rsid w:val="00512072"/>
    <w:rsid w:val="0051253F"/>
    <w:rsid w:val="005146DA"/>
    <w:rsid w:val="00515554"/>
    <w:rsid w:val="00515BA3"/>
    <w:rsid w:val="00517048"/>
    <w:rsid w:val="00517772"/>
    <w:rsid w:val="00525262"/>
    <w:rsid w:val="00526016"/>
    <w:rsid w:val="005300D3"/>
    <w:rsid w:val="00530E33"/>
    <w:rsid w:val="00531433"/>
    <w:rsid w:val="00531EF1"/>
    <w:rsid w:val="00535247"/>
    <w:rsid w:val="00537A6F"/>
    <w:rsid w:val="0054179C"/>
    <w:rsid w:val="00544F82"/>
    <w:rsid w:val="00546BB3"/>
    <w:rsid w:val="005515A9"/>
    <w:rsid w:val="00553006"/>
    <w:rsid w:val="0055394D"/>
    <w:rsid w:val="00557E50"/>
    <w:rsid w:val="00564E40"/>
    <w:rsid w:val="005664F8"/>
    <w:rsid w:val="00566DDD"/>
    <w:rsid w:val="00566E05"/>
    <w:rsid w:val="0057070D"/>
    <w:rsid w:val="00572E43"/>
    <w:rsid w:val="005745E4"/>
    <w:rsid w:val="00575074"/>
    <w:rsid w:val="00575526"/>
    <w:rsid w:val="00576326"/>
    <w:rsid w:val="005764EC"/>
    <w:rsid w:val="00577E4E"/>
    <w:rsid w:val="005807D5"/>
    <w:rsid w:val="00580A39"/>
    <w:rsid w:val="0058101D"/>
    <w:rsid w:val="00581CA4"/>
    <w:rsid w:val="00583881"/>
    <w:rsid w:val="005845C9"/>
    <w:rsid w:val="00585691"/>
    <w:rsid w:val="0058606F"/>
    <w:rsid w:val="00586928"/>
    <w:rsid w:val="00586AB3"/>
    <w:rsid w:val="00587F37"/>
    <w:rsid w:val="00590167"/>
    <w:rsid w:val="005911AC"/>
    <w:rsid w:val="00591981"/>
    <w:rsid w:val="005936E8"/>
    <w:rsid w:val="00593C4F"/>
    <w:rsid w:val="005946A8"/>
    <w:rsid w:val="005973A6"/>
    <w:rsid w:val="005976B6"/>
    <w:rsid w:val="005A0DCA"/>
    <w:rsid w:val="005A32D8"/>
    <w:rsid w:val="005A4407"/>
    <w:rsid w:val="005A595A"/>
    <w:rsid w:val="005A59EF"/>
    <w:rsid w:val="005A6488"/>
    <w:rsid w:val="005B1C7E"/>
    <w:rsid w:val="005B5E26"/>
    <w:rsid w:val="005B6801"/>
    <w:rsid w:val="005C16D5"/>
    <w:rsid w:val="005C4017"/>
    <w:rsid w:val="005C4AFD"/>
    <w:rsid w:val="005C547D"/>
    <w:rsid w:val="005C6976"/>
    <w:rsid w:val="005C6E8F"/>
    <w:rsid w:val="005C6F26"/>
    <w:rsid w:val="005D0A25"/>
    <w:rsid w:val="005D0EC3"/>
    <w:rsid w:val="005D1F1F"/>
    <w:rsid w:val="005D2446"/>
    <w:rsid w:val="005D6B97"/>
    <w:rsid w:val="005E5176"/>
    <w:rsid w:val="005E5701"/>
    <w:rsid w:val="005F04AD"/>
    <w:rsid w:val="005F1EB3"/>
    <w:rsid w:val="005F533E"/>
    <w:rsid w:val="005F555C"/>
    <w:rsid w:val="005F6271"/>
    <w:rsid w:val="005F670C"/>
    <w:rsid w:val="005F6A70"/>
    <w:rsid w:val="005F6F41"/>
    <w:rsid w:val="00600F4C"/>
    <w:rsid w:val="00602713"/>
    <w:rsid w:val="00605180"/>
    <w:rsid w:val="00605DA2"/>
    <w:rsid w:val="00620125"/>
    <w:rsid w:val="00620294"/>
    <w:rsid w:val="00620786"/>
    <w:rsid w:val="006212FE"/>
    <w:rsid w:val="00621325"/>
    <w:rsid w:val="006223C0"/>
    <w:rsid w:val="00624491"/>
    <w:rsid w:val="00625BEB"/>
    <w:rsid w:val="00625DA7"/>
    <w:rsid w:val="00625DC6"/>
    <w:rsid w:val="00626D3E"/>
    <w:rsid w:val="00626F8E"/>
    <w:rsid w:val="00627911"/>
    <w:rsid w:val="00630062"/>
    <w:rsid w:val="0063185D"/>
    <w:rsid w:val="006324BB"/>
    <w:rsid w:val="00635F0A"/>
    <w:rsid w:val="006364FC"/>
    <w:rsid w:val="006368C8"/>
    <w:rsid w:val="006415C1"/>
    <w:rsid w:val="006417A5"/>
    <w:rsid w:val="006422DE"/>
    <w:rsid w:val="0064391D"/>
    <w:rsid w:val="00645A09"/>
    <w:rsid w:val="00645A57"/>
    <w:rsid w:val="00646ECF"/>
    <w:rsid w:val="00647237"/>
    <w:rsid w:val="00647878"/>
    <w:rsid w:val="00651821"/>
    <w:rsid w:val="00654384"/>
    <w:rsid w:val="0065454F"/>
    <w:rsid w:val="00656D59"/>
    <w:rsid w:val="00660084"/>
    <w:rsid w:val="006615EE"/>
    <w:rsid w:val="006620E1"/>
    <w:rsid w:val="00662DE3"/>
    <w:rsid w:val="00664239"/>
    <w:rsid w:val="00664305"/>
    <w:rsid w:val="006644BE"/>
    <w:rsid w:val="006661F5"/>
    <w:rsid w:val="006675CD"/>
    <w:rsid w:val="00667803"/>
    <w:rsid w:val="00670265"/>
    <w:rsid w:val="00671297"/>
    <w:rsid w:val="00673A13"/>
    <w:rsid w:val="00674F69"/>
    <w:rsid w:val="006756CA"/>
    <w:rsid w:val="00675A3E"/>
    <w:rsid w:val="006765A7"/>
    <w:rsid w:val="0067665C"/>
    <w:rsid w:val="00676E7C"/>
    <w:rsid w:val="00682D95"/>
    <w:rsid w:val="00683011"/>
    <w:rsid w:val="0068354A"/>
    <w:rsid w:val="00684D9B"/>
    <w:rsid w:val="00686184"/>
    <w:rsid w:val="00686AF9"/>
    <w:rsid w:val="00686C7B"/>
    <w:rsid w:val="0069369A"/>
    <w:rsid w:val="00694B2A"/>
    <w:rsid w:val="00696BCD"/>
    <w:rsid w:val="00697556"/>
    <w:rsid w:val="006A09F2"/>
    <w:rsid w:val="006A2B4B"/>
    <w:rsid w:val="006A3CD7"/>
    <w:rsid w:val="006A6E2A"/>
    <w:rsid w:val="006A7805"/>
    <w:rsid w:val="006B10CE"/>
    <w:rsid w:val="006B4547"/>
    <w:rsid w:val="006B4647"/>
    <w:rsid w:val="006B469D"/>
    <w:rsid w:val="006B4C2B"/>
    <w:rsid w:val="006B552A"/>
    <w:rsid w:val="006B6D47"/>
    <w:rsid w:val="006B7C87"/>
    <w:rsid w:val="006C14FA"/>
    <w:rsid w:val="006C49B6"/>
    <w:rsid w:val="006C4AB9"/>
    <w:rsid w:val="006C5147"/>
    <w:rsid w:val="006C5596"/>
    <w:rsid w:val="006C5AFE"/>
    <w:rsid w:val="006C7D87"/>
    <w:rsid w:val="006D3C24"/>
    <w:rsid w:val="006D5313"/>
    <w:rsid w:val="006E0B34"/>
    <w:rsid w:val="006E0B4E"/>
    <w:rsid w:val="006E13C0"/>
    <w:rsid w:val="006E4960"/>
    <w:rsid w:val="006E52C0"/>
    <w:rsid w:val="006E7850"/>
    <w:rsid w:val="006F123E"/>
    <w:rsid w:val="006F20AF"/>
    <w:rsid w:val="006F57CD"/>
    <w:rsid w:val="006F5AF6"/>
    <w:rsid w:val="006F5ECF"/>
    <w:rsid w:val="006F6D95"/>
    <w:rsid w:val="006F74E4"/>
    <w:rsid w:val="00700DA9"/>
    <w:rsid w:val="00700DBB"/>
    <w:rsid w:val="00700F57"/>
    <w:rsid w:val="007010CA"/>
    <w:rsid w:val="00701ACC"/>
    <w:rsid w:val="00702672"/>
    <w:rsid w:val="00702783"/>
    <w:rsid w:val="0070435B"/>
    <w:rsid w:val="00705F1E"/>
    <w:rsid w:val="00706F13"/>
    <w:rsid w:val="007072E8"/>
    <w:rsid w:val="0071143C"/>
    <w:rsid w:val="007129DC"/>
    <w:rsid w:val="00713FC2"/>
    <w:rsid w:val="00714FAE"/>
    <w:rsid w:val="00715553"/>
    <w:rsid w:val="0071618D"/>
    <w:rsid w:val="00722321"/>
    <w:rsid w:val="00722E17"/>
    <w:rsid w:val="00724273"/>
    <w:rsid w:val="00725FA4"/>
    <w:rsid w:val="007308C4"/>
    <w:rsid w:val="00732F67"/>
    <w:rsid w:val="00740446"/>
    <w:rsid w:val="00741554"/>
    <w:rsid w:val="00741ACD"/>
    <w:rsid w:val="007429F0"/>
    <w:rsid w:val="007438A9"/>
    <w:rsid w:val="0074491E"/>
    <w:rsid w:val="0074628F"/>
    <w:rsid w:val="007509A1"/>
    <w:rsid w:val="00751248"/>
    <w:rsid w:val="00751FB3"/>
    <w:rsid w:val="0075247C"/>
    <w:rsid w:val="007541E9"/>
    <w:rsid w:val="00754AC7"/>
    <w:rsid w:val="00756385"/>
    <w:rsid w:val="0076075D"/>
    <w:rsid w:val="007622A0"/>
    <w:rsid w:val="0076247A"/>
    <w:rsid w:val="007639A7"/>
    <w:rsid w:val="007705EE"/>
    <w:rsid w:val="00772906"/>
    <w:rsid w:val="00775964"/>
    <w:rsid w:val="00775C3F"/>
    <w:rsid w:val="007765FE"/>
    <w:rsid w:val="00780132"/>
    <w:rsid w:val="0078703C"/>
    <w:rsid w:val="00793109"/>
    <w:rsid w:val="00793AA6"/>
    <w:rsid w:val="00795BFB"/>
    <w:rsid w:val="00795CD4"/>
    <w:rsid w:val="0079761B"/>
    <w:rsid w:val="007A2B23"/>
    <w:rsid w:val="007A33AE"/>
    <w:rsid w:val="007A6B81"/>
    <w:rsid w:val="007A6C10"/>
    <w:rsid w:val="007A71C4"/>
    <w:rsid w:val="007B2486"/>
    <w:rsid w:val="007B2760"/>
    <w:rsid w:val="007B3D6D"/>
    <w:rsid w:val="007B537A"/>
    <w:rsid w:val="007B56E7"/>
    <w:rsid w:val="007B5ABC"/>
    <w:rsid w:val="007B78A6"/>
    <w:rsid w:val="007B7D14"/>
    <w:rsid w:val="007C22CF"/>
    <w:rsid w:val="007C43CF"/>
    <w:rsid w:val="007C498C"/>
    <w:rsid w:val="007C4DDD"/>
    <w:rsid w:val="007C551F"/>
    <w:rsid w:val="007D2B62"/>
    <w:rsid w:val="007E5730"/>
    <w:rsid w:val="007F2B6F"/>
    <w:rsid w:val="007F31EA"/>
    <w:rsid w:val="007F3D48"/>
    <w:rsid w:val="007F3E32"/>
    <w:rsid w:val="007F4826"/>
    <w:rsid w:val="007F4DBA"/>
    <w:rsid w:val="007F677B"/>
    <w:rsid w:val="00803ED3"/>
    <w:rsid w:val="008049B9"/>
    <w:rsid w:val="00804B17"/>
    <w:rsid w:val="008050F1"/>
    <w:rsid w:val="0080658A"/>
    <w:rsid w:val="00806684"/>
    <w:rsid w:val="00806C01"/>
    <w:rsid w:val="00810A78"/>
    <w:rsid w:val="00810D6A"/>
    <w:rsid w:val="00812E27"/>
    <w:rsid w:val="008133DA"/>
    <w:rsid w:val="008148CC"/>
    <w:rsid w:val="00814ACB"/>
    <w:rsid w:val="00816D10"/>
    <w:rsid w:val="008211A4"/>
    <w:rsid w:val="0082133D"/>
    <w:rsid w:val="00824B16"/>
    <w:rsid w:val="00826333"/>
    <w:rsid w:val="00826F13"/>
    <w:rsid w:val="00827A96"/>
    <w:rsid w:val="0083462A"/>
    <w:rsid w:val="0083557B"/>
    <w:rsid w:val="0083713C"/>
    <w:rsid w:val="008425EB"/>
    <w:rsid w:val="00842CA9"/>
    <w:rsid w:val="008447E2"/>
    <w:rsid w:val="00844B21"/>
    <w:rsid w:val="00846B59"/>
    <w:rsid w:val="0084753A"/>
    <w:rsid w:val="00847A13"/>
    <w:rsid w:val="008520BE"/>
    <w:rsid w:val="00855274"/>
    <w:rsid w:val="00855C64"/>
    <w:rsid w:val="0085643C"/>
    <w:rsid w:val="00857F8E"/>
    <w:rsid w:val="008604FE"/>
    <w:rsid w:val="0086155D"/>
    <w:rsid w:val="00862E37"/>
    <w:rsid w:val="00863D3E"/>
    <w:rsid w:val="00870055"/>
    <w:rsid w:val="008702BA"/>
    <w:rsid w:val="00870F08"/>
    <w:rsid w:val="008720F8"/>
    <w:rsid w:val="00873150"/>
    <w:rsid w:val="00873814"/>
    <w:rsid w:val="00875D15"/>
    <w:rsid w:val="0087657D"/>
    <w:rsid w:val="008807D5"/>
    <w:rsid w:val="00880832"/>
    <w:rsid w:val="00882214"/>
    <w:rsid w:val="00884FD7"/>
    <w:rsid w:val="00886EE1"/>
    <w:rsid w:val="0088727D"/>
    <w:rsid w:val="008874C0"/>
    <w:rsid w:val="00887767"/>
    <w:rsid w:val="008900B6"/>
    <w:rsid w:val="00890566"/>
    <w:rsid w:val="00890C12"/>
    <w:rsid w:val="00890CBB"/>
    <w:rsid w:val="00894A20"/>
    <w:rsid w:val="00894FAF"/>
    <w:rsid w:val="0089707F"/>
    <w:rsid w:val="00897C58"/>
    <w:rsid w:val="00897C75"/>
    <w:rsid w:val="008A07BF"/>
    <w:rsid w:val="008A10CB"/>
    <w:rsid w:val="008A39A4"/>
    <w:rsid w:val="008B0832"/>
    <w:rsid w:val="008B3DFA"/>
    <w:rsid w:val="008B6140"/>
    <w:rsid w:val="008B67D2"/>
    <w:rsid w:val="008C1130"/>
    <w:rsid w:val="008C1D0C"/>
    <w:rsid w:val="008C2075"/>
    <w:rsid w:val="008C7073"/>
    <w:rsid w:val="008C7620"/>
    <w:rsid w:val="008D18E6"/>
    <w:rsid w:val="008D1D0C"/>
    <w:rsid w:val="008D3AA1"/>
    <w:rsid w:val="008D3DE4"/>
    <w:rsid w:val="008D5E98"/>
    <w:rsid w:val="008D62A4"/>
    <w:rsid w:val="008D7990"/>
    <w:rsid w:val="008D7A9B"/>
    <w:rsid w:val="008E0138"/>
    <w:rsid w:val="008E76AC"/>
    <w:rsid w:val="008F21F6"/>
    <w:rsid w:val="008F3761"/>
    <w:rsid w:val="008F76A0"/>
    <w:rsid w:val="00901A44"/>
    <w:rsid w:val="0090577D"/>
    <w:rsid w:val="00907246"/>
    <w:rsid w:val="00907781"/>
    <w:rsid w:val="0091391A"/>
    <w:rsid w:val="0091656B"/>
    <w:rsid w:val="00917780"/>
    <w:rsid w:val="00922089"/>
    <w:rsid w:val="009237F4"/>
    <w:rsid w:val="009241D4"/>
    <w:rsid w:val="009251BB"/>
    <w:rsid w:val="009255E9"/>
    <w:rsid w:val="00925E8C"/>
    <w:rsid w:val="00926410"/>
    <w:rsid w:val="00926B3C"/>
    <w:rsid w:val="009274C8"/>
    <w:rsid w:val="00927C27"/>
    <w:rsid w:val="00931D04"/>
    <w:rsid w:val="00932398"/>
    <w:rsid w:val="0093298B"/>
    <w:rsid w:val="009338B8"/>
    <w:rsid w:val="00934F2B"/>
    <w:rsid w:val="00936253"/>
    <w:rsid w:val="00936AAA"/>
    <w:rsid w:val="00940B88"/>
    <w:rsid w:val="00943878"/>
    <w:rsid w:val="00943924"/>
    <w:rsid w:val="00944870"/>
    <w:rsid w:val="0094488A"/>
    <w:rsid w:val="009469FB"/>
    <w:rsid w:val="00947101"/>
    <w:rsid w:val="009474EC"/>
    <w:rsid w:val="009504D4"/>
    <w:rsid w:val="00950906"/>
    <w:rsid w:val="00951874"/>
    <w:rsid w:val="00951F79"/>
    <w:rsid w:val="00954E6A"/>
    <w:rsid w:val="00956171"/>
    <w:rsid w:val="009564DC"/>
    <w:rsid w:val="009601C2"/>
    <w:rsid w:val="00962653"/>
    <w:rsid w:val="00963451"/>
    <w:rsid w:val="0096365E"/>
    <w:rsid w:val="00964D0D"/>
    <w:rsid w:val="00966750"/>
    <w:rsid w:val="009700A0"/>
    <w:rsid w:val="009703D2"/>
    <w:rsid w:val="00972A02"/>
    <w:rsid w:val="009732F1"/>
    <w:rsid w:val="00973785"/>
    <w:rsid w:val="00974AB5"/>
    <w:rsid w:val="009752B0"/>
    <w:rsid w:val="0097541F"/>
    <w:rsid w:val="009777A0"/>
    <w:rsid w:val="00985418"/>
    <w:rsid w:val="0098563B"/>
    <w:rsid w:val="0098706D"/>
    <w:rsid w:val="009877B5"/>
    <w:rsid w:val="0099112A"/>
    <w:rsid w:val="00993040"/>
    <w:rsid w:val="009935FB"/>
    <w:rsid w:val="00994023"/>
    <w:rsid w:val="00995E20"/>
    <w:rsid w:val="00996520"/>
    <w:rsid w:val="009A0AF8"/>
    <w:rsid w:val="009A0DC4"/>
    <w:rsid w:val="009A266F"/>
    <w:rsid w:val="009A2A6E"/>
    <w:rsid w:val="009A3296"/>
    <w:rsid w:val="009A5B86"/>
    <w:rsid w:val="009A68AD"/>
    <w:rsid w:val="009A7856"/>
    <w:rsid w:val="009B3DE7"/>
    <w:rsid w:val="009B5E7D"/>
    <w:rsid w:val="009B6667"/>
    <w:rsid w:val="009B7159"/>
    <w:rsid w:val="009C165D"/>
    <w:rsid w:val="009C591E"/>
    <w:rsid w:val="009C72C5"/>
    <w:rsid w:val="009C754A"/>
    <w:rsid w:val="009C76A5"/>
    <w:rsid w:val="009D03D1"/>
    <w:rsid w:val="009D05E6"/>
    <w:rsid w:val="009D486B"/>
    <w:rsid w:val="009E0960"/>
    <w:rsid w:val="009E408A"/>
    <w:rsid w:val="009F18A5"/>
    <w:rsid w:val="009F298D"/>
    <w:rsid w:val="009F3A70"/>
    <w:rsid w:val="009F4A54"/>
    <w:rsid w:val="009F4BEC"/>
    <w:rsid w:val="009F5FB4"/>
    <w:rsid w:val="009F760C"/>
    <w:rsid w:val="00A00206"/>
    <w:rsid w:val="00A00462"/>
    <w:rsid w:val="00A007D4"/>
    <w:rsid w:val="00A02C99"/>
    <w:rsid w:val="00A0340E"/>
    <w:rsid w:val="00A0485B"/>
    <w:rsid w:val="00A05D3D"/>
    <w:rsid w:val="00A0621E"/>
    <w:rsid w:val="00A125A7"/>
    <w:rsid w:val="00A12E54"/>
    <w:rsid w:val="00A1498D"/>
    <w:rsid w:val="00A17F83"/>
    <w:rsid w:val="00A22F8A"/>
    <w:rsid w:val="00A25FD7"/>
    <w:rsid w:val="00A2693B"/>
    <w:rsid w:val="00A278AE"/>
    <w:rsid w:val="00A31BDD"/>
    <w:rsid w:val="00A32176"/>
    <w:rsid w:val="00A328C0"/>
    <w:rsid w:val="00A332B0"/>
    <w:rsid w:val="00A3469F"/>
    <w:rsid w:val="00A3494C"/>
    <w:rsid w:val="00A37A72"/>
    <w:rsid w:val="00A40DBA"/>
    <w:rsid w:val="00A41534"/>
    <w:rsid w:val="00A42A9B"/>
    <w:rsid w:val="00A433E1"/>
    <w:rsid w:val="00A43AFF"/>
    <w:rsid w:val="00A44E1C"/>
    <w:rsid w:val="00A45553"/>
    <w:rsid w:val="00A456D0"/>
    <w:rsid w:val="00A461DD"/>
    <w:rsid w:val="00A52729"/>
    <w:rsid w:val="00A54EE5"/>
    <w:rsid w:val="00A56932"/>
    <w:rsid w:val="00A57B3B"/>
    <w:rsid w:val="00A61DFB"/>
    <w:rsid w:val="00A6354F"/>
    <w:rsid w:val="00A64571"/>
    <w:rsid w:val="00A65322"/>
    <w:rsid w:val="00A674AD"/>
    <w:rsid w:val="00A71A98"/>
    <w:rsid w:val="00A73EC7"/>
    <w:rsid w:val="00A74F63"/>
    <w:rsid w:val="00A75F73"/>
    <w:rsid w:val="00A7607B"/>
    <w:rsid w:val="00A76B79"/>
    <w:rsid w:val="00A7793A"/>
    <w:rsid w:val="00A80894"/>
    <w:rsid w:val="00A812B1"/>
    <w:rsid w:val="00A82433"/>
    <w:rsid w:val="00A82BDD"/>
    <w:rsid w:val="00A87216"/>
    <w:rsid w:val="00A879A1"/>
    <w:rsid w:val="00A87FAB"/>
    <w:rsid w:val="00A94DB2"/>
    <w:rsid w:val="00A95702"/>
    <w:rsid w:val="00A96CC8"/>
    <w:rsid w:val="00AA3D1E"/>
    <w:rsid w:val="00AA4B3C"/>
    <w:rsid w:val="00AA4CC7"/>
    <w:rsid w:val="00AA5595"/>
    <w:rsid w:val="00AA5E8E"/>
    <w:rsid w:val="00AA600F"/>
    <w:rsid w:val="00AA6CA3"/>
    <w:rsid w:val="00AB6CA7"/>
    <w:rsid w:val="00AB7874"/>
    <w:rsid w:val="00AC0003"/>
    <w:rsid w:val="00AC29A2"/>
    <w:rsid w:val="00AC31FD"/>
    <w:rsid w:val="00AC3E56"/>
    <w:rsid w:val="00AC44A5"/>
    <w:rsid w:val="00AC7B43"/>
    <w:rsid w:val="00AD01E4"/>
    <w:rsid w:val="00AD0858"/>
    <w:rsid w:val="00AD0FCC"/>
    <w:rsid w:val="00AD1806"/>
    <w:rsid w:val="00AD28A4"/>
    <w:rsid w:val="00AD30E8"/>
    <w:rsid w:val="00AD3F1B"/>
    <w:rsid w:val="00AD6E4C"/>
    <w:rsid w:val="00AD76F4"/>
    <w:rsid w:val="00AE04FB"/>
    <w:rsid w:val="00AE0882"/>
    <w:rsid w:val="00AE0D9C"/>
    <w:rsid w:val="00AE0DE7"/>
    <w:rsid w:val="00AE10F6"/>
    <w:rsid w:val="00AE23B1"/>
    <w:rsid w:val="00AE2D19"/>
    <w:rsid w:val="00AE60A6"/>
    <w:rsid w:val="00AE7340"/>
    <w:rsid w:val="00AE79A5"/>
    <w:rsid w:val="00AF1BBD"/>
    <w:rsid w:val="00AF2601"/>
    <w:rsid w:val="00AF2E18"/>
    <w:rsid w:val="00AF453B"/>
    <w:rsid w:val="00AF68C9"/>
    <w:rsid w:val="00AF736A"/>
    <w:rsid w:val="00AF76F0"/>
    <w:rsid w:val="00B07DD2"/>
    <w:rsid w:val="00B10207"/>
    <w:rsid w:val="00B1053D"/>
    <w:rsid w:val="00B141E7"/>
    <w:rsid w:val="00B15001"/>
    <w:rsid w:val="00B1539C"/>
    <w:rsid w:val="00B219B2"/>
    <w:rsid w:val="00B22D76"/>
    <w:rsid w:val="00B22E6A"/>
    <w:rsid w:val="00B266FA"/>
    <w:rsid w:val="00B278BC"/>
    <w:rsid w:val="00B27D30"/>
    <w:rsid w:val="00B30132"/>
    <w:rsid w:val="00B30D0F"/>
    <w:rsid w:val="00B3396C"/>
    <w:rsid w:val="00B34ADA"/>
    <w:rsid w:val="00B351B4"/>
    <w:rsid w:val="00B36DC1"/>
    <w:rsid w:val="00B418F9"/>
    <w:rsid w:val="00B43D34"/>
    <w:rsid w:val="00B468F7"/>
    <w:rsid w:val="00B46BCA"/>
    <w:rsid w:val="00B46F4B"/>
    <w:rsid w:val="00B478AA"/>
    <w:rsid w:val="00B4796C"/>
    <w:rsid w:val="00B47D6D"/>
    <w:rsid w:val="00B6661A"/>
    <w:rsid w:val="00B66DFE"/>
    <w:rsid w:val="00B700A6"/>
    <w:rsid w:val="00B719A5"/>
    <w:rsid w:val="00B71DE3"/>
    <w:rsid w:val="00B7265E"/>
    <w:rsid w:val="00B72888"/>
    <w:rsid w:val="00B731E9"/>
    <w:rsid w:val="00B758A9"/>
    <w:rsid w:val="00B81019"/>
    <w:rsid w:val="00B81E6A"/>
    <w:rsid w:val="00B8477C"/>
    <w:rsid w:val="00B859CA"/>
    <w:rsid w:val="00B86887"/>
    <w:rsid w:val="00B87806"/>
    <w:rsid w:val="00B87EC9"/>
    <w:rsid w:val="00B904FA"/>
    <w:rsid w:val="00B90C4A"/>
    <w:rsid w:val="00B95524"/>
    <w:rsid w:val="00B95CDE"/>
    <w:rsid w:val="00B97B0E"/>
    <w:rsid w:val="00BA27F8"/>
    <w:rsid w:val="00BA3FB3"/>
    <w:rsid w:val="00BA6B95"/>
    <w:rsid w:val="00BB06F7"/>
    <w:rsid w:val="00BB1F79"/>
    <w:rsid w:val="00BB3232"/>
    <w:rsid w:val="00BC016C"/>
    <w:rsid w:val="00BC080B"/>
    <w:rsid w:val="00BC1227"/>
    <w:rsid w:val="00BC31AB"/>
    <w:rsid w:val="00BC38FD"/>
    <w:rsid w:val="00BC4471"/>
    <w:rsid w:val="00BC49C8"/>
    <w:rsid w:val="00BC519F"/>
    <w:rsid w:val="00BC557B"/>
    <w:rsid w:val="00BC5975"/>
    <w:rsid w:val="00BC7429"/>
    <w:rsid w:val="00BD3D18"/>
    <w:rsid w:val="00BD6EB1"/>
    <w:rsid w:val="00BE13E0"/>
    <w:rsid w:val="00BE2F8E"/>
    <w:rsid w:val="00BE325C"/>
    <w:rsid w:val="00BE35BB"/>
    <w:rsid w:val="00BE3805"/>
    <w:rsid w:val="00BE3A06"/>
    <w:rsid w:val="00BF16A7"/>
    <w:rsid w:val="00BF211E"/>
    <w:rsid w:val="00BF278A"/>
    <w:rsid w:val="00BF4F84"/>
    <w:rsid w:val="00BF51E5"/>
    <w:rsid w:val="00BF7D3D"/>
    <w:rsid w:val="00C02D1B"/>
    <w:rsid w:val="00C034CB"/>
    <w:rsid w:val="00C0421A"/>
    <w:rsid w:val="00C051A8"/>
    <w:rsid w:val="00C054BC"/>
    <w:rsid w:val="00C066D9"/>
    <w:rsid w:val="00C07355"/>
    <w:rsid w:val="00C07636"/>
    <w:rsid w:val="00C127E5"/>
    <w:rsid w:val="00C12D72"/>
    <w:rsid w:val="00C16574"/>
    <w:rsid w:val="00C1719B"/>
    <w:rsid w:val="00C17897"/>
    <w:rsid w:val="00C217EB"/>
    <w:rsid w:val="00C22FC6"/>
    <w:rsid w:val="00C247B0"/>
    <w:rsid w:val="00C2776D"/>
    <w:rsid w:val="00C27ADF"/>
    <w:rsid w:val="00C27D7D"/>
    <w:rsid w:val="00C323A6"/>
    <w:rsid w:val="00C341FD"/>
    <w:rsid w:val="00C363B8"/>
    <w:rsid w:val="00C37026"/>
    <w:rsid w:val="00C403BF"/>
    <w:rsid w:val="00C409D5"/>
    <w:rsid w:val="00C435C3"/>
    <w:rsid w:val="00C459DC"/>
    <w:rsid w:val="00C45D5D"/>
    <w:rsid w:val="00C4636D"/>
    <w:rsid w:val="00C47CDA"/>
    <w:rsid w:val="00C550EF"/>
    <w:rsid w:val="00C576C4"/>
    <w:rsid w:val="00C60C4A"/>
    <w:rsid w:val="00C6234B"/>
    <w:rsid w:val="00C6279E"/>
    <w:rsid w:val="00C63EAE"/>
    <w:rsid w:val="00C6426A"/>
    <w:rsid w:val="00C65308"/>
    <w:rsid w:val="00C70E0E"/>
    <w:rsid w:val="00C74048"/>
    <w:rsid w:val="00C745FB"/>
    <w:rsid w:val="00C751C7"/>
    <w:rsid w:val="00C7629F"/>
    <w:rsid w:val="00C77B93"/>
    <w:rsid w:val="00C805AF"/>
    <w:rsid w:val="00C80E91"/>
    <w:rsid w:val="00C82D12"/>
    <w:rsid w:val="00C84D46"/>
    <w:rsid w:val="00C85AC6"/>
    <w:rsid w:val="00C8661B"/>
    <w:rsid w:val="00C90AE6"/>
    <w:rsid w:val="00C94296"/>
    <w:rsid w:val="00C9788E"/>
    <w:rsid w:val="00C97AA3"/>
    <w:rsid w:val="00CA139A"/>
    <w:rsid w:val="00CA1E51"/>
    <w:rsid w:val="00CA2899"/>
    <w:rsid w:val="00CA3A3D"/>
    <w:rsid w:val="00CA4F86"/>
    <w:rsid w:val="00CA53B6"/>
    <w:rsid w:val="00CA53EA"/>
    <w:rsid w:val="00CA77FB"/>
    <w:rsid w:val="00CB1877"/>
    <w:rsid w:val="00CB27ED"/>
    <w:rsid w:val="00CB379B"/>
    <w:rsid w:val="00CB55B0"/>
    <w:rsid w:val="00CB5DD0"/>
    <w:rsid w:val="00CB7724"/>
    <w:rsid w:val="00CC05F2"/>
    <w:rsid w:val="00CC13B6"/>
    <w:rsid w:val="00CC20AD"/>
    <w:rsid w:val="00CC4311"/>
    <w:rsid w:val="00CC4FA9"/>
    <w:rsid w:val="00CC51D4"/>
    <w:rsid w:val="00CC65DA"/>
    <w:rsid w:val="00CC6A6E"/>
    <w:rsid w:val="00CC6F86"/>
    <w:rsid w:val="00CD1A4D"/>
    <w:rsid w:val="00CD1B62"/>
    <w:rsid w:val="00CD1C95"/>
    <w:rsid w:val="00CD6739"/>
    <w:rsid w:val="00CD797D"/>
    <w:rsid w:val="00CE7408"/>
    <w:rsid w:val="00CF086E"/>
    <w:rsid w:val="00CF1357"/>
    <w:rsid w:val="00CF21B9"/>
    <w:rsid w:val="00CF375B"/>
    <w:rsid w:val="00CF40D2"/>
    <w:rsid w:val="00CF552E"/>
    <w:rsid w:val="00CF6BF9"/>
    <w:rsid w:val="00D024FD"/>
    <w:rsid w:val="00D033F1"/>
    <w:rsid w:val="00D0349E"/>
    <w:rsid w:val="00D03800"/>
    <w:rsid w:val="00D045C6"/>
    <w:rsid w:val="00D065D3"/>
    <w:rsid w:val="00D065E3"/>
    <w:rsid w:val="00D07D66"/>
    <w:rsid w:val="00D122EF"/>
    <w:rsid w:val="00D14C94"/>
    <w:rsid w:val="00D15218"/>
    <w:rsid w:val="00D20663"/>
    <w:rsid w:val="00D223D4"/>
    <w:rsid w:val="00D22807"/>
    <w:rsid w:val="00D247E3"/>
    <w:rsid w:val="00D24C2E"/>
    <w:rsid w:val="00D27941"/>
    <w:rsid w:val="00D342A6"/>
    <w:rsid w:val="00D370C5"/>
    <w:rsid w:val="00D37925"/>
    <w:rsid w:val="00D43744"/>
    <w:rsid w:val="00D464BF"/>
    <w:rsid w:val="00D46AEA"/>
    <w:rsid w:val="00D47238"/>
    <w:rsid w:val="00D473AE"/>
    <w:rsid w:val="00D50217"/>
    <w:rsid w:val="00D52B00"/>
    <w:rsid w:val="00D53E26"/>
    <w:rsid w:val="00D54259"/>
    <w:rsid w:val="00D55A94"/>
    <w:rsid w:val="00D56435"/>
    <w:rsid w:val="00D57AB4"/>
    <w:rsid w:val="00D60080"/>
    <w:rsid w:val="00D60925"/>
    <w:rsid w:val="00D6310E"/>
    <w:rsid w:val="00D6597D"/>
    <w:rsid w:val="00D66608"/>
    <w:rsid w:val="00D712E6"/>
    <w:rsid w:val="00D74F48"/>
    <w:rsid w:val="00D808C8"/>
    <w:rsid w:val="00D811A6"/>
    <w:rsid w:val="00D821DA"/>
    <w:rsid w:val="00D82EAC"/>
    <w:rsid w:val="00D83977"/>
    <w:rsid w:val="00D83AC1"/>
    <w:rsid w:val="00D83FF3"/>
    <w:rsid w:val="00D864DC"/>
    <w:rsid w:val="00D923BE"/>
    <w:rsid w:val="00D931A6"/>
    <w:rsid w:val="00D962ED"/>
    <w:rsid w:val="00D96692"/>
    <w:rsid w:val="00D97298"/>
    <w:rsid w:val="00DA0531"/>
    <w:rsid w:val="00DA150A"/>
    <w:rsid w:val="00DA3DA6"/>
    <w:rsid w:val="00DA5142"/>
    <w:rsid w:val="00DA6CF1"/>
    <w:rsid w:val="00DA7CC2"/>
    <w:rsid w:val="00DB5E1A"/>
    <w:rsid w:val="00DC30BB"/>
    <w:rsid w:val="00DC478C"/>
    <w:rsid w:val="00DC6566"/>
    <w:rsid w:val="00DC68E8"/>
    <w:rsid w:val="00DD07E2"/>
    <w:rsid w:val="00DD13D0"/>
    <w:rsid w:val="00DD243A"/>
    <w:rsid w:val="00DD26E1"/>
    <w:rsid w:val="00DD2AB3"/>
    <w:rsid w:val="00DD3BD0"/>
    <w:rsid w:val="00DD3C1B"/>
    <w:rsid w:val="00DD4064"/>
    <w:rsid w:val="00DD4F0E"/>
    <w:rsid w:val="00DD5C80"/>
    <w:rsid w:val="00DD5E31"/>
    <w:rsid w:val="00DE1061"/>
    <w:rsid w:val="00DE2082"/>
    <w:rsid w:val="00DE2D2D"/>
    <w:rsid w:val="00DE34CA"/>
    <w:rsid w:val="00DE4466"/>
    <w:rsid w:val="00DE4B2B"/>
    <w:rsid w:val="00DF0BF0"/>
    <w:rsid w:val="00DF4533"/>
    <w:rsid w:val="00DF4EC4"/>
    <w:rsid w:val="00DF4FD6"/>
    <w:rsid w:val="00DF7F93"/>
    <w:rsid w:val="00E01463"/>
    <w:rsid w:val="00E02A14"/>
    <w:rsid w:val="00E03E25"/>
    <w:rsid w:val="00E04A13"/>
    <w:rsid w:val="00E05E0A"/>
    <w:rsid w:val="00E06086"/>
    <w:rsid w:val="00E111A0"/>
    <w:rsid w:val="00E11690"/>
    <w:rsid w:val="00E16A4E"/>
    <w:rsid w:val="00E176CC"/>
    <w:rsid w:val="00E17860"/>
    <w:rsid w:val="00E17D79"/>
    <w:rsid w:val="00E2105E"/>
    <w:rsid w:val="00E2406A"/>
    <w:rsid w:val="00E2414E"/>
    <w:rsid w:val="00E25166"/>
    <w:rsid w:val="00E253C2"/>
    <w:rsid w:val="00E257A4"/>
    <w:rsid w:val="00E269F0"/>
    <w:rsid w:val="00E27C07"/>
    <w:rsid w:val="00E326FB"/>
    <w:rsid w:val="00E33CB0"/>
    <w:rsid w:val="00E34400"/>
    <w:rsid w:val="00E34A2F"/>
    <w:rsid w:val="00E359E0"/>
    <w:rsid w:val="00E363B9"/>
    <w:rsid w:val="00E3733C"/>
    <w:rsid w:val="00E41638"/>
    <w:rsid w:val="00E4296E"/>
    <w:rsid w:val="00E42A05"/>
    <w:rsid w:val="00E434E7"/>
    <w:rsid w:val="00E534CF"/>
    <w:rsid w:val="00E5576C"/>
    <w:rsid w:val="00E55AF6"/>
    <w:rsid w:val="00E6288A"/>
    <w:rsid w:val="00E642AF"/>
    <w:rsid w:val="00E64BA5"/>
    <w:rsid w:val="00E65E93"/>
    <w:rsid w:val="00E678B5"/>
    <w:rsid w:val="00E71030"/>
    <w:rsid w:val="00E72A79"/>
    <w:rsid w:val="00E72BC6"/>
    <w:rsid w:val="00E80A5B"/>
    <w:rsid w:val="00E81CB4"/>
    <w:rsid w:val="00E855B9"/>
    <w:rsid w:val="00E8585B"/>
    <w:rsid w:val="00E85B42"/>
    <w:rsid w:val="00E875B3"/>
    <w:rsid w:val="00E87B28"/>
    <w:rsid w:val="00E87ECF"/>
    <w:rsid w:val="00E90EA9"/>
    <w:rsid w:val="00E92FFB"/>
    <w:rsid w:val="00E952C4"/>
    <w:rsid w:val="00E957EA"/>
    <w:rsid w:val="00E96305"/>
    <w:rsid w:val="00EA0CBD"/>
    <w:rsid w:val="00EA23D2"/>
    <w:rsid w:val="00EA3A76"/>
    <w:rsid w:val="00EA3F15"/>
    <w:rsid w:val="00EA7847"/>
    <w:rsid w:val="00EA7DBE"/>
    <w:rsid w:val="00EB147B"/>
    <w:rsid w:val="00EB2303"/>
    <w:rsid w:val="00EB26E6"/>
    <w:rsid w:val="00EB29BE"/>
    <w:rsid w:val="00EB3E46"/>
    <w:rsid w:val="00EB489C"/>
    <w:rsid w:val="00EB4C2F"/>
    <w:rsid w:val="00EB6DE4"/>
    <w:rsid w:val="00EC0752"/>
    <w:rsid w:val="00EC2727"/>
    <w:rsid w:val="00EC3B4B"/>
    <w:rsid w:val="00EC6312"/>
    <w:rsid w:val="00EC6AA1"/>
    <w:rsid w:val="00EC7BF9"/>
    <w:rsid w:val="00ED2A8F"/>
    <w:rsid w:val="00ED3101"/>
    <w:rsid w:val="00EE0100"/>
    <w:rsid w:val="00EE1417"/>
    <w:rsid w:val="00EE160D"/>
    <w:rsid w:val="00EE2E6E"/>
    <w:rsid w:val="00EE42DE"/>
    <w:rsid w:val="00EE6A3C"/>
    <w:rsid w:val="00EF439D"/>
    <w:rsid w:val="00EF57D8"/>
    <w:rsid w:val="00EF7441"/>
    <w:rsid w:val="00F00DB4"/>
    <w:rsid w:val="00F02FBB"/>
    <w:rsid w:val="00F03621"/>
    <w:rsid w:val="00F03D71"/>
    <w:rsid w:val="00F042C2"/>
    <w:rsid w:val="00F05AE1"/>
    <w:rsid w:val="00F06C2C"/>
    <w:rsid w:val="00F0759E"/>
    <w:rsid w:val="00F07A7D"/>
    <w:rsid w:val="00F10674"/>
    <w:rsid w:val="00F129AF"/>
    <w:rsid w:val="00F13288"/>
    <w:rsid w:val="00F13DEC"/>
    <w:rsid w:val="00F15A85"/>
    <w:rsid w:val="00F16A43"/>
    <w:rsid w:val="00F17ACE"/>
    <w:rsid w:val="00F20D45"/>
    <w:rsid w:val="00F242D4"/>
    <w:rsid w:val="00F26FF3"/>
    <w:rsid w:val="00F314FA"/>
    <w:rsid w:val="00F338BB"/>
    <w:rsid w:val="00F34AF1"/>
    <w:rsid w:val="00F350F9"/>
    <w:rsid w:val="00F3719D"/>
    <w:rsid w:val="00F4108D"/>
    <w:rsid w:val="00F42CA3"/>
    <w:rsid w:val="00F45765"/>
    <w:rsid w:val="00F46780"/>
    <w:rsid w:val="00F472A6"/>
    <w:rsid w:val="00F47A14"/>
    <w:rsid w:val="00F517A0"/>
    <w:rsid w:val="00F55E2E"/>
    <w:rsid w:val="00F608CE"/>
    <w:rsid w:val="00F60B80"/>
    <w:rsid w:val="00F612F7"/>
    <w:rsid w:val="00F65B54"/>
    <w:rsid w:val="00F661D4"/>
    <w:rsid w:val="00F6713E"/>
    <w:rsid w:val="00F6759C"/>
    <w:rsid w:val="00F71AD4"/>
    <w:rsid w:val="00F7285D"/>
    <w:rsid w:val="00F7486B"/>
    <w:rsid w:val="00F74D39"/>
    <w:rsid w:val="00F821A3"/>
    <w:rsid w:val="00F82A1B"/>
    <w:rsid w:val="00F83425"/>
    <w:rsid w:val="00F83445"/>
    <w:rsid w:val="00F83FB4"/>
    <w:rsid w:val="00F855CA"/>
    <w:rsid w:val="00F87A12"/>
    <w:rsid w:val="00F9314A"/>
    <w:rsid w:val="00F93277"/>
    <w:rsid w:val="00F94C7F"/>
    <w:rsid w:val="00F962D7"/>
    <w:rsid w:val="00FA1E73"/>
    <w:rsid w:val="00FA5C2F"/>
    <w:rsid w:val="00FB21E1"/>
    <w:rsid w:val="00FB2E74"/>
    <w:rsid w:val="00FB5D76"/>
    <w:rsid w:val="00FC58EF"/>
    <w:rsid w:val="00FC62CF"/>
    <w:rsid w:val="00FC741C"/>
    <w:rsid w:val="00FD2963"/>
    <w:rsid w:val="00FD33DF"/>
    <w:rsid w:val="00FD3432"/>
    <w:rsid w:val="00FD3BC7"/>
    <w:rsid w:val="00FD5159"/>
    <w:rsid w:val="00FE0708"/>
    <w:rsid w:val="00FE0DB3"/>
    <w:rsid w:val="00FE1CD9"/>
    <w:rsid w:val="00FE1D77"/>
    <w:rsid w:val="00FE39D7"/>
    <w:rsid w:val="00FE4FC5"/>
    <w:rsid w:val="00FE6431"/>
    <w:rsid w:val="00FE78EA"/>
    <w:rsid w:val="00FF0465"/>
    <w:rsid w:val="00FF1877"/>
    <w:rsid w:val="00FF2EFC"/>
    <w:rsid w:val="00FF4763"/>
    <w:rsid w:val="00FF7179"/>
    <w:rsid w:val="00FF73A8"/>
    <w:rsid w:val="10878DB7"/>
    <w:rsid w:val="19C7BDF9"/>
    <w:rsid w:val="2AB6BB09"/>
    <w:rsid w:val="47187FC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247"/>
    <w:pPr>
      <w:jc w:val="both"/>
    </w:pPr>
    <w:rPr>
      <w:rFonts w:ascii="Bookman Old Style" w:hAnsi="Bookman Old Style"/>
      <w:sz w:val="22"/>
      <w:szCs w:val="24"/>
      <w:lang w:val="es-ES" w:eastAsia="es-ES"/>
    </w:rPr>
  </w:style>
  <w:style w:type="paragraph" w:styleId="Ttulo1">
    <w:name w:val="heading 1"/>
    <w:basedOn w:val="Normal"/>
    <w:next w:val="Normal"/>
    <w:link w:val="Ttulo1Car"/>
    <w:qFormat/>
    <w:rsid w:val="003F7B12"/>
    <w:pPr>
      <w:keepNext/>
      <w:numPr>
        <w:numId w:val="13"/>
      </w:numPr>
      <w:tabs>
        <w:tab w:val="clear" w:pos="502"/>
        <w:tab w:val="num" w:pos="360"/>
      </w:tabs>
      <w:ind w:left="0"/>
      <w:jc w:val="center"/>
      <w:outlineLvl w:val="0"/>
    </w:pPr>
    <w:rPr>
      <w:rFonts w:ascii="CG Times" w:hAnsi="CG Times"/>
      <w:b/>
      <w:bCs/>
      <w:caps/>
      <w:lang w:val="es-CO"/>
    </w:rPr>
  </w:style>
  <w:style w:type="paragraph" w:styleId="Ttulo2">
    <w:name w:val="heading 2"/>
    <w:basedOn w:val="Normal"/>
    <w:next w:val="Normal"/>
    <w:link w:val="Ttulo2Car"/>
    <w:unhideWhenUsed/>
    <w:qFormat/>
    <w:rsid w:val="00890566"/>
    <w:pPr>
      <w:keepNext/>
      <w:keepLines/>
      <w:numPr>
        <w:ilvl w:val="1"/>
        <w:numId w:val="13"/>
      </w:numPr>
      <w:spacing w:before="240" w:after="240"/>
      <w:outlineLvl w:val="1"/>
    </w:pPr>
    <w:rPr>
      <w:b/>
      <w:bCs/>
      <w:iCs/>
      <w:caps/>
      <w:szCs w:val="28"/>
    </w:rPr>
  </w:style>
  <w:style w:type="paragraph" w:styleId="Ttulo3">
    <w:name w:val="heading 3"/>
    <w:aliases w:val="T3"/>
    <w:basedOn w:val="Normal"/>
    <w:next w:val="Normal"/>
    <w:link w:val="Ttulo3Car"/>
    <w:qFormat/>
    <w:rsid w:val="00B219B2"/>
    <w:pPr>
      <w:keepNext/>
      <w:numPr>
        <w:ilvl w:val="2"/>
        <w:numId w:val="13"/>
      </w:numPr>
      <w:outlineLvl w:val="2"/>
    </w:pPr>
    <w:rPr>
      <w:b/>
      <w:snapToGrid w:val="0"/>
      <w:color w:val="000000"/>
      <w:szCs w:val="20"/>
      <w:lang w:val="es-ES_tradnl"/>
    </w:rPr>
  </w:style>
  <w:style w:type="paragraph" w:styleId="Ttulo4">
    <w:name w:val="heading 4"/>
    <w:basedOn w:val="Normal"/>
    <w:next w:val="Normal"/>
    <w:link w:val="Ttulo4Car"/>
    <w:qFormat/>
    <w:rsid w:val="000127D2"/>
    <w:pPr>
      <w:keepNext/>
      <w:numPr>
        <w:ilvl w:val="3"/>
        <w:numId w:val="13"/>
      </w:numPr>
      <w:tabs>
        <w:tab w:val="clear" w:pos="10436"/>
      </w:tabs>
      <w:ind w:left="0"/>
      <w:outlineLvl w:val="3"/>
    </w:pPr>
    <w:rPr>
      <w:rFonts w:cs="Arial"/>
      <w:b/>
      <w:snapToGrid w:val="0"/>
      <w:color w:val="000000"/>
      <w:szCs w:val="20"/>
      <w:lang w:val="es-ES_tradnl"/>
    </w:rPr>
  </w:style>
  <w:style w:type="paragraph" w:styleId="Ttulo5">
    <w:name w:val="heading 5"/>
    <w:basedOn w:val="Normal"/>
    <w:next w:val="Normal"/>
    <w:link w:val="Ttulo5Car"/>
    <w:qFormat/>
    <w:rsid w:val="000127D2"/>
    <w:pPr>
      <w:keepNext/>
      <w:numPr>
        <w:ilvl w:val="4"/>
        <w:numId w:val="13"/>
      </w:numPr>
      <w:outlineLvl w:val="4"/>
    </w:pPr>
    <w:rPr>
      <w:rFonts w:cs="Arial"/>
      <w:b/>
      <w:snapToGrid w:val="0"/>
      <w:color w:val="000000"/>
      <w:szCs w:val="20"/>
      <w:lang w:val="es-ES_tradnl"/>
    </w:rPr>
  </w:style>
  <w:style w:type="paragraph" w:styleId="Ttulo6">
    <w:name w:val="heading 6"/>
    <w:basedOn w:val="Normal"/>
    <w:next w:val="Normal"/>
    <w:link w:val="Ttulo6Car"/>
    <w:unhideWhenUsed/>
    <w:qFormat/>
    <w:rsid w:val="00795BFB"/>
    <w:pPr>
      <w:numPr>
        <w:ilvl w:val="5"/>
        <w:numId w:val="10"/>
      </w:numPr>
      <w:spacing w:before="240" w:after="60"/>
      <w:outlineLvl w:val="5"/>
    </w:pPr>
    <w:rPr>
      <w:rFonts w:ascii="Calibri" w:hAnsi="Calibri"/>
      <w:b/>
      <w:bCs/>
      <w:szCs w:val="22"/>
    </w:rPr>
  </w:style>
  <w:style w:type="paragraph" w:styleId="Ttulo7">
    <w:name w:val="heading 7"/>
    <w:basedOn w:val="Normal"/>
    <w:next w:val="Normal"/>
    <w:link w:val="Ttulo7Car"/>
    <w:unhideWhenUsed/>
    <w:qFormat/>
    <w:rsid w:val="006B4647"/>
    <w:pPr>
      <w:numPr>
        <w:ilvl w:val="6"/>
        <w:numId w:val="10"/>
      </w:numPr>
      <w:spacing w:before="240" w:after="60"/>
      <w:outlineLvl w:val="6"/>
    </w:pPr>
    <w:rPr>
      <w:rFonts w:ascii="Calibri" w:hAnsi="Calibri"/>
    </w:rPr>
  </w:style>
  <w:style w:type="paragraph" w:styleId="Ttulo8">
    <w:name w:val="heading 8"/>
    <w:basedOn w:val="Normal"/>
    <w:next w:val="Normal"/>
    <w:link w:val="Ttulo8Car"/>
    <w:unhideWhenUsed/>
    <w:qFormat/>
    <w:rsid w:val="00AC44A5"/>
    <w:pPr>
      <w:numPr>
        <w:ilvl w:val="7"/>
        <w:numId w:val="10"/>
      </w:numPr>
      <w:spacing w:before="240" w:after="60"/>
      <w:outlineLvl w:val="7"/>
    </w:pPr>
    <w:rPr>
      <w:rFonts w:ascii="Calibri" w:hAnsi="Calibri"/>
      <w:i/>
      <w:iCs/>
    </w:rPr>
  </w:style>
  <w:style w:type="paragraph" w:styleId="Ttulo9">
    <w:name w:val="heading 9"/>
    <w:basedOn w:val="Normal"/>
    <w:next w:val="Normal"/>
    <w:link w:val="Ttulo9Car"/>
    <w:unhideWhenUsed/>
    <w:qFormat/>
    <w:rsid w:val="00AC44A5"/>
    <w:pPr>
      <w:numPr>
        <w:ilvl w:val="8"/>
        <w:numId w:val="10"/>
      </w:numPr>
      <w:spacing w:before="240" w:after="60"/>
      <w:outlineLvl w:val="8"/>
    </w:pPr>
    <w:rPr>
      <w:rFonts w:ascii="Cambria" w:hAnsi="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101DA"/>
    <w:pPr>
      <w:tabs>
        <w:tab w:val="center" w:pos="4252"/>
        <w:tab w:val="right" w:pos="8504"/>
      </w:tabs>
    </w:pPr>
    <w:rPr>
      <w:rFonts w:ascii="CG Times" w:hAnsi="CG Times"/>
      <w:szCs w:val="20"/>
      <w:lang w:val="es-CO"/>
    </w:rPr>
  </w:style>
  <w:style w:type="paragraph" w:styleId="Piedepgina">
    <w:name w:val="footer"/>
    <w:basedOn w:val="Normal"/>
    <w:link w:val="PiedepginaCar"/>
    <w:uiPriority w:val="99"/>
    <w:rsid w:val="003101DA"/>
    <w:pPr>
      <w:tabs>
        <w:tab w:val="center" w:pos="4252"/>
        <w:tab w:val="right" w:pos="8504"/>
      </w:tabs>
    </w:pPr>
  </w:style>
  <w:style w:type="paragraph" w:customStyle="1" w:styleId="Estilo1">
    <w:name w:val="Estilo1"/>
    <w:basedOn w:val="Normal"/>
    <w:rsid w:val="003101DA"/>
    <w:pPr>
      <w:shd w:val="clear" w:color="auto" w:fill="C0C0C0"/>
      <w:jc w:val="center"/>
    </w:pPr>
    <w:rPr>
      <w:rFonts w:ascii="Comic Sans MS" w:hAnsi="Comic Sans MS"/>
      <w:color w:val="0000FF"/>
      <w:sz w:val="36"/>
      <w:szCs w:val="20"/>
      <w:lang w:val="es-CO"/>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semiHidden/>
    <w:rsid w:val="003101DA"/>
  </w:style>
  <w:style w:type="paragraph" w:styleId="Textoindependiente">
    <w:name w:val="Body Text"/>
    <w:basedOn w:val="Normal"/>
    <w:link w:val="TextoindependienteCar"/>
    <w:semiHidden/>
    <w:rsid w:val="003101DA"/>
    <w:pPr>
      <w:jc w:val="center"/>
    </w:pPr>
    <w:rPr>
      <w:rFonts w:cs="Arial"/>
      <w:b/>
      <w:bCs/>
    </w:rPr>
  </w:style>
  <w:style w:type="paragraph" w:styleId="Textoindependiente3">
    <w:name w:val="Body Text 3"/>
    <w:basedOn w:val="Normal"/>
    <w:link w:val="Textoindependiente3Car"/>
    <w:semiHidden/>
    <w:rsid w:val="003101DA"/>
    <w:pPr>
      <w:jc w:val="center"/>
      <w:outlineLvl w:val="0"/>
    </w:pPr>
    <w:rPr>
      <w:rFonts w:cs="Arial"/>
      <w:b/>
      <w:bCs/>
      <w:spacing w:val="-3"/>
    </w:rPr>
  </w:style>
  <w:style w:type="paragraph" w:styleId="Textodeglobo">
    <w:name w:val="Balloon Text"/>
    <w:basedOn w:val="Normal"/>
    <w:link w:val="TextodegloboCar"/>
    <w:uiPriority w:val="99"/>
    <w:semiHidden/>
    <w:unhideWhenUsed/>
    <w:rsid w:val="00725FA4"/>
    <w:rPr>
      <w:rFonts w:ascii="Tahoma" w:hAnsi="Tahoma" w:cs="Tahoma"/>
      <w:sz w:val="16"/>
      <w:szCs w:val="16"/>
    </w:rPr>
  </w:style>
  <w:style w:type="character" w:customStyle="1" w:styleId="TextodegloboCar">
    <w:name w:val="Texto de globo Car"/>
    <w:link w:val="Textodeglobo"/>
    <w:uiPriority w:val="99"/>
    <w:semiHidden/>
    <w:rsid w:val="00725FA4"/>
    <w:rPr>
      <w:rFonts w:ascii="Tahoma" w:hAnsi="Tahoma" w:cs="Tahoma"/>
      <w:sz w:val="16"/>
      <w:szCs w:val="16"/>
    </w:rPr>
  </w:style>
  <w:style w:type="character" w:customStyle="1" w:styleId="EncabezadoCar">
    <w:name w:val="Encabezado Car"/>
    <w:link w:val="Encabezado"/>
    <w:uiPriority w:val="99"/>
    <w:rsid w:val="00593C4F"/>
    <w:rPr>
      <w:rFonts w:ascii="CG Times" w:hAnsi="CG Times"/>
      <w:sz w:val="24"/>
      <w:lang w:val="es-CO"/>
    </w:rPr>
  </w:style>
  <w:style w:type="character" w:customStyle="1" w:styleId="Ttulo3Car">
    <w:name w:val="Título 3 Car"/>
    <w:aliases w:val="T3 Car"/>
    <w:link w:val="Ttulo3"/>
    <w:rsid w:val="00B219B2"/>
    <w:rPr>
      <w:rFonts w:ascii="Bookman Old Style" w:hAnsi="Bookman Old Style"/>
      <w:b/>
      <w:snapToGrid w:val="0"/>
      <w:color w:val="000000"/>
      <w:sz w:val="22"/>
      <w:lang w:val="es-ES_tradnl" w:eastAsia="es-ES"/>
    </w:rPr>
  </w:style>
  <w:style w:type="character" w:customStyle="1" w:styleId="Ttulo4Car">
    <w:name w:val="Título 4 Car"/>
    <w:link w:val="Ttulo4"/>
    <w:rsid w:val="000127D2"/>
    <w:rPr>
      <w:rFonts w:ascii="Bookman Old Style" w:hAnsi="Bookman Old Style" w:cs="Arial"/>
      <w:b/>
      <w:snapToGrid w:val="0"/>
      <w:color w:val="000000"/>
      <w:sz w:val="22"/>
      <w:lang w:val="es-ES_tradnl" w:eastAsia="es-ES"/>
    </w:rPr>
  </w:style>
  <w:style w:type="character" w:customStyle="1" w:styleId="Ttulo5Car">
    <w:name w:val="Título 5 Car"/>
    <w:link w:val="Ttulo5"/>
    <w:rsid w:val="000127D2"/>
    <w:rPr>
      <w:rFonts w:ascii="Bookman Old Style" w:hAnsi="Bookman Old Style" w:cs="Arial"/>
      <w:b/>
      <w:snapToGrid w:val="0"/>
      <w:color w:val="000000"/>
      <w:sz w:val="22"/>
      <w:lang w:val="es-ES_tradnl" w:eastAsia="es-ES"/>
    </w:rPr>
  </w:style>
  <w:style w:type="character" w:customStyle="1" w:styleId="TextoindependienteCar">
    <w:name w:val="Texto independiente Car"/>
    <w:link w:val="Textoindependiente"/>
    <w:semiHidden/>
    <w:rsid w:val="00141013"/>
    <w:rPr>
      <w:rFonts w:ascii="Arial" w:hAnsi="Arial" w:cs="Arial"/>
      <w:b/>
      <w:bCs/>
      <w:sz w:val="24"/>
      <w:szCs w:val="24"/>
    </w:rPr>
  </w:style>
  <w:style w:type="character" w:customStyle="1" w:styleId="Textoindependiente3Car">
    <w:name w:val="Texto independiente 3 Car"/>
    <w:link w:val="Textoindependiente3"/>
    <w:semiHidden/>
    <w:rsid w:val="00141013"/>
    <w:rPr>
      <w:rFonts w:ascii="Arial" w:hAnsi="Arial" w:cs="Arial"/>
      <w:b/>
      <w:bCs/>
      <w:spacing w:val="-3"/>
      <w:sz w:val="24"/>
      <w:szCs w:val="24"/>
    </w:rPr>
  </w:style>
  <w:style w:type="table" w:styleId="Tablaconcuadrcula">
    <w:name w:val="Table Grid"/>
    <w:basedOn w:val="Tablanormal"/>
    <w:uiPriority w:val="59"/>
    <w:rsid w:val="001410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6Car">
    <w:name w:val="Título 6 Car"/>
    <w:link w:val="Ttulo6"/>
    <w:rsid w:val="00795BFB"/>
    <w:rPr>
      <w:rFonts w:ascii="Calibri" w:hAnsi="Calibri"/>
      <w:b/>
      <w:bCs/>
      <w:sz w:val="22"/>
      <w:szCs w:val="22"/>
      <w:lang w:val="es-ES" w:eastAsia="es-ES"/>
    </w:rPr>
  </w:style>
  <w:style w:type="paragraph" w:styleId="Ttulo">
    <w:name w:val="Title"/>
    <w:basedOn w:val="Normal"/>
    <w:link w:val="TtuloCar"/>
    <w:qFormat/>
    <w:rsid w:val="00795BFB"/>
    <w:pPr>
      <w:widowControl w:val="0"/>
      <w:adjustRightInd w:val="0"/>
      <w:spacing w:line="360" w:lineRule="atLeast"/>
      <w:jc w:val="center"/>
      <w:textAlignment w:val="baseline"/>
    </w:pPr>
    <w:rPr>
      <w:rFonts w:cs="Arial"/>
      <w:b/>
      <w:bCs/>
    </w:rPr>
  </w:style>
  <w:style w:type="character" w:customStyle="1" w:styleId="TtuloCar">
    <w:name w:val="Título Car"/>
    <w:link w:val="Ttulo"/>
    <w:rsid w:val="00795BFB"/>
    <w:rPr>
      <w:rFonts w:ascii="Arial" w:hAnsi="Arial" w:cs="Arial"/>
      <w:b/>
      <w:bCs/>
      <w:sz w:val="24"/>
      <w:szCs w:val="24"/>
    </w:rPr>
  </w:style>
  <w:style w:type="paragraph" w:styleId="Prrafodelista">
    <w:name w:val="List Paragraph"/>
    <w:basedOn w:val="Normal"/>
    <w:link w:val="PrrafodelistaCar"/>
    <w:uiPriority w:val="34"/>
    <w:qFormat/>
    <w:rsid w:val="00CD1B62"/>
    <w:pPr>
      <w:ind w:left="708"/>
    </w:pPr>
    <w:rPr>
      <w:szCs w:val="20"/>
      <w:lang w:val="es-CO"/>
    </w:rPr>
  </w:style>
  <w:style w:type="character" w:customStyle="1" w:styleId="PrrafodelistaCar">
    <w:name w:val="Párrafo de lista Car"/>
    <w:link w:val="Prrafodelista"/>
    <w:uiPriority w:val="34"/>
    <w:rsid w:val="00CD1B62"/>
    <w:rPr>
      <w:rFonts w:ascii="Arial" w:hAnsi="Arial"/>
      <w:sz w:val="22"/>
      <w:lang w:eastAsia="es-ES"/>
    </w:rPr>
  </w:style>
  <w:style w:type="paragraph" w:styleId="TDC1">
    <w:name w:val="toc 1"/>
    <w:basedOn w:val="Normal"/>
    <w:next w:val="Normal"/>
    <w:autoRedefine/>
    <w:uiPriority w:val="39"/>
    <w:qFormat/>
    <w:rsid w:val="00C07636"/>
    <w:pPr>
      <w:spacing w:before="120" w:after="120"/>
      <w:jc w:val="left"/>
    </w:pPr>
    <w:rPr>
      <w:b/>
      <w:bCs/>
      <w:caps/>
      <w:sz w:val="20"/>
      <w:szCs w:val="20"/>
    </w:rPr>
  </w:style>
  <w:style w:type="paragraph" w:styleId="Textodebloque">
    <w:name w:val="Block Text"/>
    <w:basedOn w:val="Normal"/>
    <w:rsid w:val="00D03800"/>
    <w:pPr>
      <w:suppressAutoHyphens/>
      <w:spacing w:after="240"/>
      <w:ind w:right="788"/>
    </w:pPr>
    <w:rPr>
      <w:spacing w:val="-3"/>
      <w:szCs w:val="20"/>
      <w:lang w:val="es-ES_tradnl"/>
    </w:rPr>
  </w:style>
  <w:style w:type="paragraph" w:styleId="Textoindependiente2">
    <w:name w:val="Body Text 2"/>
    <w:basedOn w:val="Normal"/>
    <w:link w:val="Textoindependiente2Car"/>
    <w:uiPriority w:val="99"/>
    <w:unhideWhenUsed/>
    <w:rsid w:val="00006AE2"/>
    <w:pPr>
      <w:spacing w:after="120" w:line="480" w:lineRule="auto"/>
    </w:pPr>
  </w:style>
  <w:style w:type="character" w:customStyle="1" w:styleId="Textoindependiente2Car">
    <w:name w:val="Texto independiente 2 Car"/>
    <w:link w:val="Textoindependiente2"/>
    <w:uiPriority w:val="99"/>
    <w:rsid w:val="00006AE2"/>
    <w:rPr>
      <w:sz w:val="24"/>
      <w:szCs w:val="24"/>
    </w:rPr>
  </w:style>
  <w:style w:type="paragraph" w:styleId="Epgrafe">
    <w:name w:val="caption"/>
    <w:basedOn w:val="Normal"/>
    <w:next w:val="Normal"/>
    <w:qFormat/>
    <w:rsid w:val="003C25F5"/>
    <w:pPr>
      <w:widowControl w:val="0"/>
      <w:adjustRightInd w:val="0"/>
      <w:spacing w:before="120" w:after="120" w:line="360" w:lineRule="atLeast"/>
      <w:jc w:val="center"/>
      <w:textAlignment w:val="baseline"/>
    </w:pPr>
    <w:rPr>
      <w:sz w:val="24"/>
      <w:szCs w:val="20"/>
    </w:rPr>
  </w:style>
  <w:style w:type="paragraph" w:styleId="Sinespaciado">
    <w:name w:val="No Spacing"/>
    <w:uiPriority w:val="1"/>
    <w:qFormat/>
    <w:rsid w:val="003A31F6"/>
    <w:rPr>
      <w:rFonts w:ascii="Calibri" w:hAnsi="Calibri" w:cs="Calibri"/>
      <w:sz w:val="22"/>
      <w:szCs w:val="22"/>
      <w:lang w:val="es-ES" w:eastAsia="en-US"/>
    </w:rPr>
  </w:style>
  <w:style w:type="character" w:customStyle="1" w:styleId="apple-style-span">
    <w:name w:val="apple-style-span"/>
    <w:rsid w:val="003A31F6"/>
    <w:rPr>
      <w:rFonts w:ascii="Times New Roman" w:hAnsi="Times New Roman" w:cs="Times New Roman"/>
    </w:rPr>
  </w:style>
  <w:style w:type="paragraph" w:styleId="Subttulo">
    <w:name w:val="Subtitle"/>
    <w:basedOn w:val="Normal"/>
    <w:link w:val="SubttuloCar"/>
    <w:qFormat/>
    <w:rsid w:val="003A31F6"/>
    <w:rPr>
      <w:rFonts w:ascii="Century Gothic" w:hAnsi="Century Gothic"/>
      <w:b/>
      <w:bCs/>
    </w:rPr>
  </w:style>
  <w:style w:type="character" w:customStyle="1" w:styleId="SubttuloCar">
    <w:name w:val="Subtítulo Car"/>
    <w:link w:val="Subttulo"/>
    <w:rsid w:val="003A31F6"/>
    <w:rPr>
      <w:rFonts w:ascii="Century Gothic" w:hAnsi="Century Gothic"/>
      <w:b/>
      <w:bCs/>
      <w:sz w:val="24"/>
      <w:szCs w:val="24"/>
    </w:rPr>
  </w:style>
  <w:style w:type="character" w:customStyle="1" w:styleId="apple-converted-space">
    <w:name w:val="apple-converted-space"/>
    <w:basedOn w:val="Fuentedeprrafopredeter"/>
    <w:rsid w:val="003A31F6"/>
  </w:style>
  <w:style w:type="paragraph" w:customStyle="1" w:styleId="BodyText21">
    <w:name w:val="Body Text 21"/>
    <w:basedOn w:val="Normal"/>
    <w:uiPriority w:val="99"/>
    <w:rsid w:val="00C034CB"/>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textAlignment w:val="baseline"/>
    </w:pPr>
    <w:rPr>
      <w:szCs w:val="20"/>
    </w:rPr>
  </w:style>
  <w:style w:type="character" w:customStyle="1" w:styleId="Ttulo7Car">
    <w:name w:val="Título 7 Car"/>
    <w:link w:val="Ttulo7"/>
    <w:rsid w:val="006B4647"/>
    <w:rPr>
      <w:rFonts w:ascii="Calibri" w:hAnsi="Calibri"/>
      <w:sz w:val="22"/>
      <w:szCs w:val="24"/>
      <w:lang w:val="es-ES" w:eastAsia="es-ES"/>
    </w:rPr>
  </w:style>
  <w:style w:type="paragraph" w:styleId="Sangradetextonormal">
    <w:name w:val="Body Text Indent"/>
    <w:basedOn w:val="Normal"/>
    <w:link w:val="SangradetextonormalCar"/>
    <w:uiPriority w:val="99"/>
    <w:semiHidden/>
    <w:unhideWhenUsed/>
    <w:rsid w:val="00E01463"/>
    <w:pPr>
      <w:spacing w:after="120"/>
      <w:ind w:left="283"/>
    </w:pPr>
  </w:style>
  <w:style w:type="character" w:customStyle="1" w:styleId="SangradetextonormalCar">
    <w:name w:val="Sangría de texto normal Car"/>
    <w:link w:val="Sangradetextonormal"/>
    <w:uiPriority w:val="99"/>
    <w:semiHidden/>
    <w:rsid w:val="00E01463"/>
    <w:rPr>
      <w:sz w:val="24"/>
      <w:szCs w:val="24"/>
      <w:lang w:val="es-ES" w:eastAsia="es-ES"/>
    </w:rPr>
  </w:style>
  <w:style w:type="paragraph" w:customStyle="1" w:styleId="Vietaletra">
    <w:name w:val="Viñeta letra"/>
    <w:basedOn w:val="Normal"/>
    <w:next w:val="Normal"/>
    <w:rsid w:val="00E01463"/>
    <w:pPr>
      <w:numPr>
        <w:numId w:val="1"/>
      </w:numPr>
      <w:suppressAutoHyphens/>
      <w:overflowPunct w:val="0"/>
      <w:autoSpaceDE w:val="0"/>
      <w:textAlignment w:val="baseline"/>
    </w:pPr>
    <w:rPr>
      <w:szCs w:val="20"/>
      <w:lang w:val="es-ES_tradnl" w:eastAsia="ar-SA"/>
    </w:rPr>
  </w:style>
  <w:style w:type="paragraph" w:customStyle="1" w:styleId="TableHeading">
    <w:name w:val="Table Heading"/>
    <w:basedOn w:val="Normal"/>
    <w:rsid w:val="00E01463"/>
    <w:pPr>
      <w:suppressLineNumbers/>
      <w:suppressAutoHyphens/>
      <w:jc w:val="center"/>
    </w:pPr>
    <w:rPr>
      <w:b/>
      <w:bCs/>
      <w:lang w:eastAsia="ar-SA"/>
    </w:rPr>
  </w:style>
  <w:style w:type="character" w:customStyle="1" w:styleId="Ttulo2Car">
    <w:name w:val="Título 2 Car"/>
    <w:link w:val="Ttulo2"/>
    <w:rsid w:val="00890566"/>
    <w:rPr>
      <w:rFonts w:ascii="Bookman Old Style" w:hAnsi="Bookman Old Style"/>
      <w:b/>
      <w:bCs/>
      <w:iCs/>
      <w:caps/>
      <w:sz w:val="22"/>
      <w:szCs w:val="28"/>
      <w:lang w:val="es-ES" w:eastAsia="es-ES"/>
    </w:rPr>
  </w:style>
  <w:style w:type="character" w:customStyle="1" w:styleId="Ttulo8Car">
    <w:name w:val="Título 8 Car"/>
    <w:link w:val="Ttulo8"/>
    <w:rsid w:val="00AC44A5"/>
    <w:rPr>
      <w:rFonts w:ascii="Calibri" w:hAnsi="Calibri"/>
      <w:i/>
      <w:iCs/>
      <w:sz w:val="22"/>
      <w:szCs w:val="24"/>
      <w:lang w:val="es-ES" w:eastAsia="es-ES"/>
    </w:rPr>
  </w:style>
  <w:style w:type="character" w:customStyle="1" w:styleId="Ttulo9Car">
    <w:name w:val="Título 9 Car"/>
    <w:link w:val="Ttulo9"/>
    <w:rsid w:val="00AC44A5"/>
    <w:rPr>
      <w:rFonts w:ascii="Cambria" w:hAnsi="Cambria"/>
      <w:sz w:val="22"/>
      <w:szCs w:val="22"/>
      <w:lang w:val="es-ES" w:eastAsia="es-ES"/>
    </w:rPr>
  </w:style>
  <w:style w:type="paragraph" w:customStyle="1" w:styleId="Textoindependiente21">
    <w:name w:val="Texto independiente 21"/>
    <w:basedOn w:val="Normal"/>
    <w:rsid w:val="00443132"/>
    <w:pPr>
      <w:suppressAutoHyphens/>
      <w:overflowPunct w:val="0"/>
      <w:autoSpaceDE w:val="0"/>
      <w:textAlignment w:val="baseline"/>
    </w:pPr>
    <w:rPr>
      <w:b/>
      <w:szCs w:val="20"/>
      <w:lang w:val="es-ES_tradnl" w:eastAsia="ar-SA"/>
    </w:rPr>
  </w:style>
  <w:style w:type="paragraph" w:styleId="TtulodeTDC">
    <w:name w:val="TOC Heading"/>
    <w:basedOn w:val="Ttulo1"/>
    <w:next w:val="Normal"/>
    <w:uiPriority w:val="39"/>
    <w:unhideWhenUsed/>
    <w:qFormat/>
    <w:rsid w:val="00855C64"/>
    <w:pPr>
      <w:keepLines/>
      <w:spacing w:before="480" w:line="276" w:lineRule="auto"/>
      <w:jc w:val="left"/>
      <w:outlineLvl w:val="9"/>
    </w:pPr>
    <w:rPr>
      <w:rFonts w:ascii="Cambria" w:hAnsi="Cambria"/>
      <w:bCs w:val="0"/>
      <w:color w:val="365F91"/>
      <w:sz w:val="28"/>
      <w:szCs w:val="28"/>
      <w:lang w:eastAsia="es-CO"/>
    </w:rPr>
  </w:style>
  <w:style w:type="paragraph" w:styleId="TDC3">
    <w:name w:val="toc 3"/>
    <w:basedOn w:val="Normal"/>
    <w:next w:val="Normal"/>
    <w:autoRedefine/>
    <w:uiPriority w:val="39"/>
    <w:unhideWhenUsed/>
    <w:qFormat/>
    <w:rsid w:val="00C07636"/>
    <w:pPr>
      <w:ind w:left="440"/>
      <w:jc w:val="left"/>
    </w:pPr>
    <w:rPr>
      <w:iCs/>
      <w:sz w:val="18"/>
      <w:szCs w:val="20"/>
    </w:rPr>
  </w:style>
  <w:style w:type="character" w:styleId="Hipervnculo">
    <w:name w:val="Hyperlink"/>
    <w:uiPriority w:val="99"/>
    <w:unhideWhenUsed/>
    <w:rsid w:val="00855C64"/>
    <w:rPr>
      <w:color w:val="0000FF"/>
      <w:u w:val="single"/>
    </w:rPr>
  </w:style>
  <w:style w:type="paragraph" w:styleId="TDC2">
    <w:name w:val="toc 2"/>
    <w:basedOn w:val="Normal"/>
    <w:next w:val="Normal"/>
    <w:autoRedefine/>
    <w:uiPriority w:val="39"/>
    <w:unhideWhenUsed/>
    <w:qFormat/>
    <w:rsid w:val="00C07636"/>
    <w:pPr>
      <w:ind w:left="220"/>
      <w:jc w:val="left"/>
    </w:pPr>
    <w:rPr>
      <w:smallCaps/>
      <w:sz w:val="20"/>
      <w:szCs w:val="20"/>
    </w:rPr>
  </w:style>
  <w:style w:type="paragraph" w:customStyle="1" w:styleId="Default">
    <w:name w:val="Default"/>
    <w:rsid w:val="008D7990"/>
    <w:pPr>
      <w:autoSpaceDE w:val="0"/>
      <w:autoSpaceDN w:val="0"/>
      <w:adjustRightInd w:val="0"/>
    </w:pPr>
    <w:rPr>
      <w:rFonts w:ascii="Arial" w:hAnsi="Arial" w:cs="Arial"/>
      <w:color w:val="000000"/>
      <w:sz w:val="24"/>
      <w:szCs w:val="24"/>
    </w:rPr>
  </w:style>
  <w:style w:type="character" w:styleId="Refdenotaalpie">
    <w:name w:val="footnote reference"/>
    <w:aliases w:val="Nota de pie,Ref,de nota al pie"/>
    <w:uiPriority w:val="99"/>
    <w:unhideWhenUsed/>
    <w:rsid w:val="00F13DEC"/>
    <w:rPr>
      <w:vertAlign w:val="superscript"/>
    </w:rPr>
  </w:style>
  <w:style w:type="paragraph" w:styleId="NormalWeb">
    <w:name w:val="Normal (Web)"/>
    <w:basedOn w:val="Normal"/>
    <w:uiPriority w:val="99"/>
    <w:unhideWhenUsed/>
    <w:rsid w:val="00F13DEC"/>
    <w:pPr>
      <w:spacing w:before="100" w:beforeAutospacing="1" w:after="100" w:afterAutospacing="1"/>
    </w:pPr>
    <w:rPr>
      <w:lang w:val="es-CO" w:eastAsia="es-CO"/>
    </w:rPr>
  </w:style>
  <w:style w:type="table" w:styleId="Cuadrculaclara-nfasis1">
    <w:name w:val="Light Grid Accent 1"/>
    <w:basedOn w:val="Tablanormal"/>
    <w:uiPriority w:val="62"/>
    <w:rsid w:val="002F303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nfasissutil">
    <w:name w:val="Subtle Emphasis"/>
    <w:uiPriority w:val="19"/>
    <w:qFormat/>
    <w:rsid w:val="002F3030"/>
    <w:rPr>
      <w:i/>
      <w:iCs/>
      <w:color w:val="808080"/>
    </w:rPr>
  </w:style>
  <w:style w:type="character" w:customStyle="1" w:styleId="Ttulo1Car">
    <w:name w:val="Título 1 Car"/>
    <w:link w:val="Ttulo1"/>
    <w:rsid w:val="003F7B12"/>
    <w:rPr>
      <w:rFonts w:ascii="CG Times" w:hAnsi="CG Times"/>
      <w:b/>
      <w:bCs/>
      <w:caps/>
      <w:sz w:val="22"/>
      <w:szCs w:val="24"/>
      <w:lang w:eastAsia="es-ES"/>
    </w:rPr>
  </w:style>
  <w:style w:type="character" w:customStyle="1" w:styleId="PiedepginaCar">
    <w:name w:val="Pie de página Car"/>
    <w:link w:val="Piedepgina"/>
    <w:uiPriority w:val="99"/>
    <w:rsid w:val="002F3030"/>
    <w:rPr>
      <w:sz w:val="24"/>
      <w:szCs w:val="24"/>
      <w:lang w:val="es-ES" w:eastAsia="es-ES"/>
    </w:rPr>
  </w:style>
  <w:style w:type="paragraph" w:customStyle="1" w:styleId="creg">
    <w:name w:val="creg"/>
    <w:basedOn w:val="Normal"/>
    <w:rsid w:val="002F3030"/>
    <w:rPr>
      <w:rFonts w:cs="Arial"/>
      <w:lang w:val="es-CO"/>
    </w:rPr>
  </w:style>
  <w:style w:type="paragraph" w:customStyle="1" w:styleId="doctor">
    <w:name w:val="doctor"/>
    <w:basedOn w:val="Textoindependiente"/>
    <w:rsid w:val="002F3030"/>
    <w:pPr>
      <w:jc w:val="both"/>
    </w:pPr>
    <w:rPr>
      <w:b w:val="0"/>
      <w:bCs w:val="0"/>
      <w:spacing w:val="-5"/>
      <w:szCs w:val="20"/>
      <w:lang w:val="es-CO" w:eastAsia="en-US"/>
    </w:rPr>
  </w:style>
  <w:style w:type="paragraph" w:styleId="Textonotapie">
    <w:name w:val="footnote text"/>
    <w:basedOn w:val="Normal"/>
    <w:link w:val="TextonotapieCar"/>
    <w:uiPriority w:val="99"/>
    <w:unhideWhenUsed/>
    <w:rsid w:val="002F3030"/>
    <w:rPr>
      <w:rFonts w:ascii="Calibri" w:eastAsia="Calibri" w:hAnsi="Calibri"/>
      <w:sz w:val="20"/>
      <w:szCs w:val="20"/>
      <w:lang w:val="es-CO" w:eastAsia="en-US"/>
    </w:rPr>
  </w:style>
  <w:style w:type="character" w:customStyle="1" w:styleId="TextonotapieCar">
    <w:name w:val="Texto nota pie Car"/>
    <w:link w:val="Textonotapie"/>
    <w:uiPriority w:val="99"/>
    <w:rsid w:val="002F3030"/>
    <w:rPr>
      <w:rFonts w:ascii="Calibri" w:eastAsia="Calibri" w:hAnsi="Calibri"/>
      <w:lang w:eastAsia="en-US"/>
    </w:rPr>
  </w:style>
  <w:style w:type="character" w:styleId="Refdecomentario">
    <w:name w:val="annotation reference"/>
    <w:uiPriority w:val="99"/>
    <w:semiHidden/>
    <w:unhideWhenUsed/>
    <w:rsid w:val="002F3030"/>
    <w:rPr>
      <w:sz w:val="16"/>
      <w:szCs w:val="16"/>
    </w:rPr>
  </w:style>
  <w:style w:type="paragraph" w:styleId="Textocomentario">
    <w:name w:val="annotation text"/>
    <w:basedOn w:val="Normal"/>
    <w:link w:val="TextocomentarioCar"/>
    <w:uiPriority w:val="99"/>
    <w:unhideWhenUsed/>
    <w:rsid w:val="002F3030"/>
    <w:rPr>
      <w:spacing w:val="-5"/>
      <w:sz w:val="20"/>
      <w:szCs w:val="20"/>
      <w:lang w:val="es-CO" w:eastAsia="en-US"/>
    </w:rPr>
  </w:style>
  <w:style w:type="character" w:customStyle="1" w:styleId="TextocomentarioCar">
    <w:name w:val="Texto comentario Car"/>
    <w:link w:val="Textocomentario"/>
    <w:uiPriority w:val="99"/>
    <w:rsid w:val="002F3030"/>
    <w:rPr>
      <w:rFonts w:ascii="Arial" w:hAnsi="Arial"/>
      <w:spacing w:val="-5"/>
      <w:lang w:eastAsia="en-US"/>
    </w:rPr>
  </w:style>
  <w:style w:type="paragraph" w:styleId="Asuntodelcomentario">
    <w:name w:val="annotation subject"/>
    <w:basedOn w:val="Textocomentario"/>
    <w:next w:val="Textocomentario"/>
    <w:link w:val="AsuntodelcomentarioCar"/>
    <w:uiPriority w:val="99"/>
    <w:semiHidden/>
    <w:unhideWhenUsed/>
    <w:rsid w:val="002F3030"/>
    <w:rPr>
      <w:b/>
      <w:bCs/>
    </w:rPr>
  </w:style>
  <w:style w:type="character" w:customStyle="1" w:styleId="AsuntodelcomentarioCar">
    <w:name w:val="Asunto del comentario Car"/>
    <w:link w:val="Asuntodelcomentario"/>
    <w:uiPriority w:val="99"/>
    <w:semiHidden/>
    <w:rsid w:val="002F3030"/>
    <w:rPr>
      <w:rFonts w:ascii="Arial" w:hAnsi="Arial"/>
      <w:b/>
      <w:bCs/>
      <w:spacing w:val="-5"/>
      <w:lang w:eastAsia="en-US"/>
    </w:rPr>
  </w:style>
  <w:style w:type="paragraph" w:customStyle="1" w:styleId="ARTICULOS">
    <w:name w:val="ARTICULOS"/>
    <w:basedOn w:val="Normal"/>
    <w:link w:val="ARTICULOSCar"/>
    <w:qFormat/>
    <w:rsid w:val="002F3030"/>
    <w:pPr>
      <w:widowControl w:val="0"/>
      <w:numPr>
        <w:numId w:val="3"/>
      </w:numPr>
      <w:adjustRightInd w:val="0"/>
      <w:textAlignment w:val="baseline"/>
    </w:pPr>
    <w:rPr>
      <w:bCs/>
      <w:lang w:val="x-none" w:eastAsia="x-none"/>
    </w:rPr>
  </w:style>
  <w:style w:type="character" w:customStyle="1" w:styleId="ARTICULOSCar">
    <w:name w:val="ARTICULOS Car"/>
    <w:link w:val="ARTICULOS"/>
    <w:rsid w:val="002F3030"/>
    <w:rPr>
      <w:rFonts w:ascii="Bookman Old Style" w:hAnsi="Bookman Old Style"/>
      <w:bCs/>
      <w:sz w:val="22"/>
      <w:szCs w:val="24"/>
      <w:lang w:val="x-none" w:eastAsia="x-none"/>
    </w:rPr>
  </w:style>
  <w:style w:type="paragraph" w:styleId="Revisin">
    <w:name w:val="Revision"/>
    <w:hidden/>
    <w:uiPriority w:val="99"/>
    <w:semiHidden/>
    <w:rsid w:val="002F3030"/>
    <w:rPr>
      <w:rFonts w:ascii="Arial" w:hAnsi="Arial"/>
      <w:spacing w:val="-5"/>
      <w:lang w:eastAsia="en-US"/>
    </w:rPr>
  </w:style>
  <w:style w:type="character" w:customStyle="1" w:styleId="CharStyle26">
    <w:name w:val="Char Style 26"/>
    <w:link w:val="Style15"/>
    <w:uiPriority w:val="99"/>
    <w:rsid w:val="002F3030"/>
    <w:rPr>
      <w:rFonts w:ascii="Arial" w:hAnsi="Arial" w:cs="Arial"/>
      <w:sz w:val="18"/>
      <w:szCs w:val="18"/>
      <w:shd w:val="clear" w:color="auto" w:fill="FFFFFF"/>
    </w:rPr>
  </w:style>
  <w:style w:type="character" w:customStyle="1" w:styleId="CharStyle28">
    <w:name w:val="Char Style 28"/>
    <w:link w:val="Style27"/>
    <w:uiPriority w:val="99"/>
    <w:rsid w:val="002F3030"/>
    <w:rPr>
      <w:rFonts w:ascii="Arial" w:hAnsi="Arial" w:cs="Arial"/>
      <w:b/>
      <w:bCs/>
      <w:sz w:val="18"/>
      <w:szCs w:val="18"/>
      <w:shd w:val="clear" w:color="auto" w:fill="FFFFFF"/>
    </w:rPr>
  </w:style>
  <w:style w:type="character" w:customStyle="1" w:styleId="CharStyle30">
    <w:name w:val="Char Style 30"/>
    <w:uiPriority w:val="99"/>
    <w:rsid w:val="002F3030"/>
    <w:rPr>
      <w:rFonts w:ascii="Arial" w:hAnsi="Arial" w:cs="Arial"/>
      <w:b/>
      <w:bCs/>
      <w:sz w:val="18"/>
      <w:szCs w:val="18"/>
      <w:u w:val="single"/>
      <w:shd w:val="clear" w:color="auto" w:fill="FFFFFF"/>
    </w:rPr>
  </w:style>
  <w:style w:type="character" w:customStyle="1" w:styleId="CharStyle31">
    <w:name w:val="Char Style 31"/>
    <w:link w:val="Style17"/>
    <w:uiPriority w:val="99"/>
    <w:rsid w:val="002F3030"/>
    <w:rPr>
      <w:rFonts w:ascii="Arial" w:hAnsi="Arial" w:cs="Arial"/>
      <w:b/>
      <w:bCs/>
      <w:i/>
      <w:iCs/>
      <w:sz w:val="18"/>
      <w:szCs w:val="18"/>
      <w:shd w:val="clear" w:color="auto" w:fill="FFFFFF"/>
    </w:rPr>
  </w:style>
  <w:style w:type="paragraph" w:customStyle="1" w:styleId="Style15">
    <w:name w:val="Style 15"/>
    <w:basedOn w:val="Normal"/>
    <w:link w:val="CharStyle26"/>
    <w:uiPriority w:val="99"/>
    <w:rsid w:val="002F3030"/>
    <w:pPr>
      <w:widowControl w:val="0"/>
      <w:shd w:val="clear" w:color="auto" w:fill="FFFFFF"/>
      <w:spacing w:line="278" w:lineRule="exact"/>
      <w:ind w:hanging="620"/>
    </w:pPr>
    <w:rPr>
      <w:rFonts w:cs="Arial"/>
      <w:sz w:val="18"/>
      <w:szCs w:val="18"/>
      <w:lang w:val="es-CO" w:eastAsia="es-CO"/>
    </w:rPr>
  </w:style>
  <w:style w:type="paragraph" w:customStyle="1" w:styleId="Style17">
    <w:name w:val="Style 17"/>
    <w:basedOn w:val="Normal"/>
    <w:link w:val="CharStyle31"/>
    <w:uiPriority w:val="99"/>
    <w:rsid w:val="002F3030"/>
    <w:pPr>
      <w:widowControl w:val="0"/>
      <w:shd w:val="clear" w:color="auto" w:fill="FFFFFF"/>
      <w:spacing w:line="566" w:lineRule="exact"/>
      <w:ind w:hanging="340"/>
    </w:pPr>
    <w:rPr>
      <w:rFonts w:cs="Arial"/>
      <w:b/>
      <w:bCs/>
      <w:i/>
      <w:iCs/>
      <w:sz w:val="18"/>
      <w:szCs w:val="18"/>
      <w:lang w:val="es-CO" w:eastAsia="es-CO"/>
    </w:rPr>
  </w:style>
  <w:style w:type="paragraph" w:customStyle="1" w:styleId="Style27">
    <w:name w:val="Style 27"/>
    <w:basedOn w:val="Normal"/>
    <w:link w:val="CharStyle28"/>
    <w:uiPriority w:val="99"/>
    <w:rsid w:val="002F3030"/>
    <w:pPr>
      <w:widowControl w:val="0"/>
      <w:shd w:val="clear" w:color="auto" w:fill="FFFFFF"/>
      <w:spacing w:line="278" w:lineRule="exact"/>
    </w:pPr>
    <w:rPr>
      <w:rFonts w:cs="Arial"/>
      <w:b/>
      <w:bCs/>
      <w:sz w:val="18"/>
      <w:szCs w:val="18"/>
      <w:lang w:val="es-CO" w:eastAsia="es-CO"/>
    </w:rPr>
  </w:style>
  <w:style w:type="character" w:customStyle="1" w:styleId="CharStyle16Exact">
    <w:name w:val="Char Style 16 Exact"/>
    <w:uiPriority w:val="99"/>
    <w:rsid w:val="002F3030"/>
    <w:rPr>
      <w:rFonts w:ascii="Arial" w:hAnsi="Arial" w:cs="Arial"/>
      <w:spacing w:val="6"/>
      <w:sz w:val="17"/>
      <w:szCs w:val="17"/>
      <w:u w:val="none"/>
    </w:rPr>
  </w:style>
  <w:style w:type="character" w:customStyle="1" w:styleId="CharStyle18Exact">
    <w:name w:val="Char Style 18 Exact"/>
    <w:uiPriority w:val="99"/>
    <w:rsid w:val="002F3030"/>
    <w:rPr>
      <w:rFonts w:ascii="Arial" w:hAnsi="Arial" w:cs="Arial"/>
      <w:b/>
      <w:bCs/>
      <w:i/>
      <w:iCs/>
      <w:spacing w:val="5"/>
      <w:sz w:val="17"/>
      <w:szCs w:val="17"/>
      <w:u w:val="none"/>
    </w:rPr>
  </w:style>
  <w:style w:type="character" w:customStyle="1" w:styleId="CharStyle20Exact">
    <w:name w:val="Char Style 20 Exact"/>
    <w:uiPriority w:val="99"/>
    <w:rsid w:val="002F3030"/>
    <w:rPr>
      <w:rFonts w:ascii="Arial" w:hAnsi="Arial" w:cs="Arial"/>
      <w:i/>
      <w:iCs/>
      <w:spacing w:val="1"/>
      <w:sz w:val="17"/>
      <w:szCs w:val="17"/>
      <w:u w:val="none"/>
    </w:rPr>
  </w:style>
  <w:style w:type="character" w:customStyle="1" w:styleId="CharStyle32">
    <w:name w:val="Char Style 32"/>
    <w:link w:val="Style19"/>
    <w:uiPriority w:val="99"/>
    <w:rsid w:val="002F3030"/>
    <w:rPr>
      <w:rFonts w:ascii="Arial" w:hAnsi="Arial" w:cs="Arial"/>
      <w:i/>
      <w:iCs/>
      <w:sz w:val="18"/>
      <w:szCs w:val="18"/>
      <w:shd w:val="clear" w:color="auto" w:fill="FFFFFF"/>
    </w:rPr>
  </w:style>
  <w:style w:type="character" w:customStyle="1" w:styleId="CharStyle33">
    <w:name w:val="Char Style 33"/>
    <w:link w:val="Style26"/>
    <w:uiPriority w:val="99"/>
    <w:rsid w:val="002F3030"/>
    <w:rPr>
      <w:rFonts w:ascii="Arial" w:hAnsi="Arial" w:cs="Arial"/>
      <w:b/>
      <w:bCs/>
      <w:i/>
      <w:iCs/>
      <w:sz w:val="18"/>
      <w:szCs w:val="18"/>
      <w:shd w:val="clear" w:color="auto" w:fill="FFFFFF"/>
    </w:rPr>
  </w:style>
  <w:style w:type="character" w:customStyle="1" w:styleId="CharStyle34">
    <w:name w:val="Char Style 34"/>
    <w:uiPriority w:val="99"/>
    <w:rsid w:val="002F3030"/>
    <w:rPr>
      <w:rFonts w:ascii="Arial" w:hAnsi="Arial" w:cs="Arial"/>
      <w:i w:val="0"/>
      <w:iCs w:val="0"/>
      <w:spacing w:val="50"/>
      <w:sz w:val="8"/>
      <w:szCs w:val="8"/>
      <w:shd w:val="clear" w:color="auto" w:fill="FFFFFF"/>
    </w:rPr>
  </w:style>
  <w:style w:type="paragraph" w:customStyle="1" w:styleId="Style19">
    <w:name w:val="Style 19"/>
    <w:basedOn w:val="Normal"/>
    <w:link w:val="CharStyle32"/>
    <w:uiPriority w:val="99"/>
    <w:rsid w:val="002F3030"/>
    <w:pPr>
      <w:widowControl w:val="0"/>
      <w:shd w:val="clear" w:color="auto" w:fill="FFFFFF"/>
      <w:spacing w:before="240" w:after="240" w:line="278" w:lineRule="exact"/>
    </w:pPr>
    <w:rPr>
      <w:rFonts w:cs="Arial"/>
      <w:i/>
      <w:iCs/>
      <w:sz w:val="18"/>
      <w:szCs w:val="18"/>
      <w:lang w:val="es-CO" w:eastAsia="es-CO"/>
    </w:rPr>
  </w:style>
  <w:style w:type="character" w:customStyle="1" w:styleId="CharStyle45">
    <w:name w:val="Char Style 45"/>
    <w:uiPriority w:val="99"/>
    <w:rsid w:val="002F3030"/>
    <w:rPr>
      <w:rFonts w:ascii="Arial" w:hAnsi="Arial" w:cs="Arial"/>
      <w:i/>
      <w:iCs/>
      <w:spacing w:val="20"/>
      <w:sz w:val="18"/>
      <w:szCs w:val="18"/>
      <w:u w:val="none"/>
      <w:shd w:val="clear" w:color="auto" w:fill="FFFFFF"/>
    </w:rPr>
  </w:style>
  <w:style w:type="character" w:customStyle="1" w:styleId="CharStyle55">
    <w:name w:val="Char Style 55"/>
    <w:link w:val="Style54"/>
    <w:uiPriority w:val="99"/>
    <w:rsid w:val="002F3030"/>
    <w:rPr>
      <w:rFonts w:ascii="Arial" w:hAnsi="Arial" w:cs="Arial"/>
      <w:i/>
      <w:iCs/>
      <w:spacing w:val="20"/>
      <w:sz w:val="13"/>
      <w:szCs w:val="13"/>
      <w:shd w:val="clear" w:color="auto" w:fill="FFFFFF"/>
    </w:rPr>
  </w:style>
  <w:style w:type="paragraph" w:customStyle="1" w:styleId="Style54">
    <w:name w:val="Style 54"/>
    <w:basedOn w:val="Normal"/>
    <w:link w:val="CharStyle55"/>
    <w:uiPriority w:val="99"/>
    <w:rsid w:val="002F3030"/>
    <w:pPr>
      <w:widowControl w:val="0"/>
      <w:shd w:val="clear" w:color="auto" w:fill="FFFFFF"/>
      <w:spacing w:before="60" w:after="360" w:line="240" w:lineRule="atLeast"/>
    </w:pPr>
    <w:rPr>
      <w:rFonts w:cs="Arial"/>
      <w:i/>
      <w:iCs/>
      <w:spacing w:val="20"/>
      <w:sz w:val="13"/>
      <w:szCs w:val="13"/>
      <w:lang w:val="es-CO" w:eastAsia="es-CO"/>
    </w:rPr>
  </w:style>
  <w:style w:type="character" w:customStyle="1" w:styleId="CharStyle69">
    <w:name w:val="Char Style 69"/>
    <w:link w:val="Style68"/>
    <w:uiPriority w:val="99"/>
    <w:rsid w:val="002F3030"/>
    <w:rPr>
      <w:rFonts w:ascii="Arial" w:hAnsi="Arial" w:cs="Arial"/>
      <w:shd w:val="clear" w:color="auto" w:fill="FFFFFF"/>
    </w:rPr>
  </w:style>
  <w:style w:type="character" w:customStyle="1" w:styleId="CharStyle70">
    <w:name w:val="Char Style 70"/>
    <w:uiPriority w:val="99"/>
    <w:rsid w:val="002F3030"/>
    <w:rPr>
      <w:rFonts w:ascii="Arial" w:hAnsi="Arial" w:cs="Arial"/>
      <w:sz w:val="18"/>
      <w:szCs w:val="18"/>
      <w:u w:val="none"/>
      <w:shd w:val="clear" w:color="auto" w:fill="FFFFFF"/>
    </w:rPr>
  </w:style>
  <w:style w:type="character" w:customStyle="1" w:styleId="CharStyle71">
    <w:name w:val="Char Style 71"/>
    <w:uiPriority w:val="99"/>
    <w:rsid w:val="002F3030"/>
    <w:rPr>
      <w:rFonts w:ascii="Arial" w:hAnsi="Arial" w:cs="Arial"/>
      <w:spacing w:val="30"/>
      <w:sz w:val="18"/>
      <w:szCs w:val="18"/>
      <w:u w:val="none"/>
      <w:shd w:val="clear" w:color="auto" w:fill="FFFFFF"/>
    </w:rPr>
  </w:style>
  <w:style w:type="paragraph" w:customStyle="1" w:styleId="Style68">
    <w:name w:val="Style 68"/>
    <w:basedOn w:val="Normal"/>
    <w:link w:val="CharStyle69"/>
    <w:uiPriority w:val="99"/>
    <w:rsid w:val="002F3030"/>
    <w:pPr>
      <w:widowControl w:val="0"/>
      <w:shd w:val="clear" w:color="auto" w:fill="FFFFFF"/>
      <w:spacing w:after="240" w:line="278" w:lineRule="exact"/>
      <w:ind w:hanging="340"/>
    </w:pPr>
    <w:rPr>
      <w:rFonts w:cs="Arial"/>
      <w:sz w:val="20"/>
      <w:szCs w:val="20"/>
      <w:lang w:val="es-CO" w:eastAsia="es-CO"/>
    </w:rPr>
  </w:style>
  <w:style w:type="character" w:customStyle="1" w:styleId="CharStyle13">
    <w:name w:val="Char Style 13"/>
    <w:link w:val="Style12"/>
    <w:uiPriority w:val="99"/>
    <w:rsid w:val="002F3030"/>
    <w:rPr>
      <w:rFonts w:ascii="Arial" w:hAnsi="Arial" w:cs="Arial"/>
      <w:sz w:val="18"/>
      <w:szCs w:val="18"/>
      <w:shd w:val="clear" w:color="auto" w:fill="FFFFFF"/>
    </w:rPr>
  </w:style>
  <w:style w:type="character" w:customStyle="1" w:styleId="CharStyle17Exact">
    <w:name w:val="Char Style 17 Exact"/>
    <w:uiPriority w:val="99"/>
    <w:rsid w:val="002F3030"/>
    <w:rPr>
      <w:rFonts w:ascii="Arial" w:hAnsi="Arial" w:cs="Arial"/>
      <w:spacing w:val="2"/>
      <w:sz w:val="17"/>
      <w:szCs w:val="17"/>
      <w:u w:val="none"/>
    </w:rPr>
  </w:style>
  <w:style w:type="character" w:customStyle="1" w:styleId="CharStyle25Exact">
    <w:name w:val="Char Style 25 Exact"/>
    <w:uiPriority w:val="99"/>
    <w:rsid w:val="002F3030"/>
    <w:rPr>
      <w:rFonts w:ascii="Arial" w:hAnsi="Arial" w:cs="Arial"/>
      <w:b/>
      <w:bCs/>
      <w:i/>
      <w:iCs/>
      <w:spacing w:val="4"/>
      <w:sz w:val="17"/>
      <w:szCs w:val="17"/>
      <w:u w:val="none"/>
    </w:rPr>
  </w:style>
  <w:style w:type="character" w:customStyle="1" w:styleId="CharStyle27Exact">
    <w:name w:val="Char Style 27 Exact"/>
    <w:uiPriority w:val="99"/>
    <w:rsid w:val="002F3030"/>
    <w:rPr>
      <w:rFonts w:ascii="Arial" w:hAnsi="Arial" w:cs="Arial"/>
      <w:i/>
      <w:iCs/>
      <w:spacing w:val="3"/>
      <w:sz w:val="17"/>
      <w:szCs w:val="17"/>
      <w:u w:val="none"/>
    </w:rPr>
  </w:style>
  <w:style w:type="character" w:customStyle="1" w:styleId="CharStyle29">
    <w:name w:val="Char Style 29"/>
    <w:link w:val="Style28"/>
    <w:uiPriority w:val="99"/>
    <w:rsid w:val="002F3030"/>
    <w:rPr>
      <w:rFonts w:ascii="Arial" w:hAnsi="Arial" w:cs="Arial"/>
      <w:b/>
      <w:bCs/>
      <w:i/>
      <w:iCs/>
      <w:sz w:val="18"/>
      <w:szCs w:val="18"/>
      <w:shd w:val="clear" w:color="auto" w:fill="FFFFFF"/>
    </w:rPr>
  </w:style>
  <w:style w:type="character" w:customStyle="1" w:styleId="CharStyle35Exact">
    <w:name w:val="Char Style 35 Exact"/>
    <w:uiPriority w:val="99"/>
    <w:rsid w:val="002F3030"/>
    <w:rPr>
      <w:rFonts w:ascii="Arial" w:hAnsi="Arial" w:cs="Arial"/>
      <w:b/>
      <w:bCs/>
      <w:spacing w:val="-11"/>
      <w:sz w:val="18"/>
      <w:szCs w:val="18"/>
      <w:u w:val="none"/>
    </w:rPr>
  </w:style>
  <w:style w:type="character" w:customStyle="1" w:styleId="CharStyle36Exact">
    <w:name w:val="Char Style 36 Exact"/>
    <w:uiPriority w:val="99"/>
    <w:rsid w:val="002F3030"/>
  </w:style>
  <w:style w:type="character" w:customStyle="1" w:styleId="CharStyle47Exact">
    <w:name w:val="Char Style 47 Exact"/>
    <w:link w:val="Style46"/>
    <w:uiPriority w:val="99"/>
    <w:rsid w:val="002F3030"/>
    <w:rPr>
      <w:rFonts w:ascii="Arial" w:hAnsi="Arial" w:cs="Arial"/>
      <w:sz w:val="18"/>
      <w:szCs w:val="18"/>
      <w:shd w:val="clear" w:color="auto" w:fill="FFFFFF"/>
    </w:rPr>
  </w:style>
  <w:style w:type="paragraph" w:customStyle="1" w:styleId="Style12">
    <w:name w:val="Style 12"/>
    <w:basedOn w:val="Normal"/>
    <w:link w:val="CharStyle13"/>
    <w:uiPriority w:val="99"/>
    <w:rsid w:val="002F3030"/>
    <w:pPr>
      <w:widowControl w:val="0"/>
      <w:shd w:val="clear" w:color="auto" w:fill="FFFFFF"/>
      <w:spacing w:before="60" w:line="221" w:lineRule="exact"/>
      <w:ind w:hanging="740"/>
      <w:jc w:val="right"/>
    </w:pPr>
    <w:rPr>
      <w:rFonts w:cs="Arial"/>
      <w:sz w:val="18"/>
      <w:szCs w:val="18"/>
      <w:lang w:val="es-CO" w:eastAsia="es-CO"/>
    </w:rPr>
  </w:style>
  <w:style w:type="paragraph" w:customStyle="1" w:styleId="Style26">
    <w:name w:val="Style 26"/>
    <w:basedOn w:val="Normal"/>
    <w:link w:val="CharStyle33"/>
    <w:uiPriority w:val="99"/>
    <w:rsid w:val="002F3030"/>
    <w:pPr>
      <w:widowControl w:val="0"/>
      <w:shd w:val="clear" w:color="auto" w:fill="FFFFFF"/>
      <w:spacing w:line="240" w:lineRule="atLeast"/>
    </w:pPr>
    <w:rPr>
      <w:rFonts w:cs="Arial"/>
      <w:b/>
      <w:bCs/>
      <w:i/>
      <w:iCs/>
      <w:sz w:val="18"/>
      <w:szCs w:val="18"/>
      <w:lang w:val="es-CO" w:eastAsia="es-CO"/>
    </w:rPr>
  </w:style>
  <w:style w:type="paragraph" w:customStyle="1" w:styleId="Style28">
    <w:name w:val="Style 28"/>
    <w:basedOn w:val="Normal"/>
    <w:link w:val="CharStyle29"/>
    <w:uiPriority w:val="99"/>
    <w:rsid w:val="002F3030"/>
    <w:pPr>
      <w:widowControl w:val="0"/>
      <w:shd w:val="clear" w:color="auto" w:fill="FFFFFF"/>
      <w:spacing w:before="60" w:line="240" w:lineRule="atLeast"/>
    </w:pPr>
    <w:rPr>
      <w:rFonts w:cs="Arial"/>
      <w:b/>
      <w:bCs/>
      <w:i/>
      <w:iCs/>
      <w:sz w:val="18"/>
      <w:szCs w:val="18"/>
      <w:lang w:val="es-CO" w:eastAsia="es-CO"/>
    </w:rPr>
  </w:style>
  <w:style w:type="paragraph" w:customStyle="1" w:styleId="Style46">
    <w:name w:val="Style 46"/>
    <w:basedOn w:val="Normal"/>
    <w:link w:val="CharStyle47Exact"/>
    <w:uiPriority w:val="99"/>
    <w:rsid w:val="002F3030"/>
    <w:pPr>
      <w:widowControl w:val="0"/>
      <w:shd w:val="clear" w:color="auto" w:fill="FFFFFF"/>
      <w:spacing w:line="259" w:lineRule="exact"/>
    </w:pPr>
    <w:rPr>
      <w:rFonts w:cs="Arial"/>
      <w:sz w:val="18"/>
      <w:szCs w:val="18"/>
      <w:lang w:val="es-CO" w:eastAsia="es-CO"/>
    </w:rPr>
  </w:style>
  <w:style w:type="character" w:customStyle="1" w:styleId="textonavy">
    <w:name w:val="texto_navy"/>
    <w:rsid w:val="002F3030"/>
  </w:style>
  <w:style w:type="table" w:styleId="Cuadrculamedia1-nfasis3">
    <w:name w:val="Medium Grid 1 Accent 3"/>
    <w:basedOn w:val="Tablanormal"/>
    <w:uiPriority w:val="67"/>
    <w:rsid w:val="002F3030"/>
    <w:pPr>
      <w:jc w:val="both"/>
    </w:pPr>
    <w:rPr>
      <w:rFonts w:ascii="Arial" w:hAnsi="Arial"/>
      <w:sz w:val="18"/>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stamedia1-nfasis3">
    <w:name w:val="Medium List 1 Accent 3"/>
    <w:basedOn w:val="Tablanormal"/>
    <w:uiPriority w:val="65"/>
    <w:rsid w:val="002F3030"/>
    <w:pPr>
      <w:jc w:val="both"/>
    </w:pPr>
    <w:rPr>
      <w:color w:val="000000"/>
      <w:lang w:eastAsia="en-US"/>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clara-nfasis3">
    <w:name w:val="Light List Accent 3"/>
    <w:basedOn w:val="Tablanormal"/>
    <w:uiPriority w:val="61"/>
    <w:rsid w:val="002F3030"/>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Hipervnculovisitado">
    <w:name w:val="FollowedHyperlink"/>
    <w:uiPriority w:val="99"/>
    <w:semiHidden/>
    <w:unhideWhenUsed/>
    <w:rsid w:val="002F3030"/>
    <w:rPr>
      <w:color w:val="800080"/>
      <w:u w:val="single"/>
    </w:rPr>
  </w:style>
  <w:style w:type="table" w:styleId="Sombreadomedio1-nfasis3">
    <w:name w:val="Medium Shading 1 Accent 3"/>
    <w:basedOn w:val="Tablanormal"/>
    <w:uiPriority w:val="63"/>
    <w:rsid w:val="002F3030"/>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TDC4">
    <w:name w:val="toc 4"/>
    <w:basedOn w:val="Normal"/>
    <w:next w:val="Normal"/>
    <w:autoRedefine/>
    <w:uiPriority w:val="39"/>
    <w:unhideWhenUsed/>
    <w:rsid w:val="00C07636"/>
    <w:pPr>
      <w:ind w:left="660"/>
      <w:jc w:val="left"/>
    </w:pPr>
    <w:rPr>
      <w:sz w:val="18"/>
      <w:szCs w:val="18"/>
    </w:rPr>
  </w:style>
  <w:style w:type="numbering" w:customStyle="1" w:styleId="Sinlista1">
    <w:name w:val="Sin lista1"/>
    <w:next w:val="Sinlista"/>
    <w:uiPriority w:val="99"/>
    <w:semiHidden/>
    <w:unhideWhenUsed/>
    <w:rsid w:val="002F3030"/>
  </w:style>
  <w:style w:type="character" w:styleId="Textoennegrita">
    <w:name w:val="Strong"/>
    <w:qFormat/>
    <w:rsid w:val="002F3030"/>
    <w:rPr>
      <w:b/>
      <w:bCs/>
    </w:rPr>
  </w:style>
  <w:style w:type="character" w:styleId="nfasis">
    <w:name w:val="Emphasis"/>
    <w:qFormat/>
    <w:rsid w:val="002F3030"/>
    <w:rPr>
      <w:rFonts w:ascii="Arial" w:hAnsi="Arial"/>
      <w:b w:val="0"/>
      <w:i w:val="0"/>
      <w:iCs/>
      <w:sz w:val="18"/>
    </w:rPr>
  </w:style>
  <w:style w:type="paragraph" w:styleId="TDC5">
    <w:name w:val="toc 5"/>
    <w:basedOn w:val="Normal"/>
    <w:next w:val="Normal"/>
    <w:autoRedefine/>
    <w:uiPriority w:val="39"/>
    <w:unhideWhenUsed/>
    <w:rsid w:val="002F3030"/>
    <w:pPr>
      <w:ind w:left="880"/>
      <w:jc w:val="left"/>
    </w:pPr>
    <w:rPr>
      <w:rFonts w:asciiTheme="minorHAnsi" w:hAnsiTheme="minorHAnsi"/>
      <w:sz w:val="18"/>
      <w:szCs w:val="18"/>
    </w:rPr>
  </w:style>
  <w:style w:type="paragraph" w:styleId="TDC6">
    <w:name w:val="toc 6"/>
    <w:basedOn w:val="Normal"/>
    <w:next w:val="Normal"/>
    <w:autoRedefine/>
    <w:uiPriority w:val="39"/>
    <w:unhideWhenUsed/>
    <w:rsid w:val="002F3030"/>
    <w:pPr>
      <w:ind w:left="1100"/>
      <w:jc w:val="left"/>
    </w:pPr>
    <w:rPr>
      <w:rFonts w:asciiTheme="minorHAnsi" w:hAnsiTheme="minorHAnsi"/>
      <w:sz w:val="18"/>
      <w:szCs w:val="18"/>
    </w:rPr>
  </w:style>
  <w:style w:type="paragraph" w:styleId="TDC7">
    <w:name w:val="toc 7"/>
    <w:basedOn w:val="Normal"/>
    <w:next w:val="Normal"/>
    <w:autoRedefine/>
    <w:uiPriority w:val="39"/>
    <w:unhideWhenUsed/>
    <w:rsid w:val="002F3030"/>
    <w:pPr>
      <w:ind w:left="1320"/>
      <w:jc w:val="left"/>
    </w:pPr>
    <w:rPr>
      <w:rFonts w:asciiTheme="minorHAnsi" w:hAnsiTheme="minorHAnsi"/>
      <w:sz w:val="18"/>
      <w:szCs w:val="18"/>
    </w:rPr>
  </w:style>
  <w:style w:type="paragraph" w:styleId="TDC8">
    <w:name w:val="toc 8"/>
    <w:basedOn w:val="Normal"/>
    <w:next w:val="Normal"/>
    <w:autoRedefine/>
    <w:uiPriority w:val="39"/>
    <w:unhideWhenUsed/>
    <w:rsid w:val="002F3030"/>
    <w:pPr>
      <w:ind w:left="1540"/>
      <w:jc w:val="left"/>
    </w:pPr>
    <w:rPr>
      <w:rFonts w:asciiTheme="minorHAnsi" w:hAnsiTheme="minorHAnsi"/>
      <w:sz w:val="18"/>
      <w:szCs w:val="18"/>
    </w:rPr>
  </w:style>
  <w:style w:type="paragraph" w:styleId="TDC9">
    <w:name w:val="toc 9"/>
    <w:basedOn w:val="Normal"/>
    <w:next w:val="Normal"/>
    <w:autoRedefine/>
    <w:uiPriority w:val="39"/>
    <w:unhideWhenUsed/>
    <w:rsid w:val="002F3030"/>
    <w:pPr>
      <w:ind w:left="1760"/>
      <w:jc w:val="left"/>
    </w:pPr>
    <w:rPr>
      <w:rFonts w:asciiTheme="minorHAnsi" w:hAnsiTheme="minorHAnsi"/>
      <w:sz w:val="18"/>
      <w:szCs w:val="18"/>
    </w:rPr>
  </w:style>
  <w:style w:type="table" w:styleId="Cuadrculamedia3-nfasis3">
    <w:name w:val="Medium Grid 3 Accent 3"/>
    <w:basedOn w:val="Tablanormal"/>
    <w:uiPriority w:val="69"/>
    <w:rsid w:val="002F303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media2-nfasis3">
    <w:name w:val="Medium Grid 2 Accent 3"/>
    <w:basedOn w:val="Tablanormal"/>
    <w:uiPriority w:val="68"/>
    <w:rsid w:val="002F3030"/>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paragraph" w:styleId="Tabladeilustraciones">
    <w:name w:val="table of figures"/>
    <w:basedOn w:val="Normal"/>
    <w:next w:val="Normal"/>
    <w:uiPriority w:val="99"/>
    <w:unhideWhenUsed/>
    <w:rsid w:val="002F3030"/>
    <w:rPr>
      <w:spacing w:val="-5"/>
      <w:sz w:val="20"/>
      <w:szCs w:val="20"/>
      <w:lang w:val="es-CO" w:eastAsia="en-US"/>
    </w:rPr>
  </w:style>
  <w:style w:type="table" w:styleId="Sombreadoclaro-nfasis5">
    <w:name w:val="Light Shading Accent 5"/>
    <w:basedOn w:val="Tablanormal"/>
    <w:uiPriority w:val="60"/>
    <w:rsid w:val="002F3030"/>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5">
    <w:name w:val="Dark List Accent 5"/>
    <w:basedOn w:val="Tablanormal"/>
    <w:uiPriority w:val="70"/>
    <w:rsid w:val="009C165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paragraph" w:customStyle="1" w:styleId="Textoindependiente22">
    <w:name w:val="Texto independiente 22"/>
    <w:basedOn w:val="Normal"/>
    <w:rsid w:val="00250769"/>
    <w:pPr>
      <w:suppressAutoHyphens/>
      <w:overflowPunct w:val="0"/>
      <w:autoSpaceDE w:val="0"/>
      <w:textAlignment w:val="baseline"/>
    </w:pPr>
    <w:rPr>
      <w:b/>
      <w:szCs w:val="20"/>
      <w:lang w:val="es-ES_tradnl" w:eastAsia="ar-SA"/>
    </w:rPr>
  </w:style>
  <w:style w:type="paragraph" w:styleId="Sangranormal">
    <w:name w:val="Normal Indent"/>
    <w:basedOn w:val="Normal"/>
    <w:link w:val="SangranormalCar"/>
    <w:rsid w:val="007B2486"/>
    <w:pPr>
      <w:keepLines/>
      <w:spacing w:before="240" w:after="240"/>
      <w:ind w:left="1080"/>
    </w:pPr>
    <w:rPr>
      <w:sz w:val="23"/>
      <w:lang w:val="es-CO" w:eastAsia="en-US"/>
    </w:rPr>
  </w:style>
  <w:style w:type="character" w:customStyle="1" w:styleId="SangranormalCar">
    <w:name w:val="Sangría normal Car"/>
    <w:basedOn w:val="Fuentedeprrafopredeter"/>
    <w:link w:val="Sangranormal"/>
    <w:rsid w:val="007B2486"/>
    <w:rPr>
      <w:rFonts w:ascii="Arial" w:hAnsi="Arial"/>
      <w:sz w:val="23"/>
      <w:szCs w:val="24"/>
      <w:lang w:eastAsia="en-US"/>
    </w:rPr>
  </w:style>
  <w:style w:type="character" w:customStyle="1" w:styleId="T1Car">
    <w:name w:val="T1 Car"/>
    <w:basedOn w:val="Ttulo1Car"/>
    <w:link w:val="T1"/>
    <w:locked/>
    <w:rsid w:val="003C1C55"/>
    <w:rPr>
      <w:rFonts w:ascii="Arial" w:hAnsi="Arial" w:cs="Arial"/>
      <w:b/>
      <w:bCs w:val="0"/>
      <w:caps/>
      <w:sz w:val="22"/>
      <w:szCs w:val="32"/>
      <w:lang w:val="en-US" w:eastAsia="es-ES"/>
    </w:rPr>
  </w:style>
  <w:style w:type="paragraph" w:customStyle="1" w:styleId="T1">
    <w:name w:val="T1"/>
    <w:basedOn w:val="Ttulo1"/>
    <w:link w:val="T1Car"/>
    <w:qFormat/>
    <w:rsid w:val="003C1C55"/>
    <w:pPr>
      <w:tabs>
        <w:tab w:val="clear" w:pos="360"/>
        <w:tab w:val="num" w:pos="502"/>
      </w:tabs>
      <w:spacing w:before="240" w:after="60"/>
      <w:ind w:left="142"/>
      <w:jc w:val="left"/>
    </w:pPr>
    <w:rPr>
      <w:rFonts w:ascii="Arial" w:hAnsi="Arial" w:cs="Arial"/>
      <w:bCs w:val="0"/>
      <w:szCs w:val="32"/>
      <w:lang w:val="en-US"/>
    </w:rPr>
  </w:style>
  <w:style w:type="paragraph" w:styleId="Mapadeldocumento">
    <w:name w:val="Document Map"/>
    <w:basedOn w:val="Normal"/>
    <w:link w:val="MapadeldocumentoCar"/>
    <w:uiPriority w:val="99"/>
    <w:semiHidden/>
    <w:unhideWhenUsed/>
    <w:rsid w:val="003F7B12"/>
    <w:rPr>
      <w:rFonts w:ascii="Helvetica" w:hAnsi="Helvetica"/>
    </w:rPr>
  </w:style>
  <w:style w:type="character" w:customStyle="1" w:styleId="MapadeldocumentoCar">
    <w:name w:val="Mapa del documento Car"/>
    <w:basedOn w:val="Fuentedeprrafopredeter"/>
    <w:link w:val="Mapadeldocumento"/>
    <w:uiPriority w:val="99"/>
    <w:semiHidden/>
    <w:rsid w:val="003F7B12"/>
    <w:rPr>
      <w:rFonts w:ascii="Helvetica" w:hAnsi="Helvetica"/>
      <w:sz w:val="24"/>
      <w:szCs w:val="24"/>
      <w:lang w:val="es-ES" w:eastAsia="es-ES"/>
    </w:rPr>
  </w:style>
  <w:style w:type="paragraph" w:styleId="Bibliografa">
    <w:name w:val="Bibliography"/>
    <w:basedOn w:val="Normal"/>
    <w:next w:val="Normal"/>
    <w:uiPriority w:val="37"/>
    <w:unhideWhenUsed/>
    <w:rsid w:val="00352D9B"/>
  </w:style>
  <w:style w:type="paragraph" w:customStyle="1" w:styleId="pa12">
    <w:name w:val="pa12"/>
    <w:basedOn w:val="Normal"/>
    <w:rsid w:val="006212FE"/>
    <w:pPr>
      <w:spacing w:before="100" w:beforeAutospacing="1" w:after="100" w:afterAutospacing="1"/>
      <w:jc w:val="left"/>
    </w:pPr>
    <w:rPr>
      <w:rFonts w:ascii="Times New Roman" w:hAnsi="Times New Roman"/>
      <w:sz w:val="24"/>
      <w:lang w:val="es-CO" w:eastAsia="es-CO"/>
    </w:rPr>
  </w:style>
  <w:style w:type="paragraph" w:customStyle="1" w:styleId="pa11">
    <w:name w:val="pa11"/>
    <w:basedOn w:val="Normal"/>
    <w:rsid w:val="006212FE"/>
    <w:pPr>
      <w:spacing w:before="100" w:beforeAutospacing="1" w:after="100" w:afterAutospacing="1"/>
      <w:jc w:val="left"/>
    </w:pPr>
    <w:rPr>
      <w:rFonts w:ascii="Times New Roman" w:hAnsi="Times New Roman"/>
      <w:sz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3" w:uiPriority="0"/>
    <w:lsdException w:name="Block Text"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247"/>
    <w:pPr>
      <w:jc w:val="both"/>
    </w:pPr>
    <w:rPr>
      <w:rFonts w:ascii="Bookman Old Style" w:hAnsi="Bookman Old Style"/>
      <w:sz w:val="22"/>
      <w:szCs w:val="24"/>
      <w:lang w:val="es-ES" w:eastAsia="es-ES"/>
    </w:rPr>
  </w:style>
  <w:style w:type="paragraph" w:styleId="Ttulo1">
    <w:name w:val="heading 1"/>
    <w:basedOn w:val="Normal"/>
    <w:next w:val="Normal"/>
    <w:link w:val="Ttulo1Car"/>
    <w:qFormat/>
    <w:rsid w:val="003F7B12"/>
    <w:pPr>
      <w:keepNext/>
      <w:numPr>
        <w:numId w:val="13"/>
      </w:numPr>
      <w:tabs>
        <w:tab w:val="clear" w:pos="502"/>
        <w:tab w:val="num" w:pos="360"/>
      </w:tabs>
      <w:ind w:left="0"/>
      <w:jc w:val="center"/>
      <w:outlineLvl w:val="0"/>
    </w:pPr>
    <w:rPr>
      <w:rFonts w:ascii="CG Times" w:hAnsi="CG Times"/>
      <w:b/>
      <w:bCs/>
      <w:caps/>
      <w:lang w:val="es-CO"/>
    </w:rPr>
  </w:style>
  <w:style w:type="paragraph" w:styleId="Ttulo2">
    <w:name w:val="heading 2"/>
    <w:basedOn w:val="Normal"/>
    <w:next w:val="Normal"/>
    <w:link w:val="Ttulo2Car"/>
    <w:unhideWhenUsed/>
    <w:qFormat/>
    <w:rsid w:val="00890566"/>
    <w:pPr>
      <w:keepNext/>
      <w:keepLines/>
      <w:numPr>
        <w:ilvl w:val="1"/>
        <w:numId w:val="13"/>
      </w:numPr>
      <w:spacing w:before="240" w:after="240"/>
      <w:outlineLvl w:val="1"/>
    </w:pPr>
    <w:rPr>
      <w:b/>
      <w:bCs/>
      <w:iCs/>
      <w:caps/>
      <w:szCs w:val="28"/>
    </w:rPr>
  </w:style>
  <w:style w:type="paragraph" w:styleId="Ttulo3">
    <w:name w:val="heading 3"/>
    <w:aliases w:val="T3"/>
    <w:basedOn w:val="Normal"/>
    <w:next w:val="Normal"/>
    <w:link w:val="Ttulo3Car"/>
    <w:qFormat/>
    <w:rsid w:val="00B219B2"/>
    <w:pPr>
      <w:keepNext/>
      <w:numPr>
        <w:ilvl w:val="2"/>
        <w:numId w:val="13"/>
      </w:numPr>
      <w:outlineLvl w:val="2"/>
    </w:pPr>
    <w:rPr>
      <w:b/>
      <w:snapToGrid w:val="0"/>
      <w:color w:val="000000"/>
      <w:szCs w:val="20"/>
      <w:lang w:val="es-ES_tradnl"/>
    </w:rPr>
  </w:style>
  <w:style w:type="paragraph" w:styleId="Ttulo4">
    <w:name w:val="heading 4"/>
    <w:basedOn w:val="Normal"/>
    <w:next w:val="Normal"/>
    <w:link w:val="Ttulo4Car"/>
    <w:qFormat/>
    <w:rsid w:val="000127D2"/>
    <w:pPr>
      <w:keepNext/>
      <w:numPr>
        <w:ilvl w:val="3"/>
        <w:numId w:val="13"/>
      </w:numPr>
      <w:tabs>
        <w:tab w:val="clear" w:pos="10436"/>
      </w:tabs>
      <w:ind w:left="0"/>
      <w:outlineLvl w:val="3"/>
    </w:pPr>
    <w:rPr>
      <w:rFonts w:cs="Arial"/>
      <w:b/>
      <w:snapToGrid w:val="0"/>
      <w:color w:val="000000"/>
      <w:szCs w:val="20"/>
      <w:lang w:val="es-ES_tradnl"/>
    </w:rPr>
  </w:style>
  <w:style w:type="paragraph" w:styleId="Ttulo5">
    <w:name w:val="heading 5"/>
    <w:basedOn w:val="Normal"/>
    <w:next w:val="Normal"/>
    <w:link w:val="Ttulo5Car"/>
    <w:qFormat/>
    <w:rsid w:val="000127D2"/>
    <w:pPr>
      <w:keepNext/>
      <w:numPr>
        <w:ilvl w:val="4"/>
        <w:numId w:val="13"/>
      </w:numPr>
      <w:outlineLvl w:val="4"/>
    </w:pPr>
    <w:rPr>
      <w:rFonts w:cs="Arial"/>
      <w:b/>
      <w:snapToGrid w:val="0"/>
      <w:color w:val="000000"/>
      <w:szCs w:val="20"/>
      <w:lang w:val="es-ES_tradnl"/>
    </w:rPr>
  </w:style>
  <w:style w:type="paragraph" w:styleId="Ttulo6">
    <w:name w:val="heading 6"/>
    <w:basedOn w:val="Normal"/>
    <w:next w:val="Normal"/>
    <w:link w:val="Ttulo6Car"/>
    <w:unhideWhenUsed/>
    <w:qFormat/>
    <w:rsid w:val="00795BFB"/>
    <w:pPr>
      <w:numPr>
        <w:ilvl w:val="5"/>
        <w:numId w:val="10"/>
      </w:numPr>
      <w:spacing w:before="240" w:after="60"/>
      <w:outlineLvl w:val="5"/>
    </w:pPr>
    <w:rPr>
      <w:rFonts w:ascii="Calibri" w:hAnsi="Calibri"/>
      <w:b/>
      <w:bCs/>
      <w:szCs w:val="22"/>
    </w:rPr>
  </w:style>
  <w:style w:type="paragraph" w:styleId="Ttulo7">
    <w:name w:val="heading 7"/>
    <w:basedOn w:val="Normal"/>
    <w:next w:val="Normal"/>
    <w:link w:val="Ttulo7Car"/>
    <w:unhideWhenUsed/>
    <w:qFormat/>
    <w:rsid w:val="006B4647"/>
    <w:pPr>
      <w:numPr>
        <w:ilvl w:val="6"/>
        <w:numId w:val="10"/>
      </w:numPr>
      <w:spacing w:before="240" w:after="60"/>
      <w:outlineLvl w:val="6"/>
    </w:pPr>
    <w:rPr>
      <w:rFonts w:ascii="Calibri" w:hAnsi="Calibri"/>
    </w:rPr>
  </w:style>
  <w:style w:type="paragraph" w:styleId="Ttulo8">
    <w:name w:val="heading 8"/>
    <w:basedOn w:val="Normal"/>
    <w:next w:val="Normal"/>
    <w:link w:val="Ttulo8Car"/>
    <w:unhideWhenUsed/>
    <w:qFormat/>
    <w:rsid w:val="00AC44A5"/>
    <w:pPr>
      <w:numPr>
        <w:ilvl w:val="7"/>
        <w:numId w:val="10"/>
      </w:numPr>
      <w:spacing w:before="240" w:after="60"/>
      <w:outlineLvl w:val="7"/>
    </w:pPr>
    <w:rPr>
      <w:rFonts w:ascii="Calibri" w:hAnsi="Calibri"/>
      <w:i/>
      <w:iCs/>
    </w:rPr>
  </w:style>
  <w:style w:type="paragraph" w:styleId="Ttulo9">
    <w:name w:val="heading 9"/>
    <w:basedOn w:val="Normal"/>
    <w:next w:val="Normal"/>
    <w:link w:val="Ttulo9Car"/>
    <w:unhideWhenUsed/>
    <w:qFormat/>
    <w:rsid w:val="00AC44A5"/>
    <w:pPr>
      <w:numPr>
        <w:ilvl w:val="8"/>
        <w:numId w:val="10"/>
      </w:numPr>
      <w:spacing w:before="240" w:after="60"/>
      <w:outlineLvl w:val="8"/>
    </w:pPr>
    <w:rPr>
      <w:rFonts w:ascii="Cambria" w:hAnsi="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3101DA"/>
    <w:pPr>
      <w:tabs>
        <w:tab w:val="center" w:pos="4252"/>
        <w:tab w:val="right" w:pos="8504"/>
      </w:tabs>
    </w:pPr>
    <w:rPr>
      <w:rFonts w:ascii="CG Times" w:hAnsi="CG Times"/>
      <w:szCs w:val="20"/>
      <w:lang w:val="es-CO"/>
    </w:rPr>
  </w:style>
  <w:style w:type="paragraph" w:styleId="Piedepgina">
    <w:name w:val="footer"/>
    <w:basedOn w:val="Normal"/>
    <w:link w:val="PiedepginaCar"/>
    <w:uiPriority w:val="99"/>
    <w:rsid w:val="003101DA"/>
    <w:pPr>
      <w:tabs>
        <w:tab w:val="center" w:pos="4252"/>
        <w:tab w:val="right" w:pos="8504"/>
      </w:tabs>
    </w:pPr>
  </w:style>
  <w:style w:type="paragraph" w:customStyle="1" w:styleId="Estilo1">
    <w:name w:val="Estilo1"/>
    <w:basedOn w:val="Normal"/>
    <w:rsid w:val="003101DA"/>
    <w:pPr>
      <w:shd w:val="clear" w:color="auto" w:fill="C0C0C0"/>
      <w:jc w:val="center"/>
    </w:pPr>
    <w:rPr>
      <w:rFonts w:ascii="Comic Sans MS" w:hAnsi="Comic Sans MS"/>
      <w:color w:val="0000FF"/>
      <w:sz w:val="36"/>
      <w:szCs w:val="20"/>
      <w:lang w:val="es-CO"/>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semiHidden/>
    <w:rsid w:val="003101DA"/>
  </w:style>
  <w:style w:type="paragraph" w:styleId="Textoindependiente">
    <w:name w:val="Body Text"/>
    <w:basedOn w:val="Normal"/>
    <w:link w:val="TextoindependienteCar"/>
    <w:semiHidden/>
    <w:rsid w:val="003101DA"/>
    <w:pPr>
      <w:jc w:val="center"/>
    </w:pPr>
    <w:rPr>
      <w:rFonts w:cs="Arial"/>
      <w:b/>
      <w:bCs/>
    </w:rPr>
  </w:style>
  <w:style w:type="paragraph" w:styleId="Textoindependiente3">
    <w:name w:val="Body Text 3"/>
    <w:basedOn w:val="Normal"/>
    <w:link w:val="Textoindependiente3Car"/>
    <w:semiHidden/>
    <w:rsid w:val="003101DA"/>
    <w:pPr>
      <w:jc w:val="center"/>
      <w:outlineLvl w:val="0"/>
    </w:pPr>
    <w:rPr>
      <w:rFonts w:cs="Arial"/>
      <w:b/>
      <w:bCs/>
      <w:spacing w:val="-3"/>
    </w:rPr>
  </w:style>
  <w:style w:type="paragraph" w:styleId="Textodeglobo">
    <w:name w:val="Balloon Text"/>
    <w:basedOn w:val="Normal"/>
    <w:link w:val="TextodegloboCar"/>
    <w:uiPriority w:val="99"/>
    <w:semiHidden/>
    <w:unhideWhenUsed/>
    <w:rsid w:val="00725FA4"/>
    <w:rPr>
      <w:rFonts w:ascii="Tahoma" w:hAnsi="Tahoma" w:cs="Tahoma"/>
      <w:sz w:val="16"/>
      <w:szCs w:val="16"/>
    </w:rPr>
  </w:style>
  <w:style w:type="character" w:customStyle="1" w:styleId="TextodegloboCar">
    <w:name w:val="Texto de globo Car"/>
    <w:link w:val="Textodeglobo"/>
    <w:uiPriority w:val="99"/>
    <w:semiHidden/>
    <w:rsid w:val="00725FA4"/>
    <w:rPr>
      <w:rFonts w:ascii="Tahoma" w:hAnsi="Tahoma" w:cs="Tahoma"/>
      <w:sz w:val="16"/>
      <w:szCs w:val="16"/>
    </w:rPr>
  </w:style>
  <w:style w:type="character" w:customStyle="1" w:styleId="EncabezadoCar">
    <w:name w:val="Encabezado Car"/>
    <w:link w:val="Encabezado"/>
    <w:uiPriority w:val="99"/>
    <w:rsid w:val="00593C4F"/>
    <w:rPr>
      <w:rFonts w:ascii="CG Times" w:hAnsi="CG Times"/>
      <w:sz w:val="24"/>
      <w:lang w:val="es-CO"/>
    </w:rPr>
  </w:style>
  <w:style w:type="character" w:customStyle="1" w:styleId="Ttulo3Car">
    <w:name w:val="Título 3 Car"/>
    <w:aliases w:val="T3 Car"/>
    <w:link w:val="Ttulo3"/>
    <w:rsid w:val="00B219B2"/>
    <w:rPr>
      <w:rFonts w:ascii="Bookman Old Style" w:hAnsi="Bookman Old Style"/>
      <w:b/>
      <w:snapToGrid w:val="0"/>
      <w:color w:val="000000"/>
      <w:sz w:val="22"/>
      <w:lang w:val="es-ES_tradnl" w:eastAsia="es-ES"/>
    </w:rPr>
  </w:style>
  <w:style w:type="character" w:customStyle="1" w:styleId="Ttulo4Car">
    <w:name w:val="Título 4 Car"/>
    <w:link w:val="Ttulo4"/>
    <w:rsid w:val="000127D2"/>
    <w:rPr>
      <w:rFonts w:ascii="Bookman Old Style" w:hAnsi="Bookman Old Style" w:cs="Arial"/>
      <w:b/>
      <w:snapToGrid w:val="0"/>
      <w:color w:val="000000"/>
      <w:sz w:val="22"/>
      <w:lang w:val="es-ES_tradnl" w:eastAsia="es-ES"/>
    </w:rPr>
  </w:style>
  <w:style w:type="character" w:customStyle="1" w:styleId="Ttulo5Car">
    <w:name w:val="Título 5 Car"/>
    <w:link w:val="Ttulo5"/>
    <w:rsid w:val="000127D2"/>
    <w:rPr>
      <w:rFonts w:ascii="Bookman Old Style" w:hAnsi="Bookman Old Style" w:cs="Arial"/>
      <w:b/>
      <w:snapToGrid w:val="0"/>
      <w:color w:val="000000"/>
      <w:sz w:val="22"/>
      <w:lang w:val="es-ES_tradnl" w:eastAsia="es-ES"/>
    </w:rPr>
  </w:style>
  <w:style w:type="character" w:customStyle="1" w:styleId="TextoindependienteCar">
    <w:name w:val="Texto independiente Car"/>
    <w:link w:val="Textoindependiente"/>
    <w:semiHidden/>
    <w:rsid w:val="00141013"/>
    <w:rPr>
      <w:rFonts w:ascii="Arial" w:hAnsi="Arial" w:cs="Arial"/>
      <w:b/>
      <w:bCs/>
      <w:sz w:val="24"/>
      <w:szCs w:val="24"/>
    </w:rPr>
  </w:style>
  <w:style w:type="character" w:customStyle="1" w:styleId="Textoindependiente3Car">
    <w:name w:val="Texto independiente 3 Car"/>
    <w:link w:val="Textoindependiente3"/>
    <w:semiHidden/>
    <w:rsid w:val="00141013"/>
    <w:rPr>
      <w:rFonts w:ascii="Arial" w:hAnsi="Arial" w:cs="Arial"/>
      <w:b/>
      <w:bCs/>
      <w:spacing w:val="-3"/>
      <w:sz w:val="24"/>
      <w:szCs w:val="24"/>
    </w:rPr>
  </w:style>
  <w:style w:type="table" w:styleId="Tablaconcuadrcula">
    <w:name w:val="Table Grid"/>
    <w:basedOn w:val="Tablanormal"/>
    <w:uiPriority w:val="59"/>
    <w:rsid w:val="001410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6Car">
    <w:name w:val="Título 6 Car"/>
    <w:link w:val="Ttulo6"/>
    <w:rsid w:val="00795BFB"/>
    <w:rPr>
      <w:rFonts w:ascii="Calibri" w:hAnsi="Calibri"/>
      <w:b/>
      <w:bCs/>
      <w:sz w:val="22"/>
      <w:szCs w:val="22"/>
      <w:lang w:val="es-ES" w:eastAsia="es-ES"/>
    </w:rPr>
  </w:style>
  <w:style w:type="paragraph" w:styleId="Ttulo">
    <w:name w:val="Title"/>
    <w:basedOn w:val="Normal"/>
    <w:link w:val="TtuloCar"/>
    <w:qFormat/>
    <w:rsid w:val="00795BFB"/>
    <w:pPr>
      <w:widowControl w:val="0"/>
      <w:adjustRightInd w:val="0"/>
      <w:spacing w:line="360" w:lineRule="atLeast"/>
      <w:jc w:val="center"/>
      <w:textAlignment w:val="baseline"/>
    </w:pPr>
    <w:rPr>
      <w:rFonts w:cs="Arial"/>
      <w:b/>
      <w:bCs/>
    </w:rPr>
  </w:style>
  <w:style w:type="character" w:customStyle="1" w:styleId="TtuloCar">
    <w:name w:val="Título Car"/>
    <w:link w:val="Ttulo"/>
    <w:rsid w:val="00795BFB"/>
    <w:rPr>
      <w:rFonts w:ascii="Arial" w:hAnsi="Arial" w:cs="Arial"/>
      <w:b/>
      <w:bCs/>
      <w:sz w:val="24"/>
      <w:szCs w:val="24"/>
    </w:rPr>
  </w:style>
  <w:style w:type="paragraph" w:styleId="Prrafodelista">
    <w:name w:val="List Paragraph"/>
    <w:basedOn w:val="Normal"/>
    <w:link w:val="PrrafodelistaCar"/>
    <w:uiPriority w:val="34"/>
    <w:qFormat/>
    <w:rsid w:val="00CD1B62"/>
    <w:pPr>
      <w:ind w:left="708"/>
    </w:pPr>
    <w:rPr>
      <w:szCs w:val="20"/>
      <w:lang w:val="es-CO"/>
    </w:rPr>
  </w:style>
  <w:style w:type="character" w:customStyle="1" w:styleId="PrrafodelistaCar">
    <w:name w:val="Párrafo de lista Car"/>
    <w:link w:val="Prrafodelista"/>
    <w:uiPriority w:val="34"/>
    <w:rsid w:val="00CD1B62"/>
    <w:rPr>
      <w:rFonts w:ascii="Arial" w:hAnsi="Arial"/>
      <w:sz w:val="22"/>
      <w:lang w:eastAsia="es-ES"/>
    </w:rPr>
  </w:style>
  <w:style w:type="paragraph" w:styleId="TDC1">
    <w:name w:val="toc 1"/>
    <w:basedOn w:val="Normal"/>
    <w:next w:val="Normal"/>
    <w:autoRedefine/>
    <w:uiPriority w:val="39"/>
    <w:qFormat/>
    <w:rsid w:val="00C07636"/>
    <w:pPr>
      <w:spacing w:before="120" w:after="120"/>
      <w:jc w:val="left"/>
    </w:pPr>
    <w:rPr>
      <w:b/>
      <w:bCs/>
      <w:caps/>
      <w:sz w:val="20"/>
      <w:szCs w:val="20"/>
    </w:rPr>
  </w:style>
  <w:style w:type="paragraph" w:styleId="Textodebloque">
    <w:name w:val="Block Text"/>
    <w:basedOn w:val="Normal"/>
    <w:rsid w:val="00D03800"/>
    <w:pPr>
      <w:suppressAutoHyphens/>
      <w:spacing w:after="240"/>
      <w:ind w:right="788"/>
    </w:pPr>
    <w:rPr>
      <w:spacing w:val="-3"/>
      <w:szCs w:val="20"/>
      <w:lang w:val="es-ES_tradnl"/>
    </w:rPr>
  </w:style>
  <w:style w:type="paragraph" w:styleId="Textoindependiente2">
    <w:name w:val="Body Text 2"/>
    <w:basedOn w:val="Normal"/>
    <w:link w:val="Textoindependiente2Car"/>
    <w:uiPriority w:val="99"/>
    <w:unhideWhenUsed/>
    <w:rsid w:val="00006AE2"/>
    <w:pPr>
      <w:spacing w:after="120" w:line="480" w:lineRule="auto"/>
    </w:pPr>
  </w:style>
  <w:style w:type="character" w:customStyle="1" w:styleId="Textoindependiente2Car">
    <w:name w:val="Texto independiente 2 Car"/>
    <w:link w:val="Textoindependiente2"/>
    <w:uiPriority w:val="99"/>
    <w:rsid w:val="00006AE2"/>
    <w:rPr>
      <w:sz w:val="24"/>
      <w:szCs w:val="24"/>
    </w:rPr>
  </w:style>
  <w:style w:type="paragraph" w:styleId="Epgrafe">
    <w:name w:val="caption"/>
    <w:basedOn w:val="Normal"/>
    <w:next w:val="Normal"/>
    <w:qFormat/>
    <w:rsid w:val="003C25F5"/>
    <w:pPr>
      <w:widowControl w:val="0"/>
      <w:adjustRightInd w:val="0"/>
      <w:spacing w:before="120" w:after="120" w:line="360" w:lineRule="atLeast"/>
      <w:jc w:val="center"/>
      <w:textAlignment w:val="baseline"/>
    </w:pPr>
    <w:rPr>
      <w:sz w:val="24"/>
      <w:szCs w:val="20"/>
    </w:rPr>
  </w:style>
  <w:style w:type="paragraph" w:styleId="Sinespaciado">
    <w:name w:val="No Spacing"/>
    <w:uiPriority w:val="1"/>
    <w:qFormat/>
    <w:rsid w:val="003A31F6"/>
    <w:rPr>
      <w:rFonts w:ascii="Calibri" w:hAnsi="Calibri" w:cs="Calibri"/>
      <w:sz w:val="22"/>
      <w:szCs w:val="22"/>
      <w:lang w:val="es-ES" w:eastAsia="en-US"/>
    </w:rPr>
  </w:style>
  <w:style w:type="character" w:customStyle="1" w:styleId="apple-style-span">
    <w:name w:val="apple-style-span"/>
    <w:rsid w:val="003A31F6"/>
    <w:rPr>
      <w:rFonts w:ascii="Times New Roman" w:hAnsi="Times New Roman" w:cs="Times New Roman"/>
    </w:rPr>
  </w:style>
  <w:style w:type="paragraph" w:styleId="Subttulo">
    <w:name w:val="Subtitle"/>
    <w:basedOn w:val="Normal"/>
    <w:link w:val="SubttuloCar"/>
    <w:qFormat/>
    <w:rsid w:val="003A31F6"/>
    <w:rPr>
      <w:rFonts w:ascii="Century Gothic" w:hAnsi="Century Gothic"/>
      <w:b/>
      <w:bCs/>
    </w:rPr>
  </w:style>
  <w:style w:type="character" w:customStyle="1" w:styleId="SubttuloCar">
    <w:name w:val="Subtítulo Car"/>
    <w:link w:val="Subttulo"/>
    <w:rsid w:val="003A31F6"/>
    <w:rPr>
      <w:rFonts w:ascii="Century Gothic" w:hAnsi="Century Gothic"/>
      <w:b/>
      <w:bCs/>
      <w:sz w:val="24"/>
      <w:szCs w:val="24"/>
    </w:rPr>
  </w:style>
  <w:style w:type="character" w:customStyle="1" w:styleId="apple-converted-space">
    <w:name w:val="apple-converted-space"/>
    <w:basedOn w:val="Fuentedeprrafopredeter"/>
    <w:rsid w:val="003A31F6"/>
  </w:style>
  <w:style w:type="paragraph" w:customStyle="1" w:styleId="BodyText21">
    <w:name w:val="Body Text 21"/>
    <w:basedOn w:val="Normal"/>
    <w:uiPriority w:val="99"/>
    <w:rsid w:val="00C034CB"/>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textAlignment w:val="baseline"/>
    </w:pPr>
    <w:rPr>
      <w:szCs w:val="20"/>
    </w:rPr>
  </w:style>
  <w:style w:type="character" w:customStyle="1" w:styleId="Ttulo7Car">
    <w:name w:val="Título 7 Car"/>
    <w:link w:val="Ttulo7"/>
    <w:rsid w:val="006B4647"/>
    <w:rPr>
      <w:rFonts w:ascii="Calibri" w:hAnsi="Calibri"/>
      <w:sz w:val="22"/>
      <w:szCs w:val="24"/>
      <w:lang w:val="es-ES" w:eastAsia="es-ES"/>
    </w:rPr>
  </w:style>
  <w:style w:type="paragraph" w:styleId="Sangradetextonormal">
    <w:name w:val="Body Text Indent"/>
    <w:basedOn w:val="Normal"/>
    <w:link w:val="SangradetextonormalCar"/>
    <w:uiPriority w:val="99"/>
    <w:semiHidden/>
    <w:unhideWhenUsed/>
    <w:rsid w:val="00E01463"/>
    <w:pPr>
      <w:spacing w:after="120"/>
      <w:ind w:left="283"/>
    </w:pPr>
  </w:style>
  <w:style w:type="character" w:customStyle="1" w:styleId="SangradetextonormalCar">
    <w:name w:val="Sangría de texto normal Car"/>
    <w:link w:val="Sangradetextonormal"/>
    <w:uiPriority w:val="99"/>
    <w:semiHidden/>
    <w:rsid w:val="00E01463"/>
    <w:rPr>
      <w:sz w:val="24"/>
      <w:szCs w:val="24"/>
      <w:lang w:val="es-ES" w:eastAsia="es-ES"/>
    </w:rPr>
  </w:style>
  <w:style w:type="paragraph" w:customStyle="1" w:styleId="Vietaletra">
    <w:name w:val="Viñeta letra"/>
    <w:basedOn w:val="Normal"/>
    <w:next w:val="Normal"/>
    <w:rsid w:val="00E01463"/>
    <w:pPr>
      <w:numPr>
        <w:numId w:val="1"/>
      </w:numPr>
      <w:suppressAutoHyphens/>
      <w:overflowPunct w:val="0"/>
      <w:autoSpaceDE w:val="0"/>
      <w:textAlignment w:val="baseline"/>
    </w:pPr>
    <w:rPr>
      <w:szCs w:val="20"/>
      <w:lang w:val="es-ES_tradnl" w:eastAsia="ar-SA"/>
    </w:rPr>
  </w:style>
  <w:style w:type="paragraph" w:customStyle="1" w:styleId="TableHeading">
    <w:name w:val="Table Heading"/>
    <w:basedOn w:val="Normal"/>
    <w:rsid w:val="00E01463"/>
    <w:pPr>
      <w:suppressLineNumbers/>
      <w:suppressAutoHyphens/>
      <w:jc w:val="center"/>
    </w:pPr>
    <w:rPr>
      <w:b/>
      <w:bCs/>
      <w:lang w:eastAsia="ar-SA"/>
    </w:rPr>
  </w:style>
  <w:style w:type="character" w:customStyle="1" w:styleId="Ttulo2Car">
    <w:name w:val="Título 2 Car"/>
    <w:link w:val="Ttulo2"/>
    <w:rsid w:val="00890566"/>
    <w:rPr>
      <w:rFonts w:ascii="Bookman Old Style" w:hAnsi="Bookman Old Style"/>
      <w:b/>
      <w:bCs/>
      <w:iCs/>
      <w:caps/>
      <w:sz w:val="22"/>
      <w:szCs w:val="28"/>
      <w:lang w:val="es-ES" w:eastAsia="es-ES"/>
    </w:rPr>
  </w:style>
  <w:style w:type="character" w:customStyle="1" w:styleId="Ttulo8Car">
    <w:name w:val="Título 8 Car"/>
    <w:link w:val="Ttulo8"/>
    <w:rsid w:val="00AC44A5"/>
    <w:rPr>
      <w:rFonts w:ascii="Calibri" w:hAnsi="Calibri"/>
      <w:i/>
      <w:iCs/>
      <w:sz w:val="22"/>
      <w:szCs w:val="24"/>
      <w:lang w:val="es-ES" w:eastAsia="es-ES"/>
    </w:rPr>
  </w:style>
  <w:style w:type="character" w:customStyle="1" w:styleId="Ttulo9Car">
    <w:name w:val="Título 9 Car"/>
    <w:link w:val="Ttulo9"/>
    <w:rsid w:val="00AC44A5"/>
    <w:rPr>
      <w:rFonts w:ascii="Cambria" w:hAnsi="Cambria"/>
      <w:sz w:val="22"/>
      <w:szCs w:val="22"/>
      <w:lang w:val="es-ES" w:eastAsia="es-ES"/>
    </w:rPr>
  </w:style>
  <w:style w:type="paragraph" w:customStyle="1" w:styleId="Textoindependiente21">
    <w:name w:val="Texto independiente 21"/>
    <w:basedOn w:val="Normal"/>
    <w:rsid w:val="00443132"/>
    <w:pPr>
      <w:suppressAutoHyphens/>
      <w:overflowPunct w:val="0"/>
      <w:autoSpaceDE w:val="0"/>
      <w:textAlignment w:val="baseline"/>
    </w:pPr>
    <w:rPr>
      <w:b/>
      <w:szCs w:val="20"/>
      <w:lang w:val="es-ES_tradnl" w:eastAsia="ar-SA"/>
    </w:rPr>
  </w:style>
  <w:style w:type="paragraph" w:styleId="TtulodeTDC">
    <w:name w:val="TOC Heading"/>
    <w:basedOn w:val="Ttulo1"/>
    <w:next w:val="Normal"/>
    <w:uiPriority w:val="39"/>
    <w:unhideWhenUsed/>
    <w:qFormat/>
    <w:rsid w:val="00855C64"/>
    <w:pPr>
      <w:keepLines/>
      <w:spacing w:before="480" w:line="276" w:lineRule="auto"/>
      <w:jc w:val="left"/>
      <w:outlineLvl w:val="9"/>
    </w:pPr>
    <w:rPr>
      <w:rFonts w:ascii="Cambria" w:hAnsi="Cambria"/>
      <w:bCs w:val="0"/>
      <w:color w:val="365F91"/>
      <w:sz w:val="28"/>
      <w:szCs w:val="28"/>
      <w:lang w:eastAsia="es-CO"/>
    </w:rPr>
  </w:style>
  <w:style w:type="paragraph" w:styleId="TDC3">
    <w:name w:val="toc 3"/>
    <w:basedOn w:val="Normal"/>
    <w:next w:val="Normal"/>
    <w:autoRedefine/>
    <w:uiPriority w:val="39"/>
    <w:unhideWhenUsed/>
    <w:qFormat/>
    <w:rsid w:val="00C07636"/>
    <w:pPr>
      <w:ind w:left="440"/>
      <w:jc w:val="left"/>
    </w:pPr>
    <w:rPr>
      <w:iCs/>
      <w:sz w:val="18"/>
      <w:szCs w:val="20"/>
    </w:rPr>
  </w:style>
  <w:style w:type="character" w:styleId="Hipervnculo">
    <w:name w:val="Hyperlink"/>
    <w:uiPriority w:val="99"/>
    <w:unhideWhenUsed/>
    <w:rsid w:val="00855C64"/>
    <w:rPr>
      <w:color w:val="0000FF"/>
      <w:u w:val="single"/>
    </w:rPr>
  </w:style>
  <w:style w:type="paragraph" w:styleId="TDC2">
    <w:name w:val="toc 2"/>
    <w:basedOn w:val="Normal"/>
    <w:next w:val="Normal"/>
    <w:autoRedefine/>
    <w:uiPriority w:val="39"/>
    <w:unhideWhenUsed/>
    <w:qFormat/>
    <w:rsid w:val="00C07636"/>
    <w:pPr>
      <w:ind w:left="220"/>
      <w:jc w:val="left"/>
    </w:pPr>
    <w:rPr>
      <w:smallCaps/>
      <w:sz w:val="20"/>
      <w:szCs w:val="20"/>
    </w:rPr>
  </w:style>
  <w:style w:type="paragraph" w:customStyle="1" w:styleId="Default">
    <w:name w:val="Default"/>
    <w:rsid w:val="008D7990"/>
    <w:pPr>
      <w:autoSpaceDE w:val="0"/>
      <w:autoSpaceDN w:val="0"/>
      <w:adjustRightInd w:val="0"/>
    </w:pPr>
    <w:rPr>
      <w:rFonts w:ascii="Arial" w:hAnsi="Arial" w:cs="Arial"/>
      <w:color w:val="000000"/>
      <w:sz w:val="24"/>
      <w:szCs w:val="24"/>
    </w:rPr>
  </w:style>
  <w:style w:type="character" w:styleId="Refdenotaalpie">
    <w:name w:val="footnote reference"/>
    <w:aliases w:val="Nota de pie,Ref,de nota al pie"/>
    <w:uiPriority w:val="99"/>
    <w:unhideWhenUsed/>
    <w:rsid w:val="00F13DEC"/>
    <w:rPr>
      <w:vertAlign w:val="superscript"/>
    </w:rPr>
  </w:style>
  <w:style w:type="paragraph" w:styleId="NormalWeb">
    <w:name w:val="Normal (Web)"/>
    <w:basedOn w:val="Normal"/>
    <w:uiPriority w:val="99"/>
    <w:unhideWhenUsed/>
    <w:rsid w:val="00F13DEC"/>
    <w:pPr>
      <w:spacing w:before="100" w:beforeAutospacing="1" w:after="100" w:afterAutospacing="1"/>
    </w:pPr>
    <w:rPr>
      <w:lang w:val="es-CO" w:eastAsia="es-CO"/>
    </w:rPr>
  </w:style>
  <w:style w:type="table" w:styleId="Cuadrculaclara-nfasis1">
    <w:name w:val="Light Grid Accent 1"/>
    <w:basedOn w:val="Tablanormal"/>
    <w:uiPriority w:val="62"/>
    <w:rsid w:val="002F3030"/>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nfasissutil">
    <w:name w:val="Subtle Emphasis"/>
    <w:uiPriority w:val="19"/>
    <w:qFormat/>
    <w:rsid w:val="002F3030"/>
    <w:rPr>
      <w:i/>
      <w:iCs/>
      <w:color w:val="808080"/>
    </w:rPr>
  </w:style>
  <w:style w:type="character" w:customStyle="1" w:styleId="Ttulo1Car">
    <w:name w:val="Título 1 Car"/>
    <w:link w:val="Ttulo1"/>
    <w:rsid w:val="003F7B12"/>
    <w:rPr>
      <w:rFonts w:ascii="CG Times" w:hAnsi="CG Times"/>
      <w:b/>
      <w:bCs/>
      <w:caps/>
      <w:sz w:val="22"/>
      <w:szCs w:val="24"/>
      <w:lang w:eastAsia="es-ES"/>
    </w:rPr>
  </w:style>
  <w:style w:type="character" w:customStyle="1" w:styleId="PiedepginaCar">
    <w:name w:val="Pie de página Car"/>
    <w:link w:val="Piedepgina"/>
    <w:uiPriority w:val="99"/>
    <w:rsid w:val="002F3030"/>
    <w:rPr>
      <w:sz w:val="24"/>
      <w:szCs w:val="24"/>
      <w:lang w:val="es-ES" w:eastAsia="es-ES"/>
    </w:rPr>
  </w:style>
  <w:style w:type="paragraph" w:customStyle="1" w:styleId="creg">
    <w:name w:val="creg"/>
    <w:basedOn w:val="Normal"/>
    <w:rsid w:val="002F3030"/>
    <w:rPr>
      <w:rFonts w:cs="Arial"/>
      <w:lang w:val="es-CO"/>
    </w:rPr>
  </w:style>
  <w:style w:type="paragraph" w:customStyle="1" w:styleId="doctor">
    <w:name w:val="doctor"/>
    <w:basedOn w:val="Textoindependiente"/>
    <w:rsid w:val="002F3030"/>
    <w:pPr>
      <w:jc w:val="both"/>
    </w:pPr>
    <w:rPr>
      <w:b w:val="0"/>
      <w:bCs w:val="0"/>
      <w:spacing w:val="-5"/>
      <w:szCs w:val="20"/>
      <w:lang w:val="es-CO" w:eastAsia="en-US"/>
    </w:rPr>
  </w:style>
  <w:style w:type="paragraph" w:styleId="Textonotapie">
    <w:name w:val="footnote text"/>
    <w:basedOn w:val="Normal"/>
    <w:link w:val="TextonotapieCar"/>
    <w:uiPriority w:val="99"/>
    <w:unhideWhenUsed/>
    <w:rsid w:val="002F3030"/>
    <w:rPr>
      <w:rFonts w:ascii="Calibri" w:eastAsia="Calibri" w:hAnsi="Calibri"/>
      <w:sz w:val="20"/>
      <w:szCs w:val="20"/>
      <w:lang w:val="es-CO" w:eastAsia="en-US"/>
    </w:rPr>
  </w:style>
  <w:style w:type="character" w:customStyle="1" w:styleId="TextonotapieCar">
    <w:name w:val="Texto nota pie Car"/>
    <w:link w:val="Textonotapie"/>
    <w:uiPriority w:val="99"/>
    <w:rsid w:val="002F3030"/>
    <w:rPr>
      <w:rFonts w:ascii="Calibri" w:eastAsia="Calibri" w:hAnsi="Calibri"/>
      <w:lang w:eastAsia="en-US"/>
    </w:rPr>
  </w:style>
  <w:style w:type="character" w:styleId="Refdecomentario">
    <w:name w:val="annotation reference"/>
    <w:uiPriority w:val="99"/>
    <w:semiHidden/>
    <w:unhideWhenUsed/>
    <w:rsid w:val="002F3030"/>
    <w:rPr>
      <w:sz w:val="16"/>
      <w:szCs w:val="16"/>
    </w:rPr>
  </w:style>
  <w:style w:type="paragraph" w:styleId="Textocomentario">
    <w:name w:val="annotation text"/>
    <w:basedOn w:val="Normal"/>
    <w:link w:val="TextocomentarioCar"/>
    <w:uiPriority w:val="99"/>
    <w:unhideWhenUsed/>
    <w:rsid w:val="002F3030"/>
    <w:rPr>
      <w:spacing w:val="-5"/>
      <w:sz w:val="20"/>
      <w:szCs w:val="20"/>
      <w:lang w:val="es-CO" w:eastAsia="en-US"/>
    </w:rPr>
  </w:style>
  <w:style w:type="character" w:customStyle="1" w:styleId="TextocomentarioCar">
    <w:name w:val="Texto comentario Car"/>
    <w:link w:val="Textocomentario"/>
    <w:uiPriority w:val="99"/>
    <w:rsid w:val="002F3030"/>
    <w:rPr>
      <w:rFonts w:ascii="Arial" w:hAnsi="Arial"/>
      <w:spacing w:val="-5"/>
      <w:lang w:eastAsia="en-US"/>
    </w:rPr>
  </w:style>
  <w:style w:type="paragraph" w:styleId="Asuntodelcomentario">
    <w:name w:val="annotation subject"/>
    <w:basedOn w:val="Textocomentario"/>
    <w:next w:val="Textocomentario"/>
    <w:link w:val="AsuntodelcomentarioCar"/>
    <w:uiPriority w:val="99"/>
    <w:semiHidden/>
    <w:unhideWhenUsed/>
    <w:rsid w:val="002F3030"/>
    <w:rPr>
      <w:b/>
      <w:bCs/>
    </w:rPr>
  </w:style>
  <w:style w:type="character" w:customStyle="1" w:styleId="AsuntodelcomentarioCar">
    <w:name w:val="Asunto del comentario Car"/>
    <w:link w:val="Asuntodelcomentario"/>
    <w:uiPriority w:val="99"/>
    <w:semiHidden/>
    <w:rsid w:val="002F3030"/>
    <w:rPr>
      <w:rFonts w:ascii="Arial" w:hAnsi="Arial"/>
      <w:b/>
      <w:bCs/>
      <w:spacing w:val="-5"/>
      <w:lang w:eastAsia="en-US"/>
    </w:rPr>
  </w:style>
  <w:style w:type="paragraph" w:customStyle="1" w:styleId="ARTICULOS">
    <w:name w:val="ARTICULOS"/>
    <w:basedOn w:val="Normal"/>
    <w:link w:val="ARTICULOSCar"/>
    <w:qFormat/>
    <w:rsid w:val="002F3030"/>
    <w:pPr>
      <w:widowControl w:val="0"/>
      <w:numPr>
        <w:numId w:val="3"/>
      </w:numPr>
      <w:adjustRightInd w:val="0"/>
      <w:textAlignment w:val="baseline"/>
    </w:pPr>
    <w:rPr>
      <w:bCs/>
      <w:lang w:val="x-none" w:eastAsia="x-none"/>
    </w:rPr>
  </w:style>
  <w:style w:type="character" w:customStyle="1" w:styleId="ARTICULOSCar">
    <w:name w:val="ARTICULOS Car"/>
    <w:link w:val="ARTICULOS"/>
    <w:rsid w:val="002F3030"/>
    <w:rPr>
      <w:rFonts w:ascii="Bookman Old Style" w:hAnsi="Bookman Old Style"/>
      <w:bCs/>
      <w:sz w:val="22"/>
      <w:szCs w:val="24"/>
      <w:lang w:val="x-none" w:eastAsia="x-none"/>
    </w:rPr>
  </w:style>
  <w:style w:type="paragraph" w:styleId="Revisin">
    <w:name w:val="Revision"/>
    <w:hidden/>
    <w:uiPriority w:val="99"/>
    <w:semiHidden/>
    <w:rsid w:val="002F3030"/>
    <w:rPr>
      <w:rFonts w:ascii="Arial" w:hAnsi="Arial"/>
      <w:spacing w:val="-5"/>
      <w:lang w:eastAsia="en-US"/>
    </w:rPr>
  </w:style>
  <w:style w:type="character" w:customStyle="1" w:styleId="CharStyle26">
    <w:name w:val="Char Style 26"/>
    <w:link w:val="Style15"/>
    <w:uiPriority w:val="99"/>
    <w:rsid w:val="002F3030"/>
    <w:rPr>
      <w:rFonts w:ascii="Arial" w:hAnsi="Arial" w:cs="Arial"/>
      <w:sz w:val="18"/>
      <w:szCs w:val="18"/>
      <w:shd w:val="clear" w:color="auto" w:fill="FFFFFF"/>
    </w:rPr>
  </w:style>
  <w:style w:type="character" w:customStyle="1" w:styleId="CharStyle28">
    <w:name w:val="Char Style 28"/>
    <w:link w:val="Style27"/>
    <w:uiPriority w:val="99"/>
    <w:rsid w:val="002F3030"/>
    <w:rPr>
      <w:rFonts w:ascii="Arial" w:hAnsi="Arial" w:cs="Arial"/>
      <w:b/>
      <w:bCs/>
      <w:sz w:val="18"/>
      <w:szCs w:val="18"/>
      <w:shd w:val="clear" w:color="auto" w:fill="FFFFFF"/>
    </w:rPr>
  </w:style>
  <w:style w:type="character" w:customStyle="1" w:styleId="CharStyle30">
    <w:name w:val="Char Style 30"/>
    <w:uiPriority w:val="99"/>
    <w:rsid w:val="002F3030"/>
    <w:rPr>
      <w:rFonts w:ascii="Arial" w:hAnsi="Arial" w:cs="Arial"/>
      <w:b/>
      <w:bCs/>
      <w:sz w:val="18"/>
      <w:szCs w:val="18"/>
      <w:u w:val="single"/>
      <w:shd w:val="clear" w:color="auto" w:fill="FFFFFF"/>
    </w:rPr>
  </w:style>
  <w:style w:type="character" w:customStyle="1" w:styleId="CharStyle31">
    <w:name w:val="Char Style 31"/>
    <w:link w:val="Style17"/>
    <w:uiPriority w:val="99"/>
    <w:rsid w:val="002F3030"/>
    <w:rPr>
      <w:rFonts w:ascii="Arial" w:hAnsi="Arial" w:cs="Arial"/>
      <w:b/>
      <w:bCs/>
      <w:i/>
      <w:iCs/>
      <w:sz w:val="18"/>
      <w:szCs w:val="18"/>
      <w:shd w:val="clear" w:color="auto" w:fill="FFFFFF"/>
    </w:rPr>
  </w:style>
  <w:style w:type="paragraph" w:customStyle="1" w:styleId="Style15">
    <w:name w:val="Style 15"/>
    <w:basedOn w:val="Normal"/>
    <w:link w:val="CharStyle26"/>
    <w:uiPriority w:val="99"/>
    <w:rsid w:val="002F3030"/>
    <w:pPr>
      <w:widowControl w:val="0"/>
      <w:shd w:val="clear" w:color="auto" w:fill="FFFFFF"/>
      <w:spacing w:line="278" w:lineRule="exact"/>
      <w:ind w:hanging="620"/>
    </w:pPr>
    <w:rPr>
      <w:rFonts w:cs="Arial"/>
      <w:sz w:val="18"/>
      <w:szCs w:val="18"/>
      <w:lang w:val="es-CO" w:eastAsia="es-CO"/>
    </w:rPr>
  </w:style>
  <w:style w:type="paragraph" w:customStyle="1" w:styleId="Style17">
    <w:name w:val="Style 17"/>
    <w:basedOn w:val="Normal"/>
    <w:link w:val="CharStyle31"/>
    <w:uiPriority w:val="99"/>
    <w:rsid w:val="002F3030"/>
    <w:pPr>
      <w:widowControl w:val="0"/>
      <w:shd w:val="clear" w:color="auto" w:fill="FFFFFF"/>
      <w:spacing w:line="566" w:lineRule="exact"/>
      <w:ind w:hanging="340"/>
    </w:pPr>
    <w:rPr>
      <w:rFonts w:cs="Arial"/>
      <w:b/>
      <w:bCs/>
      <w:i/>
      <w:iCs/>
      <w:sz w:val="18"/>
      <w:szCs w:val="18"/>
      <w:lang w:val="es-CO" w:eastAsia="es-CO"/>
    </w:rPr>
  </w:style>
  <w:style w:type="paragraph" w:customStyle="1" w:styleId="Style27">
    <w:name w:val="Style 27"/>
    <w:basedOn w:val="Normal"/>
    <w:link w:val="CharStyle28"/>
    <w:uiPriority w:val="99"/>
    <w:rsid w:val="002F3030"/>
    <w:pPr>
      <w:widowControl w:val="0"/>
      <w:shd w:val="clear" w:color="auto" w:fill="FFFFFF"/>
      <w:spacing w:line="278" w:lineRule="exact"/>
    </w:pPr>
    <w:rPr>
      <w:rFonts w:cs="Arial"/>
      <w:b/>
      <w:bCs/>
      <w:sz w:val="18"/>
      <w:szCs w:val="18"/>
      <w:lang w:val="es-CO" w:eastAsia="es-CO"/>
    </w:rPr>
  </w:style>
  <w:style w:type="character" w:customStyle="1" w:styleId="CharStyle16Exact">
    <w:name w:val="Char Style 16 Exact"/>
    <w:uiPriority w:val="99"/>
    <w:rsid w:val="002F3030"/>
    <w:rPr>
      <w:rFonts w:ascii="Arial" w:hAnsi="Arial" w:cs="Arial"/>
      <w:spacing w:val="6"/>
      <w:sz w:val="17"/>
      <w:szCs w:val="17"/>
      <w:u w:val="none"/>
    </w:rPr>
  </w:style>
  <w:style w:type="character" w:customStyle="1" w:styleId="CharStyle18Exact">
    <w:name w:val="Char Style 18 Exact"/>
    <w:uiPriority w:val="99"/>
    <w:rsid w:val="002F3030"/>
    <w:rPr>
      <w:rFonts w:ascii="Arial" w:hAnsi="Arial" w:cs="Arial"/>
      <w:b/>
      <w:bCs/>
      <w:i/>
      <w:iCs/>
      <w:spacing w:val="5"/>
      <w:sz w:val="17"/>
      <w:szCs w:val="17"/>
      <w:u w:val="none"/>
    </w:rPr>
  </w:style>
  <w:style w:type="character" w:customStyle="1" w:styleId="CharStyle20Exact">
    <w:name w:val="Char Style 20 Exact"/>
    <w:uiPriority w:val="99"/>
    <w:rsid w:val="002F3030"/>
    <w:rPr>
      <w:rFonts w:ascii="Arial" w:hAnsi="Arial" w:cs="Arial"/>
      <w:i/>
      <w:iCs/>
      <w:spacing w:val="1"/>
      <w:sz w:val="17"/>
      <w:szCs w:val="17"/>
      <w:u w:val="none"/>
    </w:rPr>
  </w:style>
  <w:style w:type="character" w:customStyle="1" w:styleId="CharStyle32">
    <w:name w:val="Char Style 32"/>
    <w:link w:val="Style19"/>
    <w:uiPriority w:val="99"/>
    <w:rsid w:val="002F3030"/>
    <w:rPr>
      <w:rFonts w:ascii="Arial" w:hAnsi="Arial" w:cs="Arial"/>
      <w:i/>
      <w:iCs/>
      <w:sz w:val="18"/>
      <w:szCs w:val="18"/>
      <w:shd w:val="clear" w:color="auto" w:fill="FFFFFF"/>
    </w:rPr>
  </w:style>
  <w:style w:type="character" w:customStyle="1" w:styleId="CharStyle33">
    <w:name w:val="Char Style 33"/>
    <w:link w:val="Style26"/>
    <w:uiPriority w:val="99"/>
    <w:rsid w:val="002F3030"/>
    <w:rPr>
      <w:rFonts w:ascii="Arial" w:hAnsi="Arial" w:cs="Arial"/>
      <w:b/>
      <w:bCs/>
      <w:i/>
      <w:iCs/>
      <w:sz w:val="18"/>
      <w:szCs w:val="18"/>
      <w:shd w:val="clear" w:color="auto" w:fill="FFFFFF"/>
    </w:rPr>
  </w:style>
  <w:style w:type="character" w:customStyle="1" w:styleId="CharStyle34">
    <w:name w:val="Char Style 34"/>
    <w:uiPriority w:val="99"/>
    <w:rsid w:val="002F3030"/>
    <w:rPr>
      <w:rFonts w:ascii="Arial" w:hAnsi="Arial" w:cs="Arial"/>
      <w:i w:val="0"/>
      <w:iCs w:val="0"/>
      <w:spacing w:val="50"/>
      <w:sz w:val="8"/>
      <w:szCs w:val="8"/>
      <w:shd w:val="clear" w:color="auto" w:fill="FFFFFF"/>
    </w:rPr>
  </w:style>
  <w:style w:type="paragraph" w:customStyle="1" w:styleId="Style19">
    <w:name w:val="Style 19"/>
    <w:basedOn w:val="Normal"/>
    <w:link w:val="CharStyle32"/>
    <w:uiPriority w:val="99"/>
    <w:rsid w:val="002F3030"/>
    <w:pPr>
      <w:widowControl w:val="0"/>
      <w:shd w:val="clear" w:color="auto" w:fill="FFFFFF"/>
      <w:spacing w:before="240" w:after="240" w:line="278" w:lineRule="exact"/>
    </w:pPr>
    <w:rPr>
      <w:rFonts w:cs="Arial"/>
      <w:i/>
      <w:iCs/>
      <w:sz w:val="18"/>
      <w:szCs w:val="18"/>
      <w:lang w:val="es-CO" w:eastAsia="es-CO"/>
    </w:rPr>
  </w:style>
  <w:style w:type="character" w:customStyle="1" w:styleId="CharStyle45">
    <w:name w:val="Char Style 45"/>
    <w:uiPriority w:val="99"/>
    <w:rsid w:val="002F3030"/>
    <w:rPr>
      <w:rFonts w:ascii="Arial" w:hAnsi="Arial" w:cs="Arial"/>
      <w:i/>
      <w:iCs/>
      <w:spacing w:val="20"/>
      <w:sz w:val="18"/>
      <w:szCs w:val="18"/>
      <w:u w:val="none"/>
      <w:shd w:val="clear" w:color="auto" w:fill="FFFFFF"/>
    </w:rPr>
  </w:style>
  <w:style w:type="character" w:customStyle="1" w:styleId="CharStyle55">
    <w:name w:val="Char Style 55"/>
    <w:link w:val="Style54"/>
    <w:uiPriority w:val="99"/>
    <w:rsid w:val="002F3030"/>
    <w:rPr>
      <w:rFonts w:ascii="Arial" w:hAnsi="Arial" w:cs="Arial"/>
      <w:i/>
      <w:iCs/>
      <w:spacing w:val="20"/>
      <w:sz w:val="13"/>
      <w:szCs w:val="13"/>
      <w:shd w:val="clear" w:color="auto" w:fill="FFFFFF"/>
    </w:rPr>
  </w:style>
  <w:style w:type="paragraph" w:customStyle="1" w:styleId="Style54">
    <w:name w:val="Style 54"/>
    <w:basedOn w:val="Normal"/>
    <w:link w:val="CharStyle55"/>
    <w:uiPriority w:val="99"/>
    <w:rsid w:val="002F3030"/>
    <w:pPr>
      <w:widowControl w:val="0"/>
      <w:shd w:val="clear" w:color="auto" w:fill="FFFFFF"/>
      <w:spacing w:before="60" w:after="360" w:line="240" w:lineRule="atLeast"/>
    </w:pPr>
    <w:rPr>
      <w:rFonts w:cs="Arial"/>
      <w:i/>
      <w:iCs/>
      <w:spacing w:val="20"/>
      <w:sz w:val="13"/>
      <w:szCs w:val="13"/>
      <w:lang w:val="es-CO" w:eastAsia="es-CO"/>
    </w:rPr>
  </w:style>
  <w:style w:type="character" w:customStyle="1" w:styleId="CharStyle69">
    <w:name w:val="Char Style 69"/>
    <w:link w:val="Style68"/>
    <w:uiPriority w:val="99"/>
    <w:rsid w:val="002F3030"/>
    <w:rPr>
      <w:rFonts w:ascii="Arial" w:hAnsi="Arial" w:cs="Arial"/>
      <w:shd w:val="clear" w:color="auto" w:fill="FFFFFF"/>
    </w:rPr>
  </w:style>
  <w:style w:type="character" w:customStyle="1" w:styleId="CharStyle70">
    <w:name w:val="Char Style 70"/>
    <w:uiPriority w:val="99"/>
    <w:rsid w:val="002F3030"/>
    <w:rPr>
      <w:rFonts w:ascii="Arial" w:hAnsi="Arial" w:cs="Arial"/>
      <w:sz w:val="18"/>
      <w:szCs w:val="18"/>
      <w:u w:val="none"/>
      <w:shd w:val="clear" w:color="auto" w:fill="FFFFFF"/>
    </w:rPr>
  </w:style>
  <w:style w:type="character" w:customStyle="1" w:styleId="CharStyle71">
    <w:name w:val="Char Style 71"/>
    <w:uiPriority w:val="99"/>
    <w:rsid w:val="002F3030"/>
    <w:rPr>
      <w:rFonts w:ascii="Arial" w:hAnsi="Arial" w:cs="Arial"/>
      <w:spacing w:val="30"/>
      <w:sz w:val="18"/>
      <w:szCs w:val="18"/>
      <w:u w:val="none"/>
      <w:shd w:val="clear" w:color="auto" w:fill="FFFFFF"/>
    </w:rPr>
  </w:style>
  <w:style w:type="paragraph" w:customStyle="1" w:styleId="Style68">
    <w:name w:val="Style 68"/>
    <w:basedOn w:val="Normal"/>
    <w:link w:val="CharStyle69"/>
    <w:uiPriority w:val="99"/>
    <w:rsid w:val="002F3030"/>
    <w:pPr>
      <w:widowControl w:val="0"/>
      <w:shd w:val="clear" w:color="auto" w:fill="FFFFFF"/>
      <w:spacing w:after="240" w:line="278" w:lineRule="exact"/>
      <w:ind w:hanging="340"/>
    </w:pPr>
    <w:rPr>
      <w:rFonts w:cs="Arial"/>
      <w:sz w:val="20"/>
      <w:szCs w:val="20"/>
      <w:lang w:val="es-CO" w:eastAsia="es-CO"/>
    </w:rPr>
  </w:style>
  <w:style w:type="character" w:customStyle="1" w:styleId="CharStyle13">
    <w:name w:val="Char Style 13"/>
    <w:link w:val="Style12"/>
    <w:uiPriority w:val="99"/>
    <w:rsid w:val="002F3030"/>
    <w:rPr>
      <w:rFonts w:ascii="Arial" w:hAnsi="Arial" w:cs="Arial"/>
      <w:sz w:val="18"/>
      <w:szCs w:val="18"/>
      <w:shd w:val="clear" w:color="auto" w:fill="FFFFFF"/>
    </w:rPr>
  </w:style>
  <w:style w:type="character" w:customStyle="1" w:styleId="CharStyle17Exact">
    <w:name w:val="Char Style 17 Exact"/>
    <w:uiPriority w:val="99"/>
    <w:rsid w:val="002F3030"/>
    <w:rPr>
      <w:rFonts w:ascii="Arial" w:hAnsi="Arial" w:cs="Arial"/>
      <w:spacing w:val="2"/>
      <w:sz w:val="17"/>
      <w:szCs w:val="17"/>
      <w:u w:val="none"/>
    </w:rPr>
  </w:style>
  <w:style w:type="character" w:customStyle="1" w:styleId="CharStyle25Exact">
    <w:name w:val="Char Style 25 Exact"/>
    <w:uiPriority w:val="99"/>
    <w:rsid w:val="002F3030"/>
    <w:rPr>
      <w:rFonts w:ascii="Arial" w:hAnsi="Arial" w:cs="Arial"/>
      <w:b/>
      <w:bCs/>
      <w:i/>
      <w:iCs/>
      <w:spacing w:val="4"/>
      <w:sz w:val="17"/>
      <w:szCs w:val="17"/>
      <w:u w:val="none"/>
    </w:rPr>
  </w:style>
  <w:style w:type="character" w:customStyle="1" w:styleId="CharStyle27Exact">
    <w:name w:val="Char Style 27 Exact"/>
    <w:uiPriority w:val="99"/>
    <w:rsid w:val="002F3030"/>
    <w:rPr>
      <w:rFonts w:ascii="Arial" w:hAnsi="Arial" w:cs="Arial"/>
      <w:i/>
      <w:iCs/>
      <w:spacing w:val="3"/>
      <w:sz w:val="17"/>
      <w:szCs w:val="17"/>
      <w:u w:val="none"/>
    </w:rPr>
  </w:style>
  <w:style w:type="character" w:customStyle="1" w:styleId="CharStyle29">
    <w:name w:val="Char Style 29"/>
    <w:link w:val="Style28"/>
    <w:uiPriority w:val="99"/>
    <w:rsid w:val="002F3030"/>
    <w:rPr>
      <w:rFonts w:ascii="Arial" w:hAnsi="Arial" w:cs="Arial"/>
      <w:b/>
      <w:bCs/>
      <w:i/>
      <w:iCs/>
      <w:sz w:val="18"/>
      <w:szCs w:val="18"/>
      <w:shd w:val="clear" w:color="auto" w:fill="FFFFFF"/>
    </w:rPr>
  </w:style>
  <w:style w:type="character" w:customStyle="1" w:styleId="CharStyle35Exact">
    <w:name w:val="Char Style 35 Exact"/>
    <w:uiPriority w:val="99"/>
    <w:rsid w:val="002F3030"/>
    <w:rPr>
      <w:rFonts w:ascii="Arial" w:hAnsi="Arial" w:cs="Arial"/>
      <w:b/>
      <w:bCs/>
      <w:spacing w:val="-11"/>
      <w:sz w:val="18"/>
      <w:szCs w:val="18"/>
      <w:u w:val="none"/>
    </w:rPr>
  </w:style>
  <w:style w:type="character" w:customStyle="1" w:styleId="CharStyle36Exact">
    <w:name w:val="Char Style 36 Exact"/>
    <w:uiPriority w:val="99"/>
    <w:rsid w:val="002F3030"/>
  </w:style>
  <w:style w:type="character" w:customStyle="1" w:styleId="CharStyle47Exact">
    <w:name w:val="Char Style 47 Exact"/>
    <w:link w:val="Style46"/>
    <w:uiPriority w:val="99"/>
    <w:rsid w:val="002F3030"/>
    <w:rPr>
      <w:rFonts w:ascii="Arial" w:hAnsi="Arial" w:cs="Arial"/>
      <w:sz w:val="18"/>
      <w:szCs w:val="18"/>
      <w:shd w:val="clear" w:color="auto" w:fill="FFFFFF"/>
    </w:rPr>
  </w:style>
  <w:style w:type="paragraph" w:customStyle="1" w:styleId="Style12">
    <w:name w:val="Style 12"/>
    <w:basedOn w:val="Normal"/>
    <w:link w:val="CharStyle13"/>
    <w:uiPriority w:val="99"/>
    <w:rsid w:val="002F3030"/>
    <w:pPr>
      <w:widowControl w:val="0"/>
      <w:shd w:val="clear" w:color="auto" w:fill="FFFFFF"/>
      <w:spacing w:before="60" w:line="221" w:lineRule="exact"/>
      <w:ind w:hanging="740"/>
      <w:jc w:val="right"/>
    </w:pPr>
    <w:rPr>
      <w:rFonts w:cs="Arial"/>
      <w:sz w:val="18"/>
      <w:szCs w:val="18"/>
      <w:lang w:val="es-CO" w:eastAsia="es-CO"/>
    </w:rPr>
  </w:style>
  <w:style w:type="paragraph" w:customStyle="1" w:styleId="Style26">
    <w:name w:val="Style 26"/>
    <w:basedOn w:val="Normal"/>
    <w:link w:val="CharStyle33"/>
    <w:uiPriority w:val="99"/>
    <w:rsid w:val="002F3030"/>
    <w:pPr>
      <w:widowControl w:val="0"/>
      <w:shd w:val="clear" w:color="auto" w:fill="FFFFFF"/>
      <w:spacing w:line="240" w:lineRule="atLeast"/>
    </w:pPr>
    <w:rPr>
      <w:rFonts w:cs="Arial"/>
      <w:b/>
      <w:bCs/>
      <w:i/>
      <w:iCs/>
      <w:sz w:val="18"/>
      <w:szCs w:val="18"/>
      <w:lang w:val="es-CO" w:eastAsia="es-CO"/>
    </w:rPr>
  </w:style>
  <w:style w:type="paragraph" w:customStyle="1" w:styleId="Style28">
    <w:name w:val="Style 28"/>
    <w:basedOn w:val="Normal"/>
    <w:link w:val="CharStyle29"/>
    <w:uiPriority w:val="99"/>
    <w:rsid w:val="002F3030"/>
    <w:pPr>
      <w:widowControl w:val="0"/>
      <w:shd w:val="clear" w:color="auto" w:fill="FFFFFF"/>
      <w:spacing w:before="60" w:line="240" w:lineRule="atLeast"/>
    </w:pPr>
    <w:rPr>
      <w:rFonts w:cs="Arial"/>
      <w:b/>
      <w:bCs/>
      <w:i/>
      <w:iCs/>
      <w:sz w:val="18"/>
      <w:szCs w:val="18"/>
      <w:lang w:val="es-CO" w:eastAsia="es-CO"/>
    </w:rPr>
  </w:style>
  <w:style w:type="paragraph" w:customStyle="1" w:styleId="Style46">
    <w:name w:val="Style 46"/>
    <w:basedOn w:val="Normal"/>
    <w:link w:val="CharStyle47Exact"/>
    <w:uiPriority w:val="99"/>
    <w:rsid w:val="002F3030"/>
    <w:pPr>
      <w:widowControl w:val="0"/>
      <w:shd w:val="clear" w:color="auto" w:fill="FFFFFF"/>
      <w:spacing w:line="259" w:lineRule="exact"/>
    </w:pPr>
    <w:rPr>
      <w:rFonts w:cs="Arial"/>
      <w:sz w:val="18"/>
      <w:szCs w:val="18"/>
      <w:lang w:val="es-CO" w:eastAsia="es-CO"/>
    </w:rPr>
  </w:style>
  <w:style w:type="character" w:customStyle="1" w:styleId="textonavy">
    <w:name w:val="texto_navy"/>
    <w:rsid w:val="002F3030"/>
  </w:style>
  <w:style w:type="table" w:styleId="Cuadrculamedia1-nfasis3">
    <w:name w:val="Medium Grid 1 Accent 3"/>
    <w:basedOn w:val="Tablanormal"/>
    <w:uiPriority w:val="67"/>
    <w:rsid w:val="002F3030"/>
    <w:pPr>
      <w:jc w:val="both"/>
    </w:pPr>
    <w:rPr>
      <w:rFonts w:ascii="Arial" w:hAnsi="Arial"/>
      <w:sz w:val="18"/>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Listamedia1-nfasis3">
    <w:name w:val="Medium List 1 Accent 3"/>
    <w:basedOn w:val="Tablanormal"/>
    <w:uiPriority w:val="65"/>
    <w:rsid w:val="002F3030"/>
    <w:pPr>
      <w:jc w:val="both"/>
    </w:pPr>
    <w:rPr>
      <w:color w:val="000000"/>
      <w:lang w:eastAsia="en-US"/>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Listaclara-nfasis3">
    <w:name w:val="Light List Accent 3"/>
    <w:basedOn w:val="Tablanormal"/>
    <w:uiPriority w:val="61"/>
    <w:rsid w:val="002F3030"/>
    <w:rPr>
      <w:rFonts w:ascii="Calibri" w:eastAsia="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Hipervnculovisitado">
    <w:name w:val="FollowedHyperlink"/>
    <w:uiPriority w:val="99"/>
    <w:semiHidden/>
    <w:unhideWhenUsed/>
    <w:rsid w:val="002F3030"/>
    <w:rPr>
      <w:color w:val="800080"/>
      <w:u w:val="single"/>
    </w:rPr>
  </w:style>
  <w:style w:type="table" w:styleId="Sombreadomedio1-nfasis3">
    <w:name w:val="Medium Shading 1 Accent 3"/>
    <w:basedOn w:val="Tablanormal"/>
    <w:uiPriority w:val="63"/>
    <w:rsid w:val="002F3030"/>
    <w:rPr>
      <w:rFonts w:ascii="Calibri" w:eastAsia="Calibri" w:hAnsi="Calibri"/>
      <w:sz w:val="22"/>
      <w:szCs w:val="22"/>
      <w:lang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styleId="TDC4">
    <w:name w:val="toc 4"/>
    <w:basedOn w:val="Normal"/>
    <w:next w:val="Normal"/>
    <w:autoRedefine/>
    <w:uiPriority w:val="39"/>
    <w:unhideWhenUsed/>
    <w:rsid w:val="00C07636"/>
    <w:pPr>
      <w:ind w:left="660"/>
      <w:jc w:val="left"/>
    </w:pPr>
    <w:rPr>
      <w:sz w:val="18"/>
      <w:szCs w:val="18"/>
    </w:rPr>
  </w:style>
  <w:style w:type="numbering" w:customStyle="1" w:styleId="Sinlista1">
    <w:name w:val="Sin lista1"/>
    <w:next w:val="Sinlista"/>
    <w:uiPriority w:val="99"/>
    <w:semiHidden/>
    <w:unhideWhenUsed/>
    <w:rsid w:val="002F3030"/>
  </w:style>
  <w:style w:type="character" w:styleId="Textoennegrita">
    <w:name w:val="Strong"/>
    <w:qFormat/>
    <w:rsid w:val="002F3030"/>
    <w:rPr>
      <w:b/>
      <w:bCs/>
    </w:rPr>
  </w:style>
  <w:style w:type="character" w:styleId="nfasis">
    <w:name w:val="Emphasis"/>
    <w:qFormat/>
    <w:rsid w:val="002F3030"/>
    <w:rPr>
      <w:rFonts w:ascii="Arial" w:hAnsi="Arial"/>
      <w:b w:val="0"/>
      <w:i w:val="0"/>
      <w:iCs/>
      <w:sz w:val="18"/>
    </w:rPr>
  </w:style>
  <w:style w:type="paragraph" w:styleId="TDC5">
    <w:name w:val="toc 5"/>
    <w:basedOn w:val="Normal"/>
    <w:next w:val="Normal"/>
    <w:autoRedefine/>
    <w:uiPriority w:val="39"/>
    <w:unhideWhenUsed/>
    <w:rsid w:val="002F3030"/>
    <w:pPr>
      <w:ind w:left="880"/>
      <w:jc w:val="left"/>
    </w:pPr>
    <w:rPr>
      <w:rFonts w:asciiTheme="minorHAnsi" w:hAnsiTheme="minorHAnsi"/>
      <w:sz w:val="18"/>
      <w:szCs w:val="18"/>
    </w:rPr>
  </w:style>
  <w:style w:type="paragraph" w:styleId="TDC6">
    <w:name w:val="toc 6"/>
    <w:basedOn w:val="Normal"/>
    <w:next w:val="Normal"/>
    <w:autoRedefine/>
    <w:uiPriority w:val="39"/>
    <w:unhideWhenUsed/>
    <w:rsid w:val="002F3030"/>
    <w:pPr>
      <w:ind w:left="1100"/>
      <w:jc w:val="left"/>
    </w:pPr>
    <w:rPr>
      <w:rFonts w:asciiTheme="minorHAnsi" w:hAnsiTheme="minorHAnsi"/>
      <w:sz w:val="18"/>
      <w:szCs w:val="18"/>
    </w:rPr>
  </w:style>
  <w:style w:type="paragraph" w:styleId="TDC7">
    <w:name w:val="toc 7"/>
    <w:basedOn w:val="Normal"/>
    <w:next w:val="Normal"/>
    <w:autoRedefine/>
    <w:uiPriority w:val="39"/>
    <w:unhideWhenUsed/>
    <w:rsid w:val="002F3030"/>
    <w:pPr>
      <w:ind w:left="1320"/>
      <w:jc w:val="left"/>
    </w:pPr>
    <w:rPr>
      <w:rFonts w:asciiTheme="minorHAnsi" w:hAnsiTheme="minorHAnsi"/>
      <w:sz w:val="18"/>
      <w:szCs w:val="18"/>
    </w:rPr>
  </w:style>
  <w:style w:type="paragraph" w:styleId="TDC8">
    <w:name w:val="toc 8"/>
    <w:basedOn w:val="Normal"/>
    <w:next w:val="Normal"/>
    <w:autoRedefine/>
    <w:uiPriority w:val="39"/>
    <w:unhideWhenUsed/>
    <w:rsid w:val="002F3030"/>
    <w:pPr>
      <w:ind w:left="1540"/>
      <w:jc w:val="left"/>
    </w:pPr>
    <w:rPr>
      <w:rFonts w:asciiTheme="minorHAnsi" w:hAnsiTheme="minorHAnsi"/>
      <w:sz w:val="18"/>
      <w:szCs w:val="18"/>
    </w:rPr>
  </w:style>
  <w:style w:type="paragraph" w:styleId="TDC9">
    <w:name w:val="toc 9"/>
    <w:basedOn w:val="Normal"/>
    <w:next w:val="Normal"/>
    <w:autoRedefine/>
    <w:uiPriority w:val="39"/>
    <w:unhideWhenUsed/>
    <w:rsid w:val="002F3030"/>
    <w:pPr>
      <w:ind w:left="1760"/>
      <w:jc w:val="left"/>
    </w:pPr>
    <w:rPr>
      <w:rFonts w:asciiTheme="minorHAnsi" w:hAnsiTheme="minorHAnsi"/>
      <w:sz w:val="18"/>
      <w:szCs w:val="18"/>
    </w:rPr>
  </w:style>
  <w:style w:type="table" w:styleId="Cuadrculamedia3-nfasis3">
    <w:name w:val="Medium Grid 3 Accent 3"/>
    <w:basedOn w:val="Tablanormal"/>
    <w:uiPriority w:val="69"/>
    <w:rsid w:val="002F3030"/>
    <w:rPr>
      <w:rFonts w:ascii="Calibri" w:eastAsia="Calibri" w:hAnsi="Calibri"/>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Cuadrculamedia2-nfasis3">
    <w:name w:val="Medium Grid 2 Accent 3"/>
    <w:basedOn w:val="Tablanormal"/>
    <w:uiPriority w:val="68"/>
    <w:rsid w:val="002F3030"/>
    <w:rPr>
      <w:rFonts w:ascii="Cambria" w:hAnsi="Cambria"/>
      <w:color w:val="000000"/>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paragraph" w:styleId="Tabladeilustraciones">
    <w:name w:val="table of figures"/>
    <w:basedOn w:val="Normal"/>
    <w:next w:val="Normal"/>
    <w:uiPriority w:val="99"/>
    <w:unhideWhenUsed/>
    <w:rsid w:val="002F3030"/>
    <w:rPr>
      <w:spacing w:val="-5"/>
      <w:sz w:val="20"/>
      <w:szCs w:val="20"/>
      <w:lang w:val="es-CO" w:eastAsia="en-US"/>
    </w:rPr>
  </w:style>
  <w:style w:type="table" w:styleId="Sombreadoclaro-nfasis5">
    <w:name w:val="Light Shading Accent 5"/>
    <w:basedOn w:val="Tablanormal"/>
    <w:uiPriority w:val="60"/>
    <w:rsid w:val="002F3030"/>
    <w:rPr>
      <w:rFonts w:ascii="Calibri" w:eastAsia="Calibri" w:hAnsi="Calibri"/>
      <w:color w:val="31849B"/>
      <w:sz w:val="22"/>
      <w:szCs w:val="22"/>
      <w:lang w:eastAsia="en-U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5">
    <w:name w:val="Dark List Accent 5"/>
    <w:basedOn w:val="Tablanormal"/>
    <w:uiPriority w:val="70"/>
    <w:rsid w:val="009C165D"/>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paragraph" w:customStyle="1" w:styleId="Textoindependiente22">
    <w:name w:val="Texto independiente 22"/>
    <w:basedOn w:val="Normal"/>
    <w:rsid w:val="00250769"/>
    <w:pPr>
      <w:suppressAutoHyphens/>
      <w:overflowPunct w:val="0"/>
      <w:autoSpaceDE w:val="0"/>
      <w:textAlignment w:val="baseline"/>
    </w:pPr>
    <w:rPr>
      <w:b/>
      <w:szCs w:val="20"/>
      <w:lang w:val="es-ES_tradnl" w:eastAsia="ar-SA"/>
    </w:rPr>
  </w:style>
  <w:style w:type="paragraph" w:styleId="Sangranormal">
    <w:name w:val="Normal Indent"/>
    <w:basedOn w:val="Normal"/>
    <w:link w:val="SangranormalCar"/>
    <w:rsid w:val="007B2486"/>
    <w:pPr>
      <w:keepLines/>
      <w:spacing w:before="240" w:after="240"/>
      <w:ind w:left="1080"/>
    </w:pPr>
    <w:rPr>
      <w:sz w:val="23"/>
      <w:lang w:val="es-CO" w:eastAsia="en-US"/>
    </w:rPr>
  </w:style>
  <w:style w:type="character" w:customStyle="1" w:styleId="SangranormalCar">
    <w:name w:val="Sangría normal Car"/>
    <w:basedOn w:val="Fuentedeprrafopredeter"/>
    <w:link w:val="Sangranormal"/>
    <w:rsid w:val="007B2486"/>
    <w:rPr>
      <w:rFonts w:ascii="Arial" w:hAnsi="Arial"/>
      <w:sz w:val="23"/>
      <w:szCs w:val="24"/>
      <w:lang w:eastAsia="en-US"/>
    </w:rPr>
  </w:style>
  <w:style w:type="character" w:customStyle="1" w:styleId="T1Car">
    <w:name w:val="T1 Car"/>
    <w:basedOn w:val="Ttulo1Car"/>
    <w:link w:val="T1"/>
    <w:locked/>
    <w:rsid w:val="003C1C55"/>
    <w:rPr>
      <w:rFonts w:ascii="Arial" w:hAnsi="Arial" w:cs="Arial"/>
      <w:b/>
      <w:bCs w:val="0"/>
      <w:caps/>
      <w:sz w:val="22"/>
      <w:szCs w:val="32"/>
      <w:lang w:val="en-US" w:eastAsia="es-ES"/>
    </w:rPr>
  </w:style>
  <w:style w:type="paragraph" w:customStyle="1" w:styleId="T1">
    <w:name w:val="T1"/>
    <w:basedOn w:val="Ttulo1"/>
    <w:link w:val="T1Car"/>
    <w:qFormat/>
    <w:rsid w:val="003C1C55"/>
    <w:pPr>
      <w:tabs>
        <w:tab w:val="clear" w:pos="360"/>
        <w:tab w:val="num" w:pos="502"/>
      </w:tabs>
      <w:spacing w:before="240" w:after="60"/>
      <w:ind w:left="142"/>
      <w:jc w:val="left"/>
    </w:pPr>
    <w:rPr>
      <w:rFonts w:ascii="Arial" w:hAnsi="Arial" w:cs="Arial"/>
      <w:bCs w:val="0"/>
      <w:szCs w:val="32"/>
      <w:lang w:val="en-US"/>
    </w:rPr>
  </w:style>
  <w:style w:type="paragraph" w:styleId="Mapadeldocumento">
    <w:name w:val="Document Map"/>
    <w:basedOn w:val="Normal"/>
    <w:link w:val="MapadeldocumentoCar"/>
    <w:uiPriority w:val="99"/>
    <w:semiHidden/>
    <w:unhideWhenUsed/>
    <w:rsid w:val="003F7B12"/>
    <w:rPr>
      <w:rFonts w:ascii="Helvetica" w:hAnsi="Helvetica"/>
    </w:rPr>
  </w:style>
  <w:style w:type="character" w:customStyle="1" w:styleId="MapadeldocumentoCar">
    <w:name w:val="Mapa del documento Car"/>
    <w:basedOn w:val="Fuentedeprrafopredeter"/>
    <w:link w:val="Mapadeldocumento"/>
    <w:uiPriority w:val="99"/>
    <w:semiHidden/>
    <w:rsid w:val="003F7B12"/>
    <w:rPr>
      <w:rFonts w:ascii="Helvetica" w:hAnsi="Helvetica"/>
      <w:sz w:val="24"/>
      <w:szCs w:val="24"/>
      <w:lang w:val="es-ES" w:eastAsia="es-ES"/>
    </w:rPr>
  </w:style>
  <w:style w:type="paragraph" w:styleId="Bibliografa">
    <w:name w:val="Bibliography"/>
    <w:basedOn w:val="Normal"/>
    <w:next w:val="Normal"/>
    <w:uiPriority w:val="37"/>
    <w:unhideWhenUsed/>
    <w:rsid w:val="00352D9B"/>
  </w:style>
  <w:style w:type="paragraph" w:customStyle="1" w:styleId="pa12">
    <w:name w:val="pa12"/>
    <w:basedOn w:val="Normal"/>
    <w:rsid w:val="006212FE"/>
    <w:pPr>
      <w:spacing w:before="100" w:beforeAutospacing="1" w:after="100" w:afterAutospacing="1"/>
      <w:jc w:val="left"/>
    </w:pPr>
    <w:rPr>
      <w:rFonts w:ascii="Times New Roman" w:hAnsi="Times New Roman"/>
      <w:sz w:val="24"/>
      <w:lang w:val="es-CO" w:eastAsia="es-CO"/>
    </w:rPr>
  </w:style>
  <w:style w:type="paragraph" w:customStyle="1" w:styleId="pa11">
    <w:name w:val="pa11"/>
    <w:basedOn w:val="Normal"/>
    <w:rsid w:val="006212FE"/>
    <w:pPr>
      <w:spacing w:before="100" w:beforeAutospacing="1" w:after="100" w:afterAutospacing="1"/>
      <w:jc w:val="left"/>
    </w:pPr>
    <w:rPr>
      <w:rFonts w:ascii="Times New Roman" w:hAnsi="Times New Roman"/>
      <w:sz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42963">
      <w:bodyDiv w:val="1"/>
      <w:marLeft w:val="0"/>
      <w:marRight w:val="0"/>
      <w:marTop w:val="0"/>
      <w:marBottom w:val="0"/>
      <w:divBdr>
        <w:top w:val="none" w:sz="0" w:space="0" w:color="auto"/>
        <w:left w:val="none" w:sz="0" w:space="0" w:color="auto"/>
        <w:bottom w:val="none" w:sz="0" w:space="0" w:color="auto"/>
        <w:right w:val="none" w:sz="0" w:space="0" w:color="auto"/>
      </w:divBdr>
    </w:div>
    <w:div w:id="59907010">
      <w:bodyDiv w:val="1"/>
      <w:marLeft w:val="0"/>
      <w:marRight w:val="0"/>
      <w:marTop w:val="0"/>
      <w:marBottom w:val="0"/>
      <w:divBdr>
        <w:top w:val="none" w:sz="0" w:space="0" w:color="auto"/>
        <w:left w:val="none" w:sz="0" w:space="0" w:color="auto"/>
        <w:bottom w:val="none" w:sz="0" w:space="0" w:color="auto"/>
        <w:right w:val="none" w:sz="0" w:space="0" w:color="auto"/>
      </w:divBdr>
    </w:div>
    <w:div w:id="264270867">
      <w:bodyDiv w:val="1"/>
      <w:marLeft w:val="0"/>
      <w:marRight w:val="0"/>
      <w:marTop w:val="0"/>
      <w:marBottom w:val="0"/>
      <w:divBdr>
        <w:top w:val="none" w:sz="0" w:space="0" w:color="auto"/>
        <w:left w:val="none" w:sz="0" w:space="0" w:color="auto"/>
        <w:bottom w:val="none" w:sz="0" w:space="0" w:color="auto"/>
        <w:right w:val="none" w:sz="0" w:space="0" w:color="auto"/>
      </w:divBdr>
    </w:div>
    <w:div w:id="276722470">
      <w:bodyDiv w:val="1"/>
      <w:marLeft w:val="0"/>
      <w:marRight w:val="0"/>
      <w:marTop w:val="0"/>
      <w:marBottom w:val="0"/>
      <w:divBdr>
        <w:top w:val="none" w:sz="0" w:space="0" w:color="auto"/>
        <w:left w:val="none" w:sz="0" w:space="0" w:color="auto"/>
        <w:bottom w:val="none" w:sz="0" w:space="0" w:color="auto"/>
        <w:right w:val="none" w:sz="0" w:space="0" w:color="auto"/>
      </w:divBdr>
      <w:divsChild>
        <w:div w:id="591475569">
          <w:marLeft w:val="547"/>
          <w:marRight w:val="0"/>
          <w:marTop w:val="0"/>
          <w:marBottom w:val="0"/>
          <w:divBdr>
            <w:top w:val="none" w:sz="0" w:space="0" w:color="auto"/>
            <w:left w:val="none" w:sz="0" w:space="0" w:color="auto"/>
            <w:bottom w:val="none" w:sz="0" w:space="0" w:color="auto"/>
            <w:right w:val="none" w:sz="0" w:space="0" w:color="auto"/>
          </w:divBdr>
        </w:div>
      </w:divsChild>
    </w:div>
    <w:div w:id="340551169">
      <w:bodyDiv w:val="1"/>
      <w:marLeft w:val="0"/>
      <w:marRight w:val="0"/>
      <w:marTop w:val="0"/>
      <w:marBottom w:val="0"/>
      <w:divBdr>
        <w:top w:val="none" w:sz="0" w:space="0" w:color="auto"/>
        <w:left w:val="none" w:sz="0" w:space="0" w:color="auto"/>
        <w:bottom w:val="none" w:sz="0" w:space="0" w:color="auto"/>
        <w:right w:val="none" w:sz="0" w:space="0" w:color="auto"/>
      </w:divBdr>
    </w:div>
    <w:div w:id="355234768">
      <w:bodyDiv w:val="1"/>
      <w:marLeft w:val="0"/>
      <w:marRight w:val="0"/>
      <w:marTop w:val="0"/>
      <w:marBottom w:val="0"/>
      <w:divBdr>
        <w:top w:val="none" w:sz="0" w:space="0" w:color="auto"/>
        <w:left w:val="none" w:sz="0" w:space="0" w:color="auto"/>
        <w:bottom w:val="none" w:sz="0" w:space="0" w:color="auto"/>
        <w:right w:val="none" w:sz="0" w:space="0" w:color="auto"/>
      </w:divBdr>
    </w:div>
    <w:div w:id="356270208">
      <w:bodyDiv w:val="1"/>
      <w:marLeft w:val="0"/>
      <w:marRight w:val="0"/>
      <w:marTop w:val="0"/>
      <w:marBottom w:val="0"/>
      <w:divBdr>
        <w:top w:val="none" w:sz="0" w:space="0" w:color="auto"/>
        <w:left w:val="none" w:sz="0" w:space="0" w:color="auto"/>
        <w:bottom w:val="none" w:sz="0" w:space="0" w:color="auto"/>
        <w:right w:val="none" w:sz="0" w:space="0" w:color="auto"/>
      </w:divBdr>
    </w:div>
    <w:div w:id="496380362">
      <w:bodyDiv w:val="1"/>
      <w:marLeft w:val="0"/>
      <w:marRight w:val="0"/>
      <w:marTop w:val="0"/>
      <w:marBottom w:val="0"/>
      <w:divBdr>
        <w:top w:val="none" w:sz="0" w:space="0" w:color="auto"/>
        <w:left w:val="none" w:sz="0" w:space="0" w:color="auto"/>
        <w:bottom w:val="none" w:sz="0" w:space="0" w:color="auto"/>
        <w:right w:val="none" w:sz="0" w:space="0" w:color="auto"/>
      </w:divBdr>
    </w:div>
    <w:div w:id="595285254">
      <w:bodyDiv w:val="1"/>
      <w:marLeft w:val="0"/>
      <w:marRight w:val="0"/>
      <w:marTop w:val="0"/>
      <w:marBottom w:val="0"/>
      <w:divBdr>
        <w:top w:val="none" w:sz="0" w:space="0" w:color="auto"/>
        <w:left w:val="none" w:sz="0" w:space="0" w:color="auto"/>
        <w:bottom w:val="none" w:sz="0" w:space="0" w:color="auto"/>
        <w:right w:val="none" w:sz="0" w:space="0" w:color="auto"/>
      </w:divBdr>
      <w:divsChild>
        <w:div w:id="1671758128">
          <w:marLeft w:val="547"/>
          <w:marRight w:val="0"/>
          <w:marTop w:val="0"/>
          <w:marBottom w:val="0"/>
          <w:divBdr>
            <w:top w:val="none" w:sz="0" w:space="0" w:color="auto"/>
            <w:left w:val="none" w:sz="0" w:space="0" w:color="auto"/>
            <w:bottom w:val="none" w:sz="0" w:space="0" w:color="auto"/>
            <w:right w:val="none" w:sz="0" w:space="0" w:color="auto"/>
          </w:divBdr>
        </w:div>
      </w:divsChild>
    </w:div>
    <w:div w:id="603224233">
      <w:bodyDiv w:val="1"/>
      <w:marLeft w:val="0"/>
      <w:marRight w:val="0"/>
      <w:marTop w:val="0"/>
      <w:marBottom w:val="0"/>
      <w:divBdr>
        <w:top w:val="none" w:sz="0" w:space="0" w:color="auto"/>
        <w:left w:val="none" w:sz="0" w:space="0" w:color="auto"/>
        <w:bottom w:val="none" w:sz="0" w:space="0" w:color="auto"/>
        <w:right w:val="none" w:sz="0" w:space="0" w:color="auto"/>
      </w:divBdr>
    </w:div>
    <w:div w:id="608006620">
      <w:bodyDiv w:val="1"/>
      <w:marLeft w:val="0"/>
      <w:marRight w:val="0"/>
      <w:marTop w:val="0"/>
      <w:marBottom w:val="0"/>
      <w:divBdr>
        <w:top w:val="none" w:sz="0" w:space="0" w:color="auto"/>
        <w:left w:val="none" w:sz="0" w:space="0" w:color="auto"/>
        <w:bottom w:val="none" w:sz="0" w:space="0" w:color="auto"/>
        <w:right w:val="none" w:sz="0" w:space="0" w:color="auto"/>
      </w:divBdr>
      <w:divsChild>
        <w:div w:id="1294479548">
          <w:marLeft w:val="446"/>
          <w:marRight w:val="0"/>
          <w:marTop w:val="0"/>
          <w:marBottom w:val="0"/>
          <w:divBdr>
            <w:top w:val="none" w:sz="0" w:space="0" w:color="auto"/>
            <w:left w:val="none" w:sz="0" w:space="0" w:color="auto"/>
            <w:bottom w:val="none" w:sz="0" w:space="0" w:color="auto"/>
            <w:right w:val="none" w:sz="0" w:space="0" w:color="auto"/>
          </w:divBdr>
        </w:div>
        <w:div w:id="781339400">
          <w:marLeft w:val="446"/>
          <w:marRight w:val="0"/>
          <w:marTop w:val="0"/>
          <w:marBottom w:val="0"/>
          <w:divBdr>
            <w:top w:val="none" w:sz="0" w:space="0" w:color="auto"/>
            <w:left w:val="none" w:sz="0" w:space="0" w:color="auto"/>
            <w:bottom w:val="none" w:sz="0" w:space="0" w:color="auto"/>
            <w:right w:val="none" w:sz="0" w:space="0" w:color="auto"/>
          </w:divBdr>
        </w:div>
      </w:divsChild>
    </w:div>
    <w:div w:id="628240312">
      <w:bodyDiv w:val="1"/>
      <w:marLeft w:val="0"/>
      <w:marRight w:val="0"/>
      <w:marTop w:val="0"/>
      <w:marBottom w:val="0"/>
      <w:divBdr>
        <w:top w:val="none" w:sz="0" w:space="0" w:color="auto"/>
        <w:left w:val="none" w:sz="0" w:space="0" w:color="auto"/>
        <w:bottom w:val="none" w:sz="0" w:space="0" w:color="auto"/>
        <w:right w:val="none" w:sz="0" w:space="0" w:color="auto"/>
      </w:divBdr>
    </w:div>
    <w:div w:id="708142905">
      <w:bodyDiv w:val="1"/>
      <w:marLeft w:val="0"/>
      <w:marRight w:val="0"/>
      <w:marTop w:val="0"/>
      <w:marBottom w:val="0"/>
      <w:divBdr>
        <w:top w:val="none" w:sz="0" w:space="0" w:color="auto"/>
        <w:left w:val="none" w:sz="0" w:space="0" w:color="auto"/>
        <w:bottom w:val="none" w:sz="0" w:space="0" w:color="auto"/>
        <w:right w:val="none" w:sz="0" w:space="0" w:color="auto"/>
      </w:divBdr>
    </w:div>
    <w:div w:id="823395947">
      <w:bodyDiv w:val="1"/>
      <w:marLeft w:val="0"/>
      <w:marRight w:val="0"/>
      <w:marTop w:val="0"/>
      <w:marBottom w:val="0"/>
      <w:divBdr>
        <w:top w:val="none" w:sz="0" w:space="0" w:color="auto"/>
        <w:left w:val="none" w:sz="0" w:space="0" w:color="auto"/>
        <w:bottom w:val="none" w:sz="0" w:space="0" w:color="auto"/>
        <w:right w:val="none" w:sz="0" w:space="0" w:color="auto"/>
      </w:divBdr>
    </w:div>
    <w:div w:id="861626540">
      <w:bodyDiv w:val="1"/>
      <w:marLeft w:val="0"/>
      <w:marRight w:val="0"/>
      <w:marTop w:val="0"/>
      <w:marBottom w:val="0"/>
      <w:divBdr>
        <w:top w:val="none" w:sz="0" w:space="0" w:color="auto"/>
        <w:left w:val="none" w:sz="0" w:space="0" w:color="auto"/>
        <w:bottom w:val="none" w:sz="0" w:space="0" w:color="auto"/>
        <w:right w:val="none" w:sz="0" w:space="0" w:color="auto"/>
      </w:divBdr>
    </w:div>
    <w:div w:id="955257066">
      <w:bodyDiv w:val="1"/>
      <w:marLeft w:val="0"/>
      <w:marRight w:val="0"/>
      <w:marTop w:val="0"/>
      <w:marBottom w:val="0"/>
      <w:divBdr>
        <w:top w:val="none" w:sz="0" w:space="0" w:color="auto"/>
        <w:left w:val="none" w:sz="0" w:space="0" w:color="auto"/>
        <w:bottom w:val="none" w:sz="0" w:space="0" w:color="auto"/>
        <w:right w:val="none" w:sz="0" w:space="0" w:color="auto"/>
      </w:divBdr>
    </w:div>
    <w:div w:id="1155610044">
      <w:bodyDiv w:val="1"/>
      <w:marLeft w:val="0"/>
      <w:marRight w:val="0"/>
      <w:marTop w:val="0"/>
      <w:marBottom w:val="0"/>
      <w:divBdr>
        <w:top w:val="none" w:sz="0" w:space="0" w:color="auto"/>
        <w:left w:val="none" w:sz="0" w:space="0" w:color="auto"/>
        <w:bottom w:val="none" w:sz="0" w:space="0" w:color="auto"/>
        <w:right w:val="none" w:sz="0" w:space="0" w:color="auto"/>
      </w:divBdr>
    </w:div>
    <w:div w:id="1179153967">
      <w:bodyDiv w:val="1"/>
      <w:marLeft w:val="0"/>
      <w:marRight w:val="0"/>
      <w:marTop w:val="0"/>
      <w:marBottom w:val="0"/>
      <w:divBdr>
        <w:top w:val="none" w:sz="0" w:space="0" w:color="auto"/>
        <w:left w:val="none" w:sz="0" w:space="0" w:color="auto"/>
        <w:bottom w:val="none" w:sz="0" w:space="0" w:color="auto"/>
        <w:right w:val="none" w:sz="0" w:space="0" w:color="auto"/>
      </w:divBdr>
    </w:div>
    <w:div w:id="1227182904">
      <w:bodyDiv w:val="1"/>
      <w:marLeft w:val="0"/>
      <w:marRight w:val="0"/>
      <w:marTop w:val="0"/>
      <w:marBottom w:val="0"/>
      <w:divBdr>
        <w:top w:val="none" w:sz="0" w:space="0" w:color="auto"/>
        <w:left w:val="none" w:sz="0" w:space="0" w:color="auto"/>
        <w:bottom w:val="none" w:sz="0" w:space="0" w:color="auto"/>
        <w:right w:val="none" w:sz="0" w:space="0" w:color="auto"/>
      </w:divBdr>
      <w:divsChild>
        <w:div w:id="1529103796">
          <w:marLeft w:val="547"/>
          <w:marRight w:val="0"/>
          <w:marTop w:val="0"/>
          <w:marBottom w:val="0"/>
          <w:divBdr>
            <w:top w:val="none" w:sz="0" w:space="0" w:color="auto"/>
            <w:left w:val="none" w:sz="0" w:space="0" w:color="auto"/>
            <w:bottom w:val="none" w:sz="0" w:space="0" w:color="auto"/>
            <w:right w:val="none" w:sz="0" w:space="0" w:color="auto"/>
          </w:divBdr>
        </w:div>
        <w:div w:id="502166501">
          <w:marLeft w:val="1166"/>
          <w:marRight w:val="0"/>
          <w:marTop w:val="0"/>
          <w:marBottom w:val="0"/>
          <w:divBdr>
            <w:top w:val="none" w:sz="0" w:space="0" w:color="auto"/>
            <w:left w:val="none" w:sz="0" w:space="0" w:color="auto"/>
            <w:bottom w:val="none" w:sz="0" w:space="0" w:color="auto"/>
            <w:right w:val="none" w:sz="0" w:space="0" w:color="auto"/>
          </w:divBdr>
        </w:div>
        <w:div w:id="116067372">
          <w:marLeft w:val="1166"/>
          <w:marRight w:val="0"/>
          <w:marTop w:val="0"/>
          <w:marBottom w:val="0"/>
          <w:divBdr>
            <w:top w:val="none" w:sz="0" w:space="0" w:color="auto"/>
            <w:left w:val="none" w:sz="0" w:space="0" w:color="auto"/>
            <w:bottom w:val="none" w:sz="0" w:space="0" w:color="auto"/>
            <w:right w:val="none" w:sz="0" w:space="0" w:color="auto"/>
          </w:divBdr>
        </w:div>
        <w:div w:id="368258550">
          <w:marLeft w:val="1166"/>
          <w:marRight w:val="0"/>
          <w:marTop w:val="0"/>
          <w:marBottom w:val="0"/>
          <w:divBdr>
            <w:top w:val="none" w:sz="0" w:space="0" w:color="auto"/>
            <w:left w:val="none" w:sz="0" w:space="0" w:color="auto"/>
            <w:bottom w:val="none" w:sz="0" w:space="0" w:color="auto"/>
            <w:right w:val="none" w:sz="0" w:space="0" w:color="auto"/>
          </w:divBdr>
        </w:div>
        <w:div w:id="1936282550">
          <w:marLeft w:val="1166"/>
          <w:marRight w:val="0"/>
          <w:marTop w:val="0"/>
          <w:marBottom w:val="0"/>
          <w:divBdr>
            <w:top w:val="none" w:sz="0" w:space="0" w:color="auto"/>
            <w:left w:val="none" w:sz="0" w:space="0" w:color="auto"/>
            <w:bottom w:val="none" w:sz="0" w:space="0" w:color="auto"/>
            <w:right w:val="none" w:sz="0" w:space="0" w:color="auto"/>
          </w:divBdr>
        </w:div>
        <w:div w:id="391008384">
          <w:marLeft w:val="1166"/>
          <w:marRight w:val="0"/>
          <w:marTop w:val="0"/>
          <w:marBottom w:val="0"/>
          <w:divBdr>
            <w:top w:val="none" w:sz="0" w:space="0" w:color="auto"/>
            <w:left w:val="none" w:sz="0" w:space="0" w:color="auto"/>
            <w:bottom w:val="none" w:sz="0" w:space="0" w:color="auto"/>
            <w:right w:val="none" w:sz="0" w:space="0" w:color="auto"/>
          </w:divBdr>
        </w:div>
        <w:div w:id="301039386">
          <w:marLeft w:val="1166"/>
          <w:marRight w:val="0"/>
          <w:marTop w:val="0"/>
          <w:marBottom w:val="0"/>
          <w:divBdr>
            <w:top w:val="none" w:sz="0" w:space="0" w:color="auto"/>
            <w:left w:val="none" w:sz="0" w:space="0" w:color="auto"/>
            <w:bottom w:val="none" w:sz="0" w:space="0" w:color="auto"/>
            <w:right w:val="none" w:sz="0" w:space="0" w:color="auto"/>
          </w:divBdr>
        </w:div>
        <w:div w:id="1546285104">
          <w:marLeft w:val="547"/>
          <w:marRight w:val="0"/>
          <w:marTop w:val="0"/>
          <w:marBottom w:val="0"/>
          <w:divBdr>
            <w:top w:val="none" w:sz="0" w:space="0" w:color="auto"/>
            <w:left w:val="none" w:sz="0" w:space="0" w:color="auto"/>
            <w:bottom w:val="none" w:sz="0" w:space="0" w:color="auto"/>
            <w:right w:val="none" w:sz="0" w:space="0" w:color="auto"/>
          </w:divBdr>
        </w:div>
        <w:div w:id="1344820546">
          <w:marLeft w:val="1166"/>
          <w:marRight w:val="0"/>
          <w:marTop w:val="0"/>
          <w:marBottom w:val="0"/>
          <w:divBdr>
            <w:top w:val="none" w:sz="0" w:space="0" w:color="auto"/>
            <w:left w:val="none" w:sz="0" w:space="0" w:color="auto"/>
            <w:bottom w:val="none" w:sz="0" w:space="0" w:color="auto"/>
            <w:right w:val="none" w:sz="0" w:space="0" w:color="auto"/>
          </w:divBdr>
        </w:div>
        <w:div w:id="1348674069">
          <w:marLeft w:val="1166"/>
          <w:marRight w:val="0"/>
          <w:marTop w:val="0"/>
          <w:marBottom w:val="0"/>
          <w:divBdr>
            <w:top w:val="none" w:sz="0" w:space="0" w:color="auto"/>
            <w:left w:val="none" w:sz="0" w:space="0" w:color="auto"/>
            <w:bottom w:val="none" w:sz="0" w:space="0" w:color="auto"/>
            <w:right w:val="none" w:sz="0" w:space="0" w:color="auto"/>
          </w:divBdr>
        </w:div>
        <w:div w:id="1021589901">
          <w:marLeft w:val="1166"/>
          <w:marRight w:val="0"/>
          <w:marTop w:val="0"/>
          <w:marBottom w:val="0"/>
          <w:divBdr>
            <w:top w:val="none" w:sz="0" w:space="0" w:color="auto"/>
            <w:left w:val="none" w:sz="0" w:space="0" w:color="auto"/>
            <w:bottom w:val="none" w:sz="0" w:space="0" w:color="auto"/>
            <w:right w:val="none" w:sz="0" w:space="0" w:color="auto"/>
          </w:divBdr>
        </w:div>
        <w:div w:id="109470640">
          <w:marLeft w:val="1166"/>
          <w:marRight w:val="0"/>
          <w:marTop w:val="0"/>
          <w:marBottom w:val="0"/>
          <w:divBdr>
            <w:top w:val="none" w:sz="0" w:space="0" w:color="auto"/>
            <w:left w:val="none" w:sz="0" w:space="0" w:color="auto"/>
            <w:bottom w:val="none" w:sz="0" w:space="0" w:color="auto"/>
            <w:right w:val="none" w:sz="0" w:space="0" w:color="auto"/>
          </w:divBdr>
        </w:div>
        <w:div w:id="1322654507">
          <w:marLeft w:val="1166"/>
          <w:marRight w:val="0"/>
          <w:marTop w:val="0"/>
          <w:marBottom w:val="0"/>
          <w:divBdr>
            <w:top w:val="none" w:sz="0" w:space="0" w:color="auto"/>
            <w:left w:val="none" w:sz="0" w:space="0" w:color="auto"/>
            <w:bottom w:val="none" w:sz="0" w:space="0" w:color="auto"/>
            <w:right w:val="none" w:sz="0" w:space="0" w:color="auto"/>
          </w:divBdr>
        </w:div>
        <w:div w:id="637683332">
          <w:marLeft w:val="547"/>
          <w:marRight w:val="0"/>
          <w:marTop w:val="0"/>
          <w:marBottom w:val="0"/>
          <w:divBdr>
            <w:top w:val="none" w:sz="0" w:space="0" w:color="auto"/>
            <w:left w:val="none" w:sz="0" w:space="0" w:color="auto"/>
            <w:bottom w:val="none" w:sz="0" w:space="0" w:color="auto"/>
            <w:right w:val="none" w:sz="0" w:space="0" w:color="auto"/>
          </w:divBdr>
        </w:div>
        <w:div w:id="1598098761">
          <w:marLeft w:val="1166"/>
          <w:marRight w:val="0"/>
          <w:marTop w:val="0"/>
          <w:marBottom w:val="0"/>
          <w:divBdr>
            <w:top w:val="none" w:sz="0" w:space="0" w:color="auto"/>
            <w:left w:val="none" w:sz="0" w:space="0" w:color="auto"/>
            <w:bottom w:val="none" w:sz="0" w:space="0" w:color="auto"/>
            <w:right w:val="none" w:sz="0" w:space="0" w:color="auto"/>
          </w:divBdr>
        </w:div>
        <w:div w:id="2033139898">
          <w:marLeft w:val="1166"/>
          <w:marRight w:val="0"/>
          <w:marTop w:val="0"/>
          <w:marBottom w:val="0"/>
          <w:divBdr>
            <w:top w:val="none" w:sz="0" w:space="0" w:color="auto"/>
            <w:left w:val="none" w:sz="0" w:space="0" w:color="auto"/>
            <w:bottom w:val="none" w:sz="0" w:space="0" w:color="auto"/>
            <w:right w:val="none" w:sz="0" w:space="0" w:color="auto"/>
          </w:divBdr>
        </w:div>
        <w:div w:id="1908299937">
          <w:marLeft w:val="1166"/>
          <w:marRight w:val="0"/>
          <w:marTop w:val="0"/>
          <w:marBottom w:val="0"/>
          <w:divBdr>
            <w:top w:val="none" w:sz="0" w:space="0" w:color="auto"/>
            <w:left w:val="none" w:sz="0" w:space="0" w:color="auto"/>
            <w:bottom w:val="none" w:sz="0" w:space="0" w:color="auto"/>
            <w:right w:val="none" w:sz="0" w:space="0" w:color="auto"/>
          </w:divBdr>
        </w:div>
      </w:divsChild>
    </w:div>
    <w:div w:id="1438987076">
      <w:bodyDiv w:val="1"/>
      <w:marLeft w:val="0"/>
      <w:marRight w:val="0"/>
      <w:marTop w:val="0"/>
      <w:marBottom w:val="0"/>
      <w:divBdr>
        <w:top w:val="none" w:sz="0" w:space="0" w:color="auto"/>
        <w:left w:val="none" w:sz="0" w:space="0" w:color="auto"/>
        <w:bottom w:val="none" w:sz="0" w:space="0" w:color="auto"/>
        <w:right w:val="none" w:sz="0" w:space="0" w:color="auto"/>
      </w:divBdr>
    </w:div>
    <w:div w:id="1542671856">
      <w:bodyDiv w:val="1"/>
      <w:marLeft w:val="0"/>
      <w:marRight w:val="0"/>
      <w:marTop w:val="0"/>
      <w:marBottom w:val="0"/>
      <w:divBdr>
        <w:top w:val="none" w:sz="0" w:space="0" w:color="auto"/>
        <w:left w:val="none" w:sz="0" w:space="0" w:color="auto"/>
        <w:bottom w:val="none" w:sz="0" w:space="0" w:color="auto"/>
        <w:right w:val="none" w:sz="0" w:space="0" w:color="auto"/>
      </w:divBdr>
      <w:divsChild>
        <w:div w:id="2020502163">
          <w:marLeft w:val="547"/>
          <w:marRight w:val="0"/>
          <w:marTop w:val="0"/>
          <w:marBottom w:val="0"/>
          <w:divBdr>
            <w:top w:val="none" w:sz="0" w:space="0" w:color="auto"/>
            <w:left w:val="none" w:sz="0" w:space="0" w:color="auto"/>
            <w:bottom w:val="none" w:sz="0" w:space="0" w:color="auto"/>
            <w:right w:val="none" w:sz="0" w:space="0" w:color="auto"/>
          </w:divBdr>
        </w:div>
        <w:div w:id="1967083535">
          <w:marLeft w:val="1166"/>
          <w:marRight w:val="0"/>
          <w:marTop w:val="0"/>
          <w:marBottom w:val="0"/>
          <w:divBdr>
            <w:top w:val="none" w:sz="0" w:space="0" w:color="auto"/>
            <w:left w:val="none" w:sz="0" w:space="0" w:color="auto"/>
            <w:bottom w:val="none" w:sz="0" w:space="0" w:color="auto"/>
            <w:right w:val="none" w:sz="0" w:space="0" w:color="auto"/>
          </w:divBdr>
        </w:div>
        <w:div w:id="1059934369">
          <w:marLeft w:val="1800"/>
          <w:marRight w:val="0"/>
          <w:marTop w:val="0"/>
          <w:marBottom w:val="0"/>
          <w:divBdr>
            <w:top w:val="none" w:sz="0" w:space="0" w:color="auto"/>
            <w:left w:val="none" w:sz="0" w:space="0" w:color="auto"/>
            <w:bottom w:val="none" w:sz="0" w:space="0" w:color="auto"/>
            <w:right w:val="none" w:sz="0" w:space="0" w:color="auto"/>
          </w:divBdr>
        </w:div>
        <w:div w:id="313993095">
          <w:marLeft w:val="2520"/>
          <w:marRight w:val="0"/>
          <w:marTop w:val="0"/>
          <w:marBottom w:val="0"/>
          <w:divBdr>
            <w:top w:val="none" w:sz="0" w:space="0" w:color="auto"/>
            <w:left w:val="none" w:sz="0" w:space="0" w:color="auto"/>
            <w:bottom w:val="none" w:sz="0" w:space="0" w:color="auto"/>
            <w:right w:val="none" w:sz="0" w:space="0" w:color="auto"/>
          </w:divBdr>
        </w:div>
        <w:div w:id="1763798278">
          <w:marLeft w:val="2520"/>
          <w:marRight w:val="0"/>
          <w:marTop w:val="0"/>
          <w:marBottom w:val="0"/>
          <w:divBdr>
            <w:top w:val="none" w:sz="0" w:space="0" w:color="auto"/>
            <w:left w:val="none" w:sz="0" w:space="0" w:color="auto"/>
            <w:bottom w:val="none" w:sz="0" w:space="0" w:color="auto"/>
            <w:right w:val="none" w:sz="0" w:space="0" w:color="auto"/>
          </w:divBdr>
        </w:div>
        <w:div w:id="617107746">
          <w:marLeft w:val="1800"/>
          <w:marRight w:val="0"/>
          <w:marTop w:val="0"/>
          <w:marBottom w:val="0"/>
          <w:divBdr>
            <w:top w:val="none" w:sz="0" w:space="0" w:color="auto"/>
            <w:left w:val="none" w:sz="0" w:space="0" w:color="auto"/>
            <w:bottom w:val="none" w:sz="0" w:space="0" w:color="auto"/>
            <w:right w:val="none" w:sz="0" w:space="0" w:color="auto"/>
          </w:divBdr>
        </w:div>
        <w:div w:id="21442600">
          <w:marLeft w:val="2520"/>
          <w:marRight w:val="0"/>
          <w:marTop w:val="0"/>
          <w:marBottom w:val="0"/>
          <w:divBdr>
            <w:top w:val="none" w:sz="0" w:space="0" w:color="auto"/>
            <w:left w:val="none" w:sz="0" w:space="0" w:color="auto"/>
            <w:bottom w:val="none" w:sz="0" w:space="0" w:color="auto"/>
            <w:right w:val="none" w:sz="0" w:space="0" w:color="auto"/>
          </w:divBdr>
        </w:div>
        <w:div w:id="136343821">
          <w:marLeft w:val="2520"/>
          <w:marRight w:val="0"/>
          <w:marTop w:val="0"/>
          <w:marBottom w:val="0"/>
          <w:divBdr>
            <w:top w:val="none" w:sz="0" w:space="0" w:color="auto"/>
            <w:left w:val="none" w:sz="0" w:space="0" w:color="auto"/>
            <w:bottom w:val="none" w:sz="0" w:space="0" w:color="auto"/>
            <w:right w:val="none" w:sz="0" w:space="0" w:color="auto"/>
          </w:divBdr>
        </w:div>
        <w:div w:id="843011956">
          <w:marLeft w:val="2520"/>
          <w:marRight w:val="0"/>
          <w:marTop w:val="0"/>
          <w:marBottom w:val="0"/>
          <w:divBdr>
            <w:top w:val="none" w:sz="0" w:space="0" w:color="auto"/>
            <w:left w:val="none" w:sz="0" w:space="0" w:color="auto"/>
            <w:bottom w:val="none" w:sz="0" w:space="0" w:color="auto"/>
            <w:right w:val="none" w:sz="0" w:space="0" w:color="auto"/>
          </w:divBdr>
        </w:div>
        <w:div w:id="95056556">
          <w:marLeft w:val="1800"/>
          <w:marRight w:val="0"/>
          <w:marTop w:val="0"/>
          <w:marBottom w:val="0"/>
          <w:divBdr>
            <w:top w:val="none" w:sz="0" w:space="0" w:color="auto"/>
            <w:left w:val="none" w:sz="0" w:space="0" w:color="auto"/>
            <w:bottom w:val="none" w:sz="0" w:space="0" w:color="auto"/>
            <w:right w:val="none" w:sz="0" w:space="0" w:color="auto"/>
          </w:divBdr>
        </w:div>
        <w:div w:id="503201669">
          <w:marLeft w:val="2520"/>
          <w:marRight w:val="0"/>
          <w:marTop w:val="0"/>
          <w:marBottom w:val="0"/>
          <w:divBdr>
            <w:top w:val="none" w:sz="0" w:space="0" w:color="auto"/>
            <w:left w:val="none" w:sz="0" w:space="0" w:color="auto"/>
            <w:bottom w:val="none" w:sz="0" w:space="0" w:color="auto"/>
            <w:right w:val="none" w:sz="0" w:space="0" w:color="auto"/>
          </w:divBdr>
        </w:div>
        <w:div w:id="1118525469">
          <w:marLeft w:val="2520"/>
          <w:marRight w:val="0"/>
          <w:marTop w:val="0"/>
          <w:marBottom w:val="0"/>
          <w:divBdr>
            <w:top w:val="none" w:sz="0" w:space="0" w:color="auto"/>
            <w:left w:val="none" w:sz="0" w:space="0" w:color="auto"/>
            <w:bottom w:val="none" w:sz="0" w:space="0" w:color="auto"/>
            <w:right w:val="none" w:sz="0" w:space="0" w:color="auto"/>
          </w:divBdr>
        </w:div>
        <w:div w:id="558445291">
          <w:marLeft w:val="2520"/>
          <w:marRight w:val="0"/>
          <w:marTop w:val="0"/>
          <w:marBottom w:val="0"/>
          <w:divBdr>
            <w:top w:val="none" w:sz="0" w:space="0" w:color="auto"/>
            <w:left w:val="none" w:sz="0" w:space="0" w:color="auto"/>
            <w:bottom w:val="none" w:sz="0" w:space="0" w:color="auto"/>
            <w:right w:val="none" w:sz="0" w:space="0" w:color="auto"/>
          </w:divBdr>
        </w:div>
        <w:div w:id="1878614764">
          <w:marLeft w:val="1800"/>
          <w:marRight w:val="0"/>
          <w:marTop w:val="0"/>
          <w:marBottom w:val="0"/>
          <w:divBdr>
            <w:top w:val="none" w:sz="0" w:space="0" w:color="auto"/>
            <w:left w:val="none" w:sz="0" w:space="0" w:color="auto"/>
            <w:bottom w:val="none" w:sz="0" w:space="0" w:color="auto"/>
            <w:right w:val="none" w:sz="0" w:space="0" w:color="auto"/>
          </w:divBdr>
        </w:div>
        <w:div w:id="1676423747">
          <w:marLeft w:val="1800"/>
          <w:marRight w:val="0"/>
          <w:marTop w:val="0"/>
          <w:marBottom w:val="0"/>
          <w:divBdr>
            <w:top w:val="none" w:sz="0" w:space="0" w:color="auto"/>
            <w:left w:val="none" w:sz="0" w:space="0" w:color="auto"/>
            <w:bottom w:val="none" w:sz="0" w:space="0" w:color="auto"/>
            <w:right w:val="none" w:sz="0" w:space="0" w:color="auto"/>
          </w:divBdr>
        </w:div>
        <w:div w:id="1863349945">
          <w:marLeft w:val="1800"/>
          <w:marRight w:val="0"/>
          <w:marTop w:val="0"/>
          <w:marBottom w:val="0"/>
          <w:divBdr>
            <w:top w:val="none" w:sz="0" w:space="0" w:color="auto"/>
            <w:left w:val="none" w:sz="0" w:space="0" w:color="auto"/>
            <w:bottom w:val="none" w:sz="0" w:space="0" w:color="auto"/>
            <w:right w:val="none" w:sz="0" w:space="0" w:color="auto"/>
          </w:divBdr>
        </w:div>
        <w:div w:id="1890266232">
          <w:marLeft w:val="1166"/>
          <w:marRight w:val="0"/>
          <w:marTop w:val="0"/>
          <w:marBottom w:val="0"/>
          <w:divBdr>
            <w:top w:val="none" w:sz="0" w:space="0" w:color="auto"/>
            <w:left w:val="none" w:sz="0" w:space="0" w:color="auto"/>
            <w:bottom w:val="none" w:sz="0" w:space="0" w:color="auto"/>
            <w:right w:val="none" w:sz="0" w:space="0" w:color="auto"/>
          </w:divBdr>
        </w:div>
        <w:div w:id="1026105272">
          <w:marLeft w:val="1800"/>
          <w:marRight w:val="0"/>
          <w:marTop w:val="0"/>
          <w:marBottom w:val="0"/>
          <w:divBdr>
            <w:top w:val="none" w:sz="0" w:space="0" w:color="auto"/>
            <w:left w:val="none" w:sz="0" w:space="0" w:color="auto"/>
            <w:bottom w:val="none" w:sz="0" w:space="0" w:color="auto"/>
            <w:right w:val="none" w:sz="0" w:space="0" w:color="auto"/>
          </w:divBdr>
        </w:div>
        <w:div w:id="687680627">
          <w:marLeft w:val="2520"/>
          <w:marRight w:val="0"/>
          <w:marTop w:val="0"/>
          <w:marBottom w:val="0"/>
          <w:divBdr>
            <w:top w:val="none" w:sz="0" w:space="0" w:color="auto"/>
            <w:left w:val="none" w:sz="0" w:space="0" w:color="auto"/>
            <w:bottom w:val="none" w:sz="0" w:space="0" w:color="auto"/>
            <w:right w:val="none" w:sz="0" w:space="0" w:color="auto"/>
          </w:divBdr>
        </w:div>
        <w:div w:id="862937612">
          <w:marLeft w:val="1800"/>
          <w:marRight w:val="0"/>
          <w:marTop w:val="0"/>
          <w:marBottom w:val="0"/>
          <w:divBdr>
            <w:top w:val="none" w:sz="0" w:space="0" w:color="auto"/>
            <w:left w:val="none" w:sz="0" w:space="0" w:color="auto"/>
            <w:bottom w:val="none" w:sz="0" w:space="0" w:color="auto"/>
            <w:right w:val="none" w:sz="0" w:space="0" w:color="auto"/>
          </w:divBdr>
        </w:div>
        <w:div w:id="537474922">
          <w:marLeft w:val="1800"/>
          <w:marRight w:val="0"/>
          <w:marTop w:val="0"/>
          <w:marBottom w:val="0"/>
          <w:divBdr>
            <w:top w:val="none" w:sz="0" w:space="0" w:color="auto"/>
            <w:left w:val="none" w:sz="0" w:space="0" w:color="auto"/>
            <w:bottom w:val="none" w:sz="0" w:space="0" w:color="auto"/>
            <w:right w:val="none" w:sz="0" w:space="0" w:color="auto"/>
          </w:divBdr>
        </w:div>
        <w:div w:id="566258696">
          <w:marLeft w:val="1166"/>
          <w:marRight w:val="0"/>
          <w:marTop w:val="0"/>
          <w:marBottom w:val="0"/>
          <w:divBdr>
            <w:top w:val="none" w:sz="0" w:space="0" w:color="auto"/>
            <w:left w:val="none" w:sz="0" w:space="0" w:color="auto"/>
            <w:bottom w:val="none" w:sz="0" w:space="0" w:color="auto"/>
            <w:right w:val="none" w:sz="0" w:space="0" w:color="auto"/>
          </w:divBdr>
        </w:div>
        <w:div w:id="1167863743">
          <w:marLeft w:val="1800"/>
          <w:marRight w:val="0"/>
          <w:marTop w:val="0"/>
          <w:marBottom w:val="0"/>
          <w:divBdr>
            <w:top w:val="none" w:sz="0" w:space="0" w:color="auto"/>
            <w:left w:val="none" w:sz="0" w:space="0" w:color="auto"/>
            <w:bottom w:val="none" w:sz="0" w:space="0" w:color="auto"/>
            <w:right w:val="none" w:sz="0" w:space="0" w:color="auto"/>
          </w:divBdr>
        </w:div>
        <w:div w:id="1771243087">
          <w:marLeft w:val="2520"/>
          <w:marRight w:val="0"/>
          <w:marTop w:val="0"/>
          <w:marBottom w:val="0"/>
          <w:divBdr>
            <w:top w:val="none" w:sz="0" w:space="0" w:color="auto"/>
            <w:left w:val="none" w:sz="0" w:space="0" w:color="auto"/>
            <w:bottom w:val="none" w:sz="0" w:space="0" w:color="auto"/>
            <w:right w:val="none" w:sz="0" w:space="0" w:color="auto"/>
          </w:divBdr>
        </w:div>
        <w:div w:id="450175024">
          <w:marLeft w:val="2520"/>
          <w:marRight w:val="0"/>
          <w:marTop w:val="0"/>
          <w:marBottom w:val="0"/>
          <w:divBdr>
            <w:top w:val="none" w:sz="0" w:space="0" w:color="auto"/>
            <w:left w:val="none" w:sz="0" w:space="0" w:color="auto"/>
            <w:bottom w:val="none" w:sz="0" w:space="0" w:color="auto"/>
            <w:right w:val="none" w:sz="0" w:space="0" w:color="auto"/>
          </w:divBdr>
        </w:div>
        <w:div w:id="564293141">
          <w:marLeft w:val="1800"/>
          <w:marRight w:val="0"/>
          <w:marTop w:val="0"/>
          <w:marBottom w:val="0"/>
          <w:divBdr>
            <w:top w:val="none" w:sz="0" w:space="0" w:color="auto"/>
            <w:left w:val="none" w:sz="0" w:space="0" w:color="auto"/>
            <w:bottom w:val="none" w:sz="0" w:space="0" w:color="auto"/>
            <w:right w:val="none" w:sz="0" w:space="0" w:color="auto"/>
          </w:divBdr>
        </w:div>
        <w:div w:id="1613828632">
          <w:marLeft w:val="1800"/>
          <w:marRight w:val="0"/>
          <w:marTop w:val="0"/>
          <w:marBottom w:val="0"/>
          <w:divBdr>
            <w:top w:val="none" w:sz="0" w:space="0" w:color="auto"/>
            <w:left w:val="none" w:sz="0" w:space="0" w:color="auto"/>
            <w:bottom w:val="none" w:sz="0" w:space="0" w:color="auto"/>
            <w:right w:val="none" w:sz="0" w:space="0" w:color="auto"/>
          </w:divBdr>
        </w:div>
        <w:div w:id="356977810">
          <w:marLeft w:val="1800"/>
          <w:marRight w:val="0"/>
          <w:marTop w:val="0"/>
          <w:marBottom w:val="0"/>
          <w:divBdr>
            <w:top w:val="none" w:sz="0" w:space="0" w:color="auto"/>
            <w:left w:val="none" w:sz="0" w:space="0" w:color="auto"/>
            <w:bottom w:val="none" w:sz="0" w:space="0" w:color="auto"/>
            <w:right w:val="none" w:sz="0" w:space="0" w:color="auto"/>
          </w:divBdr>
        </w:div>
        <w:div w:id="1667828517">
          <w:marLeft w:val="1800"/>
          <w:marRight w:val="0"/>
          <w:marTop w:val="0"/>
          <w:marBottom w:val="0"/>
          <w:divBdr>
            <w:top w:val="none" w:sz="0" w:space="0" w:color="auto"/>
            <w:left w:val="none" w:sz="0" w:space="0" w:color="auto"/>
            <w:bottom w:val="none" w:sz="0" w:space="0" w:color="auto"/>
            <w:right w:val="none" w:sz="0" w:space="0" w:color="auto"/>
          </w:divBdr>
        </w:div>
        <w:div w:id="542132742">
          <w:marLeft w:val="1800"/>
          <w:marRight w:val="0"/>
          <w:marTop w:val="0"/>
          <w:marBottom w:val="0"/>
          <w:divBdr>
            <w:top w:val="none" w:sz="0" w:space="0" w:color="auto"/>
            <w:left w:val="none" w:sz="0" w:space="0" w:color="auto"/>
            <w:bottom w:val="none" w:sz="0" w:space="0" w:color="auto"/>
            <w:right w:val="none" w:sz="0" w:space="0" w:color="auto"/>
          </w:divBdr>
        </w:div>
      </w:divsChild>
    </w:div>
    <w:div w:id="1633556017">
      <w:bodyDiv w:val="1"/>
      <w:marLeft w:val="0"/>
      <w:marRight w:val="0"/>
      <w:marTop w:val="0"/>
      <w:marBottom w:val="0"/>
      <w:divBdr>
        <w:top w:val="none" w:sz="0" w:space="0" w:color="auto"/>
        <w:left w:val="none" w:sz="0" w:space="0" w:color="auto"/>
        <w:bottom w:val="none" w:sz="0" w:space="0" w:color="auto"/>
        <w:right w:val="none" w:sz="0" w:space="0" w:color="auto"/>
      </w:divBdr>
    </w:div>
    <w:div w:id="1702822784">
      <w:bodyDiv w:val="1"/>
      <w:marLeft w:val="0"/>
      <w:marRight w:val="0"/>
      <w:marTop w:val="0"/>
      <w:marBottom w:val="0"/>
      <w:divBdr>
        <w:top w:val="none" w:sz="0" w:space="0" w:color="auto"/>
        <w:left w:val="none" w:sz="0" w:space="0" w:color="auto"/>
        <w:bottom w:val="none" w:sz="0" w:space="0" w:color="auto"/>
        <w:right w:val="none" w:sz="0" w:space="0" w:color="auto"/>
      </w:divBdr>
    </w:div>
    <w:div w:id="1782411634">
      <w:bodyDiv w:val="1"/>
      <w:marLeft w:val="0"/>
      <w:marRight w:val="0"/>
      <w:marTop w:val="0"/>
      <w:marBottom w:val="0"/>
      <w:divBdr>
        <w:top w:val="none" w:sz="0" w:space="0" w:color="auto"/>
        <w:left w:val="none" w:sz="0" w:space="0" w:color="auto"/>
        <w:bottom w:val="none" w:sz="0" w:space="0" w:color="auto"/>
        <w:right w:val="none" w:sz="0" w:space="0" w:color="auto"/>
      </w:divBdr>
      <w:divsChild>
        <w:div w:id="1839152285">
          <w:marLeft w:val="547"/>
          <w:marRight w:val="0"/>
          <w:marTop w:val="96"/>
          <w:marBottom w:val="0"/>
          <w:divBdr>
            <w:top w:val="none" w:sz="0" w:space="0" w:color="auto"/>
            <w:left w:val="none" w:sz="0" w:space="0" w:color="auto"/>
            <w:bottom w:val="none" w:sz="0" w:space="0" w:color="auto"/>
            <w:right w:val="none" w:sz="0" w:space="0" w:color="auto"/>
          </w:divBdr>
        </w:div>
      </w:divsChild>
    </w:div>
    <w:div w:id="1831365166">
      <w:bodyDiv w:val="1"/>
      <w:marLeft w:val="0"/>
      <w:marRight w:val="0"/>
      <w:marTop w:val="0"/>
      <w:marBottom w:val="0"/>
      <w:divBdr>
        <w:top w:val="none" w:sz="0" w:space="0" w:color="auto"/>
        <w:left w:val="none" w:sz="0" w:space="0" w:color="auto"/>
        <w:bottom w:val="none" w:sz="0" w:space="0" w:color="auto"/>
        <w:right w:val="none" w:sz="0" w:space="0" w:color="auto"/>
      </w:divBdr>
    </w:div>
    <w:div w:id="1898931373">
      <w:bodyDiv w:val="1"/>
      <w:marLeft w:val="0"/>
      <w:marRight w:val="0"/>
      <w:marTop w:val="0"/>
      <w:marBottom w:val="0"/>
      <w:divBdr>
        <w:top w:val="none" w:sz="0" w:space="0" w:color="auto"/>
        <w:left w:val="none" w:sz="0" w:space="0" w:color="auto"/>
        <w:bottom w:val="none" w:sz="0" w:space="0" w:color="auto"/>
        <w:right w:val="none" w:sz="0" w:space="0" w:color="auto"/>
      </w:divBdr>
    </w:div>
    <w:div w:id="1956253685">
      <w:bodyDiv w:val="1"/>
      <w:marLeft w:val="0"/>
      <w:marRight w:val="0"/>
      <w:marTop w:val="0"/>
      <w:marBottom w:val="0"/>
      <w:divBdr>
        <w:top w:val="none" w:sz="0" w:space="0" w:color="auto"/>
        <w:left w:val="none" w:sz="0" w:space="0" w:color="auto"/>
        <w:bottom w:val="none" w:sz="0" w:space="0" w:color="auto"/>
        <w:right w:val="none" w:sz="0" w:space="0" w:color="auto"/>
      </w:divBdr>
    </w:div>
    <w:div w:id="2025742151">
      <w:bodyDiv w:val="1"/>
      <w:marLeft w:val="0"/>
      <w:marRight w:val="0"/>
      <w:marTop w:val="0"/>
      <w:marBottom w:val="0"/>
      <w:divBdr>
        <w:top w:val="none" w:sz="0" w:space="0" w:color="auto"/>
        <w:left w:val="none" w:sz="0" w:space="0" w:color="auto"/>
        <w:bottom w:val="none" w:sz="0" w:space="0" w:color="auto"/>
        <w:right w:val="none" w:sz="0" w:space="0" w:color="auto"/>
      </w:divBdr>
    </w:div>
    <w:div w:id="2045784361">
      <w:bodyDiv w:val="1"/>
      <w:marLeft w:val="0"/>
      <w:marRight w:val="0"/>
      <w:marTop w:val="0"/>
      <w:marBottom w:val="0"/>
      <w:divBdr>
        <w:top w:val="none" w:sz="0" w:space="0" w:color="auto"/>
        <w:left w:val="none" w:sz="0" w:space="0" w:color="auto"/>
        <w:bottom w:val="none" w:sz="0" w:space="0" w:color="auto"/>
        <w:right w:val="none" w:sz="0" w:space="0" w:color="auto"/>
      </w:divBdr>
      <w:divsChild>
        <w:div w:id="978729421">
          <w:marLeft w:val="547"/>
          <w:marRight w:val="0"/>
          <w:marTop w:val="96"/>
          <w:marBottom w:val="0"/>
          <w:divBdr>
            <w:top w:val="none" w:sz="0" w:space="0" w:color="auto"/>
            <w:left w:val="none" w:sz="0" w:space="0" w:color="auto"/>
            <w:bottom w:val="none" w:sz="0" w:space="0" w:color="auto"/>
            <w:right w:val="none" w:sz="0" w:space="0" w:color="auto"/>
          </w:divBdr>
        </w:div>
      </w:divsChild>
    </w:div>
    <w:div w:id="2051103062">
      <w:bodyDiv w:val="1"/>
      <w:marLeft w:val="0"/>
      <w:marRight w:val="0"/>
      <w:marTop w:val="0"/>
      <w:marBottom w:val="0"/>
      <w:divBdr>
        <w:top w:val="none" w:sz="0" w:space="0" w:color="auto"/>
        <w:left w:val="none" w:sz="0" w:space="0" w:color="auto"/>
        <w:bottom w:val="none" w:sz="0" w:space="0" w:color="auto"/>
        <w:right w:val="none" w:sz="0" w:space="0" w:color="auto"/>
      </w:divBdr>
    </w:div>
    <w:div w:id="2098286984">
      <w:bodyDiv w:val="1"/>
      <w:marLeft w:val="0"/>
      <w:marRight w:val="0"/>
      <w:marTop w:val="0"/>
      <w:marBottom w:val="0"/>
      <w:divBdr>
        <w:top w:val="none" w:sz="0" w:space="0" w:color="auto"/>
        <w:left w:val="none" w:sz="0" w:space="0" w:color="auto"/>
        <w:bottom w:val="none" w:sz="0" w:space="0" w:color="auto"/>
        <w:right w:val="none" w:sz="0" w:space="0" w:color="auto"/>
      </w:divBdr>
    </w:div>
    <w:div w:id="213008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wmf"/><Relationship Id="rId26" Type="http://schemas.openxmlformats.org/officeDocument/2006/relationships/chart" Target="charts/chart9.xml"/><Relationship Id="rId39" Type="http://schemas.openxmlformats.org/officeDocument/2006/relationships/image" Target="media/image13.png"/><Relationship Id="rId21" Type="http://schemas.openxmlformats.org/officeDocument/2006/relationships/oleObject" Target="embeddings/oleObject2.bin"/><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png"/><Relationship Id="rId55" Type="http://schemas.openxmlformats.org/officeDocument/2006/relationships/chart" Target="charts/chart13.xml"/><Relationship Id="rId63" Type="http://schemas.openxmlformats.org/officeDocument/2006/relationships/chart" Target="charts/chart21.xml"/><Relationship Id="rId68" Type="http://schemas.openxmlformats.org/officeDocument/2006/relationships/chart" Target="charts/chart26.xml"/><Relationship Id="rId7" Type="http://schemas.openxmlformats.org/officeDocument/2006/relationships/footnotes" Target="footnotes.xml"/><Relationship Id="rId71" Type="http://schemas.openxmlformats.org/officeDocument/2006/relationships/chart" Target="charts/chart29.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diagramData" Target="diagrams/data1.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diagramColors" Target="diagrams/colors1.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chart" Target="charts/chart11.xml"/><Relationship Id="rId58" Type="http://schemas.openxmlformats.org/officeDocument/2006/relationships/chart" Target="charts/chart16.xml"/><Relationship Id="rId66" Type="http://schemas.openxmlformats.org/officeDocument/2006/relationships/chart" Target="charts/chart24.xml"/><Relationship Id="rId74" Type="http://schemas.openxmlformats.org/officeDocument/2006/relationships/fontTable" Target="fontTable.xml"/><Relationship Id="rId79"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6.xml"/><Relationship Id="rId28" Type="http://schemas.openxmlformats.org/officeDocument/2006/relationships/image" Target="media/image7.png"/><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chart" Target="charts/chart15.xml"/><Relationship Id="rId61" Type="http://schemas.openxmlformats.org/officeDocument/2006/relationships/chart" Target="charts/chart19.xml"/><Relationship Id="rId10" Type="http://schemas.openxmlformats.org/officeDocument/2006/relationships/hyperlink" Target="http://www.lexbase.biz/lexbase/normas/leyes/2011/L1444de2011.htm" TargetMode="External"/><Relationship Id="rId19" Type="http://schemas.openxmlformats.org/officeDocument/2006/relationships/oleObject" Target="embeddings/oleObject1.bin"/><Relationship Id="rId31" Type="http://schemas.openxmlformats.org/officeDocument/2006/relationships/diagramQuickStyle" Target="diagrams/quickStyle1.xml"/><Relationship Id="rId44" Type="http://schemas.openxmlformats.org/officeDocument/2006/relationships/image" Target="media/image18.png"/><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chart" Target="charts/chart23.xml"/><Relationship Id="rId73"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http://www.lexbase.biz/lexbase/normas/decretos/2005/D4299de2005.htm" TargetMode="External"/><Relationship Id="rId14" Type="http://schemas.openxmlformats.org/officeDocument/2006/relationships/image" Target="media/image3.png"/><Relationship Id="rId22" Type="http://schemas.openxmlformats.org/officeDocument/2006/relationships/chart" Target="charts/chart5.xml"/><Relationship Id="rId27" Type="http://schemas.openxmlformats.org/officeDocument/2006/relationships/image" Target="media/image6.png"/><Relationship Id="rId30" Type="http://schemas.openxmlformats.org/officeDocument/2006/relationships/diagramLayout" Target="diagrams/layout1.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chart" Target="charts/chart14.xml"/><Relationship Id="rId64" Type="http://schemas.openxmlformats.org/officeDocument/2006/relationships/chart" Target="charts/chart22.xml"/><Relationship Id="rId69" Type="http://schemas.openxmlformats.org/officeDocument/2006/relationships/chart" Target="charts/chart27.xml"/><Relationship Id="rId8" Type="http://schemas.openxmlformats.org/officeDocument/2006/relationships/endnotes" Target="endnotes.xml"/><Relationship Id="rId51" Type="http://schemas.openxmlformats.org/officeDocument/2006/relationships/image" Target="media/image25.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4.xml"/><Relationship Id="rId25" Type="http://schemas.openxmlformats.org/officeDocument/2006/relationships/chart" Target="charts/chart8.xml"/><Relationship Id="rId33" Type="http://schemas.microsoft.com/office/2007/relationships/diagramDrawing" Target="diagrams/drawing1.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chart" Target="charts/chart17.xml"/><Relationship Id="rId67" Type="http://schemas.openxmlformats.org/officeDocument/2006/relationships/chart" Target="charts/chart25.xml"/><Relationship Id="rId20" Type="http://schemas.openxmlformats.org/officeDocument/2006/relationships/image" Target="media/image5.wmf"/><Relationship Id="rId41" Type="http://schemas.openxmlformats.org/officeDocument/2006/relationships/image" Target="media/image15.png"/><Relationship Id="rId54" Type="http://schemas.openxmlformats.org/officeDocument/2006/relationships/chart" Target="charts/chart12.xml"/><Relationship Id="rId62" Type="http://schemas.openxmlformats.org/officeDocument/2006/relationships/chart" Target="charts/chart20.xml"/><Relationship Id="rId70" Type="http://schemas.openxmlformats.org/officeDocument/2006/relationships/chart" Target="charts/chart28.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26.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ella%20Rojas\Nueva%20carpeta\PLANTILLA1.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vmware-host\Shared%20Folders\Documentos\OneDrive\CREG\CREG_Proyectos\LIQUIDOS\transporte\JUL_21_2014_INFRAESTRUCTURA_LIQUIDOS.xlsm"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Cenit.xlsm"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Ecopetrol.xlsm"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Ecopetrol.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Tarifas-Propanoductos-CENIT-2013-2014-2015.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bonilla\Dropbox\CREG\Remuneraci&#243;n%20Transporte_POLIDUCTOS\Informaci&#243;n%20CENIT\Tarifas-Propanoductos-CENIT-2013-15_JCB.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bonilla\Dropbox\CREG\Remuneraci&#243;n%20Transporte_POLIDUCTOS\Informaci&#243;n%20CENIT\Tarifas-Propanoductos-CENIT-2013-15_JCB.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Ecopetrol.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bonilla\Dropbox\CREG\Remuneraci&#243;n%20Transporte\Informaci&#243;n%20CENIT\Anexo%20Ecopetrol.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1"/>
        <c:ser>
          <c:idx val="0"/>
          <c:order val="0"/>
          <c:tx>
            <c:strRef>
              <c:f>LONGITUDES_TRAMOS!$C$4</c:f>
              <c:strCache>
                <c:ptCount val="1"/>
                <c:pt idx="0">
                  <c:v>CENIT</c:v>
                </c:pt>
              </c:strCache>
            </c:strRef>
          </c:tx>
          <c:invertIfNegative val="0"/>
          <c:cat>
            <c:strRef>
              <c:f>LONGITUDES_TRAMOS!$B$12:$B$14</c:f>
              <c:strCache>
                <c:ptCount val="2"/>
                <c:pt idx="0">
                  <c:v>Poliductos</c:v>
                </c:pt>
                <c:pt idx="1">
                  <c:v>Propanoductos</c:v>
                </c:pt>
              </c:strCache>
            </c:strRef>
          </c:cat>
          <c:val>
            <c:numRef>
              <c:f>LONGITUDES_TRAMOS!$C$12:$C$14</c:f>
              <c:numCache>
                <c:formatCode>General</c:formatCode>
                <c:ptCount val="2"/>
                <c:pt idx="0" formatCode="0">
                  <c:v>3890.7</c:v>
                </c:pt>
                <c:pt idx="1">
                  <c:v>381</c:v>
                </c:pt>
              </c:numCache>
            </c:numRef>
          </c:val>
        </c:ser>
        <c:dLbls>
          <c:showLegendKey val="0"/>
          <c:showVal val="0"/>
          <c:showCatName val="0"/>
          <c:showSerName val="0"/>
          <c:showPercent val="0"/>
          <c:showBubbleSize val="0"/>
        </c:dLbls>
        <c:gapWidth val="150"/>
        <c:axId val="40813696"/>
        <c:axId val="40815616"/>
      </c:barChart>
      <c:catAx>
        <c:axId val="40813696"/>
        <c:scaling>
          <c:orientation val="minMax"/>
        </c:scaling>
        <c:delete val="0"/>
        <c:axPos val="b"/>
        <c:title>
          <c:overlay val="0"/>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s-CO"/>
          </a:p>
        </c:txPr>
        <c:crossAx val="40815616"/>
        <c:crosses val="autoZero"/>
        <c:auto val="1"/>
        <c:lblAlgn val="ctr"/>
        <c:lblOffset val="100"/>
        <c:noMultiLvlLbl val="0"/>
      </c:catAx>
      <c:valAx>
        <c:axId val="40815616"/>
        <c:scaling>
          <c:orientation val="minMax"/>
          <c:max val="4000"/>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s-CO"/>
                  <a:t>km</a:t>
                </a:r>
              </a:p>
            </c:rich>
          </c:tx>
          <c:overlay val="0"/>
        </c:title>
        <c:numFmt formatCode="#,##0" sourceLinked="0"/>
        <c:majorTickMark val="out"/>
        <c:minorTickMark val="none"/>
        <c:tickLblPos val="nextTo"/>
        <c:spPr>
          <a:noFill/>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0813696"/>
        <c:crosses val="autoZero"/>
        <c:crossBetween val="between"/>
      </c:valAx>
      <c:spPr>
        <a:noFill/>
        <a:ln>
          <a:noFill/>
        </a:ln>
        <a:effectLst/>
      </c:spPr>
    </c:plotArea>
    <c:legend>
      <c:legendPos val="r"/>
      <c:overlay val="0"/>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dinámica1</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VTD!$D$4</c:f>
              <c:strCache>
                <c:ptCount val="1"/>
                <c:pt idx="0">
                  <c:v>Variación (%)</c:v>
                </c:pt>
              </c:strCache>
            </c:strRef>
          </c:tx>
          <c:invertIfNegative val="0"/>
          <c:cat>
            <c:strRef>
              <c:f>VTD!$A$5:$A$30</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VTD!$D$5:$D$30</c:f>
              <c:numCache>
                <c:formatCode>0.00%</c:formatCode>
                <c:ptCount val="25"/>
                <c:pt idx="1">
                  <c:v>-3.79673472310487E-2</c:v>
                </c:pt>
                <c:pt idx="2">
                  <c:v>0.115619991765853</c:v>
                </c:pt>
                <c:pt idx="3">
                  <c:v>0.12321526862709101</c:v>
                </c:pt>
                <c:pt idx="4">
                  <c:v>3.4877051386524603E-2</c:v>
                </c:pt>
                <c:pt idx="5">
                  <c:v>-0.14917400584742799</c:v>
                </c:pt>
                <c:pt idx="6">
                  <c:v>0.12091857386200699</c:v>
                </c:pt>
                <c:pt idx="7">
                  <c:v>-2.1100204814359799E-2</c:v>
                </c:pt>
                <c:pt idx="8">
                  <c:v>-1.08687716385966E-2</c:v>
                </c:pt>
                <c:pt idx="9">
                  <c:v>-9.5284805516437296E-2</c:v>
                </c:pt>
                <c:pt idx="10">
                  <c:v>-0.14694377053051999</c:v>
                </c:pt>
                <c:pt idx="11">
                  <c:v>-0.17647132847420799</c:v>
                </c:pt>
                <c:pt idx="12">
                  <c:v>0.12273426015629101</c:v>
                </c:pt>
                <c:pt idx="13">
                  <c:v>1.9783815271211098E-2</c:v>
                </c:pt>
                <c:pt idx="14">
                  <c:v>0.130856637990172</c:v>
                </c:pt>
                <c:pt idx="15">
                  <c:v>5.2780157814111599E-2</c:v>
                </c:pt>
                <c:pt idx="16">
                  <c:v>-4.29730238731547E-2</c:v>
                </c:pt>
                <c:pt idx="17">
                  <c:v>9.5542535322132999E-2</c:v>
                </c:pt>
                <c:pt idx="18">
                  <c:v>2.5425541014456699E-2</c:v>
                </c:pt>
                <c:pt idx="19">
                  <c:v>0.11806352053051899</c:v>
                </c:pt>
                <c:pt idx="20">
                  <c:v>-9.1943410831025404E-2</c:v>
                </c:pt>
                <c:pt idx="21">
                  <c:v>-5.9219472116668198E-2</c:v>
                </c:pt>
                <c:pt idx="22">
                  <c:v>-1.43989659817606E-2</c:v>
                </c:pt>
                <c:pt idx="23">
                  <c:v>1.6946374140491499E-3</c:v>
                </c:pt>
                <c:pt idx="24">
                  <c:v>8.1775584987694203E-2</c:v>
                </c:pt>
              </c:numCache>
            </c:numRef>
          </c:val>
        </c:ser>
        <c:dLbls>
          <c:showLegendKey val="0"/>
          <c:showVal val="0"/>
          <c:showCatName val="0"/>
          <c:showSerName val="0"/>
          <c:showPercent val="0"/>
          <c:showBubbleSize val="0"/>
        </c:dLbls>
        <c:gapWidth val="150"/>
        <c:axId val="81060992"/>
        <c:axId val="81050624"/>
      </c:barChart>
      <c:lineChart>
        <c:grouping val="standard"/>
        <c:varyColors val="0"/>
        <c:ser>
          <c:idx val="0"/>
          <c:order val="0"/>
          <c:tx>
            <c:strRef>
              <c:f>VTD!$B$4</c:f>
              <c:strCache>
                <c:ptCount val="1"/>
                <c:pt idx="0">
                  <c:v>Capacidad nominal</c:v>
                </c:pt>
              </c:strCache>
            </c:strRef>
          </c:tx>
          <c:marker>
            <c:symbol val="none"/>
          </c:marker>
          <c:cat>
            <c:strRef>
              <c:f>VTD!$A$5:$A$30</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VTD!$B$5:$B$30</c:f>
              <c:numCache>
                <c:formatCode>0.0</c:formatCode>
                <c:ptCount val="25"/>
                <c:pt idx="0">
                  <c:v>30</c:v>
                </c:pt>
                <c:pt idx="1">
                  <c:v>30</c:v>
                </c:pt>
                <c:pt idx="2">
                  <c:v>30</c:v>
                </c:pt>
                <c:pt idx="3">
                  <c:v>30</c:v>
                </c:pt>
                <c:pt idx="4">
                  <c:v>30</c:v>
                </c:pt>
                <c:pt idx="5">
                  <c:v>30</c:v>
                </c:pt>
                <c:pt idx="6">
                  <c:v>30</c:v>
                </c:pt>
                <c:pt idx="7">
                  <c:v>30</c:v>
                </c:pt>
                <c:pt idx="8">
                  <c:v>30</c:v>
                </c:pt>
                <c:pt idx="9">
                  <c:v>30</c:v>
                </c:pt>
                <c:pt idx="10">
                  <c:v>30</c:v>
                </c:pt>
                <c:pt idx="11">
                  <c:v>30</c:v>
                </c:pt>
                <c:pt idx="12">
                  <c:v>30</c:v>
                </c:pt>
                <c:pt idx="13">
                  <c:v>30</c:v>
                </c:pt>
                <c:pt idx="14">
                  <c:v>30</c:v>
                </c:pt>
                <c:pt idx="15">
                  <c:v>30</c:v>
                </c:pt>
                <c:pt idx="16">
                  <c:v>30</c:v>
                </c:pt>
                <c:pt idx="17">
                  <c:v>30</c:v>
                </c:pt>
                <c:pt idx="18">
                  <c:v>30</c:v>
                </c:pt>
                <c:pt idx="19">
                  <c:v>30</c:v>
                </c:pt>
                <c:pt idx="20">
                  <c:v>30</c:v>
                </c:pt>
                <c:pt idx="21">
                  <c:v>30</c:v>
                </c:pt>
                <c:pt idx="22">
                  <c:v>30</c:v>
                </c:pt>
                <c:pt idx="23">
                  <c:v>30</c:v>
                </c:pt>
                <c:pt idx="24">
                  <c:v>30</c:v>
                </c:pt>
              </c:numCache>
            </c:numRef>
          </c:val>
          <c:smooth val="0"/>
        </c:ser>
        <c:ser>
          <c:idx val="1"/>
          <c:order val="1"/>
          <c:tx>
            <c:strRef>
              <c:f>VTD!$C$4</c:f>
              <c:strCache>
                <c:ptCount val="1"/>
                <c:pt idx="0">
                  <c:v>Cantidad transportada</c:v>
                </c:pt>
              </c:strCache>
            </c:strRef>
          </c:tx>
          <c:spPr>
            <a:ln w="28575"/>
          </c:spPr>
          <c:marker>
            <c:symbol val="none"/>
          </c:marker>
          <c:cat>
            <c:strRef>
              <c:f>VTD!$A$5:$A$30</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VTD!$C$5:$C$30</c:f>
              <c:numCache>
                <c:formatCode>0.0</c:formatCode>
                <c:ptCount val="25"/>
                <c:pt idx="0">
                  <c:v>14.69529759947385</c:v>
                </c:pt>
                <c:pt idx="1">
                  <c:v>14.13735613285103</c:v>
                </c:pt>
                <c:pt idx="2">
                  <c:v>15.7719171325222</c:v>
                </c:pt>
                <c:pt idx="3">
                  <c:v>17.715258138770139</c:v>
                </c:pt>
                <c:pt idx="4">
                  <c:v>18.333114107201581</c:v>
                </c:pt>
                <c:pt idx="5">
                  <c:v>15.59829003617231</c:v>
                </c:pt>
                <c:pt idx="6">
                  <c:v>17.484413022032221</c:v>
                </c:pt>
                <c:pt idx="7">
                  <c:v>17.115488326208499</c:v>
                </c:pt>
                <c:pt idx="8">
                  <c:v>16.929463992107848</c:v>
                </c:pt>
                <c:pt idx="9">
                  <c:v>15.316343308122329</c:v>
                </c:pt>
                <c:pt idx="10">
                  <c:v>13.06570207168695</c:v>
                </c:pt>
                <c:pt idx="11">
                  <c:v>10.759980269648141</c:v>
                </c:pt>
                <c:pt idx="12">
                  <c:v>12.080598487339691</c:v>
                </c:pt>
                <c:pt idx="13">
                  <c:v>12.319598816178891</c:v>
                </c:pt>
                <c:pt idx="14">
                  <c:v>13.93170009865176</c:v>
                </c:pt>
                <c:pt idx="15">
                  <c:v>14.66701742847747</c:v>
                </c:pt>
                <c:pt idx="16">
                  <c:v>14.036731338375541</c:v>
                </c:pt>
                <c:pt idx="17">
                  <c:v>15.377836238079571</c:v>
                </c:pt>
                <c:pt idx="18">
                  <c:v>15.768826044064459</c:v>
                </c:pt>
                <c:pt idx="19">
                  <c:v>17.630549161460049</c:v>
                </c:pt>
                <c:pt idx="20">
                  <c:v>16.009536336731319</c:v>
                </c:pt>
                <c:pt idx="21">
                  <c:v>15.061460046037491</c:v>
                </c:pt>
                <c:pt idx="22">
                  <c:v>14.84459059519895</c:v>
                </c:pt>
                <c:pt idx="23">
                  <c:v>14.869746793817811</c:v>
                </c:pt>
                <c:pt idx="24">
                  <c:v>16.085729036501139</c:v>
                </c:pt>
              </c:numCache>
            </c:numRef>
          </c:val>
          <c:smooth val="0"/>
        </c:ser>
        <c:dLbls>
          <c:showLegendKey val="0"/>
          <c:showVal val="0"/>
          <c:showCatName val="0"/>
          <c:showSerName val="0"/>
          <c:showPercent val="0"/>
          <c:showBubbleSize val="0"/>
        </c:dLbls>
        <c:marker val="1"/>
        <c:smooth val="0"/>
        <c:axId val="81042816"/>
        <c:axId val="81048704"/>
      </c:lineChart>
      <c:catAx>
        <c:axId val="81042816"/>
        <c:scaling>
          <c:orientation val="minMax"/>
        </c:scaling>
        <c:delete val="0"/>
        <c:axPos val="b"/>
        <c:numFmt formatCode="General" sourceLinked="0"/>
        <c:majorTickMark val="out"/>
        <c:minorTickMark val="none"/>
        <c:tickLblPos val="nextTo"/>
        <c:txPr>
          <a:bodyPr/>
          <a:lstStyle/>
          <a:p>
            <a:pPr>
              <a:defRPr sz="700"/>
            </a:pPr>
            <a:endParaRPr lang="es-CO"/>
          </a:p>
        </c:txPr>
        <c:crossAx val="81048704"/>
        <c:crosses val="autoZero"/>
        <c:auto val="1"/>
        <c:lblAlgn val="ctr"/>
        <c:lblOffset val="100"/>
        <c:noMultiLvlLbl val="0"/>
      </c:catAx>
      <c:valAx>
        <c:axId val="81048704"/>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1042816"/>
        <c:crosses val="autoZero"/>
        <c:crossBetween val="between"/>
      </c:valAx>
      <c:valAx>
        <c:axId val="81050624"/>
        <c:scaling>
          <c:orientation val="minMax"/>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1060992"/>
        <c:crosses val="max"/>
        <c:crossBetween val="between"/>
      </c:valAx>
      <c:catAx>
        <c:axId val="81060992"/>
        <c:scaling>
          <c:orientation val="minMax"/>
        </c:scaling>
        <c:delete val="1"/>
        <c:axPos val="b"/>
        <c:numFmt formatCode="General" sourceLinked="0"/>
        <c:majorTickMark val="out"/>
        <c:minorTickMark val="none"/>
        <c:tickLblPos val="nextTo"/>
        <c:crossAx val="81050624"/>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dinámica25</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VTD!$D$322</c:f>
              <c:strCache>
                <c:ptCount val="1"/>
                <c:pt idx="0">
                  <c:v>Variación (%)</c:v>
                </c:pt>
              </c:strCache>
            </c:strRef>
          </c:tx>
          <c:invertIfNegative val="0"/>
          <c:cat>
            <c:strRef>
              <c:f>VTD!$A$323:$A$348</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VTD!$D$323:$D$348</c:f>
              <c:numCache>
                <c:formatCode>0.00%</c:formatCode>
                <c:ptCount val="25"/>
                <c:pt idx="1">
                  <c:v>7.9073613456246999E-2</c:v>
                </c:pt>
                <c:pt idx="2">
                  <c:v>3.9672170300820301E-3</c:v>
                </c:pt>
                <c:pt idx="3">
                  <c:v>0.17070584352198401</c:v>
                </c:pt>
                <c:pt idx="4">
                  <c:v>2.5499385141417499E-2</c:v>
                </c:pt>
                <c:pt idx="5">
                  <c:v>-0.22857067649766299</c:v>
                </c:pt>
                <c:pt idx="6">
                  <c:v>7.58172889635777E-2</c:v>
                </c:pt>
                <c:pt idx="7">
                  <c:v>2.46909011936699E-3</c:v>
                </c:pt>
                <c:pt idx="8">
                  <c:v>0.104161759691203</c:v>
                </c:pt>
                <c:pt idx="9">
                  <c:v>4.2261144342165104E-3</c:v>
                </c:pt>
                <c:pt idx="10">
                  <c:v>-4.4739706950619497E-2</c:v>
                </c:pt>
                <c:pt idx="11">
                  <c:v>0.105242371089712</c:v>
                </c:pt>
                <c:pt idx="12">
                  <c:v>-5.9718495741176499E-2</c:v>
                </c:pt>
                <c:pt idx="13">
                  <c:v>8.3959842220757905E-2</c:v>
                </c:pt>
                <c:pt idx="14">
                  <c:v>-9.0098127674619097E-2</c:v>
                </c:pt>
                <c:pt idx="15">
                  <c:v>0.22069778844837901</c:v>
                </c:pt>
                <c:pt idx="16">
                  <c:v>-3.7806271921682899E-2</c:v>
                </c:pt>
                <c:pt idx="17">
                  <c:v>-0.120337510246483</c:v>
                </c:pt>
                <c:pt idx="18">
                  <c:v>0.14666133617222499</c:v>
                </c:pt>
                <c:pt idx="19">
                  <c:v>-6.9334092987576298E-2</c:v>
                </c:pt>
                <c:pt idx="20">
                  <c:v>0.10211607574567701</c:v>
                </c:pt>
                <c:pt idx="21">
                  <c:v>-5.3126007542882797E-2</c:v>
                </c:pt>
                <c:pt idx="22">
                  <c:v>-1.8384374860592599E-2</c:v>
                </c:pt>
                <c:pt idx="23">
                  <c:v>-5.65531939018801E-2</c:v>
                </c:pt>
                <c:pt idx="24">
                  <c:v>5.67991066351934E-2</c:v>
                </c:pt>
              </c:numCache>
            </c:numRef>
          </c:val>
        </c:ser>
        <c:dLbls>
          <c:showLegendKey val="0"/>
          <c:showVal val="0"/>
          <c:showCatName val="0"/>
          <c:showSerName val="0"/>
          <c:showPercent val="0"/>
          <c:showBubbleSize val="0"/>
        </c:dLbls>
        <c:gapWidth val="150"/>
        <c:axId val="66638976"/>
        <c:axId val="66632704"/>
      </c:barChart>
      <c:lineChart>
        <c:grouping val="standard"/>
        <c:varyColors val="0"/>
        <c:ser>
          <c:idx val="0"/>
          <c:order val="0"/>
          <c:tx>
            <c:strRef>
              <c:f>VTD!$B$322</c:f>
              <c:strCache>
                <c:ptCount val="1"/>
                <c:pt idx="0">
                  <c:v>Capacidad nominal</c:v>
                </c:pt>
              </c:strCache>
            </c:strRef>
          </c:tx>
          <c:marker>
            <c:symbol val="none"/>
          </c:marker>
          <c:cat>
            <c:strRef>
              <c:f>VTD!$A$323:$A$348</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VTD!$B$323:$B$348</c:f>
              <c:numCache>
                <c:formatCode>0.0</c:formatCode>
                <c:ptCount val="25"/>
                <c:pt idx="0">
                  <c:v>96.3</c:v>
                </c:pt>
                <c:pt idx="1">
                  <c:v>96.3</c:v>
                </c:pt>
                <c:pt idx="2">
                  <c:v>96.3</c:v>
                </c:pt>
                <c:pt idx="3">
                  <c:v>96.3</c:v>
                </c:pt>
                <c:pt idx="4">
                  <c:v>96.3</c:v>
                </c:pt>
                <c:pt idx="5">
                  <c:v>96.3</c:v>
                </c:pt>
                <c:pt idx="6">
                  <c:v>96.3</c:v>
                </c:pt>
                <c:pt idx="7">
                  <c:v>96.3</c:v>
                </c:pt>
                <c:pt idx="8">
                  <c:v>96.3</c:v>
                </c:pt>
                <c:pt idx="9">
                  <c:v>96.3</c:v>
                </c:pt>
                <c:pt idx="10">
                  <c:v>96.3</c:v>
                </c:pt>
                <c:pt idx="11">
                  <c:v>96.3</c:v>
                </c:pt>
                <c:pt idx="12">
                  <c:v>96.3</c:v>
                </c:pt>
                <c:pt idx="13">
                  <c:v>96.3</c:v>
                </c:pt>
                <c:pt idx="14">
                  <c:v>96.3</c:v>
                </c:pt>
                <c:pt idx="15">
                  <c:v>96.3</c:v>
                </c:pt>
                <c:pt idx="16">
                  <c:v>96.3</c:v>
                </c:pt>
                <c:pt idx="17">
                  <c:v>105</c:v>
                </c:pt>
                <c:pt idx="18">
                  <c:v>105</c:v>
                </c:pt>
                <c:pt idx="19">
                  <c:v>105</c:v>
                </c:pt>
                <c:pt idx="20">
                  <c:v>105</c:v>
                </c:pt>
                <c:pt idx="21">
                  <c:v>105</c:v>
                </c:pt>
                <c:pt idx="22">
                  <c:v>105</c:v>
                </c:pt>
                <c:pt idx="23">
                  <c:v>105</c:v>
                </c:pt>
                <c:pt idx="24">
                  <c:v>105</c:v>
                </c:pt>
              </c:numCache>
            </c:numRef>
          </c:val>
          <c:smooth val="0"/>
        </c:ser>
        <c:ser>
          <c:idx val="1"/>
          <c:order val="1"/>
          <c:tx>
            <c:strRef>
              <c:f>VTD!$C$322</c:f>
              <c:strCache>
                <c:ptCount val="1"/>
                <c:pt idx="0">
                  <c:v>Cantidad transportada</c:v>
                </c:pt>
              </c:strCache>
            </c:strRef>
          </c:tx>
          <c:marker>
            <c:symbol val="none"/>
          </c:marker>
          <c:cat>
            <c:strRef>
              <c:f>VTD!$A$323:$A$348</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VTD!$C$323:$C$348</c:f>
              <c:numCache>
                <c:formatCode>_(* #,##0.00_);_(* \(#,##0.00\);_(* "-"??_);_(@_)</c:formatCode>
                <c:ptCount val="25"/>
                <c:pt idx="0">
                  <c:v>69.156626109832303</c:v>
                </c:pt>
                <c:pt idx="1">
                  <c:v>74.625090430779338</c:v>
                </c:pt>
                <c:pt idx="2">
                  <c:v>74.921144360407766</c:v>
                </c:pt>
                <c:pt idx="3">
                  <c:v>87.710621506083513</c:v>
                </c:pt>
                <c:pt idx="4">
                  <c:v>89.947188424860244</c:v>
                </c:pt>
                <c:pt idx="5">
                  <c:v>69.387898717527108</c:v>
                </c:pt>
                <c:pt idx="6">
                  <c:v>74.64870108516935</c:v>
                </c:pt>
                <c:pt idx="7">
                  <c:v>74.833015455442322</c:v>
                </c:pt>
                <c:pt idx="8">
                  <c:v>82.627754028280151</c:v>
                </c:pt>
                <c:pt idx="9">
                  <c:v>82.976948372245943</c:v>
                </c:pt>
                <c:pt idx="10">
                  <c:v>79.264584018414979</c:v>
                </c:pt>
                <c:pt idx="11">
                  <c:v>87.606576783952633</c:v>
                </c:pt>
                <c:pt idx="12">
                  <c:v>82.374843801381118</c:v>
                </c:pt>
                <c:pt idx="13">
                  <c:v>89.291022689904665</c:v>
                </c:pt>
                <c:pt idx="14">
                  <c:v>81.246068727392327</c:v>
                </c:pt>
                <c:pt idx="15">
                  <c:v>99.176896415652749</c:v>
                </c:pt>
                <c:pt idx="16">
                  <c:v>95.42738770141402</c:v>
                </c:pt>
                <c:pt idx="17">
                  <c:v>83.943893456099971</c:v>
                </c:pt>
                <c:pt idx="18">
                  <c:v>96.25521703387048</c:v>
                </c:pt>
                <c:pt idx="19">
                  <c:v>89.581448865504754</c:v>
                </c:pt>
                <c:pt idx="20">
                  <c:v>98.729154883262098</c:v>
                </c:pt>
                <c:pt idx="21">
                  <c:v>93.484069056231476</c:v>
                </c:pt>
                <c:pt idx="22">
                  <c:v>91.765422887208203</c:v>
                </c:pt>
                <c:pt idx="23">
                  <c:v>86.575795133179852</c:v>
                </c:pt>
                <c:pt idx="24">
                  <c:v>91.493222952976026</c:v>
                </c:pt>
              </c:numCache>
            </c:numRef>
          </c:val>
          <c:smooth val="0"/>
        </c:ser>
        <c:dLbls>
          <c:showLegendKey val="0"/>
          <c:showVal val="0"/>
          <c:showCatName val="0"/>
          <c:showSerName val="0"/>
          <c:showPercent val="0"/>
          <c:showBubbleSize val="0"/>
        </c:dLbls>
        <c:marker val="1"/>
        <c:smooth val="0"/>
        <c:axId val="66616704"/>
        <c:axId val="66630784"/>
      </c:lineChart>
      <c:catAx>
        <c:axId val="66616704"/>
        <c:scaling>
          <c:orientation val="minMax"/>
        </c:scaling>
        <c:delete val="0"/>
        <c:axPos val="b"/>
        <c:numFmt formatCode="General" sourceLinked="0"/>
        <c:majorTickMark val="out"/>
        <c:minorTickMark val="none"/>
        <c:tickLblPos val="nextTo"/>
        <c:txPr>
          <a:bodyPr/>
          <a:lstStyle/>
          <a:p>
            <a:pPr>
              <a:defRPr sz="600"/>
            </a:pPr>
            <a:endParaRPr lang="es-CO"/>
          </a:p>
        </c:txPr>
        <c:crossAx val="66630784"/>
        <c:crosses val="autoZero"/>
        <c:auto val="1"/>
        <c:lblAlgn val="ctr"/>
        <c:lblOffset val="100"/>
        <c:noMultiLvlLbl val="0"/>
      </c:catAx>
      <c:valAx>
        <c:axId val="66630784"/>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66616704"/>
        <c:crosses val="autoZero"/>
        <c:crossBetween val="between"/>
      </c:valAx>
      <c:valAx>
        <c:axId val="66632704"/>
        <c:scaling>
          <c:orientation val="minMax"/>
          <c:min val="-0.25"/>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66638976"/>
        <c:crosses val="max"/>
        <c:crossBetween val="between"/>
      </c:valAx>
      <c:catAx>
        <c:axId val="66638976"/>
        <c:scaling>
          <c:orientation val="minMax"/>
        </c:scaling>
        <c:delete val="1"/>
        <c:axPos val="b"/>
        <c:numFmt formatCode="General" sourceLinked="0"/>
        <c:majorTickMark val="out"/>
        <c:minorTickMark val="none"/>
        <c:tickLblPos val="nextTo"/>
        <c:crossAx val="66632704"/>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dinámica6</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VTD!$D$98</c:f>
              <c:strCache>
                <c:ptCount val="1"/>
                <c:pt idx="0">
                  <c:v>Variación (%)</c:v>
                </c:pt>
              </c:strCache>
            </c:strRef>
          </c:tx>
          <c:invertIfNegative val="0"/>
          <c:cat>
            <c:strRef>
              <c:f>VTD!$A$99:$A$124</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VTD!$D$99:$D$124</c:f>
              <c:numCache>
                <c:formatCode>0.00%</c:formatCode>
                <c:ptCount val="25"/>
                <c:pt idx="1">
                  <c:v>-9.2064114016863194E-2</c:v>
                </c:pt>
                <c:pt idx="2">
                  <c:v>5.8813204508856902E-2</c:v>
                </c:pt>
                <c:pt idx="3">
                  <c:v>-1.2075623210139599E-3</c:v>
                </c:pt>
                <c:pt idx="4">
                  <c:v>5.6840797345632903E-2</c:v>
                </c:pt>
                <c:pt idx="5">
                  <c:v>-0.112582810082155</c:v>
                </c:pt>
                <c:pt idx="6">
                  <c:v>-2.48425523486046E-2</c:v>
                </c:pt>
                <c:pt idx="7">
                  <c:v>6.1270225001584097E-3</c:v>
                </c:pt>
                <c:pt idx="8">
                  <c:v>0.24404515652873199</c:v>
                </c:pt>
                <c:pt idx="9">
                  <c:v>2.87400202720503E-2</c:v>
                </c:pt>
                <c:pt idx="10">
                  <c:v>-0.134822467609713</c:v>
                </c:pt>
                <c:pt idx="11">
                  <c:v>1.95677548269272E-2</c:v>
                </c:pt>
                <c:pt idx="12">
                  <c:v>6.6310077337570203E-2</c:v>
                </c:pt>
                <c:pt idx="13">
                  <c:v>4.63652722351365E-2</c:v>
                </c:pt>
                <c:pt idx="14">
                  <c:v>-7.0659735223058601E-2</c:v>
                </c:pt>
                <c:pt idx="15">
                  <c:v>-6.6456031722464297E-3</c:v>
                </c:pt>
                <c:pt idx="16">
                  <c:v>8.5697127015841798E-2</c:v>
                </c:pt>
                <c:pt idx="17">
                  <c:v>-0.117215579458436</c:v>
                </c:pt>
                <c:pt idx="18">
                  <c:v>9.7438966083524203E-2</c:v>
                </c:pt>
                <c:pt idx="19">
                  <c:v>-5.4499993911521598E-2</c:v>
                </c:pt>
                <c:pt idx="20">
                  <c:v>-3.1576085401104598E-2</c:v>
                </c:pt>
                <c:pt idx="21">
                  <c:v>0.110800970515135</c:v>
                </c:pt>
                <c:pt idx="22">
                  <c:v>-0.21954561357066699</c:v>
                </c:pt>
                <c:pt idx="23">
                  <c:v>0.20228976406941801</c:v>
                </c:pt>
                <c:pt idx="24">
                  <c:v>-5.2806922783573199E-2</c:v>
                </c:pt>
              </c:numCache>
            </c:numRef>
          </c:val>
        </c:ser>
        <c:dLbls>
          <c:showLegendKey val="0"/>
          <c:showVal val="0"/>
          <c:showCatName val="0"/>
          <c:showSerName val="0"/>
          <c:showPercent val="0"/>
          <c:showBubbleSize val="0"/>
        </c:dLbls>
        <c:gapWidth val="150"/>
        <c:axId val="81101952"/>
        <c:axId val="81095680"/>
      </c:barChart>
      <c:lineChart>
        <c:grouping val="standard"/>
        <c:varyColors val="0"/>
        <c:ser>
          <c:idx val="0"/>
          <c:order val="0"/>
          <c:tx>
            <c:strRef>
              <c:f>VTD!$B$98</c:f>
              <c:strCache>
                <c:ptCount val="1"/>
                <c:pt idx="0">
                  <c:v>Capacidad nominal</c:v>
                </c:pt>
              </c:strCache>
            </c:strRef>
          </c:tx>
          <c:marker>
            <c:symbol val="none"/>
          </c:marker>
          <c:cat>
            <c:strRef>
              <c:f>VTD!$A$99:$A$124</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VTD!$B$99:$B$124</c:f>
              <c:numCache>
                <c:formatCode>0.0</c:formatCode>
                <c:ptCount val="25"/>
                <c:pt idx="0">
                  <c:v>25.5</c:v>
                </c:pt>
                <c:pt idx="1">
                  <c:v>25.5</c:v>
                </c:pt>
                <c:pt idx="2">
                  <c:v>25.5</c:v>
                </c:pt>
                <c:pt idx="3">
                  <c:v>25.5</c:v>
                </c:pt>
                <c:pt idx="4">
                  <c:v>25.5</c:v>
                </c:pt>
                <c:pt idx="5">
                  <c:v>25.5</c:v>
                </c:pt>
                <c:pt idx="6">
                  <c:v>25.5</c:v>
                </c:pt>
                <c:pt idx="7">
                  <c:v>25.5</c:v>
                </c:pt>
                <c:pt idx="8">
                  <c:v>25.5</c:v>
                </c:pt>
                <c:pt idx="9">
                  <c:v>25.5</c:v>
                </c:pt>
                <c:pt idx="10">
                  <c:v>25.5</c:v>
                </c:pt>
                <c:pt idx="11">
                  <c:v>25.5</c:v>
                </c:pt>
                <c:pt idx="12">
                  <c:v>25.5</c:v>
                </c:pt>
                <c:pt idx="13">
                  <c:v>25.5</c:v>
                </c:pt>
                <c:pt idx="14">
                  <c:v>25.5</c:v>
                </c:pt>
                <c:pt idx="15">
                  <c:v>25.5</c:v>
                </c:pt>
                <c:pt idx="16">
                  <c:v>25.5</c:v>
                </c:pt>
                <c:pt idx="17">
                  <c:v>25.5</c:v>
                </c:pt>
                <c:pt idx="18">
                  <c:v>25.5</c:v>
                </c:pt>
                <c:pt idx="19">
                  <c:v>25.5</c:v>
                </c:pt>
                <c:pt idx="20">
                  <c:v>25.5</c:v>
                </c:pt>
                <c:pt idx="21">
                  <c:v>25.5</c:v>
                </c:pt>
                <c:pt idx="22">
                  <c:v>25.5</c:v>
                </c:pt>
                <c:pt idx="23">
                  <c:v>25.5</c:v>
                </c:pt>
                <c:pt idx="24">
                  <c:v>25.5</c:v>
                </c:pt>
              </c:numCache>
            </c:numRef>
          </c:val>
          <c:smooth val="0"/>
        </c:ser>
        <c:ser>
          <c:idx val="1"/>
          <c:order val="1"/>
          <c:tx>
            <c:strRef>
              <c:f>VTD!$C$98</c:f>
              <c:strCache>
                <c:ptCount val="1"/>
                <c:pt idx="0">
                  <c:v>Cantidad transportada</c:v>
                </c:pt>
              </c:strCache>
            </c:strRef>
          </c:tx>
          <c:marker>
            <c:symbol val="none"/>
          </c:marker>
          <c:cat>
            <c:strRef>
              <c:f>VTD!$A$99:$A$124</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VTD!$C$99:$C$124</c:f>
              <c:numCache>
                <c:formatCode>_(* #,##0.00_);_(* \(#,##0.00\);_(* "-"??_);_(@_)</c:formatCode>
                <c:ptCount val="25"/>
                <c:pt idx="0">
                  <c:v>22.491581716540601</c:v>
                </c:pt>
                <c:pt idx="1">
                  <c:v>20.420914172969411</c:v>
                </c:pt>
                <c:pt idx="2">
                  <c:v>21.621933574482082</c:v>
                </c:pt>
                <c:pt idx="3">
                  <c:v>21.595823742190071</c:v>
                </c:pt>
                <c:pt idx="4">
                  <c:v>22.823347583031889</c:v>
                </c:pt>
                <c:pt idx="5">
                  <c:v>20.25383097665242</c:v>
                </c:pt>
                <c:pt idx="6">
                  <c:v>19.750674120355139</c:v>
                </c:pt>
                <c:pt idx="7">
                  <c:v>19.871686945083852</c:v>
                </c:pt>
                <c:pt idx="8">
                  <c:v>24.721275896086809</c:v>
                </c:pt>
                <c:pt idx="9">
                  <c:v>25.43176586649129</c:v>
                </c:pt>
                <c:pt idx="10">
                  <c:v>22.002992436698459</c:v>
                </c:pt>
                <c:pt idx="11">
                  <c:v>22.433541598158509</c:v>
                </c:pt>
                <c:pt idx="12">
                  <c:v>23.92111147648799</c:v>
                </c:pt>
                <c:pt idx="13">
                  <c:v>25.030220322262419</c:v>
                </c:pt>
                <c:pt idx="14">
                  <c:v>23.26159158171653</c:v>
                </c:pt>
                <c:pt idx="15">
                  <c:v>23.107004274909571</c:v>
                </c:pt>
                <c:pt idx="16">
                  <c:v>25.0872081552121</c:v>
                </c:pt>
                <c:pt idx="17">
                  <c:v>22.146596514304498</c:v>
                </c:pt>
                <c:pt idx="18">
                  <c:v>24.304537980927311</c:v>
                </c:pt>
                <c:pt idx="19">
                  <c:v>22.979940808944431</c:v>
                </c:pt>
                <c:pt idx="20">
                  <c:v>22.25432423544888</c:v>
                </c:pt>
                <c:pt idx="21">
                  <c:v>24.720124958895099</c:v>
                </c:pt>
                <c:pt idx="22">
                  <c:v>19.292929957250909</c:v>
                </c:pt>
                <c:pt idx="23">
                  <c:v>23.195692206511001</c:v>
                </c:pt>
                <c:pt idx="24">
                  <c:v>21.970799079250249</c:v>
                </c:pt>
              </c:numCache>
            </c:numRef>
          </c:val>
          <c:smooth val="0"/>
        </c:ser>
        <c:dLbls>
          <c:showLegendKey val="0"/>
          <c:showVal val="0"/>
          <c:showCatName val="0"/>
          <c:showSerName val="0"/>
          <c:showPercent val="0"/>
          <c:showBubbleSize val="0"/>
        </c:dLbls>
        <c:marker val="1"/>
        <c:smooth val="0"/>
        <c:axId val="81079680"/>
        <c:axId val="81093760"/>
      </c:lineChart>
      <c:catAx>
        <c:axId val="81079680"/>
        <c:scaling>
          <c:orientation val="minMax"/>
        </c:scaling>
        <c:delete val="0"/>
        <c:axPos val="b"/>
        <c:numFmt formatCode="General" sourceLinked="0"/>
        <c:majorTickMark val="out"/>
        <c:minorTickMark val="none"/>
        <c:tickLblPos val="nextTo"/>
        <c:txPr>
          <a:bodyPr/>
          <a:lstStyle/>
          <a:p>
            <a:pPr>
              <a:defRPr sz="600"/>
            </a:pPr>
            <a:endParaRPr lang="es-CO"/>
          </a:p>
        </c:txPr>
        <c:crossAx val="81093760"/>
        <c:crosses val="autoZero"/>
        <c:auto val="1"/>
        <c:lblAlgn val="ctr"/>
        <c:lblOffset val="100"/>
        <c:noMultiLvlLbl val="0"/>
      </c:catAx>
      <c:valAx>
        <c:axId val="81093760"/>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1079680"/>
        <c:crosses val="autoZero"/>
        <c:crossBetween val="between"/>
      </c:valAx>
      <c:valAx>
        <c:axId val="81095680"/>
        <c:scaling>
          <c:orientation val="minMax"/>
          <c:min val="-0.25"/>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1101952"/>
        <c:crosses val="max"/>
        <c:crossBetween val="between"/>
      </c:valAx>
      <c:catAx>
        <c:axId val="81101952"/>
        <c:scaling>
          <c:orientation val="minMax"/>
        </c:scaling>
        <c:delete val="1"/>
        <c:axPos val="b"/>
        <c:numFmt formatCode="General" sourceLinked="1"/>
        <c:majorTickMark val="out"/>
        <c:minorTickMark val="none"/>
        <c:tickLblPos val="nextTo"/>
        <c:crossAx val="81095680"/>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dinámica10</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s>
    <c:plotArea>
      <c:layout/>
      <c:barChart>
        <c:barDir val="col"/>
        <c:grouping val="clustered"/>
        <c:varyColors val="0"/>
        <c:ser>
          <c:idx val="2"/>
          <c:order val="2"/>
          <c:tx>
            <c:strRef>
              <c:f>VTD!$D$162</c:f>
              <c:strCache>
                <c:ptCount val="1"/>
                <c:pt idx="0">
                  <c:v>Variación (%)</c:v>
                </c:pt>
              </c:strCache>
            </c:strRef>
          </c:tx>
          <c:invertIfNegative val="0"/>
          <c:cat>
            <c:strRef>
              <c:f>VTD!$A$163:$A$188</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VTD!$D$163:$D$188</c:f>
              <c:numCache>
                <c:formatCode>0.00%</c:formatCode>
                <c:ptCount val="25"/>
                <c:pt idx="1">
                  <c:v>3.7905029850738202E-2</c:v>
                </c:pt>
                <c:pt idx="2">
                  <c:v>-0.14013180797067701</c:v>
                </c:pt>
                <c:pt idx="3">
                  <c:v>0.142491353062105</c:v>
                </c:pt>
                <c:pt idx="4">
                  <c:v>-2.2443285652452599E-2</c:v>
                </c:pt>
                <c:pt idx="5">
                  <c:v>-0.12609041347939001</c:v>
                </c:pt>
                <c:pt idx="6">
                  <c:v>-4.1776861941009401E-2</c:v>
                </c:pt>
                <c:pt idx="7">
                  <c:v>6.5986492380142495E-2</c:v>
                </c:pt>
                <c:pt idx="8">
                  <c:v>0.12499021577478001</c:v>
                </c:pt>
                <c:pt idx="9">
                  <c:v>4.9927893719413002E-2</c:v>
                </c:pt>
                <c:pt idx="10">
                  <c:v>-4.9502456287944099E-2</c:v>
                </c:pt>
                <c:pt idx="11">
                  <c:v>2.15921767267809E-2</c:v>
                </c:pt>
                <c:pt idx="12">
                  <c:v>-6.6329677956922404E-3</c:v>
                </c:pt>
                <c:pt idx="13">
                  <c:v>3.6205510832880698E-2</c:v>
                </c:pt>
                <c:pt idx="14">
                  <c:v>-3.1375704131227601E-3</c:v>
                </c:pt>
                <c:pt idx="15">
                  <c:v>-2.01002559938257E-2</c:v>
                </c:pt>
                <c:pt idx="16">
                  <c:v>-6.2587581070406906E-2</c:v>
                </c:pt>
                <c:pt idx="17">
                  <c:v>4.8528405869739097E-2</c:v>
                </c:pt>
                <c:pt idx="18">
                  <c:v>3.4334870096684497E-2</c:v>
                </c:pt>
                <c:pt idx="19">
                  <c:v>-0.11276700417433801</c:v>
                </c:pt>
                <c:pt idx="20">
                  <c:v>0.141376037434222</c:v>
                </c:pt>
                <c:pt idx="21">
                  <c:v>-8.0166110020886902E-2</c:v>
                </c:pt>
                <c:pt idx="22">
                  <c:v>-5.4706528372197902E-2</c:v>
                </c:pt>
                <c:pt idx="23">
                  <c:v>0.11923769782160901</c:v>
                </c:pt>
                <c:pt idx="24">
                  <c:v>-7.3910043778899204E-2</c:v>
                </c:pt>
              </c:numCache>
            </c:numRef>
          </c:val>
        </c:ser>
        <c:dLbls>
          <c:showLegendKey val="0"/>
          <c:showVal val="0"/>
          <c:showCatName val="0"/>
          <c:showSerName val="0"/>
          <c:showPercent val="0"/>
          <c:showBubbleSize val="0"/>
        </c:dLbls>
        <c:gapWidth val="150"/>
        <c:axId val="81151104"/>
        <c:axId val="81148928"/>
      </c:barChart>
      <c:lineChart>
        <c:grouping val="standard"/>
        <c:varyColors val="0"/>
        <c:ser>
          <c:idx val="0"/>
          <c:order val="0"/>
          <c:tx>
            <c:strRef>
              <c:f>VTD!$B$162</c:f>
              <c:strCache>
                <c:ptCount val="1"/>
                <c:pt idx="0">
                  <c:v>Capacidad nominal</c:v>
                </c:pt>
              </c:strCache>
            </c:strRef>
          </c:tx>
          <c:marker>
            <c:symbol val="none"/>
          </c:marker>
          <c:cat>
            <c:strRef>
              <c:f>VTD!$A$163:$A$188</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VTD!$B$163:$B$188</c:f>
              <c:numCache>
                <c:formatCode>0.0</c:formatCode>
                <c:ptCount val="25"/>
                <c:pt idx="0">
                  <c:v>190</c:v>
                </c:pt>
                <c:pt idx="1">
                  <c:v>190</c:v>
                </c:pt>
                <c:pt idx="2">
                  <c:v>190</c:v>
                </c:pt>
                <c:pt idx="3">
                  <c:v>190</c:v>
                </c:pt>
                <c:pt idx="4">
                  <c:v>190</c:v>
                </c:pt>
                <c:pt idx="5">
                  <c:v>190</c:v>
                </c:pt>
                <c:pt idx="6">
                  <c:v>190</c:v>
                </c:pt>
                <c:pt idx="7">
                  <c:v>190</c:v>
                </c:pt>
                <c:pt idx="8">
                  <c:v>190</c:v>
                </c:pt>
                <c:pt idx="9">
                  <c:v>190</c:v>
                </c:pt>
                <c:pt idx="10">
                  <c:v>190</c:v>
                </c:pt>
                <c:pt idx="11">
                  <c:v>190</c:v>
                </c:pt>
                <c:pt idx="12">
                  <c:v>190</c:v>
                </c:pt>
                <c:pt idx="13">
                  <c:v>190</c:v>
                </c:pt>
                <c:pt idx="14">
                  <c:v>190</c:v>
                </c:pt>
                <c:pt idx="15">
                  <c:v>190</c:v>
                </c:pt>
                <c:pt idx="16">
                  <c:v>190</c:v>
                </c:pt>
                <c:pt idx="17">
                  <c:v>190</c:v>
                </c:pt>
                <c:pt idx="18">
                  <c:v>190</c:v>
                </c:pt>
                <c:pt idx="19">
                  <c:v>190</c:v>
                </c:pt>
                <c:pt idx="20">
                  <c:v>190</c:v>
                </c:pt>
                <c:pt idx="21">
                  <c:v>190</c:v>
                </c:pt>
                <c:pt idx="22">
                  <c:v>190</c:v>
                </c:pt>
                <c:pt idx="23">
                  <c:v>190</c:v>
                </c:pt>
                <c:pt idx="24">
                  <c:v>190</c:v>
                </c:pt>
              </c:numCache>
            </c:numRef>
          </c:val>
          <c:smooth val="0"/>
        </c:ser>
        <c:ser>
          <c:idx val="1"/>
          <c:order val="1"/>
          <c:tx>
            <c:strRef>
              <c:f>VTD!$C$162</c:f>
              <c:strCache>
                <c:ptCount val="1"/>
                <c:pt idx="0">
                  <c:v>Cantidad transportada</c:v>
                </c:pt>
              </c:strCache>
            </c:strRef>
          </c:tx>
          <c:marker>
            <c:symbol val="none"/>
          </c:marker>
          <c:cat>
            <c:strRef>
              <c:f>VTD!$A$163:$A$188</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VTD!$C$163:$C$188</c:f>
              <c:numCache>
                <c:formatCode>_(* #,##0.00_);_(* \(#,##0.00\);_(* "-"??_);_(@_)</c:formatCode>
                <c:ptCount val="25"/>
                <c:pt idx="0">
                  <c:v>133.15179217362709</c:v>
                </c:pt>
                <c:pt idx="1">
                  <c:v>138.19891483064779</c:v>
                </c:pt>
                <c:pt idx="2">
                  <c:v>118.8328510358434</c:v>
                </c:pt>
                <c:pt idx="3">
                  <c:v>135.76550476816831</c:v>
                </c:pt>
                <c:pt idx="4">
                  <c:v>132.71848076290701</c:v>
                </c:pt>
                <c:pt idx="5">
                  <c:v>115.9839526471555</c:v>
                </c:pt>
                <c:pt idx="6">
                  <c:v>111.13850707004271</c:v>
                </c:pt>
                <c:pt idx="7">
                  <c:v>118.4721473199605</c:v>
                </c:pt>
                <c:pt idx="8">
                  <c:v>133.28000657678399</c:v>
                </c:pt>
                <c:pt idx="9">
                  <c:v>139.9343965800723</c:v>
                </c:pt>
                <c:pt idx="10">
                  <c:v>133.00730023018741</c:v>
                </c:pt>
                <c:pt idx="11">
                  <c:v>135.87921736270971</c:v>
                </c:pt>
                <c:pt idx="12">
                  <c:v>134.97793488983891</c:v>
                </c:pt>
                <c:pt idx="13">
                  <c:v>139.86487997369289</c:v>
                </c:pt>
                <c:pt idx="14">
                  <c:v>139.42604406445241</c:v>
                </c:pt>
                <c:pt idx="15">
                  <c:v>136.62354488655049</c:v>
                </c:pt>
                <c:pt idx="16">
                  <c:v>128.0726076948371</c:v>
                </c:pt>
                <c:pt idx="17">
                  <c:v>134.2877671818481</c:v>
                </c:pt>
                <c:pt idx="18">
                  <c:v>138.89852022361069</c:v>
                </c:pt>
                <c:pt idx="19">
                  <c:v>123.23535021374541</c:v>
                </c:pt>
                <c:pt idx="20">
                  <c:v>140.65787569878341</c:v>
                </c:pt>
                <c:pt idx="21">
                  <c:v>129.38188096021051</c:v>
                </c:pt>
                <c:pt idx="22">
                  <c:v>122.30384741861231</c:v>
                </c:pt>
                <c:pt idx="23">
                  <c:v>136.8870766195331</c:v>
                </c:pt>
                <c:pt idx="24">
                  <c:v>126.7697467938178</c:v>
                </c:pt>
              </c:numCache>
            </c:numRef>
          </c:val>
          <c:smooth val="0"/>
        </c:ser>
        <c:dLbls>
          <c:showLegendKey val="0"/>
          <c:showVal val="0"/>
          <c:showCatName val="0"/>
          <c:showSerName val="0"/>
          <c:showPercent val="0"/>
          <c:showBubbleSize val="0"/>
        </c:dLbls>
        <c:marker val="1"/>
        <c:smooth val="0"/>
        <c:axId val="81132928"/>
        <c:axId val="81147008"/>
      </c:lineChart>
      <c:catAx>
        <c:axId val="81132928"/>
        <c:scaling>
          <c:orientation val="minMax"/>
        </c:scaling>
        <c:delete val="0"/>
        <c:axPos val="b"/>
        <c:numFmt formatCode="General" sourceLinked="0"/>
        <c:majorTickMark val="out"/>
        <c:minorTickMark val="none"/>
        <c:tickLblPos val="nextTo"/>
        <c:txPr>
          <a:bodyPr/>
          <a:lstStyle/>
          <a:p>
            <a:pPr>
              <a:defRPr sz="700"/>
            </a:pPr>
            <a:endParaRPr lang="es-CO"/>
          </a:p>
        </c:txPr>
        <c:crossAx val="81147008"/>
        <c:crosses val="autoZero"/>
        <c:auto val="1"/>
        <c:lblAlgn val="ctr"/>
        <c:lblOffset val="100"/>
        <c:noMultiLvlLbl val="0"/>
      </c:catAx>
      <c:valAx>
        <c:axId val="81147008"/>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1132928"/>
        <c:crosses val="autoZero"/>
        <c:crossBetween val="between"/>
      </c:valAx>
      <c:valAx>
        <c:axId val="81148928"/>
        <c:scaling>
          <c:orientation val="minMax"/>
          <c:min val="-0.15"/>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1151104"/>
        <c:crosses val="max"/>
        <c:crossBetween val="between"/>
      </c:valAx>
      <c:catAx>
        <c:axId val="81151104"/>
        <c:scaling>
          <c:orientation val="minMax"/>
        </c:scaling>
        <c:delete val="1"/>
        <c:axPos val="b"/>
        <c:numFmt formatCode="General" sourceLinked="1"/>
        <c:majorTickMark val="out"/>
        <c:minorTickMark val="none"/>
        <c:tickLblPos val="nextTo"/>
        <c:crossAx val="81148928"/>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dinámica12</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VTD!$D$194</c:f>
              <c:strCache>
                <c:ptCount val="1"/>
                <c:pt idx="0">
                  <c:v>Variación (%)</c:v>
                </c:pt>
              </c:strCache>
            </c:strRef>
          </c:tx>
          <c:invertIfNegative val="0"/>
          <c:cat>
            <c:strRef>
              <c:f>VTD!$A$195:$A$220</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VTD!$D$195:$D$220</c:f>
              <c:numCache>
                <c:formatCode>0.00%</c:formatCode>
                <c:ptCount val="25"/>
                <c:pt idx="1">
                  <c:v>-2.7192741680275901E-2</c:v>
                </c:pt>
                <c:pt idx="2">
                  <c:v>2.4237693237880099E-2</c:v>
                </c:pt>
                <c:pt idx="3">
                  <c:v>7.47166351739878E-2</c:v>
                </c:pt>
                <c:pt idx="4">
                  <c:v>2.5155228088199699E-2</c:v>
                </c:pt>
                <c:pt idx="5">
                  <c:v>-3.9094025994933501E-2</c:v>
                </c:pt>
                <c:pt idx="6">
                  <c:v>-1.7450371415943201E-3</c:v>
                </c:pt>
                <c:pt idx="7">
                  <c:v>-8.8783760040500505E-3</c:v>
                </c:pt>
                <c:pt idx="8">
                  <c:v>-0.10104052066779901</c:v>
                </c:pt>
                <c:pt idx="9">
                  <c:v>0.16288848284777099</c:v>
                </c:pt>
                <c:pt idx="10">
                  <c:v>-7.6936939034705304E-2</c:v>
                </c:pt>
                <c:pt idx="11">
                  <c:v>2.82356244433811E-2</c:v>
                </c:pt>
                <c:pt idx="12">
                  <c:v>5.5382933333333599E-2</c:v>
                </c:pt>
                <c:pt idx="13">
                  <c:v>7.2355411722911404E-3</c:v>
                </c:pt>
                <c:pt idx="14">
                  <c:v>-3.3750911240988703E-2</c:v>
                </c:pt>
                <c:pt idx="15">
                  <c:v>0.16217540981053</c:v>
                </c:pt>
                <c:pt idx="16">
                  <c:v>-3.7614678079298598E-3</c:v>
                </c:pt>
                <c:pt idx="17">
                  <c:v>4.3165696700560599E-2</c:v>
                </c:pt>
                <c:pt idx="18">
                  <c:v>4.9731003665434502E-2</c:v>
                </c:pt>
                <c:pt idx="19">
                  <c:v>-0.12152280492814301</c:v>
                </c:pt>
                <c:pt idx="20">
                  <c:v>8.6563900783448305E-2</c:v>
                </c:pt>
                <c:pt idx="21">
                  <c:v>4.5695149709205699E-2</c:v>
                </c:pt>
                <c:pt idx="22">
                  <c:v>-0.16249600974238301</c:v>
                </c:pt>
                <c:pt idx="23">
                  <c:v>0.13800239374510501</c:v>
                </c:pt>
                <c:pt idx="24">
                  <c:v>-5.2239136883044698E-2</c:v>
                </c:pt>
              </c:numCache>
            </c:numRef>
          </c:val>
        </c:ser>
        <c:dLbls>
          <c:showLegendKey val="0"/>
          <c:showVal val="0"/>
          <c:showCatName val="0"/>
          <c:showSerName val="0"/>
          <c:showPercent val="0"/>
          <c:showBubbleSize val="0"/>
        </c:dLbls>
        <c:gapWidth val="150"/>
        <c:axId val="81204352"/>
        <c:axId val="81198080"/>
      </c:barChart>
      <c:lineChart>
        <c:grouping val="standard"/>
        <c:varyColors val="0"/>
        <c:ser>
          <c:idx val="0"/>
          <c:order val="0"/>
          <c:tx>
            <c:strRef>
              <c:f>VTD!$B$194</c:f>
              <c:strCache>
                <c:ptCount val="1"/>
                <c:pt idx="0">
                  <c:v>Capacidad nominal</c:v>
                </c:pt>
              </c:strCache>
            </c:strRef>
          </c:tx>
          <c:marker>
            <c:symbol val="none"/>
          </c:marker>
          <c:cat>
            <c:strRef>
              <c:f>VTD!$A$195:$A$220</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VTD!$B$195:$B$220</c:f>
              <c:numCache>
                <c:formatCode>0.0</c:formatCode>
                <c:ptCount val="25"/>
                <c:pt idx="0">
                  <c:v>75.8</c:v>
                </c:pt>
                <c:pt idx="1">
                  <c:v>75.8</c:v>
                </c:pt>
                <c:pt idx="2">
                  <c:v>75.8</c:v>
                </c:pt>
                <c:pt idx="3">
                  <c:v>75.8</c:v>
                </c:pt>
                <c:pt idx="4">
                  <c:v>75.8</c:v>
                </c:pt>
                <c:pt idx="5">
                  <c:v>75.8</c:v>
                </c:pt>
                <c:pt idx="6">
                  <c:v>75.8</c:v>
                </c:pt>
                <c:pt idx="7">
                  <c:v>75.8</c:v>
                </c:pt>
                <c:pt idx="8">
                  <c:v>75.8</c:v>
                </c:pt>
                <c:pt idx="9">
                  <c:v>75.8</c:v>
                </c:pt>
                <c:pt idx="10">
                  <c:v>75.8</c:v>
                </c:pt>
                <c:pt idx="11">
                  <c:v>75.8</c:v>
                </c:pt>
                <c:pt idx="12">
                  <c:v>75.8</c:v>
                </c:pt>
                <c:pt idx="13">
                  <c:v>75.8</c:v>
                </c:pt>
                <c:pt idx="14">
                  <c:v>75.8</c:v>
                </c:pt>
                <c:pt idx="15">
                  <c:v>75.8</c:v>
                </c:pt>
                <c:pt idx="16">
                  <c:v>75.8</c:v>
                </c:pt>
                <c:pt idx="17">
                  <c:v>75.8</c:v>
                </c:pt>
                <c:pt idx="18">
                  <c:v>75.8</c:v>
                </c:pt>
                <c:pt idx="19">
                  <c:v>75.8</c:v>
                </c:pt>
                <c:pt idx="20">
                  <c:v>75.8</c:v>
                </c:pt>
                <c:pt idx="21">
                  <c:v>75.8</c:v>
                </c:pt>
                <c:pt idx="22">
                  <c:v>75.8</c:v>
                </c:pt>
                <c:pt idx="23">
                  <c:v>75.8</c:v>
                </c:pt>
                <c:pt idx="24">
                  <c:v>75.8</c:v>
                </c:pt>
              </c:numCache>
            </c:numRef>
          </c:val>
          <c:smooth val="0"/>
        </c:ser>
        <c:ser>
          <c:idx val="1"/>
          <c:order val="1"/>
          <c:tx>
            <c:strRef>
              <c:f>VTD!$C$194</c:f>
              <c:strCache>
                <c:ptCount val="1"/>
                <c:pt idx="0">
                  <c:v>Cantidad transportada</c:v>
                </c:pt>
              </c:strCache>
            </c:strRef>
          </c:tx>
          <c:marker>
            <c:symbol val="none"/>
          </c:marker>
          <c:cat>
            <c:strRef>
              <c:f>VTD!$A$195:$A$220</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VTD!$C$195:$C$220</c:f>
              <c:numCache>
                <c:formatCode>_(* #,##0.00_);_(* \(#,##0.00\);_(* "-"??_);_(@_)</c:formatCode>
                <c:ptCount val="25"/>
                <c:pt idx="0">
                  <c:v>59.541828345938853</c:v>
                </c:pt>
                <c:pt idx="1">
                  <c:v>57.922722788556399</c:v>
                </c:pt>
                <c:pt idx="2">
                  <c:v>59.326635975008202</c:v>
                </c:pt>
                <c:pt idx="3">
                  <c:v>63.759322591252847</c:v>
                </c:pt>
                <c:pt idx="4">
                  <c:v>65.363202893784901</c:v>
                </c:pt>
                <c:pt idx="5">
                  <c:v>62.807892140743178</c:v>
                </c:pt>
                <c:pt idx="6">
                  <c:v>62.698290036172352</c:v>
                </c:pt>
                <c:pt idx="7">
                  <c:v>62.141631042420222</c:v>
                </c:pt>
                <c:pt idx="8">
                  <c:v>55.8628082867478</c:v>
                </c:pt>
                <c:pt idx="9">
                  <c:v>64.962216376192046</c:v>
                </c:pt>
                <c:pt idx="10">
                  <c:v>59.964222295297617</c:v>
                </c:pt>
                <c:pt idx="11">
                  <c:v>61.657349556067047</c:v>
                </c:pt>
                <c:pt idx="12">
                  <c:v>65.072114436040778</c:v>
                </c:pt>
                <c:pt idx="13">
                  <c:v>65.542946399210805</c:v>
                </c:pt>
                <c:pt idx="14">
                  <c:v>63.330812232818147</c:v>
                </c:pt>
                <c:pt idx="15">
                  <c:v>73.601512660309183</c:v>
                </c:pt>
                <c:pt idx="16">
                  <c:v>73.324662939822474</c:v>
                </c:pt>
                <c:pt idx="17">
                  <c:v>76.48977310095367</c:v>
                </c:pt>
                <c:pt idx="18">
                  <c:v>80.293686287405464</c:v>
                </c:pt>
                <c:pt idx="19">
                  <c:v>70.536172311739534</c:v>
                </c:pt>
                <c:pt idx="20">
                  <c:v>76.642058533377181</c:v>
                </c:pt>
                <c:pt idx="21">
                  <c:v>80.144228872081541</c:v>
                </c:pt>
                <c:pt idx="22">
                  <c:v>67.121111476487968</c:v>
                </c:pt>
                <c:pt idx="23">
                  <c:v>76.383985531075353</c:v>
                </c:pt>
                <c:pt idx="24">
                  <c:v>72.393752055245002</c:v>
                </c:pt>
              </c:numCache>
            </c:numRef>
          </c:val>
          <c:smooth val="0"/>
        </c:ser>
        <c:dLbls>
          <c:showLegendKey val="0"/>
          <c:showVal val="0"/>
          <c:showCatName val="0"/>
          <c:showSerName val="0"/>
          <c:showPercent val="0"/>
          <c:showBubbleSize val="0"/>
        </c:dLbls>
        <c:marker val="1"/>
        <c:smooth val="0"/>
        <c:axId val="81186176"/>
        <c:axId val="81196160"/>
      </c:lineChart>
      <c:catAx>
        <c:axId val="81186176"/>
        <c:scaling>
          <c:orientation val="minMax"/>
        </c:scaling>
        <c:delete val="0"/>
        <c:axPos val="b"/>
        <c:numFmt formatCode="General" sourceLinked="0"/>
        <c:majorTickMark val="out"/>
        <c:minorTickMark val="none"/>
        <c:tickLblPos val="nextTo"/>
        <c:txPr>
          <a:bodyPr/>
          <a:lstStyle/>
          <a:p>
            <a:pPr>
              <a:defRPr sz="700"/>
            </a:pPr>
            <a:endParaRPr lang="es-CO"/>
          </a:p>
        </c:txPr>
        <c:crossAx val="81196160"/>
        <c:crosses val="autoZero"/>
        <c:auto val="1"/>
        <c:lblAlgn val="ctr"/>
        <c:lblOffset val="100"/>
        <c:noMultiLvlLbl val="0"/>
      </c:catAx>
      <c:valAx>
        <c:axId val="81196160"/>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1186176"/>
        <c:crosses val="autoZero"/>
        <c:crossBetween val="between"/>
      </c:valAx>
      <c:valAx>
        <c:axId val="81198080"/>
        <c:scaling>
          <c:orientation val="minMax"/>
          <c:min val="-0.18"/>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1204352"/>
        <c:crosses val="max"/>
        <c:crossBetween val="between"/>
      </c:valAx>
      <c:catAx>
        <c:axId val="81204352"/>
        <c:scaling>
          <c:orientation val="minMax"/>
        </c:scaling>
        <c:delete val="1"/>
        <c:axPos val="b"/>
        <c:numFmt formatCode="General" sourceLinked="0"/>
        <c:majorTickMark val="out"/>
        <c:minorTickMark val="none"/>
        <c:tickLblPos val="nextTo"/>
        <c:crossAx val="81198080"/>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dinámica8</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VTD!$D$130</c:f>
              <c:strCache>
                <c:ptCount val="1"/>
                <c:pt idx="0">
                  <c:v>Variación (%)</c:v>
                </c:pt>
              </c:strCache>
            </c:strRef>
          </c:tx>
          <c:invertIfNegative val="0"/>
          <c:cat>
            <c:strRef>
              <c:f>VTD!$A$131:$A$156</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VTD!$D$131:$D$156</c:f>
              <c:numCache>
                <c:formatCode>0.00%</c:formatCode>
                <c:ptCount val="25"/>
                <c:pt idx="1">
                  <c:v>2.7524473497048899E-2</c:v>
                </c:pt>
                <c:pt idx="2">
                  <c:v>7.5031411881406301E-2</c:v>
                </c:pt>
                <c:pt idx="3">
                  <c:v>-1.7523498630271701E-2</c:v>
                </c:pt>
                <c:pt idx="4">
                  <c:v>1.2259413701992501E-2</c:v>
                </c:pt>
                <c:pt idx="5">
                  <c:v>-0.14975588434195999</c:v>
                </c:pt>
                <c:pt idx="6">
                  <c:v>-2.1858374031844E-2</c:v>
                </c:pt>
                <c:pt idx="7">
                  <c:v>2.1484103845619499E-2</c:v>
                </c:pt>
                <c:pt idx="8">
                  <c:v>7.6547081066128397E-3</c:v>
                </c:pt>
                <c:pt idx="9">
                  <c:v>4.4929044192028797E-2</c:v>
                </c:pt>
                <c:pt idx="10">
                  <c:v>-0.105305618174359</c:v>
                </c:pt>
                <c:pt idx="11">
                  <c:v>2.80299673327217E-2</c:v>
                </c:pt>
                <c:pt idx="12">
                  <c:v>-0.21517356829960199</c:v>
                </c:pt>
                <c:pt idx="13">
                  <c:v>0.277328258412257</c:v>
                </c:pt>
                <c:pt idx="14">
                  <c:v>-6.4150830196037401E-2</c:v>
                </c:pt>
                <c:pt idx="15">
                  <c:v>8.7454990330266894E-2</c:v>
                </c:pt>
                <c:pt idx="16">
                  <c:v>-0.23087466593302899</c:v>
                </c:pt>
                <c:pt idx="17">
                  <c:v>0.13681279022975701</c:v>
                </c:pt>
                <c:pt idx="18">
                  <c:v>-3.64543533959635E-2</c:v>
                </c:pt>
                <c:pt idx="19">
                  <c:v>8.1568389624930196E-2</c:v>
                </c:pt>
                <c:pt idx="20">
                  <c:v>6.4806228299079003E-3</c:v>
                </c:pt>
                <c:pt idx="21">
                  <c:v>2.7817953909941101E-2</c:v>
                </c:pt>
                <c:pt idx="22">
                  <c:v>-0.10175065538825601</c:v>
                </c:pt>
                <c:pt idx="23">
                  <c:v>0.149563673497807</c:v>
                </c:pt>
                <c:pt idx="24">
                  <c:v>-9.1528075709779402E-2</c:v>
                </c:pt>
              </c:numCache>
            </c:numRef>
          </c:val>
        </c:ser>
        <c:dLbls>
          <c:showLegendKey val="0"/>
          <c:showVal val="0"/>
          <c:showCatName val="0"/>
          <c:showSerName val="0"/>
          <c:showPercent val="0"/>
          <c:showBubbleSize val="0"/>
        </c:dLbls>
        <c:gapWidth val="150"/>
        <c:axId val="81257600"/>
        <c:axId val="81255424"/>
      </c:barChart>
      <c:lineChart>
        <c:grouping val="standard"/>
        <c:varyColors val="0"/>
        <c:ser>
          <c:idx val="0"/>
          <c:order val="0"/>
          <c:tx>
            <c:strRef>
              <c:f>VTD!$B$130</c:f>
              <c:strCache>
                <c:ptCount val="1"/>
                <c:pt idx="0">
                  <c:v>Capacidad nominal</c:v>
                </c:pt>
              </c:strCache>
            </c:strRef>
          </c:tx>
          <c:marker>
            <c:symbol val="none"/>
          </c:marker>
          <c:cat>
            <c:strRef>
              <c:f>VTD!$A$131:$A$156</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VTD!$B$131:$B$156</c:f>
              <c:numCache>
                <c:formatCode>0.0</c:formatCode>
                <c:ptCount val="25"/>
                <c:pt idx="0">
                  <c:v>14.4</c:v>
                </c:pt>
                <c:pt idx="1">
                  <c:v>14.4</c:v>
                </c:pt>
                <c:pt idx="2">
                  <c:v>14.4</c:v>
                </c:pt>
                <c:pt idx="3">
                  <c:v>14.4</c:v>
                </c:pt>
                <c:pt idx="4">
                  <c:v>14.4</c:v>
                </c:pt>
                <c:pt idx="5">
                  <c:v>14.4</c:v>
                </c:pt>
                <c:pt idx="6">
                  <c:v>14.4</c:v>
                </c:pt>
                <c:pt idx="7">
                  <c:v>14.4</c:v>
                </c:pt>
                <c:pt idx="8">
                  <c:v>14.4</c:v>
                </c:pt>
                <c:pt idx="9">
                  <c:v>14.4</c:v>
                </c:pt>
                <c:pt idx="10">
                  <c:v>14.4</c:v>
                </c:pt>
                <c:pt idx="11">
                  <c:v>14.4</c:v>
                </c:pt>
                <c:pt idx="12">
                  <c:v>14.4</c:v>
                </c:pt>
                <c:pt idx="13">
                  <c:v>14.4</c:v>
                </c:pt>
                <c:pt idx="14">
                  <c:v>14.4</c:v>
                </c:pt>
                <c:pt idx="15">
                  <c:v>14.4</c:v>
                </c:pt>
                <c:pt idx="16">
                  <c:v>14.4</c:v>
                </c:pt>
                <c:pt idx="17">
                  <c:v>14.4</c:v>
                </c:pt>
                <c:pt idx="18">
                  <c:v>14.4</c:v>
                </c:pt>
                <c:pt idx="19">
                  <c:v>14.4</c:v>
                </c:pt>
                <c:pt idx="20">
                  <c:v>14.4</c:v>
                </c:pt>
                <c:pt idx="21">
                  <c:v>14.4</c:v>
                </c:pt>
                <c:pt idx="22">
                  <c:v>14.4</c:v>
                </c:pt>
                <c:pt idx="23">
                  <c:v>14.4</c:v>
                </c:pt>
                <c:pt idx="24">
                  <c:v>14.4</c:v>
                </c:pt>
              </c:numCache>
            </c:numRef>
          </c:val>
          <c:smooth val="0"/>
        </c:ser>
        <c:ser>
          <c:idx val="1"/>
          <c:order val="1"/>
          <c:tx>
            <c:strRef>
              <c:f>VTD!$C$130</c:f>
              <c:strCache>
                <c:ptCount val="1"/>
                <c:pt idx="0">
                  <c:v>Cantidad transportada</c:v>
                </c:pt>
              </c:strCache>
            </c:strRef>
          </c:tx>
          <c:marker>
            <c:symbol val="none"/>
          </c:marker>
          <c:cat>
            <c:strRef>
              <c:f>VTD!$A$131:$A$156</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VTD!$C$131:$C$156</c:f>
              <c:numCache>
                <c:formatCode>_(* #,##0.00_);_(* \(#,##0.00\);_(* "-"??_);_(@_)</c:formatCode>
                <c:ptCount val="25"/>
                <c:pt idx="0">
                  <c:v>7.2590924038145346</c:v>
                </c:pt>
                <c:pt idx="1">
                  <c:v>7.4588951002959556</c:v>
                </c:pt>
                <c:pt idx="2">
                  <c:v>8.0185465307464661</c:v>
                </c:pt>
                <c:pt idx="3">
                  <c:v>7.8780335415981586</c:v>
                </c:pt>
                <c:pt idx="4">
                  <c:v>7.9746136139427843</c:v>
                </c:pt>
                <c:pt idx="5">
                  <c:v>6.7803682999013501</c:v>
                </c:pt>
                <c:pt idx="6">
                  <c:v>6.6321604735284456</c:v>
                </c:pt>
                <c:pt idx="7">
                  <c:v>6.7746464978625438</c:v>
                </c:pt>
                <c:pt idx="8">
                  <c:v>6.8265044393291676</c:v>
                </c:pt>
                <c:pt idx="9">
                  <c:v>7.1332127589608696</c:v>
                </c:pt>
                <c:pt idx="10">
                  <c:v>6.3820453798092727</c:v>
                </c:pt>
                <c:pt idx="11">
                  <c:v>6.560933903321275</c:v>
                </c:pt>
                <c:pt idx="12">
                  <c:v>5.1491943439657986</c:v>
                </c:pt>
                <c:pt idx="13">
                  <c:v>6.5772114436040781</c:v>
                </c:pt>
                <c:pt idx="14">
                  <c:v>6.1552778691219974</c:v>
                </c:pt>
                <c:pt idx="15">
                  <c:v>6.6935876356461677</c:v>
                </c:pt>
                <c:pt idx="16">
                  <c:v>5.1482078263729028</c:v>
                </c:pt>
                <c:pt idx="17">
                  <c:v>5.8525485037816507</c:v>
                </c:pt>
                <c:pt idx="18">
                  <c:v>5.639197632357777</c:v>
                </c:pt>
                <c:pt idx="19">
                  <c:v>6.0991779020059189</c:v>
                </c:pt>
                <c:pt idx="20">
                  <c:v>6.13870437356133</c:v>
                </c:pt>
                <c:pt idx="21">
                  <c:v>6.3094705688918111</c:v>
                </c:pt>
                <c:pt idx="22">
                  <c:v>5.6674778033541582</c:v>
                </c:pt>
                <c:pt idx="23">
                  <c:v>6.5151266030910886</c:v>
                </c:pt>
                <c:pt idx="24">
                  <c:v>5.9188096021045711</c:v>
                </c:pt>
              </c:numCache>
            </c:numRef>
          </c:val>
          <c:smooth val="0"/>
        </c:ser>
        <c:dLbls>
          <c:showLegendKey val="0"/>
          <c:showVal val="0"/>
          <c:showCatName val="0"/>
          <c:showSerName val="0"/>
          <c:showPercent val="0"/>
          <c:showBubbleSize val="0"/>
        </c:dLbls>
        <c:marker val="1"/>
        <c:smooth val="0"/>
        <c:axId val="81235328"/>
        <c:axId val="81253504"/>
      </c:lineChart>
      <c:catAx>
        <c:axId val="81235328"/>
        <c:scaling>
          <c:orientation val="minMax"/>
        </c:scaling>
        <c:delete val="0"/>
        <c:axPos val="b"/>
        <c:numFmt formatCode="General" sourceLinked="0"/>
        <c:majorTickMark val="out"/>
        <c:minorTickMark val="none"/>
        <c:tickLblPos val="nextTo"/>
        <c:txPr>
          <a:bodyPr/>
          <a:lstStyle/>
          <a:p>
            <a:pPr>
              <a:defRPr sz="600"/>
            </a:pPr>
            <a:endParaRPr lang="es-CO"/>
          </a:p>
        </c:txPr>
        <c:crossAx val="81253504"/>
        <c:crosses val="autoZero"/>
        <c:auto val="1"/>
        <c:lblAlgn val="ctr"/>
        <c:lblOffset val="100"/>
        <c:noMultiLvlLbl val="0"/>
      </c:catAx>
      <c:valAx>
        <c:axId val="81253504"/>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1235328"/>
        <c:crosses val="autoZero"/>
        <c:crossBetween val="between"/>
      </c:valAx>
      <c:valAx>
        <c:axId val="81255424"/>
        <c:scaling>
          <c:orientation val="minMax"/>
          <c:min val="-0.25"/>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1257600"/>
        <c:crosses val="max"/>
        <c:crossBetween val="between"/>
      </c:valAx>
      <c:catAx>
        <c:axId val="81257600"/>
        <c:scaling>
          <c:orientation val="minMax"/>
        </c:scaling>
        <c:delete val="1"/>
        <c:axPos val="b"/>
        <c:numFmt formatCode="General" sourceLinked="1"/>
        <c:majorTickMark val="out"/>
        <c:minorTickMark val="none"/>
        <c:tickLblPos val="nextTo"/>
        <c:crossAx val="81255424"/>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dinámica36</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VTD!$D$545</c:f>
              <c:strCache>
                <c:ptCount val="1"/>
                <c:pt idx="0">
                  <c:v>Variación (%)</c:v>
                </c:pt>
              </c:strCache>
            </c:strRef>
          </c:tx>
          <c:invertIfNegative val="0"/>
          <c:cat>
            <c:strRef>
              <c:f>VTD!$A$546:$A$571</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VTD!$D$546:$D$571</c:f>
              <c:numCache>
                <c:formatCode>0.00%</c:formatCode>
                <c:ptCount val="25"/>
                <c:pt idx="1">
                  <c:v>-5.7017801248229201E-2</c:v>
                </c:pt>
                <c:pt idx="2">
                  <c:v>3.4380086738231501E-2</c:v>
                </c:pt>
                <c:pt idx="3">
                  <c:v>6.4707334758529994E-2</c:v>
                </c:pt>
                <c:pt idx="4">
                  <c:v>-2.8357494800526701E-2</c:v>
                </c:pt>
                <c:pt idx="5">
                  <c:v>-2.67236255067047E-2</c:v>
                </c:pt>
                <c:pt idx="6">
                  <c:v>6.8169313565339298E-2</c:v>
                </c:pt>
                <c:pt idx="7">
                  <c:v>-1.7696131886238201E-2</c:v>
                </c:pt>
                <c:pt idx="8">
                  <c:v>4.0548006398930699E-2</c:v>
                </c:pt>
                <c:pt idx="9">
                  <c:v>-1.1571326423711801E-3</c:v>
                </c:pt>
                <c:pt idx="10">
                  <c:v>-9.0287611595547601E-2</c:v>
                </c:pt>
                <c:pt idx="11">
                  <c:v>0.131956943626375</c:v>
                </c:pt>
                <c:pt idx="12">
                  <c:v>-4.9065967896080101E-2</c:v>
                </c:pt>
                <c:pt idx="13">
                  <c:v>9.9199264011789801E-2</c:v>
                </c:pt>
                <c:pt idx="14">
                  <c:v>-5.3876788455512102E-2</c:v>
                </c:pt>
                <c:pt idx="15">
                  <c:v>3.8905810332165502E-2</c:v>
                </c:pt>
                <c:pt idx="16">
                  <c:v>-9.6061210571413994E-2</c:v>
                </c:pt>
                <c:pt idx="17">
                  <c:v>3.8958226994787098E-2</c:v>
                </c:pt>
                <c:pt idx="18">
                  <c:v>-6.9381531822189802E-3</c:v>
                </c:pt>
                <c:pt idx="19">
                  <c:v>2.3901506437461702E-2</c:v>
                </c:pt>
                <c:pt idx="20">
                  <c:v>5.6056098358069503E-2</c:v>
                </c:pt>
                <c:pt idx="21">
                  <c:v>-5.8452160226226797E-2</c:v>
                </c:pt>
                <c:pt idx="22">
                  <c:v>7.65368644890186E-3</c:v>
                </c:pt>
                <c:pt idx="23">
                  <c:v>9.9433198152885399E-2</c:v>
                </c:pt>
                <c:pt idx="24">
                  <c:v>-0.123713627508087</c:v>
                </c:pt>
              </c:numCache>
            </c:numRef>
          </c:val>
        </c:ser>
        <c:dLbls>
          <c:showLegendKey val="0"/>
          <c:showVal val="0"/>
          <c:showCatName val="0"/>
          <c:showSerName val="0"/>
          <c:showPercent val="0"/>
          <c:showBubbleSize val="0"/>
        </c:dLbls>
        <c:gapWidth val="150"/>
        <c:axId val="81774080"/>
        <c:axId val="81767808"/>
      </c:barChart>
      <c:lineChart>
        <c:grouping val="standard"/>
        <c:varyColors val="0"/>
        <c:ser>
          <c:idx val="0"/>
          <c:order val="0"/>
          <c:tx>
            <c:strRef>
              <c:f>VTD!$B$545</c:f>
              <c:strCache>
                <c:ptCount val="1"/>
                <c:pt idx="0">
                  <c:v>Capacidad nominal</c:v>
                </c:pt>
              </c:strCache>
            </c:strRef>
          </c:tx>
          <c:marker>
            <c:symbol val="none"/>
          </c:marker>
          <c:cat>
            <c:strRef>
              <c:f>VTD!$A$546:$A$571</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VTD!$B$546:$B$571</c:f>
              <c:numCache>
                <c:formatCode>0.0</c:formatCode>
                <c:ptCount val="25"/>
                <c:pt idx="0">
                  <c:v>68.400000000000006</c:v>
                </c:pt>
                <c:pt idx="1">
                  <c:v>68.400000000000006</c:v>
                </c:pt>
                <c:pt idx="2">
                  <c:v>68.400000000000006</c:v>
                </c:pt>
                <c:pt idx="3">
                  <c:v>68.400000000000006</c:v>
                </c:pt>
                <c:pt idx="4">
                  <c:v>68.400000000000006</c:v>
                </c:pt>
                <c:pt idx="5">
                  <c:v>68.400000000000006</c:v>
                </c:pt>
                <c:pt idx="6">
                  <c:v>68.400000000000006</c:v>
                </c:pt>
                <c:pt idx="7">
                  <c:v>68.400000000000006</c:v>
                </c:pt>
                <c:pt idx="8">
                  <c:v>68.400000000000006</c:v>
                </c:pt>
                <c:pt idx="9">
                  <c:v>68.400000000000006</c:v>
                </c:pt>
                <c:pt idx="10">
                  <c:v>68.400000000000006</c:v>
                </c:pt>
                <c:pt idx="11">
                  <c:v>68.400000000000006</c:v>
                </c:pt>
                <c:pt idx="12">
                  <c:v>68.400000000000006</c:v>
                </c:pt>
                <c:pt idx="13">
                  <c:v>68.400000000000006</c:v>
                </c:pt>
                <c:pt idx="14">
                  <c:v>68.400000000000006</c:v>
                </c:pt>
                <c:pt idx="15">
                  <c:v>68.400000000000006</c:v>
                </c:pt>
                <c:pt idx="16">
                  <c:v>68.400000000000006</c:v>
                </c:pt>
                <c:pt idx="17">
                  <c:v>68.400000000000006</c:v>
                </c:pt>
                <c:pt idx="18">
                  <c:v>68.400000000000006</c:v>
                </c:pt>
                <c:pt idx="19">
                  <c:v>68.400000000000006</c:v>
                </c:pt>
                <c:pt idx="20">
                  <c:v>68.400000000000006</c:v>
                </c:pt>
                <c:pt idx="21">
                  <c:v>68.400000000000006</c:v>
                </c:pt>
                <c:pt idx="22">
                  <c:v>68.400000000000006</c:v>
                </c:pt>
                <c:pt idx="23">
                  <c:v>68.400000000000006</c:v>
                </c:pt>
                <c:pt idx="24">
                  <c:v>68.400000000000006</c:v>
                </c:pt>
              </c:numCache>
            </c:numRef>
          </c:val>
          <c:smooth val="0"/>
        </c:ser>
        <c:ser>
          <c:idx val="1"/>
          <c:order val="1"/>
          <c:tx>
            <c:strRef>
              <c:f>VTD!$C$545</c:f>
              <c:strCache>
                <c:ptCount val="1"/>
                <c:pt idx="0">
                  <c:v>Cantidad transportada</c:v>
                </c:pt>
              </c:strCache>
            </c:strRef>
          </c:tx>
          <c:marker>
            <c:symbol val="none"/>
          </c:marker>
          <c:cat>
            <c:strRef>
              <c:f>VTD!$A$546:$A$571</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VTD!$C$546:$C$571</c:f>
              <c:numCache>
                <c:formatCode>_(* #,##0.00_);_(* \(#,##0.00\);_(* "-"??_);_(@_)</c:formatCode>
                <c:ptCount val="25"/>
                <c:pt idx="0">
                  <c:v>43.14695823742192</c:v>
                </c:pt>
                <c:pt idx="1">
                  <c:v>40.68681354817496</c:v>
                </c:pt>
                <c:pt idx="2">
                  <c:v>42.085629727063449</c:v>
                </c:pt>
                <c:pt idx="3">
                  <c:v>44.808878658336077</c:v>
                </c:pt>
                <c:pt idx="4">
                  <c:v>43.538211114764898</c:v>
                </c:pt>
                <c:pt idx="5">
                  <c:v>42.374712265702058</c:v>
                </c:pt>
                <c:pt idx="6">
                  <c:v>45.263367313383739</c:v>
                </c:pt>
                <c:pt idx="7">
                  <c:v>44.462380795790857</c:v>
                </c:pt>
                <c:pt idx="8">
                  <c:v>46.265241696810278</c:v>
                </c:pt>
                <c:pt idx="9">
                  <c:v>46.211706675435707</c:v>
                </c:pt>
                <c:pt idx="10">
                  <c:v>42.039362051956587</c:v>
                </c:pt>
                <c:pt idx="11">
                  <c:v>47.586747780335401</c:v>
                </c:pt>
                <c:pt idx="12">
                  <c:v>45.251857941466596</c:v>
                </c:pt>
                <c:pt idx="13">
                  <c:v>49.740808944426163</c:v>
                </c:pt>
                <c:pt idx="14">
                  <c:v>47.060933903321271</c:v>
                </c:pt>
                <c:pt idx="15">
                  <c:v>48.891877671818442</c:v>
                </c:pt>
                <c:pt idx="16">
                  <c:v>44.195264715554103</c:v>
                </c:pt>
                <c:pt idx="17">
                  <c:v>45.917033870437351</c:v>
                </c:pt>
                <c:pt idx="18">
                  <c:v>45.598454455771133</c:v>
                </c:pt>
                <c:pt idx="19">
                  <c:v>46.688326208484042</c:v>
                </c:pt>
                <c:pt idx="20">
                  <c:v>49.305491614600449</c:v>
                </c:pt>
                <c:pt idx="21">
                  <c:v>46.423479118710951</c:v>
                </c:pt>
                <c:pt idx="22">
                  <c:v>46.778789871752707</c:v>
                </c:pt>
                <c:pt idx="23">
                  <c:v>51.430154554422877</c:v>
                </c:pt>
                <c:pt idx="24">
                  <c:v>45.067543571193667</c:v>
                </c:pt>
              </c:numCache>
            </c:numRef>
          </c:val>
          <c:smooth val="0"/>
        </c:ser>
        <c:dLbls>
          <c:showLegendKey val="0"/>
          <c:showVal val="0"/>
          <c:showCatName val="0"/>
          <c:showSerName val="0"/>
          <c:showPercent val="0"/>
          <c:showBubbleSize val="0"/>
        </c:dLbls>
        <c:marker val="1"/>
        <c:smooth val="0"/>
        <c:axId val="81764352"/>
        <c:axId val="81765888"/>
      </c:lineChart>
      <c:catAx>
        <c:axId val="81764352"/>
        <c:scaling>
          <c:orientation val="minMax"/>
        </c:scaling>
        <c:delete val="0"/>
        <c:axPos val="b"/>
        <c:numFmt formatCode="General" sourceLinked="0"/>
        <c:majorTickMark val="out"/>
        <c:minorTickMark val="none"/>
        <c:tickLblPos val="nextTo"/>
        <c:txPr>
          <a:bodyPr/>
          <a:lstStyle/>
          <a:p>
            <a:pPr>
              <a:defRPr sz="700"/>
            </a:pPr>
            <a:endParaRPr lang="es-CO"/>
          </a:p>
        </c:txPr>
        <c:crossAx val="81765888"/>
        <c:crosses val="autoZero"/>
        <c:auto val="1"/>
        <c:lblAlgn val="ctr"/>
        <c:lblOffset val="100"/>
        <c:noMultiLvlLbl val="0"/>
      </c:catAx>
      <c:valAx>
        <c:axId val="81765888"/>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1764352"/>
        <c:crosses val="autoZero"/>
        <c:crossBetween val="between"/>
      </c:valAx>
      <c:valAx>
        <c:axId val="81767808"/>
        <c:scaling>
          <c:orientation val="minMax"/>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1774080"/>
        <c:crosses val="max"/>
        <c:crossBetween val="between"/>
      </c:valAx>
      <c:catAx>
        <c:axId val="81774080"/>
        <c:scaling>
          <c:orientation val="minMax"/>
        </c:scaling>
        <c:delete val="1"/>
        <c:axPos val="b"/>
        <c:numFmt formatCode="General" sourceLinked="0"/>
        <c:majorTickMark val="out"/>
        <c:minorTickMark val="none"/>
        <c:tickLblPos val="nextTo"/>
        <c:crossAx val="81767808"/>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dinámica18</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VTD!$D$290</c:f>
              <c:strCache>
                <c:ptCount val="1"/>
                <c:pt idx="0">
                  <c:v>Variación (%)</c:v>
                </c:pt>
              </c:strCache>
            </c:strRef>
          </c:tx>
          <c:invertIfNegative val="0"/>
          <c:cat>
            <c:strRef>
              <c:f>VTD!$A$291:$A$316</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Sep</c:v>
                </c:pt>
                <c:pt idx="17">
                  <c:v>2014 Ago</c:v>
                </c:pt>
                <c:pt idx="18">
                  <c:v>2014 Oct</c:v>
                </c:pt>
                <c:pt idx="19">
                  <c:v>2014 Nov</c:v>
                </c:pt>
                <c:pt idx="20">
                  <c:v>2014 Dic</c:v>
                </c:pt>
                <c:pt idx="21">
                  <c:v>2015 Ene</c:v>
                </c:pt>
                <c:pt idx="22">
                  <c:v>2015 Feb</c:v>
                </c:pt>
                <c:pt idx="23">
                  <c:v>2015 Mar</c:v>
                </c:pt>
                <c:pt idx="24">
                  <c:v>2015 Abr</c:v>
                </c:pt>
              </c:strCache>
            </c:strRef>
          </c:cat>
          <c:val>
            <c:numRef>
              <c:f>VTD!$D$291:$D$316</c:f>
              <c:numCache>
                <c:formatCode>0.00%</c:formatCode>
                <c:ptCount val="25"/>
                <c:pt idx="1">
                  <c:v>-7.1646110088231504E-2</c:v>
                </c:pt>
                <c:pt idx="2">
                  <c:v>4.0715828009347997E-2</c:v>
                </c:pt>
                <c:pt idx="3">
                  <c:v>0.125794035682085</c:v>
                </c:pt>
                <c:pt idx="4">
                  <c:v>-0.104393712563497</c:v>
                </c:pt>
                <c:pt idx="5">
                  <c:v>6.4908935097840098E-2</c:v>
                </c:pt>
                <c:pt idx="6">
                  <c:v>4.7839957759739003E-2</c:v>
                </c:pt>
                <c:pt idx="7">
                  <c:v>-1.3086140559901999E-2</c:v>
                </c:pt>
                <c:pt idx="8">
                  <c:v>-6.2651962420202406E-2</c:v>
                </c:pt>
                <c:pt idx="9">
                  <c:v>0.10810429463957499</c:v>
                </c:pt>
                <c:pt idx="10">
                  <c:v>-8.0077702792740194E-2</c:v>
                </c:pt>
                <c:pt idx="11">
                  <c:v>0.112953276142344</c:v>
                </c:pt>
                <c:pt idx="12">
                  <c:v>-3.8703435629489497E-2</c:v>
                </c:pt>
                <c:pt idx="13">
                  <c:v>8.2825103877386799E-2</c:v>
                </c:pt>
                <c:pt idx="14">
                  <c:v>1.5029550613935801E-2</c:v>
                </c:pt>
                <c:pt idx="15">
                  <c:v>1.4648234327949801E-2</c:v>
                </c:pt>
                <c:pt idx="16">
                  <c:v>-6.2858322249232004E-2</c:v>
                </c:pt>
                <c:pt idx="17">
                  <c:v>-6.4241656530469093E-2</c:v>
                </c:pt>
                <c:pt idx="18">
                  <c:v>-4.4871676542435603E-2</c:v>
                </c:pt>
                <c:pt idx="19">
                  <c:v>7.9905815050909504E-2</c:v>
                </c:pt>
                <c:pt idx="20">
                  <c:v>7.8494302929070003E-2</c:v>
                </c:pt>
                <c:pt idx="21">
                  <c:v>2.2830608226211101E-3</c:v>
                </c:pt>
                <c:pt idx="22">
                  <c:v>-1.0452495367706699E-2</c:v>
                </c:pt>
                <c:pt idx="23">
                  <c:v>7.8910860857162299E-2</c:v>
                </c:pt>
                <c:pt idx="24">
                  <c:v>-5.2897041187660802E-2</c:v>
                </c:pt>
              </c:numCache>
            </c:numRef>
          </c:val>
        </c:ser>
        <c:dLbls>
          <c:showLegendKey val="0"/>
          <c:showVal val="0"/>
          <c:showCatName val="0"/>
          <c:showSerName val="0"/>
          <c:showPercent val="0"/>
          <c:showBubbleSize val="0"/>
        </c:dLbls>
        <c:gapWidth val="150"/>
        <c:axId val="81835136"/>
        <c:axId val="81832960"/>
      </c:barChart>
      <c:lineChart>
        <c:grouping val="standard"/>
        <c:varyColors val="0"/>
        <c:ser>
          <c:idx val="0"/>
          <c:order val="0"/>
          <c:tx>
            <c:strRef>
              <c:f>VTD!$B$290</c:f>
              <c:strCache>
                <c:ptCount val="1"/>
                <c:pt idx="0">
                  <c:v>Capacidad nominal</c:v>
                </c:pt>
              </c:strCache>
            </c:strRef>
          </c:tx>
          <c:marker>
            <c:symbol val="none"/>
          </c:marker>
          <c:cat>
            <c:strRef>
              <c:f>VTD!$A$291:$A$316</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Sep</c:v>
                </c:pt>
                <c:pt idx="17">
                  <c:v>2014 Ago</c:v>
                </c:pt>
                <c:pt idx="18">
                  <c:v>2014 Oct</c:v>
                </c:pt>
                <c:pt idx="19">
                  <c:v>2014 Nov</c:v>
                </c:pt>
                <c:pt idx="20">
                  <c:v>2014 Dic</c:v>
                </c:pt>
                <c:pt idx="21">
                  <c:v>2015 Ene</c:v>
                </c:pt>
                <c:pt idx="22">
                  <c:v>2015 Feb</c:v>
                </c:pt>
                <c:pt idx="23">
                  <c:v>2015 Mar</c:v>
                </c:pt>
                <c:pt idx="24">
                  <c:v>2015 Abr</c:v>
                </c:pt>
              </c:strCache>
            </c:strRef>
          </c:cat>
          <c:val>
            <c:numRef>
              <c:f>VTD!$B$291:$B$316</c:f>
              <c:numCache>
                <c:formatCode>0.0</c:formatCode>
                <c:ptCount val="25"/>
                <c:pt idx="0">
                  <c:v>49.1</c:v>
                </c:pt>
                <c:pt idx="1">
                  <c:v>49.1</c:v>
                </c:pt>
                <c:pt idx="2">
                  <c:v>49.1</c:v>
                </c:pt>
                <c:pt idx="3">
                  <c:v>49.1</c:v>
                </c:pt>
                <c:pt idx="4">
                  <c:v>49.1</c:v>
                </c:pt>
                <c:pt idx="5">
                  <c:v>49.1</c:v>
                </c:pt>
                <c:pt idx="6">
                  <c:v>49.1</c:v>
                </c:pt>
                <c:pt idx="7">
                  <c:v>49.1</c:v>
                </c:pt>
                <c:pt idx="8">
                  <c:v>49.1</c:v>
                </c:pt>
                <c:pt idx="9">
                  <c:v>49.1</c:v>
                </c:pt>
                <c:pt idx="10">
                  <c:v>49.1</c:v>
                </c:pt>
                <c:pt idx="11">
                  <c:v>49.1</c:v>
                </c:pt>
                <c:pt idx="12">
                  <c:v>49.1</c:v>
                </c:pt>
                <c:pt idx="13">
                  <c:v>49.1</c:v>
                </c:pt>
                <c:pt idx="14">
                  <c:v>49.1</c:v>
                </c:pt>
                <c:pt idx="15">
                  <c:v>49.1</c:v>
                </c:pt>
                <c:pt idx="16">
                  <c:v>49.1</c:v>
                </c:pt>
                <c:pt idx="17">
                  <c:v>49.1</c:v>
                </c:pt>
                <c:pt idx="18">
                  <c:v>49.1</c:v>
                </c:pt>
                <c:pt idx="19">
                  <c:v>49.1</c:v>
                </c:pt>
                <c:pt idx="20">
                  <c:v>49.1</c:v>
                </c:pt>
                <c:pt idx="21">
                  <c:v>49.1</c:v>
                </c:pt>
                <c:pt idx="22">
                  <c:v>49.1</c:v>
                </c:pt>
                <c:pt idx="23">
                  <c:v>49.1</c:v>
                </c:pt>
                <c:pt idx="24">
                  <c:v>49.1</c:v>
                </c:pt>
              </c:numCache>
            </c:numRef>
          </c:val>
          <c:smooth val="0"/>
        </c:ser>
        <c:ser>
          <c:idx val="1"/>
          <c:order val="1"/>
          <c:tx>
            <c:strRef>
              <c:f>VTD!$C$290</c:f>
              <c:strCache>
                <c:ptCount val="1"/>
                <c:pt idx="0">
                  <c:v>Cantidad transportada</c:v>
                </c:pt>
              </c:strCache>
            </c:strRef>
          </c:tx>
          <c:marker>
            <c:symbol val="none"/>
          </c:marker>
          <c:cat>
            <c:strRef>
              <c:f>VTD!$A$291:$A$316</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Sep</c:v>
                </c:pt>
                <c:pt idx="17">
                  <c:v>2014 Ago</c:v>
                </c:pt>
                <c:pt idx="18">
                  <c:v>2014 Oct</c:v>
                </c:pt>
                <c:pt idx="19">
                  <c:v>2014 Nov</c:v>
                </c:pt>
                <c:pt idx="20">
                  <c:v>2014 Dic</c:v>
                </c:pt>
                <c:pt idx="21">
                  <c:v>2015 Ene</c:v>
                </c:pt>
                <c:pt idx="22">
                  <c:v>2015 Feb</c:v>
                </c:pt>
                <c:pt idx="23">
                  <c:v>2015 Mar</c:v>
                </c:pt>
                <c:pt idx="24">
                  <c:v>2015 Abr</c:v>
                </c:pt>
              </c:strCache>
            </c:strRef>
          </c:cat>
          <c:val>
            <c:numRef>
              <c:f>VTD!$C$291:$C$316</c:f>
              <c:numCache>
                <c:formatCode>_(* #,##0.00_);_(* \(#,##0.00\);_(* "-"??_);_(@_)</c:formatCode>
                <c:ptCount val="25"/>
                <c:pt idx="0">
                  <c:v>19.93199605392962</c:v>
                </c:pt>
                <c:pt idx="1">
                  <c:v>18.50394607037158</c:v>
                </c:pt>
                <c:pt idx="2">
                  <c:v>19.25734955606708</c:v>
                </c:pt>
                <c:pt idx="3">
                  <c:v>21.67980927326537</c:v>
                </c:pt>
                <c:pt idx="4">
                  <c:v>19.416573495560669</c:v>
                </c:pt>
                <c:pt idx="5">
                  <c:v>20.676882604406462</c:v>
                </c:pt>
                <c:pt idx="6">
                  <c:v>21.666063794804341</c:v>
                </c:pt>
                <c:pt idx="7">
                  <c:v>21.38253863860572</c:v>
                </c:pt>
                <c:pt idx="8">
                  <c:v>20.042880631371268</c:v>
                </c:pt>
                <c:pt idx="9">
                  <c:v>22.20960210457087</c:v>
                </c:pt>
                <c:pt idx="10">
                  <c:v>20.431108188096029</c:v>
                </c:pt>
                <c:pt idx="11">
                  <c:v>22.738868793160151</c:v>
                </c:pt>
                <c:pt idx="12">
                  <c:v>21.858796448536669</c:v>
                </c:pt>
                <c:pt idx="13">
                  <c:v>23.669253535021369</c:v>
                </c:pt>
                <c:pt idx="14">
                  <c:v>24.024991779020059</c:v>
                </c:pt>
                <c:pt idx="15">
                  <c:v>24.376915488326208</c:v>
                </c:pt>
                <c:pt idx="16">
                  <c:v>22.844623479118709</c:v>
                </c:pt>
                <c:pt idx="17">
                  <c:v>21.377047024005279</c:v>
                </c:pt>
                <c:pt idx="18">
                  <c:v>20.417823084511671</c:v>
                </c:pt>
                <c:pt idx="19">
                  <c:v>22.049325879644851</c:v>
                </c:pt>
                <c:pt idx="20">
                  <c:v>23.78007234462347</c:v>
                </c:pt>
                <c:pt idx="21">
                  <c:v>23.83436369615259</c:v>
                </c:pt>
                <c:pt idx="22">
                  <c:v>23.585235120026312</c:v>
                </c:pt>
                <c:pt idx="23">
                  <c:v>25.446366326866169</c:v>
                </c:pt>
                <c:pt idx="24">
                  <c:v>24.100328839197619</c:v>
                </c:pt>
              </c:numCache>
            </c:numRef>
          </c:val>
          <c:smooth val="0"/>
        </c:ser>
        <c:dLbls>
          <c:showLegendKey val="0"/>
          <c:showVal val="0"/>
          <c:showCatName val="0"/>
          <c:showSerName val="0"/>
          <c:showPercent val="0"/>
          <c:showBubbleSize val="0"/>
        </c:dLbls>
        <c:marker val="1"/>
        <c:smooth val="0"/>
        <c:axId val="81816960"/>
        <c:axId val="81831040"/>
      </c:lineChart>
      <c:catAx>
        <c:axId val="81816960"/>
        <c:scaling>
          <c:orientation val="minMax"/>
        </c:scaling>
        <c:delete val="0"/>
        <c:axPos val="b"/>
        <c:numFmt formatCode="General" sourceLinked="0"/>
        <c:majorTickMark val="out"/>
        <c:minorTickMark val="none"/>
        <c:tickLblPos val="nextTo"/>
        <c:txPr>
          <a:bodyPr/>
          <a:lstStyle/>
          <a:p>
            <a:pPr>
              <a:defRPr sz="700"/>
            </a:pPr>
            <a:endParaRPr lang="es-CO"/>
          </a:p>
        </c:txPr>
        <c:crossAx val="81831040"/>
        <c:crosses val="autoZero"/>
        <c:auto val="1"/>
        <c:lblAlgn val="ctr"/>
        <c:lblOffset val="100"/>
        <c:noMultiLvlLbl val="0"/>
      </c:catAx>
      <c:valAx>
        <c:axId val="81831040"/>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1816960"/>
        <c:crosses val="autoZero"/>
        <c:crossBetween val="between"/>
      </c:valAx>
      <c:valAx>
        <c:axId val="81832960"/>
        <c:scaling>
          <c:orientation val="minMax"/>
          <c:min val="-0.15"/>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1835136"/>
        <c:crosses val="max"/>
        <c:crossBetween val="between"/>
      </c:valAx>
      <c:catAx>
        <c:axId val="81835136"/>
        <c:scaling>
          <c:orientation val="minMax"/>
        </c:scaling>
        <c:delete val="1"/>
        <c:axPos val="b"/>
        <c:numFmt formatCode="General" sourceLinked="1"/>
        <c:majorTickMark val="out"/>
        <c:minorTickMark val="none"/>
        <c:tickLblPos val="nextTo"/>
        <c:crossAx val="81832960"/>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dinámica34</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0.10974091397285585"/>
          <c:y val="0.1994579323417906"/>
          <c:w val="0.77096922373591548"/>
          <c:h val="0.68498651210265371"/>
        </c:manualLayout>
      </c:layout>
      <c:barChart>
        <c:barDir val="col"/>
        <c:grouping val="clustered"/>
        <c:varyColors val="0"/>
        <c:ser>
          <c:idx val="2"/>
          <c:order val="2"/>
          <c:tx>
            <c:strRef>
              <c:f>VTD!$D$513</c:f>
              <c:strCache>
                <c:ptCount val="1"/>
                <c:pt idx="0">
                  <c:v>Variación (%)</c:v>
                </c:pt>
              </c:strCache>
            </c:strRef>
          </c:tx>
          <c:invertIfNegative val="0"/>
          <c:cat>
            <c:strRef>
              <c:f>VTD!$A$514:$A$539</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VTD!$D$514:$D$539</c:f>
              <c:numCache>
                <c:formatCode>0.00%</c:formatCode>
                <c:ptCount val="25"/>
                <c:pt idx="1">
                  <c:v>0.121196707824549</c:v>
                </c:pt>
                <c:pt idx="2">
                  <c:v>-0.18412556326878601</c:v>
                </c:pt>
                <c:pt idx="3">
                  <c:v>-2.1018353834705902E-2</c:v>
                </c:pt>
                <c:pt idx="4">
                  <c:v>0.109016153477862</c:v>
                </c:pt>
                <c:pt idx="5">
                  <c:v>-0.113427802078973</c:v>
                </c:pt>
                <c:pt idx="6">
                  <c:v>-0.24102594323163701</c:v>
                </c:pt>
                <c:pt idx="7">
                  <c:v>-5.1929874747145797E-3</c:v>
                </c:pt>
                <c:pt idx="8">
                  <c:v>0.13621645269718599</c:v>
                </c:pt>
                <c:pt idx="9">
                  <c:v>0.27872170039841798</c:v>
                </c:pt>
                <c:pt idx="10">
                  <c:v>-7.9718847256788794E-2</c:v>
                </c:pt>
                <c:pt idx="11">
                  <c:v>4.3293022469882203E-2</c:v>
                </c:pt>
                <c:pt idx="12">
                  <c:v>5.90356842330727E-3</c:v>
                </c:pt>
                <c:pt idx="13">
                  <c:v>7.9167855966626705E-2</c:v>
                </c:pt>
                <c:pt idx="14">
                  <c:v>-1.3002188507318499E-2</c:v>
                </c:pt>
                <c:pt idx="15">
                  <c:v>0.144572195397804</c:v>
                </c:pt>
                <c:pt idx="16">
                  <c:v>3.2366762879468602E-2</c:v>
                </c:pt>
                <c:pt idx="17">
                  <c:v>-4.6572970232027597E-2</c:v>
                </c:pt>
                <c:pt idx="18">
                  <c:v>2.48143271099804E-2</c:v>
                </c:pt>
                <c:pt idx="19">
                  <c:v>-0.123580727291339</c:v>
                </c:pt>
                <c:pt idx="20">
                  <c:v>0.17267186105795601</c:v>
                </c:pt>
                <c:pt idx="21">
                  <c:v>1.5171177368835E-2</c:v>
                </c:pt>
                <c:pt idx="22">
                  <c:v>-0.100719186443153</c:v>
                </c:pt>
                <c:pt idx="23">
                  <c:v>0.13902818990156801</c:v>
                </c:pt>
                <c:pt idx="24">
                  <c:v>-0.12517270394937299</c:v>
                </c:pt>
              </c:numCache>
            </c:numRef>
          </c:val>
        </c:ser>
        <c:dLbls>
          <c:showLegendKey val="0"/>
          <c:showVal val="0"/>
          <c:showCatName val="0"/>
          <c:showSerName val="0"/>
          <c:showPercent val="0"/>
          <c:showBubbleSize val="0"/>
        </c:dLbls>
        <c:gapWidth val="150"/>
        <c:axId val="81953920"/>
        <c:axId val="81951744"/>
      </c:barChart>
      <c:lineChart>
        <c:grouping val="standard"/>
        <c:varyColors val="0"/>
        <c:ser>
          <c:idx val="0"/>
          <c:order val="0"/>
          <c:tx>
            <c:strRef>
              <c:f>VTD!$B$513</c:f>
              <c:strCache>
                <c:ptCount val="1"/>
                <c:pt idx="0">
                  <c:v>Capacidad nominal</c:v>
                </c:pt>
              </c:strCache>
            </c:strRef>
          </c:tx>
          <c:marker>
            <c:symbol val="none"/>
          </c:marker>
          <c:cat>
            <c:strRef>
              <c:f>VTD!$A$514:$A$539</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VTD!$B$514:$B$539</c:f>
              <c:numCache>
                <c:formatCode>0.0</c:formatCode>
                <c:ptCount val="2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numCache>
            </c:numRef>
          </c:val>
          <c:smooth val="0"/>
        </c:ser>
        <c:ser>
          <c:idx val="1"/>
          <c:order val="1"/>
          <c:tx>
            <c:strRef>
              <c:f>VTD!$C$513</c:f>
              <c:strCache>
                <c:ptCount val="1"/>
                <c:pt idx="0">
                  <c:v>Cantidad transportada</c:v>
                </c:pt>
              </c:strCache>
            </c:strRef>
          </c:tx>
          <c:marker>
            <c:symbol val="none"/>
          </c:marker>
          <c:cat>
            <c:strRef>
              <c:f>VTD!$A$514:$A$539</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VTD!$C$514:$C$539</c:f>
              <c:numCache>
                <c:formatCode>_(* #,##0.00_);_(* \(#,##0.00\);_(* "-"??_);_(@_)</c:formatCode>
                <c:ptCount val="25"/>
                <c:pt idx="0">
                  <c:v>48.164584018414999</c:v>
                </c:pt>
                <c:pt idx="1">
                  <c:v>54.001973035185799</c:v>
                </c:pt>
                <c:pt idx="2">
                  <c:v>44.058829332456433</c:v>
                </c:pt>
                <c:pt idx="3">
                  <c:v>43.132785268003943</c:v>
                </c:pt>
                <c:pt idx="4">
                  <c:v>47.834955606708327</c:v>
                </c:pt>
                <c:pt idx="5">
                  <c:v>42.40914172969417</c:v>
                </c:pt>
                <c:pt idx="6">
                  <c:v>32.187438342650452</c:v>
                </c:pt>
                <c:pt idx="7">
                  <c:v>32.020289378493921</c:v>
                </c:pt>
                <c:pt idx="8">
                  <c:v>36.38197961196974</c:v>
                </c:pt>
                <c:pt idx="9">
                  <c:v>46.522426833278537</c:v>
                </c:pt>
                <c:pt idx="10">
                  <c:v>42.813712594541272</c:v>
                </c:pt>
                <c:pt idx="11">
                  <c:v>44.667247615915826</c:v>
                </c:pt>
                <c:pt idx="12">
                  <c:v>44.930943768497187</c:v>
                </c:pt>
                <c:pt idx="13">
                  <c:v>48.488030253206169</c:v>
                </c:pt>
                <c:pt idx="14">
                  <c:v>47.857579743505433</c:v>
                </c:pt>
                <c:pt idx="15">
                  <c:v>54.776455113449508</c:v>
                </c:pt>
                <c:pt idx="16">
                  <c:v>56.549391647484377</c:v>
                </c:pt>
                <c:pt idx="17">
                  <c:v>53.915718513646823</c:v>
                </c:pt>
                <c:pt idx="18">
                  <c:v>55.253600789214069</c:v>
                </c:pt>
                <c:pt idx="19">
                  <c:v>48.42532061821769</c:v>
                </c:pt>
                <c:pt idx="20">
                  <c:v>56.787010851693523</c:v>
                </c:pt>
                <c:pt idx="21">
                  <c:v>57.648536665570532</c:v>
                </c:pt>
                <c:pt idx="22">
                  <c:v>51.842222952976009</c:v>
                </c:pt>
                <c:pt idx="23">
                  <c:v>59.049753370601799</c:v>
                </c:pt>
                <c:pt idx="24">
                  <c:v>51.658336073659981</c:v>
                </c:pt>
              </c:numCache>
            </c:numRef>
          </c:val>
          <c:smooth val="0"/>
        </c:ser>
        <c:dLbls>
          <c:showLegendKey val="0"/>
          <c:showVal val="0"/>
          <c:showCatName val="0"/>
          <c:showSerName val="0"/>
          <c:showPercent val="0"/>
          <c:showBubbleSize val="0"/>
        </c:dLbls>
        <c:marker val="1"/>
        <c:smooth val="0"/>
        <c:axId val="81935744"/>
        <c:axId val="81949824"/>
      </c:lineChart>
      <c:catAx>
        <c:axId val="81935744"/>
        <c:scaling>
          <c:orientation val="minMax"/>
        </c:scaling>
        <c:delete val="0"/>
        <c:axPos val="b"/>
        <c:numFmt formatCode="General" sourceLinked="0"/>
        <c:majorTickMark val="out"/>
        <c:minorTickMark val="none"/>
        <c:tickLblPos val="nextTo"/>
        <c:txPr>
          <a:bodyPr/>
          <a:lstStyle/>
          <a:p>
            <a:pPr>
              <a:defRPr sz="600"/>
            </a:pPr>
            <a:endParaRPr lang="es-CO"/>
          </a:p>
        </c:txPr>
        <c:crossAx val="81949824"/>
        <c:crosses val="autoZero"/>
        <c:auto val="1"/>
        <c:lblAlgn val="ctr"/>
        <c:lblOffset val="100"/>
        <c:noMultiLvlLbl val="0"/>
      </c:catAx>
      <c:valAx>
        <c:axId val="81949824"/>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1935744"/>
        <c:crosses val="autoZero"/>
        <c:crossBetween val="between"/>
      </c:valAx>
      <c:valAx>
        <c:axId val="81951744"/>
        <c:scaling>
          <c:orientation val="minMax"/>
          <c:max val="0.3"/>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1953920"/>
        <c:crosses val="max"/>
        <c:crossBetween val="between"/>
      </c:valAx>
      <c:catAx>
        <c:axId val="81953920"/>
        <c:scaling>
          <c:orientation val="minMax"/>
        </c:scaling>
        <c:delete val="1"/>
        <c:axPos val="b"/>
        <c:numFmt formatCode="General" sourceLinked="0"/>
        <c:majorTickMark val="out"/>
        <c:minorTickMark val="none"/>
        <c:tickLblPos val="nextTo"/>
        <c:crossAx val="81951744"/>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dinámica38</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0.11689784605622851"/>
          <c:y val="0.19382082744291923"/>
          <c:w val="0.75603260938322647"/>
          <c:h val="0.66835340435386748"/>
        </c:manualLayout>
      </c:layout>
      <c:barChart>
        <c:barDir val="col"/>
        <c:grouping val="clustered"/>
        <c:varyColors val="0"/>
        <c:ser>
          <c:idx val="2"/>
          <c:order val="2"/>
          <c:tx>
            <c:strRef>
              <c:f>VTD!$D$577</c:f>
              <c:strCache>
                <c:ptCount val="1"/>
                <c:pt idx="0">
                  <c:v>Variación (%)</c:v>
                </c:pt>
              </c:strCache>
            </c:strRef>
          </c:tx>
          <c:invertIfNegative val="0"/>
          <c:cat>
            <c:strRef>
              <c:f>VTD!$A$578:$A$603</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VTD!$D$578:$D$603</c:f>
              <c:numCache>
                <c:formatCode>0.00%</c:formatCode>
                <c:ptCount val="25"/>
                <c:pt idx="1">
                  <c:v>0.14380199763238699</c:v>
                </c:pt>
                <c:pt idx="2">
                  <c:v>-0.127465543473639</c:v>
                </c:pt>
                <c:pt idx="3">
                  <c:v>8.3316124491788393E-2</c:v>
                </c:pt>
                <c:pt idx="4">
                  <c:v>0.10171546387979399</c:v>
                </c:pt>
                <c:pt idx="5">
                  <c:v>-0.108968218814019</c:v>
                </c:pt>
                <c:pt idx="6">
                  <c:v>-0.23778228631525999</c:v>
                </c:pt>
                <c:pt idx="7">
                  <c:v>-8.8056210862067393E-3</c:v>
                </c:pt>
                <c:pt idx="8">
                  <c:v>0.13740921839401901</c:v>
                </c:pt>
                <c:pt idx="9">
                  <c:v>0.27828732632690301</c:v>
                </c:pt>
                <c:pt idx="10">
                  <c:v>-0.109985143449506</c:v>
                </c:pt>
                <c:pt idx="11">
                  <c:v>3.9891121526141902E-2</c:v>
                </c:pt>
                <c:pt idx="12">
                  <c:v>-1.3846400684565399E-2</c:v>
                </c:pt>
                <c:pt idx="13">
                  <c:v>0.13558532838215701</c:v>
                </c:pt>
                <c:pt idx="14">
                  <c:v>-8.0901004405955299E-3</c:v>
                </c:pt>
                <c:pt idx="15">
                  <c:v>9.0274739937986306E-2</c:v>
                </c:pt>
                <c:pt idx="16">
                  <c:v>3.4903064916319802E-2</c:v>
                </c:pt>
                <c:pt idx="17">
                  <c:v>-1.2725706646737601E-2</c:v>
                </c:pt>
                <c:pt idx="18">
                  <c:v>3.7397898100930999E-2</c:v>
                </c:pt>
                <c:pt idx="19">
                  <c:v>-0.161942490917488</c:v>
                </c:pt>
                <c:pt idx="20">
                  <c:v>0.15057767260579</c:v>
                </c:pt>
                <c:pt idx="21">
                  <c:v>8.2090653156281002E-2</c:v>
                </c:pt>
                <c:pt idx="22">
                  <c:v>-0.100756325577654</c:v>
                </c:pt>
                <c:pt idx="23">
                  <c:v>0.13908174521566599</c:v>
                </c:pt>
                <c:pt idx="24">
                  <c:v>-0.12489154659292</c:v>
                </c:pt>
              </c:numCache>
            </c:numRef>
          </c:val>
        </c:ser>
        <c:dLbls>
          <c:showLegendKey val="0"/>
          <c:showVal val="0"/>
          <c:showCatName val="0"/>
          <c:showSerName val="0"/>
          <c:showPercent val="0"/>
          <c:showBubbleSize val="0"/>
        </c:dLbls>
        <c:gapWidth val="150"/>
        <c:axId val="82007168"/>
        <c:axId val="81992704"/>
      </c:barChart>
      <c:lineChart>
        <c:grouping val="standard"/>
        <c:varyColors val="0"/>
        <c:ser>
          <c:idx val="0"/>
          <c:order val="0"/>
          <c:tx>
            <c:strRef>
              <c:f>VTD!$B$577</c:f>
              <c:strCache>
                <c:ptCount val="1"/>
                <c:pt idx="0">
                  <c:v>Capacidad nominal</c:v>
                </c:pt>
              </c:strCache>
            </c:strRef>
          </c:tx>
          <c:marker>
            <c:symbol val="none"/>
          </c:marker>
          <c:cat>
            <c:strRef>
              <c:f>VTD!$A$578:$A$603</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VTD!$B$578:$B$603</c:f>
              <c:numCache>
                <c:formatCode>0.0</c:formatCode>
                <c:ptCount val="25"/>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numCache>
            </c:numRef>
          </c:val>
          <c:smooth val="0"/>
        </c:ser>
        <c:ser>
          <c:idx val="1"/>
          <c:order val="1"/>
          <c:tx>
            <c:strRef>
              <c:f>VTD!$C$577</c:f>
              <c:strCache>
                <c:ptCount val="1"/>
                <c:pt idx="0">
                  <c:v>Cantidad transportada</c:v>
                </c:pt>
              </c:strCache>
            </c:strRef>
          </c:tx>
          <c:marker>
            <c:symbol val="none"/>
          </c:marker>
          <c:cat>
            <c:strRef>
              <c:f>VTD!$A$578:$A$603</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VTD!$C$578:$C$603</c:f>
              <c:numCache>
                <c:formatCode>_(* #,##0.00_);_(* \(#,##0.00\);_(* "-"??_);_(@_)</c:formatCode>
                <c:ptCount val="25"/>
                <c:pt idx="0">
                  <c:v>39.889378493916468</c:v>
                </c:pt>
                <c:pt idx="1">
                  <c:v>45.625550805656033</c:v>
                </c:pt>
                <c:pt idx="2">
                  <c:v>39.809865175928962</c:v>
                </c:pt>
                <c:pt idx="3">
                  <c:v>43.126668858927978</c:v>
                </c:pt>
                <c:pt idx="4">
                  <c:v>47.513317987504109</c:v>
                </c:pt>
                <c:pt idx="5">
                  <c:v>42.335876356461704</c:v>
                </c:pt>
                <c:pt idx="6">
                  <c:v>32.26915488326209</c:v>
                </c:pt>
                <c:pt idx="7">
                  <c:v>31.985004932587959</c:v>
                </c:pt>
                <c:pt idx="8">
                  <c:v>36.380039460703699</c:v>
                </c:pt>
                <c:pt idx="9">
                  <c:v>46.504143373890173</c:v>
                </c:pt>
                <c:pt idx="10">
                  <c:v>41.389378493916468</c:v>
                </c:pt>
                <c:pt idx="11">
                  <c:v>43.040447221308767</c:v>
                </c:pt>
                <c:pt idx="12">
                  <c:v>42.444491943439637</c:v>
                </c:pt>
                <c:pt idx="13">
                  <c:v>48.199342321604732</c:v>
                </c:pt>
                <c:pt idx="14">
                  <c:v>47.809404801052288</c:v>
                </c:pt>
                <c:pt idx="15">
                  <c:v>52.125386386057208</c:v>
                </c:pt>
                <c:pt idx="16">
                  <c:v>53.944722130878013</c:v>
                </c:pt>
                <c:pt idx="17">
                  <c:v>53.258237421900681</c:v>
                </c:pt>
                <c:pt idx="18">
                  <c:v>55.249983558040107</c:v>
                </c:pt>
                <c:pt idx="19">
                  <c:v>46.302663597500818</c:v>
                </c:pt>
                <c:pt idx="20">
                  <c:v>53.274810917461373</c:v>
                </c:pt>
                <c:pt idx="21">
                  <c:v>57.648174942453139</c:v>
                </c:pt>
                <c:pt idx="22">
                  <c:v>51.83975665899375</c:v>
                </c:pt>
                <c:pt idx="23">
                  <c:v>59.04972048668202</c:v>
                </c:pt>
                <c:pt idx="24">
                  <c:v>51.674909569220652</c:v>
                </c:pt>
              </c:numCache>
            </c:numRef>
          </c:val>
          <c:smooth val="0"/>
        </c:ser>
        <c:dLbls>
          <c:showLegendKey val="0"/>
          <c:showVal val="0"/>
          <c:showCatName val="0"/>
          <c:showSerName val="0"/>
          <c:showPercent val="0"/>
          <c:showBubbleSize val="0"/>
        </c:dLbls>
        <c:marker val="1"/>
        <c:smooth val="0"/>
        <c:axId val="81976704"/>
        <c:axId val="81990784"/>
      </c:lineChart>
      <c:catAx>
        <c:axId val="81976704"/>
        <c:scaling>
          <c:orientation val="minMax"/>
        </c:scaling>
        <c:delete val="0"/>
        <c:axPos val="b"/>
        <c:numFmt formatCode="General" sourceLinked="0"/>
        <c:majorTickMark val="out"/>
        <c:minorTickMark val="none"/>
        <c:tickLblPos val="nextTo"/>
        <c:txPr>
          <a:bodyPr/>
          <a:lstStyle/>
          <a:p>
            <a:pPr>
              <a:defRPr sz="600"/>
            </a:pPr>
            <a:endParaRPr lang="es-CO"/>
          </a:p>
        </c:txPr>
        <c:crossAx val="81990784"/>
        <c:crosses val="autoZero"/>
        <c:auto val="1"/>
        <c:lblAlgn val="ctr"/>
        <c:lblOffset val="100"/>
        <c:noMultiLvlLbl val="0"/>
      </c:catAx>
      <c:valAx>
        <c:axId val="81990784"/>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1976704"/>
        <c:crosses val="autoZero"/>
        <c:crossBetween val="between"/>
      </c:valAx>
      <c:valAx>
        <c:axId val="81992704"/>
        <c:scaling>
          <c:orientation val="minMax"/>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2007168"/>
        <c:crosses val="max"/>
        <c:crossBetween val="between"/>
      </c:valAx>
      <c:catAx>
        <c:axId val="82007168"/>
        <c:scaling>
          <c:orientation val="minMax"/>
        </c:scaling>
        <c:delete val="1"/>
        <c:axPos val="b"/>
        <c:numFmt formatCode="General" sourceLinked="0"/>
        <c:majorTickMark val="out"/>
        <c:minorTickMark val="none"/>
        <c:tickLblPos val="nextTo"/>
        <c:crossAx val="81992704"/>
        <c:crosses val="autoZero"/>
        <c:auto val="1"/>
        <c:lblAlgn val="ctr"/>
        <c:lblOffset val="100"/>
        <c:noMultiLvlLbl val="0"/>
      </c:catAx>
    </c:plotArea>
    <c:legend>
      <c:legendPos val="t"/>
      <c:layout>
        <c:manualLayout>
          <c:xMode val="edge"/>
          <c:yMode val="edge"/>
          <c:x val="6.074421870542128E-2"/>
          <c:y val="8.8373377520022098E-2"/>
          <c:w val="0.87356837230085271"/>
          <c:h val="9.9864457458035946E-2"/>
        </c:manualLayout>
      </c:layout>
      <c:overlay val="0"/>
    </c:legend>
    <c:plotVisOnly val="1"/>
    <c:dispBlanksAs val="gap"/>
    <c:showDLblsOverMax val="0"/>
  </c:chart>
  <c:spPr>
    <a:ln>
      <a:solidFill>
        <a:schemeClr val="tx1"/>
      </a:solidFill>
    </a:ln>
  </c:spPr>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741571723676965E-2"/>
          <c:y val="0.14818548420623767"/>
          <c:w val="0.78707582711876178"/>
          <c:h val="0.5807900622770622"/>
        </c:manualLayout>
      </c:layout>
      <c:barChart>
        <c:barDir val="col"/>
        <c:grouping val="clustered"/>
        <c:varyColors val="0"/>
        <c:ser>
          <c:idx val="0"/>
          <c:order val="0"/>
          <c:tx>
            <c:strRef>
              <c:f>VTD!$H$675</c:f>
              <c:strCache>
                <c:ptCount val="1"/>
                <c:pt idx="0">
                  <c:v>GLP (kbd)</c:v>
                </c:pt>
              </c:strCache>
            </c:strRef>
          </c:tx>
          <c:invertIfNegative val="0"/>
          <c:cat>
            <c:strRef>
              <c:f>VTD!$G$676:$G$700</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VTD!$H$676:$H$700</c:f>
              <c:numCache>
                <c:formatCode>General</c:formatCode>
                <c:ptCount val="25"/>
                <c:pt idx="0">
                  <c:v>9.3269648142058532</c:v>
                </c:pt>
                <c:pt idx="1">
                  <c:v>9.4727392305162805</c:v>
                </c:pt>
                <c:pt idx="2">
                  <c:v>10.502762249260121</c:v>
                </c:pt>
                <c:pt idx="3">
                  <c:v>10.143143702729359</c:v>
                </c:pt>
                <c:pt idx="4">
                  <c:v>10.23294968760276</c:v>
                </c:pt>
                <c:pt idx="5">
                  <c:v>9.0463992107859248</c:v>
                </c:pt>
                <c:pt idx="6">
                  <c:v>7.8456757645511361</c:v>
                </c:pt>
                <c:pt idx="7">
                  <c:v>8.87530417625781</c:v>
                </c:pt>
                <c:pt idx="8">
                  <c:v>9.0507398881946752</c:v>
                </c:pt>
                <c:pt idx="9">
                  <c:v>9.4021045708648501</c:v>
                </c:pt>
                <c:pt idx="10">
                  <c:v>8.6555738243998697</c:v>
                </c:pt>
                <c:pt idx="11">
                  <c:v>8.4206511016113108</c:v>
                </c:pt>
                <c:pt idx="12">
                  <c:v>7.0028937849391646</c:v>
                </c:pt>
                <c:pt idx="13">
                  <c:v>8.6186122985859939</c:v>
                </c:pt>
                <c:pt idx="14">
                  <c:v>8.4838211114764857</c:v>
                </c:pt>
                <c:pt idx="15">
                  <c:v>8.9970733311410687</c:v>
                </c:pt>
                <c:pt idx="16">
                  <c:v>7.0409404801052284</c:v>
                </c:pt>
                <c:pt idx="17">
                  <c:v>8.0380795790858244</c:v>
                </c:pt>
                <c:pt idx="18">
                  <c:v>7.7723117395593562</c:v>
                </c:pt>
                <c:pt idx="19">
                  <c:v>8.2133179875041087</c:v>
                </c:pt>
                <c:pt idx="20">
                  <c:v>8.1960868135481775</c:v>
                </c:pt>
                <c:pt idx="21">
                  <c:v>8.4436040776060555</c:v>
                </c:pt>
                <c:pt idx="22">
                  <c:v>7.7763893456099957</c:v>
                </c:pt>
                <c:pt idx="23">
                  <c:v>8.3931272607694822</c:v>
                </c:pt>
                <c:pt idx="24">
                  <c:v>7.8959881617888836</c:v>
                </c:pt>
              </c:numCache>
            </c:numRef>
          </c:val>
        </c:ser>
        <c:dLbls>
          <c:showLegendKey val="0"/>
          <c:showVal val="0"/>
          <c:showCatName val="0"/>
          <c:showSerName val="0"/>
          <c:showPercent val="0"/>
          <c:showBubbleSize val="0"/>
        </c:dLbls>
        <c:gapWidth val="50"/>
        <c:axId val="46851200"/>
        <c:axId val="46853120"/>
      </c:barChart>
      <c:lineChart>
        <c:grouping val="standard"/>
        <c:varyColors val="0"/>
        <c:ser>
          <c:idx val="1"/>
          <c:order val="1"/>
          <c:tx>
            <c:strRef>
              <c:f>VTD!$J$675</c:f>
              <c:strCache>
                <c:ptCount val="1"/>
                <c:pt idx="0">
                  <c:v>Porcentaje de GLP (%)</c:v>
                </c:pt>
              </c:strCache>
            </c:strRef>
          </c:tx>
          <c:spPr>
            <a:ln w="38100"/>
          </c:spPr>
          <c:marker>
            <c:symbol val="none"/>
          </c:marker>
          <c:cat>
            <c:strRef>
              <c:f>VTD!$G$676:$G$700</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VTD!$J$676:$J$700</c:f>
              <c:numCache>
                <c:formatCode>0.0%</c:formatCode>
                <c:ptCount val="25"/>
                <c:pt idx="0">
                  <c:v>3.0450799766556701E-2</c:v>
                </c:pt>
                <c:pt idx="1">
                  <c:v>3.02871892463056E-2</c:v>
                </c:pt>
                <c:pt idx="2">
                  <c:v>3.5185954922308998E-2</c:v>
                </c:pt>
                <c:pt idx="3">
                  <c:v>3.0330139546783898E-2</c:v>
                </c:pt>
                <c:pt idx="4">
                  <c:v>3.0350430906597999E-2</c:v>
                </c:pt>
                <c:pt idx="5">
                  <c:v>3.1107354471029899E-2</c:v>
                </c:pt>
                <c:pt idx="6">
                  <c:v>2.68363334262046E-2</c:v>
                </c:pt>
                <c:pt idx="7">
                  <c:v>2.9662595640324401E-2</c:v>
                </c:pt>
                <c:pt idx="8">
                  <c:v>2.8261675847871901E-2</c:v>
                </c:pt>
                <c:pt idx="9">
                  <c:v>2.8002882577662199E-2</c:v>
                </c:pt>
                <c:pt idx="10">
                  <c:v>2.7593040393147601E-2</c:v>
                </c:pt>
                <c:pt idx="11">
                  <c:v>2.5917861859391399E-2</c:v>
                </c:pt>
                <c:pt idx="12">
                  <c:v>2.1642205135397202E-2</c:v>
                </c:pt>
                <c:pt idx="13">
                  <c:v>2.5451723617890901E-2</c:v>
                </c:pt>
                <c:pt idx="14">
                  <c:v>2.5916549189772198E-2</c:v>
                </c:pt>
                <c:pt idx="15">
                  <c:v>2.5424829553578498E-2</c:v>
                </c:pt>
                <c:pt idx="16">
                  <c:v>2.06420592727725E-2</c:v>
                </c:pt>
                <c:pt idx="17">
                  <c:v>2.3774378176848601E-2</c:v>
                </c:pt>
                <c:pt idx="18">
                  <c:v>2.15204121663898E-2</c:v>
                </c:pt>
                <c:pt idx="19">
                  <c:v>2.48841189836988E-2</c:v>
                </c:pt>
                <c:pt idx="20">
                  <c:v>2.2739642096355199E-2</c:v>
                </c:pt>
                <c:pt idx="21">
                  <c:v>2.41866921227307E-2</c:v>
                </c:pt>
                <c:pt idx="22">
                  <c:v>2.42258606409354E-2</c:v>
                </c:pt>
                <c:pt idx="23">
                  <c:v>2.43683478812836E-2</c:v>
                </c:pt>
                <c:pt idx="24">
                  <c:v>2.3596030138646799E-2</c:v>
                </c:pt>
              </c:numCache>
            </c:numRef>
          </c:val>
          <c:smooth val="0"/>
        </c:ser>
        <c:dLbls>
          <c:showLegendKey val="0"/>
          <c:showVal val="0"/>
          <c:showCatName val="0"/>
          <c:showSerName val="0"/>
          <c:showPercent val="0"/>
          <c:showBubbleSize val="0"/>
        </c:dLbls>
        <c:marker val="1"/>
        <c:smooth val="0"/>
        <c:axId val="63450112"/>
        <c:axId val="63448192"/>
      </c:lineChart>
      <c:catAx>
        <c:axId val="46851200"/>
        <c:scaling>
          <c:orientation val="minMax"/>
        </c:scaling>
        <c:delete val="0"/>
        <c:axPos val="b"/>
        <c:title>
          <c:tx>
            <c:rich>
              <a:bodyPr/>
              <a:lstStyle/>
              <a:p>
                <a:pPr>
                  <a:defRPr/>
                </a:pPr>
                <a:r>
                  <a:rPr lang="es-CO"/>
                  <a:t>fecha</a:t>
                </a:r>
              </a:p>
            </c:rich>
          </c:tx>
          <c:overlay val="0"/>
        </c:title>
        <c:numFmt formatCode="General" sourceLinked="0"/>
        <c:majorTickMark val="none"/>
        <c:minorTickMark val="none"/>
        <c:tickLblPos val="nextTo"/>
        <c:crossAx val="46853120"/>
        <c:crosses val="autoZero"/>
        <c:auto val="1"/>
        <c:lblAlgn val="ctr"/>
        <c:lblOffset val="100"/>
        <c:noMultiLvlLbl val="0"/>
      </c:catAx>
      <c:valAx>
        <c:axId val="46853120"/>
        <c:scaling>
          <c:orientation val="minMax"/>
          <c:max val="11"/>
          <c:min val="0"/>
        </c:scaling>
        <c:delete val="0"/>
        <c:axPos val="l"/>
        <c:majorGridlines>
          <c:spPr>
            <a:ln>
              <a:solidFill>
                <a:schemeClr val="bg1">
                  <a:lumMod val="95000"/>
                </a:schemeClr>
              </a:solidFill>
            </a:ln>
          </c:spPr>
        </c:majorGridlines>
        <c:title>
          <c:tx>
            <c:rich>
              <a:bodyPr/>
              <a:lstStyle/>
              <a:p>
                <a:pPr>
                  <a:defRPr/>
                </a:pPr>
                <a:r>
                  <a:rPr lang="es-CO"/>
                  <a:t>kbd</a:t>
                </a:r>
              </a:p>
            </c:rich>
          </c:tx>
          <c:overlay val="0"/>
        </c:title>
        <c:numFmt formatCode="General" sourceLinked="1"/>
        <c:majorTickMark val="out"/>
        <c:minorTickMark val="none"/>
        <c:tickLblPos val="nextTo"/>
        <c:crossAx val="46851200"/>
        <c:crosses val="autoZero"/>
        <c:crossBetween val="between"/>
      </c:valAx>
      <c:valAx>
        <c:axId val="63448192"/>
        <c:scaling>
          <c:orientation val="minMax"/>
          <c:max val="0.04"/>
        </c:scaling>
        <c:delete val="0"/>
        <c:axPos val="r"/>
        <c:title>
          <c:tx>
            <c:rich>
              <a:bodyPr rot="-5400000" vert="horz"/>
              <a:lstStyle/>
              <a:p>
                <a:pPr>
                  <a:defRPr/>
                </a:pPr>
                <a:r>
                  <a:rPr lang="es-CO"/>
                  <a:t>%</a:t>
                </a:r>
              </a:p>
            </c:rich>
          </c:tx>
          <c:overlay val="0"/>
        </c:title>
        <c:numFmt formatCode="0.0%" sourceLinked="1"/>
        <c:majorTickMark val="out"/>
        <c:minorTickMark val="none"/>
        <c:tickLblPos val="nextTo"/>
        <c:crossAx val="63450112"/>
        <c:crosses val="max"/>
        <c:crossBetween val="between"/>
      </c:valAx>
      <c:catAx>
        <c:axId val="63450112"/>
        <c:scaling>
          <c:orientation val="minMax"/>
        </c:scaling>
        <c:delete val="1"/>
        <c:axPos val="b"/>
        <c:numFmt formatCode="General" sourceLinked="0"/>
        <c:majorTickMark val="out"/>
        <c:minorTickMark val="none"/>
        <c:tickLblPos val="nextTo"/>
        <c:crossAx val="63448192"/>
        <c:crosses val="autoZero"/>
        <c:auto val="1"/>
        <c:lblAlgn val="ctr"/>
        <c:lblOffset val="100"/>
        <c:noMultiLvlLbl val="0"/>
      </c:catAx>
    </c:plotArea>
    <c:legend>
      <c:legendPos val="t"/>
      <c:overlay val="0"/>
    </c:legend>
    <c:plotVisOnly val="1"/>
    <c:dispBlanksAs val="gap"/>
    <c:showDLblsOverMax val="0"/>
  </c:chart>
  <c:spPr>
    <a:ln>
      <a:noFill/>
    </a:ln>
  </c:spPr>
  <c:txPr>
    <a:bodyPr/>
    <a:lstStyle/>
    <a:p>
      <a:pPr>
        <a:defRPr sz="1050"/>
      </a:pPr>
      <a:endParaRPr lang="es-CO"/>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dinámica26</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VTD!$D$385</c:f>
              <c:strCache>
                <c:ptCount val="1"/>
                <c:pt idx="0">
                  <c:v>Variación (%)</c:v>
                </c:pt>
              </c:strCache>
            </c:strRef>
          </c:tx>
          <c:invertIfNegative val="0"/>
          <c:cat>
            <c:strRef>
              <c:f>VTD!$A$386:$A$411</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VTD!$D$386:$D$411</c:f>
              <c:numCache>
                <c:formatCode>0.00%</c:formatCode>
                <c:ptCount val="25"/>
                <c:pt idx="1">
                  <c:v>-3.4714960893384699E-3</c:v>
                </c:pt>
                <c:pt idx="2">
                  <c:v>7.7912784353227502E-2</c:v>
                </c:pt>
                <c:pt idx="3">
                  <c:v>-2.1078678547717899E-2</c:v>
                </c:pt>
                <c:pt idx="4">
                  <c:v>1.1560797104331199E-2</c:v>
                </c:pt>
                <c:pt idx="5">
                  <c:v>-0.17695666620136699</c:v>
                </c:pt>
                <c:pt idx="6">
                  <c:v>0.15658091809653901</c:v>
                </c:pt>
                <c:pt idx="7">
                  <c:v>4.5291381646343602E-2</c:v>
                </c:pt>
                <c:pt idx="8">
                  <c:v>2.30485768763397E-2</c:v>
                </c:pt>
                <c:pt idx="9">
                  <c:v>-6.7267319466172107E-2</c:v>
                </c:pt>
                <c:pt idx="10">
                  <c:v>-0.102248514828934</c:v>
                </c:pt>
                <c:pt idx="11">
                  <c:v>0.17679634468967501</c:v>
                </c:pt>
                <c:pt idx="12">
                  <c:v>-5.9896553008253403E-2</c:v>
                </c:pt>
                <c:pt idx="13">
                  <c:v>8.01537778352263E-2</c:v>
                </c:pt>
                <c:pt idx="14">
                  <c:v>-7.7319199612429695E-2</c:v>
                </c:pt>
                <c:pt idx="15">
                  <c:v>9.9512593088444901E-2</c:v>
                </c:pt>
                <c:pt idx="16">
                  <c:v>-6.8740951007494194E-2</c:v>
                </c:pt>
                <c:pt idx="17">
                  <c:v>2.0466617635041501E-2</c:v>
                </c:pt>
                <c:pt idx="18">
                  <c:v>-2.00201001805814E-2</c:v>
                </c:pt>
                <c:pt idx="19">
                  <c:v>7.1066684644268102E-2</c:v>
                </c:pt>
                <c:pt idx="20">
                  <c:v>-2.9979877356780801E-2</c:v>
                </c:pt>
                <c:pt idx="21">
                  <c:v>-1.50147374878827E-2</c:v>
                </c:pt>
                <c:pt idx="22">
                  <c:v>-9.6540242069270404E-3</c:v>
                </c:pt>
                <c:pt idx="23">
                  <c:v>5.9492637498866498E-2</c:v>
                </c:pt>
                <c:pt idx="24">
                  <c:v>6.2540786021548098E-2</c:v>
                </c:pt>
              </c:numCache>
            </c:numRef>
          </c:val>
        </c:ser>
        <c:dLbls>
          <c:showLegendKey val="0"/>
          <c:showVal val="0"/>
          <c:showCatName val="0"/>
          <c:showSerName val="0"/>
          <c:showPercent val="0"/>
          <c:showBubbleSize val="0"/>
        </c:dLbls>
        <c:gapWidth val="150"/>
        <c:axId val="24061056"/>
        <c:axId val="24058880"/>
      </c:barChart>
      <c:lineChart>
        <c:grouping val="standard"/>
        <c:varyColors val="0"/>
        <c:ser>
          <c:idx val="0"/>
          <c:order val="0"/>
          <c:tx>
            <c:strRef>
              <c:f>VTD!$B$385</c:f>
              <c:strCache>
                <c:ptCount val="1"/>
                <c:pt idx="0">
                  <c:v>Capacidad nominal</c:v>
                </c:pt>
              </c:strCache>
            </c:strRef>
          </c:tx>
          <c:marker>
            <c:symbol val="none"/>
          </c:marker>
          <c:cat>
            <c:strRef>
              <c:f>VTD!$A$386:$A$411</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VTD!$B$386:$B$411</c:f>
              <c:numCache>
                <c:formatCode>0.0</c:formatCode>
                <c:ptCount val="25"/>
                <c:pt idx="0">
                  <c:v>26.3</c:v>
                </c:pt>
                <c:pt idx="1">
                  <c:v>26.3</c:v>
                </c:pt>
                <c:pt idx="2">
                  <c:v>26.3</c:v>
                </c:pt>
                <c:pt idx="3">
                  <c:v>26.3</c:v>
                </c:pt>
                <c:pt idx="4">
                  <c:v>26.3</c:v>
                </c:pt>
                <c:pt idx="5">
                  <c:v>26.3</c:v>
                </c:pt>
                <c:pt idx="6">
                  <c:v>26.3</c:v>
                </c:pt>
                <c:pt idx="7">
                  <c:v>26.3</c:v>
                </c:pt>
                <c:pt idx="8">
                  <c:v>26.3</c:v>
                </c:pt>
                <c:pt idx="9">
                  <c:v>26.3</c:v>
                </c:pt>
                <c:pt idx="10">
                  <c:v>26.3</c:v>
                </c:pt>
                <c:pt idx="11">
                  <c:v>26.3</c:v>
                </c:pt>
                <c:pt idx="12">
                  <c:v>26.3</c:v>
                </c:pt>
                <c:pt idx="13">
                  <c:v>26.3</c:v>
                </c:pt>
                <c:pt idx="14">
                  <c:v>26.3</c:v>
                </c:pt>
                <c:pt idx="15">
                  <c:v>26.3</c:v>
                </c:pt>
                <c:pt idx="16">
                  <c:v>26.3</c:v>
                </c:pt>
                <c:pt idx="17">
                  <c:v>26.3</c:v>
                </c:pt>
                <c:pt idx="18">
                  <c:v>26.3</c:v>
                </c:pt>
                <c:pt idx="19">
                  <c:v>26.3</c:v>
                </c:pt>
                <c:pt idx="20">
                  <c:v>26.3</c:v>
                </c:pt>
                <c:pt idx="21">
                  <c:v>26.3</c:v>
                </c:pt>
                <c:pt idx="22">
                  <c:v>26.3</c:v>
                </c:pt>
                <c:pt idx="23">
                  <c:v>26.3</c:v>
                </c:pt>
                <c:pt idx="24">
                  <c:v>26.3</c:v>
                </c:pt>
              </c:numCache>
            </c:numRef>
          </c:val>
          <c:smooth val="0"/>
        </c:ser>
        <c:ser>
          <c:idx val="1"/>
          <c:order val="1"/>
          <c:tx>
            <c:strRef>
              <c:f>VTD!$C$385</c:f>
              <c:strCache>
                <c:ptCount val="1"/>
                <c:pt idx="0">
                  <c:v>Cantidad transportada</c:v>
                </c:pt>
              </c:strCache>
            </c:strRef>
          </c:tx>
          <c:marker>
            <c:symbol val="none"/>
          </c:marker>
          <c:cat>
            <c:strRef>
              <c:f>VTD!$A$386:$A$411</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VTD!$C$386:$C$411</c:f>
              <c:numCache>
                <c:formatCode>_(* #,##0.00_);_(* \(#,##0.00\);_(* "-"??_);_(@_)</c:formatCode>
                <c:ptCount val="25"/>
                <c:pt idx="0">
                  <c:v>15.724432752384081</c:v>
                </c:pt>
                <c:pt idx="1">
                  <c:v>15.66984544557711</c:v>
                </c:pt>
                <c:pt idx="2">
                  <c:v>16.89072673462676</c:v>
                </c:pt>
                <c:pt idx="3">
                  <c:v>16.534692535350221</c:v>
                </c:pt>
                <c:pt idx="4">
                  <c:v>16.725846760933901</c:v>
                </c:pt>
                <c:pt idx="5">
                  <c:v>13.766096678724111</c:v>
                </c:pt>
                <c:pt idx="6">
                  <c:v>15.921604735284451</c:v>
                </c:pt>
                <c:pt idx="7">
                  <c:v>16.642716211772441</c:v>
                </c:pt>
                <c:pt idx="8">
                  <c:v>17.026307135810601</c:v>
                </c:pt>
                <c:pt idx="9">
                  <c:v>15.88099309437685</c:v>
                </c:pt>
                <c:pt idx="10">
                  <c:v>14.257185136468269</c:v>
                </c:pt>
                <c:pt idx="11">
                  <c:v>16.777803354159829</c:v>
                </c:pt>
                <c:pt idx="12">
                  <c:v>15.772870766195339</c:v>
                </c:pt>
                <c:pt idx="13">
                  <c:v>17.037125945412701</c:v>
                </c:pt>
                <c:pt idx="14">
                  <c:v>15.71982900361723</c:v>
                </c:pt>
                <c:pt idx="15">
                  <c:v>17.28414995067412</c:v>
                </c:pt>
                <c:pt idx="16">
                  <c:v>16.09602104570865</c:v>
                </c:pt>
                <c:pt idx="17">
                  <c:v>16.42545215389675</c:v>
                </c:pt>
                <c:pt idx="18">
                  <c:v>16.09661295626438</c:v>
                </c:pt>
                <c:pt idx="19">
                  <c:v>17.240545873068069</c:v>
                </c:pt>
                <c:pt idx="20">
                  <c:v>16.723676422229531</c:v>
                </c:pt>
                <c:pt idx="21">
                  <c:v>16.472574810917461</c:v>
                </c:pt>
                <c:pt idx="22">
                  <c:v>16.313548174942451</c:v>
                </c:pt>
                <c:pt idx="23">
                  <c:v>17.284084182834601</c:v>
                </c:pt>
                <c:pt idx="24">
                  <c:v>18.365044393291679</c:v>
                </c:pt>
              </c:numCache>
            </c:numRef>
          </c:val>
          <c:smooth val="0"/>
        </c:ser>
        <c:dLbls>
          <c:showLegendKey val="0"/>
          <c:showVal val="0"/>
          <c:showCatName val="0"/>
          <c:showSerName val="0"/>
          <c:showPercent val="0"/>
          <c:showBubbleSize val="0"/>
        </c:dLbls>
        <c:marker val="1"/>
        <c:smooth val="0"/>
        <c:axId val="82042240"/>
        <c:axId val="24056960"/>
      </c:lineChart>
      <c:catAx>
        <c:axId val="82042240"/>
        <c:scaling>
          <c:orientation val="minMax"/>
        </c:scaling>
        <c:delete val="0"/>
        <c:axPos val="b"/>
        <c:numFmt formatCode="General" sourceLinked="0"/>
        <c:majorTickMark val="out"/>
        <c:minorTickMark val="none"/>
        <c:tickLblPos val="nextTo"/>
        <c:txPr>
          <a:bodyPr/>
          <a:lstStyle/>
          <a:p>
            <a:pPr>
              <a:defRPr sz="600"/>
            </a:pPr>
            <a:endParaRPr lang="es-CO"/>
          </a:p>
        </c:txPr>
        <c:crossAx val="24056960"/>
        <c:crosses val="autoZero"/>
        <c:auto val="1"/>
        <c:lblAlgn val="ctr"/>
        <c:lblOffset val="100"/>
        <c:noMultiLvlLbl val="0"/>
      </c:catAx>
      <c:valAx>
        <c:axId val="24056960"/>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2042240"/>
        <c:crosses val="autoZero"/>
        <c:crossBetween val="between"/>
      </c:valAx>
      <c:valAx>
        <c:axId val="24058880"/>
        <c:scaling>
          <c:orientation val="minMax"/>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24061056"/>
        <c:crosses val="max"/>
        <c:crossBetween val="between"/>
      </c:valAx>
      <c:catAx>
        <c:axId val="24061056"/>
        <c:scaling>
          <c:orientation val="minMax"/>
        </c:scaling>
        <c:delete val="1"/>
        <c:axPos val="b"/>
        <c:numFmt formatCode="General" sourceLinked="0"/>
        <c:majorTickMark val="out"/>
        <c:minorTickMark val="none"/>
        <c:tickLblPos val="nextTo"/>
        <c:crossAx val="24058880"/>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dinámica2</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VTD!$D$35</c:f>
              <c:strCache>
                <c:ptCount val="1"/>
                <c:pt idx="0">
                  <c:v>Variación (%)</c:v>
                </c:pt>
              </c:strCache>
            </c:strRef>
          </c:tx>
          <c:invertIfNegative val="0"/>
          <c:cat>
            <c:strRef>
              <c:f>VTD!$A$36:$A$61</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VTD!$D$36:$D$61</c:f>
              <c:numCache>
                <c:formatCode>0.00%</c:formatCode>
                <c:ptCount val="25"/>
                <c:pt idx="1">
                  <c:v>-0.17228060037409301</c:v>
                </c:pt>
                <c:pt idx="2">
                  <c:v>0.165643946353114</c:v>
                </c:pt>
                <c:pt idx="3">
                  <c:v>6.1936528701573498E-2</c:v>
                </c:pt>
                <c:pt idx="4">
                  <c:v>-7.6461257316722903E-2</c:v>
                </c:pt>
                <c:pt idx="5">
                  <c:v>2.7254355232707701E-2</c:v>
                </c:pt>
                <c:pt idx="6">
                  <c:v>8.8810405214340804E-2</c:v>
                </c:pt>
                <c:pt idx="7">
                  <c:v>-1.1634903272967999E-2</c:v>
                </c:pt>
                <c:pt idx="8">
                  <c:v>-7.3538738313086605E-2</c:v>
                </c:pt>
                <c:pt idx="9">
                  <c:v>0.151059084748356</c:v>
                </c:pt>
                <c:pt idx="10">
                  <c:v>-6.9402103806653195E-2</c:v>
                </c:pt>
                <c:pt idx="11">
                  <c:v>9.7575043992726998E-2</c:v>
                </c:pt>
                <c:pt idx="12">
                  <c:v>-7.0055055055055396E-2</c:v>
                </c:pt>
                <c:pt idx="13">
                  <c:v>0.11708996446056701</c:v>
                </c:pt>
                <c:pt idx="14">
                  <c:v>-1.1709139263436801E-2</c:v>
                </c:pt>
                <c:pt idx="15">
                  <c:v>4.0982474385953302E-2</c:v>
                </c:pt>
                <c:pt idx="16">
                  <c:v>-0.119755543587702</c:v>
                </c:pt>
                <c:pt idx="17">
                  <c:v>6.6154863811849304E-2</c:v>
                </c:pt>
                <c:pt idx="18">
                  <c:v>-0.112338300678817</c:v>
                </c:pt>
                <c:pt idx="19">
                  <c:v>9.8831456968533807E-2</c:v>
                </c:pt>
                <c:pt idx="20">
                  <c:v>5.6132524326481401E-2</c:v>
                </c:pt>
                <c:pt idx="21">
                  <c:v>-2.07972046490161E-3</c:v>
                </c:pt>
                <c:pt idx="22">
                  <c:v>3.0581237682559799E-3</c:v>
                </c:pt>
                <c:pt idx="23">
                  <c:v>8.3304834848592399E-2</c:v>
                </c:pt>
                <c:pt idx="24">
                  <c:v>-2.4142367450019499E-2</c:v>
                </c:pt>
              </c:numCache>
            </c:numRef>
          </c:val>
        </c:ser>
        <c:dLbls>
          <c:showLegendKey val="0"/>
          <c:showVal val="0"/>
          <c:showCatName val="0"/>
          <c:showSerName val="0"/>
          <c:showPercent val="0"/>
          <c:showBubbleSize val="0"/>
        </c:dLbls>
        <c:gapWidth val="150"/>
        <c:axId val="81527936"/>
        <c:axId val="24108032"/>
      </c:barChart>
      <c:lineChart>
        <c:grouping val="standard"/>
        <c:varyColors val="0"/>
        <c:ser>
          <c:idx val="0"/>
          <c:order val="0"/>
          <c:tx>
            <c:strRef>
              <c:f>VTD!$B$35</c:f>
              <c:strCache>
                <c:ptCount val="1"/>
                <c:pt idx="0">
                  <c:v>Capacidad nominal</c:v>
                </c:pt>
              </c:strCache>
            </c:strRef>
          </c:tx>
          <c:marker>
            <c:symbol val="none"/>
          </c:marker>
          <c:cat>
            <c:strRef>
              <c:f>VTD!$A$36:$A$61</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VTD!$B$36:$B$61</c:f>
              <c:numCache>
                <c:formatCode>0.0</c:formatCode>
                <c:ptCount val="25"/>
                <c:pt idx="0">
                  <c:v>32</c:v>
                </c:pt>
                <c:pt idx="1">
                  <c:v>32</c:v>
                </c:pt>
                <c:pt idx="2">
                  <c:v>32</c:v>
                </c:pt>
                <c:pt idx="3">
                  <c:v>32</c:v>
                </c:pt>
                <c:pt idx="4">
                  <c:v>32</c:v>
                </c:pt>
                <c:pt idx="5">
                  <c:v>32</c:v>
                </c:pt>
                <c:pt idx="6">
                  <c:v>32</c:v>
                </c:pt>
                <c:pt idx="7">
                  <c:v>32</c:v>
                </c:pt>
                <c:pt idx="8">
                  <c:v>32</c:v>
                </c:pt>
                <c:pt idx="9">
                  <c:v>32</c:v>
                </c:pt>
                <c:pt idx="10">
                  <c:v>32</c:v>
                </c:pt>
                <c:pt idx="11">
                  <c:v>32</c:v>
                </c:pt>
                <c:pt idx="12">
                  <c:v>32</c:v>
                </c:pt>
                <c:pt idx="13">
                  <c:v>32</c:v>
                </c:pt>
                <c:pt idx="14">
                  <c:v>32</c:v>
                </c:pt>
                <c:pt idx="15">
                  <c:v>32</c:v>
                </c:pt>
                <c:pt idx="16">
                  <c:v>32</c:v>
                </c:pt>
                <c:pt idx="17">
                  <c:v>32</c:v>
                </c:pt>
                <c:pt idx="18">
                  <c:v>32</c:v>
                </c:pt>
                <c:pt idx="19">
                  <c:v>32</c:v>
                </c:pt>
                <c:pt idx="20">
                  <c:v>32</c:v>
                </c:pt>
                <c:pt idx="21">
                  <c:v>32</c:v>
                </c:pt>
                <c:pt idx="22">
                  <c:v>32</c:v>
                </c:pt>
                <c:pt idx="23">
                  <c:v>32</c:v>
                </c:pt>
                <c:pt idx="24">
                  <c:v>32</c:v>
                </c:pt>
              </c:numCache>
            </c:numRef>
          </c:val>
          <c:smooth val="0"/>
        </c:ser>
        <c:ser>
          <c:idx val="1"/>
          <c:order val="1"/>
          <c:tx>
            <c:strRef>
              <c:f>VTD!$C$35</c:f>
              <c:strCache>
                <c:ptCount val="1"/>
                <c:pt idx="0">
                  <c:v>Cantidad transportada</c:v>
                </c:pt>
              </c:strCache>
            </c:strRef>
          </c:tx>
          <c:marker>
            <c:symbol val="none"/>
          </c:marker>
          <c:cat>
            <c:strRef>
              <c:f>VTD!$A$36:$A$61</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VTD!$C$36:$C$61</c:f>
              <c:numCache>
                <c:formatCode>_(* #,##0.00_);_(* \(#,##0.00\);_(* "-"??_);_(@_)</c:formatCode>
                <c:ptCount val="25"/>
                <c:pt idx="0">
                  <c:v>17.299309437684968</c:v>
                </c:pt>
                <c:pt idx="1">
                  <c:v>14.31897402170339</c:v>
                </c:pt>
                <c:pt idx="2">
                  <c:v>16.690825386386059</c:v>
                </c:pt>
                <c:pt idx="3">
                  <c:v>17.7245971719829</c:v>
                </c:pt>
                <c:pt idx="4">
                  <c:v>16.36935218678066</c:v>
                </c:pt>
                <c:pt idx="5">
                  <c:v>16.815488326208499</c:v>
                </c:pt>
                <c:pt idx="6">
                  <c:v>18.308878658336081</c:v>
                </c:pt>
                <c:pt idx="7">
                  <c:v>18.095856626109828</c:v>
                </c:pt>
                <c:pt idx="8">
                  <c:v>16.765110161131201</c:v>
                </c:pt>
                <c:pt idx="9">
                  <c:v>19.29763235777704</c:v>
                </c:pt>
                <c:pt idx="10">
                  <c:v>17.958336073659979</c:v>
                </c:pt>
                <c:pt idx="11">
                  <c:v>19.71062150608353</c:v>
                </c:pt>
                <c:pt idx="12">
                  <c:v>18.329792831305479</c:v>
                </c:pt>
                <c:pt idx="13">
                  <c:v>20.476027622492602</c:v>
                </c:pt>
                <c:pt idx="14">
                  <c:v>20.23627096349886</c:v>
                </c:pt>
                <c:pt idx="15">
                  <c:v>21.065603419927651</c:v>
                </c:pt>
                <c:pt idx="16">
                  <c:v>18.542880631371251</c:v>
                </c:pt>
                <c:pt idx="17">
                  <c:v>19.769582374218999</c:v>
                </c:pt>
                <c:pt idx="18">
                  <c:v>17.548701085169341</c:v>
                </c:pt>
                <c:pt idx="19">
                  <c:v>19.283064781321929</c:v>
                </c:pt>
                <c:pt idx="20">
                  <c:v>20.365471884248599</c:v>
                </c:pt>
                <c:pt idx="21">
                  <c:v>20.323117395593549</c:v>
                </c:pt>
                <c:pt idx="22">
                  <c:v>20.38526800394607</c:v>
                </c:pt>
                <c:pt idx="23">
                  <c:v>22.083459388359088</c:v>
                </c:pt>
                <c:pt idx="24">
                  <c:v>21.55031239723774</c:v>
                </c:pt>
              </c:numCache>
            </c:numRef>
          </c:val>
          <c:smooth val="0"/>
        </c:ser>
        <c:dLbls>
          <c:showLegendKey val="0"/>
          <c:showVal val="0"/>
          <c:showCatName val="0"/>
          <c:showSerName val="0"/>
          <c:showPercent val="0"/>
          <c:showBubbleSize val="0"/>
        </c:dLbls>
        <c:marker val="1"/>
        <c:smooth val="0"/>
        <c:axId val="24083840"/>
        <c:axId val="24106112"/>
      </c:lineChart>
      <c:catAx>
        <c:axId val="24083840"/>
        <c:scaling>
          <c:orientation val="minMax"/>
        </c:scaling>
        <c:delete val="0"/>
        <c:axPos val="b"/>
        <c:numFmt formatCode="General" sourceLinked="0"/>
        <c:majorTickMark val="out"/>
        <c:minorTickMark val="none"/>
        <c:tickLblPos val="nextTo"/>
        <c:txPr>
          <a:bodyPr/>
          <a:lstStyle/>
          <a:p>
            <a:pPr>
              <a:defRPr sz="600"/>
            </a:pPr>
            <a:endParaRPr lang="es-CO"/>
          </a:p>
        </c:txPr>
        <c:crossAx val="24106112"/>
        <c:crosses val="autoZero"/>
        <c:auto val="1"/>
        <c:lblAlgn val="ctr"/>
        <c:lblOffset val="100"/>
        <c:noMultiLvlLbl val="0"/>
      </c:catAx>
      <c:valAx>
        <c:axId val="24106112"/>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24083840"/>
        <c:crosses val="autoZero"/>
        <c:crossBetween val="between"/>
      </c:valAx>
      <c:valAx>
        <c:axId val="24108032"/>
        <c:scaling>
          <c:orientation val="minMax"/>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1527936"/>
        <c:crosses val="max"/>
        <c:crossBetween val="between"/>
      </c:valAx>
      <c:catAx>
        <c:axId val="81527936"/>
        <c:scaling>
          <c:orientation val="minMax"/>
        </c:scaling>
        <c:delete val="1"/>
        <c:axPos val="b"/>
        <c:numFmt formatCode="General" sourceLinked="1"/>
        <c:majorTickMark val="out"/>
        <c:minorTickMark val="none"/>
        <c:tickLblPos val="nextTo"/>
        <c:crossAx val="24108032"/>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dinámica3</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VTD!$D$66</c:f>
              <c:strCache>
                <c:ptCount val="1"/>
                <c:pt idx="0">
                  <c:v>Variación (%)</c:v>
                </c:pt>
              </c:strCache>
            </c:strRef>
          </c:tx>
          <c:invertIfNegative val="0"/>
          <c:cat>
            <c:strRef>
              <c:f>VTD!$A$67:$A$92</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Nov</c:v>
                </c:pt>
                <c:pt idx="19">
                  <c:v>2014 Dic</c:v>
                </c:pt>
                <c:pt idx="20">
                  <c:v>2014 Oct</c:v>
                </c:pt>
                <c:pt idx="21">
                  <c:v>2015 Ene</c:v>
                </c:pt>
                <c:pt idx="22">
                  <c:v>2015 Feb</c:v>
                </c:pt>
                <c:pt idx="23">
                  <c:v>2015 Mar</c:v>
                </c:pt>
                <c:pt idx="24">
                  <c:v>2015 Abr</c:v>
                </c:pt>
              </c:strCache>
            </c:strRef>
          </c:cat>
          <c:val>
            <c:numRef>
              <c:f>VTD!$D$67:$D$92</c:f>
              <c:numCache>
                <c:formatCode>0.00%</c:formatCode>
                <c:ptCount val="25"/>
                <c:pt idx="1">
                  <c:v>0.30304594358825199</c:v>
                </c:pt>
                <c:pt idx="2">
                  <c:v>0.109496951134468</c:v>
                </c:pt>
                <c:pt idx="3">
                  <c:v>1.98769069863328E-2</c:v>
                </c:pt>
                <c:pt idx="4">
                  <c:v>-9.3399793913039195E-2</c:v>
                </c:pt>
                <c:pt idx="5">
                  <c:v>-0.21502259588977801</c:v>
                </c:pt>
                <c:pt idx="6">
                  <c:v>0.30078839439117599</c:v>
                </c:pt>
                <c:pt idx="7">
                  <c:v>-3.1689221936394602E-3</c:v>
                </c:pt>
                <c:pt idx="8">
                  <c:v>-3.6352756376691997E-2</c:v>
                </c:pt>
                <c:pt idx="9">
                  <c:v>-7.21160776660279E-2</c:v>
                </c:pt>
                <c:pt idx="10">
                  <c:v>-0.181231513847808</c:v>
                </c:pt>
                <c:pt idx="11">
                  <c:v>0.300806422185732</c:v>
                </c:pt>
                <c:pt idx="12">
                  <c:v>-8.6017403207980195E-2</c:v>
                </c:pt>
                <c:pt idx="13">
                  <c:v>0.22354537139910799</c:v>
                </c:pt>
                <c:pt idx="14">
                  <c:v>-7.8227453105167905E-2</c:v>
                </c:pt>
                <c:pt idx="15">
                  <c:v>2.15744328819612E-2</c:v>
                </c:pt>
                <c:pt idx="16">
                  <c:v>-0.168934469898775</c:v>
                </c:pt>
                <c:pt idx="17">
                  <c:v>5.50993326538071E-2</c:v>
                </c:pt>
                <c:pt idx="18">
                  <c:v>4.4031691638413903E-2</c:v>
                </c:pt>
                <c:pt idx="19">
                  <c:v>1.46130254374884E-2</c:v>
                </c:pt>
                <c:pt idx="20">
                  <c:v>-3.9232781168265098E-2</c:v>
                </c:pt>
                <c:pt idx="21">
                  <c:v>0.171494412073742</c:v>
                </c:pt>
                <c:pt idx="22">
                  <c:v>-3.4006013351678598E-2</c:v>
                </c:pt>
                <c:pt idx="23">
                  <c:v>7.6578548932510898E-2</c:v>
                </c:pt>
                <c:pt idx="24">
                  <c:v>0.144737422392967</c:v>
                </c:pt>
              </c:numCache>
            </c:numRef>
          </c:val>
        </c:ser>
        <c:dLbls>
          <c:showLegendKey val="0"/>
          <c:showVal val="0"/>
          <c:showCatName val="0"/>
          <c:showSerName val="0"/>
          <c:showPercent val="0"/>
          <c:showBubbleSize val="0"/>
        </c:dLbls>
        <c:gapWidth val="150"/>
        <c:axId val="81581184"/>
        <c:axId val="81566720"/>
      </c:barChart>
      <c:lineChart>
        <c:grouping val="standard"/>
        <c:varyColors val="0"/>
        <c:ser>
          <c:idx val="0"/>
          <c:order val="0"/>
          <c:tx>
            <c:strRef>
              <c:f>VTD!$B$66</c:f>
              <c:strCache>
                <c:ptCount val="1"/>
                <c:pt idx="0">
                  <c:v>Capacidad nominal</c:v>
                </c:pt>
              </c:strCache>
            </c:strRef>
          </c:tx>
          <c:marker>
            <c:symbol val="none"/>
          </c:marker>
          <c:cat>
            <c:strRef>
              <c:f>VTD!$A$67:$A$92</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Nov</c:v>
                </c:pt>
                <c:pt idx="19">
                  <c:v>2014 Dic</c:v>
                </c:pt>
                <c:pt idx="20">
                  <c:v>2014 Oct</c:v>
                </c:pt>
                <c:pt idx="21">
                  <c:v>2015 Ene</c:v>
                </c:pt>
                <c:pt idx="22">
                  <c:v>2015 Feb</c:v>
                </c:pt>
                <c:pt idx="23">
                  <c:v>2015 Mar</c:v>
                </c:pt>
                <c:pt idx="24">
                  <c:v>2015 Abr</c:v>
                </c:pt>
              </c:strCache>
            </c:strRef>
          </c:cat>
          <c:val>
            <c:numRef>
              <c:f>VTD!$B$67:$B$92</c:f>
              <c:numCache>
                <c:formatCode>0.0</c:formatCode>
                <c:ptCount val="25"/>
                <c:pt idx="0">
                  <c:v>13</c:v>
                </c:pt>
                <c:pt idx="1">
                  <c:v>13</c:v>
                </c:pt>
                <c:pt idx="2">
                  <c:v>13</c:v>
                </c:pt>
                <c:pt idx="3">
                  <c:v>13</c:v>
                </c:pt>
                <c:pt idx="4">
                  <c:v>13</c:v>
                </c:pt>
                <c:pt idx="5">
                  <c:v>13</c:v>
                </c:pt>
                <c:pt idx="6">
                  <c:v>13</c:v>
                </c:pt>
                <c:pt idx="7">
                  <c:v>13</c:v>
                </c:pt>
                <c:pt idx="8">
                  <c:v>13</c:v>
                </c:pt>
                <c:pt idx="9">
                  <c:v>13</c:v>
                </c:pt>
                <c:pt idx="10">
                  <c:v>13</c:v>
                </c:pt>
                <c:pt idx="11">
                  <c:v>13</c:v>
                </c:pt>
                <c:pt idx="12">
                  <c:v>13</c:v>
                </c:pt>
                <c:pt idx="13">
                  <c:v>13</c:v>
                </c:pt>
                <c:pt idx="14">
                  <c:v>13</c:v>
                </c:pt>
                <c:pt idx="15">
                  <c:v>13</c:v>
                </c:pt>
                <c:pt idx="16">
                  <c:v>13</c:v>
                </c:pt>
                <c:pt idx="17">
                  <c:v>13</c:v>
                </c:pt>
                <c:pt idx="18">
                  <c:v>13</c:v>
                </c:pt>
                <c:pt idx="19">
                  <c:v>13</c:v>
                </c:pt>
                <c:pt idx="20">
                  <c:v>13</c:v>
                </c:pt>
                <c:pt idx="21">
                  <c:v>13</c:v>
                </c:pt>
                <c:pt idx="22">
                  <c:v>13</c:v>
                </c:pt>
                <c:pt idx="23">
                  <c:v>13</c:v>
                </c:pt>
                <c:pt idx="24">
                  <c:v>13</c:v>
                </c:pt>
              </c:numCache>
            </c:numRef>
          </c:val>
          <c:smooth val="0"/>
        </c:ser>
        <c:ser>
          <c:idx val="1"/>
          <c:order val="1"/>
          <c:tx>
            <c:strRef>
              <c:f>VTD!$C$66</c:f>
              <c:strCache>
                <c:ptCount val="1"/>
                <c:pt idx="0">
                  <c:v>Cantidad transportada</c:v>
                </c:pt>
              </c:strCache>
            </c:strRef>
          </c:tx>
          <c:marker>
            <c:symbol val="none"/>
          </c:marker>
          <c:cat>
            <c:strRef>
              <c:f>VTD!$A$67:$A$92</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Nov</c:v>
                </c:pt>
                <c:pt idx="19">
                  <c:v>2014 Dic</c:v>
                </c:pt>
                <c:pt idx="20">
                  <c:v>2014 Oct</c:v>
                </c:pt>
                <c:pt idx="21">
                  <c:v>2015 Ene</c:v>
                </c:pt>
                <c:pt idx="22">
                  <c:v>2015 Feb</c:v>
                </c:pt>
                <c:pt idx="23">
                  <c:v>2015 Mar</c:v>
                </c:pt>
                <c:pt idx="24">
                  <c:v>2015 Abr</c:v>
                </c:pt>
              </c:strCache>
            </c:strRef>
          </c:cat>
          <c:val>
            <c:numRef>
              <c:f>VTD!$C$67:$C$92</c:f>
              <c:numCache>
                <c:formatCode>_(* #,##0.00_);_(* \(#,##0.00\);_(* "-"??_);_(@_)</c:formatCode>
                <c:ptCount val="25"/>
                <c:pt idx="0">
                  <c:v>4.5235120026307127</c:v>
                </c:pt>
                <c:pt idx="1">
                  <c:v>5.8943439658007231</c:v>
                </c:pt>
                <c:pt idx="2">
                  <c:v>6.5397566589937526</c:v>
                </c:pt>
                <c:pt idx="3">
                  <c:v>6.6697467938178221</c:v>
                </c:pt>
                <c:pt idx="4">
                  <c:v>6.046793817823084</c:v>
                </c:pt>
                <c:pt idx="5">
                  <c:v>4.746596514304505</c:v>
                </c:pt>
                <c:pt idx="6">
                  <c:v>6.1743176586649096</c:v>
                </c:pt>
                <c:pt idx="7">
                  <c:v>6.1547517264057863</c:v>
                </c:pt>
                <c:pt idx="8">
                  <c:v>5.9310095363367337</c:v>
                </c:pt>
                <c:pt idx="9">
                  <c:v>5.503288391976322</c:v>
                </c:pt>
                <c:pt idx="10">
                  <c:v>4.5059191055573837</c:v>
                </c:pt>
                <c:pt idx="11">
                  <c:v>5.8613285103584349</c:v>
                </c:pt>
                <c:pt idx="12">
                  <c:v>5.3571522525485014</c:v>
                </c:pt>
                <c:pt idx="13">
                  <c:v>6.5547188424860234</c:v>
                </c:pt>
                <c:pt idx="14">
                  <c:v>6.0419598816178883</c:v>
                </c:pt>
                <c:pt idx="15">
                  <c:v>6.1723117395593556</c:v>
                </c:pt>
                <c:pt idx="16">
                  <c:v>5.1295955277869094</c:v>
                </c:pt>
                <c:pt idx="17">
                  <c:v>5.4122328181519244</c:v>
                </c:pt>
                <c:pt idx="18">
                  <c:v>5.650542584676093</c:v>
                </c:pt>
                <c:pt idx="19">
                  <c:v>5.733114107201577</c:v>
                </c:pt>
                <c:pt idx="20">
                  <c:v>5.5081880960210441</c:v>
                </c:pt>
                <c:pt idx="21">
                  <c:v>6.4528115751397541</c:v>
                </c:pt>
                <c:pt idx="22">
                  <c:v>6.2333771785596861</c:v>
                </c:pt>
                <c:pt idx="23">
                  <c:v>6.7107201578428164</c:v>
                </c:pt>
                <c:pt idx="24">
                  <c:v>7.6820124958895102</c:v>
                </c:pt>
              </c:numCache>
            </c:numRef>
          </c:val>
          <c:smooth val="0"/>
        </c:ser>
        <c:dLbls>
          <c:showLegendKey val="0"/>
          <c:showVal val="0"/>
          <c:showCatName val="0"/>
          <c:showSerName val="0"/>
          <c:showPercent val="0"/>
          <c:showBubbleSize val="0"/>
        </c:dLbls>
        <c:marker val="1"/>
        <c:smooth val="0"/>
        <c:axId val="81554816"/>
        <c:axId val="81564800"/>
      </c:lineChart>
      <c:catAx>
        <c:axId val="81554816"/>
        <c:scaling>
          <c:orientation val="minMax"/>
        </c:scaling>
        <c:delete val="0"/>
        <c:axPos val="b"/>
        <c:numFmt formatCode="General" sourceLinked="0"/>
        <c:majorTickMark val="out"/>
        <c:minorTickMark val="none"/>
        <c:tickLblPos val="nextTo"/>
        <c:txPr>
          <a:bodyPr/>
          <a:lstStyle/>
          <a:p>
            <a:pPr>
              <a:defRPr sz="600"/>
            </a:pPr>
            <a:endParaRPr lang="es-CO"/>
          </a:p>
        </c:txPr>
        <c:crossAx val="81564800"/>
        <c:crosses val="autoZero"/>
        <c:auto val="1"/>
        <c:lblAlgn val="ctr"/>
        <c:lblOffset val="100"/>
        <c:noMultiLvlLbl val="0"/>
      </c:catAx>
      <c:valAx>
        <c:axId val="81564800"/>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1554816"/>
        <c:crosses val="autoZero"/>
        <c:crossBetween val="between"/>
      </c:valAx>
      <c:valAx>
        <c:axId val="81566720"/>
        <c:scaling>
          <c:orientation val="minMax"/>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1581184"/>
        <c:crosses val="max"/>
        <c:crossBetween val="between"/>
      </c:valAx>
      <c:catAx>
        <c:axId val="81581184"/>
        <c:scaling>
          <c:orientation val="minMax"/>
        </c:scaling>
        <c:delete val="1"/>
        <c:axPos val="b"/>
        <c:numFmt formatCode="General" sourceLinked="1"/>
        <c:majorTickMark val="out"/>
        <c:minorTickMark val="none"/>
        <c:tickLblPos val="nextTo"/>
        <c:crossAx val="81566720"/>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dinámica40</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VTD!$D$609</c:f>
              <c:strCache>
                <c:ptCount val="1"/>
                <c:pt idx="0">
                  <c:v>Variación (%)</c:v>
                </c:pt>
              </c:strCache>
            </c:strRef>
          </c:tx>
          <c:invertIfNegative val="0"/>
          <c:cat>
            <c:strRef>
              <c:f>VTD!$A$610:$A$635</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VTD!$D$610:$D$635</c:f>
              <c:numCache>
                <c:formatCode>0.00%</c:formatCode>
                <c:ptCount val="25"/>
                <c:pt idx="1">
                  <c:v>-7.0308202720151106E-2</c:v>
                </c:pt>
                <c:pt idx="2">
                  <c:v>0.56433411389567001</c:v>
                </c:pt>
                <c:pt idx="3">
                  <c:v>1.54708538032185E-2</c:v>
                </c:pt>
                <c:pt idx="4">
                  <c:v>-0.162893816550881</c:v>
                </c:pt>
                <c:pt idx="5">
                  <c:v>-0.25369170893456799</c:v>
                </c:pt>
                <c:pt idx="6">
                  <c:v>-0.42403875720892897</c:v>
                </c:pt>
                <c:pt idx="7">
                  <c:v>0.96543909348442003</c:v>
                </c:pt>
                <c:pt idx="8">
                  <c:v>-0.28513537485863799</c:v>
                </c:pt>
                <c:pt idx="9">
                  <c:v>-0.29178848107450001</c:v>
                </c:pt>
                <c:pt idx="10">
                  <c:v>0.141547861507128</c:v>
                </c:pt>
                <c:pt idx="11">
                  <c:v>-0.42941689927388199</c:v>
                </c:pt>
                <c:pt idx="12">
                  <c:v>0.62926788265949396</c:v>
                </c:pt>
                <c:pt idx="13">
                  <c:v>-1</c:v>
                </c:pt>
                <c:pt idx="14">
                  <c:v>#N/A</c:v>
                </c:pt>
                <c:pt idx="15">
                  <c:v>-1</c:v>
                </c:pt>
                <c:pt idx="16">
                  <c:v>#N/A</c:v>
                </c:pt>
                <c:pt idx="17">
                  <c:v>0.31264423050114099</c:v>
                </c:pt>
                <c:pt idx="18">
                  <c:v>-0.12771835024713199</c:v>
                </c:pt>
                <c:pt idx="19">
                  <c:v>-6.0964874469531798E-2</c:v>
                </c:pt>
                <c:pt idx="20">
                  <c:v>-0.117635888764084</c:v>
                </c:pt>
                <c:pt idx="21">
                  <c:v>-0.25130671021267498</c:v>
                </c:pt>
                <c:pt idx="22">
                  <c:v>2.38251758990876E-2</c:v>
                </c:pt>
                <c:pt idx="23">
                  <c:v>0.76878482779198498</c:v>
                </c:pt>
                <c:pt idx="24">
                  <c:v>-0.69178475960180796</c:v>
                </c:pt>
              </c:numCache>
            </c:numRef>
          </c:val>
        </c:ser>
        <c:dLbls>
          <c:showLegendKey val="0"/>
          <c:showVal val="0"/>
          <c:showCatName val="0"/>
          <c:showSerName val="0"/>
          <c:showPercent val="0"/>
          <c:showBubbleSize val="0"/>
        </c:dLbls>
        <c:gapWidth val="150"/>
        <c:axId val="81687680"/>
        <c:axId val="81685504"/>
      </c:barChart>
      <c:lineChart>
        <c:grouping val="standard"/>
        <c:varyColors val="0"/>
        <c:ser>
          <c:idx val="0"/>
          <c:order val="0"/>
          <c:tx>
            <c:strRef>
              <c:f>VTD!$B$609</c:f>
              <c:strCache>
                <c:ptCount val="1"/>
                <c:pt idx="0">
                  <c:v>Capacidad nominal</c:v>
                </c:pt>
              </c:strCache>
            </c:strRef>
          </c:tx>
          <c:marker>
            <c:symbol val="none"/>
          </c:marker>
          <c:cat>
            <c:strRef>
              <c:f>VTD!$A$610:$A$635</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VTD!$B$610:$B$635</c:f>
              <c:numCache>
                <c:formatCode>0.0</c:formatCode>
                <c:ptCount val="25"/>
                <c:pt idx="0">
                  <c:v>22.1</c:v>
                </c:pt>
                <c:pt idx="1">
                  <c:v>22.1</c:v>
                </c:pt>
                <c:pt idx="2">
                  <c:v>22.1</c:v>
                </c:pt>
                <c:pt idx="3">
                  <c:v>22.1</c:v>
                </c:pt>
                <c:pt idx="4">
                  <c:v>22.1</c:v>
                </c:pt>
                <c:pt idx="5">
                  <c:v>22.1</c:v>
                </c:pt>
                <c:pt idx="6">
                  <c:v>22.1</c:v>
                </c:pt>
                <c:pt idx="7">
                  <c:v>22.1</c:v>
                </c:pt>
                <c:pt idx="8">
                  <c:v>22.1</c:v>
                </c:pt>
                <c:pt idx="9">
                  <c:v>22.1</c:v>
                </c:pt>
                <c:pt idx="10">
                  <c:v>22.1</c:v>
                </c:pt>
                <c:pt idx="11">
                  <c:v>22.1</c:v>
                </c:pt>
                <c:pt idx="12">
                  <c:v>22.1</c:v>
                </c:pt>
                <c:pt idx="13">
                  <c:v>22.1</c:v>
                </c:pt>
                <c:pt idx="14">
                  <c:v>22.1</c:v>
                </c:pt>
                <c:pt idx="15">
                  <c:v>22.1</c:v>
                </c:pt>
                <c:pt idx="16">
                  <c:v>22.1</c:v>
                </c:pt>
                <c:pt idx="17">
                  <c:v>22.1</c:v>
                </c:pt>
                <c:pt idx="18">
                  <c:v>22.1</c:v>
                </c:pt>
                <c:pt idx="19">
                  <c:v>22.1</c:v>
                </c:pt>
                <c:pt idx="20">
                  <c:v>22.1</c:v>
                </c:pt>
                <c:pt idx="21">
                  <c:v>22.1</c:v>
                </c:pt>
                <c:pt idx="22">
                  <c:v>22.1</c:v>
                </c:pt>
                <c:pt idx="23">
                  <c:v>22.1</c:v>
                </c:pt>
                <c:pt idx="24">
                  <c:v>22.1</c:v>
                </c:pt>
              </c:numCache>
            </c:numRef>
          </c:val>
          <c:smooth val="0"/>
        </c:ser>
        <c:ser>
          <c:idx val="1"/>
          <c:order val="1"/>
          <c:tx>
            <c:strRef>
              <c:f>VTD!$C$609</c:f>
              <c:strCache>
                <c:ptCount val="1"/>
                <c:pt idx="0">
                  <c:v>Cantidad transportada</c:v>
                </c:pt>
              </c:strCache>
            </c:strRef>
          </c:tx>
          <c:marker>
            <c:symbol val="none"/>
          </c:marker>
          <c:cat>
            <c:strRef>
              <c:f>VTD!$A$610:$A$635</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VTD!$C$610:$C$635</c:f>
              <c:numCache>
                <c:formatCode>_(* #,##0.00_);_(* \(#,##0.00\);_(* "-"??_);_(@_)</c:formatCode>
                <c:ptCount val="25"/>
                <c:pt idx="0">
                  <c:v>5.6794146662282126</c:v>
                </c:pt>
                <c:pt idx="1">
                  <c:v>5.2801052285432419</c:v>
                </c:pt>
                <c:pt idx="2">
                  <c:v>8.2598487339690898</c:v>
                </c:pt>
                <c:pt idx="3">
                  <c:v>8.3876356461690253</c:v>
                </c:pt>
                <c:pt idx="4">
                  <c:v>7.0213416639263402</c:v>
                </c:pt>
                <c:pt idx="5">
                  <c:v>5.2400854981913838</c:v>
                </c:pt>
                <c:pt idx="6">
                  <c:v>3.0180861558697791</c:v>
                </c:pt>
                <c:pt idx="7">
                  <c:v>5.9318645182505758</c:v>
                </c:pt>
                <c:pt idx="8">
                  <c:v>4.240480105228543</c:v>
                </c:pt>
                <c:pt idx="9">
                  <c:v>3.003156856297271</c:v>
                </c:pt>
                <c:pt idx="10">
                  <c:v>3.4282472870766201</c:v>
                </c:pt>
                <c:pt idx="11">
                  <c:v>1.9560999671160799</c:v>
                </c:pt>
                <c:pt idx="12">
                  <c:v>3.1870108516935218</c:v>
                </c:pt>
                <c:pt idx="13">
                  <c:v>0</c:v>
                </c:pt>
                <c:pt idx="14">
                  <c:v>2.3881946728050001</c:v>
                </c:pt>
                <c:pt idx="15">
                  <c:v>0</c:v>
                </c:pt>
                <c:pt idx="16">
                  <c:v>3.361367642222953</c:v>
                </c:pt>
                <c:pt idx="17">
                  <c:v>4.4122798421571847</c:v>
                </c:pt>
                <c:pt idx="18">
                  <c:v>3.8487507398881942</c:v>
                </c:pt>
                <c:pt idx="19">
                  <c:v>3.6141121341663931</c:v>
                </c:pt>
                <c:pt idx="20">
                  <c:v>3.1889628411706679</c:v>
                </c:pt>
                <c:pt idx="21">
                  <c:v>2.3875550805656029</c:v>
                </c:pt>
                <c:pt idx="22">
                  <c:v>2.4444390003288392</c:v>
                </c:pt>
                <c:pt idx="23">
                  <c:v>4.3236866162446574</c:v>
                </c:pt>
                <c:pt idx="24">
                  <c:v>1.332626109832292</c:v>
                </c:pt>
              </c:numCache>
            </c:numRef>
          </c:val>
          <c:smooth val="0"/>
        </c:ser>
        <c:dLbls>
          <c:showLegendKey val="0"/>
          <c:showVal val="0"/>
          <c:showCatName val="0"/>
          <c:showSerName val="0"/>
          <c:showPercent val="0"/>
          <c:showBubbleSize val="0"/>
        </c:dLbls>
        <c:marker val="1"/>
        <c:smooth val="0"/>
        <c:axId val="81669504"/>
        <c:axId val="81683584"/>
      </c:lineChart>
      <c:catAx>
        <c:axId val="81669504"/>
        <c:scaling>
          <c:orientation val="minMax"/>
        </c:scaling>
        <c:delete val="0"/>
        <c:axPos val="b"/>
        <c:numFmt formatCode="General" sourceLinked="0"/>
        <c:majorTickMark val="out"/>
        <c:minorTickMark val="none"/>
        <c:tickLblPos val="nextTo"/>
        <c:txPr>
          <a:bodyPr/>
          <a:lstStyle/>
          <a:p>
            <a:pPr>
              <a:defRPr sz="600"/>
            </a:pPr>
            <a:endParaRPr lang="es-CO"/>
          </a:p>
        </c:txPr>
        <c:crossAx val="81683584"/>
        <c:crosses val="autoZero"/>
        <c:auto val="1"/>
        <c:lblAlgn val="ctr"/>
        <c:lblOffset val="100"/>
        <c:noMultiLvlLbl val="0"/>
      </c:catAx>
      <c:valAx>
        <c:axId val="81683584"/>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1669504"/>
        <c:crosses val="autoZero"/>
        <c:crossBetween val="between"/>
      </c:valAx>
      <c:valAx>
        <c:axId val="81685504"/>
        <c:scaling>
          <c:orientation val="minMax"/>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1687680"/>
        <c:crosses val="max"/>
        <c:crossBetween val="between"/>
      </c:valAx>
      <c:catAx>
        <c:axId val="81687680"/>
        <c:scaling>
          <c:orientation val="minMax"/>
        </c:scaling>
        <c:delete val="1"/>
        <c:axPos val="b"/>
        <c:numFmt formatCode="General" sourceLinked="0"/>
        <c:majorTickMark val="out"/>
        <c:minorTickMark val="none"/>
        <c:tickLblPos val="nextTo"/>
        <c:crossAx val="81685504"/>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dinámica28</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VTD!$D$417</c:f>
              <c:strCache>
                <c:ptCount val="1"/>
                <c:pt idx="0">
                  <c:v>Variación (%)</c:v>
                </c:pt>
              </c:strCache>
            </c:strRef>
          </c:tx>
          <c:invertIfNegative val="0"/>
          <c:cat>
            <c:strRef>
              <c:f>VTD!$A$418:$A$443</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VTD!$D$418:$D$443</c:f>
              <c:numCache>
                <c:formatCode>0.00%</c:formatCode>
                <c:ptCount val="25"/>
                <c:pt idx="1">
                  <c:v>-2.69972970601517E-2</c:v>
                </c:pt>
                <c:pt idx="2">
                  <c:v>-3.5748063362468802E-2</c:v>
                </c:pt>
                <c:pt idx="3">
                  <c:v>3.7534129712295E-2</c:v>
                </c:pt>
                <c:pt idx="4">
                  <c:v>-6.4488541428495694E-2</c:v>
                </c:pt>
                <c:pt idx="5">
                  <c:v>-1.0340216627541599E-3</c:v>
                </c:pt>
                <c:pt idx="6">
                  <c:v>9.8921857613690101E-2</c:v>
                </c:pt>
                <c:pt idx="7">
                  <c:v>3.6788238039273197E-2</c:v>
                </c:pt>
                <c:pt idx="8">
                  <c:v>2.0765282314512301E-2</c:v>
                </c:pt>
                <c:pt idx="9">
                  <c:v>-3.3533249051833101E-2</c:v>
                </c:pt>
                <c:pt idx="10">
                  <c:v>-8.9073393093719797E-2</c:v>
                </c:pt>
                <c:pt idx="11">
                  <c:v>0.103235471167499</c:v>
                </c:pt>
                <c:pt idx="12">
                  <c:v>3.33631838723796E-3</c:v>
                </c:pt>
                <c:pt idx="13">
                  <c:v>-0.103872786297252</c:v>
                </c:pt>
                <c:pt idx="14">
                  <c:v>5.8974495574770601E-2</c:v>
                </c:pt>
                <c:pt idx="15">
                  <c:v>4.6066186924472903E-2</c:v>
                </c:pt>
                <c:pt idx="16">
                  <c:v>1.57030513266048E-3</c:v>
                </c:pt>
                <c:pt idx="17">
                  <c:v>-6.6475714088876495E-2</c:v>
                </c:pt>
                <c:pt idx="18">
                  <c:v>0.108804454781286</c:v>
                </c:pt>
                <c:pt idx="19">
                  <c:v>-9.2776913876804007E-2</c:v>
                </c:pt>
                <c:pt idx="20">
                  <c:v>0.17278291201010201</c:v>
                </c:pt>
                <c:pt idx="21">
                  <c:v>-0.121467282615495</c:v>
                </c:pt>
                <c:pt idx="22">
                  <c:v>-0.116125621689269</c:v>
                </c:pt>
                <c:pt idx="23">
                  <c:v>0.13656514564149599</c:v>
                </c:pt>
                <c:pt idx="24">
                  <c:v>-1.12827496144575E-2</c:v>
                </c:pt>
              </c:numCache>
            </c:numRef>
          </c:val>
        </c:ser>
        <c:dLbls>
          <c:showLegendKey val="0"/>
          <c:showVal val="0"/>
          <c:showCatName val="0"/>
          <c:showSerName val="0"/>
          <c:showPercent val="0"/>
          <c:showBubbleSize val="0"/>
        </c:dLbls>
        <c:gapWidth val="150"/>
        <c:axId val="81618048"/>
        <c:axId val="81607680"/>
      </c:barChart>
      <c:lineChart>
        <c:grouping val="standard"/>
        <c:varyColors val="0"/>
        <c:ser>
          <c:idx val="0"/>
          <c:order val="0"/>
          <c:tx>
            <c:strRef>
              <c:f>VTD!$B$417</c:f>
              <c:strCache>
                <c:ptCount val="1"/>
                <c:pt idx="0">
                  <c:v>Capacidad nominal</c:v>
                </c:pt>
              </c:strCache>
            </c:strRef>
          </c:tx>
          <c:marker>
            <c:symbol val="none"/>
          </c:marker>
          <c:cat>
            <c:strRef>
              <c:f>VTD!$A$418:$A$443</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VTD!$B$418:$B$443</c:f>
              <c:numCache>
                <c:formatCode>0.0</c:formatCode>
                <c:ptCount val="25"/>
                <c:pt idx="0">
                  <c:v>26.3</c:v>
                </c:pt>
                <c:pt idx="1">
                  <c:v>26.3</c:v>
                </c:pt>
                <c:pt idx="2">
                  <c:v>26.3</c:v>
                </c:pt>
                <c:pt idx="3">
                  <c:v>26.3</c:v>
                </c:pt>
                <c:pt idx="4">
                  <c:v>26.3</c:v>
                </c:pt>
                <c:pt idx="5">
                  <c:v>26.3</c:v>
                </c:pt>
                <c:pt idx="6">
                  <c:v>26.3</c:v>
                </c:pt>
                <c:pt idx="7">
                  <c:v>26.3</c:v>
                </c:pt>
                <c:pt idx="8">
                  <c:v>26.3</c:v>
                </c:pt>
                <c:pt idx="9">
                  <c:v>26.3</c:v>
                </c:pt>
                <c:pt idx="10">
                  <c:v>26.3</c:v>
                </c:pt>
                <c:pt idx="11">
                  <c:v>26.3</c:v>
                </c:pt>
                <c:pt idx="12">
                  <c:v>26.3</c:v>
                </c:pt>
                <c:pt idx="13">
                  <c:v>26.3</c:v>
                </c:pt>
                <c:pt idx="14">
                  <c:v>26.3</c:v>
                </c:pt>
                <c:pt idx="15">
                  <c:v>26.3</c:v>
                </c:pt>
                <c:pt idx="16">
                  <c:v>26.3</c:v>
                </c:pt>
                <c:pt idx="17">
                  <c:v>26.3</c:v>
                </c:pt>
                <c:pt idx="18">
                  <c:v>26.3</c:v>
                </c:pt>
                <c:pt idx="19">
                  <c:v>26.3</c:v>
                </c:pt>
                <c:pt idx="20">
                  <c:v>26.3</c:v>
                </c:pt>
                <c:pt idx="21">
                  <c:v>26.3</c:v>
                </c:pt>
                <c:pt idx="22">
                  <c:v>26.3</c:v>
                </c:pt>
                <c:pt idx="23">
                  <c:v>26.3</c:v>
                </c:pt>
                <c:pt idx="24">
                  <c:v>26.3</c:v>
                </c:pt>
              </c:numCache>
            </c:numRef>
          </c:val>
          <c:smooth val="0"/>
        </c:ser>
        <c:ser>
          <c:idx val="1"/>
          <c:order val="1"/>
          <c:tx>
            <c:strRef>
              <c:f>VTD!$C$417</c:f>
              <c:strCache>
                <c:ptCount val="1"/>
                <c:pt idx="0">
                  <c:v>Cantidad transportada</c:v>
                </c:pt>
              </c:strCache>
            </c:strRef>
          </c:tx>
          <c:marker>
            <c:symbol val="none"/>
          </c:marker>
          <c:cat>
            <c:strRef>
              <c:f>VTD!$A$418:$A$443</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VTD!$C$418:$C$443</c:f>
              <c:numCache>
                <c:formatCode>_(* #,##0.00_);_(* \(#,##0.00\);_(* "-"??_);_(@_)</c:formatCode>
                <c:ptCount val="25"/>
                <c:pt idx="0">
                  <c:v>15.36563630384742</c:v>
                </c:pt>
                <c:pt idx="1">
                  <c:v>14.9508056560342</c:v>
                </c:pt>
                <c:pt idx="2">
                  <c:v>14.416343308122331</c:v>
                </c:pt>
                <c:pt idx="3">
                  <c:v>14.957448207826371</c:v>
                </c:pt>
                <c:pt idx="4">
                  <c:v>13.99286418941138</c:v>
                </c:pt>
                <c:pt idx="5">
                  <c:v>13.97839526471555</c:v>
                </c:pt>
                <c:pt idx="6">
                  <c:v>15.36116409075963</c:v>
                </c:pt>
                <c:pt idx="7">
                  <c:v>15.926274251890829</c:v>
                </c:pt>
                <c:pt idx="8">
                  <c:v>16.25698783294969</c:v>
                </c:pt>
                <c:pt idx="9">
                  <c:v>15.71183821111477</c:v>
                </c:pt>
                <c:pt idx="10">
                  <c:v>14.31233146991122</c:v>
                </c:pt>
                <c:pt idx="11">
                  <c:v>15.789871752712919</c:v>
                </c:pt>
                <c:pt idx="12">
                  <c:v>15.842551792173619</c:v>
                </c:pt>
                <c:pt idx="13">
                  <c:v>14.196941795462021</c:v>
                </c:pt>
                <c:pt idx="14">
                  <c:v>15.034199276553769</c:v>
                </c:pt>
                <c:pt idx="15">
                  <c:v>15.726767510687271</c:v>
                </c:pt>
                <c:pt idx="16">
                  <c:v>15.751463334429459</c:v>
                </c:pt>
                <c:pt idx="17">
                  <c:v>14.704373561328509</c:v>
                </c:pt>
                <c:pt idx="18">
                  <c:v>16.304274909569219</c:v>
                </c:pt>
                <c:pt idx="19">
                  <c:v>14.79161460046037</c:v>
                </c:pt>
                <c:pt idx="20">
                  <c:v>17.34735284445906</c:v>
                </c:pt>
                <c:pt idx="21">
                  <c:v>15.24021703387044</c:v>
                </c:pt>
                <c:pt idx="22">
                  <c:v>13.47043735613285</c:v>
                </c:pt>
                <c:pt idx="23">
                  <c:v>15.310029595527791</c:v>
                </c:pt>
                <c:pt idx="24">
                  <c:v>15.137290365011509</c:v>
                </c:pt>
              </c:numCache>
            </c:numRef>
          </c:val>
          <c:smooth val="0"/>
        </c:ser>
        <c:dLbls>
          <c:showLegendKey val="0"/>
          <c:showVal val="0"/>
          <c:showCatName val="0"/>
          <c:showSerName val="0"/>
          <c:showPercent val="0"/>
          <c:showBubbleSize val="0"/>
        </c:dLbls>
        <c:marker val="1"/>
        <c:smooth val="0"/>
        <c:axId val="81718656"/>
        <c:axId val="81605760"/>
      </c:lineChart>
      <c:catAx>
        <c:axId val="81718656"/>
        <c:scaling>
          <c:orientation val="minMax"/>
        </c:scaling>
        <c:delete val="0"/>
        <c:axPos val="b"/>
        <c:numFmt formatCode="General" sourceLinked="0"/>
        <c:majorTickMark val="out"/>
        <c:minorTickMark val="none"/>
        <c:tickLblPos val="nextTo"/>
        <c:txPr>
          <a:bodyPr/>
          <a:lstStyle/>
          <a:p>
            <a:pPr>
              <a:defRPr sz="600"/>
            </a:pPr>
            <a:endParaRPr lang="es-CO"/>
          </a:p>
        </c:txPr>
        <c:crossAx val="81605760"/>
        <c:crosses val="autoZero"/>
        <c:auto val="1"/>
        <c:lblAlgn val="ctr"/>
        <c:lblOffset val="100"/>
        <c:noMultiLvlLbl val="0"/>
      </c:catAx>
      <c:valAx>
        <c:axId val="81605760"/>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1718656"/>
        <c:crosses val="autoZero"/>
        <c:crossBetween val="between"/>
      </c:valAx>
      <c:valAx>
        <c:axId val="81607680"/>
        <c:scaling>
          <c:orientation val="minMax"/>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1618048"/>
        <c:crosses val="max"/>
        <c:crossBetween val="between"/>
      </c:valAx>
      <c:catAx>
        <c:axId val="81618048"/>
        <c:scaling>
          <c:orientation val="minMax"/>
        </c:scaling>
        <c:delete val="1"/>
        <c:axPos val="b"/>
        <c:numFmt formatCode="General" sourceLinked="0"/>
        <c:majorTickMark val="out"/>
        <c:minorTickMark val="none"/>
        <c:tickLblPos val="nextTo"/>
        <c:crossAx val="81607680"/>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dinámica14</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VTD!$D$226</c:f>
              <c:strCache>
                <c:ptCount val="1"/>
                <c:pt idx="0">
                  <c:v>Variación (%)</c:v>
                </c:pt>
              </c:strCache>
            </c:strRef>
          </c:tx>
          <c:invertIfNegative val="0"/>
          <c:cat>
            <c:strRef>
              <c:f>VTD!$A$227:$A$252</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VTD!$D$227:$D$252</c:f>
              <c:numCache>
                <c:formatCode>0.00%</c:formatCode>
                <c:ptCount val="25"/>
                <c:pt idx="1">
                  <c:v>-2.0298566060311801E-2</c:v>
                </c:pt>
                <c:pt idx="2">
                  <c:v>-7.0033824238000406E-2</c:v>
                </c:pt>
                <c:pt idx="3">
                  <c:v>9.3442362247541697E-2</c:v>
                </c:pt>
                <c:pt idx="4">
                  <c:v>-0.12753579672340401</c:v>
                </c:pt>
                <c:pt idx="5">
                  <c:v>-3.4114129616484398E-2</c:v>
                </c:pt>
                <c:pt idx="6">
                  <c:v>0.21407415655272199</c:v>
                </c:pt>
                <c:pt idx="7">
                  <c:v>6.98163909167617E-2</c:v>
                </c:pt>
                <c:pt idx="8">
                  <c:v>3.0107545317770702E-2</c:v>
                </c:pt>
                <c:pt idx="9">
                  <c:v>-2.5728088681388501E-2</c:v>
                </c:pt>
                <c:pt idx="10">
                  <c:v>-5.42073478034324E-2</c:v>
                </c:pt>
                <c:pt idx="11">
                  <c:v>4.1382549244511103E-2</c:v>
                </c:pt>
                <c:pt idx="12">
                  <c:v>-2.3351112267464499E-2</c:v>
                </c:pt>
                <c:pt idx="13">
                  <c:v>-0.134532134532135</c:v>
                </c:pt>
                <c:pt idx="14">
                  <c:v>0.116629472874183</c:v>
                </c:pt>
                <c:pt idx="15">
                  <c:v>3.3566266499432597E-2</c:v>
                </c:pt>
                <c:pt idx="16">
                  <c:v>2.9822416820394101E-2</c:v>
                </c:pt>
                <c:pt idx="17">
                  <c:v>-0.11378488738485899</c:v>
                </c:pt>
                <c:pt idx="18">
                  <c:v>0.14005445344425299</c:v>
                </c:pt>
                <c:pt idx="19">
                  <c:v>-5.8192491070970603E-2</c:v>
                </c:pt>
                <c:pt idx="20">
                  <c:v>0.18024740640607501</c:v>
                </c:pt>
                <c:pt idx="21">
                  <c:v>-0.15369625877270501</c:v>
                </c:pt>
                <c:pt idx="22">
                  <c:v>-5.6146199016317601E-2</c:v>
                </c:pt>
                <c:pt idx="23">
                  <c:v>9.2772939421642706E-2</c:v>
                </c:pt>
                <c:pt idx="24">
                  <c:v>-4.4947184416430801E-2</c:v>
                </c:pt>
              </c:numCache>
            </c:numRef>
          </c:val>
        </c:ser>
        <c:dLbls>
          <c:showLegendKey val="0"/>
          <c:showVal val="0"/>
          <c:showCatName val="0"/>
          <c:showSerName val="0"/>
          <c:showPercent val="0"/>
          <c:showBubbleSize val="0"/>
        </c:dLbls>
        <c:gapWidth val="150"/>
        <c:axId val="82326656"/>
        <c:axId val="82324480"/>
      </c:barChart>
      <c:lineChart>
        <c:grouping val="standard"/>
        <c:varyColors val="0"/>
        <c:ser>
          <c:idx val="0"/>
          <c:order val="0"/>
          <c:tx>
            <c:strRef>
              <c:f>VTD!$B$226</c:f>
              <c:strCache>
                <c:ptCount val="1"/>
                <c:pt idx="0">
                  <c:v>Capacidad nominal</c:v>
                </c:pt>
              </c:strCache>
            </c:strRef>
          </c:tx>
          <c:marker>
            <c:symbol val="none"/>
          </c:marker>
          <c:cat>
            <c:strRef>
              <c:f>VTD!$A$227:$A$252</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VTD!$B$227:$B$252</c:f>
              <c:numCache>
                <c:formatCode>0.0</c:formatCode>
                <c:ptCount val="25"/>
                <c:pt idx="0">
                  <c:v>12</c:v>
                </c:pt>
                <c:pt idx="1">
                  <c:v>12</c:v>
                </c:pt>
                <c:pt idx="2">
                  <c:v>12</c:v>
                </c:pt>
                <c:pt idx="3">
                  <c:v>12</c:v>
                </c:pt>
                <c:pt idx="4">
                  <c:v>12</c:v>
                </c:pt>
                <c:pt idx="5">
                  <c:v>12</c:v>
                </c:pt>
                <c:pt idx="6">
                  <c:v>12</c:v>
                </c:pt>
                <c:pt idx="7">
                  <c:v>12</c:v>
                </c:pt>
                <c:pt idx="8">
                  <c:v>12</c:v>
                </c:pt>
                <c:pt idx="9">
                  <c:v>12</c:v>
                </c:pt>
                <c:pt idx="10">
                  <c:v>12</c:v>
                </c:pt>
                <c:pt idx="11">
                  <c:v>12</c:v>
                </c:pt>
                <c:pt idx="12">
                  <c:v>12</c:v>
                </c:pt>
                <c:pt idx="13">
                  <c:v>12</c:v>
                </c:pt>
                <c:pt idx="14">
                  <c:v>12</c:v>
                </c:pt>
                <c:pt idx="15">
                  <c:v>12</c:v>
                </c:pt>
                <c:pt idx="16">
                  <c:v>12</c:v>
                </c:pt>
                <c:pt idx="17">
                  <c:v>12</c:v>
                </c:pt>
                <c:pt idx="18">
                  <c:v>12</c:v>
                </c:pt>
                <c:pt idx="19">
                  <c:v>12</c:v>
                </c:pt>
                <c:pt idx="20">
                  <c:v>12</c:v>
                </c:pt>
                <c:pt idx="21">
                  <c:v>12</c:v>
                </c:pt>
                <c:pt idx="22">
                  <c:v>12</c:v>
                </c:pt>
                <c:pt idx="23">
                  <c:v>12</c:v>
                </c:pt>
                <c:pt idx="24">
                  <c:v>12</c:v>
                </c:pt>
              </c:numCache>
            </c:numRef>
          </c:val>
          <c:smooth val="0"/>
        </c:ser>
        <c:ser>
          <c:idx val="1"/>
          <c:order val="1"/>
          <c:tx>
            <c:strRef>
              <c:f>VTD!$C$226</c:f>
              <c:strCache>
                <c:ptCount val="1"/>
                <c:pt idx="0">
                  <c:v>Cantidad transportada</c:v>
                </c:pt>
              </c:strCache>
            </c:strRef>
          </c:tx>
          <c:marker>
            <c:symbol val="none"/>
          </c:marker>
          <c:cat>
            <c:strRef>
              <c:f>VTD!$A$227:$A$252</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VTD!$C$227:$C$252</c:f>
              <c:numCache>
                <c:formatCode>_(* #,##0.00_);_(* \(#,##0.00\);_(* "-"??_);_(@_)</c:formatCode>
                <c:ptCount val="25"/>
                <c:pt idx="0">
                  <c:v>7.0357119368628753</c:v>
                </c:pt>
                <c:pt idx="1">
                  <c:v>6.8928970733311399</c:v>
                </c:pt>
                <c:pt idx="2">
                  <c:v>6.4101611312068396</c:v>
                </c:pt>
                <c:pt idx="3">
                  <c:v>7.009141729694182</c:v>
                </c:pt>
                <c:pt idx="4">
                  <c:v>6.115225254850376</c:v>
                </c:pt>
                <c:pt idx="5">
                  <c:v>5.9066096678724112</c:v>
                </c:pt>
                <c:pt idx="6">
                  <c:v>7.1710621506083516</c:v>
                </c:pt>
                <c:pt idx="7">
                  <c:v>7.6717198290036182</c:v>
                </c:pt>
                <c:pt idx="8">
                  <c:v>7.9026964814205858</c:v>
                </c:pt>
                <c:pt idx="9">
                  <c:v>7.6993752055244986</c:v>
                </c:pt>
                <c:pt idx="10">
                  <c:v>7.2820124958895098</c:v>
                </c:pt>
                <c:pt idx="11">
                  <c:v>7.5833607365998024</c:v>
                </c:pt>
                <c:pt idx="12">
                  <c:v>7.4062808286747774</c:v>
                </c:pt>
                <c:pt idx="13">
                  <c:v>6.4098980598487323</c:v>
                </c:pt>
                <c:pt idx="14">
                  <c:v>7.1574810917461358</c:v>
                </c:pt>
                <c:pt idx="15">
                  <c:v>7.3977310095363347</c:v>
                </c:pt>
                <c:pt idx="16">
                  <c:v>7.618349227227883</c:v>
                </c:pt>
                <c:pt idx="17">
                  <c:v>6.7514962183492289</c:v>
                </c:pt>
                <c:pt idx="18">
                  <c:v>7.6970733311410706</c:v>
                </c:pt>
                <c:pt idx="19">
                  <c:v>7.2491614600460403</c:v>
                </c:pt>
                <c:pt idx="20">
                  <c:v>8.5558040118382106</c:v>
                </c:pt>
                <c:pt idx="21">
                  <c:v>7.240808944426175</c:v>
                </c:pt>
                <c:pt idx="22">
                  <c:v>6.8342650443932902</c:v>
                </c:pt>
                <c:pt idx="23">
                  <c:v>7.4682999013482396</c:v>
                </c:pt>
                <c:pt idx="24">
                  <c:v>7.1326208484051294</c:v>
                </c:pt>
              </c:numCache>
            </c:numRef>
          </c:val>
          <c:smooth val="0"/>
        </c:ser>
        <c:dLbls>
          <c:showLegendKey val="0"/>
          <c:showVal val="0"/>
          <c:showCatName val="0"/>
          <c:showSerName val="0"/>
          <c:showPercent val="0"/>
          <c:showBubbleSize val="0"/>
        </c:dLbls>
        <c:marker val="1"/>
        <c:smooth val="0"/>
        <c:axId val="81644928"/>
        <c:axId val="82322560"/>
      </c:lineChart>
      <c:catAx>
        <c:axId val="81644928"/>
        <c:scaling>
          <c:orientation val="minMax"/>
        </c:scaling>
        <c:delete val="0"/>
        <c:axPos val="b"/>
        <c:numFmt formatCode="General" sourceLinked="0"/>
        <c:majorTickMark val="out"/>
        <c:minorTickMark val="none"/>
        <c:tickLblPos val="nextTo"/>
        <c:txPr>
          <a:bodyPr/>
          <a:lstStyle/>
          <a:p>
            <a:pPr>
              <a:defRPr sz="600"/>
            </a:pPr>
            <a:endParaRPr lang="es-CO"/>
          </a:p>
        </c:txPr>
        <c:crossAx val="82322560"/>
        <c:crosses val="autoZero"/>
        <c:auto val="1"/>
        <c:lblAlgn val="ctr"/>
        <c:lblOffset val="100"/>
        <c:noMultiLvlLbl val="0"/>
      </c:catAx>
      <c:valAx>
        <c:axId val="82322560"/>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1644928"/>
        <c:crosses val="autoZero"/>
        <c:crossBetween val="between"/>
      </c:valAx>
      <c:valAx>
        <c:axId val="82324480"/>
        <c:scaling>
          <c:orientation val="minMax"/>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2326656"/>
        <c:crosses val="max"/>
        <c:crossBetween val="between"/>
      </c:valAx>
      <c:catAx>
        <c:axId val="82326656"/>
        <c:scaling>
          <c:orientation val="minMax"/>
        </c:scaling>
        <c:delete val="1"/>
        <c:axPos val="b"/>
        <c:numFmt formatCode="General" sourceLinked="1"/>
        <c:majorTickMark val="out"/>
        <c:minorTickMark val="none"/>
        <c:tickLblPos val="nextTo"/>
        <c:crossAx val="82324480"/>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dinámica30</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VTD!$D$449</c:f>
              <c:strCache>
                <c:ptCount val="1"/>
                <c:pt idx="0">
                  <c:v>Variación (%)</c:v>
                </c:pt>
              </c:strCache>
            </c:strRef>
          </c:tx>
          <c:invertIfNegative val="0"/>
          <c:cat>
            <c:strRef>
              <c:f>VTD!$A$450:$A$475</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VTD!$D$450:$D$475</c:f>
              <c:numCache>
                <c:formatCode>0.00%</c:formatCode>
                <c:ptCount val="25"/>
                <c:pt idx="1">
                  <c:v>1.0679126794394801E-2</c:v>
                </c:pt>
                <c:pt idx="2">
                  <c:v>-9.2805195889460096E-2</c:v>
                </c:pt>
                <c:pt idx="3">
                  <c:v>0.10151983406715</c:v>
                </c:pt>
                <c:pt idx="4">
                  <c:v>4.0860213100804801E-2</c:v>
                </c:pt>
                <c:pt idx="5">
                  <c:v>-9.9551285462888106E-2</c:v>
                </c:pt>
                <c:pt idx="6">
                  <c:v>-7.8287523702571707E-2</c:v>
                </c:pt>
                <c:pt idx="7">
                  <c:v>0.17274235792711501</c:v>
                </c:pt>
                <c:pt idx="8">
                  <c:v>3.6980531325657702E-3</c:v>
                </c:pt>
                <c:pt idx="9">
                  <c:v>4.5678243299060797E-2</c:v>
                </c:pt>
                <c:pt idx="10">
                  <c:v>-5.2751014426160897E-2</c:v>
                </c:pt>
                <c:pt idx="11">
                  <c:v>-5.0136823265815103E-2</c:v>
                </c:pt>
                <c:pt idx="12">
                  <c:v>0.16715702164760199</c:v>
                </c:pt>
                <c:pt idx="13">
                  <c:v>-3.3070060544744199E-2</c:v>
                </c:pt>
                <c:pt idx="14">
                  <c:v>-4.4865777795721901E-2</c:v>
                </c:pt>
                <c:pt idx="15">
                  <c:v>4.0661088322992402E-2</c:v>
                </c:pt>
                <c:pt idx="16">
                  <c:v>-2.1029721871519701E-2</c:v>
                </c:pt>
                <c:pt idx="17">
                  <c:v>-1.25269685298003E-2</c:v>
                </c:pt>
                <c:pt idx="18">
                  <c:v>5.5885291770960299E-2</c:v>
                </c:pt>
                <c:pt idx="19">
                  <c:v>-7.8387621859548395E-2</c:v>
                </c:pt>
                <c:pt idx="20">
                  <c:v>0.11010164612755199</c:v>
                </c:pt>
                <c:pt idx="21">
                  <c:v>-1.5768171136860999E-2</c:v>
                </c:pt>
                <c:pt idx="22">
                  <c:v>-0.15667681095764499</c:v>
                </c:pt>
                <c:pt idx="23">
                  <c:v>0.195531342544842</c:v>
                </c:pt>
                <c:pt idx="24">
                  <c:v>-6.3356997739714302E-2</c:v>
                </c:pt>
              </c:numCache>
            </c:numRef>
          </c:val>
        </c:ser>
        <c:dLbls>
          <c:showLegendKey val="0"/>
          <c:showVal val="0"/>
          <c:showCatName val="0"/>
          <c:showSerName val="0"/>
          <c:showPercent val="0"/>
          <c:showBubbleSize val="0"/>
        </c:dLbls>
        <c:gapWidth val="150"/>
        <c:axId val="82388480"/>
        <c:axId val="82386304"/>
      </c:barChart>
      <c:lineChart>
        <c:grouping val="standard"/>
        <c:varyColors val="0"/>
        <c:ser>
          <c:idx val="0"/>
          <c:order val="0"/>
          <c:tx>
            <c:strRef>
              <c:f>VTD!$B$449</c:f>
              <c:strCache>
                <c:ptCount val="1"/>
                <c:pt idx="0">
                  <c:v>Capacidad nominal</c:v>
                </c:pt>
              </c:strCache>
            </c:strRef>
          </c:tx>
          <c:marker>
            <c:symbol val="none"/>
          </c:marker>
          <c:cat>
            <c:strRef>
              <c:f>VTD!$A$450:$A$475</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VTD!$B$450:$B$475</c:f>
              <c:numCache>
                <c:formatCode>0.0</c:formatCode>
                <c:ptCount val="25"/>
                <c:pt idx="0">
                  <c:v>94.7</c:v>
                </c:pt>
                <c:pt idx="1">
                  <c:v>94.7</c:v>
                </c:pt>
                <c:pt idx="2">
                  <c:v>94.7</c:v>
                </c:pt>
                <c:pt idx="3">
                  <c:v>94.7</c:v>
                </c:pt>
                <c:pt idx="4">
                  <c:v>94.7</c:v>
                </c:pt>
                <c:pt idx="5">
                  <c:v>94.7</c:v>
                </c:pt>
                <c:pt idx="6">
                  <c:v>94.7</c:v>
                </c:pt>
                <c:pt idx="7">
                  <c:v>94.7</c:v>
                </c:pt>
                <c:pt idx="8">
                  <c:v>94.7</c:v>
                </c:pt>
                <c:pt idx="9">
                  <c:v>94.7</c:v>
                </c:pt>
                <c:pt idx="10">
                  <c:v>94.7</c:v>
                </c:pt>
                <c:pt idx="11">
                  <c:v>94.7</c:v>
                </c:pt>
                <c:pt idx="12">
                  <c:v>94.7</c:v>
                </c:pt>
                <c:pt idx="13">
                  <c:v>94.7</c:v>
                </c:pt>
                <c:pt idx="14">
                  <c:v>94.7</c:v>
                </c:pt>
                <c:pt idx="15">
                  <c:v>94.7</c:v>
                </c:pt>
                <c:pt idx="16">
                  <c:v>94.7</c:v>
                </c:pt>
                <c:pt idx="17">
                  <c:v>94.7</c:v>
                </c:pt>
                <c:pt idx="18">
                  <c:v>94.7</c:v>
                </c:pt>
                <c:pt idx="19">
                  <c:v>94.7</c:v>
                </c:pt>
                <c:pt idx="20">
                  <c:v>94.7</c:v>
                </c:pt>
                <c:pt idx="21">
                  <c:v>94.7</c:v>
                </c:pt>
                <c:pt idx="22">
                  <c:v>94.7</c:v>
                </c:pt>
                <c:pt idx="23">
                  <c:v>94.7</c:v>
                </c:pt>
                <c:pt idx="24">
                  <c:v>94.7</c:v>
                </c:pt>
              </c:numCache>
            </c:numRef>
          </c:val>
          <c:smooth val="0"/>
        </c:ser>
        <c:ser>
          <c:idx val="1"/>
          <c:order val="1"/>
          <c:tx>
            <c:strRef>
              <c:f>VTD!$C$449</c:f>
              <c:strCache>
                <c:ptCount val="1"/>
                <c:pt idx="0">
                  <c:v>Cantidad transportada</c:v>
                </c:pt>
              </c:strCache>
            </c:strRef>
          </c:tx>
          <c:marker>
            <c:symbol val="none"/>
          </c:marker>
          <c:cat>
            <c:strRef>
              <c:f>VTD!$A$450:$A$475</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VTD!$C$450:$C$475</c:f>
              <c:numCache>
                <c:formatCode>_(* #,##0.00_);_(* \(#,##0.00\);_(* "-"??_);_(@_)</c:formatCode>
                <c:ptCount val="25"/>
                <c:pt idx="0">
                  <c:v>71.706971390989793</c:v>
                </c:pt>
                <c:pt idx="1">
                  <c:v>72.472739230516225</c:v>
                </c:pt>
                <c:pt idx="2">
                  <c:v>65.746892469582406</c:v>
                </c:pt>
                <c:pt idx="3">
                  <c:v>72.421506083525173</c:v>
                </c:pt>
                <c:pt idx="4">
                  <c:v>75.380664255179227</c:v>
                </c:pt>
                <c:pt idx="5">
                  <c:v>67.876422229529737</c:v>
                </c:pt>
                <c:pt idx="6">
                  <c:v>62.562545215389683</c:v>
                </c:pt>
                <c:pt idx="7">
                  <c:v>73.369746793817853</c:v>
                </c:pt>
                <c:pt idx="8">
                  <c:v>73.641072015784275</c:v>
                </c:pt>
                <c:pt idx="9">
                  <c:v>77.004866820124931</c:v>
                </c:pt>
                <c:pt idx="10">
                  <c:v>72.942781979611922</c:v>
                </c:pt>
                <c:pt idx="11">
                  <c:v>69.285662610983252</c:v>
                </c:pt>
                <c:pt idx="12">
                  <c:v>80.867247615915844</c:v>
                </c:pt>
                <c:pt idx="13">
                  <c:v>78.192962841170683</c:v>
                </c:pt>
                <c:pt idx="14">
                  <c:v>74.684774745149582</c:v>
                </c:pt>
                <c:pt idx="15">
                  <c:v>77.721538967444886</c:v>
                </c:pt>
                <c:pt idx="16">
                  <c:v>76.08707661953305</c:v>
                </c:pt>
                <c:pt idx="17">
                  <c:v>75.133936205195653</c:v>
                </c:pt>
                <c:pt idx="18">
                  <c:v>79.332818151923703</c:v>
                </c:pt>
                <c:pt idx="19">
                  <c:v>73.11410720157842</c:v>
                </c:pt>
                <c:pt idx="20">
                  <c:v>81.164090759618531</c:v>
                </c:pt>
                <c:pt idx="21">
                  <c:v>79.884281486353146</c:v>
                </c:pt>
                <c:pt idx="22">
                  <c:v>67.368267017428494</c:v>
                </c:pt>
                <c:pt idx="23">
                  <c:v>80.540874712265676</c:v>
                </c:pt>
                <c:pt idx="24">
                  <c:v>75.438046695166065</c:v>
                </c:pt>
              </c:numCache>
            </c:numRef>
          </c:val>
          <c:smooth val="0"/>
        </c:ser>
        <c:dLbls>
          <c:showLegendKey val="0"/>
          <c:showVal val="0"/>
          <c:showCatName val="0"/>
          <c:showSerName val="0"/>
          <c:showPercent val="0"/>
          <c:showBubbleSize val="0"/>
        </c:dLbls>
        <c:marker val="1"/>
        <c:smooth val="0"/>
        <c:axId val="82382848"/>
        <c:axId val="82384384"/>
      </c:lineChart>
      <c:catAx>
        <c:axId val="82382848"/>
        <c:scaling>
          <c:orientation val="minMax"/>
        </c:scaling>
        <c:delete val="0"/>
        <c:axPos val="b"/>
        <c:numFmt formatCode="General" sourceLinked="0"/>
        <c:majorTickMark val="out"/>
        <c:minorTickMark val="none"/>
        <c:tickLblPos val="nextTo"/>
        <c:txPr>
          <a:bodyPr/>
          <a:lstStyle/>
          <a:p>
            <a:pPr>
              <a:defRPr sz="600"/>
            </a:pPr>
            <a:endParaRPr lang="es-CO"/>
          </a:p>
        </c:txPr>
        <c:crossAx val="82384384"/>
        <c:crosses val="autoZero"/>
        <c:auto val="1"/>
        <c:lblAlgn val="ctr"/>
        <c:lblOffset val="100"/>
        <c:noMultiLvlLbl val="0"/>
      </c:catAx>
      <c:valAx>
        <c:axId val="82384384"/>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2382848"/>
        <c:crosses val="autoZero"/>
        <c:crossBetween val="between"/>
      </c:valAx>
      <c:valAx>
        <c:axId val="82386304"/>
        <c:scaling>
          <c:orientation val="minMax"/>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2388480"/>
        <c:crosses val="max"/>
        <c:crossBetween val="between"/>
      </c:valAx>
      <c:catAx>
        <c:axId val="82388480"/>
        <c:scaling>
          <c:orientation val="minMax"/>
        </c:scaling>
        <c:delete val="1"/>
        <c:axPos val="b"/>
        <c:numFmt formatCode="General" sourceLinked="0"/>
        <c:majorTickMark val="out"/>
        <c:minorTickMark val="none"/>
        <c:tickLblPos val="nextTo"/>
        <c:crossAx val="82386304"/>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2"/>
          <c:order val="2"/>
          <c:tx>
            <c:strRef>
              <c:f>VTD!$O$481</c:f>
              <c:strCache>
                <c:ptCount val="1"/>
                <c:pt idx="0">
                  <c:v>Variación (%)</c:v>
                </c:pt>
              </c:strCache>
            </c:strRef>
          </c:tx>
          <c:invertIfNegative val="0"/>
          <c:cat>
            <c:strRef>
              <c:f>VTD!$L$482:$L$506</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VTD!$O$482:$O$506</c:f>
              <c:numCache>
                <c:formatCode>0.00%</c:formatCode>
                <c:ptCount val="25"/>
                <c:pt idx="1">
                  <c:v>-0.247177262361644</c:v>
                </c:pt>
                <c:pt idx="2">
                  <c:v>-2.1130402659771098E-2</c:v>
                </c:pt>
                <c:pt idx="3">
                  <c:v>0.52796437466978696</c:v>
                </c:pt>
                <c:pt idx="4">
                  <c:v>0.49772772179411201</c:v>
                </c:pt>
                <c:pt idx="5">
                  <c:v>-0.82668205804749295</c:v>
                </c:pt>
                <c:pt idx="6">
                  <c:v>-0.42131303520456698</c:v>
                </c:pt>
                <c:pt idx="7">
                  <c:v>-0.31338375534363699</c:v>
                </c:pt>
                <c:pt idx="8">
                  <c:v>0.25</c:v>
                </c:pt>
                <c:pt idx="9">
                  <c:v>0.74770114942528798</c:v>
                </c:pt>
                <c:pt idx="10">
                  <c:v>1.451167379151594</c:v>
                </c:pt>
                <c:pt idx="11">
                  <c:v>-0.72802074948573503</c:v>
                </c:pt>
                <c:pt idx="12">
                  <c:v>0.69450838539953996</c:v>
                </c:pt>
                <c:pt idx="13">
                  <c:v>-1</c:v>
                </c:pt>
                <c:pt idx="14">
                  <c:v>0</c:v>
                </c:pt>
                <c:pt idx="15">
                  <c:v>-0.66504592112371697</c:v>
                </c:pt>
                <c:pt idx="16">
                  <c:v>-1</c:v>
                </c:pt>
                <c:pt idx="17">
                  <c:v>0</c:v>
                </c:pt>
                <c:pt idx="18">
                  <c:v>0</c:v>
                </c:pt>
                <c:pt idx="19">
                  <c:v>0</c:v>
                </c:pt>
                <c:pt idx="20">
                  <c:v>-1</c:v>
                </c:pt>
                <c:pt idx="21">
                  <c:v>0</c:v>
                </c:pt>
                <c:pt idx="22">
                  <c:v>0</c:v>
                </c:pt>
                <c:pt idx="23">
                  <c:v>0</c:v>
                </c:pt>
                <c:pt idx="24">
                  <c:v>0</c:v>
                </c:pt>
              </c:numCache>
            </c:numRef>
          </c:val>
        </c:ser>
        <c:dLbls>
          <c:showLegendKey val="0"/>
          <c:showVal val="0"/>
          <c:showCatName val="0"/>
          <c:showSerName val="0"/>
          <c:showPercent val="0"/>
          <c:showBubbleSize val="0"/>
        </c:dLbls>
        <c:gapWidth val="150"/>
        <c:axId val="82437632"/>
        <c:axId val="82435456"/>
      </c:barChart>
      <c:lineChart>
        <c:grouping val="standard"/>
        <c:varyColors val="0"/>
        <c:ser>
          <c:idx val="0"/>
          <c:order val="0"/>
          <c:tx>
            <c:strRef>
              <c:f>VTD!$M$481</c:f>
              <c:strCache>
                <c:ptCount val="1"/>
                <c:pt idx="0">
                  <c:v>Capacidad nominal</c:v>
                </c:pt>
              </c:strCache>
            </c:strRef>
          </c:tx>
          <c:marker>
            <c:symbol val="none"/>
          </c:marker>
          <c:cat>
            <c:strRef>
              <c:f>VTD!$L$482:$L$506</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VTD!$M$482:$M$506</c:f>
              <c:numCache>
                <c:formatCode>0.0</c:formatCode>
                <c:ptCount val="25"/>
                <c:pt idx="0">
                  <c:v>14.4</c:v>
                </c:pt>
                <c:pt idx="1">
                  <c:v>14.4</c:v>
                </c:pt>
                <c:pt idx="2">
                  <c:v>14.4</c:v>
                </c:pt>
                <c:pt idx="3">
                  <c:v>14.4</c:v>
                </c:pt>
                <c:pt idx="4">
                  <c:v>14.4</c:v>
                </c:pt>
                <c:pt idx="5">
                  <c:v>14.4</c:v>
                </c:pt>
                <c:pt idx="6">
                  <c:v>14.4</c:v>
                </c:pt>
                <c:pt idx="7">
                  <c:v>14.4</c:v>
                </c:pt>
                <c:pt idx="8">
                  <c:v>14.4</c:v>
                </c:pt>
                <c:pt idx="9">
                  <c:v>14.4</c:v>
                </c:pt>
                <c:pt idx="10">
                  <c:v>14.4</c:v>
                </c:pt>
                <c:pt idx="11">
                  <c:v>14.4</c:v>
                </c:pt>
                <c:pt idx="12">
                  <c:v>14.4</c:v>
                </c:pt>
                <c:pt idx="13">
                  <c:v>14.4</c:v>
                </c:pt>
                <c:pt idx="14">
                  <c:v>14.4</c:v>
                </c:pt>
                <c:pt idx="15">
                  <c:v>14.4</c:v>
                </c:pt>
                <c:pt idx="16">
                  <c:v>14.4</c:v>
                </c:pt>
                <c:pt idx="17">
                  <c:v>14.4</c:v>
                </c:pt>
                <c:pt idx="18">
                  <c:v>14.4</c:v>
                </c:pt>
                <c:pt idx="19">
                  <c:v>14.4</c:v>
                </c:pt>
                <c:pt idx="20">
                  <c:v>14.4</c:v>
                </c:pt>
                <c:pt idx="21">
                  <c:v>14.4</c:v>
                </c:pt>
                <c:pt idx="22">
                  <c:v>14.4</c:v>
                </c:pt>
                <c:pt idx="23">
                  <c:v>14.4</c:v>
                </c:pt>
                <c:pt idx="24">
                  <c:v>14.4</c:v>
                </c:pt>
              </c:numCache>
            </c:numRef>
          </c:val>
          <c:smooth val="0"/>
        </c:ser>
        <c:ser>
          <c:idx val="1"/>
          <c:order val="1"/>
          <c:tx>
            <c:strRef>
              <c:f>VTD!$N$481</c:f>
              <c:strCache>
                <c:ptCount val="1"/>
                <c:pt idx="0">
                  <c:v>Cantidad transportada</c:v>
                </c:pt>
              </c:strCache>
            </c:strRef>
          </c:tx>
          <c:marker>
            <c:symbol val="none"/>
          </c:marker>
          <c:cat>
            <c:strRef>
              <c:f>VTD!$L$482:$L$506</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VTD!$N$482:$N$506</c:f>
              <c:numCache>
                <c:formatCode>_(* #,##0.00_);_(* \(#,##0.00\);_(* "-"??_);_(@_)</c:formatCode>
                <c:ptCount val="25"/>
                <c:pt idx="0">
                  <c:v>0.59121999342321596</c:v>
                </c:pt>
                <c:pt idx="1">
                  <c:v>0.44508385399539602</c:v>
                </c:pt>
                <c:pt idx="2">
                  <c:v>0.43567905294311099</c:v>
                </c:pt>
                <c:pt idx="3">
                  <c:v>0.66570207168694495</c:v>
                </c:pt>
                <c:pt idx="4">
                  <c:v>0.99704044722130902</c:v>
                </c:pt>
                <c:pt idx="5">
                  <c:v>0.17280499835580401</c:v>
                </c:pt>
                <c:pt idx="6">
                  <c:v>0.1</c:v>
                </c:pt>
                <c:pt idx="7">
                  <c:v>6.8661624465636298E-2</c:v>
                </c:pt>
                <c:pt idx="8">
                  <c:v>8.5827030582045397E-2</c:v>
                </c:pt>
                <c:pt idx="9">
                  <c:v>0.15</c:v>
                </c:pt>
                <c:pt idx="10">
                  <c:v>0.36767510687273902</c:v>
                </c:pt>
                <c:pt idx="11">
                  <c:v>0.1</c:v>
                </c:pt>
                <c:pt idx="12">
                  <c:v>0.16945083853995399</c:v>
                </c:pt>
                <c:pt idx="13">
                  <c:v>0</c:v>
                </c:pt>
                <c:pt idx="14">
                  <c:v>0.182604406445248</c:v>
                </c:pt>
                <c:pt idx="15">
                  <c:v>6.1164090759618601E-2</c:v>
                </c:pt>
                <c:pt idx="16">
                  <c:v>0</c:v>
                </c:pt>
                <c:pt idx="17">
                  <c:v>0</c:v>
                </c:pt>
                <c:pt idx="18">
                  <c:v>0</c:v>
                </c:pt>
                <c:pt idx="19">
                  <c:v>1.15093719171325E-3</c:v>
                </c:pt>
                <c:pt idx="20">
                  <c:v>0</c:v>
                </c:pt>
                <c:pt idx="21">
                  <c:v>0</c:v>
                </c:pt>
                <c:pt idx="22">
                  <c:v>0</c:v>
                </c:pt>
                <c:pt idx="23">
                  <c:v>0</c:v>
                </c:pt>
                <c:pt idx="24">
                  <c:v>0</c:v>
                </c:pt>
              </c:numCache>
            </c:numRef>
          </c:val>
          <c:smooth val="0"/>
        </c:ser>
        <c:dLbls>
          <c:showLegendKey val="0"/>
          <c:showVal val="0"/>
          <c:showCatName val="0"/>
          <c:showSerName val="0"/>
          <c:showPercent val="0"/>
          <c:showBubbleSize val="0"/>
        </c:dLbls>
        <c:marker val="1"/>
        <c:smooth val="0"/>
        <c:axId val="82432000"/>
        <c:axId val="82433536"/>
      </c:lineChart>
      <c:catAx>
        <c:axId val="82432000"/>
        <c:scaling>
          <c:orientation val="minMax"/>
        </c:scaling>
        <c:delete val="0"/>
        <c:axPos val="b"/>
        <c:numFmt formatCode="General" sourceLinked="0"/>
        <c:majorTickMark val="out"/>
        <c:minorTickMark val="none"/>
        <c:tickLblPos val="nextTo"/>
        <c:txPr>
          <a:bodyPr/>
          <a:lstStyle/>
          <a:p>
            <a:pPr>
              <a:defRPr sz="600"/>
            </a:pPr>
            <a:endParaRPr lang="es-CO"/>
          </a:p>
        </c:txPr>
        <c:crossAx val="82433536"/>
        <c:crosses val="autoZero"/>
        <c:auto val="1"/>
        <c:lblAlgn val="ctr"/>
        <c:lblOffset val="100"/>
        <c:noMultiLvlLbl val="0"/>
      </c:catAx>
      <c:valAx>
        <c:axId val="82433536"/>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2432000"/>
        <c:crosses val="autoZero"/>
        <c:crossBetween val="between"/>
      </c:valAx>
      <c:valAx>
        <c:axId val="82435456"/>
        <c:scaling>
          <c:orientation val="minMax"/>
          <c:min val="-1"/>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2437632"/>
        <c:crosses val="max"/>
        <c:crossBetween val="between"/>
      </c:valAx>
      <c:catAx>
        <c:axId val="82437632"/>
        <c:scaling>
          <c:orientation val="minMax"/>
        </c:scaling>
        <c:delete val="1"/>
        <c:axPos val="b"/>
        <c:numFmt formatCode="General" sourceLinked="0"/>
        <c:majorTickMark val="out"/>
        <c:minorTickMark val="none"/>
        <c:tickLblPos val="nextTo"/>
        <c:crossAx val="82435456"/>
        <c:crosses val="autoZero"/>
        <c:auto val="1"/>
        <c:lblAlgn val="ctr"/>
        <c:lblOffset val="100"/>
        <c:noMultiLvlLbl val="0"/>
      </c:catAx>
    </c:plotArea>
    <c:legend>
      <c:legendPos val="t"/>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dinámica16</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VTD!$D$258</c:f>
              <c:strCache>
                <c:ptCount val="1"/>
                <c:pt idx="0">
                  <c:v>Variación (%)</c:v>
                </c:pt>
              </c:strCache>
            </c:strRef>
          </c:tx>
          <c:invertIfNegative val="0"/>
          <c:cat>
            <c:strRef>
              <c:f>VTD!$A$259:$A$284</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VTD!$D$259:$D$284</c:f>
              <c:numCache>
                <c:formatCode>0.00%</c:formatCode>
                <c:ptCount val="25"/>
                <c:pt idx="1">
                  <c:v>1.6801829311594001E-2</c:v>
                </c:pt>
                <c:pt idx="2">
                  <c:v>-0.10973467705888899</c:v>
                </c:pt>
                <c:pt idx="3">
                  <c:v>0.11826443898354</c:v>
                </c:pt>
                <c:pt idx="4">
                  <c:v>-6.0956157481254297E-2</c:v>
                </c:pt>
                <c:pt idx="5">
                  <c:v>-9.7127179548471693E-3</c:v>
                </c:pt>
                <c:pt idx="6">
                  <c:v>4.7135072133586003E-2</c:v>
                </c:pt>
                <c:pt idx="7">
                  <c:v>2.3249175107704498E-2</c:v>
                </c:pt>
                <c:pt idx="8">
                  <c:v>-6.8441780746568703E-2</c:v>
                </c:pt>
                <c:pt idx="9">
                  <c:v>5.51820175210712E-3</c:v>
                </c:pt>
                <c:pt idx="10">
                  <c:v>-2.3037794384865298E-3</c:v>
                </c:pt>
                <c:pt idx="11">
                  <c:v>8.3105907790478301E-2</c:v>
                </c:pt>
                <c:pt idx="12">
                  <c:v>4.8483873632225401E-2</c:v>
                </c:pt>
                <c:pt idx="13">
                  <c:v>-3.17083202725265E-2</c:v>
                </c:pt>
                <c:pt idx="14">
                  <c:v>-1.6837078569893599E-2</c:v>
                </c:pt>
                <c:pt idx="15">
                  <c:v>3.6141083500793899E-3</c:v>
                </c:pt>
                <c:pt idx="16">
                  <c:v>-1.93125895065741E-2</c:v>
                </c:pt>
                <c:pt idx="17">
                  <c:v>4.1286876083609899E-3</c:v>
                </c:pt>
                <c:pt idx="18">
                  <c:v>-2.0711921055136098E-2</c:v>
                </c:pt>
                <c:pt idx="19">
                  <c:v>-2.3923892841553E-2</c:v>
                </c:pt>
                <c:pt idx="20">
                  <c:v>0.166086359964739</c:v>
                </c:pt>
                <c:pt idx="21">
                  <c:v>-0.18920102925663601</c:v>
                </c:pt>
                <c:pt idx="22">
                  <c:v>-0.12123026748252699</c:v>
                </c:pt>
                <c:pt idx="23">
                  <c:v>0.233280357277622</c:v>
                </c:pt>
                <c:pt idx="24">
                  <c:v>-3.8917235855762997E-2</c:v>
                </c:pt>
              </c:numCache>
            </c:numRef>
          </c:val>
        </c:ser>
        <c:dLbls>
          <c:showLegendKey val="0"/>
          <c:showVal val="0"/>
          <c:showCatName val="0"/>
          <c:showSerName val="0"/>
          <c:showPercent val="0"/>
          <c:showBubbleSize val="0"/>
        </c:dLbls>
        <c:gapWidth val="150"/>
        <c:axId val="82490880"/>
        <c:axId val="82480512"/>
      </c:barChart>
      <c:lineChart>
        <c:grouping val="standard"/>
        <c:varyColors val="0"/>
        <c:ser>
          <c:idx val="0"/>
          <c:order val="0"/>
          <c:tx>
            <c:strRef>
              <c:f>VTD!$B$258</c:f>
              <c:strCache>
                <c:ptCount val="1"/>
                <c:pt idx="0">
                  <c:v>Capacidad nominal</c:v>
                </c:pt>
              </c:strCache>
            </c:strRef>
          </c:tx>
          <c:marker>
            <c:symbol val="none"/>
          </c:marker>
          <c:cat>
            <c:strRef>
              <c:f>VTD!$A$259:$A$284</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VTD!$B$259:$B$284</c:f>
              <c:numCache>
                <c:formatCode>0.0</c:formatCode>
                <c:ptCount val="25"/>
                <c:pt idx="0">
                  <c:v>68.400000000000006</c:v>
                </c:pt>
                <c:pt idx="1">
                  <c:v>68.400000000000006</c:v>
                </c:pt>
                <c:pt idx="2">
                  <c:v>68.400000000000006</c:v>
                </c:pt>
                <c:pt idx="3">
                  <c:v>68.400000000000006</c:v>
                </c:pt>
                <c:pt idx="4">
                  <c:v>68.400000000000006</c:v>
                </c:pt>
                <c:pt idx="5">
                  <c:v>68.400000000000006</c:v>
                </c:pt>
                <c:pt idx="6">
                  <c:v>68.400000000000006</c:v>
                </c:pt>
                <c:pt idx="7">
                  <c:v>68.400000000000006</c:v>
                </c:pt>
                <c:pt idx="8">
                  <c:v>68.400000000000006</c:v>
                </c:pt>
                <c:pt idx="9">
                  <c:v>68.400000000000006</c:v>
                </c:pt>
                <c:pt idx="10">
                  <c:v>68.400000000000006</c:v>
                </c:pt>
                <c:pt idx="11">
                  <c:v>68.400000000000006</c:v>
                </c:pt>
                <c:pt idx="12">
                  <c:v>68.400000000000006</c:v>
                </c:pt>
                <c:pt idx="13">
                  <c:v>68.400000000000006</c:v>
                </c:pt>
                <c:pt idx="14">
                  <c:v>68.400000000000006</c:v>
                </c:pt>
                <c:pt idx="15">
                  <c:v>68.400000000000006</c:v>
                </c:pt>
                <c:pt idx="16">
                  <c:v>68.400000000000006</c:v>
                </c:pt>
                <c:pt idx="17">
                  <c:v>68.400000000000006</c:v>
                </c:pt>
                <c:pt idx="18">
                  <c:v>68.400000000000006</c:v>
                </c:pt>
                <c:pt idx="19">
                  <c:v>68.400000000000006</c:v>
                </c:pt>
                <c:pt idx="20">
                  <c:v>68.400000000000006</c:v>
                </c:pt>
                <c:pt idx="21">
                  <c:v>68.400000000000006</c:v>
                </c:pt>
                <c:pt idx="22">
                  <c:v>68.400000000000006</c:v>
                </c:pt>
                <c:pt idx="23">
                  <c:v>68.400000000000006</c:v>
                </c:pt>
                <c:pt idx="24">
                  <c:v>68.400000000000006</c:v>
                </c:pt>
              </c:numCache>
            </c:numRef>
          </c:val>
          <c:smooth val="0"/>
        </c:ser>
        <c:ser>
          <c:idx val="1"/>
          <c:order val="1"/>
          <c:tx>
            <c:strRef>
              <c:f>VTD!$C$258</c:f>
              <c:strCache>
                <c:ptCount val="1"/>
                <c:pt idx="0">
                  <c:v>Cantidad transportada</c:v>
                </c:pt>
              </c:strCache>
            </c:strRef>
          </c:tx>
          <c:marker>
            <c:symbol val="none"/>
          </c:marker>
          <c:cat>
            <c:strRef>
              <c:f>VTD!$A$259:$A$284</c:f>
              <c:strCache>
                <c:ptCount val="25"/>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pt idx="24">
                  <c:v>2015 Abr</c:v>
                </c:pt>
              </c:strCache>
            </c:strRef>
          </c:cat>
          <c:val>
            <c:numRef>
              <c:f>VTD!$C$259:$C$284</c:f>
              <c:numCache>
                <c:formatCode>_(* #,##0.00_);_(* \(#,##0.00\);_(* "-"??_);_(@_)</c:formatCode>
                <c:ptCount val="25"/>
                <c:pt idx="0">
                  <c:v>37.045182505754667</c:v>
                </c:pt>
                <c:pt idx="1">
                  <c:v>37.66760933903322</c:v>
                </c:pt>
                <c:pt idx="2">
                  <c:v>33.534166392634013</c:v>
                </c:pt>
                <c:pt idx="3">
                  <c:v>37.50006576783953</c:v>
                </c:pt>
                <c:pt idx="4">
                  <c:v>35.21420585333771</c:v>
                </c:pt>
                <c:pt idx="5">
                  <c:v>34.872180203880312</c:v>
                </c:pt>
                <c:pt idx="6">
                  <c:v>36.515882933245621</c:v>
                </c:pt>
                <c:pt idx="7">
                  <c:v>37.364847089773079</c:v>
                </c:pt>
                <c:pt idx="8">
                  <c:v>34.807530417625777</c:v>
                </c:pt>
                <c:pt idx="9">
                  <c:v>34.999605392962842</c:v>
                </c:pt>
                <c:pt idx="10">
                  <c:v>34.918974021703377</c:v>
                </c:pt>
                <c:pt idx="11">
                  <c:v>37.820947056889167</c:v>
                </c:pt>
                <c:pt idx="12">
                  <c:v>39.654653074646461</c:v>
                </c:pt>
                <c:pt idx="13">
                  <c:v>38.397270634659662</c:v>
                </c:pt>
                <c:pt idx="14">
                  <c:v>37.750772772114431</c:v>
                </c:pt>
                <c:pt idx="15">
                  <c:v>37.887208155212058</c:v>
                </c:pt>
                <c:pt idx="16">
                  <c:v>37.155508056560343</c:v>
                </c:pt>
                <c:pt idx="17">
                  <c:v>37.308911542255821</c:v>
                </c:pt>
                <c:pt idx="18">
                  <c:v>36.536172311739563</c:v>
                </c:pt>
                <c:pt idx="19">
                  <c:v>35.662084840512989</c:v>
                </c:pt>
                <c:pt idx="20">
                  <c:v>41.585070700427487</c:v>
                </c:pt>
                <c:pt idx="21">
                  <c:v>33.717132522196643</c:v>
                </c:pt>
                <c:pt idx="22">
                  <c:v>29.629595527786918</c:v>
                </c:pt>
                <c:pt idx="23">
                  <c:v>36.541598158500499</c:v>
                </c:pt>
                <c:pt idx="24">
                  <c:v>35.119500164419613</c:v>
                </c:pt>
              </c:numCache>
            </c:numRef>
          </c:val>
          <c:smooth val="0"/>
        </c:ser>
        <c:dLbls>
          <c:showLegendKey val="0"/>
          <c:showVal val="0"/>
          <c:showCatName val="0"/>
          <c:showSerName val="0"/>
          <c:showPercent val="0"/>
          <c:showBubbleSize val="0"/>
        </c:dLbls>
        <c:marker val="1"/>
        <c:smooth val="0"/>
        <c:axId val="82477056"/>
        <c:axId val="82478592"/>
      </c:lineChart>
      <c:catAx>
        <c:axId val="82477056"/>
        <c:scaling>
          <c:orientation val="minMax"/>
        </c:scaling>
        <c:delete val="0"/>
        <c:axPos val="b"/>
        <c:numFmt formatCode="General" sourceLinked="0"/>
        <c:majorTickMark val="out"/>
        <c:minorTickMark val="none"/>
        <c:tickLblPos val="nextTo"/>
        <c:txPr>
          <a:bodyPr/>
          <a:lstStyle/>
          <a:p>
            <a:pPr>
              <a:defRPr sz="700"/>
            </a:pPr>
            <a:endParaRPr lang="es-CO"/>
          </a:p>
        </c:txPr>
        <c:crossAx val="82478592"/>
        <c:crosses val="autoZero"/>
        <c:auto val="1"/>
        <c:lblAlgn val="ctr"/>
        <c:lblOffset val="100"/>
        <c:noMultiLvlLbl val="0"/>
      </c:catAx>
      <c:valAx>
        <c:axId val="82478592"/>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2477056"/>
        <c:crosses val="autoZero"/>
        <c:crossBetween val="between"/>
      </c:valAx>
      <c:valAx>
        <c:axId val="82480512"/>
        <c:scaling>
          <c:orientation val="minMax"/>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2490880"/>
        <c:crosses val="max"/>
        <c:crossBetween val="between"/>
      </c:valAx>
      <c:catAx>
        <c:axId val="82490880"/>
        <c:scaling>
          <c:orientation val="minMax"/>
        </c:scaling>
        <c:delete val="1"/>
        <c:axPos val="b"/>
        <c:numFmt formatCode="General" sourceLinked="1"/>
        <c:majorTickMark val="out"/>
        <c:minorTickMark val="none"/>
        <c:tickLblPos val="nextTo"/>
        <c:crossAx val="82480512"/>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pivotSource>
    <c:name>[Anexo Cenit.xlsm]VTD!Tabla dinámica22</c:name>
    <c:fmtId val="-1"/>
  </c:pivotSource>
  <c:chart>
    <c:autoTitleDeleted val="1"/>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barChart>
        <c:barDir val="col"/>
        <c:grouping val="clustered"/>
        <c:varyColors val="0"/>
        <c:ser>
          <c:idx val="2"/>
          <c:order val="2"/>
          <c:tx>
            <c:strRef>
              <c:f>VTD!$D$354</c:f>
              <c:strCache>
                <c:ptCount val="1"/>
                <c:pt idx="0">
                  <c:v>Variación (%)</c:v>
                </c:pt>
              </c:strCache>
            </c:strRef>
          </c:tx>
          <c:invertIfNegative val="0"/>
          <c:cat>
            <c:strRef>
              <c:f>VTD!$A$355:$A$379</c:f>
              <c:strCache>
                <c:ptCount val="24"/>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strCache>
            </c:strRef>
          </c:cat>
          <c:val>
            <c:numRef>
              <c:f>VTD!$D$355:$D$379</c:f>
              <c:numCache>
                <c:formatCode>0.00%</c:formatCode>
                <c:ptCount val="24"/>
                <c:pt idx="1">
                  <c:v>3.6301500981984099E-2</c:v>
                </c:pt>
                <c:pt idx="2">
                  <c:v>-0.118164216172577</c:v>
                </c:pt>
                <c:pt idx="3">
                  <c:v>0.32073085576848498</c:v>
                </c:pt>
                <c:pt idx="4">
                  <c:v>-0.152964536007378</c:v>
                </c:pt>
                <c:pt idx="5">
                  <c:v>-7.3264442749150699E-2</c:v>
                </c:pt>
                <c:pt idx="6">
                  <c:v>4.7041743373295301E-2</c:v>
                </c:pt>
                <c:pt idx="7">
                  <c:v>-5.059608897021E-2</c:v>
                </c:pt>
                <c:pt idx="8">
                  <c:v>3.5352660859877302E-2</c:v>
                </c:pt>
                <c:pt idx="9">
                  <c:v>-1.19320288811818E-2</c:v>
                </c:pt>
                <c:pt idx="10">
                  <c:v>-4.7369892852937599E-2</c:v>
                </c:pt>
                <c:pt idx="11">
                  <c:v>-5.75893581355107E-2</c:v>
                </c:pt>
                <c:pt idx="12">
                  <c:v>0.32043673563067598</c:v>
                </c:pt>
                <c:pt idx="13">
                  <c:v>-3.4310439014700003E-2</c:v>
                </c:pt>
                <c:pt idx="14">
                  <c:v>1.53444629437969E-2</c:v>
                </c:pt>
                <c:pt idx="15">
                  <c:v>-0.201851242180971</c:v>
                </c:pt>
                <c:pt idx="16">
                  <c:v>3.43946821506197E-2</c:v>
                </c:pt>
                <c:pt idx="17">
                  <c:v>-7.9768715203754906E-2</c:v>
                </c:pt>
                <c:pt idx="18">
                  <c:v>2.3924999999999998E-2</c:v>
                </c:pt>
                <c:pt idx="19">
                  <c:v>0.171431826875341</c:v>
                </c:pt>
                <c:pt idx="20">
                  <c:v>0.40951818529197298</c:v>
                </c:pt>
                <c:pt idx="21">
                  <c:v>-0.238955239329847</c:v>
                </c:pt>
                <c:pt idx="22">
                  <c:v>-0.347033678756477</c:v>
                </c:pt>
                <c:pt idx="23">
                  <c:v>0.22537642087722501</c:v>
                </c:pt>
              </c:numCache>
            </c:numRef>
          </c:val>
        </c:ser>
        <c:dLbls>
          <c:showLegendKey val="0"/>
          <c:showVal val="0"/>
          <c:showCatName val="0"/>
          <c:showSerName val="0"/>
          <c:showPercent val="0"/>
          <c:showBubbleSize val="0"/>
        </c:dLbls>
        <c:gapWidth val="150"/>
        <c:axId val="82602624"/>
        <c:axId val="82600704"/>
      </c:barChart>
      <c:lineChart>
        <c:grouping val="standard"/>
        <c:varyColors val="0"/>
        <c:ser>
          <c:idx val="0"/>
          <c:order val="0"/>
          <c:tx>
            <c:strRef>
              <c:f>VTD!$B$354</c:f>
              <c:strCache>
                <c:ptCount val="1"/>
                <c:pt idx="0">
                  <c:v>Capacidad nominal</c:v>
                </c:pt>
              </c:strCache>
            </c:strRef>
          </c:tx>
          <c:marker>
            <c:symbol val="none"/>
          </c:marker>
          <c:cat>
            <c:strRef>
              <c:f>VTD!$A$355:$A$379</c:f>
              <c:strCache>
                <c:ptCount val="24"/>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strCache>
            </c:strRef>
          </c:cat>
          <c:val>
            <c:numRef>
              <c:f>VTD!$B$355:$B$379</c:f>
              <c:numCache>
                <c:formatCode>0.0</c:formatCode>
                <c:ptCount val="24"/>
                <c:pt idx="0">
                  <c:v>12.6</c:v>
                </c:pt>
                <c:pt idx="1">
                  <c:v>12.6</c:v>
                </c:pt>
                <c:pt idx="2">
                  <c:v>12.6</c:v>
                </c:pt>
                <c:pt idx="3">
                  <c:v>12.6</c:v>
                </c:pt>
                <c:pt idx="4">
                  <c:v>12.6</c:v>
                </c:pt>
                <c:pt idx="5">
                  <c:v>12.6</c:v>
                </c:pt>
                <c:pt idx="6">
                  <c:v>12.6</c:v>
                </c:pt>
                <c:pt idx="7">
                  <c:v>12.6</c:v>
                </c:pt>
                <c:pt idx="8">
                  <c:v>12.6</c:v>
                </c:pt>
                <c:pt idx="9">
                  <c:v>12.6</c:v>
                </c:pt>
                <c:pt idx="10">
                  <c:v>12.6</c:v>
                </c:pt>
                <c:pt idx="11">
                  <c:v>12.6</c:v>
                </c:pt>
                <c:pt idx="12">
                  <c:v>12.6</c:v>
                </c:pt>
                <c:pt idx="13">
                  <c:v>12.6</c:v>
                </c:pt>
                <c:pt idx="14">
                  <c:v>12.6</c:v>
                </c:pt>
                <c:pt idx="15">
                  <c:v>12.6</c:v>
                </c:pt>
                <c:pt idx="16">
                  <c:v>12.6</c:v>
                </c:pt>
                <c:pt idx="17">
                  <c:v>12.6</c:v>
                </c:pt>
                <c:pt idx="18">
                  <c:v>12.6</c:v>
                </c:pt>
                <c:pt idx="19">
                  <c:v>12.6</c:v>
                </c:pt>
                <c:pt idx="20">
                  <c:v>12.6</c:v>
                </c:pt>
                <c:pt idx="21">
                  <c:v>12.6</c:v>
                </c:pt>
                <c:pt idx="22">
                  <c:v>12.6</c:v>
                </c:pt>
                <c:pt idx="23">
                  <c:v>12.6</c:v>
                </c:pt>
              </c:numCache>
            </c:numRef>
          </c:val>
          <c:smooth val="0"/>
        </c:ser>
        <c:ser>
          <c:idx val="1"/>
          <c:order val="1"/>
          <c:tx>
            <c:strRef>
              <c:f>VTD!$C$354</c:f>
              <c:strCache>
                <c:ptCount val="1"/>
                <c:pt idx="0">
                  <c:v>Cantidad transportada</c:v>
                </c:pt>
              </c:strCache>
            </c:strRef>
          </c:tx>
          <c:marker>
            <c:symbol val="none"/>
          </c:marker>
          <c:cat>
            <c:strRef>
              <c:f>VTD!$A$355:$A$379</c:f>
              <c:strCache>
                <c:ptCount val="24"/>
                <c:pt idx="0">
                  <c:v>2013 Abr</c:v>
                </c:pt>
                <c:pt idx="1">
                  <c:v>2013 May</c:v>
                </c:pt>
                <c:pt idx="2">
                  <c:v>2013 Jun</c:v>
                </c:pt>
                <c:pt idx="3">
                  <c:v>2013 Jul</c:v>
                </c:pt>
                <c:pt idx="4">
                  <c:v>2013 Ago</c:v>
                </c:pt>
                <c:pt idx="5">
                  <c:v>2013 Sep</c:v>
                </c:pt>
                <c:pt idx="6">
                  <c:v>2013 Oct</c:v>
                </c:pt>
                <c:pt idx="7">
                  <c:v>2013 Nov</c:v>
                </c:pt>
                <c:pt idx="8">
                  <c:v>2013 Dic</c:v>
                </c:pt>
                <c:pt idx="9">
                  <c:v>2014 Ene</c:v>
                </c:pt>
                <c:pt idx="10">
                  <c:v>2014 Feb</c:v>
                </c:pt>
                <c:pt idx="11">
                  <c:v>2014 Mar</c:v>
                </c:pt>
                <c:pt idx="12">
                  <c:v>2014 Abr</c:v>
                </c:pt>
                <c:pt idx="13">
                  <c:v>2014 May</c:v>
                </c:pt>
                <c:pt idx="14">
                  <c:v>2014 Jun</c:v>
                </c:pt>
                <c:pt idx="15">
                  <c:v>2014 Jul</c:v>
                </c:pt>
                <c:pt idx="16">
                  <c:v>2014 Ago</c:v>
                </c:pt>
                <c:pt idx="17">
                  <c:v>2014 Sep</c:v>
                </c:pt>
                <c:pt idx="18">
                  <c:v>2014 Oct</c:v>
                </c:pt>
                <c:pt idx="19">
                  <c:v>2014 Nov</c:v>
                </c:pt>
                <c:pt idx="20">
                  <c:v>2014 Dic</c:v>
                </c:pt>
                <c:pt idx="21">
                  <c:v>2015 Ene</c:v>
                </c:pt>
                <c:pt idx="22">
                  <c:v>2015 Feb</c:v>
                </c:pt>
                <c:pt idx="23">
                  <c:v>2015 Mar</c:v>
                </c:pt>
              </c:strCache>
            </c:strRef>
          </c:cat>
          <c:val>
            <c:numRef>
              <c:f>VTD!$C$355:$C$379</c:f>
              <c:numCache>
                <c:formatCode>_(* #,##0.00_);_(* \(#,##0.00\);_(* "-"??_);_(@_)</c:formatCode>
                <c:ptCount val="24"/>
                <c:pt idx="0">
                  <c:v>4.6379809273265362</c:v>
                </c:pt>
                <c:pt idx="1">
                  <c:v>4.806346596514306</c:v>
                </c:pt>
                <c:pt idx="2">
                  <c:v>4.23840841828346</c:v>
                </c:pt>
                <c:pt idx="3">
                  <c:v>5.597796777375863</c:v>
                </c:pt>
                <c:pt idx="4">
                  <c:v>4.7415323906609697</c:v>
                </c:pt>
                <c:pt idx="5">
                  <c:v>4.3941466622821448</c:v>
                </c:pt>
                <c:pt idx="6">
                  <c:v>4.6008549819138427</c:v>
                </c:pt>
                <c:pt idx="7">
                  <c:v>4.3680697139098967</c:v>
                </c:pt>
                <c:pt idx="8">
                  <c:v>4.5224926011180546</c:v>
                </c:pt>
                <c:pt idx="9">
                  <c:v>4.468530088786582</c:v>
                </c:pt>
                <c:pt idx="10">
                  <c:v>4.2568562972706347</c:v>
                </c:pt>
                <c:pt idx="11">
                  <c:v>4.0117066754357111</c:v>
                </c:pt>
                <c:pt idx="12">
                  <c:v>5.2972048668201248</c:v>
                </c:pt>
                <c:pt idx="13">
                  <c:v>5.1154554422887202</c:v>
                </c:pt>
                <c:pt idx="14">
                  <c:v>5.1939493587635646</c:v>
                </c:pt>
                <c:pt idx="15">
                  <c:v>4.1455442288720796</c:v>
                </c:pt>
                <c:pt idx="16">
                  <c:v>4.2881289049654727</c:v>
                </c:pt>
                <c:pt idx="17">
                  <c:v>3.9460703715882932</c:v>
                </c:pt>
                <c:pt idx="18">
                  <c:v>4.0404801052285428</c:v>
                </c:pt>
                <c:pt idx="19">
                  <c:v>4.7331469911213411</c:v>
                </c:pt>
                <c:pt idx="20">
                  <c:v>6.6714567576455117</c:v>
                </c:pt>
                <c:pt idx="21">
                  <c:v>5.0772772114436062</c:v>
                </c:pt>
                <c:pt idx="22">
                  <c:v>3.3152910226899039</c:v>
                </c:pt>
                <c:pt idx="23">
                  <c:v>4.0624794475501478</c:v>
                </c:pt>
              </c:numCache>
            </c:numRef>
          </c:val>
          <c:smooth val="0"/>
        </c:ser>
        <c:dLbls>
          <c:showLegendKey val="0"/>
          <c:showVal val="0"/>
          <c:showCatName val="0"/>
          <c:showSerName val="0"/>
          <c:showPercent val="0"/>
          <c:showBubbleSize val="0"/>
        </c:dLbls>
        <c:marker val="1"/>
        <c:smooth val="0"/>
        <c:axId val="82596992"/>
        <c:axId val="82598528"/>
      </c:lineChart>
      <c:catAx>
        <c:axId val="82596992"/>
        <c:scaling>
          <c:orientation val="minMax"/>
        </c:scaling>
        <c:delete val="0"/>
        <c:axPos val="b"/>
        <c:numFmt formatCode="General" sourceLinked="0"/>
        <c:majorTickMark val="out"/>
        <c:minorTickMark val="none"/>
        <c:tickLblPos val="nextTo"/>
        <c:txPr>
          <a:bodyPr/>
          <a:lstStyle/>
          <a:p>
            <a:pPr>
              <a:defRPr sz="700"/>
            </a:pPr>
            <a:endParaRPr lang="es-CO"/>
          </a:p>
        </c:txPr>
        <c:crossAx val="82598528"/>
        <c:crosses val="autoZero"/>
        <c:auto val="1"/>
        <c:lblAlgn val="ctr"/>
        <c:lblOffset val="100"/>
        <c:noMultiLvlLbl val="0"/>
      </c:catAx>
      <c:valAx>
        <c:axId val="82598528"/>
        <c:scaling>
          <c:orientation val="minMax"/>
        </c:scaling>
        <c:delete val="0"/>
        <c:axPos val="l"/>
        <c:majorGridlines>
          <c:spPr>
            <a:ln>
              <a:solidFill>
                <a:schemeClr val="bg1">
                  <a:lumMod val="9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82596992"/>
        <c:crosses val="autoZero"/>
        <c:crossBetween val="between"/>
      </c:valAx>
      <c:valAx>
        <c:axId val="82600704"/>
        <c:scaling>
          <c:orientation val="minMax"/>
        </c:scaling>
        <c:delete val="0"/>
        <c:axPos val="r"/>
        <c:title>
          <c:tx>
            <c:rich>
              <a:bodyPr rot="-5400000" vert="horz"/>
              <a:lstStyle/>
              <a:p>
                <a:pPr>
                  <a:defRPr/>
                </a:pPr>
                <a:r>
                  <a:rPr lang="es-CO"/>
                  <a:t>%</a:t>
                </a:r>
              </a:p>
            </c:rich>
          </c:tx>
          <c:overlay val="0"/>
        </c:title>
        <c:numFmt formatCode="0%" sourceLinked="0"/>
        <c:majorTickMark val="out"/>
        <c:minorTickMark val="none"/>
        <c:tickLblPos val="nextTo"/>
        <c:txPr>
          <a:bodyPr/>
          <a:lstStyle/>
          <a:p>
            <a:pPr>
              <a:defRPr sz="800"/>
            </a:pPr>
            <a:endParaRPr lang="es-CO"/>
          </a:p>
        </c:txPr>
        <c:crossAx val="82602624"/>
        <c:crosses val="max"/>
        <c:crossBetween val="between"/>
      </c:valAx>
      <c:catAx>
        <c:axId val="82602624"/>
        <c:scaling>
          <c:orientation val="minMax"/>
        </c:scaling>
        <c:delete val="1"/>
        <c:axPos val="b"/>
        <c:numFmt formatCode="General" sourceLinked="0"/>
        <c:majorTickMark val="out"/>
        <c:minorTickMark val="none"/>
        <c:tickLblPos val="nextTo"/>
        <c:crossAx val="82600704"/>
        <c:crosses val="autoZero"/>
        <c:auto val="1"/>
        <c:lblAlgn val="ctr"/>
        <c:lblOffset val="100"/>
        <c:noMultiLvlLbl val="0"/>
      </c:catAx>
    </c:plotArea>
    <c:legend>
      <c:legendPos val="t"/>
      <c:overlay val="0"/>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pivotOptions>
    </c:ext>
  </c:extLst>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Unir!$B$89</c:f>
              <c:strCache>
                <c:ptCount val="1"/>
                <c:pt idx="0">
                  <c:v>CARTAGENA - BARRANQUILLA</c:v>
                </c:pt>
              </c:strCache>
            </c:strRef>
          </c:tx>
          <c:invertIfNegative val="0"/>
          <c:cat>
            <c:strRef>
              <c:f>Unir!$A$90:$A$165</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Unir!$B$90:$B$165</c:f>
              <c:numCache>
                <c:formatCode>General</c:formatCode>
                <c:ptCount val="76"/>
                <c:pt idx="0">
                  <c:v>10.132160473528449</c:v>
                </c:pt>
                <c:pt idx="1">
                  <c:v>9.4808286747780315</c:v>
                </c:pt>
                <c:pt idx="2">
                  <c:v>10.646136139427821</c:v>
                </c:pt>
                <c:pt idx="3">
                  <c:v>11.59062808286747</c:v>
                </c:pt>
                <c:pt idx="4">
                  <c:v>11.8837224597172</c:v>
                </c:pt>
                <c:pt idx="5">
                  <c:v>7.401348240710294</c:v>
                </c:pt>
                <c:pt idx="6">
                  <c:v>9.2671489641565241</c:v>
                </c:pt>
                <c:pt idx="7">
                  <c:v>10.17793488983887</c:v>
                </c:pt>
                <c:pt idx="8">
                  <c:v>10.249687602762251</c:v>
                </c:pt>
                <c:pt idx="9">
                  <c:v>11.564518250575469</c:v>
                </c:pt>
                <c:pt idx="10">
                  <c:v>8.1978296612956232</c:v>
                </c:pt>
                <c:pt idx="11">
                  <c:v>11.640808944426171</c:v>
                </c:pt>
                <c:pt idx="12">
                  <c:v>10.548109174613611</c:v>
                </c:pt>
                <c:pt idx="13">
                  <c:v>12.273791515948711</c:v>
                </c:pt>
                <c:pt idx="14">
                  <c:v>10.7453469253535</c:v>
                </c:pt>
                <c:pt idx="15">
                  <c:v>11.62347911871095</c:v>
                </c:pt>
                <c:pt idx="16">
                  <c:v>11.9395264715554</c:v>
                </c:pt>
                <c:pt idx="17">
                  <c:v>8.9590595198947707</c:v>
                </c:pt>
                <c:pt idx="18">
                  <c:v>8.5989477145675739</c:v>
                </c:pt>
                <c:pt idx="19">
                  <c:v>9.1263729036501129</c:v>
                </c:pt>
                <c:pt idx="20">
                  <c:v>10.241039131864509</c:v>
                </c:pt>
                <c:pt idx="21">
                  <c:v>10.25892798421572</c:v>
                </c:pt>
                <c:pt idx="22">
                  <c:v>8.6632028937849395</c:v>
                </c:pt>
                <c:pt idx="23">
                  <c:v>13.12828017099638</c:v>
                </c:pt>
                <c:pt idx="24">
                  <c:v>12.866359750082211</c:v>
                </c:pt>
                <c:pt idx="25">
                  <c:v>8.9731996053929652</c:v>
                </c:pt>
                <c:pt idx="26">
                  <c:v>11.119730351857941</c:v>
                </c:pt>
                <c:pt idx="27">
                  <c:v>10.870305820453799</c:v>
                </c:pt>
                <c:pt idx="28">
                  <c:v>10.849983558040121</c:v>
                </c:pt>
                <c:pt idx="29">
                  <c:v>10.86853008878659</c:v>
                </c:pt>
                <c:pt idx="30">
                  <c:v>12.55669187767182</c:v>
                </c:pt>
                <c:pt idx="31">
                  <c:v>13.73301545544229</c:v>
                </c:pt>
                <c:pt idx="32">
                  <c:v>13.80667543571194</c:v>
                </c:pt>
                <c:pt idx="33">
                  <c:v>11.04288063137126</c:v>
                </c:pt>
                <c:pt idx="34">
                  <c:v>13.23932916803683</c:v>
                </c:pt>
                <c:pt idx="35">
                  <c:v>15.083886879316021</c:v>
                </c:pt>
                <c:pt idx="36">
                  <c:v>12.153271950016441</c:v>
                </c:pt>
                <c:pt idx="37">
                  <c:v>11.83699440973364</c:v>
                </c:pt>
                <c:pt idx="38">
                  <c:v>15.19898059848734</c:v>
                </c:pt>
                <c:pt idx="39">
                  <c:v>14.15376520881289</c:v>
                </c:pt>
                <c:pt idx="40">
                  <c:v>12.951956593225921</c:v>
                </c:pt>
                <c:pt idx="41">
                  <c:v>14.77931601446892</c:v>
                </c:pt>
                <c:pt idx="42">
                  <c:v>13.76188753699441</c:v>
                </c:pt>
                <c:pt idx="43">
                  <c:v>12.28342650443933</c:v>
                </c:pt>
                <c:pt idx="44">
                  <c:v>14.48638605721802</c:v>
                </c:pt>
                <c:pt idx="45">
                  <c:v>13.75120026307135</c:v>
                </c:pt>
                <c:pt idx="46">
                  <c:v>15.405195659322599</c:v>
                </c:pt>
                <c:pt idx="47">
                  <c:v>16.324761591581709</c:v>
                </c:pt>
                <c:pt idx="48">
                  <c:v>15.57599473857284</c:v>
                </c:pt>
                <c:pt idx="49">
                  <c:v>13.510194015126601</c:v>
                </c:pt>
                <c:pt idx="50">
                  <c:v>14.56425517921736</c:v>
                </c:pt>
                <c:pt idx="51">
                  <c:v>14.69529759947385</c:v>
                </c:pt>
                <c:pt idx="52">
                  <c:v>14.13735613285103</c:v>
                </c:pt>
                <c:pt idx="53">
                  <c:v>15.7719171325222</c:v>
                </c:pt>
                <c:pt idx="54">
                  <c:v>17.715258138770139</c:v>
                </c:pt>
                <c:pt idx="55">
                  <c:v>18.333114107201581</c:v>
                </c:pt>
                <c:pt idx="56">
                  <c:v>15.59829003617231</c:v>
                </c:pt>
                <c:pt idx="57">
                  <c:v>17.484413022032221</c:v>
                </c:pt>
                <c:pt idx="58">
                  <c:v>17.115488326208499</c:v>
                </c:pt>
                <c:pt idx="59">
                  <c:v>16.929463992107848</c:v>
                </c:pt>
                <c:pt idx="60">
                  <c:v>15.316343308122329</c:v>
                </c:pt>
                <c:pt idx="61">
                  <c:v>13.06570207168695</c:v>
                </c:pt>
                <c:pt idx="62">
                  <c:v>10.759980269648141</c:v>
                </c:pt>
                <c:pt idx="63">
                  <c:v>12.080598487339691</c:v>
                </c:pt>
                <c:pt idx="64">
                  <c:v>12.319598816178891</c:v>
                </c:pt>
                <c:pt idx="65">
                  <c:v>13.93170009865176</c:v>
                </c:pt>
                <c:pt idx="66">
                  <c:v>14.66701742847747</c:v>
                </c:pt>
                <c:pt idx="67">
                  <c:v>14.036731338375541</c:v>
                </c:pt>
                <c:pt idx="68">
                  <c:v>15.377836238079571</c:v>
                </c:pt>
                <c:pt idx="69">
                  <c:v>15.768826044064459</c:v>
                </c:pt>
                <c:pt idx="70">
                  <c:v>17.630549161460049</c:v>
                </c:pt>
                <c:pt idx="71">
                  <c:v>16.009536336731319</c:v>
                </c:pt>
                <c:pt idx="72">
                  <c:v>15.061460046037491</c:v>
                </c:pt>
                <c:pt idx="73">
                  <c:v>14.84459059519895</c:v>
                </c:pt>
                <c:pt idx="74">
                  <c:v>14.869746793817811</c:v>
                </c:pt>
                <c:pt idx="75">
                  <c:v>16.085729036501139</c:v>
                </c:pt>
              </c:numCache>
            </c:numRef>
          </c:val>
        </c:ser>
        <c:ser>
          <c:idx val="1"/>
          <c:order val="1"/>
          <c:tx>
            <c:strRef>
              <c:f>Unir!$C$89</c:f>
              <c:strCache>
                <c:ptCount val="1"/>
                <c:pt idx="0">
                  <c:v>GALAN - SEBASTOPOL 12"</c:v>
                </c:pt>
              </c:strCache>
            </c:strRef>
          </c:tx>
          <c:invertIfNegative val="0"/>
          <c:cat>
            <c:strRef>
              <c:f>Unir!$A$90:$A$165</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Unir!$C$90:$C$165</c:f>
              <c:numCache>
                <c:formatCode>General</c:formatCode>
                <c:ptCount val="76"/>
                <c:pt idx="0">
                  <c:v>49.95688918119037</c:v>
                </c:pt>
                <c:pt idx="1">
                  <c:v>47.560473528444597</c:v>
                </c:pt>
                <c:pt idx="2">
                  <c:v>45.017329825715208</c:v>
                </c:pt>
                <c:pt idx="3">
                  <c:v>50.471095034528098</c:v>
                </c:pt>
                <c:pt idx="4">
                  <c:v>44.826438671489647</c:v>
                </c:pt>
                <c:pt idx="5">
                  <c:v>53.052449852022342</c:v>
                </c:pt>
                <c:pt idx="6">
                  <c:v>53.292436698454473</c:v>
                </c:pt>
                <c:pt idx="7">
                  <c:v>56.633541598158487</c:v>
                </c:pt>
                <c:pt idx="8">
                  <c:v>49.621012824728702</c:v>
                </c:pt>
                <c:pt idx="9">
                  <c:v>61.755277869121983</c:v>
                </c:pt>
                <c:pt idx="10">
                  <c:v>50.360933903321268</c:v>
                </c:pt>
                <c:pt idx="11">
                  <c:v>57.347319960539288</c:v>
                </c:pt>
                <c:pt idx="12">
                  <c:v>52.978526800394597</c:v>
                </c:pt>
                <c:pt idx="13">
                  <c:v>49.007694837224598</c:v>
                </c:pt>
                <c:pt idx="14">
                  <c:v>57.009569220651102</c:v>
                </c:pt>
                <c:pt idx="15">
                  <c:v>47.869319302860902</c:v>
                </c:pt>
                <c:pt idx="16">
                  <c:v>55.857546859585618</c:v>
                </c:pt>
                <c:pt idx="17">
                  <c:v>52.693620519565947</c:v>
                </c:pt>
                <c:pt idx="18">
                  <c:v>57.959552778691197</c:v>
                </c:pt>
                <c:pt idx="19">
                  <c:v>58.033475830318999</c:v>
                </c:pt>
                <c:pt idx="20">
                  <c:v>55.232555080565596</c:v>
                </c:pt>
                <c:pt idx="21">
                  <c:v>61.107168694508367</c:v>
                </c:pt>
                <c:pt idx="22">
                  <c:v>57.466293982242689</c:v>
                </c:pt>
                <c:pt idx="23">
                  <c:v>61.822854324235443</c:v>
                </c:pt>
                <c:pt idx="24">
                  <c:v>56.1212758960868</c:v>
                </c:pt>
                <c:pt idx="25">
                  <c:v>51.312989148306492</c:v>
                </c:pt>
                <c:pt idx="26">
                  <c:v>60.814238737257469</c:v>
                </c:pt>
                <c:pt idx="27">
                  <c:v>52.934166392634033</c:v>
                </c:pt>
                <c:pt idx="28">
                  <c:v>62.063137125945403</c:v>
                </c:pt>
                <c:pt idx="29">
                  <c:v>56.297665241696812</c:v>
                </c:pt>
                <c:pt idx="30">
                  <c:v>59.340480105228522</c:v>
                </c:pt>
                <c:pt idx="31">
                  <c:v>60.281749424531398</c:v>
                </c:pt>
                <c:pt idx="32">
                  <c:v>60.720223610654401</c:v>
                </c:pt>
                <c:pt idx="33">
                  <c:v>56.190036172311743</c:v>
                </c:pt>
                <c:pt idx="34">
                  <c:v>58.361164090759587</c:v>
                </c:pt>
                <c:pt idx="35">
                  <c:v>62.272969417954627</c:v>
                </c:pt>
                <c:pt idx="36">
                  <c:v>60.075764551134448</c:v>
                </c:pt>
                <c:pt idx="37">
                  <c:v>56.597632357777037</c:v>
                </c:pt>
                <c:pt idx="38">
                  <c:v>57.058467609339019</c:v>
                </c:pt>
                <c:pt idx="39">
                  <c:v>56.252778691219973</c:v>
                </c:pt>
                <c:pt idx="40">
                  <c:v>45.989049654718833</c:v>
                </c:pt>
                <c:pt idx="41">
                  <c:v>60.754620190726733</c:v>
                </c:pt>
                <c:pt idx="42">
                  <c:v>63.271489641565267</c:v>
                </c:pt>
                <c:pt idx="43">
                  <c:v>67.176520881289008</c:v>
                </c:pt>
                <c:pt idx="44">
                  <c:v>60.747681683656687</c:v>
                </c:pt>
                <c:pt idx="45">
                  <c:v>56.032193357448193</c:v>
                </c:pt>
                <c:pt idx="46">
                  <c:v>58.654028280171012</c:v>
                </c:pt>
                <c:pt idx="47">
                  <c:v>66.706609667872442</c:v>
                </c:pt>
                <c:pt idx="48">
                  <c:v>62.689279842157198</c:v>
                </c:pt>
                <c:pt idx="49">
                  <c:v>59.169779677737587</c:v>
                </c:pt>
                <c:pt idx="50">
                  <c:v>61.634922722788552</c:v>
                </c:pt>
                <c:pt idx="51">
                  <c:v>59.541828345938818</c:v>
                </c:pt>
                <c:pt idx="52">
                  <c:v>57.922722788556399</c:v>
                </c:pt>
                <c:pt idx="53">
                  <c:v>59.326635975008237</c:v>
                </c:pt>
                <c:pt idx="54">
                  <c:v>63.759322591252882</c:v>
                </c:pt>
                <c:pt idx="55">
                  <c:v>65.363202893784887</c:v>
                </c:pt>
                <c:pt idx="56">
                  <c:v>62.807892140743157</c:v>
                </c:pt>
                <c:pt idx="57">
                  <c:v>62.698290036172303</c:v>
                </c:pt>
                <c:pt idx="58">
                  <c:v>62.141631042420272</c:v>
                </c:pt>
                <c:pt idx="59">
                  <c:v>55.8628082867478</c:v>
                </c:pt>
                <c:pt idx="60">
                  <c:v>64.962216376192046</c:v>
                </c:pt>
                <c:pt idx="61">
                  <c:v>59.964222295297617</c:v>
                </c:pt>
                <c:pt idx="62">
                  <c:v>61.657349556067047</c:v>
                </c:pt>
                <c:pt idx="63">
                  <c:v>65.072114436040778</c:v>
                </c:pt>
                <c:pt idx="64">
                  <c:v>65.542946399210805</c:v>
                </c:pt>
                <c:pt idx="65">
                  <c:v>63.330812232818147</c:v>
                </c:pt>
                <c:pt idx="66">
                  <c:v>73.601512660309183</c:v>
                </c:pt>
                <c:pt idx="67">
                  <c:v>73.324662939822474</c:v>
                </c:pt>
                <c:pt idx="68">
                  <c:v>76.48977310095367</c:v>
                </c:pt>
                <c:pt idx="69">
                  <c:v>80.293686287405464</c:v>
                </c:pt>
                <c:pt idx="70">
                  <c:v>70.536172311739534</c:v>
                </c:pt>
                <c:pt idx="71">
                  <c:v>76.642058533377181</c:v>
                </c:pt>
                <c:pt idx="72">
                  <c:v>80.144228872081541</c:v>
                </c:pt>
                <c:pt idx="73">
                  <c:v>67.121111476487968</c:v>
                </c:pt>
                <c:pt idx="74">
                  <c:v>76.383985531075353</c:v>
                </c:pt>
                <c:pt idx="75">
                  <c:v>72.393752055245002</c:v>
                </c:pt>
              </c:numCache>
            </c:numRef>
          </c:val>
        </c:ser>
        <c:ser>
          <c:idx val="2"/>
          <c:order val="2"/>
          <c:tx>
            <c:strRef>
              <c:f>Unir!$D$89</c:f>
              <c:strCache>
                <c:ptCount val="1"/>
                <c:pt idx="0">
                  <c:v>GALAN - SEBASTOPOL 16"</c:v>
                </c:pt>
              </c:strCache>
            </c:strRef>
          </c:tx>
          <c:invertIfNegative val="0"/>
          <c:cat>
            <c:strRef>
              <c:f>Unir!$A$90:$A$165</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Unir!$D$90:$D$165</c:f>
              <c:numCache>
                <c:formatCode>General</c:formatCode>
                <c:ptCount val="76"/>
                <c:pt idx="0">
                  <c:v>101.6095363367313</c:v>
                </c:pt>
                <c:pt idx="1">
                  <c:v>89.546662282144055</c:v>
                </c:pt>
                <c:pt idx="2">
                  <c:v>110.8806313712594</c:v>
                </c:pt>
                <c:pt idx="3">
                  <c:v>102.80595198947719</c:v>
                </c:pt>
                <c:pt idx="4">
                  <c:v>102.3053600789214</c:v>
                </c:pt>
                <c:pt idx="5">
                  <c:v>98.198388687931569</c:v>
                </c:pt>
                <c:pt idx="6">
                  <c:v>109.4139756658994</c:v>
                </c:pt>
                <c:pt idx="7">
                  <c:v>103.89937520552451</c:v>
                </c:pt>
                <c:pt idx="8">
                  <c:v>109.2174942453141</c:v>
                </c:pt>
                <c:pt idx="9">
                  <c:v>114.3014140085498</c:v>
                </c:pt>
                <c:pt idx="10">
                  <c:v>110.7960539296284</c:v>
                </c:pt>
                <c:pt idx="11">
                  <c:v>110.218612298586</c:v>
                </c:pt>
                <c:pt idx="12">
                  <c:v>121.3388687931601</c:v>
                </c:pt>
                <c:pt idx="13">
                  <c:v>109.7060835251562</c:v>
                </c:pt>
                <c:pt idx="14">
                  <c:v>124.943341006248</c:v>
                </c:pt>
                <c:pt idx="15">
                  <c:v>115.847352844459</c:v>
                </c:pt>
                <c:pt idx="16">
                  <c:v>119.9771456757646</c:v>
                </c:pt>
                <c:pt idx="17">
                  <c:v>116.56945083853989</c:v>
                </c:pt>
                <c:pt idx="18">
                  <c:v>117.38510358434731</c:v>
                </c:pt>
                <c:pt idx="19">
                  <c:v>115.154587306807</c:v>
                </c:pt>
                <c:pt idx="20">
                  <c:v>117.7761920420914</c:v>
                </c:pt>
                <c:pt idx="21">
                  <c:v>128.52995725090429</c:v>
                </c:pt>
                <c:pt idx="22">
                  <c:v>124.67915159487011</c:v>
                </c:pt>
                <c:pt idx="23">
                  <c:v>125.1044722130878</c:v>
                </c:pt>
                <c:pt idx="24">
                  <c:v>133.24514962183491</c:v>
                </c:pt>
                <c:pt idx="25">
                  <c:v>122.58441302203219</c:v>
                </c:pt>
                <c:pt idx="26">
                  <c:v>128.87494245314039</c:v>
                </c:pt>
                <c:pt idx="27">
                  <c:v>120.4096678724104</c:v>
                </c:pt>
                <c:pt idx="28">
                  <c:v>140.73344294639921</c:v>
                </c:pt>
                <c:pt idx="29">
                  <c:v>134.93242354488649</c:v>
                </c:pt>
                <c:pt idx="30">
                  <c:v>131.98645182505749</c:v>
                </c:pt>
                <c:pt idx="31">
                  <c:v>124.3997040447221</c:v>
                </c:pt>
                <c:pt idx="32">
                  <c:v>133.64149950674121</c:v>
                </c:pt>
                <c:pt idx="33">
                  <c:v>121.7548174942453</c:v>
                </c:pt>
                <c:pt idx="34">
                  <c:v>133.0317000986517</c:v>
                </c:pt>
                <c:pt idx="35">
                  <c:v>144.9094376849722</c:v>
                </c:pt>
                <c:pt idx="36">
                  <c:v>140.864452482736</c:v>
                </c:pt>
                <c:pt idx="37">
                  <c:v>134.044853666557</c:v>
                </c:pt>
                <c:pt idx="38">
                  <c:v>135.89131864518259</c:v>
                </c:pt>
                <c:pt idx="39">
                  <c:v>124.7393620519566</c:v>
                </c:pt>
                <c:pt idx="40">
                  <c:v>142.17507398881941</c:v>
                </c:pt>
                <c:pt idx="41">
                  <c:v>143.69362051956591</c:v>
                </c:pt>
                <c:pt idx="42">
                  <c:v>140.01193686287411</c:v>
                </c:pt>
                <c:pt idx="43">
                  <c:v>138.04189411377831</c:v>
                </c:pt>
                <c:pt idx="44">
                  <c:v>136.92410391318651</c:v>
                </c:pt>
                <c:pt idx="45">
                  <c:v>127.35695494903</c:v>
                </c:pt>
                <c:pt idx="46">
                  <c:v>133.80917461361389</c:v>
                </c:pt>
                <c:pt idx="47">
                  <c:v>141.33367313383749</c:v>
                </c:pt>
                <c:pt idx="48">
                  <c:v>133.44468924695809</c:v>
                </c:pt>
                <c:pt idx="49">
                  <c:v>121.74422887208149</c:v>
                </c:pt>
                <c:pt idx="50">
                  <c:v>140.81410720157839</c:v>
                </c:pt>
                <c:pt idx="51">
                  <c:v>133.15179217362709</c:v>
                </c:pt>
                <c:pt idx="52">
                  <c:v>138.19891483064771</c:v>
                </c:pt>
                <c:pt idx="53">
                  <c:v>118.8328510358434</c:v>
                </c:pt>
                <c:pt idx="54">
                  <c:v>135.76550476816831</c:v>
                </c:pt>
                <c:pt idx="55">
                  <c:v>132.71848076290689</c:v>
                </c:pt>
                <c:pt idx="56">
                  <c:v>115.9839526471555</c:v>
                </c:pt>
                <c:pt idx="57">
                  <c:v>111.13850707004271</c:v>
                </c:pt>
                <c:pt idx="58">
                  <c:v>118.4721473199605</c:v>
                </c:pt>
                <c:pt idx="59">
                  <c:v>133.28000657678399</c:v>
                </c:pt>
                <c:pt idx="60">
                  <c:v>139.9343965800723</c:v>
                </c:pt>
                <c:pt idx="61">
                  <c:v>133.00730023018741</c:v>
                </c:pt>
                <c:pt idx="62">
                  <c:v>135.87921736270971</c:v>
                </c:pt>
                <c:pt idx="63">
                  <c:v>134.97793488983891</c:v>
                </c:pt>
                <c:pt idx="64">
                  <c:v>139.86487997369289</c:v>
                </c:pt>
                <c:pt idx="65">
                  <c:v>139.42604406445241</c:v>
                </c:pt>
                <c:pt idx="66">
                  <c:v>136.62354488655049</c:v>
                </c:pt>
                <c:pt idx="67">
                  <c:v>128.0726076948371</c:v>
                </c:pt>
                <c:pt idx="68">
                  <c:v>134.2877671818481</c:v>
                </c:pt>
                <c:pt idx="69">
                  <c:v>138.89852022361069</c:v>
                </c:pt>
                <c:pt idx="70">
                  <c:v>123.23535021374541</c:v>
                </c:pt>
                <c:pt idx="71">
                  <c:v>140.65787569878341</c:v>
                </c:pt>
                <c:pt idx="72">
                  <c:v>129.38188096021051</c:v>
                </c:pt>
                <c:pt idx="73">
                  <c:v>122.30384741861231</c:v>
                </c:pt>
                <c:pt idx="74">
                  <c:v>136.8870766195331</c:v>
                </c:pt>
                <c:pt idx="75">
                  <c:v>126.7697467938178</c:v>
                </c:pt>
              </c:numCache>
            </c:numRef>
          </c:val>
        </c:ser>
        <c:ser>
          <c:idx val="3"/>
          <c:order val="3"/>
          <c:tx>
            <c:strRef>
              <c:f>Unir!$E$89</c:f>
              <c:strCache>
                <c:ptCount val="1"/>
                <c:pt idx="0">
                  <c:v>GALAN - BUCARAMANGA</c:v>
                </c:pt>
              </c:strCache>
            </c:strRef>
          </c:tx>
          <c:invertIfNegative val="0"/>
          <c:cat>
            <c:strRef>
              <c:f>Unir!$A$90:$A$165</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Unir!$E$90:$E$165</c:f>
              <c:numCache>
                <c:formatCode>General</c:formatCode>
                <c:ptCount val="76"/>
                <c:pt idx="0">
                  <c:v>14.317527129233801</c:v>
                </c:pt>
                <c:pt idx="1">
                  <c:v>14.95412693193029</c:v>
                </c:pt>
                <c:pt idx="2">
                  <c:v>13.703913186451819</c:v>
                </c:pt>
                <c:pt idx="3">
                  <c:v>12.59983558040118</c:v>
                </c:pt>
                <c:pt idx="4">
                  <c:v>14.745873068069709</c:v>
                </c:pt>
                <c:pt idx="5">
                  <c:v>13.402104570864839</c:v>
                </c:pt>
                <c:pt idx="6">
                  <c:v>15.57395593554752</c:v>
                </c:pt>
                <c:pt idx="7">
                  <c:v>16.681223281815189</c:v>
                </c:pt>
                <c:pt idx="8">
                  <c:v>14.70305820453798</c:v>
                </c:pt>
                <c:pt idx="9">
                  <c:v>15.33807957908583</c:v>
                </c:pt>
                <c:pt idx="10">
                  <c:v>16.703419927655379</c:v>
                </c:pt>
                <c:pt idx="11">
                  <c:v>15.743604077606051</c:v>
                </c:pt>
                <c:pt idx="12">
                  <c:v>14.57310095363367</c:v>
                </c:pt>
                <c:pt idx="13">
                  <c:v>14.48290036172312</c:v>
                </c:pt>
                <c:pt idx="14">
                  <c:v>14.8069713909898</c:v>
                </c:pt>
                <c:pt idx="15">
                  <c:v>17.00388030253206</c:v>
                </c:pt>
                <c:pt idx="16">
                  <c:v>15.2243341006248</c:v>
                </c:pt>
                <c:pt idx="17">
                  <c:v>14.72416968102598</c:v>
                </c:pt>
                <c:pt idx="18">
                  <c:v>16.459125287734299</c:v>
                </c:pt>
                <c:pt idx="19">
                  <c:v>14.44593883590924</c:v>
                </c:pt>
                <c:pt idx="20">
                  <c:v>17.23268661624466</c:v>
                </c:pt>
                <c:pt idx="21">
                  <c:v>16.734330812232809</c:v>
                </c:pt>
                <c:pt idx="22">
                  <c:v>16.866063794804351</c:v>
                </c:pt>
                <c:pt idx="23">
                  <c:v>18.080236764222299</c:v>
                </c:pt>
                <c:pt idx="24">
                  <c:v>15.755573824399869</c:v>
                </c:pt>
                <c:pt idx="25">
                  <c:v>16.002893784939161</c:v>
                </c:pt>
                <c:pt idx="26">
                  <c:v>18.17464649786254</c:v>
                </c:pt>
                <c:pt idx="27">
                  <c:v>16.04952318316343</c:v>
                </c:pt>
                <c:pt idx="28">
                  <c:v>15.60782637290365</c:v>
                </c:pt>
                <c:pt idx="29">
                  <c:v>15.637783623807961</c:v>
                </c:pt>
                <c:pt idx="30">
                  <c:v>14.618842486024329</c:v>
                </c:pt>
                <c:pt idx="31">
                  <c:v>16.723380466951649</c:v>
                </c:pt>
                <c:pt idx="32">
                  <c:v>15.735087142387369</c:v>
                </c:pt>
                <c:pt idx="33">
                  <c:v>18.212528773429788</c:v>
                </c:pt>
                <c:pt idx="34">
                  <c:v>15.28812890496547</c:v>
                </c:pt>
                <c:pt idx="35">
                  <c:v>16.46030910884577</c:v>
                </c:pt>
                <c:pt idx="36">
                  <c:v>16.033804669516609</c:v>
                </c:pt>
                <c:pt idx="37">
                  <c:v>13.176126274251891</c:v>
                </c:pt>
                <c:pt idx="38">
                  <c:v>15.229266688589281</c:v>
                </c:pt>
                <c:pt idx="39">
                  <c:v>14.82643867148964</c:v>
                </c:pt>
                <c:pt idx="40">
                  <c:v>16.5479447550148</c:v>
                </c:pt>
                <c:pt idx="41">
                  <c:v>14.17543571193686</c:v>
                </c:pt>
                <c:pt idx="42">
                  <c:v>16.06326866162447</c:v>
                </c:pt>
                <c:pt idx="43">
                  <c:v>15.14830647813219</c:v>
                </c:pt>
                <c:pt idx="44">
                  <c:v>14.00036172311739</c:v>
                </c:pt>
                <c:pt idx="45">
                  <c:v>13.85258138770142</c:v>
                </c:pt>
                <c:pt idx="46">
                  <c:v>14.72463005590266</c:v>
                </c:pt>
                <c:pt idx="47">
                  <c:v>17.14334100624794</c:v>
                </c:pt>
                <c:pt idx="48">
                  <c:v>16.806543900032889</c:v>
                </c:pt>
                <c:pt idx="49">
                  <c:v>17.966129562643861</c:v>
                </c:pt>
                <c:pt idx="50">
                  <c:v>19.19500164419599</c:v>
                </c:pt>
                <c:pt idx="51">
                  <c:v>22.491581716540601</c:v>
                </c:pt>
                <c:pt idx="52">
                  <c:v>20.420914172969411</c:v>
                </c:pt>
                <c:pt idx="53">
                  <c:v>21.621933574482082</c:v>
                </c:pt>
                <c:pt idx="54">
                  <c:v>21.595823742190071</c:v>
                </c:pt>
                <c:pt idx="55">
                  <c:v>22.823347583031889</c:v>
                </c:pt>
                <c:pt idx="56">
                  <c:v>20.25383097665242</c:v>
                </c:pt>
                <c:pt idx="57">
                  <c:v>19.750674120355139</c:v>
                </c:pt>
                <c:pt idx="58">
                  <c:v>19.871686945083852</c:v>
                </c:pt>
                <c:pt idx="59">
                  <c:v>24.721275896086809</c:v>
                </c:pt>
                <c:pt idx="60">
                  <c:v>25.43176586649129</c:v>
                </c:pt>
                <c:pt idx="61">
                  <c:v>22.002992436698449</c:v>
                </c:pt>
                <c:pt idx="62">
                  <c:v>22.433541598158499</c:v>
                </c:pt>
                <c:pt idx="63">
                  <c:v>23.92111147648799</c:v>
                </c:pt>
                <c:pt idx="64">
                  <c:v>25.030220322262419</c:v>
                </c:pt>
                <c:pt idx="65">
                  <c:v>23.26159158171653</c:v>
                </c:pt>
                <c:pt idx="66">
                  <c:v>23.10700427490956</c:v>
                </c:pt>
                <c:pt idx="67">
                  <c:v>25.08720815521211</c:v>
                </c:pt>
                <c:pt idx="68">
                  <c:v>22.146596514304498</c:v>
                </c:pt>
                <c:pt idx="69">
                  <c:v>24.304537980927311</c:v>
                </c:pt>
                <c:pt idx="70">
                  <c:v>22.979940808944431</c:v>
                </c:pt>
                <c:pt idx="71">
                  <c:v>22.254324235448859</c:v>
                </c:pt>
                <c:pt idx="72">
                  <c:v>24.720124958895099</c:v>
                </c:pt>
                <c:pt idx="73">
                  <c:v>19.292929957250909</c:v>
                </c:pt>
                <c:pt idx="74">
                  <c:v>23.195692206511008</c:v>
                </c:pt>
                <c:pt idx="75">
                  <c:v>21.970799079250241</c:v>
                </c:pt>
              </c:numCache>
            </c:numRef>
          </c:val>
        </c:ser>
        <c:ser>
          <c:idx val="4"/>
          <c:order val="4"/>
          <c:tx>
            <c:strRef>
              <c:f>Unir!$F$89</c:f>
              <c:strCache>
                <c:ptCount val="1"/>
                <c:pt idx="0">
                  <c:v>POZOS - GALÁN 14"</c:v>
                </c:pt>
              </c:strCache>
            </c:strRef>
          </c:tx>
          <c:invertIfNegative val="0"/>
          <c:cat>
            <c:strRef>
              <c:f>Unir!$A$90:$A$165</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Unir!$F$90:$F$165</c:f>
              <c:numCache>
                <c:formatCode>General</c:formatCode>
                <c:ptCount val="76"/>
                <c:pt idx="0">
                  <c:v>20.00042749095692</c:v>
                </c:pt>
                <c:pt idx="1">
                  <c:v>19.557382439986839</c:v>
                </c:pt>
                <c:pt idx="2">
                  <c:v>29.426241367971059</c:v>
                </c:pt>
                <c:pt idx="3">
                  <c:v>27.191811903978959</c:v>
                </c:pt>
                <c:pt idx="4">
                  <c:v>21.714041433738899</c:v>
                </c:pt>
                <c:pt idx="5">
                  <c:v>27.716113120683989</c:v>
                </c:pt>
                <c:pt idx="6">
                  <c:v>27.856922065110169</c:v>
                </c:pt>
                <c:pt idx="7">
                  <c:v>31.89394935876356</c:v>
                </c:pt>
                <c:pt idx="8">
                  <c:v>32.076356461690217</c:v>
                </c:pt>
                <c:pt idx="9">
                  <c:v>29.970371588293322</c:v>
                </c:pt>
                <c:pt idx="10">
                  <c:v>30.540118382111149</c:v>
                </c:pt>
                <c:pt idx="11">
                  <c:v>28.18467609339033</c:v>
                </c:pt>
                <c:pt idx="12">
                  <c:v>51.440381453469257</c:v>
                </c:pt>
                <c:pt idx="13">
                  <c:v>50.320355146333441</c:v>
                </c:pt>
                <c:pt idx="14">
                  <c:v>61.565504768168353</c:v>
                </c:pt>
                <c:pt idx="15">
                  <c:v>60.43535021374548</c:v>
                </c:pt>
                <c:pt idx="16">
                  <c:v>58.590924038145332</c:v>
                </c:pt>
                <c:pt idx="17">
                  <c:v>48.790595198947727</c:v>
                </c:pt>
                <c:pt idx="18">
                  <c:v>42.663597500822107</c:v>
                </c:pt>
                <c:pt idx="19">
                  <c:v>43.086616244656383</c:v>
                </c:pt>
                <c:pt idx="20">
                  <c:v>33.951660637948038</c:v>
                </c:pt>
                <c:pt idx="21">
                  <c:v>30.273561328510361</c:v>
                </c:pt>
                <c:pt idx="22">
                  <c:v>53.451266030910858</c:v>
                </c:pt>
                <c:pt idx="23">
                  <c:v>60.671719829003607</c:v>
                </c:pt>
                <c:pt idx="24">
                  <c:v>65.559585662610985</c:v>
                </c:pt>
                <c:pt idx="25">
                  <c:v>47.219401512660298</c:v>
                </c:pt>
                <c:pt idx="26">
                  <c:v>42.903321275896069</c:v>
                </c:pt>
                <c:pt idx="27">
                  <c:v>45.265439000328833</c:v>
                </c:pt>
                <c:pt idx="28">
                  <c:v>57.977244327523842</c:v>
                </c:pt>
                <c:pt idx="29">
                  <c:v>63.317099638276872</c:v>
                </c:pt>
                <c:pt idx="30">
                  <c:v>63.636205195659343</c:v>
                </c:pt>
                <c:pt idx="31">
                  <c:v>64.39401512660308</c:v>
                </c:pt>
                <c:pt idx="32">
                  <c:v>59.474547846103249</c:v>
                </c:pt>
                <c:pt idx="33">
                  <c:v>59.822788556395921</c:v>
                </c:pt>
                <c:pt idx="34">
                  <c:v>85.143834265044404</c:v>
                </c:pt>
                <c:pt idx="35">
                  <c:v>76.958105886221603</c:v>
                </c:pt>
                <c:pt idx="36">
                  <c:v>79.575896086813529</c:v>
                </c:pt>
                <c:pt idx="37">
                  <c:v>78.117592897073351</c:v>
                </c:pt>
                <c:pt idx="38">
                  <c:v>81.612232818151909</c:v>
                </c:pt>
                <c:pt idx="39">
                  <c:v>72.107760605064129</c:v>
                </c:pt>
                <c:pt idx="40">
                  <c:v>66.552614271621181</c:v>
                </c:pt>
                <c:pt idx="41">
                  <c:v>69.292206511016104</c:v>
                </c:pt>
                <c:pt idx="42">
                  <c:v>67.385662610983189</c:v>
                </c:pt>
                <c:pt idx="43">
                  <c:v>64.743768497204883</c:v>
                </c:pt>
                <c:pt idx="44">
                  <c:v>64.895593554751699</c:v>
                </c:pt>
                <c:pt idx="45">
                  <c:v>55.814731996053922</c:v>
                </c:pt>
                <c:pt idx="46">
                  <c:v>72.655244985202245</c:v>
                </c:pt>
                <c:pt idx="47">
                  <c:v>78.573068069713912</c:v>
                </c:pt>
                <c:pt idx="48">
                  <c:v>77.295790858270308</c:v>
                </c:pt>
                <c:pt idx="49">
                  <c:v>72.657513975665907</c:v>
                </c:pt>
                <c:pt idx="50">
                  <c:v>82.749523183163447</c:v>
                </c:pt>
                <c:pt idx="51">
                  <c:v>69.156626109832303</c:v>
                </c:pt>
                <c:pt idx="52">
                  <c:v>74.625090430779338</c:v>
                </c:pt>
                <c:pt idx="53">
                  <c:v>74.921144360407766</c:v>
                </c:pt>
                <c:pt idx="54">
                  <c:v>87.710621506083513</c:v>
                </c:pt>
                <c:pt idx="55">
                  <c:v>89.947188424860286</c:v>
                </c:pt>
                <c:pt idx="56">
                  <c:v>69.387898717527094</c:v>
                </c:pt>
                <c:pt idx="57">
                  <c:v>74.648701085169321</c:v>
                </c:pt>
                <c:pt idx="58">
                  <c:v>74.833015455442293</c:v>
                </c:pt>
                <c:pt idx="59">
                  <c:v>82.627754028280151</c:v>
                </c:pt>
                <c:pt idx="60">
                  <c:v>82.976948372245943</c:v>
                </c:pt>
                <c:pt idx="61">
                  <c:v>79.264584018414979</c:v>
                </c:pt>
                <c:pt idx="62">
                  <c:v>87.606576783952633</c:v>
                </c:pt>
                <c:pt idx="63">
                  <c:v>82.374843801381118</c:v>
                </c:pt>
                <c:pt idx="64">
                  <c:v>89.291022689904665</c:v>
                </c:pt>
                <c:pt idx="65">
                  <c:v>81.246068727392327</c:v>
                </c:pt>
                <c:pt idx="66">
                  <c:v>99.176896415652749</c:v>
                </c:pt>
                <c:pt idx="67">
                  <c:v>95.42738770141402</c:v>
                </c:pt>
                <c:pt idx="68">
                  <c:v>83.943893456099971</c:v>
                </c:pt>
                <c:pt idx="69">
                  <c:v>96.25521703387048</c:v>
                </c:pt>
                <c:pt idx="70">
                  <c:v>89.581448865504754</c:v>
                </c:pt>
                <c:pt idx="71">
                  <c:v>98.729154883262098</c:v>
                </c:pt>
                <c:pt idx="72">
                  <c:v>93.484069056231476</c:v>
                </c:pt>
                <c:pt idx="73">
                  <c:v>91.765422887208203</c:v>
                </c:pt>
                <c:pt idx="74">
                  <c:v>86.575795133179852</c:v>
                </c:pt>
                <c:pt idx="75">
                  <c:v>91.493222952976026</c:v>
                </c:pt>
              </c:numCache>
            </c:numRef>
          </c:val>
        </c:ser>
        <c:dLbls>
          <c:showLegendKey val="0"/>
          <c:showVal val="0"/>
          <c:showCatName val="0"/>
          <c:showSerName val="0"/>
          <c:showPercent val="0"/>
          <c:showBubbleSize val="0"/>
        </c:dLbls>
        <c:gapWidth val="70"/>
        <c:overlap val="100"/>
        <c:axId val="63502208"/>
        <c:axId val="63503744"/>
      </c:barChart>
      <c:catAx>
        <c:axId val="63502208"/>
        <c:scaling>
          <c:orientation val="minMax"/>
        </c:scaling>
        <c:delete val="0"/>
        <c:axPos val="b"/>
        <c:numFmt formatCode="General" sourceLinked="0"/>
        <c:majorTickMark val="out"/>
        <c:minorTickMark val="none"/>
        <c:tickLblPos val="nextTo"/>
        <c:txPr>
          <a:bodyPr/>
          <a:lstStyle/>
          <a:p>
            <a:pPr>
              <a:defRPr sz="700"/>
            </a:pPr>
            <a:endParaRPr lang="es-CO"/>
          </a:p>
        </c:txPr>
        <c:crossAx val="63503744"/>
        <c:crosses val="autoZero"/>
        <c:auto val="1"/>
        <c:lblAlgn val="ctr"/>
        <c:lblOffset val="100"/>
        <c:noMultiLvlLbl val="0"/>
      </c:catAx>
      <c:valAx>
        <c:axId val="63503744"/>
        <c:scaling>
          <c:orientation val="minMax"/>
          <c:max val="360"/>
          <c:min val="0"/>
        </c:scaling>
        <c:delete val="0"/>
        <c:axPos val="l"/>
        <c:majorGridlines>
          <c:spPr>
            <a:ln>
              <a:solidFill>
                <a:schemeClr val="bg1">
                  <a:lumMod val="85000"/>
                </a:schemeClr>
              </a:solidFill>
            </a:ln>
          </c:spPr>
        </c:majorGridlines>
        <c:title>
          <c:tx>
            <c:rich>
              <a:bodyPr rot="-5400000" vert="horz"/>
              <a:lstStyle/>
              <a:p>
                <a:pPr>
                  <a:defRPr/>
                </a:pPr>
                <a:r>
                  <a:rPr lang="es-CO"/>
                  <a:t>kbd</a:t>
                </a:r>
              </a:p>
            </c:rich>
          </c:tx>
          <c:overlay val="0"/>
        </c:title>
        <c:numFmt formatCode="#,##0" sourceLinked="0"/>
        <c:majorTickMark val="out"/>
        <c:minorTickMark val="none"/>
        <c:tickLblPos val="nextTo"/>
        <c:txPr>
          <a:bodyPr/>
          <a:lstStyle/>
          <a:p>
            <a:pPr>
              <a:defRPr sz="800"/>
            </a:pPr>
            <a:endParaRPr lang="es-CO"/>
          </a:p>
        </c:txPr>
        <c:crossAx val="63502208"/>
        <c:crosses val="autoZero"/>
        <c:crossBetween val="between"/>
      </c:valAx>
    </c:plotArea>
    <c:legend>
      <c:legendPos val="t"/>
      <c:overlay val="0"/>
      <c:txPr>
        <a:bodyPr/>
        <a:lstStyle/>
        <a:p>
          <a:pPr>
            <a:defRPr sz="900"/>
          </a:pPr>
          <a:endParaRPr lang="es-CO"/>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percentStacked"/>
        <c:varyColors val="0"/>
        <c:ser>
          <c:idx val="0"/>
          <c:order val="0"/>
          <c:tx>
            <c:strRef>
              <c:f>Unir!$B$305</c:f>
              <c:strCache>
                <c:ptCount val="1"/>
                <c:pt idx="0">
                  <c:v>ACEM</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Unir!$B$306:$B$381</c:f>
              <c:numCache>
                <c:formatCode>0.0%</c:formatCode>
                <c:ptCount val="76"/>
                <c:pt idx="0">
                  <c:v>0.16986617541788801</c:v>
                </c:pt>
                <c:pt idx="1">
                  <c:v>0.16011156233572699</c:v>
                </c:pt>
                <c:pt idx="2">
                  <c:v>0.21410342909892599</c:v>
                </c:pt>
                <c:pt idx="3">
                  <c:v>0.21457350864197899</c:v>
                </c:pt>
                <c:pt idx="4">
                  <c:v>0.17221109318202901</c:v>
                </c:pt>
                <c:pt idx="5">
                  <c:v>0.21010999473581801</c:v>
                </c:pt>
                <c:pt idx="6">
                  <c:v>0.19949350036921101</c:v>
                </c:pt>
                <c:pt idx="7">
                  <c:v>0.202814341122006</c:v>
                </c:pt>
                <c:pt idx="8">
                  <c:v>0.22396791607751601</c:v>
                </c:pt>
                <c:pt idx="9">
                  <c:v>0.19178526217174799</c:v>
                </c:pt>
                <c:pt idx="10">
                  <c:v>0.19916070976365299</c:v>
                </c:pt>
                <c:pt idx="11">
                  <c:v>0.14697144042858201</c:v>
                </c:pt>
                <c:pt idx="12">
                  <c:v>0.194691731668858</c:v>
                </c:pt>
                <c:pt idx="13">
                  <c:v>0.192075085361359</c:v>
                </c:pt>
                <c:pt idx="14">
                  <c:v>0.21028370384827699</c:v>
                </c:pt>
                <c:pt idx="15">
                  <c:v>0.22773113277562301</c:v>
                </c:pt>
                <c:pt idx="16">
                  <c:v>0.20624741669826099</c:v>
                </c:pt>
                <c:pt idx="17">
                  <c:v>0.22143837641076899</c:v>
                </c:pt>
                <c:pt idx="18">
                  <c:v>0.230140589776541</c:v>
                </c:pt>
                <c:pt idx="19">
                  <c:v>0.12031511375428799</c:v>
                </c:pt>
                <c:pt idx="20">
                  <c:v>6.8223357032304893E-2</c:v>
                </c:pt>
                <c:pt idx="21">
                  <c:v>5.0048019877605598E-2</c:v>
                </c:pt>
                <c:pt idx="22">
                  <c:v>0.11251868662273901</c:v>
                </c:pt>
                <c:pt idx="23">
                  <c:v>9.2321020103238394E-2</c:v>
                </c:pt>
                <c:pt idx="24">
                  <c:v>5.6339236140891001E-2</c:v>
                </c:pt>
                <c:pt idx="25">
                  <c:v>0.102712233344936</c:v>
                </c:pt>
                <c:pt idx="26">
                  <c:v>8.3900386490171994E-2</c:v>
                </c:pt>
                <c:pt idx="27">
                  <c:v>9.3740340237914804E-2</c:v>
                </c:pt>
                <c:pt idx="28">
                  <c:v>8.0639821344139301E-2</c:v>
                </c:pt>
                <c:pt idx="29">
                  <c:v>7.6494614323404098E-2</c:v>
                </c:pt>
                <c:pt idx="30">
                  <c:v>9.3474969279719405E-2</c:v>
                </c:pt>
                <c:pt idx="31">
                  <c:v>8.5691843505913204E-2</c:v>
                </c:pt>
                <c:pt idx="32">
                  <c:v>8.7278181696231596E-2</c:v>
                </c:pt>
                <c:pt idx="33">
                  <c:v>7.1739072883389904E-2</c:v>
                </c:pt>
                <c:pt idx="34">
                  <c:v>0.103700646361901</c:v>
                </c:pt>
                <c:pt idx="35">
                  <c:v>0.11227741080911501</c:v>
                </c:pt>
                <c:pt idx="36">
                  <c:v>4.6544379943721903E-2</c:v>
                </c:pt>
                <c:pt idx="37">
                  <c:v>9.3387546379455705E-2</c:v>
                </c:pt>
                <c:pt idx="38">
                  <c:v>9.7919578244339403E-2</c:v>
                </c:pt>
                <c:pt idx="39">
                  <c:v>0.108385979294143</c:v>
                </c:pt>
                <c:pt idx="40">
                  <c:v>0.15202403602070899</c:v>
                </c:pt>
                <c:pt idx="41">
                  <c:v>7.9253784997024998E-2</c:v>
                </c:pt>
                <c:pt idx="42">
                  <c:v>9.54939959706851E-2</c:v>
                </c:pt>
                <c:pt idx="43">
                  <c:v>6.8866572922357802E-2</c:v>
                </c:pt>
                <c:pt idx="44">
                  <c:v>8.0670268838755999E-2</c:v>
                </c:pt>
                <c:pt idx="45">
                  <c:v>0.119169421805913</c:v>
                </c:pt>
                <c:pt idx="46">
                  <c:v>8.9512613465500906E-2</c:v>
                </c:pt>
                <c:pt idx="47">
                  <c:v>0.11022299178409101</c:v>
                </c:pt>
                <c:pt idx="48">
                  <c:v>0.10334608922904601</c:v>
                </c:pt>
                <c:pt idx="49">
                  <c:v>8.0637102640020206E-2</c:v>
                </c:pt>
                <c:pt idx="50">
                  <c:v>8.3072160265465003E-2</c:v>
                </c:pt>
                <c:pt idx="51">
                  <c:v>9.3027056745029701E-2</c:v>
                </c:pt>
                <c:pt idx="52">
                  <c:v>0.109133235694265</c:v>
                </c:pt>
                <c:pt idx="53">
                  <c:v>0.103048214023091</c:v>
                </c:pt>
                <c:pt idx="54">
                  <c:v>0.125965912743812</c:v>
                </c:pt>
                <c:pt idx="55">
                  <c:v>0.126395188018327</c:v>
                </c:pt>
                <c:pt idx="56">
                  <c:v>0.106221404705772</c:v>
                </c:pt>
                <c:pt idx="57">
                  <c:v>0.11829606581706099</c:v>
                </c:pt>
                <c:pt idx="58">
                  <c:v>0.11558912048549599</c:v>
                </c:pt>
                <c:pt idx="59">
                  <c:v>0.137488693224564</c:v>
                </c:pt>
                <c:pt idx="60">
                  <c:v>0.11842520163895801</c:v>
                </c:pt>
                <c:pt idx="61">
                  <c:v>0.110472599854307</c:v>
                </c:pt>
                <c:pt idx="62">
                  <c:v>0.11780869437541901</c:v>
                </c:pt>
                <c:pt idx="63">
                  <c:v>0.121712495151648</c:v>
                </c:pt>
                <c:pt idx="64">
                  <c:v>0.12583142234998901</c:v>
                </c:pt>
                <c:pt idx="65">
                  <c:v>0.135882549583452</c:v>
                </c:pt>
                <c:pt idx="66">
                  <c:v>0.13001867690559399</c:v>
                </c:pt>
                <c:pt idx="67">
                  <c:v>0.12872591710334999</c:v>
                </c:pt>
                <c:pt idx="68">
                  <c:v>0.123279266907923</c:v>
                </c:pt>
                <c:pt idx="69">
                  <c:v>0.108238810843547</c:v>
                </c:pt>
                <c:pt idx="70">
                  <c:v>0.11634948965080801</c:v>
                </c:pt>
                <c:pt idx="71">
                  <c:v>0.110978669410443</c:v>
                </c:pt>
                <c:pt idx="72">
                  <c:v>0.12249083076280499</c:v>
                </c:pt>
                <c:pt idx="73">
                  <c:v>0.10614893055142099</c:v>
                </c:pt>
                <c:pt idx="74">
                  <c:v>0.109385976610271</c:v>
                </c:pt>
                <c:pt idx="75">
                  <c:v>9.7969389985203201E-2</c:v>
                </c:pt>
              </c:numCache>
            </c:numRef>
          </c:val>
        </c:ser>
        <c:ser>
          <c:idx val="1"/>
          <c:order val="1"/>
          <c:tx>
            <c:strRef>
              <c:f>Unir!$C$305</c:f>
              <c:strCache>
                <c:ptCount val="1"/>
                <c:pt idx="0">
                  <c:v>ACPM</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Unir!$C$306:$C$381</c:f>
              <c:numCache>
                <c:formatCode>0.0%</c:formatCode>
                <c:ptCount val="76"/>
                <c:pt idx="0">
                  <c:v>0.31425734830677998</c:v>
                </c:pt>
                <c:pt idx="1">
                  <c:v>0.34844291191496302</c:v>
                </c:pt>
                <c:pt idx="2">
                  <c:v>0.30935774538854999</c:v>
                </c:pt>
                <c:pt idx="3">
                  <c:v>0.28510722738439698</c:v>
                </c:pt>
                <c:pt idx="4">
                  <c:v>0.259127065302382</c:v>
                </c:pt>
                <c:pt idx="5">
                  <c:v>0.28433331390952299</c:v>
                </c:pt>
                <c:pt idx="6">
                  <c:v>0.272081806911251</c:v>
                </c:pt>
                <c:pt idx="7">
                  <c:v>0.30265256531915502</c:v>
                </c:pt>
                <c:pt idx="8">
                  <c:v>0.26782129546438499</c:v>
                </c:pt>
                <c:pt idx="9">
                  <c:v>0.28388041829118299</c:v>
                </c:pt>
                <c:pt idx="10">
                  <c:v>0.26700761345949398</c:v>
                </c:pt>
                <c:pt idx="11">
                  <c:v>0.30728228396400797</c:v>
                </c:pt>
                <c:pt idx="12">
                  <c:v>0.267901609992096</c:v>
                </c:pt>
                <c:pt idx="13">
                  <c:v>0.23744285359852399</c:v>
                </c:pt>
                <c:pt idx="14">
                  <c:v>0.22727313279741301</c:v>
                </c:pt>
                <c:pt idx="15">
                  <c:v>0.22339551303424299</c:v>
                </c:pt>
                <c:pt idx="16">
                  <c:v>0.22996162382701801</c:v>
                </c:pt>
                <c:pt idx="17">
                  <c:v>0.20454403548581501</c:v>
                </c:pt>
                <c:pt idx="18">
                  <c:v>0.19785847457271699</c:v>
                </c:pt>
                <c:pt idx="19">
                  <c:v>1.16398334079863E-2</c:v>
                </c:pt>
                <c:pt idx="20">
                  <c:v>8.6591065236181295E-3</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1.6905340500627902E-2</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numCache>
            </c:numRef>
          </c:val>
        </c:ser>
        <c:ser>
          <c:idx val="2"/>
          <c:order val="2"/>
          <c:tx>
            <c:strRef>
              <c:f>Unir!$D$305</c:f>
              <c:strCache>
                <c:ptCount val="1"/>
                <c:pt idx="0">
                  <c:v>B2</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Unir!$D$306:$D$381</c:f>
              <c:numCache>
                <c:formatCode>0.0%</c:formatCode>
                <c:ptCount val="76"/>
                <c:pt idx="0">
                  <c:v>0</c:v>
                </c:pt>
                <c:pt idx="1">
                  <c:v>0</c:v>
                </c:pt>
                <c:pt idx="2">
                  <c:v>0</c:v>
                </c:pt>
                <c:pt idx="3">
                  <c:v>1.3794870888492201E-2</c:v>
                </c:pt>
                <c:pt idx="4">
                  <c:v>3.4816419061410302E-2</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0.20677437810771301</c:v>
                </c:pt>
                <c:pt idx="20">
                  <c:v>0.215197845687461</c:v>
                </c:pt>
                <c:pt idx="21">
                  <c:v>0.22720947041753101</c:v>
                </c:pt>
                <c:pt idx="22">
                  <c:v>0.18898111673561999</c:v>
                </c:pt>
                <c:pt idx="23">
                  <c:v>0.19189141158648701</c:v>
                </c:pt>
                <c:pt idx="24">
                  <c:v>0.14945924014098999</c:v>
                </c:pt>
                <c:pt idx="25">
                  <c:v>0.19803893402782199</c:v>
                </c:pt>
                <c:pt idx="26">
                  <c:v>0.221685011765474</c:v>
                </c:pt>
                <c:pt idx="27">
                  <c:v>0.217022342343308</c:v>
                </c:pt>
                <c:pt idx="28">
                  <c:v>0.207904617965948</c:v>
                </c:pt>
                <c:pt idx="29">
                  <c:v>0.192768506056685</c:v>
                </c:pt>
                <c:pt idx="30">
                  <c:v>0.17859173781506599</c:v>
                </c:pt>
                <c:pt idx="31">
                  <c:v>0.20728589303015699</c:v>
                </c:pt>
                <c:pt idx="32">
                  <c:v>0.190405343714658</c:v>
                </c:pt>
                <c:pt idx="33">
                  <c:v>0.208227448890694</c:v>
                </c:pt>
                <c:pt idx="34">
                  <c:v>0.168147766719008</c:v>
                </c:pt>
                <c:pt idx="35">
                  <c:v>0.18002708757900501</c:v>
                </c:pt>
                <c:pt idx="36">
                  <c:v>0.15190403065128899</c:v>
                </c:pt>
                <c:pt idx="37">
                  <c:v>0.177179343298137</c:v>
                </c:pt>
                <c:pt idx="38">
                  <c:v>0.18031065837433499</c:v>
                </c:pt>
                <c:pt idx="39">
                  <c:v>0.185390139677335</c:v>
                </c:pt>
                <c:pt idx="40">
                  <c:v>0.18392373598697101</c:v>
                </c:pt>
                <c:pt idx="41">
                  <c:v>0.18478981062494501</c:v>
                </c:pt>
                <c:pt idx="42">
                  <c:v>0.20519346073497299</c:v>
                </c:pt>
                <c:pt idx="43">
                  <c:v>0.18951653788710901</c:v>
                </c:pt>
                <c:pt idx="44">
                  <c:v>0.20330267148543099</c:v>
                </c:pt>
                <c:pt idx="45">
                  <c:v>0.173210124944152</c:v>
                </c:pt>
                <c:pt idx="46">
                  <c:v>0.19047725121122699</c:v>
                </c:pt>
                <c:pt idx="47">
                  <c:v>0.19637101169475801</c:v>
                </c:pt>
                <c:pt idx="48">
                  <c:v>0.17833959443219599</c:v>
                </c:pt>
                <c:pt idx="49">
                  <c:v>0.17391704606609901</c:v>
                </c:pt>
                <c:pt idx="50">
                  <c:v>0.171091788479559</c:v>
                </c:pt>
                <c:pt idx="51">
                  <c:v>0.18887013216385901</c:v>
                </c:pt>
                <c:pt idx="52">
                  <c:v>0.189493666109948</c:v>
                </c:pt>
                <c:pt idx="53">
                  <c:v>0.189966891167903</c:v>
                </c:pt>
                <c:pt idx="54">
                  <c:v>0.184557301104772</c:v>
                </c:pt>
                <c:pt idx="55">
                  <c:v>0.192544948877724</c:v>
                </c:pt>
                <c:pt idx="56">
                  <c:v>0.18499062671303301</c:v>
                </c:pt>
                <c:pt idx="57">
                  <c:v>0.20371318999613999</c:v>
                </c:pt>
                <c:pt idx="58">
                  <c:v>0.21189295767116501</c:v>
                </c:pt>
                <c:pt idx="59">
                  <c:v>0.20540418548655801</c:v>
                </c:pt>
                <c:pt idx="60">
                  <c:v>0.18363849676034699</c:v>
                </c:pt>
                <c:pt idx="61">
                  <c:v>0.19385524887583699</c:v>
                </c:pt>
                <c:pt idx="62">
                  <c:v>0.19159709461670499</c:v>
                </c:pt>
                <c:pt idx="63">
                  <c:v>0.20316813722099</c:v>
                </c:pt>
                <c:pt idx="64">
                  <c:v>0.200565795997525</c:v>
                </c:pt>
                <c:pt idx="65">
                  <c:v>0.18065208637937699</c:v>
                </c:pt>
                <c:pt idx="66">
                  <c:v>0.18358004339768799</c:v>
                </c:pt>
                <c:pt idx="67">
                  <c:v>0.18345659517871901</c:v>
                </c:pt>
                <c:pt idx="68">
                  <c:v>0.1755883561512</c:v>
                </c:pt>
                <c:pt idx="69">
                  <c:v>0</c:v>
                </c:pt>
                <c:pt idx="70">
                  <c:v>0</c:v>
                </c:pt>
                <c:pt idx="71">
                  <c:v>0</c:v>
                </c:pt>
                <c:pt idx="72">
                  <c:v>0</c:v>
                </c:pt>
                <c:pt idx="73">
                  <c:v>0</c:v>
                </c:pt>
                <c:pt idx="74">
                  <c:v>0</c:v>
                </c:pt>
                <c:pt idx="75">
                  <c:v>0</c:v>
                </c:pt>
              </c:numCache>
            </c:numRef>
          </c:val>
        </c:ser>
        <c:ser>
          <c:idx val="3"/>
          <c:order val="3"/>
          <c:tx>
            <c:strRef>
              <c:f>Unir!$E$305</c:f>
              <c:strCache>
                <c:ptCount val="1"/>
                <c:pt idx="0">
                  <c:v>B2E</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Unir!$E$306:$E$381</c:f>
              <c:numCache>
                <c:formatCode>0.0%</c:formatCode>
                <c:ptCount val="7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9.4894983332983698E-2</c:v>
                </c:pt>
                <c:pt idx="20">
                  <c:v>0.11446145973807199</c:v>
                </c:pt>
                <c:pt idx="21">
                  <c:v>8.8647850546105397E-2</c:v>
                </c:pt>
                <c:pt idx="22">
                  <c:v>7.9112023524964201E-2</c:v>
                </c:pt>
                <c:pt idx="23">
                  <c:v>8.5994837725890699E-2</c:v>
                </c:pt>
                <c:pt idx="24">
                  <c:v>7.5619572565851403E-2</c:v>
                </c:pt>
                <c:pt idx="25">
                  <c:v>8.9090468131675801E-2</c:v>
                </c:pt>
                <c:pt idx="26">
                  <c:v>9.3161082775195303E-2</c:v>
                </c:pt>
                <c:pt idx="27">
                  <c:v>8.5547388750344899E-2</c:v>
                </c:pt>
                <c:pt idx="28">
                  <c:v>8.7810980675097405E-2</c:v>
                </c:pt>
                <c:pt idx="29">
                  <c:v>7.7763153784259603E-2</c:v>
                </c:pt>
                <c:pt idx="30">
                  <c:v>9.7723301736384993E-2</c:v>
                </c:pt>
                <c:pt idx="31">
                  <c:v>8.1349190477243594E-2</c:v>
                </c:pt>
                <c:pt idx="32">
                  <c:v>9.3858608607621297E-2</c:v>
                </c:pt>
                <c:pt idx="33">
                  <c:v>7.9388740639199998E-2</c:v>
                </c:pt>
                <c:pt idx="34">
                  <c:v>7.6630260145493095E-2</c:v>
                </c:pt>
                <c:pt idx="35">
                  <c:v>9.4786526460702195E-2</c:v>
                </c:pt>
                <c:pt idx="36">
                  <c:v>6.9362942687339502E-2</c:v>
                </c:pt>
                <c:pt idx="37">
                  <c:v>7.6105906627341194E-2</c:v>
                </c:pt>
                <c:pt idx="38">
                  <c:v>6.7604272846482003E-2</c:v>
                </c:pt>
                <c:pt idx="39">
                  <c:v>7.1745276552169904E-2</c:v>
                </c:pt>
                <c:pt idx="40">
                  <c:v>4.6216557437971997E-2</c:v>
                </c:pt>
                <c:pt idx="41">
                  <c:v>7.6384462682677304E-2</c:v>
                </c:pt>
                <c:pt idx="42">
                  <c:v>7.8671770611389996E-2</c:v>
                </c:pt>
                <c:pt idx="43">
                  <c:v>8.6115171927040393E-2</c:v>
                </c:pt>
                <c:pt idx="44">
                  <c:v>8.5827338877291895E-2</c:v>
                </c:pt>
                <c:pt idx="45">
                  <c:v>6.8297832349905302E-2</c:v>
                </c:pt>
                <c:pt idx="46">
                  <c:v>7.1738263629782306E-2</c:v>
                </c:pt>
                <c:pt idx="47">
                  <c:v>8.3716872873426995E-2</c:v>
                </c:pt>
                <c:pt idx="48">
                  <c:v>7.8773821065335897E-2</c:v>
                </c:pt>
                <c:pt idx="49">
                  <c:v>5.8626340443719997E-2</c:v>
                </c:pt>
                <c:pt idx="50">
                  <c:v>7.2563791128765598E-2</c:v>
                </c:pt>
                <c:pt idx="51">
                  <c:v>6.4203365469527499E-2</c:v>
                </c:pt>
                <c:pt idx="52">
                  <c:v>6.7888029643880493E-2</c:v>
                </c:pt>
                <c:pt idx="53">
                  <c:v>6.6773170016524705E-2</c:v>
                </c:pt>
                <c:pt idx="54">
                  <c:v>7.6428311685625097E-2</c:v>
                </c:pt>
                <c:pt idx="55">
                  <c:v>5.3337759068986197E-2</c:v>
                </c:pt>
                <c:pt idx="56">
                  <c:v>6.7778615601168907E-2</c:v>
                </c:pt>
                <c:pt idx="57">
                  <c:v>6.6101162062261701E-2</c:v>
                </c:pt>
                <c:pt idx="58">
                  <c:v>7.8085288465830405E-2</c:v>
                </c:pt>
                <c:pt idx="59">
                  <c:v>7.1253276752018799E-2</c:v>
                </c:pt>
                <c:pt idx="60">
                  <c:v>7.3576643075605394E-2</c:v>
                </c:pt>
                <c:pt idx="61">
                  <c:v>7.4152346013059894E-2</c:v>
                </c:pt>
                <c:pt idx="62">
                  <c:v>7.6183279436159906E-2</c:v>
                </c:pt>
                <c:pt idx="63">
                  <c:v>7.1966063715503001E-2</c:v>
                </c:pt>
                <c:pt idx="64">
                  <c:v>6.78187346704167E-2</c:v>
                </c:pt>
                <c:pt idx="65">
                  <c:v>6.5500085623908494E-2</c:v>
                </c:pt>
                <c:pt idx="66">
                  <c:v>6.3451385444640407E-2</c:v>
                </c:pt>
                <c:pt idx="67">
                  <c:v>6.0286459177563298E-2</c:v>
                </c:pt>
                <c:pt idx="68">
                  <c:v>9.1467437500191706E-2</c:v>
                </c:pt>
                <c:pt idx="69">
                  <c:v>0.24701505862294501</c:v>
                </c:pt>
                <c:pt idx="70">
                  <c:v>0.25202898197506401</c:v>
                </c:pt>
                <c:pt idx="71">
                  <c:v>0.244559333600571</c:v>
                </c:pt>
                <c:pt idx="72">
                  <c:v>0.23258463597225301</c:v>
                </c:pt>
                <c:pt idx="73">
                  <c:v>0.23380613675867401</c:v>
                </c:pt>
                <c:pt idx="74">
                  <c:v>0.27137020927763</c:v>
                </c:pt>
                <c:pt idx="75">
                  <c:v>0.235909576076552</c:v>
                </c:pt>
              </c:numCache>
            </c:numRef>
          </c:val>
        </c:ser>
        <c:ser>
          <c:idx val="4"/>
          <c:order val="4"/>
          <c:tx>
            <c:strRef>
              <c:f>Unir!$F$305</c:f>
              <c:strCache>
                <c:ptCount val="1"/>
                <c:pt idx="0">
                  <c:v>B3</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Unir!$F$306:$F$381</c:f>
              <c:numCache>
                <c:formatCode>0.0%</c:formatCode>
                <c:ptCount val="76"/>
                <c:pt idx="0">
                  <c:v>0</c:v>
                </c:pt>
                <c:pt idx="1">
                  <c:v>0</c:v>
                </c:pt>
                <c:pt idx="2">
                  <c:v>0</c:v>
                </c:pt>
                <c:pt idx="3">
                  <c:v>0</c:v>
                </c:pt>
                <c:pt idx="4">
                  <c:v>1.00043604005647E-3</c:v>
                </c:pt>
                <c:pt idx="5">
                  <c:v>2.0766029006004601E-2</c:v>
                </c:pt>
                <c:pt idx="6">
                  <c:v>2.36568516142939E-2</c:v>
                </c:pt>
                <c:pt idx="7">
                  <c:v>2.25823305073054E-2</c:v>
                </c:pt>
                <c:pt idx="8">
                  <c:v>2.3495498690386901E-2</c:v>
                </c:pt>
                <c:pt idx="9">
                  <c:v>2.7425988484893801E-2</c:v>
                </c:pt>
                <c:pt idx="10">
                  <c:v>2.2218069107159899E-2</c:v>
                </c:pt>
                <c:pt idx="11">
                  <c:v>4.4086421470610404E-3</c:v>
                </c:pt>
                <c:pt idx="12">
                  <c:v>1.6166900198316202E-2</c:v>
                </c:pt>
                <c:pt idx="13">
                  <c:v>2.2487590997376902E-2</c:v>
                </c:pt>
                <c:pt idx="14">
                  <c:v>2.2203032078080401E-2</c:v>
                </c:pt>
                <c:pt idx="15">
                  <c:v>2.3299663159499599E-2</c:v>
                </c:pt>
                <c:pt idx="16">
                  <c:v>2.1464786140328498E-2</c:v>
                </c:pt>
                <c:pt idx="17">
                  <c:v>3.5428137836731599E-3</c:v>
                </c:pt>
                <c:pt idx="18">
                  <c:v>0</c:v>
                </c:pt>
                <c:pt idx="19">
                  <c:v>0</c:v>
                </c:pt>
                <c:pt idx="20">
                  <c:v>0</c:v>
                </c:pt>
                <c:pt idx="21">
                  <c:v>2.36434134854413E-2</c:v>
                </c:pt>
                <c:pt idx="22">
                  <c:v>1.76758355947437E-2</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numCache>
            </c:numRef>
          </c:val>
        </c:ser>
        <c:ser>
          <c:idx val="5"/>
          <c:order val="5"/>
          <c:tx>
            <c:strRef>
              <c:f>Unir!$G$305</c:f>
              <c:strCache>
                <c:ptCount val="1"/>
                <c:pt idx="0">
                  <c:v>B4</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Unir!$G$306:$G$381</c:f>
              <c:numCache>
                <c:formatCode>0.0%</c:formatCode>
                <c:ptCount val="76"/>
                <c:pt idx="0">
                  <c:v>0</c:v>
                </c:pt>
                <c:pt idx="1">
                  <c:v>0</c:v>
                </c:pt>
                <c:pt idx="2">
                  <c:v>0</c:v>
                </c:pt>
                <c:pt idx="3">
                  <c:v>0</c:v>
                </c:pt>
                <c:pt idx="4">
                  <c:v>0</c:v>
                </c:pt>
                <c:pt idx="5">
                  <c:v>0</c:v>
                </c:pt>
                <c:pt idx="6">
                  <c:v>0</c:v>
                </c:pt>
                <c:pt idx="7">
                  <c:v>0</c:v>
                </c:pt>
                <c:pt idx="8">
                  <c:v>0</c:v>
                </c:pt>
                <c:pt idx="9">
                  <c:v>0</c:v>
                </c:pt>
                <c:pt idx="10">
                  <c:v>0</c:v>
                </c:pt>
                <c:pt idx="11">
                  <c:v>5.1223661623783301E-3</c:v>
                </c:pt>
                <c:pt idx="12">
                  <c:v>0</c:v>
                </c:pt>
                <c:pt idx="13">
                  <c:v>0</c:v>
                </c:pt>
                <c:pt idx="14">
                  <c:v>0</c:v>
                </c:pt>
                <c:pt idx="15">
                  <c:v>0</c:v>
                </c:pt>
                <c:pt idx="16">
                  <c:v>0</c:v>
                </c:pt>
                <c:pt idx="17">
                  <c:v>1.6956507485357201E-2</c:v>
                </c:pt>
                <c:pt idx="18">
                  <c:v>1.86336008740677E-2</c:v>
                </c:pt>
                <c:pt idx="19">
                  <c:v>2.0766966553679499E-2</c:v>
                </c:pt>
                <c:pt idx="20">
                  <c:v>1.6669186839033401E-2</c:v>
                </c:pt>
                <c:pt idx="21">
                  <c:v>1.22956458204061E-3</c:v>
                </c:pt>
                <c:pt idx="22">
                  <c:v>0</c:v>
                </c:pt>
                <c:pt idx="23">
                  <c:v>2.1113694040867399E-2</c:v>
                </c:pt>
                <c:pt idx="24">
                  <c:v>2.0178738202689499E-2</c:v>
                </c:pt>
                <c:pt idx="25">
                  <c:v>1.9018037237002901E-2</c:v>
                </c:pt>
                <c:pt idx="26">
                  <c:v>2.7533218315465399E-2</c:v>
                </c:pt>
                <c:pt idx="27">
                  <c:v>2.3221063571614201E-2</c:v>
                </c:pt>
                <c:pt idx="28">
                  <c:v>2.1089503568746198E-2</c:v>
                </c:pt>
                <c:pt idx="29">
                  <c:v>2.1253476578528399E-2</c:v>
                </c:pt>
                <c:pt idx="30">
                  <c:v>2.59771834826233E-2</c:v>
                </c:pt>
                <c:pt idx="31">
                  <c:v>2.6319194820484799E-2</c:v>
                </c:pt>
                <c:pt idx="32">
                  <c:v>2.2591518725908099E-2</c:v>
                </c:pt>
                <c:pt idx="33">
                  <c:v>1.9149671520410302E-2</c:v>
                </c:pt>
                <c:pt idx="34">
                  <c:v>2.0931009924435699E-2</c:v>
                </c:pt>
                <c:pt idx="35">
                  <c:v>2.2519857349583901E-2</c:v>
                </c:pt>
                <c:pt idx="36">
                  <c:v>1.5973409359346501E-2</c:v>
                </c:pt>
                <c:pt idx="37">
                  <c:v>1.8706254548116599E-2</c:v>
                </c:pt>
                <c:pt idx="38">
                  <c:v>2.2875000242594E-2</c:v>
                </c:pt>
                <c:pt idx="39">
                  <c:v>2.3106284221040298E-2</c:v>
                </c:pt>
                <c:pt idx="40">
                  <c:v>1.9316841273683199E-2</c:v>
                </c:pt>
                <c:pt idx="41">
                  <c:v>4.25205495167226E-3</c:v>
                </c:pt>
                <c:pt idx="42">
                  <c:v>2.2708614438779501E-2</c:v>
                </c:pt>
                <c:pt idx="43">
                  <c:v>1.9376588182622102E-2</c:v>
                </c:pt>
                <c:pt idx="44">
                  <c:v>2.2829511297988599E-2</c:v>
                </c:pt>
                <c:pt idx="45">
                  <c:v>2.07650710995393E-2</c:v>
                </c:pt>
                <c:pt idx="46">
                  <c:v>2.0881884501865601E-2</c:v>
                </c:pt>
                <c:pt idx="47">
                  <c:v>2.30229542237738E-2</c:v>
                </c:pt>
                <c:pt idx="48">
                  <c:v>2.1699180795358802E-2</c:v>
                </c:pt>
                <c:pt idx="49">
                  <c:v>2.2523434512283499E-2</c:v>
                </c:pt>
                <c:pt idx="50">
                  <c:v>2.1787292900556698E-2</c:v>
                </c:pt>
                <c:pt idx="51">
                  <c:v>2.3851172123065E-2</c:v>
                </c:pt>
                <c:pt idx="52">
                  <c:v>2.33883807195077E-2</c:v>
                </c:pt>
                <c:pt idx="53">
                  <c:v>2.79209900586724E-2</c:v>
                </c:pt>
                <c:pt idx="54">
                  <c:v>2.1707571279447401E-2</c:v>
                </c:pt>
                <c:pt idx="55">
                  <c:v>2.07316545713323E-2</c:v>
                </c:pt>
                <c:pt idx="56">
                  <c:v>2.2893507952793098E-2</c:v>
                </c:pt>
                <c:pt idx="57">
                  <c:v>2.4133654497414399E-2</c:v>
                </c:pt>
                <c:pt idx="58">
                  <c:v>2.34637424665269E-2</c:v>
                </c:pt>
                <c:pt idx="59">
                  <c:v>1.90069372957214E-2</c:v>
                </c:pt>
                <c:pt idx="60">
                  <c:v>1.7378123408363599E-2</c:v>
                </c:pt>
                <c:pt idx="61">
                  <c:v>6.9286495055713299E-3</c:v>
                </c:pt>
                <c:pt idx="62">
                  <c:v>1.6845366671488098E-2</c:v>
                </c:pt>
                <c:pt idx="63">
                  <c:v>1.8699006604562099E-2</c:v>
                </c:pt>
                <c:pt idx="64">
                  <c:v>1.85296244633524E-2</c:v>
                </c:pt>
                <c:pt idx="65">
                  <c:v>1.6595533070487299E-2</c:v>
                </c:pt>
                <c:pt idx="66">
                  <c:v>1.7831390574559701E-2</c:v>
                </c:pt>
                <c:pt idx="67">
                  <c:v>1.83674885184924E-2</c:v>
                </c:pt>
                <c:pt idx="68">
                  <c:v>1.9139525753903399E-2</c:v>
                </c:pt>
                <c:pt idx="69">
                  <c:v>1.8154129088642099E-2</c:v>
                </c:pt>
                <c:pt idx="70">
                  <c:v>2.1600239309207701E-2</c:v>
                </c:pt>
                <c:pt idx="71">
                  <c:v>2.0242221006782701E-2</c:v>
                </c:pt>
                <c:pt idx="72">
                  <c:v>1.4400340639542999E-2</c:v>
                </c:pt>
                <c:pt idx="73">
                  <c:v>2.1745850720627201E-2</c:v>
                </c:pt>
                <c:pt idx="74">
                  <c:v>2.0438866048925499E-2</c:v>
                </c:pt>
                <c:pt idx="75">
                  <c:v>2.18032265715726E-2</c:v>
                </c:pt>
              </c:numCache>
            </c:numRef>
          </c:val>
        </c:ser>
        <c:ser>
          <c:idx val="6"/>
          <c:order val="6"/>
          <c:tx>
            <c:strRef>
              <c:f>Unir!$H$305</c:f>
              <c:strCache>
                <c:ptCount val="1"/>
                <c:pt idx="0">
                  <c:v>GMR</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Unir!$H$306:$H$381</c:f>
              <c:numCache>
                <c:formatCode>0.0%</c:formatCode>
                <c:ptCount val="76"/>
                <c:pt idx="0">
                  <c:v>0.29679460843169803</c:v>
                </c:pt>
                <c:pt idx="1">
                  <c:v>0.30967518182899401</c:v>
                </c:pt>
                <c:pt idx="2">
                  <c:v>0.27639262544395599</c:v>
                </c:pt>
                <c:pt idx="3">
                  <c:v>0.26533085677467899</c:v>
                </c:pt>
                <c:pt idx="4">
                  <c:v>0.300940985208283</c:v>
                </c:pt>
                <c:pt idx="5">
                  <c:v>0.26135264125966401</c:v>
                </c:pt>
                <c:pt idx="6">
                  <c:v>0.27848396346571103</c:v>
                </c:pt>
                <c:pt idx="7">
                  <c:v>0.26516535682451498</c:v>
                </c:pt>
                <c:pt idx="8">
                  <c:v>0.25778189281981001</c:v>
                </c:pt>
                <c:pt idx="9">
                  <c:v>0.23703576436766</c:v>
                </c:pt>
                <c:pt idx="10">
                  <c:v>0.276079302163311</c:v>
                </c:pt>
                <c:pt idx="11">
                  <c:v>0.27505608989474101</c:v>
                </c:pt>
                <c:pt idx="12">
                  <c:v>0.274586950452405</c:v>
                </c:pt>
                <c:pt idx="13">
                  <c:v>0.23633719685613</c:v>
                </c:pt>
                <c:pt idx="14">
                  <c:v>0.22559160524347199</c:v>
                </c:pt>
                <c:pt idx="15">
                  <c:v>0.22083431279815699</c:v>
                </c:pt>
                <c:pt idx="16">
                  <c:v>0.25908027418448099</c:v>
                </c:pt>
                <c:pt idx="17">
                  <c:v>0.24647789706713899</c:v>
                </c:pt>
                <c:pt idx="18">
                  <c:v>0.26551998492352202</c:v>
                </c:pt>
                <c:pt idx="19">
                  <c:v>0.232456513778172</c:v>
                </c:pt>
                <c:pt idx="20">
                  <c:v>0.24764943663627401</c:v>
                </c:pt>
                <c:pt idx="21">
                  <c:v>0.28119057864784902</c:v>
                </c:pt>
                <c:pt idx="22">
                  <c:v>0.225001860634157</c:v>
                </c:pt>
                <c:pt idx="23">
                  <c:v>0.264087877135191</c:v>
                </c:pt>
                <c:pt idx="24">
                  <c:v>0.29073390350942702</c:v>
                </c:pt>
                <c:pt idx="25">
                  <c:v>0.24417970558621899</c:v>
                </c:pt>
                <c:pt idx="26">
                  <c:v>0.25992255128717001</c:v>
                </c:pt>
                <c:pt idx="27">
                  <c:v>0.236002217894768</c:v>
                </c:pt>
                <c:pt idx="28">
                  <c:v>0.233893280102384</c:v>
                </c:pt>
                <c:pt idx="29">
                  <c:v>0.22544410288858899</c:v>
                </c:pt>
                <c:pt idx="30">
                  <c:v>0.230588879485706</c:v>
                </c:pt>
                <c:pt idx="31">
                  <c:v>0.21255189655651099</c:v>
                </c:pt>
                <c:pt idx="32">
                  <c:v>0.21691341575296699</c:v>
                </c:pt>
                <c:pt idx="33">
                  <c:v>0.26861066576834403</c:v>
                </c:pt>
                <c:pt idx="34">
                  <c:v>0.22791007568070801</c:v>
                </c:pt>
                <c:pt idx="35">
                  <c:v>0.21673063213100999</c:v>
                </c:pt>
                <c:pt idx="36">
                  <c:v>0.30044045036124001</c:v>
                </c:pt>
                <c:pt idx="37">
                  <c:v>0.23517337775865901</c:v>
                </c:pt>
                <c:pt idx="38">
                  <c:v>0.20331223879361099</c:v>
                </c:pt>
                <c:pt idx="39">
                  <c:v>0.226835077784524</c:v>
                </c:pt>
                <c:pt idx="40">
                  <c:v>0.265604600609879</c:v>
                </c:pt>
                <c:pt idx="41">
                  <c:v>0.26148073848438902</c:v>
                </c:pt>
                <c:pt idx="42">
                  <c:v>0.21886292778640501</c:v>
                </c:pt>
                <c:pt idx="43">
                  <c:v>0.25662587495517603</c:v>
                </c:pt>
                <c:pt idx="44">
                  <c:v>0.21014972845871099</c:v>
                </c:pt>
                <c:pt idx="45">
                  <c:v>0.278980973362708</c:v>
                </c:pt>
                <c:pt idx="46">
                  <c:v>0.22060934454530301</c:v>
                </c:pt>
                <c:pt idx="47">
                  <c:v>0.24470444211370501</c:v>
                </c:pt>
                <c:pt idx="48">
                  <c:v>0.20744101563138501</c:v>
                </c:pt>
                <c:pt idx="49">
                  <c:v>0.265428131566667</c:v>
                </c:pt>
                <c:pt idx="50">
                  <c:v>0.25079522082926498</c:v>
                </c:pt>
                <c:pt idx="51">
                  <c:v>0.27492396882458803</c:v>
                </c:pt>
                <c:pt idx="52">
                  <c:v>0.22686576420641899</c:v>
                </c:pt>
                <c:pt idx="53">
                  <c:v>0.24872776035581601</c:v>
                </c:pt>
                <c:pt idx="54">
                  <c:v>0.24571374160134299</c:v>
                </c:pt>
                <c:pt idx="55">
                  <c:v>0.275751595527995</c:v>
                </c:pt>
                <c:pt idx="56">
                  <c:v>0.239475665457859</c:v>
                </c:pt>
                <c:pt idx="57">
                  <c:v>0.27227983346933499</c:v>
                </c:pt>
                <c:pt idx="58">
                  <c:v>0.27921890920724701</c:v>
                </c:pt>
                <c:pt idx="59">
                  <c:v>0.24028528956846701</c:v>
                </c:pt>
                <c:pt idx="60">
                  <c:v>0.25940558634303101</c:v>
                </c:pt>
                <c:pt idx="61">
                  <c:v>0.255674469953237</c:v>
                </c:pt>
                <c:pt idx="62">
                  <c:v>0.214667109088302</c:v>
                </c:pt>
                <c:pt idx="63">
                  <c:v>0.247255993622924</c:v>
                </c:pt>
                <c:pt idx="64">
                  <c:v>0.23645292638728599</c:v>
                </c:pt>
                <c:pt idx="65">
                  <c:v>0.23476930470823601</c:v>
                </c:pt>
                <c:pt idx="66">
                  <c:v>0.234134019929848</c:v>
                </c:pt>
                <c:pt idx="67">
                  <c:v>0.20321932722062599</c:v>
                </c:pt>
                <c:pt idx="68">
                  <c:v>0.21696022255275499</c:v>
                </c:pt>
                <c:pt idx="69">
                  <c:v>0.23229858823666699</c:v>
                </c:pt>
                <c:pt idx="70">
                  <c:v>0.26544465744378198</c:v>
                </c:pt>
                <c:pt idx="71">
                  <c:v>0.25599173420235499</c:v>
                </c:pt>
                <c:pt idx="72">
                  <c:v>0.27411573185355198</c:v>
                </c:pt>
                <c:pt idx="73">
                  <c:v>0.28892244732771399</c:v>
                </c:pt>
                <c:pt idx="74">
                  <c:v>0.24915062354333201</c:v>
                </c:pt>
                <c:pt idx="75">
                  <c:v>0.26500308765323599</c:v>
                </c:pt>
              </c:numCache>
            </c:numRef>
          </c:val>
        </c:ser>
        <c:ser>
          <c:idx val="7"/>
          <c:order val="7"/>
          <c:tx>
            <c:strRef>
              <c:f>Unir!$I$305</c:f>
              <c:strCache>
                <c:ptCount val="1"/>
                <c:pt idx="0">
                  <c:v>GPR</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Unir!$I$306:$I$381</c:f>
              <c:numCache>
                <c:formatCode>0.0%</c:formatCode>
                <c:ptCount val="76"/>
                <c:pt idx="0">
                  <c:v>1.6445101992781899E-2</c:v>
                </c:pt>
                <c:pt idx="1">
                  <c:v>1.5281534200011399E-2</c:v>
                </c:pt>
                <c:pt idx="2">
                  <c:v>1.2051860404498399E-2</c:v>
                </c:pt>
                <c:pt idx="3">
                  <c:v>1.47399693750813E-2</c:v>
                </c:pt>
                <c:pt idx="4">
                  <c:v>1.17093241244544E-2</c:v>
                </c:pt>
                <c:pt idx="5">
                  <c:v>1.1285398660547201E-2</c:v>
                </c:pt>
                <c:pt idx="6">
                  <c:v>1.5197736826895399E-2</c:v>
                </c:pt>
                <c:pt idx="7">
                  <c:v>1.7451782173110299E-2</c:v>
                </c:pt>
                <c:pt idx="8">
                  <c:v>1.00025378800689E-2</c:v>
                </c:pt>
                <c:pt idx="9">
                  <c:v>1.04020800207132E-2</c:v>
                </c:pt>
                <c:pt idx="10">
                  <c:v>1.13520221486875E-2</c:v>
                </c:pt>
                <c:pt idx="11">
                  <c:v>1.57227078303026E-2</c:v>
                </c:pt>
                <c:pt idx="12">
                  <c:v>1.3839928800154101E-2</c:v>
                </c:pt>
                <c:pt idx="13">
                  <c:v>6.20104962080911E-3</c:v>
                </c:pt>
                <c:pt idx="14">
                  <c:v>1.2499570727121699E-2</c:v>
                </c:pt>
                <c:pt idx="15">
                  <c:v>1.2709344751367301E-2</c:v>
                </c:pt>
                <c:pt idx="16">
                  <c:v>9.1815949242080707E-3</c:v>
                </c:pt>
                <c:pt idx="17">
                  <c:v>9.4173496939759203E-3</c:v>
                </c:pt>
                <c:pt idx="18">
                  <c:v>1.0405529376605801E-2</c:v>
                </c:pt>
                <c:pt idx="19">
                  <c:v>9.2912463237345595E-3</c:v>
                </c:pt>
                <c:pt idx="20">
                  <c:v>1.28779872809379E-2</c:v>
                </c:pt>
                <c:pt idx="21">
                  <c:v>9.9577150715823206E-3</c:v>
                </c:pt>
                <c:pt idx="22">
                  <c:v>8.6793073932597293E-3</c:v>
                </c:pt>
                <c:pt idx="23">
                  <c:v>8.7891974049897903E-3</c:v>
                </c:pt>
                <c:pt idx="24">
                  <c:v>1.2251690927102699E-2</c:v>
                </c:pt>
                <c:pt idx="25">
                  <c:v>9.2644198680195602E-3</c:v>
                </c:pt>
                <c:pt idx="26">
                  <c:v>1.2248775109932501E-2</c:v>
                </c:pt>
                <c:pt idx="27">
                  <c:v>8.1421916978948704E-3</c:v>
                </c:pt>
                <c:pt idx="28">
                  <c:v>1.1961785011071801E-2</c:v>
                </c:pt>
                <c:pt idx="29">
                  <c:v>1.0828333335478399E-2</c:v>
                </c:pt>
                <c:pt idx="30">
                  <c:v>8.3950312808972992E-3</c:v>
                </c:pt>
                <c:pt idx="31">
                  <c:v>1.1081264725493501E-2</c:v>
                </c:pt>
                <c:pt idx="32">
                  <c:v>1.0506379673238E-2</c:v>
                </c:pt>
                <c:pt idx="33">
                  <c:v>1.0316704891527299E-2</c:v>
                </c:pt>
                <c:pt idx="34">
                  <c:v>6.5570759343455904E-3</c:v>
                </c:pt>
                <c:pt idx="35">
                  <c:v>9.8065911025573792E-3</c:v>
                </c:pt>
                <c:pt idx="36">
                  <c:v>1.09192233552458E-2</c:v>
                </c:pt>
                <c:pt idx="37">
                  <c:v>8.1790821504732197E-3</c:v>
                </c:pt>
                <c:pt idx="38">
                  <c:v>7.6175605304464097E-3</c:v>
                </c:pt>
                <c:pt idx="39">
                  <c:v>1.3008425218954E-2</c:v>
                </c:pt>
                <c:pt idx="40">
                  <c:v>8.3901151309471594E-3</c:v>
                </c:pt>
                <c:pt idx="41">
                  <c:v>1.0863381170219E-2</c:v>
                </c:pt>
                <c:pt idx="42">
                  <c:v>1.17829554072377E-2</c:v>
                </c:pt>
                <c:pt idx="43">
                  <c:v>8.0921087040341302E-3</c:v>
                </c:pt>
                <c:pt idx="44">
                  <c:v>8.9057046493056808E-3</c:v>
                </c:pt>
                <c:pt idx="45">
                  <c:v>1.19237702013588E-2</c:v>
                </c:pt>
                <c:pt idx="46">
                  <c:v>7.3718327114774204E-3</c:v>
                </c:pt>
                <c:pt idx="47">
                  <c:v>1.07193817916908E-2</c:v>
                </c:pt>
                <c:pt idx="48">
                  <c:v>1.37114409072414E-2</c:v>
                </c:pt>
                <c:pt idx="49">
                  <c:v>7.6997752155698301E-3</c:v>
                </c:pt>
                <c:pt idx="50">
                  <c:v>1.04875433359654E-2</c:v>
                </c:pt>
                <c:pt idx="51">
                  <c:v>1.06745389545928E-2</c:v>
                </c:pt>
                <c:pt idx="52">
                  <c:v>7.2558159504998504E-3</c:v>
                </c:pt>
                <c:pt idx="53">
                  <c:v>1.2158669362021301E-2</c:v>
                </c:pt>
                <c:pt idx="54">
                  <c:v>1.21224191539577E-2</c:v>
                </c:pt>
                <c:pt idx="55">
                  <c:v>8.9822316772029398E-3</c:v>
                </c:pt>
                <c:pt idx="56">
                  <c:v>9.7857279320450394E-3</c:v>
                </c:pt>
                <c:pt idx="57">
                  <c:v>1.2366936127029301E-2</c:v>
                </c:pt>
                <c:pt idx="58">
                  <c:v>7.6135121828203598E-3</c:v>
                </c:pt>
                <c:pt idx="59">
                  <c:v>1.03497078444773E-2</c:v>
                </c:pt>
                <c:pt idx="60">
                  <c:v>1.06335631624692E-2</c:v>
                </c:pt>
                <c:pt idx="61">
                  <c:v>1.12170129353931E-2</c:v>
                </c:pt>
                <c:pt idx="62">
                  <c:v>8.1390121775827204E-3</c:v>
                </c:pt>
                <c:pt idx="63">
                  <c:v>1.12858837795687E-2</c:v>
                </c:pt>
                <c:pt idx="64">
                  <c:v>8.8371594882965601E-3</c:v>
                </c:pt>
                <c:pt idx="65">
                  <c:v>9.6073268634476999E-3</c:v>
                </c:pt>
                <c:pt idx="66">
                  <c:v>5.8010564851003E-3</c:v>
                </c:pt>
                <c:pt idx="67">
                  <c:v>1.1938572018058599E-2</c:v>
                </c:pt>
                <c:pt idx="68">
                  <c:v>7.9047458842537496E-3</c:v>
                </c:pt>
                <c:pt idx="69">
                  <c:v>1.32502177525585E-2</c:v>
                </c:pt>
                <c:pt idx="70">
                  <c:v>8.5359418057137995E-3</c:v>
                </c:pt>
                <c:pt idx="71">
                  <c:v>1.04882070875857E-2</c:v>
                </c:pt>
                <c:pt idx="72">
                  <c:v>1.06395766321875E-2</c:v>
                </c:pt>
                <c:pt idx="73">
                  <c:v>1.2170197130222301E-2</c:v>
                </c:pt>
                <c:pt idx="74">
                  <c:v>1.1056288487410099E-2</c:v>
                </c:pt>
                <c:pt idx="75">
                  <c:v>1.2005355492745199E-2</c:v>
                </c:pt>
              </c:numCache>
            </c:numRef>
          </c:val>
        </c:ser>
        <c:ser>
          <c:idx val="8"/>
          <c:order val="8"/>
          <c:tx>
            <c:strRef>
              <c:f>Unir!$J$305</c:f>
              <c:strCache>
                <c:ptCount val="1"/>
                <c:pt idx="0">
                  <c:v>HSD</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Unir!$J$306:$J$381</c:f>
              <c:numCache>
                <c:formatCode>0.0%</c:formatCode>
                <c:ptCount val="76"/>
                <c:pt idx="0">
                  <c:v>0</c:v>
                </c:pt>
                <c:pt idx="1">
                  <c:v>0</c:v>
                </c:pt>
                <c:pt idx="2">
                  <c:v>0</c:v>
                </c:pt>
                <c:pt idx="3">
                  <c:v>0</c:v>
                </c:pt>
                <c:pt idx="4">
                  <c:v>0</c:v>
                </c:pt>
                <c:pt idx="5">
                  <c:v>0</c:v>
                </c:pt>
                <c:pt idx="6">
                  <c:v>0</c:v>
                </c:pt>
                <c:pt idx="7">
                  <c:v>0</c:v>
                </c:pt>
                <c:pt idx="8">
                  <c:v>0</c:v>
                </c:pt>
                <c:pt idx="9">
                  <c:v>0</c:v>
                </c:pt>
                <c:pt idx="10">
                  <c:v>0</c:v>
                </c:pt>
                <c:pt idx="11">
                  <c:v>0</c:v>
                </c:pt>
                <c:pt idx="12">
                  <c:v>0</c:v>
                </c:pt>
                <c:pt idx="13">
                  <c:v>2.04911888445817E-2</c:v>
                </c:pt>
                <c:pt idx="14">
                  <c:v>7.94982817474639E-3</c:v>
                </c:pt>
                <c:pt idx="15">
                  <c:v>1.0878336354226199E-2</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numCache>
            </c:numRef>
          </c:val>
        </c:ser>
        <c:ser>
          <c:idx val="9"/>
          <c:order val="9"/>
          <c:tx>
            <c:strRef>
              <c:f>Unir!$K$305</c:f>
              <c:strCache>
                <c:ptCount val="1"/>
                <c:pt idx="0">
                  <c:v>JET</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Unir!$K$306:$K$381</c:f>
              <c:numCache>
                <c:formatCode>0.0%</c:formatCode>
                <c:ptCount val="76"/>
                <c:pt idx="0">
                  <c:v>8.1695217622012095E-2</c:v>
                </c:pt>
                <c:pt idx="1">
                  <c:v>7.2178688579659298E-2</c:v>
                </c:pt>
                <c:pt idx="2">
                  <c:v>7.6432116086806695E-2</c:v>
                </c:pt>
                <c:pt idx="3">
                  <c:v>9.0828592041056103E-2</c:v>
                </c:pt>
                <c:pt idx="4">
                  <c:v>8.3396361757133802E-2</c:v>
                </c:pt>
                <c:pt idx="5">
                  <c:v>7.8739684392704706E-2</c:v>
                </c:pt>
                <c:pt idx="6">
                  <c:v>7.7519876881722197E-2</c:v>
                </c:pt>
                <c:pt idx="7">
                  <c:v>8.3522981521448394E-2</c:v>
                </c:pt>
                <c:pt idx="8">
                  <c:v>7.78602106409991E-2</c:v>
                </c:pt>
                <c:pt idx="9">
                  <c:v>7.4727344572677101E-2</c:v>
                </c:pt>
                <c:pt idx="10">
                  <c:v>7.4000767600925305E-2</c:v>
                </c:pt>
                <c:pt idx="11">
                  <c:v>7.5561016845242607E-2</c:v>
                </c:pt>
                <c:pt idx="12">
                  <c:v>6.9632190928835602E-2</c:v>
                </c:pt>
                <c:pt idx="13">
                  <c:v>7.4767666346042996E-2</c:v>
                </c:pt>
                <c:pt idx="14">
                  <c:v>7.1387376945339406E-2</c:v>
                </c:pt>
                <c:pt idx="15">
                  <c:v>6.6257136542231407E-2</c:v>
                </c:pt>
                <c:pt idx="16">
                  <c:v>7.5531720179772693E-2</c:v>
                </c:pt>
                <c:pt idx="17">
                  <c:v>7.6959209078113405E-2</c:v>
                </c:pt>
                <c:pt idx="18">
                  <c:v>8.7719962817488506E-2</c:v>
                </c:pt>
                <c:pt idx="19">
                  <c:v>8.2007231673925596E-2</c:v>
                </c:pt>
                <c:pt idx="20">
                  <c:v>8.4379017839734394E-2</c:v>
                </c:pt>
                <c:pt idx="21">
                  <c:v>7.8441079390422594E-2</c:v>
                </c:pt>
                <c:pt idx="22">
                  <c:v>7.4881867046575998E-2</c:v>
                </c:pt>
                <c:pt idx="23">
                  <c:v>8.1128045337188995E-2</c:v>
                </c:pt>
                <c:pt idx="24">
                  <c:v>8.0428950389633505E-2</c:v>
                </c:pt>
                <c:pt idx="25">
                  <c:v>7.9019493738713004E-2</c:v>
                </c:pt>
                <c:pt idx="26">
                  <c:v>7.7461520496033401E-2</c:v>
                </c:pt>
                <c:pt idx="27">
                  <c:v>7.8206773150615999E-2</c:v>
                </c:pt>
                <c:pt idx="28">
                  <c:v>6.9943340354684497E-2</c:v>
                </c:pt>
                <c:pt idx="29">
                  <c:v>6.4573830061343193E-2</c:v>
                </c:pt>
                <c:pt idx="30">
                  <c:v>7.4298730850014996E-2</c:v>
                </c:pt>
                <c:pt idx="31">
                  <c:v>7.6074952203171495E-2</c:v>
                </c:pt>
                <c:pt idx="32">
                  <c:v>7.8907681856718495E-2</c:v>
                </c:pt>
                <c:pt idx="33">
                  <c:v>5.9783795363129701E-2</c:v>
                </c:pt>
                <c:pt idx="34">
                  <c:v>7.3642548922868506E-2</c:v>
                </c:pt>
                <c:pt idx="35">
                  <c:v>6.7509259402006597E-2</c:v>
                </c:pt>
                <c:pt idx="36">
                  <c:v>7.1516939677432001E-2</c:v>
                </c:pt>
                <c:pt idx="37">
                  <c:v>7.0437670276280395E-2</c:v>
                </c:pt>
                <c:pt idx="38">
                  <c:v>6.5638290783777101E-2</c:v>
                </c:pt>
                <c:pt idx="39">
                  <c:v>6.8119979631748706E-2</c:v>
                </c:pt>
                <c:pt idx="40">
                  <c:v>7.1316441413819306E-2</c:v>
                </c:pt>
                <c:pt idx="41">
                  <c:v>7.4811615171427703E-2</c:v>
                </c:pt>
                <c:pt idx="42">
                  <c:v>7.6257792981638303E-2</c:v>
                </c:pt>
                <c:pt idx="43">
                  <c:v>8.2105772727659704E-2</c:v>
                </c:pt>
                <c:pt idx="44">
                  <c:v>7.52433974363899E-2</c:v>
                </c:pt>
                <c:pt idx="45">
                  <c:v>7.6846662250227196E-2</c:v>
                </c:pt>
                <c:pt idx="46">
                  <c:v>8.1845185721445696E-2</c:v>
                </c:pt>
                <c:pt idx="47">
                  <c:v>7.0745207592156606E-2</c:v>
                </c:pt>
                <c:pt idx="48">
                  <c:v>8.1874441382952995E-2</c:v>
                </c:pt>
                <c:pt idx="49">
                  <c:v>7.3907067183261302E-2</c:v>
                </c:pt>
                <c:pt idx="50">
                  <c:v>6.4924846180326498E-2</c:v>
                </c:pt>
                <c:pt idx="51">
                  <c:v>7.4872810764453096E-2</c:v>
                </c:pt>
                <c:pt idx="52">
                  <c:v>7.2427617486732196E-2</c:v>
                </c:pt>
                <c:pt idx="53">
                  <c:v>6.7412486994426896E-2</c:v>
                </c:pt>
                <c:pt idx="54">
                  <c:v>7.9606765693870193E-2</c:v>
                </c:pt>
                <c:pt idx="55">
                  <c:v>7.6482344835216806E-2</c:v>
                </c:pt>
                <c:pt idx="56">
                  <c:v>7.6471386645432293E-2</c:v>
                </c:pt>
                <c:pt idx="57">
                  <c:v>7.8986483831222407E-2</c:v>
                </c:pt>
                <c:pt idx="58">
                  <c:v>7.3500572905349504E-2</c:v>
                </c:pt>
                <c:pt idx="59">
                  <c:v>7.4806039707625005E-2</c:v>
                </c:pt>
                <c:pt idx="60">
                  <c:v>7.2971130723873096E-2</c:v>
                </c:pt>
                <c:pt idx="61">
                  <c:v>7.1204867139114794E-2</c:v>
                </c:pt>
                <c:pt idx="62">
                  <c:v>6.8430883595103506E-2</c:v>
                </c:pt>
                <c:pt idx="63">
                  <c:v>6.8203409957554695E-2</c:v>
                </c:pt>
                <c:pt idx="64">
                  <c:v>7.2622585808769805E-2</c:v>
                </c:pt>
                <c:pt idx="65">
                  <c:v>7.8023848765783596E-2</c:v>
                </c:pt>
                <c:pt idx="66">
                  <c:v>6.3825542574894506E-2</c:v>
                </c:pt>
                <c:pt idx="67">
                  <c:v>6.2206150351264797E-2</c:v>
                </c:pt>
                <c:pt idx="68">
                  <c:v>6.4145098459771593E-2</c:v>
                </c:pt>
                <c:pt idx="69">
                  <c:v>6.9703727680837102E-2</c:v>
                </c:pt>
                <c:pt idx="70">
                  <c:v>6.3993254308130104E-2</c:v>
                </c:pt>
                <c:pt idx="71">
                  <c:v>6.9809129195366901E-2</c:v>
                </c:pt>
                <c:pt idx="72">
                  <c:v>6.4129453875421905E-2</c:v>
                </c:pt>
                <c:pt idx="73">
                  <c:v>6.2725843358960295E-2</c:v>
                </c:pt>
                <c:pt idx="74">
                  <c:v>6.2155559830672502E-2</c:v>
                </c:pt>
                <c:pt idx="75">
                  <c:v>6.7694510176807804E-2</c:v>
                </c:pt>
              </c:numCache>
            </c:numRef>
          </c:val>
        </c:ser>
        <c:ser>
          <c:idx val="10"/>
          <c:order val="10"/>
          <c:tx>
            <c:strRef>
              <c:f>Unir!$L$305</c:f>
              <c:strCache>
                <c:ptCount val="1"/>
                <c:pt idx="0">
                  <c:v>JET I</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Unir!$L$306:$L$381</c:f>
              <c:numCache>
                <c:formatCode>0.0%</c:formatCode>
                <c:ptCount val="7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7.7238084044620103E-3</c:v>
                </c:pt>
                <c:pt idx="67">
                  <c:v>7.0926520878927899E-3</c:v>
                </c:pt>
                <c:pt idx="68">
                  <c:v>9.86377108335737E-3</c:v>
                </c:pt>
                <c:pt idx="69">
                  <c:v>4.1914989902160299E-3</c:v>
                </c:pt>
                <c:pt idx="70">
                  <c:v>1.195665317869E-2</c:v>
                </c:pt>
                <c:pt idx="71">
                  <c:v>7.5627311298725004E-3</c:v>
                </c:pt>
                <c:pt idx="72">
                  <c:v>7.8239539067626908E-3</c:v>
                </c:pt>
                <c:pt idx="73">
                  <c:v>6.6141805126250404E-3</c:v>
                </c:pt>
                <c:pt idx="74">
                  <c:v>4.4088592461159499E-3</c:v>
                </c:pt>
                <c:pt idx="75">
                  <c:v>8.1576917291734594E-3</c:v>
                </c:pt>
              </c:numCache>
            </c:numRef>
          </c:val>
        </c:ser>
        <c:ser>
          <c:idx val="11"/>
          <c:order val="11"/>
          <c:tx>
            <c:strRef>
              <c:f>Unir!$M$305</c:f>
              <c:strCache>
                <c:ptCount val="1"/>
                <c:pt idx="0">
                  <c:v>K</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Unir!$M$306:$M$381</c:f>
              <c:numCache>
                <c:formatCode>0.0%</c:formatCode>
                <c:ptCount val="76"/>
                <c:pt idx="0">
                  <c:v>4.8274889055494102E-3</c:v>
                </c:pt>
                <c:pt idx="1">
                  <c:v>3.9275607450925901E-3</c:v>
                </c:pt>
                <c:pt idx="2">
                  <c:v>5.5669573416367198E-3</c:v>
                </c:pt>
                <c:pt idx="3">
                  <c:v>4.5641733441093603E-3</c:v>
                </c:pt>
                <c:pt idx="4">
                  <c:v>4.4377842166957596E-3</c:v>
                </c:pt>
                <c:pt idx="5">
                  <c:v>4.9700264262591502E-3</c:v>
                </c:pt>
                <c:pt idx="6">
                  <c:v>5.0300368722815802E-3</c:v>
                </c:pt>
                <c:pt idx="7">
                  <c:v>5.1076046024226204E-3</c:v>
                </c:pt>
                <c:pt idx="8">
                  <c:v>3.73248123933854E-3</c:v>
                </c:pt>
                <c:pt idx="9">
                  <c:v>3.8090513427820102E-3</c:v>
                </c:pt>
                <c:pt idx="10">
                  <c:v>4.1035374621437304E-3</c:v>
                </c:pt>
                <c:pt idx="11">
                  <c:v>3.8405219572926899E-3</c:v>
                </c:pt>
                <c:pt idx="12">
                  <c:v>4.24708653428983E-3</c:v>
                </c:pt>
                <c:pt idx="13">
                  <c:v>3.3620165349236499E-3</c:v>
                </c:pt>
                <c:pt idx="14">
                  <c:v>3.8388300019517401E-3</c:v>
                </c:pt>
                <c:pt idx="15">
                  <c:v>3.9541976013855E-3</c:v>
                </c:pt>
                <c:pt idx="16">
                  <c:v>4.4652779104696798E-3</c:v>
                </c:pt>
                <c:pt idx="17">
                  <c:v>7.1596288996423601E-3</c:v>
                </c:pt>
                <c:pt idx="18">
                  <c:v>7.3715641453115897E-3</c:v>
                </c:pt>
                <c:pt idx="19">
                  <c:v>7.0526164398079603E-3</c:v>
                </c:pt>
                <c:pt idx="20">
                  <c:v>5.8230008604121001E-3</c:v>
                </c:pt>
                <c:pt idx="21">
                  <c:v>3.72758378706158E-3</c:v>
                </c:pt>
                <c:pt idx="22">
                  <c:v>3.9529818063351197E-3</c:v>
                </c:pt>
                <c:pt idx="23">
                  <c:v>3.6455307535937999E-3</c:v>
                </c:pt>
                <c:pt idx="24">
                  <c:v>3.43017715598776E-3</c:v>
                </c:pt>
                <c:pt idx="25">
                  <c:v>2.8670367606333002E-3</c:v>
                </c:pt>
                <c:pt idx="26">
                  <c:v>2.90847038792162E-3</c:v>
                </c:pt>
                <c:pt idx="27">
                  <c:v>4.3432433228778001E-3</c:v>
                </c:pt>
                <c:pt idx="28">
                  <c:v>3.2424057507137701E-3</c:v>
                </c:pt>
                <c:pt idx="29">
                  <c:v>4.4243268006632199E-3</c:v>
                </c:pt>
                <c:pt idx="30">
                  <c:v>4.2182619553261897E-3</c:v>
                </c:pt>
                <c:pt idx="31">
                  <c:v>3.9240925660932596E-3</c:v>
                </c:pt>
                <c:pt idx="32">
                  <c:v>4.8328255696588598E-3</c:v>
                </c:pt>
                <c:pt idx="33">
                  <c:v>3.6644133307653102E-3</c:v>
                </c:pt>
                <c:pt idx="34">
                  <c:v>5.24436722600332E-3</c:v>
                </c:pt>
                <c:pt idx="35">
                  <c:v>5.5165785900208901E-3</c:v>
                </c:pt>
                <c:pt idx="36">
                  <c:v>4.4000296559399696E-3</c:v>
                </c:pt>
                <c:pt idx="37">
                  <c:v>4.9061732151150401E-3</c:v>
                </c:pt>
                <c:pt idx="38">
                  <c:v>4.6173731400315299E-3</c:v>
                </c:pt>
                <c:pt idx="39">
                  <c:v>4.6983838762535502E-3</c:v>
                </c:pt>
                <c:pt idx="40">
                  <c:v>9.3000971418812899E-3</c:v>
                </c:pt>
                <c:pt idx="41">
                  <c:v>6.3321289465539301E-3</c:v>
                </c:pt>
                <c:pt idx="42">
                  <c:v>3.96978342159087E-3</c:v>
                </c:pt>
                <c:pt idx="43">
                  <c:v>3.8716244778575801E-3</c:v>
                </c:pt>
                <c:pt idx="44">
                  <c:v>4.3965872161154098E-3</c:v>
                </c:pt>
                <c:pt idx="45">
                  <c:v>4.7740683110200398E-3</c:v>
                </c:pt>
                <c:pt idx="46">
                  <c:v>4.2059364036308999E-3</c:v>
                </c:pt>
                <c:pt idx="47">
                  <c:v>5.4721355557617096E-3</c:v>
                </c:pt>
                <c:pt idx="48">
                  <c:v>6.5371635716737399E-3</c:v>
                </c:pt>
                <c:pt idx="49">
                  <c:v>8.5095067605489207E-3</c:v>
                </c:pt>
                <c:pt idx="50">
                  <c:v>1.1560072073766201E-2</c:v>
                </c:pt>
                <c:pt idx="51">
                  <c:v>1.00229934441278E-2</c:v>
                </c:pt>
                <c:pt idx="52">
                  <c:v>9.2930954548391797E-3</c:v>
                </c:pt>
                <c:pt idx="53">
                  <c:v>7.9029124262484599E-3</c:v>
                </c:pt>
                <c:pt idx="54">
                  <c:v>7.74332401957613E-3</c:v>
                </c:pt>
                <c:pt idx="55">
                  <c:v>6.8608961108847996E-3</c:v>
                </c:pt>
                <c:pt idx="56">
                  <c:v>5.7283078401479601E-3</c:v>
                </c:pt>
                <c:pt idx="57">
                  <c:v>6.7407470763512101E-3</c:v>
                </c:pt>
                <c:pt idx="58">
                  <c:v>6.2019241553526302E-3</c:v>
                </c:pt>
                <c:pt idx="59">
                  <c:v>8.5325673824453094E-3</c:v>
                </c:pt>
                <c:pt idx="60">
                  <c:v>5.4254879751470296E-3</c:v>
                </c:pt>
                <c:pt idx="61">
                  <c:v>6.3459220156039499E-3</c:v>
                </c:pt>
                <c:pt idx="62">
                  <c:v>4.9635173726227597E-3</c:v>
                </c:pt>
                <c:pt idx="63">
                  <c:v>7.1369199610012797E-3</c:v>
                </c:pt>
                <c:pt idx="64">
                  <c:v>4.9236158450801102E-3</c:v>
                </c:pt>
                <c:pt idx="65">
                  <c:v>5.4898715999224402E-3</c:v>
                </c:pt>
                <c:pt idx="66">
                  <c:v>8.8149093324687601E-3</c:v>
                </c:pt>
                <c:pt idx="67">
                  <c:v>7.7535309920575696E-3</c:v>
                </c:pt>
                <c:pt idx="68">
                  <c:v>5.8803633881653198E-3</c:v>
                </c:pt>
                <c:pt idx="69">
                  <c:v>4.4921090624330797E-3</c:v>
                </c:pt>
                <c:pt idx="70">
                  <c:v>5.0011045485197098E-3</c:v>
                </c:pt>
                <c:pt idx="71">
                  <c:v>5.3529628055350798E-3</c:v>
                </c:pt>
                <c:pt idx="72">
                  <c:v>4.6833996256490998E-3</c:v>
                </c:pt>
                <c:pt idx="73">
                  <c:v>5.9064631977741597E-3</c:v>
                </c:pt>
                <c:pt idx="74">
                  <c:v>7.2404039111472899E-3</c:v>
                </c:pt>
                <c:pt idx="75">
                  <c:v>5.25338790470334E-3</c:v>
                </c:pt>
              </c:numCache>
            </c:numRef>
          </c:val>
        </c:ser>
        <c:ser>
          <c:idx val="12"/>
          <c:order val="12"/>
          <c:tx>
            <c:strRef>
              <c:f>Unir!$N$305</c:f>
              <c:strCache>
                <c:ptCount val="1"/>
                <c:pt idx="0">
                  <c:v>NAT</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Unir!$N$306:$N$381</c:f>
              <c:numCache>
                <c:formatCode>0.0%</c:formatCode>
                <c:ptCount val="76"/>
                <c:pt idx="0">
                  <c:v>0.109213883962775</c:v>
                </c:pt>
                <c:pt idx="1">
                  <c:v>8.4680061773285506E-2</c:v>
                </c:pt>
                <c:pt idx="2">
                  <c:v>0.100537248396144</c:v>
                </c:pt>
                <c:pt idx="3">
                  <c:v>0.10469865947693401</c:v>
                </c:pt>
                <c:pt idx="4">
                  <c:v>0.124136162928251</c:v>
                </c:pt>
                <c:pt idx="5">
                  <c:v>0.12090696686001599</c:v>
                </c:pt>
                <c:pt idx="6">
                  <c:v>0.120880415983698</c:v>
                </c:pt>
                <c:pt idx="7">
                  <c:v>9.4542870887673505E-2</c:v>
                </c:pt>
                <c:pt idx="8">
                  <c:v>0.130208480906642</c:v>
                </c:pt>
                <c:pt idx="9">
                  <c:v>0.164256639228302</c:v>
                </c:pt>
                <c:pt idx="10">
                  <c:v>0.13991758613800201</c:v>
                </c:pt>
                <c:pt idx="11">
                  <c:v>0.159967023975704</c:v>
                </c:pt>
                <c:pt idx="12">
                  <c:v>0.15208585925447299</c:v>
                </c:pt>
                <c:pt idx="13">
                  <c:v>0.20316707619757299</c:v>
                </c:pt>
                <c:pt idx="14">
                  <c:v>0.21188921496653601</c:v>
                </c:pt>
                <c:pt idx="15">
                  <c:v>0.204613985053508</c:v>
                </c:pt>
                <c:pt idx="16">
                  <c:v>0.18780867627344799</c:v>
                </c:pt>
                <c:pt idx="17">
                  <c:v>0.21156953697067099</c:v>
                </c:pt>
                <c:pt idx="18">
                  <c:v>0.18235029351374599</c:v>
                </c:pt>
                <c:pt idx="19">
                  <c:v>0.21084430266089599</c:v>
                </c:pt>
                <c:pt idx="20">
                  <c:v>0.22368526254632001</c:v>
                </c:pt>
                <c:pt idx="21">
                  <c:v>0.23037448046168299</c:v>
                </c:pt>
                <c:pt idx="22">
                  <c:v>0.28595459851166899</c:v>
                </c:pt>
                <c:pt idx="23">
                  <c:v>0.24501005097147999</c:v>
                </c:pt>
                <c:pt idx="24">
                  <c:v>0.30578057074786702</c:v>
                </c:pt>
                <c:pt idx="25">
                  <c:v>0.24803141767725401</c:v>
                </c:pt>
                <c:pt idx="26">
                  <c:v>0.176785476608429</c:v>
                </c:pt>
                <c:pt idx="27">
                  <c:v>0.157495171793093</c:v>
                </c:pt>
                <c:pt idx="28">
                  <c:v>0.15373255556376</c:v>
                </c:pt>
                <c:pt idx="29">
                  <c:v>0.17480560352326799</c:v>
                </c:pt>
                <c:pt idx="30">
                  <c:v>0.148769959149574</c:v>
                </c:pt>
                <c:pt idx="31">
                  <c:v>0.14485321209275101</c:v>
                </c:pt>
                <c:pt idx="32">
                  <c:v>0.16710201976762201</c:v>
                </c:pt>
                <c:pt idx="33">
                  <c:v>0.14971900294926099</c:v>
                </c:pt>
                <c:pt idx="34">
                  <c:v>0.15828078492176501</c:v>
                </c:pt>
                <c:pt idx="35">
                  <c:v>0.15458659671090699</c:v>
                </c:pt>
                <c:pt idx="36">
                  <c:v>0.16986622018001499</c:v>
                </c:pt>
                <c:pt idx="37">
                  <c:v>0.16253167940559099</c:v>
                </c:pt>
                <c:pt idx="38">
                  <c:v>0.188635299653231</c:v>
                </c:pt>
                <c:pt idx="39">
                  <c:v>0.14620492102173299</c:v>
                </c:pt>
                <c:pt idx="40">
                  <c:v>0.14446800357467299</c:v>
                </c:pt>
                <c:pt idx="41">
                  <c:v>0.141905870106348</c:v>
                </c:pt>
                <c:pt idx="42">
                  <c:v>0.15354195597957099</c:v>
                </c:pt>
                <c:pt idx="43">
                  <c:v>0.13872698147637699</c:v>
                </c:pt>
                <c:pt idx="44">
                  <c:v>0.160632591552822</c:v>
                </c:pt>
                <c:pt idx="45">
                  <c:v>0.14258189157127699</c:v>
                </c:pt>
                <c:pt idx="46">
                  <c:v>0.162640975664086</c:v>
                </c:pt>
                <c:pt idx="47">
                  <c:v>0.131673570018812</c:v>
                </c:pt>
                <c:pt idx="48">
                  <c:v>0.15285343093020101</c:v>
                </c:pt>
                <c:pt idx="49">
                  <c:v>0.156684495988547</c:v>
                </c:pt>
                <c:pt idx="50">
                  <c:v>0.16555944544397999</c:v>
                </c:pt>
                <c:pt idx="51">
                  <c:v>0.14152888409543499</c:v>
                </c:pt>
                <c:pt idx="52">
                  <c:v>0.15272657171939499</c:v>
                </c:pt>
                <c:pt idx="53">
                  <c:v>0.13426044762008299</c:v>
                </c:pt>
                <c:pt idx="54">
                  <c:v>0.11689620477745701</c:v>
                </c:pt>
                <c:pt idx="55">
                  <c:v>0.12332905847503201</c:v>
                </c:pt>
                <c:pt idx="56">
                  <c:v>0.14033192978139999</c:v>
                </c:pt>
                <c:pt idx="57">
                  <c:v>0.11220893541966701</c:v>
                </c:pt>
                <c:pt idx="58">
                  <c:v>9.7832453337725903E-2</c:v>
                </c:pt>
                <c:pt idx="59">
                  <c:v>0.116783341246619</c:v>
                </c:pt>
                <c:pt idx="60">
                  <c:v>0.132479189947319</c:v>
                </c:pt>
                <c:pt idx="61">
                  <c:v>0.13306611708193899</c:v>
                </c:pt>
                <c:pt idx="62">
                  <c:v>0.13639518636664799</c:v>
                </c:pt>
                <c:pt idx="63">
                  <c:v>0.127300331505762</c:v>
                </c:pt>
                <c:pt idx="64">
                  <c:v>0.13390312481177699</c:v>
                </c:pt>
                <c:pt idx="65">
                  <c:v>0.149608952869487</c:v>
                </c:pt>
                <c:pt idx="66">
                  <c:v>0.14432625009706501</c:v>
                </c:pt>
                <c:pt idx="67">
                  <c:v>0.15981911702035301</c:v>
                </c:pt>
                <c:pt idx="68">
                  <c:v>0.15241012803773399</c:v>
                </c:pt>
                <c:pt idx="69">
                  <c:v>0.152658790623795</c:v>
                </c:pt>
                <c:pt idx="70">
                  <c:v>0.12919407694712001</c:v>
                </c:pt>
                <c:pt idx="71">
                  <c:v>0.137940649407675</c:v>
                </c:pt>
                <c:pt idx="72">
                  <c:v>0.15083971905459501</c:v>
                </c:pt>
                <c:pt idx="73">
                  <c:v>0.13409316605116101</c:v>
                </c:pt>
                <c:pt idx="74">
                  <c:v>0.13316635827559101</c:v>
                </c:pt>
                <c:pt idx="75">
                  <c:v>0.14021650143837</c:v>
                </c:pt>
              </c:numCache>
            </c:numRef>
          </c:val>
        </c:ser>
        <c:ser>
          <c:idx val="13"/>
          <c:order val="13"/>
          <c:tx>
            <c:strRef>
              <c:f>Unir!$O$305</c:f>
              <c:strCache>
                <c:ptCount val="1"/>
                <c:pt idx="0">
                  <c:v>NATI</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Unir!$O$306:$O$381</c:f>
              <c:numCache>
                <c:formatCode>0.0%</c:formatCode>
                <c:ptCount val="7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3.7229500827475698E-2</c:v>
                </c:pt>
                <c:pt idx="27">
                  <c:v>9.0618412276636806E-2</c:v>
                </c:pt>
                <c:pt idx="28">
                  <c:v>0.12372326921143401</c:v>
                </c:pt>
                <c:pt idx="29">
                  <c:v>0.14879024836907501</c:v>
                </c:pt>
                <c:pt idx="30">
                  <c:v>0.132074420528036</c:v>
                </c:pt>
                <c:pt idx="31">
                  <c:v>0.14467193000370299</c:v>
                </c:pt>
                <c:pt idx="32">
                  <c:v>0.122598875825846</c:v>
                </c:pt>
                <c:pt idx="33">
                  <c:v>0.123855106121653</c:v>
                </c:pt>
                <c:pt idx="34">
                  <c:v>0.15384023349787301</c:v>
                </c:pt>
                <c:pt idx="35">
                  <c:v>0.13150413355372301</c:v>
                </c:pt>
                <c:pt idx="36">
                  <c:v>0.153930839450581</c:v>
                </c:pt>
                <c:pt idx="37">
                  <c:v>0.148958269319694</c:v>
                </c:pt>
                <c:pt idx="38">
                  <c:v>0.15593761300838799</c:v>
                </c:pt>
                <c:pt idx="39">
                  <c:v>0.14686369499103299</c:v>
                </c:pt>
                <c:pt idx="40">
                  <c:v>9.7250523774769698E-2</c:v>
                </c:pt>
                <c:pt idx="41">
                  <c:v>0.13913801481614099</c:v>
                </c:pt>
                <c:pt idx="42">
                  <c:v>0.12875543196947301</c:v>
                </c:pt>
                <c:pt idx="43">
                  <c:v>0.13924291795360499</c:v>
                </c:pt>
                <c:pt idx="44">
                  <c:v>0.142297171062651</c:v>
                </c:pt>
                <c:pt idx="45">
                  <c:v>9.5282071823629994E-2</c:v>
                </c:pt>
                <c:pt idx="46">
                  <c:v>0.145867461157209</c:v>
                </c:pt>
                <c:pt idx="47">
                  <c:v>0.117721905093009</c:v>
                </c:pt>
                <c:pt idx="48">
                  <c:v>0.14940957565320001</c:v>
                </c:pt>
                <c:pt idx="49">
                  <c:v>0.14762978460033399</c:v>
                </c:pt>
                <c:pt idx="50">
                  <c:v>0.144825711244912</c:v>
                </c:pt>
                <c:pt idx="51">
                  <c:v>0.11283264504334301</c:v>
                </c:pt>
                <c:pt idx="52">
                  <c:v>0.13691775982957499</c:v>
                </c:pt>
                <c:pt idx="53">
                  <c:v>0.13518168522996199</c:v>
                </c:pt>
                <c:pt idx="54">
                  <c:v>0.124259866603092</c:v>
                </c:pt>
                <c:pt idx="55">
                  <c:v>0.109782384566253</c:v>
                </c:pt>
                <c:pt idx="56">
                  <c:v>0.14003946315451499</c:v>
                </c:pt>
                <c:pt idx="57">
                  <c:v>9.7999967637016697E-2</c:v>
                </c:pt>
                <c:pt idx="58">
                  <c:v>9.9793835642665599E-2</c:v>
                </c:pt>
                <c:pt idx="59">
                  <c:v>0.109774386036661</c:v>
                </c:pt>
                <c:pt idx="60">
                  <c:v>0.119091326040629</c:v>
                </c:pt>
                <c:pt idx="61">
                  <c:v>0.13102416921759999</c:v>
                </c:pt>
                <c:pt idx="62">
                  <c:v>0.159219484215541</c:v>
                </c:pt>
                <c:pt idx="63">
                  <c:v>0.117764840528423</c:v>
                </c:pt>
                <c:pt idx="64">
                  <c:v>0.12527069217020001</c:v>
                </c:pt>
                <c:pt idx="65">
                  <c:v>0.11891301449840599</c:v>
                </c:pt>
                <c:pt idx="66">
                  <c:v>0.13871729145113301</c:v>
                </c:pt>
                <c:pt idx="67">
                  <c:v>0.15713419033162301</c:v>
                </c:pt>
                <c:pt idx="68">
                  <c:v>0.13104966768006299</c:v>
                </c:pt>
                <c:pt idx="69">
                  <c:v>0.14590400407540799</c:v>
                </c:pt>
                <c:pt idx="70">
                  <c:v>0.12151375947535301</c:v>
                </c:pt>
                <c:pt idx="71">
                  <c:v>0.13245447218121201</c:v>
                </c:pt>
                <c:pt idx="72">
                  <c:v>0.112696174698056</c:v>
                </c:pt>
                <c:pt idx="73">
                  <c:v>0.12508378919988999</c:v>
                </c:pt>
                <c:pt idx="74">
                  <c:v>0.129295904943282</c:v>
                </c:pt>
                <c:pt idx="75">
                  <c:v>0.142732696288386</c:v>
                </c:pt>
              </c:numCache>
            </c:numRef>
          </c:val>
        </c:ser>
        <c:ser>
          <c:idx val="14"/>
          <c:order val="14"/>
          <c:tx>
            <c:strRef>
              <c:f>Unir!$P$305</c:f>
              <c:strCache>
                <c:ptCount val="1"/>
                <c:pt idx="0">
                  <c:v>VOIL</c:v>
                </c:pt>
              </c:strCache>
            </c:strRef>
          </c:tx>
          <c:cat>
            <c:strRef>
              <c:f>Unir!$A$306:$A$381</c:f>
              <c:strCache>
                <c:ptCount val="76"/>
                <c:pt idx="0">
                  <c:v>2009 Ene</c:v>
                </c:pt>
                <c:pt idx="1">
                  <c:v>2009 Feb</c:v>
                </c:pt>
                <c:pt idx="2">
                  <c:v>2009 Mar</c:v>
                </c:pt>
                <c:pt idx="3">
                  <c:v>2009 Abr</c:v>
                </c:pt>
                <c:pt idx="4">
                  <c:v>2009 May</c:v>
                </c:pt>
                <c:pt idx="5">
                  <c:v>2009 Jun</c:v>
                </c:pt>
                <c:pt idx="6">
                  <c:v>2009 Jul</c:v>
                </c:pt>
                <c:pt idx="7">
                  <c:v>2009 Ago</c:v>
                </c:pt>
                <c:pt idx="8">
                  <c:v>2009 Sep</c:v>
                </c:pt>
                <c:pt idx="9">
                  <c:v>2009 Oct</c:v>
                </c:pt>
                <c:pt idx="10">
                  <c:v>2009 Nov</c:v>
                </c:pt>
                <c:pt idx="11">
                  <c:v>2009 Dic</c:v>
                </c:pt>
                <c:pt idx="12">
                  <c:v>2010 Ene</c:v>
                </c:pt>
                <c:pt idx="13">
                  <c:v>2010 Feb</c:v>
                </c:pt>
                <c:pt idx="14">
                  <c:v>2010 Mar</c:v>
                </c:pt>
                <c:pt idx="15">
                  <c:v>2010 Abr</c:v>
                </c:pt>
                <c:pt idx="16">
                  <c:v>2010 May</c:v>
                </c:pt>
                <c:pt idx="17">
                  <c:v>2010 Jun</c:v>
                </c:pt>
                <c:pt idx="18">
                  <c:v>2010 Jul</c:v>
                </c:pt>
                <c:pt idx="19">
                  <c:v>2010 Ago</c:v>
                </c:pt>
                <c:pt idx="20">
                  <c:v>2010 Sep</c:v>
                </c:pt>
                <c:pt idx="21">
                  <c:v>2010 Oct</c:v>
                </c:pt>
                <c:pt idx="22">
                  <c:v>2010 Nov</c:v>
                </c:pt>
                <c:pt idx="23">
                  <c:v>2010 Dic</c:v>
                </c:pt>
                <c:pt idx="24">
                  <c:v>2011 Ene</c:v>
                </c:pt>
                <c:pt idx="25">
                  <c:v>2011 Feb</c:v>
                </c:pt>
                <c:pt idx="26">
                  <c:v>2011 Mar</c:v>
                </c:pt>
                <c:pt idx="27">
                  <c:v>2011 Abr</c:v>
                </c:pt>
                <c:pt idx="28">
                  <c:v>2011 May</c:v>
                </c:pt>
                <c:pt idx="29">
                  <c:v>2011 Jun</c:v>
                </c:pt>
                <c:pt idx="30">
                  <c:v>2011 Jul</c:v>
                </c:pt>
                <c:pt idx="31">
                  <c:v>2011 Ago</c:v>
                </c:pt>
                <c:pt idx="32">
                  <c:v>2011 Sep</c:v>
                </c:pt>
                <c:pt idx="33">
                  <c:v>2011 Oct</c:v>
                </c:pt>
                <c:pt idx="34">
                  <c:v>2011 Nov</c:v>
                </c:pt>
                <c:pt idx="35">
                  <c:v>2011 Dic</c:v>
                </c:pt>
                <c:pt idx="36">
                  <c:v>2012 Ene</c:v>
                </c:pt>
                <c:pt idx="37">
                  <c:v>2012 Feb</c:v>
                </c:pt>
                <c:pt idx="38">
                  <c:v>2012 Mar</c:v>
                </c:pt>
                <c:pt idx="39">
                  <c:v>2012 Abr</c:v>
                </c:pt>
                <c:pt idx="40">
                  <c:v>2012 May</c:v>
                </c:pt>
                <c:pt idx="41">
                  <c:v>2012 Jun</c:v>
                </c:pt>
                <c:pt idx="42">
                  <c:v>2012 Jul</c:v>
                </c:pt>
                <c:pt idx="43">
                  <c:v>2012 Ago</c:v>
                </c:pt>
                <c:pt idx="44">
                  <c:v>2012 Sep</c:v>
                </c:pt>
                <c:pt idx="45">
                  <c:v>2012 Oct</c:v>
                </c:pt>
                <c:pt idx="46">
                  <c:v>2012 Nov</c:v>
                </c:pt>
                <c:pt idx="47">
                  <c:v>2012 Dic</c:v>
                </c:pt>
                <c:pt idx="48">
                  <c:v>2013 Ene</c:v>
                </c:pt>
                <c:pt idx="49">
                  <c:v>2013 Feb</c:v>
                </c:pt>
                <c:pt idx="50">
                  <c:v>2013 Mar</c:v>
                </c:pt>
                <c:pt idx="51">
                  <c:v>2013 Abr</c:v>
                </c:pt>
                <c:pt idx="52">
                  <c:v>2013 May</c:v>
                </c:pt>
                <c:pt idx="53">
                  <c:v>2013 Jun</c:v>
                </c:pt>
                <c:pt idx="54">
                  <c:v>2013 Jul</c:v>
                </c:pt>
                <c:pt idx="55">
                  <c:v>2013 Ago</c:v>
                </c:pt>
                <c:pt idx="56">
                  <c:v>2013 Sep</c:v>
                </c:pt>
                <c:pt idx="57">
                  <c:v>2013 Oct</c:v>
                </c:pt>
                <c:pt idx="58">
                  <c:v>2013 Nov</c:v>
                </c:pt>
                <c:pt idx="59">
                  <c:v>2013 Dic</c:v>
                </c:pt>
                <c:pt idx="60">
                  <c:v>2014 Ene</c:v>
                </c:pt>
                <c:pt idx="61">
                  <c:v>2014 Feb</c:v>
                </c:pt>
                <c:pt idx="62">
                  <c:v>2014 Mar</c:v>
                </c:pt>
                <c:pt idx="63">
                  <c:v>2014 Abr</c:v>
                </c:pt>
                <c:pt idx="64">
                  <c:v>2014 May</c:v>
                </c:pt>
                <c:pt idx="65">
                  <c:v>2014 Jun</c:v>
                </c:pt>
                <c:pt idx="66">
                  <c:v>2014 Jul</c:v>
                </c:pt>
                <c:pt idx="67">
                  <c:v>2014 Ago</c:v>
                </c:pt>
                <c:pt idx="68">
                  <c:v>2014 Sep</c:v>
                </c:pt>
                <c:pt idx="69">
                  <c:v>2014 Oct</c:v>
                </c:pt>
                <c:pt idx="70">
                  <c:v>2014 Nov</c:v>
                </c:pt>
                <c:pt idx="71">
                  <c:v>2014 Dic</c:v>
                </c:pt>
                <c:pt idx="72">
                  <c:v>2015 Ene</c:v>
                </c:pt>
                <c:pt idx="73">
                  <c:v>2015 Feb</c:v>
                </c:pt>
                <c:pt idx="74">
                  <c:v>2015 Mar</c:v>
                </c:pt>
                <c:pt idx="75">
                  <c:v>2015 Abr</c:v>
                </c:pt>
              </c:strCache>
            </c:strRef>
          </c:cat>
          <c:val>
            <c:numRef>
              <c:f>Unir!$P$306:$P$381</c:f>
              <c:numCache>
                <c:formatCode>0.0%</c:formatCode>
                <c:ptCount val="76"/>
                <c:pt idx="0">
                  <c:v>6.9001753605140801E-3</c:v>
                </c:pt>
                <c:pt idx="1">
                  <c:v>5.7024986222668902E-3</c:v>
                </c:pt>
                <c:pt idx="2">
                  <c:v>5.5580178394822998E-3</c:v>
                </c:pt>
                <c:pt idx="3">
                  <c:v>6.3621420732716399E-3</c:v>
                </c:pt>
                <c:pt idx="4">
                  <c:v>8.2243681793039806E-3</c:v>
                </c:pt>
                <c:pt idx="5">
                  <c:v>7.5359447494641203E-3</c:v>
                </c:pt>
                <c:pt idx="6">
                  <c:v>7.6558110749354704E-3</c:v>
                </c:pt>
                <c:pt idx="7">
                  <c:v>6.1601670423640301E-3</c:v>
                </c:pt>
                <c:pt idx="8">
                  <c:v>5.1296862808540601E-3</c:v>
                </c:pt>
                <c:pt idx="9">
                  <c:v>6.6774515200417398E-3</c:v>
                </c:pt>
                <c:pt idx="10">
                  <c:v>6.1603921566246002E-3</c:v>
                </c:pt>
                <c:pt idx="11">
                  <c:v>6.0679067946879904E-3</c:v>
                </c:pt>
                <c:pt idx="12">
                  <c:v>6.8477421705729199E-3</c:v>
                </c:pt>
                <c:pt idx="13">
                  <c:v>3.6682756426804201E-3</c:v>
                </c:pt>
                <c:pt idx="14">
                  <c:v>7.0837052170617497E-3</c:v>
                </c:pt>
                <c:pt idx="15">
                  <c:v>6.3263779297597902E-3</c:v>
                </c:pt>
                <c:pt idx="16">
                  <c:v>6.2586298620127198E-3</c:v>
                </c:pt>
                <c:pt idx="17">
                  <c:v>1.9346451248425599E-3</c:v>
                </c:pt>
                <c:pt idx="18">
                  <c:v>0</c:v>
                </c:pt>
                <c:pt idx="19">
                  <c:v>3.9568139668129396E-3</c:v>
                </c:pt>
                <c:pt idx="20">
                  <c:v>2.37433901583108E-3</c:v>
                </c:pt>
                <c:pt idx="21">
                  <c:v>5.5302437326767801E-3</c:v>
                </c:pt>
                <c:pt idx="22">
                  <c:v>3.2417221299356098E-3</c:v>
                </c:pt>
                <c:pt idx="23">
                  <c:v>6.0183349410726497E-3</c:v>
                </c:pt>
                <c:pt idx="24">
                  <c:v>5.7779202195609699E-3</c:v>
                </c:pt>
                <c:pt idx="25">
                  <c:v>7.7782536277248501E-3</c:v>
                </c:pt>
                <c:pt idx="26">
                  <c:v>7.1640059367301303E-3</c:v>
                </c:pt>
                <c:pt idx="27">
                  <c:v>5.66085496093237E-3</c:v>
                </c:pt>
                <c:pt idx="28">
                  <c:v>6.0584404520217898E-3</c:v>
                </c:pt>
                <c:pt idx="29">
                  <c:v>2.8538042787056802E-3</c:v>
                </c:pt>
                <c:pt idx="30">
                  <c:v>5.8875244366530504E-3</c:v>
                </c:pt>
                <c:pt idx="31">
                  <c:v>6.1965300184787702E-3</c:v>
                </c:pt>
                <c:pt idx="32">
                  <c:v>5.0051488095307203E-3</c:v>
                </c:pt>
                <c:pt idx="33">
                  <c:v>5.5453776416260802E-3</c:v>
                </c:pt>
                <c:pt idx="34">
                  <c:v>5.1152306655998002E-3</c:v>
                </c:pt>
                <c:pt idx="35">
                  <c:v>4.73532631136841E-3</c:v>
                </c:pt>
                <c:pt idx="36">
                  <c:v>5.1415346778495704E-3</c:v>
                </c:pt>
                <c:pt idx="37">
                  <c:v>4.4346970211368401E-3</c:v>
                </c:pt>
                <c:pt idx="38">
                  <c:v>5.5321143827642199E-3</c:v>
                </c:pt>
                <c:pt idx="39">
                  <c:v>5.6418377310663397E-3</c:v>
                </c:pt>
                <c:pt idx="40">
                  <c:v>2.18904763469469E-3</c:v>
                </c:pt>
                <c:pt idx="41">
                  <c:v>3.8827975479744001E-3</c:v>
                </c:pt>
                <c:pt idx="42">
                  <c:v>4.7613106982577202E-3</c:v>
                </c:pt>
                <c:pt idx="43">
                  <c:v>7.4598487861615801E-3</c:v>
                </c:pt>
                <c:pt idx="44">
                  <c:v>5.7450291245375101E-3</c:v>
                </c:pt>
                <c:pt idx="45">
                  <c:v>8.1681122802693008E-3</c:v>
                </c:pt>
                <c:pt idx="46">
                  <c:v>4.8492509884724604E-3</c:v>
                </c:pt>
                <c:pt idx="47">
                  <c:v>5.6295272588149396E-3</c:v>
                </c:pt>
                <c:pt idx="48">
                  <c:v>6.0142464014094101E-3</c:v>
                </c:pt>
                <c:pt idx="49">
                  <c:v>4.43731502294855E-3</c:v>
                </c:pt>
                <c:pt idx="50">
                  <c:v>3.33212811743937E-3</c:v>
                </c:pt>
                <c:pt idx="51">
                  <c:v>5.1924323719788898E-3</c:v>
                </c:pt>
                <c:pt idx="52">
                  <c:v>4.6100631849390096E-3</c:v>
                </c:pt>
                <c:pt idx="53">
                  <c:v>6.6467727452515397E-3</c:v>
                </c:pt>
                <c:pt idx="54">
                  <c:v>4.9985813370477502E-3</c:v>
                </c:pt>
                <c:pt idx="55">
                  <c:v>5.8019382710461399E-3</c:v>
                </c:pt>
                <c:pt idx="56">
                  <c:v>6.2833642158328998E-3</c:v>
                </c:pt>
                <c:pt idx="57">
                  <c:v>7.1730240665013002E-3</c:v>
                </c:pt>
                <c:pt idx="58">
                  <c:v>6.8076834798205203E-3</c:v>
                </c:pt>
                <c:pt idx="59">
                  <c:v>6.3155754548442902E-3</c:v>
                </c:pt>
                <c:pt idx="60">
                  <c:v>6.9752509242577499E-3</c:v>
                </c:pt>
                <c:pt idx="61">
                  <c:v>6.0585974083364096E-3</c:v>
                </c:pt>
                <c:pt idx="62">
                  <c:v>5.7503720844287801E-3</c:v>
                </c:pt>
                <c:pt idx="63">
                  <c:v>5.5069179520643198E-3</c:v>
                </c:pt>
                <c:pt idx="64">
                  <c:v>5.2443180073067398E-3</c:v>
                </c:pt>
                <c:pt idx="65">
                  <c:v>4.9574260374924302E-3</c:v>
                </c:pt>
                <c:pt idx="66">
                  <c:v>1.7756254025466801E-3</c:v>
                </c:pt>
                <c:pt idx="67">
                  <c:v>0</c:v>
                </c:pt>
                <c:pt idx="68">
                  <c:v>2.3114166006816999E-3</c:v>
                </c:pt>
                <c:pt idx="69">
                  <c:v>4.0930650229504097E-3</c:v>
                </c:pt>
                <c:pt idx="70">
                  <c:v>4.3818413576114396E-3</c:v>
                </c:pt>
                <c:pt idx="71">
                  <c:v>4.6198899726018197E-3</c:v>
                </c:pt>
                <c:pt idx="72">
                  <c:v>5.5961829791744497E-3</c:v>
                </c:pt>
                <c:pt idx="73">
                  <c:v>2.78299519093119E-3</c:v>
                </c:pt>
                <c:pt idx="74">
                  <c:v>2.33094982562122E-3</c:v>
                </c:pt>
                <c:pt idx="75">
                  <c:v>3.2545766832504501E-3</c:v>
                </c:pt>
              </c:numCache>
            </c:numRef>
          </c:val>
        </c:ser>
        <c:dLbls>
          <c:showLegendKey val="0"/>
          <c:showVal val="0"/>
          <c:showCatName val="0"/>
          <c:showSerName val="0"/>
          <c:showPercent val="0"/>
          <c:showBubbleSize val="0"/>
        </c:dLbls>
        <c:axId val="65055360"/>
        <c:axId val="64815488"/>
      </c:areaChart>
      <c:catAx>
        <c:axId val="65055360"/>
        <c:scaling>
          <c:orientation val="minMax"/>
        </c:scaling>
        <c:delete val="0"/>
        <c:axPos val="b"/>
        <c:numFmt formatCode="General" sourceLinked="0"/>
        <c:majorTickMark val="out"/>
        <c:minorTickMark val="none"/>
        <c:tickLblPos val="nextTo"/>
        <c:txPr>
          <a:bodyPr/>
          <a:lstStyle/>
          <a:p>
            <a:pPr>
              <a:defRPr sz="800"/>
            </a:pPr>
            <a:endParaRPr lang="es-CO"/>
          </a:p>
        </c:txPr>
        <c:crossAx val="64815488"/>
        <c:crosses val="autoZero"/>
        <c:auto val="1"/>
        <c:lblAlgn val="ctr"/>
        <c:lblOffset val="100"/>
        <c:noMultiLvlLbl val="0"/>
      </c:catAx>
      <c:valAx>
        <c:axId val="64815488"/>
        <c:scaling>
          <c:orientation val="minMax"/>
        </c:scaling>
        <c:delete val="0"/>
        <c:axPos val="l"/>
        <c:majorGridlines/>
        <c:numFmt formatCode="0%" sourceLinked="1"/>
        <c:majorTickMark val="out"/>
        <c:minorTickMark val="none"/>
        <c:tickLblPos val="nextTo"/>
        <c:txPr>
          <a:bodyPr/>
          <a:lstStyle/>
          <a:p>
            <a:pPr>
              <a:defRPr sz="800"/>
            </a:pPr>
            <a:endParaRPr lang="es-CO"/>
          </a:p>
        </c:txPr>
        <c:crossAx val="65055360"/>
        <c:crosses val="autoZero"/>
        <c:crossBetween val="midCat"/>
      </c:valAx>
    </c:plotArea>
    <c:legend>
      <c:legendPos val="t"/>
      <c:overlay val="0"/>
      <c:txPr>
        <a:bodyPr/>
        <a:lstStyle/>
        <a:p>
          <a:pPr>
            <a:defRPr sz="800"/>
          </a:pPr>
          <a:endParaRPr lang="es-CO"/>
        </a:p>
      </c:txPr>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a:pPr>
            <a:r>
              <a:rPr lang="es-CO" sz="1200" b="1"/>
              <a:t>Tarifas de transporte GLP por tramo ($ por Galón)</a:t>
            </a:r>
          </a:p>
        </c:rich>
      </c:tx>
      <c:layout>
        <c:manualLayout>
          <c:xMode val="edge"/>
          <c:yMode val="edge"/>
          <c:x val="0.22959590401339519"/>
          <c:y val="3.3843612188070395E-2"/>
        </c:manualLayout>
      </c:layout>
      <c:overlay val="0"/>
    </c:title>
    <c:autoTitleDeleted val="0"/>
    <c:plotArea>
      <c:layout>
        <c:manualLayout>
          <c:layoutTarget val="inner"/>
          <c:xMode val="edge"/>
          <c:yMode val="edge"/>
          <c:x val="9.7966396815445306E-2"/>
          <c:y val="0.1505176066189696"/>
          <c:w val="0.87687634745139498"/>
          <c:h val="0.54456092858401339"/>
        </c:manualLayout>
      </c:layout>
      <c:lineChart>
        <c:grouping val="standard"/>
        <c:varyColors val="0"/>
        <c:ser>
          <c:idx val="0"/>
          <c:order val="0"/>
          <c:tx>
            <c:strRef>
              <c:f>resumen!$A$3</c:f>
              <c:strCache>
                <c:ptCount val="1"/>
                <c:pt idx="0">
                  <c:v>Galan-Puerto Salgar</c:v>
                </c:pt>
              </c:strCache>
            </c:strRef>
          </c:tx>
          <c:marker>
            <c:symbol val="none"/>
          </c:marker>
          <c:dLbls>
            <c:dLbl>
              <c:idx val="0"/>
              <c:layout>
                <c:manualLayout>
                  <c:x val="-1.8269359094128901E-2"/>
                  <c:y val="-3.7574110342806097E-2"/>
                </c:manualLayout>
              </c:layout>
              <c:dLblPos val="r"/>
              <c:showLegendKey val="0"/>
              <c:showVal val="1"/>
              <c:showCatName val="1"/>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spPr>
              <a:noFill/>
              <a:ln>
                <a:noFill/>
              </a:ln>
              <a:effectLst/>
            </c:spPr>
            <c:txPr>
              <a:bodyPr/>
              <a:lstStyle/>
              <a:p>
                <a:pPr>
                  <a:defRPr sz="800" b="1"/>
                </a:pPr>
                <a:endParaRPr lang="es-CO"/>
              </a:p>
            </c:txPr>
            <c:dLblPos val="t"/>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resumen!$B$2:$AA$2</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resumen!$B$3:$AA$3</c:f>
              <c:numCache>
                <c:formatCode>_([$$-240A]\ * #,##0.00_);_([$$-240A]\ * \(#,##0.00\);_([$$-240A]\ * "-"??_);_(@_)</c:formatCode>
                <c:ptCount val="26"/>
                <c:pt idx="0">
                  <c:v>157.32276338534311</c:v>
                </c:pt>
                <c:pt idx="1">
                  <c:v>156.80000000000001</c:v>
                </c:pt>
                <c:pt idx="2">
                  <c:v>157.08000000000001</c:v>
                </c:pt>
                <c:pt idx="3" formatCode="General">
                  <c:v>157.43</c:v>
                </c:pt>
                <c:pt idx="4" formatCode="General">
                  <c:v>157.41</c:v>
                </c:pt>
                <c:pt idx="5" formatCode="General">
                  <c:v>157.38999999999999</c:v>
                </c:pt>
                <c:pt idx="6" formatCode="General">
                  <c:v>157.13</c:v>
                </c:pt>
                <c:pt idx="7" formatCode="General">
                  <c:v>155.88999999999999</c:v>
                </c:pt>
                <c:pt idx="8" formatCode="General">
                  <c:v>155.47</c:v>
                </c:pt>
                <c:pt idx="9" formatCode="General">
                  <c:v>155.61000000000001</c:v>
                </c:pt>
                <c:pt idx="10" formatCode="General">
                  <c:v>156.63999999999999</c:v>
                </c:pt>
                <c:pt idx="11" formatCode="General">
                  <c:v>158.53</c:v>
                </c:pt>
                <c:pt idx="12" formatCode="General">
                  <c:v>161.22</c:v>
                </c:pt>
                <c:pt idx="13" formatCode="General">
                  <c:v>161.91</c:v>
                </c:pt>
                <c:pt idx="14" formatCode="General">
                  <c:v>161.69</c:v>
                </c:pt>
                <c:pt idx="15" formatCode="General">
                  <c:v>161.13</c:v>
                </c:pt>
                <c:pt idx="16" formatCode="General">
                  <c:v>160.74</c:v>
                </c:pt>
                <c:pt idx="17" formatCode="General">
                  <c:v>161.83000000000001</c:v>
                </c:pt>
                <c:pt idx="18" formatCode="General">
                  <c:v>162.65</c:v>
                </c:pt>
                <c:pt idx="19" formatCode="General">
                  <c:v>163.35</c:v>
                </c:pt>
                <c:pt idx="20" formatCode="General">
                  <c:v>163.19999999999999</c:v>
                </c:pt>
                <c:pt idx="21" formatCode="General">
                  <c:v>165.24</c:v>
                </c:pt>
                <c:pt idx="22" formatCode="General">
                  <c:v>173.63</c:v>
                </c:pt>
                <c:pt idx="23" formatCode="General">
                  <c:v>166.2</c:v>
                </c:pt>
                <c:pt idx="24" formatCode="General">
                  <c:v>169.22</c:v>
                </c:pt>
                <c:pt idx="25" formatCode="General">
                  <c:v>168.62</c:v>
                </c:pt>
              </c:numCache>
            </c:numRef>
          </c:val>
          <c:smooth val="0"/>
        </c:ser>
        <c:ser>
          <c:idx val="1"/>
          <c:order val="1"/>
          <c:tx>
            <c:strRef>
              <c:f>resumen!$A$4</c:f>
              <c:strCache>
                <c:ptCount val="1"/>
                <c:pt idx="0">
                  <c:v>Puerto Salgar- Mansilla</c:v>
                </c:pt>
              </c:strCache>
            </c:strRef>
          </c:tx>
          <c:marker>
            <c:symbol val="none"/>
          </c:marker>
          <c:dLbls>
            <c:dLbl>
              <c:idx val="0"/>
              <c:layout>
                <c:manualLayout>
                  <c:x val="-1.90739330778113E-2"/>
                  <c:y val="4.18070650998391E-2"/>
                </c:manualLayout>
              </c:layout>
              <c:dLblPos val="r"/>
              <c:showLegendKey val="0"/>
              <c:showVal val="1"/>
              <c:showCatName val="1"/>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layout>
                <c:manualLayout>
                  <c:x val="0"/>
                  <c:y val="-3.75383759414709E-2"/>
                </c:manualLayout>
              </c:layout>
              <c:dLblPos val="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s-CO"/>
              </a:p>
            </c:txPr>
            <c:dLblPos val="t"/>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resumen!$B$2:$AA$2</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resumen!$B$4:$AA$4</c:f>
              <c:numCache>
                <c:formatCode>_([$$-240A]\ * #,##0.00_);_([$$-240A]\ * \(#,##0.00\);_([$$-240A]\ * "-"??_);_(@_)</c:formatCode>
                <c:ptCount val="26"/>
                <c:pt idx="0">
                  <c:v>205.34848084656181</c:v>
                </c:pt>
                <c:pt idx="1">
                  <c:v>204.67</c:v>
                </c:pt>
                <c:pt idx="2">
                  <c:v>205.03</c:v>
                </c:pt>
                <c:pt idx="3" formatCode="General">
                  <c:v>205.48</c:v>
                </c:pt>
                <c:pt idx="4" formatCode="General">
                  <c:v>205.45</c:v>
                </c:pt>
                <c:pt idx="5" formatCode="General">
                  <c:v>205.42</c:v>
                </c:pt>
                <c:pt idx="6" formatCode="General">
                  <c:v>205.07</c:v>
                </c:pt>
                <c:pt idx="7" formatCode="General">
                  <c:v>203.45</c:v>
                </c:pt>
                <c:pt idx="8" formatCode="General">
                  <c:v>202.9</c:v>
                </c:pt>
                <c:pt idx="9" formatCode="General">
                  <c:v>203.08</c:v>
                </c:pt>
                <c:pt idx="10" formatCode="General">
                  <c:v>204.41</c:v>
                </c:pt>
                <c:pt idx="11" formatCode="General">
                  <c:v>206.88</c:v>
                </c:pt>
                <c:pt idx="12" formatCode="General">
                  <c:v>210.39</c:v>
                </c:pt>
                <c:pt idx="13" formatCode="General">
                  <c:v>211.28</c:v>
                </c:pt>
                <c:pt idx="14" formatCode="General">
                  <c:v>210.98</c:v>
                </c:pt>
                <c:pt idx="15" formatCode="General">
                  <c:v>210.25</c:v>
                </c:pt>
                <c:pt idx="16" formatCode="General">
                  <c:v>209.74</c:v>
                </c:pt>
                <c:pt idx="17" formatCode="General">
                  <c:v>211.16</c:v>
                </c:pt>
                <c:pt idx="18" formatCode="General">
                  <c:v>212.23</c:v>
                </c:pt>
                <c:pt idx="19" formatCode="General">
                  <c:v>213.14</c:v>
                </c:pt>
                <c:pt idx="20" formatCode="General">
                  <c:v>212.93</c:v>
                </c:pt>
                <c:pt idx="21" formatCode="General">
                  <c:v>215.59</c:v>
                </c:pt>
                <c:pt idx="22" formatCode="General">
                  <c:v>226.53</c:v>
                </c:pt>
                <c:pt idx="23" formatCode="General">
                  <c:v>216.84</c:v>
                </c:pt>
                <c:pt idx="24" formatCode="General">
                  <c:v>220.77</c:v>
                </c:pt>
                <c:pt idx="25" formatCode="General">
                  <c:v>219.99</c:v>
                </c:pt>
              </c:numCache>
            </c:numRef>
          </c:val>
          <c:smooth val="0"/>
        </c:ser>
        <c:ser>
          <c:idx val="2"/>
          <c:order val="2"/>
          <c:tx>
            <c:strRef>
              <c:f>resumen!$A$5</c:f>
              <c:strCache>
                <c:ptCount val="1"/>
                <c:pt idx="0">
                  <c:v>Galan-Chimita</c:v>
                </c:pt>
              </c:strCache>
            </c:strRef>
          </c:tx>
          <c:marker>
            <c:symbol val="none"/>
          </c:marker>
          <c:dLbls>
            <c:dLbl>
              <c:idx val="0"/>
              <c:layout>
                <c:manualLayout>
                  <c:x val="-3.4002235877917002E-2"/>
                  <c:y val="-3.4960457722740201E-2"/>
                </c:manualLayout>
              </c:layout>
              <c:dLblPos val="r"/>
              <c:showLegendKey val="0"/>
              <c:showVal val="1"/>
              <c:showCatName val="1"/>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layout>
                <c:manualLayout>
                  <c:x val="-2.2870207430980599E-3"/>
                  <c:y val="-2.65082668416559E-2"/>
                </c:manualLayout>
              </c:layout>
              <c:dLblPos val="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s-CO"/>
              </a:p>
            </c:txPr>
            <c:dLblPos val="t"/>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resumen!$B$2:$AA$2</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resumen!$B$5:$AA$5</c:f>
              <c:numCache>
                <c:formatCode>_([$$-240A]\ * #,##0.00_);_([$$-240A]\ * \(#,##0.00\);_([$$-240A]\ * "-"??_);_(@_)</c:formatCode>
                <c:ptCount val="26"/>
                <c:pt idx="0">
                  <c:v>109.11964137854871</c:v>
                </c:pt>
                <c:pt idx="1">
                  <c:v>108.75</c:v>
                </c:pt>
                <c:pt idx="2">
                  <c:v>108.93</c:v>
                </c:pt>
                <c:pt idx="3" formatCode="General">
                  <c:v>109.16</c:v>
                </c:pt>
                <c:pt idx="4" formatCode="General">
                  <c:v>109.13</c:v>
                </c:pt>
                <c:pt idx="5" formatCode="General">
                  <c:v>109.11</c:v>
                </c:pt>
                <c:pt idx="6" formatCode="General">
                  <c:v>108.91</c:v>
                </c:pt>
                <c:pt idx="7" formatCode="General">
                  <c:v>108.04</c:v>
                </c:pt>
                <c:pt idx="8" formatCode="General">
                  <c:v>107.73</c:v>
                </c:pt>
                <c:pt idx="9" formatCode="General">
                  <c:v>107.82</c:v>
                </c:pt>
                <c:pt idx="10" formatCode="General">
                  <c:v>108.52</c:v>
                </c:pt>
                <c:pt idx="11" formatCode="General">
                  <c:v>109.82</c:v>
                </c:pt>
                <c:pt idx="12" formatCode="General">
                  <c:v>111.67</c:v>
                </c:pt>
                <c:pt idx="13" formatCode="General">
                  <c:v>112.13</c:v>
                </c:pt>
                <c:pt idx="14" formatCode="General">
                  <c:v>111.97</c:v>
                </c:pt>
                <c:pt idx="15" formatCode="General">
                  <c:v>111.57</c:v>
                </c:pt>
                <c:pt idx="16" formatCode="General">
                  <c:v>111.29</c:v>
                </c:pt>
                <c:pt idx="17" formatCode="General">
                  <c:v>112.03</c:v>
                </c:pt>
                <c:pt idx="18" formatCode="General">
                  <c:v>112.58</c:v>
                </c:pt>
                <c:pt idx="19" formatCode="General">
                  <c:v>113.06</c:v>
                </c:pt>
                <c:pt idx="20" formatCode="General">
                  <c:v>112.94</c:v>
                </c:pt>
                <c:pt idx="21" formatCode="General">
                  <c:v>114.33</c:v>
                </c:pt>
                <c:pt idx="22" formatCode="General">
                  <c:v>120.12</c:v>
                </c:pt>
                <c:pt idx="23" formatCode="General">
                  <c:v>114.97</c:v>
                </c:pt>
                <c:pt idx="24" formatCode="General">
                  <c:v>117.05</c:v>
                </c:pt>
                <c:pt idx="25" formatCode="General">
                  <c:v>116.62</c:v>
                </c:pt>
              </c:numCache>
            </c:numRef>
          </c:val>
          <c:smooth val="0"/>
        </c:ser>
        <c:ser>
          <c:idx val="3"/>
          <c:order val="3"/>
          <c:tx>
            <c:strRef>
              <c:f>resumen!$A$6</c:f>
              <c:strCache>
                <c:ptCount val="1"/>
                <c:pt idx="0">
                  <c:v>Puerto Salgar-Cartago</c:v>
                </c:pt>
              </c:strCache>
            </c:strRef>
          </c:tx>
          <c:marker>
            <c:symbol val="none"/>
          </c:marker>
          <c:dLbls>
            <c:dLbl>
              <c:idx val="0"/>
              <c:layout>
                <c:manualLayout>
                  <c:x val="-2.0697717805410899E-2"/>
                  <c:y val="-3.43059120745869E-2"/>
                </c:manualLayout>
              </c:layout>
              <c:dLblPos val="r"/>
              <c:showLegendKey val="0"/>
              <c:showVal val="1"/>
              <c:showCatName val="1"/>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layout>
                <c:manualLayout>
                  <c:x val="-4.5740414861961199E-3"/>
                  <c:y val="-6.5289442986293397E-2"/>
                </c:manualLayout>
              </c:layout>
              <c:dLblPos val="r"/>
              <c:showLegendKey val="0"/>
              <c:showVal val="1"/>
              <c:showCatName val="1"/>
              <c:showSerName val="0"/>
              <c:showPercent val="0"/>
              <c:showBubbleSize val="0"/>
              <c:extLst>
                <c:ext xmlns:c15="http://schemas.microsoft.com/office/drawing/2012/chart" uri="{CE6537A1-D6FC-4f65-9D91-7224C49458BB}"/>
              </c:extLst>
            </c:dLbl>
            <c:numFmt formatCode="_(&quot;$&quot;* #,##0_);_(&quot;$&quot;* \(#,##0\);_(&quot;$&quot;* &quot;-&quot;_);_(@_)" sourceLinked="0"/>
            <c:spPr>
              <a:noFill/>
              <a:ln>
                <a:noFill/>
              </a:ln>
              <a:effectLst/>
            </c:spPr>
            <c:txPr>
              <a:bodyPr/>
              <a:lstStyle/>
              <a:p>
                <a:pPr>
                  <a:defRPr sz="800" b="1"/>
                </a:pPr>
                <a:endParaRPr lang="es-CO"/>
              </a:p>
            </c:txPr>
            <c:dLblPos val="t"/>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resumen!$B$2:$AA$2</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resumen!$B$6:$AA$6</c:f>
              <c:numCache>
                <c:formatCode>_([$$-240A]\ * #,##0.00_);_([$$-240A]\ * \(#,##0.00\);_([$$-240A]\ * "-"??_);_(@_)</c:formatCode>
                <c:ptCount val="26"/>
                <c:pt idx="0">
                  <c:v>272.90506712333911</c:v>
                </c:pt>
                <c:pt idx="1">
                  <c:v>271.95999999999992</c:v>
                </c:pt>
                <c:pt idx="2">
                  <c:v>272.39999999999992</c:v>
                </c:pt>
                <c:pt idx="3" formatCode="General">
                  <c:v>272.95999999999992</c:v>
                </c:pt>
                <c:pt idx="4" formatCode="General">
                  <c:v>272.88</c:v>
                </c:pt>
                <c:pt idx="5" formatCode="General">
                  <c:v>272.8</c:v>
                </c:pt>
                <c:pt idx="6" formatCode="General">
                  <c:v>272.3</c:v>
                </c:pt>
                <c:pt idx="7" formatCode="General">
                  <c:v>270.11</c:v>
                </c:pt>
                <c:pt idx="8" formatCode="General">
                  <c:v>269.33</c:v>
                </c:pt>
                <c:pt idx="9" formatCode="General">
                  <c:v>269.52999999999992</c:v>
                </c:pt>
                <c:pt idx="10" formatCode="General">
                  <c:v>271.27</c:v>
                </c:pt>
                <c:pt idx="11" formatCode="General">
                  <c:v>274.5</c:v>
                </c:pt>
                <c:pt idx="12" formatCode="General">
                  <c:v>279.11</c:v>
                </c:pt>
                <c:pt idx="13" formatCode="General">
                  <c:v>280.25</c:v>
                </c:pt>
                <c:pt idx="14" formatCode="General">
                  <c:v>279.82</c:v>
                </c:pt>
                <c:pt idx="15" formatCode="General">
                  <c:v>278.8</c:v>
                </c:pt>
                <c:pt idx="16" formatCode="General">
                  <c:v>278.08999999999992</c:v>
                </c:pt>
                <c:pt idx="17" formatCode="General">
                  <c:v>279.94</c:v>
                </c:pt>
                <c:pt idx="18" formatCode="General">
                  <c:v>281.31</c:v>
                </c:pt>
                <c:pt idx="19" formatCode="General">
                  <c:v>282.47000000000003</c:v>
                </c:pt>
                <c:pt idx="20" formatCode="General">
                  <c:v>282.16000000000008</c:v>
                </c:pt>
                <c:pt idx="21" formatCode="General">
                  <c:v>285.63</c:v>
                </c:pt>
                <c:pt idx="22" formatCode="General">
                  <c:v>300.08</c:v>
                </c:pt>
                <c:pt idx="23" formatCode="General">
                  <c:v>287.2</c:v>
                </c:pt>
                <c:pt idx="24" formatCode="General">
                  <c:v>292.37</c:v>
                </c:pt>
                <c:pt idx="25" formatCode="General">
                  <c:v>291.29000000000002</c:v>
                </c:pt>
              </c:numCache>
            </c:numRef>
          </c:val>
          <c:smooth val="0"/>
        </c:ser>
        <c:ser>
          <c:idx val="4"/>
          <c:order val="4"/>
          <c:tx>
            <c:strRef>
              <c:f>resumen!$A$7</c:f>
              <c:strCache>
                <c:ptCount val="1"/>
                <c:pt idx="0">
                  <c:v>Cartago-Yumbo</c:v>
                </c:pt>
              </c:strCache>
            </c:strRef>
          </c:tx>
          <c:marker>
            <c:symbol val="none"/>
          </c:marker>
          <c:dLbls>
            <c:dLbl>
              <c:idx val="0"/>
              <c:layout>
                <c:manualLayout>
                  <c:x val="-2.67523801222962E-2"/>
                  <c:y val="2.8430973885392299E-2"/>
                </c:manualLayout>
              </c:layout>
              <c:dLblPos val="r"/>
              <c:showLegendKey val="0"/>
              <c:showVal val="1"/>
              <c:showCatName val="1"/>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layout>
                <c:manualLayout>
                  <c:x val="-9.1480829723922397E-3"/>
                  <c:y val="2.42048784448501E-2"/>
                </c:manualLayout>
              </c:layout>
              <c:dLblPos val="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s-CO"/>
              </a:p>
            </c:txPr>
            <c:dLblPos val="t"/>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resumen!$B$2:$AA$2</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resumen!$B$7:$AA$7</c:f>
              <c:numCache>
                <c:formatCode>_([$$-240A]\ * #,##0.00_);_([$$-240A]\ * \(#,##0.00\);_([$$-240A]\ * "-"??_);_(@_)</c:formatCode>
                <c:ptCount val="26"/>
                <c:pt idx="0">
                  <c:v>145.48840816090899</c:v>
                </c:pt>
                <c:pt idx="1">
                  <c:v>145</c:v>
                </c:pt>
                <c:pt idx="2">
                  <c:v>145.26</c:v>
                </c:pt>
                <c:pt idx="3" formatCode="General">
                  <c:v>145.57</c:v>
                </c:pt>
                <c:pt idx="4" formatCode="General">
                  <c:v>145.55000000000001</c:v>
                </c:pt>
                <c:pt idx="5" formatCode="General">
                  <c:v>145.53</c:v>
                </c:pt>
                <c:pt idx="6" formatCode="General">
                  <c:v>145.28</c:v>
                </c:pt>
                <c:pt idx="7" formatCode="General">
                  <c:v>144.13</c:v>
                </c:pt>
                <c:pt idx="8" formatCode="General">
                  <c:v>143.72999999999999</c:v>
                </c:pt>
                <c:pt idx="9" formatCode="General">
                  <c:v>143.86000000000001</c:v>
                </c:pt>
                <c:pt idx="10" formatCode="General">
                  <c:v>144.80000000000001</c:v>
                </c:pt>
                <c:pt idx="11" formatCode="General">
                  <c:v>146.54</c:v>
                </c:pt>
                <c:pt idx="12" formatCode="General">
                  <c:v>149.03</c:v>
                </c:pt>
                <c:pt idx="13" formatCode="General">
                  <c:v>149.65</c:v>
                </c:pt>
                <c:pt idx="14" formatCode="General">
                  <c:v>149.44</c:v>
                </c:pt>
                <c:pt idx="15" formatCode="General">
                  <c:v>148.91999999999999</c:v>
                </c:pt>
                <c:pt idx="16" formatCode="General">
                  <c:v>148.56</c:v>
                </c:pt>
                <c:pt idx="17" formatCode="General">
                  <c:v>149.56</c:v>
                </c:pt>
                <c:pt idx="18" formatCode="General">
                  <c:v>150.32</c:v>
                </c:pt>
                <c:pt idx="19" formatCode="General">
                  <c:v>150.96</c:v>
                </c:pt>
                <c:pt idx="20" formatCode="General">
                  <c:v>150.81</c:v>
                </c:pt>
                <c:pt idx="21" formatCode="General">
                  <c:v>152.69</c:v>
                </c:pt>
                <c:pt idx="22" formatCode="General">
                  <c:v>160.43</c:v>
                </c:pt>
                <c:pt idx="23" formatCode="General">
                  <c:v>153.56</c:v>
                </c:pt>
                <c:pt idx="24" formatCode="General">
                  <c:v>156.35</c:v>
                </c:pt>
                <c:pt idx="25" formatCode="General">
                  <c:v>155.79</c:v>
                </c:pt>
              </c:numCache>
            </c:numRef>
          </c:val>
          <c:smooth val="0"/>
        </c:ser>
        <c:ser>
          <c:idx val="5"/>
          <c:order val="5"/>
          <c:tx>
            <c:strRef>
              <c:f>resumen!$A$8</c:f>
              <c:strCache>
                <c:ptCount val="1"/>
                <c:pt idx="0">
                  <c:v>Entregas en Manizales y Pereira</c:v>
                </c:pt>
              </c:strCache>
            </c:strRef>
          </c:tx>
          <c:marker>
            <c:symbol val="none"/>
          </c:marker>
          <c:dLbls>
            <c:dLbl>
              <c:idx val="0"/>
              <c:layout>
                <c:manualLayout>
                  <c:x val="-1.9639745611261201E-2"/>
                  <c:y val="-3.5898185041751698E-2"/>
                </c:manualLayout>
              </c:layout>
              <c:dLblPos val="r"/>
              <c:showLegendKey val="0"/>
              <c:showVal val="1"/>
              <c:showCatName val="1"/>
              <c:showSerName val="0"/>
              <c:showPercent val="0"/>
              <c:showBubbleSize val="0"/>
              <c:extLst>
                <c:ext xmlns:c15="http://schemas.microsoft.com/office/drawing/2012/chart" uri="{CE6537A1-D6FC-4f65-9D91-7224C49458BB}"/>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layout>
                <c:manualLayout>
                  <c:x val="0"/>
                  <c:y val="4.86457421988917E-2"/>
                </c:manualLayout>
              </c:layout>
              <c:numFmt formatCode="_(&quot;$&quot;* #,##0_);_(&quot;$&quot;* \(#,##0\);_(&quot;$&quot;* &quot;-&quot;_);_(@_)" sourceLinked="0"/>
              <c:spPr/>
              <c:txPr>
                <a:bodyPr/>
                <a:lstStyle/>
                <a:p>
                  <a:pPr>
                    <a:defRPr sz="800" b="1"/>
                  </a:pPr>
                  <a:endParaRPr lang="es-CO"/>
                </a:p>
              </c:txPr>
              <c:dLblPos val="r"/>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a:lstStyle/>
              <a:p>
                <a:pPr>
                  <a:defRPr sz="800" b="1"/>
                </a:pPr>
                <a:endParaRPr lang="es-CO"/>
              </a:p>
            </c:txPr>
            <c:dLblPos val="t"/>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resumen!$B$2:$AA$2</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resumen!$B$8:$AA$8</c:f>
              <c:numCache>
                <c:formatCode>_([$$-240A]\ * #,##0.00_);_([$$-240A]\ * \(#,##0.00\);_([$$-240A]\ * "-"??_);_(@_)</c:formatCode>
                <c:ptCount val="26"/>
                <c:pt idx="0">
                  <c:v>222.59917793782489</c:v>
                </c:pt>
                <c:pt idx="1">
                  <c:v>221.83</c:v>
                </c:pt>
                <c:pt idx="2">
                  <c:v>222.19</c:v>
                </c:pt>
                <c:pt idx="3" formatCode="General">
                  <c:v>222.64</c:v>
                </c:pt>
                <c:pt idx="4" formatCode="General">
                  <c:v>222.58</c:v>
                </c:pt>
                <c:pt idx="5" formatCode="General">
                  <c:v>222.51</c:v>
                </c:pt>
                <c:pt idx="6" formatCode="General">
                  <c:v>272.3</c:v>
                </c:pt>
                <c:pt idx="7" formatCode="General">
                  <c:v>270.11</c:v>
                </c:pt>
                <c:pt idx="8" formatCode="General">
                  <c:v>269.33</c:v>
                </c:pt>
                <c:pt idx="9" formatCode="General">
                  <c:v>269.52999999999992</c:v>
                </c:pt>
                <c:pt idx="10" formatCode="General">
                  <c:v>271.27</c:v>
                </c:pt>
                <c:pt idx="11" formatCode="General">
                  <c:v>274.5</c:v>
                </c:pt>
                <c:pt idx="12" formatCode="General">
                  <c:v>279.11</c:v>
                </c:pt>
                <c:pt idx="13" formatCode="General">
                  <c:v>280.25</c:v>
                </c:pt>
                <c:pt idx="14" formatCode="General">
                  <c:v>279.82</c:v>
                </c:pt>
                <c:pt idx="15" formatCode="General">
                  <c:v>278.8</c:v>
                </c:pt>
                <c:pt idx="16" formatCode="General">
                  <c:v>278.08999999999992</c:v>
                </c:pt>
                <c:pt idx="17" formatCode="General">
                  <c:v>279.94</c:v>
                </c:pt>
                <c:pt idx="18" formatCode="General">
                  <c:v>281.31</c:v>
                </c:pt>
                <c:pt idx="19" formatCode="General">
                  <c:v>282.47000000000003</c:v>
                </c:pt>
                <c:pt idx="20" formatCode="General">
                  <c:v>282.16000000000008</c:v>
                </c:pt>
                <c:pt idx="21" formatCode="General">
                  <c:v>285.63</c:v>
                </c:pt>
                <c:pt idx="22" formatCode="General">
                  <c:v>300.08</c:v>
                </c:pt>
                <c:pt idx="23" formatCode="General">
                  <c:v>287.2</c:v>
                </c:pt>
                <c:pt idx="24" formatCode="General">
                  <c:v>292.37</c:v>
                </c:pt>
                <c:pt idx="25" formatCode="General">
                  <c:v>291.29000000000002</c:v>
                </c:pt>
              </c:numCache>
            </c:numRef>
          </c:val>
          <c:smooth val="0"/>
        </c:ser>
        <c:dLbls>
          <c:showLegendKey val="0"/>
          <c:showVal val="0"/>
          <c:showCatName val="0"/>
          <c:showSerName val="0"/>
          <c:showPercent val="0"/>
          <c:showBubbleSize val="0"/>
        </c:dLbls>
        <c:marker val="1"/>
        <c:smooth val="0"/>
        <c:axId val="66034688"/>
        <c:axId val="66188032"/>
      </c:lineChart>
      <c:dateAx>
        <c:axId val="66034688"/>
        <c:scaling>
          <c:orientation val="minMax"/>
        </c:scaling>
        <c:delete val="0"/>
        <c:axPos val="b"/>
        <c:numFmt formatCode="mmm\-yy" sourceLinked="1"/>
        <c:majorTickMark val="out"/>
        <c:minorTickMark val="none"/>
        <c:tickLblPos val="nextTo"/>
        <c:txPr>
          <a:bodyPr/>
          <a:lstStyle/>
          <a:p>
            <a:pPr>
              <a:defRPr sz="800"/>
            </a:pPr>
            <a:endParaRPr lang="es-CO"/>
          </a:p>
        </c:txPr>
        <c:crossAx val="66188032"/>
        <c:crosses val="autoZero"/>
        <c:auto val="1"/>
        <c:lblOffset val="100"/>
        <c:baseTimeUnit val="months"/>
      </c:dateAx>
      <c:valAx>
        <c:axId val="66188032"/>
        <c:scaling>
          <c:orientation val="minMax"/>
          <c:max val="310"/>
          <c:min val="100"/>
        </c:scaling>
        <c:delete val="0"/>
        <c:axPos val="l"/>
        <c:majorGridlines>
          <c:spPr>
            <a:ln>
              <a:solidFill>
                <a:schemeClr val="bg1">
                  <a:lumMod val="85000"/>
                </a:schemeClr>
              </a:solidFill>
            </a:ln>
          </c:spPr>
        </c:majorGridlines>
        <c:numFmt formatCode="_([$$-240A]\ * #,##0_);_([$$-240A]\ * \(#,##0\);_([$$-240A]\ * &quot;-&quot;_);_(@_)" sourceLinked="0"/>
        <c:majorTickMark val="out"/>
        <c:minorTickMark val="none"/>
        <c:tickLblPos val="nextTo"/>
        <c:txPr>
          <a:bodyPr/>
          <a:lstStyle/>
          <a:p>
            <a:pPr>
              <a:defRPr sz="900"/>
            </a:pPr>
            <a:endParaRPr lang="es-CO"/>
          </a:p>
        </c:txPr>
        <c:crossAx val="66034688"/>
        <c:crosses val="autoZero"/>
        <c:crossBetween val="between"/>
      </c:valAx>
    </c:plotArea>
    <c:legend>
      <c:legendPos val="b"/>
      <c:overlay val="0"/>
      <c:txPr>
        <a:bodyPr/>
        <a:lstStyle/>
        <a:p>
          <a:pPr>
            <a:defRPr sz="800"/>
          </a:pPr>
          <a:endParaRPr lang="es-CO"/>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Tarifas de transporte de GLP por punto de entrega ($ por Galón)</a:t>
            </a:r>
          </a:p>
        </c:rich>
      </c:tx>
      <c:overlay val="0"/>
    </c:title>
    <c:autoTitleDeleted val="0"/>
    <c:plotArea>
      <c:layout/>
      <c:lineChart>
        <c:grouping val="standard"/>
        <c:varyColors val="0"/>
        <c:ser>
          <c:idx val="0"/>
          <c:order val="0"/>
          <c:tx>
            <c:strRef>
              <c:f>resumen!$A$15</c:f>
              <c:strCache>
                <c:ptCount val="1"/>
                <c:pt idx="0">
                  <c:v>Puerto Salgar</c:v>
                </c:pt>
              </c:strCache>
            </c:strRef>
          </c:tx>
          <c:marker>
            <c:symbol val="none"/>
          </c:marker>
          <c:cat>
            <c:numRef>
              <c:f>resumen!$B$14:$AA$14</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resumen!$B$15:$AA$15</c:f>
              <c:numCache>
                <c:formatCode>_(* #,##0.00_);_(* \(#,##0.00\);_(* "-"??_);_(@_)</c:formatCode>
                <c:ptCount val="26"/>
                <c:pt idx="0">
                  <c:v>157.32276338534308</c:v>
                </c:pt>
                <c:pt idx="1">
                  <c:v>156.80000000000001</c:v>
                </c:pt>
                <c:pt idx="2">
                  <c:v>157.08000000000001</c:v>
                </c:pt>
                <c:pt idx="3">
                  <c:v>157.43</c:v>
                </c:pt>
                <c:pt idx="4">
                  <c:v>157.41</c:v>
                </c:pt>
                <c:pt idx="5">
                  <c:v>157.38999999999999</c:v>
                </c:pt>
                <c:pt idx="6">
                  <c:v>157.13</c:v>
                </c:pt>
                <c:pt idx="7">
                  <c:v>155.88999999999999</c:v>
                </c:pt>
                <c:pt idx="8">
                  <c:v>155.47</c:v>
                </c:pt>
                <c:pt idx="9">
                  <c:v>155.61000000000001</c:v>
                </c:pt>
                <c:pt idx="10">
                  <c:v>156.63999999999999</c:v>
                </c:pt>
                <c:pt idx="11">
                  <c:v>158.53</c:v>
                </c:pt>
                <c:pt idx="12">
                  <c:v>161.22</c:v>
                </c:pt>
                <c:pt idx="13">
                  <c:v>161.91</c:v>
                </c:pt>
                <c:pt idx="14">
                  <c:v>161.69</c:v>
                </c:pt>
                <c:pt idx="15">
                  <c:v>161.13</c:v>
                </c:pt>
                <c:pt idx="16">
                  <c:v>160.74</c:v>
                </c:pt>
                <c:pt idx="17">
                  <c:v>161.83000000000001</c:v>
                </c:pt>
                <c:pt idx="18">
                  <c:v>162.65</c:v>
                </c:pt>
                <c:pt idx="19">
                  <c:v>163.35</c:v>
                </c:pt>
                <c:pt idx="20">
                  <c:v>163.19999999999999</c:v>
                </c:pt>
                <c:pt idx="21">
                  <c:v>165.24</c:v>
                </c:pt>
                <c:pt idx="22">
                  <c:v>173.63</c:v>
                </c:pt>
                <c:pt idx="23">
                  <c:v>166.2</c:v>
                </c:pt>
                <c:pt idx="24">
                  <c:v>169.22</c:v>
                </c:pt>
                <c:pt idx="25">
                  <c:v>168.62</c:v>
                </c:pt>
              </c:numCache>
            </c:numRef>
          </c:val>
          <c:smooth val="0"/>
        </c:ser>
        <c:ser>
          <c:idx val="1"/>
          <c:order val="1"/>
          <c:tx>
            <c:strRef>
              <c:f>resumen!$A$16</c:f>
              <c:strCache>
                <c:ptCount val="1"/>
                <c:pt idx="0">
                  <c:v>Sebastopol</c:v>
                </c:pt>
              </c:strCache>
            </c:strRef>
          </c:tx>
          <c:marker>
            <c:symbol val="none"/>
          </c:marker>
          <c:dLbls>
            <c:dLbl>
              <c:idx val="0"/>
              <c:layout>
                <c:manualLayout>
                  <c:x val="-1.1778565200108549E-2"/>
                  <c:y val="-2.7777777777777776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layout>
                <c:manualLayout>
                  <c:x val="-1.8845704320173677E-2"/>
                  <c:y val="-5.5555555555555552E-2"/>
                </c:manualLayout>
              </c:layout>
              <c:showLegendKey val="0"/>
              <c:showVal val="1"/>
              <c:showCatName val="1"/>
              <c:showSerName val="0"/>
              <c:showPercent val="0"/>
              <c:showBubbleSize val="0"/>
              <c:extLst>
                <c:ext xmlns:c15="http://schemas.microsoft.com/office/drawing/2012/chart" uri="{CE6537A1-D6FC-4f65-9D91-7224C49458BB}">
                  <c15:layout/>
                </c:ext>
              </c:extLst>
            </c:dLbl>
            <c:numFmt formatCode="_(&quot;$&quot;* #,##0_);_(&quot;$&quot;* \(#,##0\);_(&quot;$&quot;* &quot;-&quot;_);_(@_)" sourceLinked="0"/>
            <c:spPr>
              <a:noFill/>
              <a:ln>
                <a:noFill/>
              </a:ln>
              <a:effectLst/>
            </c:spPr>
            <c:txPr>
              <a:bodyPr/>
              <a:lstStyle/>
              <a:p>
                <a:pPr>
                  <a:defRPr sz="700"/>
                </a:pPr>
                <a:endParaRPr lang="es-CO"/>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resumen!$B$14:$AA$14</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resumen!$B$16:$AA$16</c:f>
              <c:numCache>
                <c:formatCode>_(* #,##0.00_);_(* \(#,##0.00\);_(* "-"??_);_(@_)</c:formatCode>
                <c:ptCount val="26"/>
                <c:pt idx="0">
                  <c:v>157.32276338534308</c:v>
                </c:pt>
                <c:pt idx="1">
                  <c:v>156.80000000000001</c:v>
                </c:pt>
                <c:pt idx="2">
                  <c:v>157.08000000000001</c:v>
                </c:pt>
                <c:pt idx="3">
                  <c:v>157.43</c:v>
                </c:pt>
                <c:pt idx="4">
                  <c:v>157.41</c:v>
                </c:pt>
                <c:pt idx="5">
                  <c:v>157.38999999999999</c:v>
                </c:pt>
                <c:pt idx="6">
                  <c:v>157.13</c:v>
                </c:pt>
                <c:pt idx="7">
                  <c:v>155.88999999999999</c:v>
                </c:pt>
                <c:pt idx="8">
                  <c:v>155.47</c:v>
                </c:pt>
                <c:pt idx="9">
                  <c:v>155.61000000000001</c:v>
                </c:pt>
                <c:pt idx="10">
                  <c:v>156.63999999999999</c:v>
                </c:pt>
                <c:pt idx="11">
                  <c:v>158.53</c:v>
                </c:pt>
                <c:pt idx="12">
                  <c:v>161.22</c:v>
                </c:pt>
                <c:pt idx="13">
                  <c:v>161.91</c:v>
                </c:pt>
                <c:pt idx="14">
                  <c:v>161.69</c:v>
                </c:pt>
                <c:pt idx="15">
                  <c:v>161.13</c:v>
                </c:pt>
                <c:pt idx="16">
                  <c:v>160.74</c:v>
                </c:pt>
                <c:pt idx="17">
                  <c:v>161.83000000000001</c:v>
                </c:pt>
                <c:pt idx="18">
                  <c:v>162.65</c:v>
                </c:pt>
                <c:pt idx="19">
                  <c:v>163.35</c:v>
                </c:pt>
                <c:pt idx="20">
                  <c:v>163.19999999999999</c:v>
                </c:pt>
                <c:pt idx="21">
                  <c:v>165.24</c:v>
                </c:pt>
                <c:pt idx="22">
                  <c:v>173.63</c:v>
                </c:pt>
                <c:pt idx="23">
                  <c:v>166.2</c:v>
                </c:pt>
                <c:pt idx="24">
                  <c:v>169.22</c:v>
                </c:pt>
                <c:pt idx="25">
                  <c:v>168.62</c:v>
                </c:pt>
              </c:numCache>
            </c:numRef>
          </c:val>
          <c:smooth val="0"/>
        </c:ser>
        <c:ser>
          <c:idx val="2"/>
          <c:order val="2"/>
          <c:tx>
            <c:strRef>
              <c:f>resumen!$A$17</c:f>
              <c:strCache>
                <c:ptCount val="1"/>
                <c:pt idx="0">
                  <c:v>Mansilla</c:v>
                </c:pt>
              </c:strCache>
            </c:strRef>
          </c:tx>
          <c:marker>
            <c:symbol val="none"/>
          </c:marker>
          <c:dLbls>
            <c:dLbl>
              <c:idx val="0"/>
              <c:layout>
                <c:manualLayout>
                  <c:x val="-2.1201417360195377E-2"/>
                  <c:y val="2.7777777777777693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layout>
                <c:manualLayout>
                  <c:x val="-1.6489991280151967E-2"/>
                  <c:y val="2.7777777777777776E-2"/>
                </c:manualLayout>
              </c:layout>
              <c:showLegendKey val="0"/>
              <c:showVal val="1"/>
              <c:showCatName val="1"/>
              <c:showSerName val="0"/>
              <c:showPercent val="0"/>
              <c:showBubbleSize val="0"/>
              <c:extLst>
                <c:ext xmlns:c15="http://schemas.microsoft.com/office/drawing/2012/chart" uri="{CE6537A1-D6FC-4f65-9D91-7224C49458BB}">
                  <c15:layout/>
                </c:ext>
              </c:extLst>
            </c:dLbl>
            <c:numFmt formatCode="_(&quot;$&quot;* #,##0_);_(&quot;$&quot;* \(#,##0\);_(&quot;$&quot;* &quot;-&quot;_);_(@_)" sourceLinked="0"/>
            <c:spPr>
              <a:noFill/>
              <a:ln>
                <a:noFill/>
              </a:ln>
              <a:effectLst/>
            </c:spPr>
            <c:txPr>
              <a:bodyPr/>
              <a:lstStyle/>
              <a:p>
                <a:pPr>
                  <a:defRPr sz="700"/>
                </a:pPr>
                <a:endParaRPr lang="es-CO"/>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resumen!$B$14:$AA$14</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resumen!$B$17:$AA$17</c:f>
              <c:numCache>
                <c:formatCode>_(* #,##0.00_);_(* \(#,##0.00\);_(* "-"??_);_(@_)</c:formatCode>
                <c:ptCount val="26"/>
                <c:pt idx="0">
                  <c:v>362.67124423190478</c:v>
                </c:pt>
                <c:pt idx="1">
                  <c:v>361.47</c:v>
                </c:pt>
                <c:pt idx="2">
                  <c:v>362.11</c:v>
                </c:pt>
                <c:pt idx="3">
                  <c:v>362.91</c:v>
                </c:pt>
                <c:pt idx="4">
                  <c:v>362.86</c:v>
                </c:pt>
                <c:pt idx="5">
                  <c:v>362.81</c:v>
                </c:pt>
                <c:pt idx="6">
                  <c:v>362.2</c:v>
                </c:pt>
                <c:pt idx="7">
                  <c:v>359.34</c:v>
                </c:pt>
                <c:pt idx="8">
                  <c:v>358.37</c:v>
                </c:pt>
                <c:pt idx="9">
                  <c:v>358.69</c:v>
                </c:pt>
                <c:pt idx="10">
                  <c:v>361.05</c:v>
                </c:pt>
                <c:pt idx="11">
                  <c:v>365.41</c:v>
                </c:pt>
                <c:pt idx="12">
                  <c:v>371.61</c:v>
                </c:pt>
                <c:pt idx="13">
                  <c:v>373.19</c:v>
                </c:pt>
                <c:pt idx="14">
                  <c:v>372.67</c:v>
                </c:pt>
                <c:pt idx="15">
                  <c:v>371.38</c:v>
                </c:pt>
                <c:pt idx="16">
                  <c:v>370.48</c:v>
                </c:pt>
                <c:pt idx="17">
                  <c:v>372.99</c:v>
                </c:pt>
                <c:pt idx="18">
                  <c:v>374.88</c:v>
                </c:pt>
                <c:pt idx="19">
                  <c:v>376.49</c:v>
                </c:pt>
                <c:pt idx="20">
                  <c:v>376.13</c:v>
                </c:pt>
                <c:pt idx="21">
                  <c:v>380.83</c:v>
                </c:pt>
                <c:pt idx="22">
                  <c:v>400.16</c:v>
                </c:pt>
                <c:pt idx="23">
                  <c:v>383.04</c:v>
                </c:pt>
                <c:pt idx="24">
                  <c:v>389.99</c:v>
                </c:pt>
                <c:pt idx="25">
                  <c:v>388.61</c:v>
                </c:pt>
              </c:numCache>
            </c:numRef>
          </c:val>
          <c:smooth val="0"/>
        </c:ser>
        <c:ser>
          <c:idx val="3"/>
          <c:order val="3"/>
          <c:tx>
            <c:strRef>
              <c:f>resumen!$A$18</c:f>
              <c:strCache>
                <c:ptCount val="1"/>
                <c:pt idx="0">
                  <c:v>Chimitá</c:v>
                </c:pt>
              </c:strCache>
            </c:strRef>
          </c:tx>
          <c:marker>
            <c:symbol val="none"/>
          </c:marker>
          <c:dLbls>
            <c:dLbl>
              <c:idx val="0"/>
              <c:layout>
                <c:manualLayout>
                  <c:x val="-9.4228521600868385E-3"/>
                  <c:y val="-2.7777777777777776E-2"/>
                </c:manualLayout>
              </c:layout>
              <c:numFmt formatCode="_(&quot;$&quot;* #,##0_);_(&quot;$&quot;* \(#,##0\);_(&quot;$&quot;* &quot;-&quot;_);_(@_)" sourceLinked="0"/>
              <c:spPr/>
              <c:txPr>
                <a:bodyPr/>
                <a:lstStyle/>
                <a:p>
                  <a:pPr>
                    <a:defRPr sz="700"/>
                  </a:pPr>
                  <a:endParaRPr lang="es-CO"/>
                </a:p>
              </c:txPr>
              <c:showLegendKey val="0"/>
              <c:showVal val="1"/>
              <c:showCatName val="1"/>
              <c:showSerName val="0"/>
              <c:showPercent val="0"/>
              <c:showBubbleSize val="0"/>
              <c:extLst>
                <c:ext xmlns:c15="http://schemas.microsoft.com/office/drawing/2012/chart" uri="{CE6537A1-D6FC-4f65-9D91-7224C49458BB}">
                  <c15:layout/>
                </c:ext>
              </c:extLst>
            </c:dLbl>
            <c:dLbl>
              <c:idx val="25"/>
              <c:layout>
                <c:manualLayout>
                  <c:x val="-1.1778565200108549E-2"/>
                  <c:y val="-2.7777777777777863E-2"/>
                </c:manualLayout>
              </c:layout>
              <c:numFmt formatCode="_(&quot;$&quot;* #,##0_);_(&quot;$&quot;* \(#,##0\);_(&quot;$&quot;* &quot;-&quot;_);_(@_)" sourceLinked="0"/>
              <c:spPr/>
              <c:txPr>
                <a:bodyPr/>
                <a:lstStyle/>
                <a:p>
                  <a:pPr>
                    <a:defRPr sz="700"/>
                  </a:pPr>
                  <a:endParaRPr lang="es-CO"/>
                </a:p>
              </c:txPr>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resumen!$B$14:$AA$14</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resumen!$B$18:$AA$18</c:f>
              <c:numCache>
                <c:formatCode>_(* #,##0.00_);_(* \(#,##0.00\);_(* "-"??_);_(@_)</c:formatCode>
                <c:ptCount val="26"/>
                <c:pt idx="0">
                  <c:v>109.11964137854872</c:v>
                </c:pt>
                <c:pt idx="1">
                  <c:v>108.75</c:v>
                </c:pt>
                <c:pt idx="2">
                  <c:v>108.93</c:v>
                </c:pt>
                <c:pt idx="3">
                  <c:v>109.16</c:v>
                </c:pt>
                <c:pt idx="4">
                  <c:v>109.13</c:v>
                </c:pt>
                <c:pt idx="5">
                  <c:v>109.11</c:v>
                </c:pt>
                <c:pt idx="6">
                  <c:v>108.91</c:v>
                </c:pt>
                <c:pt idx="7">
                  <c:v>108.04</c:v>
                </c:pt>
                <c:pt idx="8">
                  <c:v>107.73</c:v>
                </c:pt>
                <c:pt idx="9">
                  <c:v>107.82</c:v>
                </c:pt>
                <c:pt idx="10">
                  <c:v>108.52</c:v>
                </c:pt>
                <c:pt idx="11">
                  <c:v>109.82</c:v>
                </c:pt>
                <c:pt idx="12">
                  <c:v>111.67</c:v>
                </c:pt>
                <c:pt idx="13">
                  <c:v>112.13</c:v>
                </c:pt>
                <c:pt idx="14">
                  <c:v>111.97</c:v>
                </c:pt>
                <c:pt idx="15">
                  <c:v>111.57</c:v>
                </c:pt>
                <c:pt idx="16">
                  <c:v>111.29</c:v>
                </c:pt>
                <c:pt idx="17">
                  <c:v>112.03</c:v>
                </c:pt>
                <c:pt idx="18">
                  <c:v>112.58</c:v>
                </c:pt>
                <c:pt idx="19">
                  <c:v>113.06</c:v>
                </c:pt>
                <c:pt idx="20">
                  <c:v>112.94</c:v>
                </c:pt>
                <c:pt idx="21">
                  <c:v>114.33</c:v>
                </c:pt>
                <c:pt idx="22">
                  <c:v>120.12</c:v>
                </c:pt>
                <c:pt idx="23">
                  <c:v>114.97</c:v>
                </c:pt>
                <c:pt idx="24">
                  <c:v>117.05</c:v>
                </c:pt>
                <c:pt idx="25">
                  <c:v>116.62</c:v>
                </c:pt>
              </c:numCache>
            </c:numRef>
          </c:val>
          <c:smooth val="0"/>
        </c:ser>
        <c:ser>
          <c:idx val="4"/>
          <c:order val="4"/>
          <c:tx>
            <c:strRef>
              <c:f>resumen!$A$19</c:f>
              <c:strCache>
                <c:ptCount val="1"/>
                <c:pt idx="0">
                  <c:v>Manizales</c:v>
                </c:pt>
              </c:strCache>
            </c:strRef>
          </c:tx>
          <c:marker>
            <c:symbol val="none"/>
          </c:marker>
          <c:cat>
            <c:numRef>
              <c:f>resumen!$B$14:$AA$14</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resumen!$B$19:$AA$19</c:f>
              <c:numCache>
                <c:formatCode>_(* #,##0.00_);_(* \(#,##0.00\);_(* "-"??_);_(@_)</c:formatCode>
                <c:ptCount val="26"/>
                <c:pt idx="0">
                  <c:v>379.92194132316797</c:v>
                </c:pt>
                <c:pt idx="1">
                  <c:v>378.63</c:v>
                </c:pt>
                <c:pt idx="2">
                  <c:v>379.27</c:v>
                </c:pt>
                <c:pt idx="3">
                  <c:v>380.07</c:v>
                </c:pt>
                <c:pt idx="4">
                  <c:v>379.99</c:v>
                </c:pt>
                <c:pt idx="5">
                  <c:v>379.9</c:v>
                </c:pt>
                <c:pt idx="6">
                  <c:v>429.43</c:v>
                </c:pt>
                <c:pt idx="7">
                  <c:v>426</c:v>
                </c:pt>
                <c:pt idx="8">
                  <c:v>424.8</c:v>
                </c:pt>
                <c:pt idx="9">
                  <c:v>425.14</c:v>
                </c:pt>
                <c:pt idx="10">
                  <c:v>427.91</c:v>
                </c:pt>
                <c:pt idx="11">
                  <c:v>433.03</c:v>
                </c:pt>
                <c:pt idx="12">
                  <c:v>440.33</c:v>
                </c:pt>
                <c:pt idx="13">
                  <c:v>442.16</c:v>
                </c:pt>
                <c:pt idx="14">
                  <c:v>441.51</c:v>
                </c:pt>
                <c:pt idx="15">
                  <c:v>439.93</c:v>
                </c:pt>
                <c:pt idx="16">
                  <c:v>438.83</c:v>
                </c:pt>
                <c:pt idx="17">
                  <c:v>441.77</c:v>
                </c:pt>
                <c:pt idx="18">
                  <c:v>443.96</c:v>
                </c:pt>
                <c:pt idx="19">
                  <c:v>445.82</c:v>
                </c:pt>
                <c:pt idx="20">
                  <c:v>445.36</c:v>
                </c:pt>
                <c:pt idx="21">
                  <c:v>450.87</c:v>
                </c:pt>
                <c:pt idx="22">
                  <c:v>473.71</c:v>
                </c:pt>
                <c:pt idx="23">
                  <c:v>453.4</c:v>
                </c:pt>
                <c:pt idx="24">
                  <c:v>461.59</c:v>
                </c:pt>
                <c:pt idx="25">
                  <c:v>459.91</c:v>
                </c:pt>
              </c:numCache>
            </c:numRef>
          </c:val>
          <c:smooth val="0"/>
        </c:ser>
        <c:ser>
          <c:idx val="5"/>
          <c:order val="5"/>
          <c:tx>
            <c:strRef>
              <c:f>resumen!$A$20</c:f>
              <c:strCache>
                <c:ptCount val="1"/>
                <c:pt idx="0">
                  <c:v>Pereira</c:v>
                </c:pt>
              </c:strCache>
            </c:strRef>
          </c:tx>
          <c:marker>
            <c:symbol val="none"/>
          </c:marker>
          <c:dLbls>
            <c:dLbl>
              <c:idx val="0"/>
              <c:layout>
                <c:manualLayout>
                  <c:x val="-1.1778565200108549E-2"/>
                  <c:y val="-1.8518518518518517E-2"/>
                </c:manualLayout>
              </c:layout>
              <c:numFmt formatCode="_(&quot;$&quot;* #,##0_);_(&quot;$&quot;* \(#,##0\);_(&quot;$&quot;* &quot;-&quot;_);_(@_)" sourceLinked="0"/>
              <c:spPr/>
              <c:txPr>
                <a:bodyPr/>
                <a:lstStyle/>
                <a:p>
                  <a:pPr>
                    <a:defRPr sz="700" b="1"/>
                  </a:pPr>
                  <a:endParaRPr lang="es-CO"/>
                </a:p>
              </c:txPr>
              <c:showLegendKey val="0"/>
              <c:showVal val="1"/>
              <c:showCatName val="1"/>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delete val="1"/>
              <c:extLst>
                <c:ext xmlns:c15="http://schemas.microsoft.com/office/drawing/2012/chart" uri="{CE6537A1-D6FC-4f65-9D91-7224C49458BB}"/>
              </c:extLst>
            </c:dLbl>
            <c:numFmt formatCode="_(&quot;$&quot;* #,##0_);_(&quot;$&quot;* \(#,##0\);_(&quot;$&quot;* &quot;-&quot;_);_(@_)" sourceLinked="0"/>
            <c:spPr>
              <a:noFill/>
              <a:ln>
                <a:noFill/>
              </a:ln>
              <a:effectLst/>
            </c:spPr>
            <c:txPr>
              <a:bodyPr/>
              <a:lstStyle/>
              <a:p>
                <a:pPr>
                  <a:defRPr sz="700"/>
                </a:pPr>
                <a:endParaRPr lang="es-CO"/>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resumen!$B$14:$AA$14</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resumen!$B$20:$AA$20</c:f>
              <c:numCache>
                <c:formatCode>_(* #,##0.00_);_(* \(#,##0.00\);_(* "-"??_);_(@_)</c:formatCode>
                <c:ptCount val="26"/>
                <c:pt idx="0">
                  <c:v>379.92194132316797</c:v>
                </c:pt>
                <c:pt idx="1">
                  <c:v>378.63</c:v>
                </c:pt>
                <c:pt idx="2">
                  <c:v>379.27</c:v>
                </c:pt>
                <c:pt idx="3">
                  <c:v>380.07</c:v>
                </c:pt>
                <c:pt idx="4">
                  <c:v>379.99</c:v>
                </c:pt>
                <c:pt idx="5">
                  <c:v>379.9</c:v>
                </c:pt>
                <c:pt idx="6">
                  <c:v>429.43</c:v>
                </c:pt>
                <c:pt idx="7">
                  <c:v>426</c:v>
                </c:pt>
                <c:pt idx="8">
                  <c:v>424.8</c:v>
                </c:pt>
                <c:pt idx="9">
                  <c:v>425.14</c:v>
                </c:pt>
                <c:pt idx="10">
                  <c:v>427.91</c:v>
                </c:pt>
                <c:pt idx="11">
                  <c:v>433.03</c:v>
                </c:pt>
                <c:pt idx="12">
                  <c:v>440.33</c:v>
                </c:pt>
                <c:pt idx="13">
                  <c:v>442.16</c:v>
                </c:pt>
                <c:pt idx="14">
                  <c:v>441.51</c:v>
                </c:pt>
                <c:pt idx="15">
                  <c:v>439.93</c:v>
                </c:pt>
                <c:pt idx="16">
                  <c:v>438.83</c:v>
                </c:pt>
                <c:pt idx="17">
                  <c:v>441.77</c:v>
                </c:pt>
                <c:pt idx="18">
                  <c:v>443.96</c:v>
                </c:pt>
                <c:pt idx="19">
                  <c:v>445.82</c:v>
                </c:pt>
                <c:pt idx="20">
                  <c:v>445.36</c:v>
                </c:pt>
                <c:pt idx="21">
                  <c:v>450.87</c:v>
                </c:pt>
                <c:pt idx="22">
                  <c:v>473.71</c:v>
                </c:pt>
                <c:pt idx="23">
                  <c:v>453.4</c:v>
                </c:pt>
                <c:pt idx="24">
                  <c:v>461.59</c:v>
                </c:pt>
                <c:pt idx="25">
                  <c:v>459.91</c:v>
                </c:pt>
              </c:numCache>
            </c:numRef>
          </c:val>
          <c:smooth val="0"/>
        </c:ser>
        <c:ser>
          <c:idx val="6"/>
          <c:order val="6"/>
          <c:tx>
            <c:strRef>
              <c:f>resumen!$A$21</c:f>
              <c:strCache>
                <c:ptCount val="1"/>
                <c:pt idx="0">
                  <c:v>Cartago</c:v>
                </c:pt>
              </c:strCache>
            </c:strRef>
          </c:tx>
          <c:marker>
            <c:symbol val="none"/>
          </c:marker>
          <c:dLbls>
            <c:dLbl>
              <c:idx val="0"/>
              <c:layout>
                <c:manualLayout>
                  <c:x val="-1.4134278240130258E-2"/>
                  <c:y val="-3.2407407407407406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layout>
                <c:manualLayout>
                  <c:x val="-2.8268556480260516E-2"/>
                  <c:y val="-4.1667031204432735E-2"/>
                </c:manualLayout>
              </c:layout>
              <c:showLegendKey val="0"/>
              <c:showVal val="1"/>
              <c:showCatName val="1"/>
              <c:showSerName val="0"/>
              <c:showPercent val="0"/>
              <c:showBubbleSize val="0"/>
              <c:extLst>
                <c:ext xmlns:c15="http://schemas.microsoft.com/office/drawing/2012/chart" uri="{CE6537A1-D6FC-4f65-9D91-7224C49458BB}">
                  <c15:layout/>
                </c:ext>
              </c:extLst>
            </c:dLbl>
            <c:numFmt formatCode="_(&quot;$&quot;* #,##0_);_(&quot;$&quot;* \(#,##0\);_(&quot;$&quot;* &quot;-&quot;_);_(@_)" sourceLinked="0"/>
            <c:spPr>
              <a:noFill/>
              <a:ln>
                <a:noFill/>
              </a:ln>
              <a:effectLst/>
            </c:spPr>
            <c:txPr>
              <a:bodyPr/>
              <a:lstStyle/>
              <a:p>
                <a:pPr>
                  <a:defRPr sz="700" b="1"/>
                </a:pPr>
                <a:endParaRPr lang="es-CO"/>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resumen!$B$14:$AA$14</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resumen!$B$21:$AA$21</c:f>
              <c:numCache>
                <c:formatCode>_(* #,##0.00_);_(* \(#,##0.00\);_(* "-"??_);_(@_)</c:formatCode>
                <c:ptCount val="26"/>
                <c:pt idx="0">
                  <c:v>430.22783050868213</c:v>
                </c:pt>
                <c:pt idx="1">
                  <c:v>428.76</c:v>
                </c:pt>
                <c:pt idx="2">
                  <c:v>429.48</c:v>
                </c:pt>
                <c:pt idx="3">
                  <c:v>430.39</c:v>
                </c:pt>
                <c:pt idx="4">
                  <c:v>430.29</c:v>
                </c:pt>
                <c:pt idx="5">
                  <c:v>430.19</c:v>
                </c:pt>
                <c:pt idx="6">
                  <c:v>429.43</c:v>
                </c:pt>
                <c:pt idx="7">
                  <c:v>426</c:v>
                </c:pt>
                <c:pt idx="8">
                  <c:v>424.8</c:v>
                </c:pt>
                <c:pt idx="9">
                  <c:v>425.14</c:v>
                </c:pt>
                <c:pt idx="10">
                  <c:v>427.91</c:v>
                </c:pt>
                <c:pt idx="11">
                  <c:v>433.03</c:v>
                </c:pt>
                <c:pt idx="12">
                  <c:v>440.33</c:v>
                </c:pt>
                <c:pt idx="13">
                  <c:v>442.16</c:v>
                </c:pt>
                <c:pt idx="14">
                  <c:v>441.51</c:v>
                </c:pt>
                <c:pt idx="15">
                  <c:v>439.93</c:v>
                </c:pt>
                <c:pt idx="16">
                  <c:v>438.83</c:v>
                </c:pt>
                <c:pt idx="17">
                  <c:v>441.77</c:v>
                </c:pt>
                <c:pt idx="18">
                  <c:v>443.96</c:v>
                </c:pt>
                <c:pt idx="19">
                  <c:v>445.82</c:v>
                </c:pt>
                <c:pt idx="20">
                  <c:v>445.36</c:v>
                </c:pt>
                <c:pt idx="21">
                  <c:v>450.87</c:v>
                </c:pt>
                <c:pt idx="22">
                  <c:v>473.71</c:v>
                </c:pt>
                <c:pt idx="23">
                  <c:v>453.4</c:v>
                </c:pt>
                <c:pt idx="24">
                  <c:v>461.59</c:v>
                </c:pt>
                <c:pt idx="25">
                  <c:v>459.91</c:v>
                </c:pt>
              </c:numCache>
            </c:numRef>
          </c:val>
          <c:smooth val="0"/>
        </c:ser>
        <c:ser>
          <c:idx val="7"/>
          <c:order val="7"/>
          <c:tx>
            <c:strRef>
              <c:f>resumen!$A$22</c:f>
              <c:strCache>
                <c:ptCount val="1"/>
                <c:pt idx="0">
                  <c:v>Yumbo</c:v>
                </c:pt>
              </c:strCache>
            </c:strRef>
          </c:tx>
          <c:marker>
            <c:symbol val="none"/>
          </c:marker>
          <c:dLbls>
            <c:dLbl>
              <c:idx val="0"/>
              <c:layout>
                <c:manualLayout>
                  <c:x val="-9.4228521600868385E-3"/>
                  <c:y val="-3.7037037037037077E-2"/>
                </c:manualLayout>
              </c:layout>
              <c:showLegendKey val="0"/>
              <c:showVal val="1"/>
              <c:showCatName val="1"/>
              <c:showSerName val="0"/>
              <c:showPercent val="0"/>
              <c:showBubbleSize val="0"/>
              <c:extLst>
                <c:ext xmlns:c15="http://schemas.microsoft.com/office/drawing/2012/chart" uri="{CE6537A1-D6FC-4f65-9D91-7224C49458BB}">
                  <c15:layout/>
                </c:ext>
              </c:extLst>
            </c:dLbl>
            <c:dLbl>
              <c:idx val="1"/>
              <c:delete val="1"/>
              <c:extLst>
                <c:ext xmlns:c15="http://schemas.microsoft.com/office/drawing/2012/chart" uri="{CE6537A1-D6FC-4f65-9D91-7224C49458BB}"/>
              </c:extLst>
            </c:dLbl>
            <c:dLbl>
              <c:idx val="2"/>
              <c:delete val="1"/>
              <c:extLst>
                <c:ext xmlns:c15="http://schemas.microsoft.com/office/drawing/2012/chart" uri="{CE6537A1-D6FC-4f65-9D91-7224C49458BB}"/>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delete val="1"/>
              <c:extLst>
                <c:ext xmlns:c15="http://schemas.microsoft.com/office/drawing/2012/chart" uri="{CE6537A1-D6FC-4f65-9D91-7224C49458BB}"/>
              </c:extLst>
            </c:dLbl>
            <c:dLbl>
              <c:idx val="19"/>
              <c:delete val="1"/>
              <c:extLst>
                <c:ext xmlns:c15="http://schemas.microsoft.com/office/drawing/2012/chart" uri="{CE6537A1-D6FC-4f65-9D91-7224C49458BB}"/>
              </c:extLst>
            </c:dLbl>
            <c:dLbl>
              <c:idx val="20"/>
              <c:delete val="1"/>
              <c:extLst>
                <c:ext xmlns:c15="http://schemas.microsoft.com/office/drawing/2012/chart" uri="{CE6537A1-D6FC-4f65-9D91-7224C49458BB}"/>
              </c:extLst>
            </c:dLbl>
            <c:dLbl>
              <c:idx val="21"/>
              <c:delete val="1"/>
              <c:extLst>
                <c:ext xmlns:c15="http://schemas.microsoft.com/office/drawing/2012/chart" uri="{CE6537A1-D6FC-4f65-9D91-7224C49458BB}"/>
              </c:extLst>
            </c:dLbl>
            <c:dLbl>
              <c:idx val="22"/>
              <c:delete val="1"/>
              <c:extLst>
                <c:ext xmlns:c15="http://schemas.microsoft.com/office/drawing/2012/chart" uri="{CE6537A1-D6FC-4f65-9D91-7224C49458BB}"/>
              </c:extLst>
            </c:dLbl>
            <c:dLbl>
              <c:idx val="23"/>
              <c:delete val="1"/>
              <c:extLst>
                <c:ext xmlns:c15="http://schemas.microsoft.com/office/drawing/2012/chart" uri="{CE6537A1-D6FC-4f65-9D91-7224C49458BB}"/>
              </c:extLst>
            </c:dLbl>
            <c:dLbl>
              <c:idx val="24"/>
              <c:delete val="1"/>
              <c:extLst>
                <c:ext xmlns:c15="http://schemas.microsoft.com/office/drawing/2012/chart" uri="{CE6537A1-D6FC-4f65-9D91-7224C49458BB}"/>
              </c:extLst>
            </c:dLbl>
            <c:dLbl>
              <c:idx val="25"/>
              <c:layout>
                <c:manualLayout>
                  <c:x val="-1.8845704320173677E-2"/>
                  <c:y val="-4.6296660834062406E-2"/>
                </c:manualLayout>
              </c:layout>
              <c:showLegendKey val="0"/>
              <c:showVal val="1"/>
              <c:showCatName val="1"/>
              <c:showSerName val="0"/>
              <c:showPercent val="0"/>
              <c:showBubbleSize val="0"/>
              <c:extLst>
                <c:ext xmlns:c15="http://schemas.microsoft.com/office/drawing/2012/chart" uri="{CE6537A1-D6FC-4f65-9D91-7224C49458BB}">
                  <c15:layout/>
                </c:ext>
              </c:extLst>
            </c:dLbl>
            <c:numFmt formatCode="_(&quot;$&quot;* #,##0_);_(&quot;$&quot;* \(#,##0\);_(&quot;$&quot;* &quot;-&quot;_);_(@_)" sourceLinked="0"/>
            <c:spPr>
              <a:ln>
                <a:noFill/>
              </a:ln>
            </c:spPr>
            <c:txPr>
              <a:bodyPr/>
              <a:lstStyle/>
              <a:p>
                <a:pPr>
                  <a:defRPr sz="700" b="1"/>
                </a:pPr>
                <a:endParaRPr lang="es-CO"/>
              </a:p>
            </c:txPr>
            <c:showLegendKey val="0"/>
            <c:showVal val="1"/>
            <c:showCatName val="1"/>
            <c:showSerName val="0"/>
            <c:showPercent val="0"/>
            <c:showBubbleSize val="0"/>
            <c:showLeaderLines val="0"/>
            <c:extLst>
              <c:ext xmlns:c15="http://schemas.microsoft.com/office/drawing/2012/chart" uri="{CE6537A1-D6FC-4f65-9D91-7224C49458BB}">
                <c15:showLeaderLines val="0"/>
              </c:ext>
            </c:extLst>
          </c:dLbls>
          <c:cat>
            <c:numRef>
              <c:f>resumen!$B$14:$AA$14</c:f>
              <c:numCache>
                <c:formatCode>mmm\-yy</c:formatCode>
                <c:ptCount val="26"/>
                <c:pt idx="0">
                  <c:v>41365</c:v>
                </c:pt>
                <c:pt idx="1">
                  <c:v>41395</c:v>
                </c:pt>
                <c:pt idx="2">
                  <c:v>41426</c:v>
                </c:pt>
                <c:pt idx="3">
                  <c:v>41456</c:v>
                </c:pt>
                <c:pt idx="4">
                  <c:v>41487</c:v>
                </c:pt>
                <c:pt idx="5">
                  <c:v>41518</c:v>
                </c:pt>
                <c:pt idx="6">
                  <c:v>41548</c:v>
                </c:pt>
                <c:pt idx="7">
                  <c:v>41579</c:v>
                </c:pt>
                <c:pt idx="8">
                  <c:v>41609</c:v>
                </c:pt>
                <c:pt idx="9">
                  <c:v>41640</c:v>
                </c:pt>
                <c:pt idx="10">
                  <c:v>41671</c:v>
                </c:pt>
                <c:pt idx="11">
                  <c:v>41699</c:v>
                </c:pt>
                <c:pt idx="12">
                  <c:v>41730</c:v>
                </c:pt>
                <c:pt idx="13">
                  <c:v>41760</c:v>
                </c:pt>
                <c:pt idx="14">
                  <c:v>41791</c:v>
                </c:pt>
                <c:pt idx="15">
                  <c:v>41821</c:v>
                </c:pt>
                <c:pt idx="16">
                  <c:v>41852</c:v>
                </c:pt>
                <c:pt idx="17">
                  <c:v>41883</c:v>
                </c:pt>
                <c:pt idx="18">
                  <c:v>41913</c:v>
                </c:pt>
                <c:pt idx="19">
                  <c:v>41944</c:v>
                </c:pt>
                <c:pt idx="20">
                  <c:v>41974</c:v>
                </c:pt>
                <c:pt idx="21">
                  <c:v>42005</c:v>
                </c:pt>
                <c:pt idx="22">
                  <c:v>42036</c:v>
                </c:pt>
                <c:pt idx="23">
                  <c:v>42064</c:v>
                </c:pt>
                <c:pt idx="24">
                  <c:v>42095</c:v>
                </c:pt>
                <c:pt idx="25">
                  <c:v>42125</c:v>
                </c:pt>
              </c:numCache>
            </c:numRef>
          </c:cat>
          <c:val>
            <c:numRef>
              <c:f>resumen!$B$22:$AA$22</c:f>
              <c:numCache>
                <c:formatCode>_(* #,##0.00_);_(* \(#,##0.00\);_(* "-"??_);_(@_)</c:formatCode>
                <c:ptCount val="26"/>
                <c:pt idx="0">
                  <c:v>575.71623866959101</c:v>
                </c:pt>
                <c:pt idx="1">
                  <c:v>573.76</c:v>
                </c:pt>
                <c:pt idx="2">
                  <c:v>574.74</c:v>
                </c:pt>
                <c:pt idx="3">
                  <c:v>575.96</c:v>
                </c:pt>
                <c:pt idx="4">
                  <c:v>575.84</c:v>
                </c:pt>
                <c:pt idx="5">
                  <c:v>575.72</c:v>
                </c:pt>
                <c:pt idx="6">
                  <c:v>574.71</c:v>
                </c:pt>
                <c:pt idx="7">
                  <c:v>570.13</c:v>
                </c:pt>
                <c:pt idx="8">
                  <c:v>568.53</c:v>
                </c:pt>
                <c:pt idx="9">
                  <c:v>569</c:v>
                </c:pt>
                <c:pt idx="10">
                  <c:v>572.71</c:v>
                </c:pt>
                <c:pt idx="11">
                  <c:v>579.57000000000005</c:v>
                </c:pt>
                <c:pt idx="12">
                  <c:v>589.36</c:v>
                </c:pt>
                <c:pt idx="13">
                  <c:v>591.80999999999995</c:v>
                </c:pt>
                <c:pt idx="14">
                  <c:v>590.95000000000005</c:v>
                </c:pt>
                <c:pt idx="15">
                  <c:v>588.85</c:v>
                </c:pt>
                <c:pt idx="16">
                  <c:v>587.39</c:v>
                </c:pt>
                <c:pt idx="17">
                  <c:v>591.33000000000004</c:v>
                </c:pt>
                <c:pt idx="18">
                  <c:v>594.28</c:v>
                </c:pt>
                <c:pt idx="19">
                  <c:v>596.78</c:v>
                </c:pt>
                <c:pt idx="20">
                  <c:v>596.16999999999996</c:v>
                </c:pt>
                <c:pt idx="21">
                  <c:v>603.55999999999995</c:v>
                </c:pt>
                <c:pt idx="22">
                  <c:v>634.14</c:v>
                </c:pt>
                <c:pt idx="23">
                  <c:v>606.96</c:v>
                </c:pt>
                <c:pt idx="24">
                  <c:v>617.94000000000005</c:v>
                </c:pt>
                <c:pt idx="25">
                  <c:v>615.70000000000005</c:v>
                </c:pt>
              </c:numCache>
            </c:numRef>
          </c:val>
          <c:smooth val="0"/>
        </c:ser>
        <c:dLbls>
          <c:showLegendKey val="0"/>
          <c:showVal val="0"/>
          <c:showCatName val="0"/>
          <c:showSerName val="0"/>
          <c:showPercent val="0"/>
          <c:showBubbleSize val="0"/>
        </c:dLbls>
        <c:marker val="1"/>
        <c:smooth val="0"/>
        <c:axId val="66406656"/>
        <c:axId val="66486272"/>
      </c:lineChart>
      <c:dateAx>
        <c:axId val="66406656"/>
        <c:scaling>
          <c:orientation val="minMax"/>
        </c:scaling>
        <c:delete val="0"/>
        <c:axPos val="b"/>
        <c:numFmt formatCode="mmm\-yy" sourceLinked="1"/>
        <c:majorTickMark val="out"/>
        <c:minorTickMark val="none"/>
        <c:tickLblPos val="nextTo"/>
        <c:txPr>
          <a:bodyPr/>
          <a:lstStyle/>
          <a:p>
            <a:pPr>
              <a:defRPr sz="800"/>
            </a:pPr>
            <a:endParaRPr lang="es-CO"/>
          </a:p>
        </c:txPr>
        <c:crossAx val="66486272"/>
        <c:crosses val="autoZero"/>
        <c:auto val="1"/>
        <c:lblOffset val="100"/>
        <c:baseTimeUnit val="months"/>
      </c:dateAx>
      <c:valAx>
        <c:axId val="66486272"/>
        <c:scaling>
          <c:orientation val="minMax"/>
          <c:max val="640"/>
          <c:min val="100"/>
        </c:scaling>
        <c:delete val="0"/>
        <c:axPos val="l"/>
        <c:majorGridlines/>
        <c:numFmt formatCode="_(&quot;$&quot;* #,##0_);_(&quot;$&quot;* \(#,##0\);_(&quot;$&quot;* &quot;-&quot;_);_(@_)" sourceLinked="0"/>
        <c:majorTickMark val="out"/>
        <c:minorTickMark val="none"/>
        <c:tickLblPos val="nextTo"/>
        <c:txPr>
          <a:bodyPr/>
          <a:lstStyle/>
          <a:p>
            <a:pPr>
              <a:defRPr sz="900"/>
            </a:pPr>
            <a:endParaRPr lang="es-CO"/>
          </a:p>
        </c:txPr>
        <c:crossAx val="66406656"/>
        <c:crosses val="autoZero"/>
        <c:crossBetween val="between"/>
      </c:valAx>
    </c:plotArea>
    <c:legend>
      <c:legendPos val="t"/>
      <c:overlay val="0"/>
      <c:txPr>
        <a:bodyPr/>
        <a:lstStyle/>
        <a:p>
          <a:pPr>
            <a:defRPr sz="600"/>
          </a:pPr>
          <a:endParaRPr lang="es-CO"/>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pPr>
            <a:r>
              <a:rPr lang="es-CO" sz="1200"/>
              <a:t>Tarifa estampilla transporte de GLP por poliductos ($</a:t>
            </a:r>
            <a:r>
              <a:rPr lang="es-CO" sz="1200" baseline="0"/>
              <a:t> por Galón)</a:t>
            </a:r>
            <a:endParaRPr lang="es-CO" sz="1200"/>
          </a:p>
        </c:rich>
      </c:tx>
      <c:overlay val="0"/>
    </c:title>
    <c:autoTitleDeleted val="0"/>
    <c:plotArea>
      <c:layout/>
      <c:lineChart>
        <c:grouping val="standard"/>
        <c:varyColors val="0"/>
        <c:ser>
          <c:idx val="0"/>
          <c:order val="0"/>
          <c:marker>
            <c:symbol val="none"/>
          </c:marker>
          <c:cat>
            <c:numRef>
              <c:f>resumen!$F$11:$AE$11</c:f>
              <c:numCache>
                <c:formatCode>mmm\-yy</c:formatCode>
                <c:ptCount val="26"/>
                <c:pt idx="0">
                  <c:v>41487</c:v>
                </c:pt>
                <c:pt idx="1">
                  <c:v>41518</c:v>
                </c:pt>
                <c:pt idx="2">
                  <c:v>41548</c:v>
                </c:pt>
                <c:pt idx="3">
                  <c:v>41579</c:v>
                </c:pt>
                <c:pt idx="4">
                  <c:v>41609</c:v>
                </c:pt>
                <c:pt idx="5">
                  <c:v>41640</c:v>
                </c:pt>
                <c:pt idx="6">
                  <c:v>41671</c:v>
                </c:pt>
                <c:pt idx="7">
                  <c:v>41699</c:v>
                </c:pt>
                <c:pt idx="8">
                  <c:v>41730</c:v>
                </c:pt>
                <c:pt idx="9">
                  <c:v>41760</c:v>
                </c:pt>
                <c:pt idx="10">
                  <c:v>41791</c:v>
                </c:pt>
                <c:pt idx="11">
                  <c:v>41821</c:v>
                </c:pt>
                <c:pt idx="12">
                  <c:v>41852</c:v>
                </c:pt>
                <c:pt idx="13">
                  <c:v>41883</c:v>
                </c:pt>
                <c:pt idx="14">
                  <c:v>41913</c:v>
                </c:pt>
                <c:pt idx="15">
                  <c:v>41944</c:v>
                </c:pt>
                <c:pt idx="16">
                  <c:v>41974</c:v>
                </c:pt>
                <c:pt idx="17">
                  <c:v>42005</c:v>
                </c:pt>
                <c:pt idx="18">
                  <c:v>42036</c:v>
                </c:pt>
                <c:pt idx="19">
                  <c:v>42064</c:v>
                </c:pt>
                <c:pt idx="20">
                  <c:v>42095</c:v>
                </c:pt>
                <c:pt idx="21">
                  <c:v>42125</c:v>
                </c:pt>
              </c:numCache>
            </c:numRef>
          </c:cat>
          <c:val>
            <c:numRef>
              <c:f>resumen!$F$12:$AE$12</c:f>
              <c:numCache>
                <c:formatCode>_("$"* #,##0.00_);_("$"* \(#,##0.00\);_("$"* "-"??_);_(@_)</c:formatCode>
                <c:ptCount val="26"/>
                <c:pt idx="0">
                  <c:v>39.86</c:v>
                </c:pt>
                <c:pt idx="1">
                  <c:v>41.23</c:v>
                </c:pt>
                <c:pt idx="2">
                  <c:v>42.53</c:v>
                </c:pt>
                <c:pt idx="3">
                  <c:v>43.67</c:v>
                </c:pt>
                <c:pt idx="4">
                  <c:v>44.77</c:v>
                </c:pt>
                <c:pt idx="5">
                  <c:v>46.14</c:v>
                </c:pt>
                <c:pt idx="6">
                  <c:v>47.79</c:v>
                </c:pt>
                <c:pt idx="7">
                  <c:v>49.78</c:v>
                </c:pt>
                <c:pt idx="8">
                  <c:v>52.66</c:v>
                </c:pt>
                <c:pt idx="9">
                  <c:v>56</c:v>
                </c:pt>
                <c:pt idx="10">
                  <c:v>58.89</c:v>
                </c:pt>
                <c:pt idx="11">
                  <c:v>61.99</c:v>
                </c:pt>
                <c:pt idx="12">
                  <c:v>65.05</c:v>
                </c:pt>
                <c:pt idx="13">
                  <c:v>68.790000000000006</c:v>
                </c:pt>
                <c:pt idx="14">
                  <c:v>73.39</c:v>
                </c:pt>
                <c:pt idx="15">
                  <c:v>78.37</c:v>
                </c:pt>
                <c:pt idx="16">
                  <c:v>83.53</c:v>
                </c:pt>
                <c:pt idx="17">
                  <c:v>90.25</c:v>
                </c:pt>
                <c:pt idx="18">
                  <c:v>102.57</c:v>
                </c:pt>
                <c:pt idx="19">
                  <c:v>107.19</c:v>
                </c:pt>
                <c:pt idx="20" formatCode="General">
                  <c:v>119.03</c:v>
                </c:pt>
                <c:pt idx="21" formatCode="General">
                  <c:v>128.38</c:v>
                </c:pt>
                <c:pt idx="22" formatCode="0.0%">
                  <c:v>3.0210452630086251</c:v>
                </c:pt>
                <c:pt idx="23" formatCode="0.0%">
                  <c:v>3.0210452630086255</c:v>
                </c:pt>
              </c:numCache>
            </c:numRef>
          </c:val>
          <c:smooth val="0"/>
        </c:ser>
        <c:dLbls>
          <c:showLegendKey val="0"/>
          <c:showVal val="0"/>
          <c:showCatName val="0"/>
          <c:showSerName val="0"/>
          <c:showPercent val="0"/>
          <c:showBubbleSize val="0"/>
        </c:dLbls>
        <c:marker val="1"/>
        <c:smooth val="0"/>
        <c:axId val="66503040"/>
        <c:axId val="66504576"/>
      </c:lineChart>
      <c:dateAx>
        <c:axId val="66503040"/>
        <c:scaling>
          <c:orientation val="minMax"/>
        </c:scaling>
        <c:delete val="0"/>
        <c:axPos val="b"/>
        <c:numFmt formatCode="mmm\-yy" sourceLinked="1"/>
        <c:majorTickMark val="out"/>
        <c:minorTickMark val="none"/>
        <c:tickLblPos val="nextTo"/>
        <c:txPr>
          <a:bodyPr/>
          <a:lstStyle/>
          <a:p>
            <a:pPr>
              <a:defRPr sz="900"/>
            </a:pPr>
            <a:endParaRPr lang="es-CO"/>
          </a:p>
        </c:txPr>
        <c:crossAx val="66504576"/>
        <c:crosses val="autoZero"/>
        <c:auto val="1"/>
        <c:lblOffset val="100"/>
        <c:baseTimeUnit val="months"/>
      </c:dateAx>
      <c:valAx>
        <c:axId val="66504576"/>
        <c:scaling>
          <c:orientation val="minMax"/>
          <c:max val="130"/>
          <c:min val="20"/>
        </c:scaling>
        <c:delete val="0"/>
        <c:axPos val="l"/>
        <c:majorGridlines/>
        <c:numFmt formatCode="&quot;$&quot;\ #,##0" sourceLinked="0"/>
        <c:majorTickMark val="out"/>
        <c:minorTickMark val="none"/>
        <c:tickLblPos val="nextTo"/>
        <c:crossAx val="6650304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2"/>
          <c:order val="0"/>
          <c:tx>
            <c:strRef>
              <c:f>'Tarifas Res'!$A$39</c:f>
              <c:strCache>
                <c:ptCount val="1"/>
                <c:pt idx="0">
                  <c:v>Cartagena - Baranoa</c:v>
                </c:pt>
              </c:strCache>
            </c:strRef>
          </c:tx>
          <c:marker>
            <c:symbol val="none"/>
          </c:marker>
          <c:cat>
            <c:strRef>
              <c:f>'Tarifas Res'!$B$36:$O$36</c:f>
              <c:strCache>
                <c:ptCount val="14"/>
                <c:pt idx="0">
                  <c:v>2003</c:v>
                </c:pt>
                <c:pt idx="1">
                  <c:v>2003 I</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'Tarifas Res'!$B$39:$O$39</c:f>
              <c:numCache>
                <c:formatCode>_("$"\ * #,##0.0_);_("$"\ * \(#,##0.0\);_("$"\ * "-"??_);_(@_)</c:formatCode>
                <c:ptCount val="14"/>
                <c:pt idx="0">
                  <c:v>50</c:v>
                </c:pt>
                <c:pt idx="1">
                  <c:v>69</c:v>
                </c:pt>
                <c:pt idx="2">
                  <c:v>72.795000000000002</c:v>
                </c:pt>
                <c:pt idx="3">
                  <c:v>76.434750000000022</c:v>
                </c:pt>
                <c:pt idx="4">
                  <c:v>79.874313749999999</c:v>
                </c:pt>
                <c:pt idx="5">
                  <c:v>83.069286300000002</c:v>
                </c:pt>
                <c:pt idx="6">
                  <c:v>86.392057751999985</c:v>
                </c:pt>
                <c:pt idx="7">
                  <c:v>90.711660639599998</c:v>
                </c:pt>
                <c:pt idx="8">
                  <c:v>93.433010458788004</c:v>
                </c:pt>
                <c:pt idx="9">
                  <c:v>96.236000772551634</c:v>
                </c:pt>
                <c:pt idx="10">
                  <c:v>99.123080795728185</c:v>
                </c:pt>
                <c:pt idx="11">
                  <c:v>102.0967732196001</c:v>
                </c:pt>
                <c:pt idx="12">
                  <c:v>105.15967641618801</c:v>
                </c:pt>
                <c:pt idx="13">
                  <c:v>108.31446670867371</c:v>
                </c:pt>
              </c:numCache>
            </c:numRef>
          </c:val>
          <c:smooth val="0"/>
        </c:ser>
        <c:ser>
          <c:idx val="3"/>
          <c:order val="1"/>
          <c:tx>
            <c:strRef>
              <c:f>'Tarifas Res'!$A$40</c:f>
              <c:strCache>
                <c:ptCount val="1"/>
                <c:pt idx="0">
                  <c:v>Pozos Colorados - Galán </c:v>
                </c:pt>
              </c:strCache>
            </c:strRef>
          </c:tx>
          <c:marker>
            <c:symbol val="none"/>
          </c:marker>
          <c:cat>
            <c:strRef>
              <c:f>'Tarifas Res'!$B$36:$O$36</c:f>
              <c:strCache>
                <c:ptCount val="14"/>
                <c:pt idx="0">
                  <c:v>2003</c:v>
                </c:pt>
                <c:pt idx="1">
                  <c:v>2003 I</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'Tarifas Res'!$B$40:$O$40</c:f>
              <c:numCache>
                <c:formatCode>_("$"\ * #,##0.0_);_("$"\ * \(#,##0.0\);_("$"\ * "-"??_);_(@_)</c:formatCode>
                <c:ptCount val="14"/>
                <c:pt idx="0">
                  <c:v>42</c:v>
                </c:pt>
                <c:pt idx="1">
                  <c:v>42</c:v>
                </c:pt>
                <c:pt idx="2">
                  <c:v>44.31</c:v>
                </c:pt>
                <c:pt idx="3">
                  <c:v>46.525500000000001</c:v>
                </c:pt>
                <c:pt idx="4">
                  <c:v>48.61914749999999</c:v>
                </c:pt>
                <c:pt idx="5">
                  <c:v>50.563913399999997</c:v>
                </c:pt>
                <c:pt idx="6">
                  <c:v>52.586469936</c:v>
                </c:pt>
                <c:pt idx="7">
                  <c:v>55.215793432799998</c:v>
                </c:pt>
                <c:pt idx="8">
                  <c:v>56.872267235783987</c:v>
                </c:pt>
                <c:pt idx="9">
                  <c:v>58.578435252857531</c:v>
                </c:pt>
                <c:pt idx="10">
                  <c:v>60.335788310443249</c:v>
                </c:pt>
                <c:pt idx="11">
                  <c:v>62.145861959756537</c:v>
                </c:pt>
                <c:pt idx="12">
                  <c:v>64.010237818549228</c:v>
                </c:pt>
                <c:pt idx="13">
                  <c:v>65.930544953105723</c:v>
                </c:pt>
              </c:numCache>
            </c:numRef>
          </c:val>
          <c:smooth val="0"/>
        </c:ser>
        <c:ser>
          <c:idx val="5"/>
          <c:order val="2"/>
          <c:tx>
            <c:strRef>
              <c:f>'Tarifas Res'!$A$42</c:f>
              <c:strCache>
                <c:ptCount val="1"/>
                <c:pt idx="0">
                  <c:v>Galán - Bucaramanga</c:v>
                </c:pt>
              </c:strCache>
            </c:strRef>
          </c:tx>
          <c:marker>
            <c:symbol val="none"/>
          </c:marker>
          <c:cat>
            <c:strRef>
              <c:f>'Tarifas Res'!$B$36:$O$36</c:f>
              <c:strCache>
                <c:ptCount val="14"/>
                <c:pt idx="0">
                  <c:v>2003</c:v>
                </c:pt>
                <c:pt idx="1">
                  <c:v>2003 I</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'Tarifas Res'!$B$42:$O$42</c:f>
              <c:numCache>
                <c:formatCode>_("$"\ * #,##0.0_);_("$"\ * \(#,##0.0\);_("$"\ * "-"??_);_(@_)</c:formatCode>
                <c:ptCount val="14"/>
                <c:pt idx="0">
                  <c:v>75</c:v>
                </c:pt>
                <c:pt idx="1">
                  <c:v>94</c:v>
                </c:pt>
                <c:pt idx="2">
                  <c:v>99.169999999999973</c:v>
                </c:pt>
                <c:pt idx="3">
                  <c:v>104.1285</c:v>
                </c:pt>
                <c:pt idx="4">
                  <c:v>108.81</c:v>
                </c:pt>
                <c:pt idx="5">
                  <c:v>113.16240000000001</c:v>
                </c:pt>
                <c:pt idx="6">
                  <c:v>117.688896</c:v>
                </c:pt>
                <c:pt idx="7">
                  <c:v>123.5733408</c:v>
                </c:pt>
                <c:pt idx="8">
                  <c:v>127.280541024</c:v>
                </c:pt>
                <c:pt idx="9">
                  <c:v>131.09895725472001</c:v>
                </c:pt>
                <c:pt idx="10">
                  <c:v>135.03192597236159</c:v>
                </c:pt>
                <c:pt idx="11">
                  <c:v>139.08288375153251</c:v>
                </c:pt>
                <c:pt idx="12">
                  <c:v>143.25537026407841</c:v>
                </c:pt>
                <c:pt idx="13">
                  <c:v>147.5530313720009</c:v>
                </c:pt>
              </c:numCache>
            </c:numRef>
          </c:val>
          <c:smooth val="0"/>
        </c:ser>
        <c:ser>
          <c:idx val="7"/>
          <c:order val="3"/>
          <c:tx>
            <c:strRef>
              <c:f>'Tarifas Res'!$A$44</c:f>
              <c:strCache>
                <c:ptCount val="1"/>
                <c:pt idx="0">
                  <c:v>Galán - Sebastopol</c:v>
                </c:pt>
              </c:strCache>
            </c:strRef>
          </c:tx>
          <c:marker>
            <c:symbol val="none"/>
          </c:marker>
          <c:cat>
            <c:strRef>
              <c:f>'Tarifas Res'!$B$36:$O$36</c:f>
              <c:strCache>
                <c:ptCount val="14"/>
                <c:pt idx="0">
                  <c:v>2003</c:v>
                </c:pt>
                <c:pt idx="1">
                  <c:v>2003 I</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'Tarifas Res'!$B$44:$O$44</c:f>
              <c:numCache>
                <c:formatCode>_("$"\ * #,##0.0_);_("$"\ * \(#,##0.0\);_("$"\ * "-"??_);_(@_)</c:formatCode>
                <c:ptCount val="14"/>
                <c:pt idx="0">
                  <c:v>100</c:v>
                </c:pt>
                <c:pt idx="1">
                  <c:v>106.32</c:v>
                </c:pt>
                <c:pt idx="2">
                  <c:v>112.16759999999999</c:v>
                </c:pt>
                <c:pt idx="3">
                  <c:v>117.77598</c:v>
                </c:pt>
                <c:pt idx="4">
                  <c:v>123.0758991</c:v>
                </c:pt>
                <c:pt idx="5">
                  <c:v>127.99893506399999</c:v>
                </c:pt>
                <c:pt idx="6">
                  <c:v>133.11889246656</c:v>
                </c:pt>
                <c:pt idx="7">
                  <c:v>139.774837089888</c:v>
                </c:pt>
                <c:pt idx="8">
                  <c:v>143.9680822025847</c:v>
                </c:pt>
                <c:pt idx="9">
                  <c:v>148.28712466866219</c:v>
                </c:pt>
                <c:pt idx="10">
                  <c:v>152.73573840872211</c:v>
                </c:pt>
                <c:pt idx="11">
                  <c:v>157.31781056098379</c:v>
                </c:pt>
                <c:pt idx="12">
                  <c:v>162.0373448778133</c:v>
                </c:pt>
                <c:pt idx="13">
                  <c:v>166.8984652241476</c:v>
                </c:pt>
              </c:numCache>
            </c:numRef>
          </c:val>
          <c:smooth val="0"/>
        </c:ser>
        <c:dLbls>
          <c:showLegendKey val="0"/>
          <c:showVal val="0"/>
          <c:showCatName val="0"/>
          <c:showSerName val="0"/>
          <c:showPercent val="0"/>
          <c:showBubbleSize val="0"/>
        </c:dLbls>
        <c:marker val="1"/>
        <c:smooth val="0"/>
        <c:axId val="63856000"/>
        <c:axId val="63857792"/>
      </c:lineChart>
      <c:catAx>
        <c:axId val="63856000"/>
        <c:scaling>
          <c:orientation val="minMax"/>
        </c:scaling>
        <c:delete val="0"/>
        <c:axPos val="b"/>
        <c:numFmt formatCode="General" sourceLinked="0"/>
        <c:majorTickMark val="none"/>
        <c:minorTickMark val="none"/>
        <c:tickLblPos val="nextTo"/>
        <c:txPr>
          <a:bodyPr rot="0" vert="horz"/>
          <a:lstStyle/>
          <a:p>
            <a:pPr>
              <a:defRPr sz="1050" b="1"/>
            </a:pPr>
            <a:endParaRPr lang="es-CO"/>
          </a:p>
        </c:txPr>
        <c:crossAx val="63857792"/>
        <c:crosses val="autoZero"/>
        <c:auto val="1"/>
        <c:lblAlgn val="ctr"/>
        <c:lblOffset val="100"/>
        <c:noMultiLvlLbl val="0"/>
      </c:catAx>
      <c:valAx>
        <c:axId val="63857792"/>
        <c:scaling>
          <c:orientation val="minMax"/>
          <c:max val="170"/>
          <c:min val="40"/>
        </c:scaling>
        <c:delete val="0"/>
        <c:axPos val="l"/>
        <c:majorGridlines>
          <c:spPr>
            <a:ln>
              <a:solidFill>
                <a:schemeClr val="bg1">
                  <a:lumMod val="95000"/>
                </a:schemeClr>
              </a:solidFill>
            </a:ln>
          </c:spPr>
        </c:majorGridlines>
        <c:title>
          <c:tx>
            <c:rich>
              <a:bodyPr/>
              <a:lstStyle/>
              <a:p>
                <a:pPr>
                  <a:defRPr/>
                </a:pPr>
                <a:r>
                  <a:rPr lang="es-CO"/>
                  <a:t>$ por Galón</a:t>
                </a:r>
              </a:p>
            </c:rich>
          </c:tx>
          <c:layout>
            <c:manualLayout>
              <c:xMode val="edge"/>
              <c:yMode val="edge"/>
              <c:x val="0.12322816200137"/>
              <c:y val="0.28439034115471101"/>
            </c:manualLayout>
          </c:layout>
          <c:overlay val="0"/>
        </c:title>
        <c:numFmt formatCode="_(&quot;$&quot;* #,##0_);_(&quot;$&quot;* \(#,##0\);_(&quot;$&quot;* &quot;-&quot;_);_(@_)" sourceLinked="0"/>
        <c:majorTickMark val="none"/>
        <c:minorTickMark val="none"/>
        <c:tickLblPos val="nextTo"/>
        <c:txPr>
          <a:bodyPr/>
          <a:lstStyle/>
          <a:p>
            <a:pPr>
              <a:defRPr sz="800"/>
            </a:pPr>
            <a:endParaRPr lang="es-CO"/>
          </a:p>
        </c:txPr>
        <c:crossAx val="63856000"/>
        <c:crosses val="autoZero"/>
        <c:crossBetween val="between"/>
        <c:majorUnit val="20"/>
      </c:valAx>
      <c:dTable>
        <c:showHorzBorder val="1"/>
        <c:showVertBorder val="1"/>
        <c:showOutline val="1"/>
        <c:showKeys val="1"/>
        <c:txPr>
          <a:bodyPr/>
          <a:lstStyle/>
          <a:p>
            <a:pPr rtl="0">
              <a:defRPr sz="800"/>
            </a:pPr>
            <a:endParaRPr lang="es-CO"/>
          </a:p>
        </c:txPr>
      </c:dTable>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6"/>
          <c:order val="0"/>
          <c:tx>
            <c:strRef>
              <c:f>'Tarifas Res'!$A$66</c:f>
              <c:strCache>
                <c:ptCount val="1"/>
                <c:pt idx="0">
                  <c:v>Galán – Puente Aranda</c:v>
                </c:pt>
              </c:strCache>
            </c:strRef>
          </c:tx>
          <c:marker>
            <c:symbol val="none"/>
          </c:marker>
          <c:cat>
            <c:strRef>
              <c:f>'Tarifas Res'!$B$59:$O$59</c:f>
              <c:strCache>
                <c:ptCount val="14"/>
                <c:pt idx="0">
                  <c:v>2003</c:v>
                </c:pt>
                <c:pt idx="1">
                  <c:v>2003 I</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'Tarifas Res'!$B$66:$O$66</c:f>
              <c:numCache>
                <c:formatCode>_("$"\ * #,##0_);_("$"\ * \(#,##0\);_("$"\ * "-"??_);_(@_)</c:formatCode>
                <c:ptCount val="14"/>
                <c:pt idx="0">
                  <c:v>206.75</c:v>
                </c:pt>
                <c:pt idx="1">
                  <c:v>235.32</c:v>
                </c:pt>
                <c:pt idx="2">
                  <c:v>248.26259999999999</c:v>
                </c:pt>
                <c:pt idx="3">
                  <c:v>260.67572999999999</c:v>
                </c:pt>
                <c:pt idx="4">
                  <c:v>272.40613784999988</c:v>
                </c:pt>
                <c:pt idx="5">
                  <c:v>283.30238336400009</c:v>
                </c:pt>
                <c:pt idx="6">
                  <c:v>294.63447869856009</c:v>
                </c:pt>
                <c:pt idx="7">
                  <c:v>309.366202633488</c:v>
                </c:pt>
                <c:pt idx="8">
                  <c:v>318.64718871249272</c:v>
                </c:pt>
                <c:pt idx="9">
                  <c:v>328.20660437386749</c:v>
                </c:pt>
                <c:pt idx="10">
                  <c:v>338.05280250508349</c:v>
                </c:pt>
                <c:pt idx="11">
                  <c:v>348.19438658023608</c:v>
                </c:pt>
                <c:pt idx="12">
                  <c:v>358.64021817764319</c:v>
                </c:pt>
                <c:pt idx="13">
                  <c:v>369.39942472297241</c:v>
                </c:pt>
              </c:numCache>
            </c:numRef>
          </c:val>
          <c:smooth val="0"/>
        </c:ser>
        <c:ser>
          <c:idx val="7"/>
          <c:order val="1"/>
          <c:tx>
            <c:strRef>
              <c:f>'Tarifas Res'!$A$67</c:f>
              <c:strCache>
                <c:ptCount val="1"/>
                <c:pt idx="0">
                  <c:v>Galán – El Dorado</c:v>
                </c:pt>
              </c:strCache>
            </c:strRef>
          </c:tx>
          <c:marker>
            <c:symbol val="none"/>
          </c:marker>
          <c:cat>
            <c:strRef>
              <c:f>'Tarifas Res'!$B$59:$O$59</c:f>
              <c:strCache>
                <c:ptCount val="14"/>
                <c:pt idx="0">
                  <c:v>2003</c:v>
                </c:pt>
                <c:pt idx="1">
                  <c:v>2003 I</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'Tarifas Res'!$B$67:$O$67</c:f>
              <c:numCache>
                <c:formatCode>_("$"\ * #,##0_);_("$"\ * \(#,##0\);_("$"\ * "-"??_);_(@_)</c:formatCode>
                <c:ptCount val="14"/>
                <c:pt idx="0">
                  <c:v>206.75</c:v>
                </c:pt>
                <c:pt idx="1">
                  <c:v>235.32</c:v>
                </c:pt>
                <c:pt idx="2">
                  <c:v>248.26259999999999</c:v>
                </c:pt>
                <c:pt idx="3">
                  <c:v>260.67572999999999</c:v>
                </c:pt>
                <c:pt idx="4">
                  <c:v>272.40613784999988</c:v>
                </c:pt>
                <c:pt idx="5">
                  <c:v>283.30238336400009</c:v>
                </c:pt>
                <c:pt idx="6">
                  <c:v>294.63447869856009</c:v>
                </c:pt>
                <c:pt idx="7">
                  <c:v>309.366202633488</c:v>
                </c:pt>
                <c:pt idx="8">
                  <c:v>318.64718871249272</c:v>
                </c:pt>
                <c:pt idx="9">
                  <c:v>328.20660437386749</c:v>
                </c:pt>
                <c:pt idx="10">
                  <c:v>338.05280250508349</c:v>
                </c:pt>
                <c:pt idx="11">
                  <c:v>348.19438658023608</c:v>
                </c:pt>
                <c:pt idx="12">
                  <c:v>358.64021817764319</c:v>
                </c:pt>
                <c:pt idx="13">
                  <c:v>369.39942472297241</c:v>
                </c:pt>
              </c:numCache>
            </c:numRef>
          </c:val>
          <c:smooth val="0"/>
        </c:ser>
        <c:ser>
          <c:idx val="8"/>
          <c:order val="2"/>
          <c:tx>
            <c:strRef>
              <c:f>'Tarifas Res'!$A$68</c:f>
              <c:strCache>
                <c:ptCount val="1"/>
                <c:pt idx="0">
                  <c:v>Galán – Tocancipá</c:v>
                </c:pt>
              </c:strCache>
            </c:strRef>
          </c:tx>
          <c:marker>
            <c:symbol val="none"/>
          </c:marker>
          <c:cat>
            <c:strRef>
              <c:f>'Tarifas Res'!$B$59:$O$59</c:f>
              <c:strCache>
                <c:ptCount val="14"/>
                <c:pt idx="0">
                  <c:v>2003</c:v>
                </c:pt>
                <c:pt idx="1">
                  <c:v>2003 I</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'Tarifas Res'!$B$68:$O$68</c:f>
              <c:numCache>
                <c:formatCode>_("$"\ * #,##0_);_("$"\ * \(#,##0\);_("$"\ * "-"??_);_(@_)</c:formatCode>
                <c:ptCount val="14"/>
                <c:pt idx="0">
                  <c:v>206.75</c:v>
                </c:pt>
                <c:pt idx="1">
                  <c:v>235.32</c:v>
                </c:pt>
                <c:pt idx="2">
                  <c:v>248.26259999999999</c:v>
                </c:pt>
                <c:pt idx="3">
                  <c:v>260.67572999999999</c:v>
                </c:pt>
                <c:pt idx="4">
                  <c:v>272.40613784999988</c:v>
                </c:pt>
                <c:pt idx="5">
                  <c:v>283.30238336400009</c:v>
                </c:pt>
                <c:pt idx="6">
                  <c:v>294.63447869856009</c:v>
                </c:pt>
                <c:pt idx="7">
                  <c:v>309.36620263348811</c:v>
                </c:pt>
                <c:pt idx="8">
                  <c:v>318.64718871249272</c:v>
                </c:pt>
                <c:pt idx="9">
                  <c:v>328.20660437386761</c:v>
                </c:pt>
                <c:pt idx="10">
                  <c:v>338.0528025050836</c:v>
                </c:pt>
                <c:pt idx="11">
                  <c:v>348.19438658023608</c:v>
                </c:pt>
                <c:pt idx="12">
                  <c:v>358.64021817764319</c:v>
                </c:pt>
                <c:pt idx="13">
                  <c:v>337.49</c:v>
                </c:pt>
              </c:numCache>
            </c:numRef>
          </c:val>
          <c:smooth val="0"/>
        </c:ser>
        <c:ser>
          <c:idx val="9"/>
          <c:order val="3"/>
          <c:tx>
            <c:strRef>
              <c:f>'Tarifas Res'!$A$69</c:f>
              <c:strCache>
                <c:ptCount val="1"/>
                <c:pt idx="0">
                  <c:v>Galán – La Dorada</c:v>
                </c:pt>
              </c:strCache>
            </c:strRef>
          </c:tx>
          <c:marker>
            <c:symbol val="none"/>
          </c:marker>
          <c:cat>
            <c:strRef>
              <c:f>'Tarifas Res'!$B$59:$O$59</c:f>
              <c:strCache>
                <c:ptCount val="14"/>
                <c:pt idx="0">
                  <c:v>2003</c:v>
                </c:pt>
                <c:pt idx="1">
                  <c:v>2003 I</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'Tarifas Res'!$B$69:$O$69</c:f>
              <c:numCache>
                <c:formatCode>General</c:formatCode>
                <c:ptCount val="14"/>
                <c:pt idx="9" formatCode="_(&quot;$&quot;\ * #,##0_);_(&quot;$&quot;\ * \(#,##0\);_(&quot;$&quot;\ * &quot;-&quot;??_);_(@_)">
                  <c:v>278.6761106237646</c:v>
                </c:pt>
                <c:pt idx="10" formatCode="_(&quot;$&quot;\ * #,##0_);_(&quot;$&quot;\ * \(#,##0\);_(&quot;$&quot;\ * &quot;-&quot;??_);_(@_)">
                  <c:v>287.03639394247739</c:v>
                </c:pt>
                <c:pt idx="11" formatCode="_(&quot;$&quot;\ * #,##0_);_(&quot;$&quot;\ * \(#,##0\);_(&quot;$&quot;\ * &quot;-&quot;??_);_(@_)">
                  <c:v>295.64748576075198</c:v>
                </c:pt>
                <c:pt idx="12" formatCode="_(&quot;$&quot;\ * #,##0_);_(&quot;$&quot;\ * \(#,##0\);_(&quot;$&quot;\ * &quot;-&quot;??_);_(@_)">
                  <c:v>304.5169103335744</c:v>
                </c:pt>
                <c:pt idx="13" formatCode="_(&quot;$&quot;\ * #,##0_);_(&quot;$&quot;\ * \(#,##0\);_(&quot;$&quot;\ * &quot;-&quot;??_);_(@_)">
                  <c:v>286.37</c:v>
                </c:pt>
              </c:numCache>
            </c:numRef>
          </c:val>
          <c:smooth val="0"/>
        </c:ser>
        <c:ser>
          <c:idx val="11"/>
          <c:order val="4"/>
          <c:tx>
            <c:strRef>
              <c:f>'Tarifas Res'!$A$71</c:f>
              <c:strCache>
                <c:ptCount val="1"/>
                <c:pt idx="0">
                  <c:v>Galán – Apiay</c:v>
                </c:pt>
              </c:strCache>
            </c:strRef>
          </c:tx>
          <c:marker>
            <c:symbol val="none"/>
          </c:marker>
          <c:cat>
            <c:strRef>
              <c:f>'Tarifas Res'!$B$59:$O$59</c:f>
              <c:strCache>
                <c:ptCount val="14"/>
                <c:pt idx="0">
                  <c:v>2003</c:v>
                </c:pt>
                <c:pt idx="1">
                  <c:v>2003 I</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'Tarifas Res'!$B$71:$O$71</c:f>
              <c:numCache>
                <c:formatCode>General</c:formatCode>
                <c:ptCount val="14"/>
                <c:pt idx="9" formatCode="_(&quot;$&quot;\ * #,##0_);_(&quot;$&quot;\ * \(#,##0\);_(&quot;$&quot;\ * &quot;-&quot;??_);_(@_)">
                  <c:v>470.21</c:v>
                </c:pt>
                <c:pt idx="10" formatCode="_(&quot;$&quot;\ * #,##0_);_(&quot;$&quot;\ * \(#,##0\);_(&quot;$&quot;\ * &quot;-&quot;??_);_(@_)">
                  <c:v>484.31630000000001</c:v>
                </c:pt>
                <c:pt idx="11" formatCode="_(&quot;$&quot;\ * #,##0_);_(&quot;$&quot;\ * \(#,##0\);_(&quot;$&quot;\ * &quot;-&quot;??_);_(@_)">
                  <c:v>498.84578900000002</c:v>
                </c:pt>
                <c:pt idx="12" formatCode="_(&quot;$&quot;\ * #,##0_);_(&quot;$&quot;\ * \(#,##0\);_(&quot;$&quot;\ * &quot;-&quot;??_);_(@_)">
                  <c:v>513.81116266999993</c:v>
                </c:pt>
                <c:pt idx="13" formatCode="_(&quot;$&quot;\ * #,##0_);_(&quot;$&quot;\ * \(#,##0\);_(&quot;$&quot;\ * &quot;-&quot;??_);_(@_)">
                  <c:v>533.15</c:v>
                </c:pt>
              </c:numCache>
            </c:numRef>
          </c:val>
          <c:smooth val="0"/>
        </c:ser>
        <c:ser>
          <c:idx val="15"/>
          <c:order val="5"/>
          <c:tx>
            <c:strRef>
              <c:f>'Tarifas Res'!$A$75</c:f>
              <c:strCache>
                <c:ptCount val="1"/>
                <c:pt idx="0">
                  <c:v>Galán – Neiva</c:v>
                </c:pt>
              </c:strCache>
            </c:strRef>
          </c:tx>
          <c:marker>
            <c:symbol val="none"/>
          </c:marker>
          <c:cat>
            <c:strRef>
              <c:f>'Tarifas Res'!$B$59:$O$59</c:f>
              <c:strCache>
                <c:ptCount val="14"/>
                <c:pt idx="0">
                  <c:v>2003</c:v>
                </c:pt>
                <c:pt idx="1">
                  <c:v>2003 I</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'Tarifas Res'!$B$75:$O$75</c:f>
              <c:numCache>
                <c:formatCode>_("$"\ * #,##0_);_("$"\ * \(#,##0\);_("$"\ * "-"??_);_(@_)</c:formatCode>
                <c:ptCount val="14"/>
                <c:pt idx="0">
                  <c:v>193.5</c:v>
                </c:pt>
                <c:pt idx="1">
                  <c:v>253.32</c:v>
                </c:pt>
                <c:pt idx="2">
                  <c:v>267.25259999999992</c:v>
                </c:pt>
                <c:pt idx="3">
                  <c:v>280.61523</c:v>
                </c:pt>
                <c:pt idx="4">
                  <c:v>293.24291534999998</c:v>
                </c:pt>
                <c:pt idx="5">
                  <c:v>304.97263196400002</c:v>
                </c:pt>
                <c:pt idx="6">
                  <c:v>317.17153724256002</c:v>
                </c:pt>
                <c:pt idx="7">
                  <c:v>333.03011410468798</c:v>
                </c:pt>
                <c:pt idx="8">
                  <c:v>343.02101752782869</c:v>
                </c:pt>
                <c:pt idx="9">
                  <c:v>353.31164805366359</c:v>
                </c:pt>
                <c:pt idx="10">
                  <c:v>363.91099749527342</c:v>
                </c:pt>
                <c:pt idx="11">
                  <c:v>374.82832742013159</c:v>
                </c:pt>
                <c:pt idx="12">
                  <c:v>386.0731772427356</c:v>
                </c:pt>
                <c:pt idx="13">
                  <c:v>397.65537256001772</c:v>
                </c:pt>
              </c:numCache>
            </c:numRef>
          </c:val>
          <c:smooth val="0"/>
        </c:ser>
        <c:ser>
          <c:idx val="21"/>
          <c:order val="6"/>
          <c:tx>
            <c:strRef>
              <c:f>'Tarifas Res'!$A$81</c:f>
              <c:strCache>
                <c:ptCount val="1"/>
                <c:pt idx="0">
                  <c:v>Galán – Buenaventura</c:v>
                </c:pt>
              </c:strCache>
            </c:strRef>
          </c:tx>
          <c:marker>
            <c:symbol val="none"/>
          </c:marker>
          <c:cat>
            <c:strRef>
              <c:f>'Tarifas Res'!$B$59:$O$59</c:f>
              <c:strCache>
                <c:ptCount val="14"/>
                <c:pt idx="0">
                  <c:v>2003</c:v>
                </c:pt>
                <c:pt idx="1">
                  <c:v>2003 I</c:v>
                </c:pt>
                <c:pt idx="2">
                  <c:v>2004</c:v>
                </c:pt>
                <c:pt idx="3">
                  <c:v>2005</c:v>
                </c:pt>
                <c:pt idx="4">
                  <c:v>2006</c:v>
                </c:pt>
                <c:pt idx="5">
                  <c:v>2007</c:v>
                </c:pt>
                <c:pt idx="6">
                  <c:v>2008</c:v>
                </c:pt>
                <c:pt idx="7">
                  <c:v>2009</c:v>
                </c:pt>
                <c:pt idx="8">
                  <c:v>2010</c:v>
                </c:pt>
                <c:pt idx="9">
                  <c:v>2011</c:v>
                </c:pt>
                <c:pt idx="10">
                  <c:v>2012</c:v>
                </c:pt>
                <c:pt idx="11">
                  <c:v>2013</c:v>
                </c:pt>
                <c:pt idx="12">
                  <c:v>2014</c:v>
                </c:pt>
                <c:pt idx="13">
                  <c:v>2015</c:v>
                </c:pt>
              </c:strCache>
            </c:strRef>
          </c:cat>
          <c:val>
            <c:numRef>
              <c:f>'Tarifas Res'!$B$81:$O$81</c:f>
              <c:numCache>
                <c:formatCode>_("$"\ * #,##0_);_("$"\ * \(#,##0\);_("$"\ * "-"??_);_(@_)</c:formatCode>
                <c:ptCount val="14"/>
                <c:pt idx="1">
                  <c:v>295.32</c:v>
                </c:pt>
                <c:pt idx="2">
                  <c:v>311.56259999999992</c:v>
                </c:pt>
                <c:pt idx="3">
                  <c:v>327.14073000000002</c:v>
                </c:pt>
                <c:pt idx="4">
                  <c:v>341.86206284999997</c:v>
                </c:pt>
                <c:pt idx="5">
                  <c:v>355.53654536400001</c:v>
                </c:pt>
                <c:pt idx="6">
                  <c:v>369.75800717855992</c:v>
                </c:pt>
                <c:pt idx="7">
                  <c:v>388.24590753748799</c:v>
                </c:pt>
                <c:pt idx="8">
                  <c:v>399.89328476361271</c:v>
                </c:pt>
                <c:pt idx="9">
                  <c:v>411.89008330652109</c:v>
                </c:pt>
                <c:pt idx="10">
                  <c:v>424.2467858057168</c:v>
                </c:pt>
                <c:pt idx="11">
                  <c:v>436.97418937988817</c:v>
                </c:pt>
                <c:pt idx="12">
                  <c:v>450.08341506128482</c:v>
                </c:pt>
                <c:pt idx="13">
                  <c:v>463.58591751312338</c:v>
                </c:pt>
              </c:numCache>
            </c:numRef>
          </c:val>
          <c:smooth val="0"/>
        </c:ser>
        <c:dLbls>
          <c:showLegendKey val="0"/>
          <c:showVal val="0"/>
          <c:showCatName val="0"/>
          <c:showSerName val="0"/>
          <c:showPercent val="0"/>
          <c:showBubbleSize val="0"/>
        </c:dLbls>
        <c:marker val="1"/>
        <c:smooth val="0"/>
        <c:axId val="66522112"/>
        <c:axId val="66523904"/>
      </c:lineChart>
      <c:catAx>
        <c:axId val="66522112"/>
        <c:scaling>
          <c:orientation val="minMax"/>
        </c:scaling>
        <c:delete val="0"/>
        <c:axPos val="b"/>
        <c:numFmt formatCode="General" sourceLinked="0"/>
        <c:majorTickMark val="none"/>
        <c:minorTickMark val="none"/>
        <c:tickLblPos val="nextTo"/>
        <c:crossAx val="66523904"/>
        <c:crosses val="autoZero"/>
        <c:auto val="1"/>
        <c:lblAlgn val="ctr"/>
        <c:lblOffset val="100"/>
        <c:noMultiLvlLbl val="0"/>
      </c:catAx>
      <c:valAx>
        <c:axId val="66523904"/>
        <c:scaling>
          <c:orientation val="minMax"/>
          <c:max val="530"/>
          <c:min val="180"/>
        </c:scaling>
        <c:delete val="0"/>
        <c:axPos val="l"/>
        <c:majorGridlines>
          <c:spPr>
            <a:ln>
              <a:solidFill>
                <a:schemeClr val="bg1">
                  <a:lumMod val="95000"/>
                </a:schemeClr>
              </a:solidFill>
            </a:ln>
          </c:spPr>
        </c:majorGridlines>
        <c:title>
          <c:tx>
            <c:rich>
              <a:bodyPr/>
              <a:lstStyle/>
              <a:p>
                <a:pPr>
                  <a:defRPr/>
                </a:pPr>
                <a:r>
                  <a:rPr lang="es-CO"/>
                  <a:t>$ por Galón</a:t>
                </a:r>
              </a:p>
            </c:rich>
          </c:tx>
          <c:layout>
            <c:manualLayout>
              <c:xMode val="edge"/>
              <c:yMode val="edge"/>
              <c:x val="7.9244402394696295E-2"/>
              <c:y val="0.198130944205856"/>
            </c:manualLayout>
          </c:layout>
          <c:overlay val="0"/>
        </c:title>
        <c:numFmt formatCode="_(&quot;$&quot;\ * #,##0_);_(&quot;$&quot;\ * \(#,##0\);_(&quot;$&quot;\ * &quot;-&quot;??_);_(@_)" sourceLinked="1"/>
        <c:majorTickMark val="none"/>
        <c:minorTickMark val="none"/>
        <c:tickLblPos val="nextTo"/>
        <c:crossAx val="66522112"/>
        <c:crosses val="autoZero"/>
        <c:crossBetween val="between"/>
      </c:valAx>
      <c:dTable>
        <c:showHorzBorder val="1"/>
        <c:showVertBorder val="1"/>
        <c:showOutline val="1"/>
        <c:showKeys val="1"/>
        <c:txPr>
          <a:bodyPr/>
          <a:lstStyle/>
          <a:p>
            <a:pPr rtl="0">
              <a:defRPr sz="800"/>
            </a:pPr>
            <a:endParaRPr lang="es-CO"/>
          </a:p>
        </c:txPr>
      </c:dTable>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59CAA1-1A2D-4D68-A291-461B2C9BC3EB}"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endParaRPr lang="es-CO"/>
        </a:p>
      </dgm:t>
    </dgm:pt>
    <dgm:pt modelId="{CCBC58D3-4691-495E-A58D-3F26FE4A2FD5}">
      <dgm:prSet phldrT="[Texto]" custT="1"/>
      <dgm:spPr/>
      <dgm:t>
        <a:bodyPr/>
        <a:lstStyle/>
        <a:p>
          <a:r>
            <a:rPr lang="es-CO" sz="1200" b="1" smtClean="0">
              <a:solidFill>
                <a:schemeClr val="tx2"/>
              </a:solidFill>
            </a:rPr>
            <a:t>Temas a estudiar Metodología</a:t>
          </a:r>
          <a:endParaRPr lang="es-CO" sz="1200" dirty="0">
            <a:solidFill>
              <a:schemeClr val="tx2"/>
            </a:solidFill>
          </a:endParaRPr>
        </a:p>
      </dgm:t>
    </dgm:pt>
    <dgm:pt modelId="{40E4574A-5D58-4AC6-94C0-7042AF1408A0}" type="parTrans" cxnId="{2FC3E52B-382E-46CA-B00A-9D3EA8B0EDF2}">
      <dgm:prSet/>
      <dgm:spPr/>
      <dgm:t>
        <a:bodyPr/>
        <a:lstStyle/>
        <a:p>
          <a:endParaRPr lang="es-CO" sz="2400">
            <a:solidFill>
              <a:schemeClr val="tx2"/>
            </a:solidFill>
          </a:endParaRPr>
        </a:p>
      </dgm:t>
    </dgm:pt>
    <dgm:pt modelId="{85616D11-E106-4916-B611-C887FAC85F4E}" type="sibTrans" cxnId="{2FC3E52B-382E-46CA-B00A-9D3EA8B0EDF2}">
      <dgm:prSet/>
      <dgm:spPr/>
      <dgm:t>
        <a:bodyPr/>
        <a:lstStyle/>
        <a:p>
          <a:endParaRPr lang="es-CO" sz="2400">
            <a:solidFill>
              <a:schemeClr val="tx2"/>
            </a:solidFill>
          </a:endParaRPr>
        </a:p>
      </dgm:t>
    </dgm:pt>
    <dgm:pt modelId="{5C7DBCF3-2782-4844-B4BD-6B220F680C51}">
      <dgm:prSet custT="1"/>
      <dgm:spPr>
        <a:ln>
          <a:solidFill>
            <a:schemeClr val="accent1"/>
          </a:solidFill>
          <a:prstDash val="sysDot"/>
        </a:ln>
      </dgm:spPr>
      <dgm:t>
        <a:bodyPr/>
        <a:lstStyle/>
        <a:p>
          <a:r>
            <a:rPr lang="es-CO" sz="1050" b="1" dirty="0" smtClean="0">
              <a:solidFill>
                <a:schemeClr val="tx2"/>
              </a:solidFill>
            </a:rPr>
            <a:t>Metodologías tarifarias</a:t>
          </a:r>
          <a:endParaRPr lang="es-CO" sz="1050" dirty="0">
            <a:solidFill>
              <a:schemeClr val="tx2"/>
            </a:solidFill>
          </a:endParaRPr>
        </a:p>
      </dgm:t>
    </dgm:pt>
    <dgm:pt modelId="{7F745C69-4309-44B5-8382-9F266FBE0A15}" type="parTrans" cxnId="{018789E8-699F-4DCF-B3DA-ADD66E340F11}">
      <dgm:prSet/>
      <dgm:spPr/>
      <dgm:t>
        <a:bodyPr/>
        <a:lstStyle/>
        <a:p>
          <a:endParaRPr lang="es-CO" sz="2400">
            <a:solidFill>
              <a:schemeClr val="tx2"/>
            </a:solidFill>
          </a:endParaRPr>
        </a:p>
      </dgm:t>
    </dgm:pt>
    <dgm:pt modelId="{258DFFF5-ACFE-4CD0-8C78-D71F2C4B929D}" type="sibTrans" cxnId="{018789E8-699F-4DCF-B3DA-ADD66E340F11}">
      <dgm:prSet/>
      <dgm:spPr/>
      <dgm:t>
        <a:bodyPr/>
        <a:lstStyle/>
        <a:p>
          <a:endParaRPr lang="es-CO" sz="2400">
            <a:solidFill>
              <a:schemeClr val="tx2"/>
            </a:solidFill>
          </a:endParaRPr>
        </a:p>
      </dgm:t>
    </dgm:pt>
    <dgm:pt modelId="{8033F6F7-3ECB-402A-AA3F-2AD8CAD7A1E9}">
      <dgm:prSet custT="1"/>
      <dgm:spPr>
        <a:ln>
          <a:solidFill>
            <a:schemeClr val="accent1"/>
          </a:solidFill>
          <a:prstDash val="sysDot"/>
        </a:ln>
      </dgm:spPr>
      <dgm:t>
        <a:bodyPr/>
        <a:lstStyle/>
        <a:p>
          <a:r>
            <a:rPr lang="es-CO" sz="800" b="1" smtClean="0">
              <a:solidFill>
                <a:schemeClr val="tx2"/>
              </a:solidFill>
            </a:rPr>
            <a:t>Costo medio mediano plazo</a:t>
          </a:r>
          <a:endParaRPr lang="es-CO" sz="800" dirty="0">
            <a:solidFill>
              <a:schemeClr val="tx2"/>
            </a:solidFill>
          </a:endParaRPr>
        </a:p>
      </dgm:t>
    </dgm:pt>
    <dgm:pt modelId="{2E998791-20FE-48BD-85DC-DEACB1F49D65}" type="parTrans" cxnId="{B0E44987-FB02-468C-8984-426500F8D6B0}">
      <dgm:prSet/>
      <dgm:spPr/>
      <dgm:t>
        <a:bodyPr/>
        <a:lstStyle/>
        <a:p>
          <a:endParaRPr lang="es-CO" sz="2400">
            <a:solidFill>
              <a:schemeClr val="tx2"/>
            </a:solidFill>
          </a:endParaRPr>
        </a:p>
      </dgm:t>
    </dgm:pt>
    <dgm:pt modelId="{74CD25A0-CB51-4BCC-9071-BABF59DC9797}" type="sibTrans" cxnId="{B0E44987-FB02-468C-8984-426500F8D6B0}">
      <dgm:prSet/>
      <dgm:spPr/>
      <dgm:t>
        <a:bodyPr/>
        <a:lstStyle/>
        <a:p>
          <a:endParaRPr lang="es-CO" sz="2400">
            <a:solidFill>
              <a:schemeClr val="tx2"/>
            </a:solidFill>
          </a:endParaRPr>
        </a:p>
      </dgm:t>
    </dgm:pt>
    <dgm:pt modelId="{052105F9-C76C-42BC-AA18-1F67E2FB4D5C}">
      <dgm:prSet custT="1"/>
      <dgm:spPr>
        <a:ln>
          <a:solidFill>
            <a:schemeClr val="accent1"/>
          </a:solidFill>
          <a:prstDash val="sysDot"/>
        </a:ln>
      </dgm:spPr>
      <dgm:t>
        <a:bodyPr/>
        <a:lstStyle/>
        <a:p>
          <a:r>
            <a:rPr lang="es-CO" sz="800" b="1" smtClean="0">
              <a:solidFill>
                <a:schemeClr val="tx2"/>
              </a:solidFill>
            </a:rPr>
            <a:t>Corte transversal</a:t>
          </a:r>
          <a:endParaRPr lang="es-CO" sz="800" dirty="0">
            <a:solidFill>
              <a:schemeClr val="tx2"/>
            </a:solidFill>
          </a:endParaRPr>
        </a:p>
      </dgm:t>
    </dgm:pt>
    <dgm:pt modelId="{85D621C5-7392-4C66-8E54-2E361DD02378}" type="parTrans" cxnId="{411F4C1C-9F11-4174-803F-CC8CA1529DAC}">
      <dgm:prSet/>
      <dgm:spPr/>
      <dgm:t>
        <a:bodyPr/>
        <a:lstStyle/>
        <a:p>
          <a:endParaRPr lang="es-CO" sz="2400">
            <a:solidFill>
              <a:schemeClr val="tx2"/>
            </a:solidFill>
          </a:endParaRPr>
        </a:p>
      </dgm:t>
    </dgm:pt>
    <dgm:pt modelId="{99B6B76F-5C93-4BBE-A347-A73E3D929CC2}" type="sibTrans" cxnId="{411F4C1C-9F11-4174-803F-CC8CA1529DAC}">
      <dgm:prSet/>
      <dgm:spPr/>
      <dgm:t>
        <a:bodyPr/>
        <a:lstStyle/>
        <a:p>
          <a:endParaRPr lang="es-CO" sz="2400">
            <a:solidFill>
              <a:schemeClr val="tx2"/>
            </a:solidFill>
          </a:endParaRPr>
        </a:p>
      </dgm:t>
    </dgm:pt>
    <dgm:pt modelId="{D0AB5203-8455-4CA5-A489-783C3CD2FF8C}">
      <dgm:prSet custT="1"/>
      <dgm:spPr>
        <a:ln>
          <a:solidFill>
            <a:schemeClr val="accent1"/>
          </a:solidFill>
          <a:prstDash val="sysDot"/>
        </a:ln>
      </dgm:spPr>
      <dgm:t>
        <a:bodyPr/>
        <a:lstStyle/>
        <a:p>
          <a:r>
            <a:rPr lang="es-CO" sz="1100" b="1" dirty="0" smtClean="0">
              <a:solidFill>
                <a:schemeClr val="tx2"/>
              </a:solidFill>
            </a:rPr>
            <a:t>Modelo tarifario</a:t>
          </a:r>
          <a:endParaRPr lang="es-CO" sz="1100" dirty="0">
            <a:solidFill>
              <a:schemeClr val="tx2"/>
            </a:solidFill>
          </a:endParaRPr>
        </a:p>
      </dgm:t>
    </dgm:pt>
    <dgm:pt modelId="{B104D880-B790-4DD0-9583-64860A96A508}" type="parTrans" cxnId="{2928DF10-58EB-4312-9677-000479C1B50F}">
      <dgm:prSet/>
      <dgm:spPr/>
      <dgm:t>
        <a:bodyPr/>
        <a:lstStyle/>
        <a:p>
          <a:endParaRPr lang="es-CO" sz="2400">
            <a:solidFill>
              <a:schemeClr val="tx2"/>
            </a:solidFill>
          </a:endParaRPr>
        </a:p>
      </dgm:t>
    </dgm:pt>
    <dgm:pt modelId="{6C84953C-2F44-4EA5-B438-EA322CD151FE}" type="sibTrans" cxnId="{2928DF10-58EB-4312-9677-000479C1B50F}">
      <dgm:prSet/>
      <dgm:spPr/>
      <dgm:t>
        <a:bodyPr/>
        <a:lstStyle/>
        <a:p>
          <a:endParaRPr lang="es-CO" sz="2400">
            <a:solidFill>
              <a:schemeClr val="tx2"/>
            </a:solidFill>
          </a:endParaRPr>
        </a:p>
      </dgm:t>
    </dgm:pt>
    <dgm:pt modelId="{84B1B0CB-F009-466E-B892-FC4C423445AD}">
      <dgm:prSet custT="1"/>
      <dgm:spPr>
        <a:ln>
          <a:solidFill>
            <a:schemeClr val="accent1"/>
          </a:solidFill>
          <a:prstDash val="sysDot"/>
        </a:ln>
      </dgm:spPr>
      <dgm:t>
        <a:bodyPr/>
        <a:lstStyle/>
        <a:p>
          <a:r>
            <a:rPr lang="es-CO" sz="800" b="1" dirty="0" smtClean="0">
              <a:solidFill>
                <a:schemeClr val="tx2"/>
              </a:solidFill>
            </a:rPr>
            <a:t>Distancia</a:t>
          </a:r>
          <a:endParaRPr lang="es-CO" sz="800" dirty="0">
            <a:solidFill>
              <a:schemeClr val="tx2"/>
            </a:solidFill>
          </a:endParaRPr>
        </a:p>
      </dgm:t>
    </dgm:pt>
    <dgm:pt modelId="{00DE9E7E-7D8D-4D4F-8EB8-2D6938AABFD3}" type="parTrans" cxnId="{7B6F8A46-33DE-4862-8710-E68F4AAB9AA7}">
      <dgm:prSet/>
      <dgm:spPr/>
      <dgm:t>
        <a:bodyPr/>
        <a:lstStyle/>
        <a:p>
          <a:endParaRPr lang="es-CO" sz="2400">
            <a:solidFill>
              <a:schemeClr val="tx2"/>
            </a:solidFill>
          </a:endParaRPr>
        </a:p>
      </dgm:t>
    </dgm:pt>
    <dgm:pt modelId="{E5F2847B-F8E7-47B2-B564-9431FFD07277}" type="sibTrans" cxnId="{7B6F8A46-33DE-4862-8710-E68F4AAB9AA7}">
      <dgm:prSet/>
      <dgm:spPr/>
      <dgm:t>
        <a:bodyPr/>
        <a:lstStyle/>
        <a:p>
          <a:endParaRPr lang="es-CO" sz="2400">
            <a:solidFill>
              <a:schemeClr val="tx2"/>
            </a:solidFill>
          </a:endParaRPr>
        </a:p>
      </dgm:t>
    </dgm:pt>
    <dgm:pt modelId="{DA717A2A-A0CF-4FDD-B8D2-E5891FB8F41F}">
      <dgm:prSet custT="1"/>
      <dgm:spPr>
        <a:ln>
          <a:solidFill>
            <a:schemeClr val="accent1"/>
          </a:solidFill>
          <a:prstDash val="sysDot"/>
        </a:ln>
      </dgm:spPr>
      <dgm:t>
        <a:bodyPr/>
        <a:lstStyle/>
        <a:p>
          <a:r>
            <a:rPr lang="es-CO" sz="800" b="1" dirty="0" smtClean="0">
              <a:solidFill>
                <a:schemeClr val="tx2"/>
              </a:solidFill>
            </a:rPr>
            <a:t>Estampilla</a:t>
          </a:r>
          <a:endParaRPr lang="es-CO" sz="800" dirty="0">
            <a:solidFill>
              <a:schemeClr val="tx2"/>
            </a:solidFill>
          </a:endParaRPr>
        </a:p>
      </dgm:t>
    </dgm:pt>
    <dgm:pt modelId="{00C64AEE-06AC-4456-A3DD-3243DC4BEF30}" type="parTrans" cxnId="{E40F8B94-1E0C-4303-854D-4F1CDA23655F}">
      <dgm:prSet/>
      <dgm:spPr/>
      <dgm:t>
        <a:bodyPr/>
        <a:lstStyle/>
        <a:p>
          <a:endParaRPr lang="es-CO" sz="2400">
            <a:solidFill>
              <a:schemeClr val="tx2"/>
            </a:solidFill>
          </a:endParaRPr>
        </a:p>
      </dgm:t>
    </dgm:pt>
    <dgm:pt modelId="{A5A3BD21-7DD4-44D3-8122-4FFE56793694}" type="sibTrans" cxnId="{E40F8B94-1E0C-4303-854D-4F1CDA23655F}">
      <dgm:prSet/>
      <dgm:spPr/>
      <dgm:t>
        <a:bodyPr/>
        <a:lstStyle/>
        <a:p>
          <a:endParaRPr lang="es-CO" sz="2400">
            <a:solidFill>
              <a:schemeClr val="tx2"/>
            </a:solidFill>
          </a:endParaRPr>
        </a:p>
      </dgm:t>
    </dgm:pt>
    <dgm:pt modelId="{9DA33AFA-63B1-4A9C-BFF6-8C9061085D5C}">
      <dgm:prSet custT="1"/>
      <dgm:spPr>
        <a:ln>
          <a:solidFill>
            <a:schemeClr val="accent1"/>
          </a:solidFill>
          <a:prstDash val="sysDot"/>
        </a:ln>
      </dgm:spPr>
      <dgm:t>
        <a:bodyPr/>
        <a:lstStyle/>
        <a:p>
          <a:r>
            <a:rPr lang="es-CO" sz="1100" b="1" dirty="0" smtClean="0">
              <a:solidFill>
                <a:schemeClr val="tx2"/>
              </a:solidFill>
            </a:rPr>
            <a:t>Señal Expansiones</a:t>
          </a:r>
          <a:endParaRPr lang="es-CO" sz="1100" dirty="0">
            <a:solidFill>
              <a:schemeClr val="tx2"/>
            </a:solidFill>
          </a:endParaRPr>
        </a:p>
      </dgm:t>
    </dgm:pt>
    <dgm:pt modelId="{88BBC4C0-5DD1-4B09-A4D4-AC008078F856}" type="parTrans" cxnId="{F49960E0-6AAD-452D-8E09-EB8D5A11EF41}">
      <dgm:prSet/>
      <dgm:spPr/>
      <dgm:t>
        <a:bodyPr/>
        <a:lstStyle/>
        <a:p>
          <a:endParaRPr lang="es-CO" sz="2400">
            <a:solidFill>
              <a:schemeClr val="tx2"/>
            </a:solidFill>
          </a:endParaRPr>
        </a:p>
      </dgm:t>
    </dgm:pt>
    <dgm:pt modelId="{8FC541EE-16F1-40E6-BB10-D594B0E03ED9}" type="sibTrans" cxnId="{F49960E0-6AAD-452D-8E09-EB8D5A11EF41}">
      <dgm:prSet/>
      <dgm:spPr/>
      <dgm:t>
        <a:bodyPr/>
        <a:lstStyle/>
        <a:p>
          <a:endParaRPr lang="es-CO" sz="2400">
            <a:solidFill>
              <a:schemeClr val="tx2"/>
            </a:solidFill>
          </a:endParaRPr>
        </a:p>
      </dgm:t>
    </dgm:pt>
    <dgm:pt modelId="{F6B72D2F-475B-4EE2-99CD-CF001ABE9D50}">
      <dgm:prSet custT="1"/>
      <dgm:spPr>
        <a:ln>
          <a:solidFill>
            <a:schemeClr val="accent1"/>
          </a:solidFill>
          <a:prstDash val="sysDot"/>
        </a:ln>
      </dgm:spPr>
      <dgm:t>
        <a:bodyPr/>
        <a:lstStyle/>
        <a:p>
          <a:r>
            <a:rPr lang="es-CO" sz="800" b="1" dirty="0" smtClean="0">
              <a:solidFill>
                <a:schemeClr val="tx2"/>
              </a:solidFill>
            </a:rPr>
            <a:t>Planeación UPME </a:t>
          </a:r>
          <a:endParaRPr lang="es-CO" sz="800" dirty="0">
            <a:solidFill>
              <a:schemeClr val="tx2"/>
            </a:solidFill>
          </a:endParaRPr>
        </a:p>
      </dgm:t>
    </dgm:pt>
    <dgm:pt modelId="{CFB2186F-6950-4F41-AD11-B59C2CE3A75C}" type="parTrans" cxnId="{3C449A09-73DA-4F38-917C-B6B838413030}">
      <dgm:prSet/>
      <dgm:spPr/>
      <dgm:t>
        <a:bodyPr/>
        <a:lstStyle/>
        <a:p>
          <a:endParaRPr lang="es-CO" sz="2400">
            <a:solidFill>
              <a:schemeClr val="tx2"/>
            </a:solidFill>
          </a:endParaRPr>
        </a:p>
      </dgm:t>
    </dgm:pt>
    <dgm:pt modelId="{EFFDC037-F625-453D-BCC4-0EFE599FD39E}" type="sibTrans" cxnId="{3C449A09-73DA-4F38-917C-B6B838413030}">
      <dgm:prSet/>
      <dgm:spPr/>
      <dgm:t>
        <a:bodyPr/>
        <a:lstStyle/>
        <a:p>
          <a:endParaRPr lang="es-CO" sz="2400">
            <a:solidFill>
              <a:schemeClr val="tx2"/>
            </a:solidFill>
          </a:endParaRPr>
        </a:p>
      </dgm:t>
    </dgm:pt>
    <dgm:pt modelId="{F1F630F4-0410-46CE-B5A8-83AE4B074AF5}">
      <dgm:prSet custT="1"/>
      <dgm:spPr>
        <a:ln>
          <a:solidFill>
            <a:schemeClr val="accent1"/>
          </a:solidFill>
          <a:prstDash val="sysDot"/>
        </a:ln>
      </dgm:spPr>
      <dgm:t>
        <a:bodyPr/>
        <a:lstStyle/>
        <a:p>
          <a:r>
            <a:rPr lang="es-CO" sz="800" b="1" dirty="0" smtClean="0">
              <a:solidFill>
                <a:schemeClr val="tx2"/>
              </a:solidFill>
            </a:rPr>
            <a:t>Plan de Agentes</a:t>
          </a:r>
          <a:endParaRPr lang="es-CO" sz="800" dirty="0">
            <a:solidFill>
              <a:schemeClr val="tx2"/>
            </a:solidFill>
          </a:endParaRPr>
        </a:p>
      </dgm:t>
    </dgm:pt>
    <dgm:pt modelId="{248EF066-3E43-4968-AD61-04AB207925C9}" type="parTrans" cxnId="{BFEBFE68-6351-48B5-AAF6-9655A108A701}">
      <dgm:prSet/>
      <dgm:spPr/>
      <dgm:t>
        <a:bodyPr/>
        <a:lstStyle/>
        <a:p>
          <a:endParaRPr lang="es-CO" sz="2400">
            <a:solidFill>
              <a:schemeClr val="tx2"/>
            </a:solidFill>
          </a:endParaRPr>
        </a:p>
      </dgm:t>
    </dgm:pt>
    <dgm:pt modelId="{70E1734B-7754-49BA-93F7-070F920F0D07}" type="sibTrans" cxnId="{BFEBFE68-6351-48B5-AAF6-9655A108A701}">
      <dgm:prSet/>
      <dgm:spPr/>
      <dgm:t>
        <a:bodyPr/>
        <a:lstStyle/>
        <a:p>
          <a:endParaRPr lang="es-CO" sz="2400">
            <a:solidFill>
              <a:schemeClr val="tx2"/>
            </a:solidFill>
          </a:endParaRPr>
        </a:p>
      </dgm:t>
    </dgm:pt>
    <dgm:pt modelId="{A3A01091-8662-4240-9D19-C63E91ABB8AD}">
      <dgm:prSet custT="1"/>
      <dgm:spPr>
        <a:ln>
          <a:solidFill>
            <a:schemeClr val="accent1"/>
          </a:solidFill>
          <a:prstDash val="sysDot"/>
        </a:ln>
      </dgm:spPr>
      <dgm:t>
        <a:bodyPr/>
        <a:lstStyle/>
        <a:p>
          <a:r>
            <a:rPr lang="es-CO" sz="800" b="1" dirty="0" smtClean="0">
              <a:solidFill>
                <a:schemeClr val="tx2"/>
              </a:solidFill>
            </a:rPr>
            <a:t>Mecanismos competitivos</a:t>
          </a:r>
          <a:endParaRPr lang="es-CO" sz="800" dirty="0">
            <a:solidFill>
              <a:schemeClr val="tx2"/>
            </a:solidFill>
          </a:endParaRPr>
        </a:p>
      </dgm:t>
    </dgm:pt>
    <dgm:pt modelId="{54A64F18-691B-44C4-BEB8-5A922D6426FC}" type="parTrans" cxnId="{7E6AC78F-E86F-4926-B9AC-CBB5A65962D5}">
      <dgm:prSet/>
      <dgm:spPr/>
      <dgm:t>
        <a:bodyPr/>
        <a:lstStyle/>
        <a:p>
          <a:endParaRPr lang="es-CO" sz="2400">
            <a:solidFill>
              <a:schemeClr val="tx2"/>
            </a:solidFill>
          </a:endParaRPr>
        </a:p>
      </dgm:t>
    </dgm:pt>
    <dgm:pt modelId="{CCB0C301-A76D-4B3E-B370-513F60CF0D0F}" type="sibTrans" cxnId="{7E6AC78F-E86F-4926-B9AC-CBB5A65962D5}">
      <dgm:prSet/>
      <dgm:spPr/>
      <dgm:t>
        <a:bodyPr/>
        <a:lstStyle/>
        <a:p>
          <a:endParaRPr lang="es-CO" sz="2400">
            <a:solidFill>
              <a:schemeClr val="tx2"/>
            </a:solidFill>
          </a:endParaRPr>
        </a:p>
      </dgm:t>
    </dgm:pt>
    <dgm:pt modelId="{A68E1224-50B3-4333-A543-108A953F30C8}">
      <dgm:prSet custT="1"/>
      <dgm:spPr>
        <a:ln>
          <a:solidFill>
            <a:schemeClr val="accent1"/>
          </a:solidFill>
          <a:prstDash val="sysDot"/>
        </a:ln>
      </dgm:spPr>
      <dgm:t>
        <a:bodyPr/>
        <a:lstStyle/>
        <a:p>
          <a:r>
            <a:rPr lang="es-CO" sz="1050" b="1" smtClean="0">
              <a:solidFill>
                <a:schemeClr val="tx2"/>
              </a:solidFill>
            </a:rPr>
            <a:t>Valoración inversión</a:t>
          </a:r>
          <a:endParaRPr lang="es-CO" sz="1050" dirty="0">
            <a:solidFill>
              <a:schemeClr val="tx2"/>
            </a:solidFill>
          </a:endParaRPr>
        </a:p>
      </dgm:t>
    </dgm:pt>
    <dgm:pt modelId="{A82371A7-C193-47F9-B2FC-007487591438}" type="parTrans" cxnId="{7D5DDA8E-E3AF-4F9E-932F-AAF4A7C498CB}">
      <dgm:prSet/>
      <dgm:spPr/>
      <dgm:t>
        <a:bodyPr/>
        <a:lstStyle/>
        <a:p>
          <a:endParaRPr lang="es-CO" sz="2400">
            <a:solidFill>
              <a:schemeClr val="tx2"/>
            </a:solidFill>
          </a:endParaRPr>
        </a:p>
      </dgm:t>
    </dgm:pt>
    <dgm:pt modelId="{03CF2252-33C7-4D47-B92F-82321AAD965B}" type="sibTrans" cxnId="{7D5DDA8E-E3AF-4F9E-932F-AAF4A7C498CB}">
      <dgm:prSet/>
      <dgm:spPr/>
      <dgm:t>
        <a:bodyPr/>
        <a:lstStyle/>
        <a:p>
          <a:endParaRPr lang="es-CO" sz="2400">
            <a:solidFill>
              <a:schemeClr val="tx2"/>
            </a:solidFill>
          </a:endParaRPr>
        </a:p>
      </dgm:t>
    </dgm:pt>
    <dgm:pt modelId="{99F6E134-DE9D-4BD3-B346-FC050662B519}">
      <dgm:prSet custT="1"/>
      <dgm:spPr>
        <a:ln>
          <a:solidFill>
            <a:schemeClr val="accent1"/>
          </a:solidFill>
          <a:prstDash val="sysDot"/>
        </a:ln>
      </dgm:spPr>
      <dgm:t>
        <a:bodyPr/>
        <a:lstStyle/>
        <a:p>
          <a:r>
            <a:rPr lang="es-CO" sz="800" b="1" smtClean="0">
              <a:solidFill>
                <a:schemeClr val="tx2"/>
              </a:solidFill>
            </a:rPr>
            <a:t>Estudio definición Vida útil</a:t>
          </a:r>
          <a:endParaRPr lang="es-CO" sz="800" dirty="0">
            <a:solidFill>
              <a:schemeClr val="tx2"/>
            </a:solidFill>
          </a:endParaRPr>
        </a:p>
      </dgm:t>
    </dgm:pt>
    <dgm:pt modelId="{19134AF3-DE89-49A8-9FDF-8EDF5A6DFD36}" type="parTrans" cxnId="{8EE3569A-034D-4490-91E8-B89AE0116369}">
      <dgm:prSet/>
      <dgm:spPr/>
      <dgm:t>
        <a:bodyPr/>
        <a:lstStyle/>
        <a:p>
          <a:endParaRPr lang="es-CO" sz="2400">
            <a:solidFill>
              <a:schemeClr val="tx2"/>
            </a:solidFill>
          </a:endParaRPr>
        </a:p>
      </dgm:t>
    </dgm:pt>
    <dgm:pt modelId="{4769A41E-9A85-4095-9117-34B461889117}" type="sibTrans" cxnId="{8EE3569A-034D-4490-91E8-B89AE0116369}">
      <dgm:prSet/>
      <dgm:spPr/>
      <dgm:t>
        <a:bodyPr/>
        <a:lstStyle/>
        <a:p>
          <a:endParaRPr lang="es-CO" sz="2400">
            <a:solidFill>
              <a:schemeClr val="tx2"/>
            </a:solidFill>
          </a:endParaRPr>
        </a:p>
      </dgm:t>
    </dgm:pt>
    <dgm:pt modelId="{AF6B6524-8ACC-4733-A092-2B2890E6E5F6}">
      <dgm:prSet custT="1"/>
      <dgm:spPr>
        <a:ln>
          <a:solidFill>
            <a:schemeClr val="accent1"/>
          </a:solidFill>
          <a:prstDash val="sysDot"/>
        </a:ln>
      </dgm:spPr>
      <dgm:t>
        <a:bodyPr/>
        <a:lstStyle/>
        <a:p>
          <a:r>
            <a:rPr lang="es-CO" sz="800" b="1" dirty="0" smtClean="0">
              <a:solidFill>
                <a:schemeClr val="tx2"/>
              </a:solidFill>
            </a:rPr>
            <a:t>Modelo valoración nueva infraestructura</a:t>
          </a:r>
          <a:endParaRPr lang="es-CO" sz="800" dirty="0">
            <a:solidFill>
              <a:schemeClr val="tx2"/>
            </a:solidFill>
          </a:endParaRPr>
        </a:p>
      </dgm:t>
    </dgm:pt>
    <dgm:pt modelId="{016EB296-E099-4F0A-83A2-D172B2B3194F}" type="parTrans" cxnId="{6F294629-47DB-43C3-90E2-7F65299F6D62}">
      <dgm:prSet/>
      <dgm:spPr/>
      <dgm:t>
        <a:bodyPr/>
        <a:lstStyle/>
        <a:p>
          <a:endParaRPr lang="es-CO" sz="2400">
            <a:solidFill>
              <a:schemeClr val="tx2"/>
            </a:solidFill>
          </a:endParaRPr>
        </a:p>
      </dgm:t>
    </dgm:pt>
    <dgm:pt modelId="{F9F75074-DDB3-45B6-8731-6BB01C1C6AF1}" type="sibTrans" cxnId="{6F294629-47DB-43C3-90E2-7F65299F6D62}">
      <dgm:prSet/>
      <dgm:spPr/>
      <dgm:t>
        <a:bodyPr/>
        <a:lstStyle/>
        <a:p>
          <a:endParaRPr lang="es-CO" sz="2400">
            <a:solidFill>
              <a:schemeClr val="tx2"/>
            </a:solidFill>
          </a:endParaRPr>
        </a:p>
      </dgm:t>
    </dgm:pt>
    <dgm:pt modelId="{160C0783-999A-4E13-A676-1F9C2E31A757}">
      <dgm:prSet custT="1"/>
      <dgm:spPr>
        <a:ln>
          <a:solidFill>
            <a:schemeClr val="accent1"/>
          </a:solidFill>
          <a:prstDash val="sysDot"/>
        </a:ln>
      </dgm:spPr>
      <dgm:t>
        <a:bodyPr/>
        <a:lstStyle/>
        <a:p>
          <a:r>
            <a:rPr lang="es-CO" sz="800" b="1" dirty="0" smtClean="0">
              <a:solidFill>
                <a:schemeClr val="tx2"/>
              </a:solidFill>
            </a:rPr>
            <a:t>Valoración infraestructura actual</a:t>
          </a:r>
          <a:endParaRPr lang="es-CO" sz="800" dirty="0">
            <a:solidFill>
              <a:schemeClr val="tx2"/>
            </a:solidFill>
          </a:endParaRPr>
        </a:p>
      </dgm:t>
    </dgm:pt>
    <dgm:pt modelId="{D75B1EF1-432B-4E37-BD96-3CDC81A52E13}" type="parTrans" cxnId="{DEFAF37E-B725-4280-A91A-0FC7A52F6471}">
      <dgm:prSet/>
      <dgm:spPr/>
      <dgm:t>
        <a:bodyPr/>
        <a:lstStyle/>
        <a:p>
          <a:endParaRPr lang="es-CO" sz="2400">
            <a:solidFill>
              <a:schemeClr val="tx2"/>
            </a:solidFill>
          </a:endParaRPr>
        </a:p>
      </dgm:t>
    </dgm:pt>
    <dgm:pt modelId="{98D42745-020A-4E94-B6A9-DB83FCA9244D}" type="sibTrans" cxnId="{DEFAF37E-B725-4280-A91A-0FC7A52F6471}">
      <dgm:prSet/>
      <dgm:spPr/>
      <dgm:t>
        <a:bodyPr/>
        <a:lstStyle/>
        <a:p>
          <a:endParaRPr lang="es-CO" sz="2400">
            <a:solidFill>
              <a:schemeClr val="tx2"/>
            </a:solidFill>
          </a:endParaRPr>
        </a:p>
      </dgm:t>
    </dgm:pt>
    <dgm:pt modelId="{D2F31735-7DD6-48E4-95A8-E227A8929CCB}">
      <dgm:prSet custT="1"/>
      <dgm:spPr>
        <a:ln>
          <a:solidFill>
            <a:schemeClr val="accent1"/>
          </a:solidFill>
          <a:prstDash val="sysDot"/>
        </a:ln>
      </dgm:spPr>
      <dgm:t>
        <a:bodyPr/>
        <a:lstStyle/>
        <a:p>
          <a:r>
            <a:rPr lang="es-CO" sz="1100" b="1" dirty="0" smtClean="0">
              <a:solidFill>
                <a:schemeClr val="tx2"/>
              </a:solidFill>
            </a:rPr>
            <a:t>AOM</a:t>
          </a:r>
          <a:endParaRPr lang="es-CO" sz="1100" dirty="0">
            <a:solidFill>
              <a:schemeClr val="tx2"/>
            </a:solidFill>
          </a:endParaRPr>
        </a:p>
      </dgm:t>
    </dgm:pt>
    <dgm:pt modelId="{3D3B373B-F5D5-429B-99AE-D28CBE39B35A}" type="parTrans" cxnId="{B4819204-E965-480F-B81A-616B36E94C1C}">
      <dgm:prSet/>
      <dgm:spPr/>
      <dgm:t>
        <a:bodyPr/>
        <a:lstStyle/>
        <a:p>
          <a:endParaRPr lang="es-CO" sz="2400">
            <a:solidFill>
              <a:schemeClr val="tx2"/>
            </a:solidFill>
          </a:endParaRPr>
        </a:p>
      </dgm:t>
    </dgm:pt>
    <dgm:pt modelId="{EC320B35-37D5-436A-8416-493A49E126A1}" type="sibTrans" cxnId="{B4819204-E965-480F-B81A-616B36E94C1C}">
      <dgm:prSet/>
      <dgm:spPr/>
      <dgm:t>
        <a:bodyPr/>
        <a:lstStyle/>
        <a:p>
          <a:endParaRPr lang="es-CO" sz="2400">
            <a:solidFill>
              <a:schemeClr val="tx2"/>
            </a:solidFill>
          </a:endParaRPr>
        </a:p>
      </dgm:t>
    </dgm:pt>
    <dgm:pt modelId="{F76B23C8-F6D5-409B-9732-41F10E597A87}">
      <dgm:prSet custT="1"/>
      <dgm:spPr>
        <a:ln>
          <a:solidFill>
            <a:schemeClr val="accent1"/>
          </a:solidFill>
          <a:prstDash val="sysDot"/>
        </a:ln>
      </dgm:spPr>
      <dgm:t>
        <a:bodyPr/>
        <a:lstStyle/>
        <a:p>
          <a:r>
            <a:rPr lang="es-CO" sz="800" b="1" dirty="0" smtClean="0">
              <a:solidFill>
                <a:schemeClr val="tx2"/>
              </a:solidFill>
            </a:rPr>
            <a:t>% de inversión</a:t>
          </a:r>
          <a:endParaRPr lang="es-CO" sz="800" dirty="0">
            <a:solidFill>
              <a:schemeClr val="tx2"/>
            </a:solidFill>
          </a:endParaRPr>
        </a:p>
      </dgm:t>
    </dgm:pt>
    <dgm:pt modelId="{C9B896A9-AE64-43EF-A0A4-97460201E4D9}" type="parTrans" cxnId="{F1821FE6-1213-4867-BCC0-288E5EB58D0C}">
      <dgm:prSet/>
      <dgm:spPr/>
      <dgm:t>
        <a:bodyPr/>
        <a:lstStyle/>
        <a:p>
          <a:endParaRPr lang="es-CO" sz="2400">
            <a:solidFill>
              <a:schemeClr val="tx2"/>
            </a:solidFill>
          </a:endParaRPr>
        </a:p>
      </dgm:t>
    </dgm:pt>
    <dgm:pt modelId="{82C58DE5-C0EE-41DF-AD23-85997929582F}" type="sibTrans" cxnId="{F1821FE6-1213-4867-BCC0-288E5EB58D0C}">
      <dgm:prSet/>
      <dgm:spPr/>
      <dgm:t>
        <a:bodyPr/>
        <a:lstStyle/>
        <a:p>
          <a:endParaRPr lang="es-CO" sz="2400">
            <a:solidFill>
              <a:schemeClr val="tx2"/>
            </a:solidFill>
          </a:endParaRPr>
        </a:p>
      </dgm:t>
    </dgm:pt>
    <dgm:pt modelId="{2DB4C7F9-3CB0-4AFB-B2B4-605043C0CFA1}">
      <dgm:prSet custT="1"/>
      <dgm:spPr>
        <a:ln>
          <a:solidFill>
            <a:schemeClr val="accent1"/>
          </a:solidFill>
          <a:prstDash val="sysDot"/>
        </a:ln>
      </dgm:spPr>
      <dgm:t>
        <a:bodyPr/>
        <a:lstStyle/>
        <a:p>
          <a:r>
            <a:rPr lang="es-CO" sz="800" b="1" dirty="0" smtClean="0">
              <a:solidFill>
                <a:schemeClr val="tx2"/>
              </a:solidFill>
            </a:rPr>
            <a:t>Proyección </a:t>
          </a:r>
          <a:endParaRPr lang="es-CO" sz="800" dirty="0">
            <a:solidFill>
              <a:schemeClr val="tx2"/>
            </a:solidFill>
          </a:endParaRPr>
        </a:p>
      </dgm:t>
    </dgm:pt>
    <dgm:pt modelId="{092E3609-3969-4442-B573-2A57C7823925}" type="parTrans" cxnId="{E5C3A86B-B1C0-4FA0-AE7A-E7283F083A22}">
      <dgm:prSet/>
      <dgm:spPr/>
      <dgm:t>
        <a:bodyPr/>
        <a:lstStyle/>
        <a:p>
          <a:endParaRPr lang="es-CO" sz="2400">
            <a:solidFill>
              <a:schemeClr val="tx2"/>
            </a:solidFill>
          </a:endParaRPr>
        </a:p>
      </dgm:t>
    </dgm:pt>
    <dgm:pt modelId="{591680CA-5941-48F0-A590-202771A79D71}" type="sibTrans" cxnId="{E5C3A86B-B1C0-4FA0-AE7A-E7283F083A22}">
      <dgm:prSet/>
      <dgm:spPr/>
      <dgm:t>
        <a:bodyPr/>
        <a:lstStyle/>
        <a:p>
          <a:endParaRPr lang="es-CO" sz="2400">
            <a:solidFill>
              <a:schemeClr val="tx2"/>
            </a:solidFill>
          </a:endParaRPr>
        </a:p>
      </dgm:t>
    </dgm:pt>
    <dgm:pt modelId="{7847CD8F-CBA4-4591-8623-83FFF323A351}">
      <dgm:prSet custT="1"/>
      <dgm:spPr>
        <a:ln>
          <a:solidFill>
            <a:schemeClr val="accent1"/>
          </a:solidFill>
          <a:prstDash val="sysDot"/>
        </a:ln>
      </dgm:spPr>
      <dgm:t>
        <a:bodyPr/>
        <a:lstStyle/>
        <a:p>
          <a:r>
            <a:rPr lang="es-CO" sz="800" dirty="0" smtClean="0">
              <a:solidFill>
                <a:schemeClr val="tx2"/>
              </a:solidFill>
            </a:rPr>
            <a:t>Proyectos confiabilidad</a:t>
          </a:r>
          <a:endParaRPr lang="es-CO" sz="800" dirty="0">
            <a:solidFill>
              <a:schemeClr val="tx2"/>
            </a:solidFill>
          </a:endParaRPr>
        </a:p>
      </dgm:t>
    </dgm:pt>
    <dgm:pt modelId="{2AF786E7-5367-419E-9D66-CE4713F8E98A}" type="parTrans" cxnId="{2A6B6229-6E80-41EF-9D2B-689D5C6EDD1A}">
      <dgm:prSet/>
      <dgm:spPr/>
      <dgm:t>
        <a:bodyPr/>
        <a:lstStyle/>
        <a:p>
          <a:endParaRPr lang="es-CO" sz="1100"/>
        </a:p>
      </dgm:t>
    </dgm:pt>
    <dgm:pt modelId="{C2D1A332-A086-4349-93B0-DA19C8DF27BB}" type="sibTrans" cxnId="{2A6B6229-6E80-41EF-9D2B-689D5C6EDD1A}">
      <dgm:prSet/>
      <dgm:spPr/>
      <dgm:t>
        <a:bodyPr/>
        <a:lstStyle/>
        <a:p>
          <a:endParaRPr lang="es-CO" sz="1100"/>
        </a:p>
      </dgm:t>
    </dgm:pt>
    <dgm:pt modelId="{44E6FB90-0181-4A5C-8446-70DD91629258}">
      <dgm:prSet custT="1"/>
      <dgm:spPr>
        <a:ln>
          <a:solidFill>
            <a:schemeClr val="accent1"/>
          </a:solidFill>
          <a:prstDash val="sysDot"/>
        </a:ln>
      </dgm:spPr>
      <dgm:t>
        <a:bodyPr/>
        <a:lstStyle/>
        <a:p>
          <a:r>
            <a:rPr lang="es-CO" sz="1000" b="1" dirty="0" smtClean="0">
              <a:solidFill>
                <a:schemeClr val="tx2"/>
              </a:solidFill>
            </a:rPr>
            <a:t>Remuneración facilidades</a:t>
          </a:r>
          <a:endParaRPr lang="es-CO" sz="1000" dirty="0">
            <a:solidFill>
              <a:schemeClr val="tx2"/>
            </a:solidFill>
          </a:endParaRPr>
        </a:p>
      </dgm:t>
    </dgm:pt>
    <dgm:pt modelId="{1E76FD0A-117D-4EEF-ADB9-59C49F374606}" type="parTrans" cxnId="{C36B1B9F-FB38-4CC5-9519-1409F4E28E90}">
      <dgm:prSet/>
      <dgm:spPr/>
      <dgm:t>
        <a:bodyPr/>
        <a:lstStyle/>
        <a:p>
          <a:endParaRPr lang="es-CO" sz="1100"/>
        </a:p>
      </dgm:t>
    </dgm:pt>
    <dgm:pt modelId="{7D776BE0-DD5D-45CF-AB40-A3957E4FF60A}" type="sibTrans" cxnId="{C36B1B9F-FB38-4CC5-9519-1409F4E28E90}">
      <dgm:prSet/>
      <dgm:spPr/>
      <dgm:t>
        <a:bodyPr/>
        <a:lstStyle/>
        <a:p>
          <a:endParaRPr lang="es-CO" sz="1100"/>
        </a:p>
      </dgm:t>
    </dgm:pt>
    <dgm:pt modelId="{DE300770-0151-4ED2-AE36-0A3770FC5DE0}">
      <dgm:prSet custT="1"/>
      <dgm:spPr>
        <a:ln>
          <a:solidFill>
            <a:schemeClr val="accent1"/>
          </a:solidFill>
          <a:prstDash val="sysDot"/>
        </a:ln>
      </dgm:spPr>
      <dgm:t>
        <a:bodyPr/>
        <a:lstStyle/>
        <a:p>
          <a:r>
            <a:rPr lang="es-CO" sz="800" b="1" dirty="0" smtClean="0">
              <a:solidFill>
                <a:schemeClr val="tx2"/>
              </a:solidFill>
            </a:rPr>
            <a:t>Almacenamiento</a:t>
          </a:r>
          <a:endParaRPr lang="es-CO" sz="800" b="1" dirty="0">
            <a:solidFill>
              <a:schemeClr val="tx2"/>
            </a:solidFill>
          </a:endParaRPr>
        </a:p>
      </dgm:t>
    </dgm:pt>
    <dgm:pt modelId="{A3C56A85-FF31-4000-B3B0-4EDC46DCCB13}" type="parTrans" cxnId="{0BB1CFF0-09D7-46DE-9C94-8674A2471E12}">
      <dgm:prSet/>
      <dgm:spPr/>
      <dgm:t>
        <a:bodyPr/>
        <a:lstStyle/>
        <a:p>
          <a:endParaRPr lang="es-CO" sz="1100"/>
        </a:p>
      </dgm:t>
    </dgm:pt>
    <dgm:pt modelId="{F07A44A8-8B7F-4B1C-966C-0285105E1641}" type="sibTrans" cxnId="{0BB1CFF0-09D7-46DE-9C94-8674A2471E12}">
      <dgm:prSet/>
      <dgm:spPr/>
      <dgm:t>
        <a:bodyPr/>
        <a:lstStyle/>
        <a:p>
          <a:endParaRPr lang="es-CO" sz="1100"/>
        </a:p>
      </dgm:t>
    </dgm:pt>
    <dgm:pt modelId="{FC199E48-BED7-4453-9106-A41CB2D4A3FB}">
      <dgm:prSet custT="1"/>
      <dgm:spPr>
        <a:ln>
          <a:solidFill>
            <a:schemeClr val="accent1"/>
          </a:solidFill>
          <a:prstDash val="sysDot"/>
        </a:ln>
      </dgm:spPr>
      <dgm:t>
        <a:bodyPr/>
        <a:lstStyle/>
        <a:p>
          <a:r>
            <a:rPr lang="es-CO" sz="800" b="1" dirty="0" smtClean="0">
              <a:solidFill>
                <a:schemeClr val="tx2"/>
              </a:solidFill>
            </a:rPr>
            <a:t>Conexiones</a:t>
          </a:r>
          <a:endParaRPr lang="es-CO" sz="800" b="1" dirty="0">
            <a:solidFill>
              <a:schemeClr val="tx2"/>
            </a:solidFill>
          </a:endParaRPr>
        </a:p>
      </dgm:t>
    </dgm:pt>
    <dgm:pt modelId="{B5D52BB5-7FE8-484A-A18B-09D496B5CD08}" type="parTrans" cxnId="{162048DD-CDC8-4D51-BFCE-57AAA43D7A3F}">
      <dgm:prSet/>
      <dgm:spPr/>
      <dgm:t>
        <a:bodyPr/>
        <a:lstStyle/>
        <a:p>
          <a:endParaRPr lang="es-CO" sz="1100"/>
        </a:p>
      </dgm:t>
    </dgm:pt>
    <dgm:pt modelId="{F78D3570-A1B5-4F06-88C8-CA48C29B5BC1}" type="sibTrans" cxnId="{162048DD-CDC8-4D51-BFCE-57AAA43D7A3F}">
      <dgm:prSet/>
      <dgm:spPr/>
      <dgm:t>
        <a:bodyPr/>
        <a:lstStyle/>
        <a:p>
          <a:endParaRPr lang="es-CO" sz="1100"/>
        </a:p>
      </dgm:t>
    </dgm:pt>
    <dgm:pt modelId="{4AA0796B-7378-414B-B256-6A1005F12ABD}">
      <dgm:prSet custT="1"/>
      <dgm:spPr>
        <a:ln>
          <a:solidFill>
            <a:schemeClr val="accent1"/>
          </a:solidFill>
          <a:prstDash val="sysDot"/>
        </a:ln>
      </dgm:spPr>
      <dgm:t>
        <a:bodyPr/>
        <a:lstStyle/>
        <a:p>
          <a:r>
            <a:rPr lang="es-CO" sz="800" b="1" dirty="0" smtClean="0">
              <a:solidFill>
                <a:schemeClr val="tx2"/>
              </a:solidFill>
            </a:rPr>
            <a:t>Libre/regulado</a:t>
          </a:r>
          <a:endParaRPr lang="es-CO" sz="800" b="1" dirty="0">
            <a:solidFill>
              <a:schemeClr val="tx2"/>
            </a:solidFill>
          </a:endParaRPr>
        </a:p>
      </dgm:t>
    </dgm:pt>
    <dgm:pt modelId="{022FDB52-1EAE-4981-B1AD-617D70287E67}" type="parTrans" cxnId="{01AA4245-4977-4F32-B500-2B8872661E82}">
      <dgm:prSet/>
      <dgm:spPr/>
      <dgm:t>
        <a:bodyPr/>
        <a:lstStyle/>
        <a:p>
          <a:endParaRPr lang="es-CO" sz="1100"/>
        </a:p>
      </dgm:t>
    </dgm:pt>
    <dgm:pt modelId="{ED2B51C3-855E-472E-8836-CFBB07D4FE16}" type="sibTrans" cxnId="{01AA4245-4977-4F32-B500-2B8872661E82}">
      <dgm:prSet/>
      <dgm:spPr/>
      <dgm:t>
        <a:bodyPr/>
        <a:lstStyle/>
        <a:p>
          <a:endParaRPr lang="es-CO" sz="1100"/>
        </a:p>
      </dgm:t>
    </dgm:pt>
    <dgm:pt modelId="{7D2C5D91-76B6-4834-84DF-EDDFC6B1135B}">
      <dgm:prSet custT="1"/>
      <dgm:spPr>
        <a:ln>
          <a:solidFill>
            <a:schemeClr val="accent1"/>
          </a:solidFill>
          <a:prstDash val="sysDot"/>
        </a:ln>
      </dgm:spPr>
      <dgm:t>
        <a:bodyPr/>
        <a:lstStyle/>
        <a:p>
          <a:r>
            <a:rPr lang="es-CO" sz="800" dirty="0" smtClean="0">
              <a:solidFill>
                <a:schemeClr val="tx2"/>
              </a:solidFill>
            </a:rPr>
            <a:t>Cargos</a:t>
          </a:r>
          <a:endParaRPr lang="es-CO" sz="800" dirty="0">
            <a:solidFill>
              <a:schemeClr val="tx2"/>
            </a:solidFill>
          </a:endParaRPr>
        </a:p>
      </dgm:t>
    </dgm:pt>
    <dgm:pt modelId="{F0E43648-7E6F-407E-8FDC-94190BCE74F5}" type="parTrans" cxnId="{315F0E09-CA12-4B98-9851-643C326588B9}">
      <dgm:prSet/>
      <dgm:spPr/>
      <dgm:t>
        <a:bodyPr/>
        <a:lstStyle/>
        <a:p>
          <a:endParaRPr lang="es-CO" sz="1100"/>
        </a:p>
      </dgm:t>
    </dgm:pt>
    <dgm:pt modelId="{F7737321-1B6A-40B7-9CC0-2E286F505A36}" type="sibTrans" cxnId="{315F0E09-CA12-4B98-9851-643C326588B9}">
      <dgm:prSet/>
      <dgm:spPr/>
      <dgm:t>
        <a:bodyPr/>
        <a:lstStyle/>
        <a:p>
          <a:endParaRPr lang="es-CO" sz="1100"/>
        </a:p>
      </dgm:t>
    </dgm:pt>
    <dgm:pt modelId="{F0FB341C-0952-4036-87BB-9319FC70FE0E}">
      <dgm:prSet custT="1"/>
      <dgm:spPr>
        <a:ln>
          <a:solidFill>
            <a:schemeClr val="accent1"/>
          </a:solidFill>
          <a:prstDash val="sysDot"/>
        </a:ln>
      </dgm:spPr>
      <dgm:t>
        <a:bodyPr/>
        <a:lstStyle/>
        <a:p>
          <a:r>
            <a:rPr lang="es-CO" sz="800" dirty="0" err="1" smtClean="0">
              <a:solidFill>
                <a:schemeClr val="tx2"/>
              </a:solidFill>
            </a:rPr>
            <a:t>Inv</a:t>
          </a:r>
          <a:r>
            <a:rPr lang="es-CO" sz="800" dirty="0" smtClean="0">
              <a:solidFill>
                <a:schemeClr val="tx2"/>
              </a:solidFill>
            </a:rPr>
            <a:t>: fijos/variables</a:t>
          </a:r>
          <a:endParaRPr lang="es-CO" sz="800" dirty="0">
            <a:solidFill>
              <a:schemeClr val="tx2"/>
            </a:solidFill>
          </a:endParaRPr>
        </a:p>
      </dgm:t>
    </dgm:pt>
    <dgm:pt modelId="{6A4EA577-30CC-4F82-A47B-CDD91678FEE9}" type="parTrans" cxnId="{E18AF9E5-8AA9-4873-B89D-70CFC65F1B35}">
      <dgm:prSet/>
      <dgm:spPr/>
      <dgm:t>
        <a:bodyPr/>
        <a:lstStyle/>
        <a:p>
          <a:endParaRPr lang="es-CO" sz="1100"/>
        </a:p>
      </dgm:t>
    </dgm:pt>
    <dgm:pt modelId="{326DACF2-3CF9-48AF-B6AA-0563E60663EE}" type="sibTrans" cxnId="{E18AF9E5-8AA9-4873-B89D-70CFC65F1B35}">
      <dgm:prSet/>
      <dgm:spPr/>
      <dgm:t>
        <a:bodyPr/>
        <a:lstStyle/>
        <a:p>
          <a:endParaRPr lang="es-CO" sz="1100"/>
        </a:p>
      </dgm:t>
    </dgm:pt>
    <dgm:pt modelId="{C4692988-C407-4CC9-9FCE-9CD6E99BF9A6}">
      <dgm:prSet custT="1"/>
      <dgm:spPr>
        <a:ln>
          <a:solidFill>
            <a:schemeClr val="accent1"/>
          </a:solidFill>
          <a:prstDash val="sysDot"/>
        </a:ln>
      </dgm:spPr>
      <dgm:t>
        <a:bodyPr/>
        <a:lstStyle/>
        <a:p>
          <a:r>
            <a:rPr lang="es-CO" sz="800" dirty="0" smtClean="0">
              <a:solidFill>
                <a:schemeClr val="tx2"/>
              </a:solidFill>
            </a:rPr>
            <a:t>AOM</a:t>
          </a:r>
          <a:endParaRPr lang="es-CO" sz="800" dirty="0">
            <a:solidFill>
              <a:schemeClr val="tx2"/>
            </a:solidFill>
          </a:endParaRPr>
        </a:p>
      </dgm:t>
    </dgm:pt>
    <dgm:pt modelId="{3952BB97-478C-42C0-A49B-2821C60757D9}" type="parTrans" cxnId="{265153FE-8F02-4DED-9717-FE6375D80709}">
      <dgm:prSet/>
      <dgm:spPr/>
      <dgm:t>
        <a:bodyPr/>
        <a:lstStyle/>
        <a:p>
          <a:endParaRPr lang="es-CO" sz="1100"/>
        </a:p>
      </dgm:t>
    </dgm:pt>
    <dgm:pt modelId="{B281CDE6-87F5-4300-B6FD-F342477C4700}" type="sibTrans" cxnId="{265153FE-8F02-4DED-9717-FE6375D80709}">
      <dgm:prSet/>
      <dgm:spPr/>
      <dgm:t>
        <a:bodyPr/>
        <a:lstStyle/>
        <a:p>
          <a:endParaRPr lang="es-CO" sz="1100"/>
        </a:p>
      </dgm:t>
    </dgm:pt>
    <dgm:pt modelId="{E59AE793-9A7B-4A8B-9890-A415729EC337}" type="pres">
      <dgm:prSet presAssocID="{A759CAA1-1A2D-4D68-A291-461B2C9BC3EB}" presName="cycle" presStyleCnt="0">
        <dgm:presLayoutVars>
          <dgm:chMax val="1"/>
          <dgm:dir/>
          <dgm:animLvl val="ctr"/>
          <dgm:resizeHandles val="exact"/>
        </dgm:presLayoutVars>
      </dgm:prSet>
      <dgm:spPr/>
      <dgm:t>
        <a:bodyPr/>
        <a:lstStyle/>
        <a:p>
          <a:endParaRPr lang="es-CO"/>
        </a:p>
      </dgm:t>
    </dgm:pt>
    <dgm:pt modelId="{7FC16B21-18F1-4A4A-A9E1-A3DB59157E52}" type="pres">
      <dgm:prSet presAssocID="{CCBC58D3-4691-495E-A58D-3F26FE4A2FD5}" presName="centerShape" presStyleLbl="node0" presStyleIdx="0" presStyleCnt="1"/>
      <dgm:spPr/>
      <dgm:t>
        <a:bodyPr/>
        <a:lstStyle/>
        <a:p>
          <a:endParaRPr lang="es-CO"/>
        </a:p>
      </dgm:t>
    </dgm:pt>
    <dgm:pt modelId="{0F75E495-8489-48B9-8205-F1C27C1C432D}" type="pres">
      <dgm:prSet presAssocID="{7F745C69-4309-44B5-8382-9F266FBE0A15}" presName="parTrans" presStyleLbl="bgSibTrans2D1" presStyleIdx="0" presStyleCnt="6"/>
      <dgm:spPr/>
      <dgm:t>
        <a:bodyPr/>
        <a:lstStyle/>
        <a:p>
          <a:endParaRPr lang="es-CO"/>
        </a:p>
      </dgm:t>
    </dgm:pt>
    <dgm:pt modelId="{0B85E716-8152-4AA6-A96D-4F77E4A7E024}" type="pres">
      <dgm:prSet presAssocID="{5C7DBCF3-2782-4844-B4BD-6B220F680C51}" presName="node" presStyleLbl="node1" presStyleIdx="0" presStyleCnt="6">
        <dgm:presLayoutVars>
          <dgm:bulletEnabled val="1"/>
        </dgm:presLayoutVars>
      </dgm:prSet>
      <dgm:spPr/>
      <dgm:t>
        <a:bodyPr/>
        <a:lstStyle/>
        <a:p>
          <a:endParaRPr lang="es-CO"/>
        </a:p>
      </dgm:t>
    </dgm:pt>
    <dgm:pt modelId="{FA1CD945-9F80-4D39-9F3F-E894E7F69326}" type="pres">
      <dgm:prSet presAssocID="{B104D880-B790-4DD0-9583-64860A96A508}" presName="parTrans" presStyleLbl="bgSibTrans2D1" presStyleIdx="1" presStyleCnt="6"/>
      <dgm:spPr/>
      <dgm:t>
        <a:bodyPr/>
        <a:lstStyle/>
        <a:p>
          <a:endParaRPr lang="es-CO"/>
        </a:p>
      </dgm:t>
    </dgm:pt>
    <dgm:pt modelId="{2D40B2F2-B26E-4643-88DF-6E80B8DF766C}" type="pres">
      <dgm:prSet presAssocID="{D0AB5203-8455-4CA5-A489-783C3CD2FF8C}" presName="node" presStyleLbl="node1" presStyleIdx="1" presStyleCnt="6" custScaleY="129808" custRadScaleRad="106128" custRadScaleInc="-10567">
        <dgm:presLayoutVars>
          <dgm:bulletEnabled val="1"/>
        </dgm:presLayoutVars>
      </dgm:prSet>
      <dgm:spPr/>
      <dgm:t>
        <a:bodyPr/>
        <a:lstStyle/>
        <a:p>
          <a:endParaRPr lang="es-CO"/>
        </a:p>
      </dgm:t>
    </dgm:pt>
    <dgm:pt modelId="{8BCBCACF-7A20-4492-AC94-7FC003089FF8}" type="pres">
      <dgm:prSet presAssocID="{88BBC4C0-5DD1-4B09-A4D4-AC008078F856}" presName="parTrans" presStyleLbl="bgSibTrans2D1" presStyleIdx="2" presStyleCnt="6"/>
      <dgm:spPr/>
      <dgm:t>
        <a:bodyPr/>
        <a:lstStyle/>
        <a:p>
          <a:endParaRPr lang="es-CO"/>
        </a:p>
      </dgm:t>
    </dgm:pt>
    <dgm:pt modelId="{6659435C-4894-47E1-8C23-08321E3991CC}" type="pres">
      <dgm:prSet presAssocID="{9DA33AFA-63B1-4A9C-BFF6-8C9061085D5C}" presName="node" presStyleLbl="node1" presStyleIdx="2" presStyleCnt="6" custScaleX="119937" custScaleY="107170" custRadScaleRad="107637" custRadScaleInc="-1801">
        <dgm:presLayoutVars>
          <dgm:bulletEnabled val="1"/>
        </dgm:presLayoutVars>
      </dgm:prSet>
      <dgm:spPr/>
      <dgm:t>
        <a:bodyPr/>
        <a:lstStyle/>
        <a:p>
          <a:endParaRPr lang="es-CO"/>
        </a:p>
      </dgm:t>
    </dgm:pt>
    <dgm:pt modelId="{CEBEE4B1-8575-483E-8B03-C5154F452DB9}" type="pres">
      <dgm:prSet presAssocID="{A82371A7-C193-47F9-B2FC-007487591438}" presName="parTrans" presStyleLbl="bgSibTrans2D1" presStyleIdx="3" presStyleCnt="6"/>
      <dgm:spPr/>
      <dgm:t>
        <a:bodyPr/>
        <a:lstStyle/>
        <a:p>
          <a:endParaRPr lang="es-CO"/>
        </a:p>
      </dgm:t>
    </dgm:pt>
    <dgm:pt modelId="{058EC483-D851-49AE-8BB1-17A043BCC9EA}" type="pres">
      <dgm:prSet presAssocID="{A68E1224-50B3-4333-A543-108A953F30C8}" presName="node" presStyleLbl="node1" presStyleIdx="3" presStyleCnt="6" custScaleX="134104" custRadScaleRad="109730" custRadScaleInc="9451">
        <dgm:presLayoutVars>
          <dgm:bulletEnabled val="1"/>
        </dgm:presLayoutVars>
      </dgm:prSet>
      <dgm:spPr/>
      <dgm:t>
        <a:bodyPr/>
        <a:lstStyle/>
        <a:p>
          <a:endParaRPr lang="es-CO"/>
        </a:p>
      </dgm:t>
    </dgm:pt>
    <dgm:pt modelId="{E45B788C-C3EC-4FAE-B237-1F9FE2FB76AA}" type="pres">
      <dgm:prSet presAssocID="{1E76FD0A-117D-4EEF-ADB9-59C49F374606}" presName="parTrans" presStyleLbl="bgSibTrans2D1" presStyleIdx="4" presStyleCnt="6"/>
      <dgm:spPr/>
      <dgm:t>
        <a:bodyPr/>
        <a:lstStyle/>
        <a:p>
          <a:endParaRPr lang="es-CO"/>
        </a:p>
      </dgm:t>
    </dgm:pt>
    <dgm:pt modelId="{60ACE0A7-36A7-4E3D-911F-03C225A8261B}" type="pres">
      <dgm:prSet presAssocID="{44E6FB90-0181-4A5C-8446-70DD91629258}" presName="node" presStyleLbl="node1" presStyleIdx="4" presStyleCnt="6" custRadScaleRad="108802" custRadScaleInc="32147">
        <dgm:presLayoutVars>
          <dgm:bulletEnabled val="1"/>
        </dgm:presLayoutVars>
      </dgm:prSet>
      <dgm:spPr/>
      <dgm:t>
        <a:bodyPr/>
        <a:lstStyle/>
        <a:p>
          <a:endParaRPr lang="es-CO"/>
        </a:p>
      </dgm:t>
    </dgm:pt>
    <dgm:pt modelId="{68F69398-9F70-47A1-9FEE-961AA5C96B19}" type="pres">
      <dgm:prSet presAssocID="{3D3B373B-F5D5-429B-99AE-D28CBE39B35A}" presName="parTrans" presStyleLbl="bgSibTrans2D1" presStyleIdx="5" presStyleCnt="6"/>
      <dgm:spPr/>
      <dgm:t>
        <a:bodyPr/>
        <a:lstStyle/>
        <a:p>
          <a:endParaRPr lang="es-CO"/>
        </a:p>
      </dgm:t>
    </dgm:pt>
    <dgm:pt modelId="{0501F039-96D5-4BA2-9009-E203955B49B9}" type="pres">
      <dgm:prSet presAssocID="{D2F31735-7DD6-48E4-95A8-E227A8929CCB}" presName="node" presStyleLbl="node1" presStyleIdx="5" presStyleCnt="6" custScaleY="80845" custRadScaleRad="113672" custRadScaleInc="19110">
        <dgm:presLayoutVars>
          <dgm:bulletEnabled val="1"/>
        </dgm:presLayoutVars>
      </dgm:prSet>
      <dgm:spPr/>
      <dgm:t>
        <a:bodyPr/>
        <a:lstStyle/>
        <a:p>
          <a:endParaRPr lang="es-CO"/>
        </a:p>
      </dgm:t>
    </dgm:pt>
  </dgm:ptLst>
  <dgm:cxnLst>
    <dgm:cxn modelId="{89792B50-BF0D-492E-8114-A55A1AF42E34}" type="presOf" srcId="{A68E1224-50B3-4333-A543-108A953F30C8}" destId="{058EC483-D851-49AE-8BB1-17A043BCC9EA}" srcOrd="0" destOrd="0" presId="urn:microsoft.com/office/officeart/2005/8/layout/radial4"/>
    <dgm:cxn modelId="{6F294629-47DB-43C3-90E2-7F65299F6D62}" srcId="{A68E1224-50B3-4333-A543-108A953F30C8}" destId="{AF6B6524-8ACC-4733-A092-2B2890E6E5F6}" srcOrd="1" destOrd="0" parTransId="{016EB296-E099-4F0A-83A2-D172B2B3194F}" sibTransId="{F9F75074-DDB3-45B6-8731-6BB01C1C6AF1}"/>
    <dgm:cxn modelId="{7D5DDA8E-E3AF-4F9E-932F-AAF4A7C498CB}" srcId="{CCBC58D3-4691-495E-A58D-3F26FE4A2FD5}" destId="{A68E1224-50B3-4333-A543-108A953F30C8}" srcOrd="3" destOrd="0" parTransId="{A82371A7-C193-47F9-B2FC-007487591438}" sibTransId="{03CF2252-33C7-4D47-B92F-82321AAD965B}"/>
    <dgm:cxn modelId="{5FCD00A7-A4C1-475D-86A9-A278DD2C1A43}" type="presOf" srcId="{C4692988-C407-4CC9-9FCE-9CD6E99BF9A6}" destId="{2D40B2F2-B26E-4643-88DF-6E80B8DF766C}" srcOrd="0" destOrd="5" presId="urn:microsoft.com/office/officeart/2005/8/layout/radial4"/>
    <dgm:cxn modelId="{CCB6DE5B-F62A-4239-96B6-3EE5D13DBF56}" type="presOf" srcId="{D0AB5203-8455-4CA5-A489-783C3CD2FF8C}" destId="{2D40B2F2-B26E-4643-88DF-6E80B8DF766C}" srcOrd="0" destOrd="0" presId="urn:microsoft.com/office/officeart/2005/8/layout/radial4"/>
    <dgm:cxn modelId="{F40D666C-8AF6-474F-A392-1E3CCCC8DDC5}" type="presOf" srcId="{8033F6F7-3ECB-402A-AA3F-2AD8CAD7A1E9}" destId="{0B85E716-8152-4AA6-A96D-4F77E4A7E024}" srcOrd="0" destOrd="1" presId="urn:microsoft.com/office/officeart/2005/8/layout/radial4"/>
    <dgm:cxn modelId="{DEFAF37E-B725-4280-A91A-0FC7A52F6471}" srcId="{A68E1224-50B3-4333-A543-108A953F30C8}" destId="{160C0783-999A-4E13-A676-1F9C2E31A757}" srcOrd="2" destOrd="0" parTransId="{D75B1EF1-432B-4E37-BD96-3CDC81A52E13}" sibTransId="{98D42745-020A-4E94-B6A9-DB83FCA9244D}"/>
    <dgm:cxn modelId="{A58681EC-CDCC-442E-88DF-DEC273F9B10E}" type="presOf" srcId="{F6B72D2F-475B-4EE2-99CD-CF001ABE9D50}" destId="{6659435C-4894-47E1-8C23-08321E3991CC}" srcOrd="0" destOrd="1" presId="urn:microsoft.com/office/officeart/2005/8/layout/radial4"/>
    <dgm:cxn modelId="{446731D7-92ED-4A2A-A94B-20B90DCE1A22}" type="presOf" srcId="{5C7DBCF3-2782-4844-B4BD-6B220F680C51}" destId="{0B85E716-8152-4AA6-A96D-4F77E4A7E024}" srcOrd="0" destOrd="0" presId="urn:microsoft.com/office/officeart/2005/8/layout/radial4"/>
    <dgm:cxn modelId="{D5F7F166-61CA-428D-A88F-CA20BBDBE621}" type="presOf" srcId="{2DB4C7F9-3CB0-4AFB-B2B4-605043C0CFA1}" destId="{0501F039-96D5-4BA2-9009-E203955B49B9}" srcOrd="0" destOrd="2" presId="urn:microsoft.com/office/officeart/2005/8/layout/radial4"/>
    <dgm:cxn modelId="{2E36638F-FE24-4255-9CC0-B3106BDE28D6}" type="presOf" srcId="{84B1B0CB-F009-466E-B892-FC4C423445AD}" destId="{2D40B2F2-B26E-4643-88DF-6E80B8DF766C}" srcOrd="0" destOrd="1" presId="urn:microsoft.com/office/officeart/2005/8/layout/radial4"/>
    <dgm:cxn modelId="{BAEF14B1-1096-46D5-B02D-3793F4F9AAD9}" type="presOf" srcId="{D2F31735-7DD6-48E4-95A8-E227A8929CCB}" destId="{0501F039-96D5-4BA2-9009-E203955B49B9}" srcOrd="0" destOrd="0" presId="urn:microsoft.com/office/officeart/2005/8/layout/radial4"/>
    <dgm:cxn modelId="{145E65E9-39D6-4B53-B486-D4DB9D562EE5}" type="presOf" srcId="{DE300770-0151-4ED2-AE36-0A3770FC5DE0}" destId="{60ACE0A7-36A7-4E3D-911F-03C225A8261B}" srcOrd="0" destOrd="1" presId="urn:microsoft.com/office/officeart/2005/8/layout/radial4"/>
    <dgm:cxn modelId="{3C449A09-73DA-4F38-917C-B6B838413030}" srcId="{9DA33AFA-63B1-4A9C-BFF6-8C9061085D5C}" destId="{F6B72D2F-475B-4EE2-99CD-CF001ABE9D50}" srcOrd="0" destOrd="0" parTransId="{CFB2186F-6950-4F41-AD11-B59C2CE3A75C}" sibTransId="{EFFDC037-F625-453D-BCC4-0EFE599FD39E}"/>
    <dgm:cxn modelId="{E5C3A86B-B1C0-4FA0-AE7A-E7283F083A22}" srcId="{D2F31735-7DD6-48E4-95A8-E227A8929CCB}" destId="{2DB4C7F9-3CB0-4AFB-B2B4-605043C0CFA1}" srcOrd="1" destOrd="0" parTransId="{092E3609-3969-4442-B573-2A57C7823925}" sibTransId="{591680CA-5941-48F0-A590-202771A79D71}"/>
    <dgm:cxn modelId="{E7762556-B1B7-467D-B59E-8E496EE51CAB}" type="presOf" srcId="{4AA0796B-7378-414B-B256-6A1005F12ABD}" destId="{60ACE0A7-36A7-4E3D-911F-03C225A8261B}" srcOrd="0" destOrd="3" presId="urn:microsoft.com/office/officeart/2005/8/layout/radial4"/>
    <dgm:cxn modelId="{A56C8D08-DB6B-4A24-9110-014C05B49B3E}" type="presOf" srcId="{9DA33AFA-63B1-4A9C-BFF6-8C9061085D5C}" destId="{6659435C-4894-47E1-8C23-08321E3991CC}" srcOrd="0" destOrd="0" presId="urn:microsoft.com/office/officeart/2005/8/layout/radial4"/>
    <dgm:cxn modelId="{AD4882D6-4B74-407C-B9FF-45010C498F21}" type="presOf" srcId="{160C0783-999A-4E13-A676-1F9C2E31A757}" destId="{058EC483-D851-49AE-8BB1-17A043BCC9EA}" srcOrd="0" destOrd="3" presId="urn:microsoft.com/office/officeart/2005/8/layout/radial4"/>
    <dgm:cxn modelId="{4F612738-817E-4F2C-A108-1DCDFA5D9860}" type="presOf" srcId="{F76B23C8-F6D5-409B-9732-41F10E597A87}" destId="{0501F039-96D5-4BA2-9009-E203955B49B9}" srcOrd="0" destOrd="1" presId="urn:microsoft.com/office/officeart/2005/8/layout/radial4"/>
    <dgm:cxn modelId="{2928DF10-58EB-4312-9677-000479C1B50F}" srcId="{CCBC58D3-4691-495E-A58D-3F26FE4A2FD5}" destId="{D0AB5203-8455-4CA5-A489-783C3CD2FF8C}" srcOrd="1" destOrd="0" parTransId="{B104D880-B790-4DD0-9583-64860A96A508}" sibTransId="{6C84953C-2F44-4EA5-B438-EA322CD151FE}"/>
    <dgm:cxn modelId="{2FC3E52B-382E-46CA-B00A-9D3EA8B0EDF2}" srcId="{A759CAA1-1A2D-4D68-A291-461B2C9BC3EB}" destId="{CCBC58D3-4691-495E-A58D-3F26FE4A2FD5}" srcOrd="0" destOrd="0" parTransId="{40E4574A-5D58-4AC6-94C0-7042AF1408A0}" sibTransId="{85616D11-E106-4916-B611-C887FAC85F4E}"/>
    <dgm:cxn modelId="{6537CDD2-90C9-4F07-A72E-89C4F2627E44}" type="presOf" srcId="{1E76FD0A-117D-4EEF-ADB9-59C49F374606}" destId="{E45B788C-C3EC-4FAE-B237-1F9FE2FB76AA}" srcOrd="0" destOrd="0" presId="urn:microsoft.com/office/officeart/2005/8/layout/radial4"/>
    <dgm:cxn modelId="{01AA4245-4977-4F32-B500-2B8872661E82}" srcId="{44E6FB90-0181-4A5C-8446-70DD91629258}" destId="{4AA0796B-7378-414B-B256-6A1005F12ABD}" srcOrd="2" destOrd="0" parTransId="{022FDB52-1EAE-4981-B1AD-617D70287E67}" sibTransId="{ED2B51C3-855E-472E-8836-CFBB07D4FE16}"/>
    <dgm:cxn modelId="{1901E64B-AC93-4ABF-87C0-9B8C2757733B}" type="presOf" srcId="{052105F9-C76C-42BC-AA18-1F67E2FB4D5C}" destId="{0B85E716-8152-4AA6-A96D-4F77E4A7E024}" srcOrd="0" destOrd="2" presId="urn:microsoft.com/office/officeart/2005/8/layout/radial4"/>
    <dgm:cxn modelId="{BFEBFE68-6351-48B5-AAF6-9655A108A701}" srcId="{9DA33AFA-63B1-4A9C-BFF6-8C9061085D5C}" destId="{F1F630F4-0410-46CE-B5A8-83AE4B074AF5}" srcOrd="1" destOrd="0" parTransId="{248EF066-3E43-4968-AD61-04AB207925C9}" sibTransId="{70E1734B-7754-49BA-93F7-070F920F0D07}"/>
    <dgm:cxn modelId="{162048DD-CDC8-4D51-BFCE-57AAA43D7A3F}" srcId="{44E6FB90-0181-4A5C-8446-70DD91629258}" destId="{FC199E48-BED7-4453-9106-A41CB2D4A3FB}" srcOrd="1" destOrd="0" parTransId="{B5D52BB5-7FE8-484A-A18B-09D496B5CD08}" sibTransId="{F78D3570-A1B5-4F06-88C8-CA48C29B5BC1}"/>
    <dgm:cxn modelId="{E40F8B94-1E0C-4303-854D-4F1CDA23655F}" srcId="{D0AB5203-8455-4CA5-A489-783C3CD2FF8C}" destId="{DA717A2A-A0CF-4FDD-B8D2-E5891FB8F41F}" srcOrd="1" destOrd="0" parTransId="{00C64AEE-06AC-4456-A3DD-3243DC4BEF30}" sibTransId="{A5A3BD21-7DD4-44D3-8122-4FFE56793694}"/>
    <dgm:cxn modelId="{7B6F8A46-33DE-4862-8710-E68F4AAB9AA7}" srcId="{D0AB5203-8455-4CA5-A489-783C3CD2FF8C}" destId="{84B1B0CB-F009-466E-B892-FC4C423445AD}" srcOrd="0" destOrd="0" parTransId="{00DE9E7E-7D8D-4D4F-8EB8-2D6938AABFD3}" sibTransId="{E5F2847B-F8E7-47B2-B564-9431FFD07277}"/>
    <dgm:cxn modelId="{E18AF9E5-8AA9-4873-B89D-70CFC65F1B35}" srcId="{7D2C5D91-76B6-4834-84DF-EDDFC6B1135B}" destId="{F0FB341C-0952-4036-87BB-9319FC70FE0E}" srcOrd="0" destOrd="0" parTransId="{6A4EA577-30CC-4F82-A47B-CDD91678FEE9}" sibTransId="{326DACF2-3CF9-48AF-B6AA-0563E60663EE}"/>
    <dgm:cxn modelId="{265153FE-8F02-4DED-9717-FE6375D80709}" srcId="{7D2C5D91-76B6-4834-84DF-EDDFC6B1135B}" destId="{C4692988-C407-4CC9-9FCE-9CD6E99BF9A6}" srcOrd="1" destOrd="0" parTransId="{3952BB97-478C-42C0-A49B-2821C60757D9}" sibTransId="{B281CDE6-87F5-4300-B6FD-F342477C4700}"/>
    <dgm:cxn modelId="{2A6B6229-6E80-41EF-9D2B-689D5C6EDD1A}" srcId="{F6B72D2F-475B-4EE2-99CD-CF001ABE9D50}" destId="{7847CD8F-CBA4-4591-8623-83FFF323A351}" srcOrd="0" destOrd="0" parTransId="{2AF786E7-5367-419E-9D66-CE4713F8E98A}" sibTransId="{C2D1A332-A086-4349-93B0-DA19C8DF27BB}"/>
    <dgm:cxn modelId="{018789E8-699F-4DCF-B3DA-ADD66E340F11}" srcId="{CCBC58D3-4691-495E-A58D-3F26FE4A2FD5}" destId="{5C7DBCF3-2782-4844-B4BD-6B220F680C51}" srcOrd="0" destOrd="0" parTransId="{7F745C69-4309-44B5-8382-9F266FBE0A15}" sibTransId="{258DFFF5-ACFE-4CD0-8C78-D71F2C4B929D}"/>
    <dgm:cxn modelId="{20DFFAAA-9EB4-4ABF-BE81-4B5F5219B426}" type="presOf" srcId="{7D2C5D91-76B6-4834-84DF-EDDFC6B1135B}" destId="{2D40B2F2-B26E-4643-88DF-6E80B8DF766C}" srcOrd="0" destOrd="3" presId="urn:microsoft.com/office/officeart/2005/8/layout/radial4"/>
    <dgm:cxn modelId="{2027C1D4-0DF7-4DF1-8B1B-DA7EFF50A445}" type="presOf" srcId="{DA717A2A-A0CF-4FDD-B8D2-E5891FB8F41F}" destId="{2D40B2F2-B26E-4643-88DF-6E80B8DF766C}" srcOrd="0" destOrd="2" presId="urn:microsoft.com/office/officeart/2005/8/layout/radial4"/>
    <dgm:cxn modelId="{E4D0A4AB-A8A1-4D3A-8A55-21A14B602D62}" type="presOf" srcId="{88BBC4C0-5DD1-4B09-A4D4-AC008078F856}" destId="{8BCBCACF-7A20-4492-AC94-7FC003089FF8}" srcOrd="0" destOrd="0" presId="urn:microsoft.com/office/officeart/2005/8/layout/radial4"/>
    <dgm:cxn modelId="{0BB1CFF0-09D7-46DE-9C94-8674A2471E12}" srcId="{44E6FB90-0181-4A5C-8446-70DD91629258}" destId="{DE300770-0151-4ED2-AE36-0A3770FC5DE0}" srcOrd="0" destOrd="0" parTransId="{A3C56A85-FF31-4000-B3B0-4EDC46DCCB13}" sibTransId="{F07A44A8-8B7F-4B1C-966C-0285105E1641}"/>
    <dgm:cxn modelId="{6D0CB4E5-D64C-4611-B9C6-A3634AFFB71A}" type="presOf" srcId="{A82371A7-C193-47F9-B2FC-007487591438}" destId="{CEBEE4B1-8575-483E-8B03-C5154F452DB9}" srcOrd="0" destOrd="0" presId="urn:microsoft.com/office/officeart/2005/8/layout/radial4"/>
    <dgm:cxn modelId="{F1821FE6-1213-4867-BCC0-288E5EB58D0C}" srcId="{D2F31735-7DD6-48E4-95A8-E227A8929CCB}" destId="{F76B23C8-F6D5-409B-9732-41F10E597A87}" srcOrd="0" destOrd="0" parTransId="{C9B896A9-AE64-43EF-A0A4-97460201E4D9}" sibTransId="{82C58DE5-C0EE-41DF-AD23-85997929582F}"/>
    <dgm:cxn modelId="{7E6AC78F-E86F-4926-B9AC-CBB5A65962D5}" srcId="{9DA33AFA-63B1-4A9C-BFF6-8C9061085D5C}" destId="{A3A01091-8662-4240-9D19-C63E91ABB8AD}" srcOrd="2" destOrd="0" parTransId="{54A64F18-691B-44C4-BEB8-5A922D6426FC}" sibTransId="{CCB0C301-A76D-4B3E-B370-513F60CF0D0F}"/>
    <dgm:cxn modelId="{A170F43E-3B8C-4D71-9B46-639041D3FF4A}" type="presOf" srcId="{A759CAA1-1A2D-4D68-A291-461B2C9BC3EB}" destId="{E59AE793-9A7B-4A8B-9890-A415729EC337}" srcOrd="0" destOrd="0" presId="urn:microsoft.com/office/officeart/2005/8/layout/radial4"/>
    <dgm:cxn modelId="{B4819204-E965-480F-B81A-616B36E94C1C}" srcId="{CCBC58D3-4691-495E-A58D-3F26FE4A2FD5}" destId="{D2F31735-7DD6-48E4-95A8-E227A8929CCB}" srcOrd="5" destOrd="0" parTransId="{3D3B373B-F5D5-429B-99AE-D28CBE39B35A}" sibTransId="{EC320B35-37D5-436A-8416-493A49E126A1}"/>
    <dgm:cxn modelId="{411F4C1C-9F11-4174-803F-CC8CA1529DAC}" srcId="{5C7DBCF3-2782-4844-B4BD-6B220F680C51}" destId="{052105F9-C76C-42BC-AA18-1F67E2FB4D5C}" srcOrd="1" destOrd="0" parTransId="{85D621C5-7392-4C66-8E54-2E361DD02378}" sibTransId="{99B6B76F-5C93-4BBE-A347-A73E3D929CC2}"/>
    <dgm:cxn modelId="{8EE3569A-034D-4490-91E8-B89AE0116369}" srcId="{A68E1224-50B3-4333-A543-108A953F30C8}" destId="{99F6E134-DE9D-4BD3-B346-FC050662B519}" srcOrd="0" destOrd="0" parTransId="{19134AF3-DE89-49A8-9FDF-8EDF5A6DFD36}" sibTransId="{4769A41E-9A85-4095-9117-34B461889117}"/>
    <dgm:cxn modelId="{C64A5E59-89F3-45A4-9999-56D7E9E4DE16}" type="presOf" srcId="{3D3B373B-F5D5-429B-99AE-D28CBE39B35A}" destId="{68F69398-9F70-47A1-9FEE-961AA5C96B19}" srcOrd="0" destOrd="0" presId="urn:microsoft.com/office/officeart/2005/8/layout/radial4"/>
    <dgm:cxn modelId="{E9F51F55-DBBE-44BE-AC68-452DCB406C0B}" type="presOf" srcId="{7F745C69-4309-44B5-8382-9F266FBE0A15}" destId="{0F75E495-8489-48B9-8205-F1C27C1C432D}" srcOrd="0" destOrd="0" presId="urn:microsoft.com/office/officeart/2005/8/layout/radial4"/>
    <dgm:cxn modelId="{F49960E0-6AAD-452D-8E09-EB8D5A11EF41}" srcId="{CCBC58D3-4691-495E-A58D-3F26FE4A2FD5}" destId="{9DA33AFA-63B1-4A9C-BFF6-8C9061085D5C}" srcOrd="2" destOrd="0" parTransId="{88BBC4C0-5DD1-4B09-A4D4-AC008078F856}" sibTransId="{8FC541EE-16F1-40E6-BB10-D594B0E03ED9}"/>
    <dgm:cxn modelId="{7F30D18A-D229-43A9-8377-D63A6E4D46FF}" type="presOf" srcId="{A3A01091-8662-4240-9D19-C63E91ABB8AD}" destId="{6659435C-4894-47E1-8C23-08321E3991CC}" srcOrd="0" destOrd="4" presId="urn:microsoft.com/office/officeart/2005/8/layout/radial4"/>
    <dgm:cxn modelId="{AD5C9D6B-3659-409E-92C4-AC757E8E51EB}" type="presOf" srcId="{44E6FB90-0181-4A5C-8446-70DD91629258}" destId="{60ACE0A7-36A7-4E3D-911F-03C225A8261B}" srcOrd="0" destOrd="0" presId="urn:microsoft.com/office/officeart/2005/8/layout/radial4"/>
    <dgm:cxn modelId="{830E5C4F-5F05-4E28-8E2E-015B3B2533CE}" type="presOf" srcId="{B104D880-B790-4DD0-9583-64860A96A508}" destId="{FA1CD945-9F80-4D39-9F3F-E894E7F69326}" srcOrd="0" destOrd="0" presId="urn:microsoft.com/office/officeart/2005/8/layout/radial4"/>
    <dgm:cxn modelId="{60750F33-AADE-4D1B-B1CA-E235D6E8F6B8}" type="presOf" srcId="{F0FB341C-0952-4036-87BB-9319FC70FE0E}" destId="{2D40B2F2-B26E-4643-88DF-6E80B8DF766C}" srcOrd="0" destOrd="4" presId="urn:microsoft.com/office/officeart/2005/8/layout/radial4"/>
    <dgm:cxn modelId="{10C8A46C-1DC7-4D70-B451-D4233EEC3395}" type="presOf" srcId="{AF6B6524-8ACC-4733-A092-2B2890E6E5F6}" destId="{058EC483-D851-49AE-8BB1-17A043BCC9EA}" srcOrd="0" destOrd="2" presId="urn:microsoft.com/office/officeart/2005/8/layout/radial4"/>
    <dgm:cxn modelId="{C36B1B9F-FB38-4CC5-9519-1409F4E28E90}" srcId="{CCBC58D3-4691-495E-A58D-3F26FE4A2FD5}" destId="{44E6FB90-0181-4A5C-8446-70DD91629258}" srcOrd="4" destOrd="0" parTransId="{1E76FD0A-117D-4EEF-ADB9-59C49F374606}" sibTransId="{7D776BE0-DD5D-45CF-AB40-A3957E4FF60A}"/>
    <dgm:cxn modelId="{4273EEE2-C2E4-4858-B2DA-390447E010E7}" type="presOf" srcId="{7847CD8F-CBA4-4591-8623-83FFF323A351}" destId="{6659435C-4894-47E1-8C23-08321E3991CC}" srcOrd="0" destOrd="2" presId="urn:microsoft.com/office/officeart/2005/8/layout/radial4"/>
    <dgm:cxn modelId="{315F0E09-CA12-4B98-9851-643C326588B9}" srcId="{D0AB5203-8455-4CA5-A489-783C3CD2FF8C}" destId="{7D2C5D91-76B6-4834-84DF-EDDFC6B1135B}" srcOrd="2" destOrd="0" parTransId="{F0E43648-7E6F-407E-8FDC-94190BCE74F5}" sibTransId="{F7737321-1B6A-40B7-9CC0-2E286F505A36}"/>
    <dgm:cxn modelId="{F8FBB207-CE62-4070-B949-868EFD1E92AA}" type="presOf" srcId="{99F6E134-DE9D-4BD3-B346-FC050662B519}" destId="{058EC483-D851-49AE-8BB1-17A043BCC9EA}" srcOrd="0" destOrd="1" presId="urn:microsoft.com/office/officeart/2005/8/layout/radial4"/>
    <dgm:cxn modelId="{46A48724-7E77-4AF4-8D3F-0C44B35C358E}" type="presOf" srcId="{CCBC58D3-4691-495E-A58D-3F26FE4A2FD5}" destId="{7FC16B21-18F1-4A4A-A9E1-A3DB59157E52}" srcOrd="0" destOrd="0" presId="urn:microsoft.com/office/officeart/2005/8/layout/radial4"/>
    <dgm:cxn modelId="{8BB13F7F-665B-45B5-AF06-483F374F615B}" type="presOf" srcId="{FC199E48-BED7-4453-9106-A41CB2D4A3FB}" destId="{60ACE0A7-36A7-4E3D-911F-03C225A8261B}" srcOrd="0" destOrd="2" presId="urn:microsoft.com/office/officeart/2005/8/layout/radial4"/>
    <dgm:cxn modelId="{B0E44987-FB02-468C-8984-426500F8D6B0}" srcId="{5C7DBCF3-2782-4844-B4BD-6B220F680C51}" destId="{8033F6F7-3ECB-402A-AA3F-2AD8CAD7A1E9}" srcOrd="0" destOrd="0" parTransId="{2E998791-20FE-48BD-85DC-DEACB1F49D65}" sibTransId="{74CD25A0-CB51-4BCC-9071-BABF59DC9797}"/>
    <dgm:cxn modelId="{396894FE-3D3E-4713-ADD8-12417C4B733F}" type="presOf" srcId="{F1F630F4-0410-46CE-B5A8-83AE4B074AF5}" destId="{6659435C-4894-47E1-8C23-08321E3991CC}" srcOrd="0" destOrd="3" presId="urn:microsoft.com/office/officeart/2005/8/layout/radial4"/>
    <dgm:cxn modelId="{550C3032-52EF-422C-8905-EF926651962B}" type="presParOf" srcId="{E59AE793-9A7B-4A8B-9890-A415729EC337}" destId="{7FC16B21-18F1-4A4A-A9E1-A3DB59157E52}" srcOrd="0" destOrd="0" presId="urn:microsoft.com/office/officeart/2005/8/layout/radial4"/>
    <dgm:cxn modelId="{C77C2B24-DA8F-4215-BDB0-E6BE850E1522}" type="presParOf" srcId="{E59AE793-9A7B-4A8B-9890-A415729EC337}" destId="{0F75E495-8489-48B9-8205-F1C27C1C432D}" srcOrd="1" destOrd="0" presId="urn:microsoft.com/office/officeart/2005/8/layout/radial4"/>
    <dgm:cxn modelId="{2544AA9F-579D-4469-AF78-A312042B5D97}" type="presParOf" srcId="{E59AE793-9A7B-4A8B-9890-A415729EC337}" destId="{0B85E716-8152-4AA6-A96D-4F77E4A7E024}" srcOrd="2" destOrd="0" presId="urn:microsoft.com/office/officeart/2005/8/layout/radial4"/>
    <dgm:cxn modelId="{3ECC3739-D60C-4F72-86BB-B847D159C184}" type="presParOf" srcId="{E59AE793-9A7B-4A8B-9890-A415729EC337}" destId="{FA1CD945-9F80-4D39-9F3F-E894E7F69326}" srcOrd="3" destOrd="0" presId="urn:microsoft.com/office/officeart/2005/8/layout/radial4"/>
    <dgm:cxn modelId="{3D0A62E8-2EE5-4B0E-A029-6850054779C1}" type="presParOf" srcId="{E59AE793-9A7B-4A8B-9890-A415729EC337}" destId="{2D40B2F2-B26E-4643-88DF-6E80B8DF766C}" srcOrd="4" destOrd="0" presId="urn:microsoft.com/office/officeart/2005/8/layout/radial4"/>
    <dgm:cxn modelId="{F2CC9FCF-3300-4B19-875D-D9DAA1F282F4}" type="presParOf" srcId="{E59AE793-9A7B-4A8B-9890-A415729EC337}" destId="{8BCBCACF-7A20-4492-AC94-7FC003089FF8}" srcOrd="5" destOrd="0" presId="urn:microsoft.com/office/officeart/2005/8/layout/radial4"/>
    <dgm:cxn modelId="{01644FE9-0DD6-4015-8F2B-8717655C8CEE}" type="presParOf" srcId="{E59AE793-9A7B-4A8B-9890-A415729EC337}" destId="{6659435C-4894-47E1-8C23-08321E3991CC}" srcOrd="6" destOrd="0" presId="urn:microsoft.com/office/officeart/2005/8/layout/radial4"/>
    <dgm:cxn modelId="{E63877B4-0037-4644-A02C-ABB435D814B1}" type="presParOf" srcId="{E59AE793-9A7B-4A8B-9890-A415729EC337}" destId="{CEBEE4B1-8575-483E-8B03-C5154F452DB9}" srcOrd="7" destOrd="0" presId="urn:microsoft.com/office/officeart/2005/8/layout/radial4"/>
    <dgm:cxn modelId="{188F5DEB-EA27-44A9-9502-584F505AB72F}" type="presParOf" srcId="{E59AE793-9A7B-4A8B-9890-A415729EC337}" destId="{058EC483-D851-49AE-8BB1-17A043BCC9EA}" srcOrd="8" destOrd="0" presId="urn:microsoft.com/office/officeart/2005/8/layout/radial4"/>
    <dgm:cxn modelId="{7CE10441-BA5F-431B-966A-A56FB8A1BBD8}" type="presParOf" srcId="{E59AE793-9A7B-4A8B-9890-A415729EC337}" destId="{E45B788C-C3EC-4FAE-B237-1F9FE2FB76AA}" srcOrd="9" destOrd="0" presId="urn:microsoft.com/office/officeart/2005/8/layout/radial4"/>
    <dgm:cxn modelId="{2DC2384D-5389-4BBC-9447-260EEB81A297}" type="presParOf" srcId="{E59AE793-9A7B-4A8B-9890-A415729EC337}" destId="{60ACE0A7-36A7-4E3D-911F-03C225A8261B}" srcOrd="10" destOrd="0" presId="urn:microsoft.com/office/officeart/2005/8/layout/radial4"/>
    <dgm:cxn modelId="{205DFBD7-B069-4ACB-9F42-36F1C3D6ABED}" type="presParOf" srcId="{E59AE793-9A7B-4A8B-9890-A415729EC337}" destId="{68F69398-9F70-47A1-9FEE-961AA5C96B19}" srcOrd="11" destOrd="0" presId="urn:microsoft.com/office/officeart/2005/8/layout/radial4"/>
    <dgm:cxn modelId="{F5492337-2655-47A2-9341-9DA858FE4911}" type="presParOf" srcId="{E59AE793-9A7B-4A8B-9890-A415729EC337}" destId="{0501F039-96D5-4BA2-9009-E203955B49B9}" srcOrd="12" destOrd="0" presId="urn:microsoft.com/office/officeart/2005/8/layout/radial4"/>
  </dgm:cxnLst>
  <dgm:bg>
    <a:solidFill>
      <a:schemeClr val="bg1">
        <a:alpha val="92000"/>
      </a:schemeClr>
    </a:solidFill>
  </dgm:bg>
  <dgm:whole/>
  <dgm:extLst>
    <a:ext uri="http://schemas.microsoft.com/office/drawing/2008/diagram">
      <dsp:dataModelExt xmlns:dsp="http://schemas.microsoft.com/office/drawing/2008/diagram" relId="rId33"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C16B21-18F1-4A4A-A9E1-A3DB59157E52}">
      <dsp:nvSpPr>
        <dsp:cNvPr id="0" name=""/>
        <dsp:cNvSpPr/>
      </dsp:nvSpPr>
      <dsp:spPr>
        <a:xfrm>
          <a:off x="2053182" y="1855019"/>
          <a:ext cx="1502584" cy="1502584"/>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CO" sz="1200" b="1" kern="1200" smtClean="0">
              <a:solidFill>
                <a:schemeClr val="tx2"/>
              </a:solidFill>
            </a:rPr>
            <a:t>Temas a estudiar Metodología</a:t>
          </a:r>
          <a:endParaRPr lang="es-CO" sz="1200" kern="1200" dirty="0">
            <a:solidFill>
              <a:schemeClr val="tx2"/>
            </a:solidFill>
          </a:endParaRPr>
        </a:p>
      </dsp:txBody>
      <dsp:txXfrm>
        <a:off x="2273230" y="2075067"/>
        <a:ext cx="1062488" cy="1062488"/>
      </dsp:txXfrm>
    </dsp:sp>
    <dsp:sp modelId="{0F75E495-8489-48B9-8205-F1C27C1C432D}">
      <dsp:nvSpPr>
        <dsp:cNvPr id="0" name=""/>
        <dsp:cNvSpPr/>
      </dsp:nvSpPr>
      <dsp:spPr>
        <a:xfrm rot="10800000">
          <a:off x="526471" y="2392193"/>
          <a:ext cx="1442741" cy="42823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85E716-8152-4AA6-A96D-4F77E4A7E024}">
      <dsp:nvSpPr>
        <dsp:cNvPr id="0" name=""/>
        <dsp:cNvSpPr/>
      </dsp:nvSpPr>
      <dsp:spPr>
        <a:xfrm>
          <a:off x="566" y="2185587"/>
          <a:ext cx="1051809" cy="841447"/>
        </a:xfrm>
        <a:prstGeom prst="roundRect">
          <a:avLst>
            <a:gd name="adj" fmla="val 10000"/>
          </a:avLst>
        </a:prstGeom>
        <a:solidFill>
          <a:schemeClr val="lt1">
            <a:hueOff val="0"/>
            <a:satOff val="0"/>
            <a:lumOff val="0"/>
            <a:alphaOff val="0"/>
          </a:schemeClr>
        </a:solidFill>
        <a:ln w="25400" cap="flat" cmpd="sng" algn="ctr">
          <a:solidFill>
            <a:schemeClr val="accent1"/>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t" anchorCtr="0">
          <a:noAutofit/>
        </a:bodyPr>
        <a:lstStyle/>
        <a:p>
          <a:pPr lvl="0" algn="l" defTabSz="466725">
            <a:lnSpc>
              <a:spcPct val="90000"/>
            </a:lnSpc>
            <a:spcBef>
              <a:spcPct val="0"/>
            </a:spcBef>
            <a:spcAft>
              <a:spcPct val="35000"/>
            </a:spcAft>
          </a:pPr>
          <a:r>
            <a:rPr lang="es-CO" sz="1050" b="1" kern="1200" dirty="0" smtClean="0">
              <a:solidFill>
                <a:schemeClr val="tx2"/>
              </a:solidFill>
            </a:rPr>
            <a:t>Metodologías tarifarias</a:t>
          </a:r>
          <a:endParaRPr lang="es-CO" sz="1050" kern="1200" dirty="0">
            <a:solidFill>
              <a:schemeClr val="tx2"/>
            </a:solidFill>
          </a:endParaRPr>
        </a:p>
        <a:p>
          <a:pPr marL="57150" lvl="1" indent="-57150" algn="l" defTabSz="355600">
            <a:lnSpc>
              <a:spcPct val="90000"/>
            </a:lnSpc>
            <a:spcBef>
              <a:spcPct val="0"/>
            </a:spcBef>
            <a:spcAft>
              <a:spcPct val="15000"/>
            </a:spcAft>
            <a:buChar char="••"/>
          </a:pPr>
          <a:r>
            <a:rPr lang="es-CO" sz="800" b="1" kern="1200" smtClean="0">
              <a:solidFill>
                <a:schemeClr val="tx2"/>
              </a:solidFill>
            </a:rPr>
            <a:t>Costo medio mediano plazo</a:t>
          </a:r>
          <a:endParaRPr lang="es-CO" sz="800" kern="1200" dirty="0">
            <a:solidFill>
              <a:schemeClr val="tx2"/>
            </a:solidFill>
          </a:endParaRPr>
        </a:p>
        <a:p>
          <a:pPr marL="57150" lvl="1" indent="-57150" algn="l" defTabSz="355600">
            <a:lnSpc>
              <a:spcPct val="90000"/>
            </a:lnSpc>
            <a:spcBef>
              <a:spcPct val="0"/>
            </a:spcBef>
            <a:spcAft>
              <a:spcPct val="15000"/>
            </a:spcAft>
            <a:buChar char="••"/>
          </a:pPr>
          <a:r>
            <a:rPr lang="es-CO" sz="800" b="1" kern="1200" smtClean="0">
              <a:solidFill>
                <a:schemeClr val="tx2"/>
              </a:solidFill>
            </a:rPr>
            <a:t>Corte transversal</a:t>
          </a:r>
          <a:endParaRPr lang="es-CO" sz="800" kern="1200" dirty="0">
            <a:solidFill>
              <a:schemeClr val="tx2"/>
            </a:solidFill>
          </a:endParaRPr>
        </a:p>
      </dsp:txBody>
      <dsp:txXfrm>
        <a:off x="25211" y="2210232"/>
        <a:ext cx="1002519" cy="792157"/>
      </dsp:txXfrm>
    </dsp:sp>
    <dsp:sp modelId="{FA1CD945-9F80-4D39-9F3F-E894E7F69326}">
      <dsp:nvSpPr>
        <dsp:cNvPr id="0" name=""/>
        <dsp:cNvSpPr/>
      </dsp:nvSpPr>
      <dsp:spPr>
        <a:xfrm rot="12769794">
          <a:off x="647255" y="1508347"/>
          <a:ext cx="1574659" cy="42823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40B2F2-B26E-4643-88DF-6E80B8DF766C}">
      <dsp:nvSpPr>
        <dsp:cNvPr id="0" name=""/>
        <dsp:cNvSpPr/>
      </dsp:nvSpPr>
      <dsp:spPr>
        <a:xfrm>
          <a:off x="247100" y="749484"/>
          <a:ext cx="1051809" cy="1092266"/>
        </a:xfrm>
        <a:prstGeom prst="roundRect">
          <a:avLst>
            <a:gd name="adj" fmla="val 10000"/>
          </a:avLst>
        </a:prstGeom>
        <a:solidFill>
          <a:schemeClr val="lt1">
            <a:hueOff val="0"/>
            <a:satOff val="0"/>
            <a:lumOff val="0"/>
            <a:alphaOff val="0"/>
          </a:schemeClr>
        </a:solidFill>
        <a:ln w="25400" cap="flat" cmpd="sng" algn="ctr">
          <a:solidFill>
            <a:schemeClr val="accent1"/>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t" anchorCtr="0">
          <a:noAutofit/>
        </a:bodyPr>
        <a:lstStyle/>
        <a:p>
          <a:pPr lvl="0" algn="l" defTabSz="488950">
            <a:lnSpc>
              <a:spcPct val="90000"/>
            </a:lnSpc>
            <a:spcBef>
              <a:spcPct val="0"/>
            </a:spcBef>
            <a:spcAft>
              <a:spcPct val="35000"/>
            </a:spcAft>
          </a:pPr>
          <a:r>
            <a:rPr lang="es-CO" sz="1100" b="1" kern="1200" dirty="0" smtClean="0">
              <a:solidFill>
                <a:schemeClr val="tx2"/>
              </a:solidFill>
            </a:rPr>
            <a:t>Modelo tarifario</a:t>
          </a:r>
          <a:endParaRPr lang="es-CO" sz="1100" kern="1200" dirty="0">
            <a:solidFill>
              <a:schemeClr val="tx2"/>
            </a:solidFill>
          </a:endParaRPr>
        </a:p>
        <a:p>
          <a:pPr marL="57150" lvl="1" indent="-57150" algn="l" defTabSz="355600">
            <a:lnSpc>
              <a:spcPct val="90000"/>
            </a:lnSpc>
            <a:spcBef>
              <a:spcPct val="0"/>
            </a:spcBef>
            <a:spcAft>
              <a:spcPct val="15000"/>
            </a:spcAft>
            <a:buChar char="••"/>
          </a:pPr>
          <a:r>
            <a:rPr lang="es-CO" sz="800" b="1" kern="1200" dirty="0" smtClean="0">
              <a:solidFill>
                <a:schemeClr val="tx2"/>
              </a:solidFill>
            </a:rPr>
            <a:t>Distancia</a:t>
          </a:r>
          <a:endParaRPr lang="es-CO" sz="800" kern="1200" dirty="0">
            <a:solidFill>
              <a:schemeClr val="tx2"/>
            </a:solidFill>
          </a:endParaRPr>
        </a:p>
        <a:p>
          <a:pPr marL="57150" lvl="1" indent="-57150" algn="l" defTabSz="355600">
            <a:lnSpc>
              <a:spcPct val="90000"/>
            </a:lnSpc>
            <a:spcBef>
              <a:spcPct val="0"/>
            </a:spcBef>
            <a:spcAft>
              <a:spcPct val="15000"/>
            </a:spcAft>
            <a:buChar char="••"/>
          </a:pPr>
          <a:r>
            <a:rPr lang="es-CO" sz="800" b="1" kern="1200" dirty="0" smtClean="0">
              <a:solidFill>
                <a:schemeClr val="tx2"/>
              </a:solidFill>
            </a:rPr>
            <a:t>Estampilla</a:t>
          </a:r>
          <a:endParaRPr lang="es-CO" sz="800" kern="1200" dirty="0">
            <a:solidFill>
              <a:schemeClr val="tx2"/>
            </a:solidFill>
          </a:endParaRPr>
        </a:p>
        <a:p>
          <a:pPr marL="57150" lvl="1" indent="-57150" algn="l" defTabSz="355600">
            <a:lnSpc>
              <a:spcPct val="90000"/>
            </a:lnSpc>
            <a:spcBef>
              <a:spcPct val="0"/>
            </a:spcBef>
            <a:spcAft>
              <a:spcPct val="15000"/>
            </a:spcAft>
            <a:buChar char="••"/>
          </a:pPr>
          <a:r>
            <a:rPr lang="es-CO" sz="800" kern="1200" dirty="0" smtClean="0">
              <a:solidFill>
                <a:schemeClr val="tx2"/>
              </a:solidFill>
            </a:rPr>
            <a:t>Cargos</a:t>
          </a:r>
          <a:endParaRPr lang="es-CO" sz="800" kern="1200" dirty="0">
            <a:solidFill>
              <a:schemeClr val="tx2"/>
            </a:solidFill>
          </a:endParaRPr>
        </a:p>
        <a:p>
          <a:pPr marL="114300" lvl="2" indent="-57150" algn="l" defTabSz="355600">
            <a:lnSpc>
              <a:spcPct val="90000"/>
            </a:lnSpc>
            <a:spcBef>
              <a:spcPct val="0"/>
            </a:spcBef>
            <a:spcAft>
              <a:spcPct val="15000"/>
            </a:spcAft>
            <a:buChar char="••"/>
          </a:pPr>
          <a:r>
            <a:rPr lang="es-CO" sz="800" kern="1200" dirty="0" err="1" smtClean="0">
              <a:solidFill>
                <a:schemeClr val="tx2"/>
              </a:solidFill>
            </a:rPr>
            <a:t>Inv</a:t>
          </a:r>
          <a:r>
            <a:rPr lang="es-CO" sz="800" kern="1200" dirty="0" smtClean="0">
              <a:solidFill>
                <a:schemeClr val="tx2"/>
              </a:solidFill>
            </a:rPr>
            <a:t>: fijos/variables</a:t>
          </a:r>
          <a:endParaRPr lang="es-CO" sz="800" kern="1200" dirty="0">
            <a:solidFill>
              <a:schemeClr val="tx2"/>
            </a:solidFill>
          </a:endParaRPr>
        </a:p>
        <a:p>
          <a:pPr marL="114300" lvl="2" indent="-57150" algn="l" defTabSz="355600">
            <a:lnSpc>
              <a:spcPct val="90000"/>
            </a:lnSpc>
            <a:spcBef>
              <a:spcPct val="0"/>
            </a:spcBef>
            <a:spcAft>
              <a:spcPct val="15000"/>
            </a:spcAft>
            <a:buChar char="••"/>
          </a:pPr>
          <a:r>
            <a:rPr lang="es-CO" sz="800" kern="1200" dirty="0" smtClean="0">
              <a:solidFill>
                <a:schemeClr val="tx2"/>
              </a:solidFill>
            </a:rPr>
            <a:t>AOM</a:t>
          </a:r>
          <a:endParaRPr lang="es-CO" sz="800" kern="1200" dirty="0">
            <a:solidFill>
              <a:schemeClr val="tx2"/>
            </a:solidFill>
          </a:endParaRPr>
        </a:p>
      </dsp:txBody>
      <dsp:txXfrm>
        <a:off x="277906" y="780290"/>
        <a:ext cx="990197" cy="1030654"/>
      </dsp:txXfrm>
    </dsp:sp>
    <dsp:sp modelId="{8BCBCACF-7A20-4492-AC94-7FC003089FF8}">
      <dsp:nvSpPr>
        <dsp:cNvPr id="0" name=""/>
        <dsp:cNvSpPr/>
      </dsp:nvSpPr>
      <dsp:spPr>
        <a:xfrm rot="15012468">
          <a:off x="1540044" y="915343"/>
          <a:ext cx="1465916" cy="42823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659435C-4894-47E1-8C23-08321E3991CC}">
      <dsp:nvSpPr>
        <dsp:cNvPr id="0" name=""/>
        <dsp:cNvSpPr/>
      </dsp:nvSpPr>
      <dsp:spPr>
        <a:xfrm>
          <a:off x="1394062" y="-11087"/>
          <a:ext cx="1261508" cy="901779"/>
        </a:xfrm>
        <a:prstGeom prst="roundRect">
          <a:avLst>
            <a:gd name="adj" fmla="val 10000"/>
          </a:avLst>
        </a:prstGeom>
        <a:solidFill>
          <a:schemeClr val="lt1">
            <a:hueOff val="0"/>
            <a:satOff val="0"/>
            <a:lumOff val="0"/>
            <a:alphaOff val="0"/>
          </a:schemeClr>
        </a:solidFill>
        <a:ln w="25400" cap="flat" cmpd="sng" algn="ctr">
          <a:solidFill>
            <a:schemeClr val="accent1"/>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t" anchorCtr="0">
          <a:noAutofit/>
        </a:bodyPr>
        <a:lstStyle/>
        <a:p>
          <a:pPr lvl="0" algn="l" defTabSz="488950">
            <a:lnSpc>
              <a:spcPct val="90000"/>
            </a:lnSpc>
            <a:spcBef>
              <a:spcPct val="0"/>
            </a:spcBef>
            <a:spcAft>
              <a:spcPct val="35000"/>
            </a:spcAft>
          </a:pPr>
          <a:r>
            <a:rPr lang="es-CO" sz="1100" b="1" kern="1200" dirty="0" smtClean="0">
              <a:solidFill>
                <a:schemeClr val="tx2"/>
              </a:solidFill>
            </a:rPr>
            <a:t>Señal Expansiones</a:t>
          </a:r>
          <a:endParaRPr lang="es-CO" sz="1100" kern="1200" dirty="0">
            <a:solidFill>
              <a:schemeClr val="tx2"/>
            </a:solidFill>
          </a:endParaRPr>
        </a:p>
        <a:p>
          <a:pPr marL="57150" lvl="1" indent="-57150" algn="l" defTabSz="355600">
            <a:lnSpc>
              <a:spcPct val="90000"/>
            </a:lnSpc>
            <a:spcBef>
              <a:spcPct val="0"/>
            </a:spcBef>
            <a:spcAft>
              <a:spcPct val="15000"/>
            </a:spcAft>
            <a:buChar char="••"/>
          </a:pPr>
          <a:r>
            <a:rPr lang="es-CO" sz="800" b="1" kern="1200" dirty="0" smtClean="0">
              <a:solidFill>
                <a:schemeClr val="tx2"/>
              </a:solidFill>
            </a:rPr>
            <a:t>Planeación UPME </a:t>
          </a:r>
          <a:endParaRPr lang="es-CO" sz="800" kern="1200" dirty="0">
            <a:solidFill>
              <a:schemeClr val="tx2"/>
            </a:solidFill>
          </a:endParaRPr>
        </a:p>
        <a:p>
          <a:pPr marL="114300" lvl="2" indent="-57150" algn="l" defTabSz="355600">
            <a:lnSpc>
              <a:spcPct val="90000"/>
            </a:lnSpc>
            <a:spcBef>
              <a:spcPct val="0"/>
            </a:spcBef>
            <a:spcAft>
              <a:spcPct val="15000"/>
            </a:spcAft>
            <a:buChar char="••"/>
          </a:pPr>
          <a:r>
            <a:rPr lang="es-CO" sz="800" kern="1200" dirty="0" smtClean="0">
              <a:solidFill>
                <a:schemeClr val="tx2"/>
              </a:solidFill>
            </a:rPr>
            <a:t>Proyectos confiabilidad</a:t>
          </a:r>
          <a:endParaRPr lang="es-CO" sz="800" kern="1200" dirty="0">
            <a:solidFill>
              <a:schemeClr val="tx2"/>
            </a:solidFill>
          </a:endParaRPr>
        </a:p>
        <a:p>
          <a:pPr marL="57150" lvl="1" indent="-57150" algn="l" defTabSz="355600">
            <a:lnSpc>
              <a:spcPct val="90000"/>
            </a:lnSpc>
            <a:spcBef>
              <a:spcPct val="0"/>
            </a:spcBef>
            <a:spcAft>
              <a:spcPct val="15000"/>
            </a:spcAft>
            <a:buChar char="••"/>
          </a:pPr>
          <a:r>
            <a:rPr lang="es-CO" sz="800" b="1" kern="1200" dirty="0" smtClean="0">
              <a:solidFill>
                <a:schemeClr val="tx2"/>
              </a:solidFill>
            </a:rPr>
            <a:t>Plan de Agentes</a:t>
          </a:r>
          <a:endParaRPr lang="es-CO" sz="800" kern="1200" dirty="0">
            <a:solidFill>
              <a:schemeClr val="tx2"/>
            </a:solidFill>
          </a:endParaRPr>
        </a:p>
        <a:p>
          <a:pPr marL="57150" lvl="1" indent="-57150" algn="l" defTabSz="355600">
            <a:lnSpc>
              <a:spcPct val="90000"/>
            </a:lnSpc>
            <a:spcBef>
              <a:spcPct val="0"/>
            </a:spcBef>
            <a:spcAft>
              <a:spcPct val="15000"/>
            </a:spcAft>
            <a:buChar char="••"/>
          </a:pPr>
          <a:r>
            <a:rPr lang="es-CO" sz="800" b="1" kern="1200" dirty="0" smtClean="0">
              <a:solidFill>
                <a:schemeClr val="tx2"/>
              </a:solidFill>
            </a:rPr>
            <a:t>Mecanismos competitivos</a:t>
          </a:r>
          <a:endParaRPr lang="es-CO" sz="800" kern="1200" dirty="0">
            <a:solidFill>
              <a:schemeClr val="tx2"/>
            </a:solidFill>
          </a:endParaRPr>
        </a:p>
      </dsp:txBody>
      <dsp:txXfrm>
        <a:off x="1420474" y="15325"/>
        <a:ext cx="1208684" cy="848955"/>
      </dsp:txXfrm>
    </dsp:sp>
    <dsp:sp modelId="{CEBEE4B1-8575-483E-8B03-C5154F452DB9}">
      <dsp:nvSpPr>
        <dsp:cNvPr id="0" name=""/>
        <dsp:cNvSpPr/>
      </dsp:nvSpPr>
      <dsp:spPr>
        <a:xfrm rot="17528171">
          <a:off x="2647347" y="910475"/>
          <a:ext cx="1519760" cy="42823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8EC483-D851-49AE-8BB1-17A043BCC9EA}">
      <dsp:nvSpPr>
        <dsp:cNvPr id="0" name=""/>
        <dsp:cNvSpPr/>
      </dsp:nvSpPr>
      <dsp:spPr>
        <a:xfrm>
          <a:off x="2988298" y="0"/>
          <a:ext cx="1410518" cy="841447"/>
        </a:xfrm>
        <a:prstGeom prst="roundRect">
          <a:avLst>
            <a:gd name="adj" fmla="val 10000"/>
          </a:avLst>
        </a:prstGeom>
        <a:solidFill>
          <a:schemeClr val="lt1">
            <a:hueOff val="0"/>
            <a:satOff val="0"/>
            <a:lumOff val="0"/>
            <a:alphaOff val="0"/>
          </a:schemeClr>
        </a:solidFill>
        <a:ln w="25400" cap="flat" cmpd="sng" algn="ctr">
          <a:solidFill>
            <a:schemeClr val="accent1"/>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t" anchorCtr="0">
          <a:noAutofit/>
        </a:bodyPr>
        <a:lstStyle/>
        <a:p>
          <a:pPr lvl="0" algn="l" defTabSz="466725">
            <a:lnSpc>
              <a:spcPct val="90000"/>
            </a:lnSpc>
            <a:spcBef>
              <a:spcPct val="0"/>
            </a:spcBef>
            <a:spcAft>
              <a:spcPct val="35000"/>
            </a:spcAft>
          </a:pPr>
          <a:r>
            <a:rPr lang="es-CO" sz="1050" b="1" kern="1200" smtClean="0">
              <a:solidFill>
                <a:schemeClr val="tx2"/>
              </a:solidFill>
            </a:rPr>
            <a:t>Valoración inversión</a:t>
          </a:r>
          <a:endParaRPr lang="es-CO" sz="1050" kern="1200" dirty="0">
            <a:solidFill>
              <a:schemeClr val="tx2"/>
            </a:solidFill>
          </a:endParaRPr>
        </a:p>
        <a:p>
          <a:pPr marL="57150" lvl="1" indent="-57150" algn="l" defTabSz="355600">
            <a:lnSpc>
              <a:spcPct val="90000"/>
            </a:lnSpc>
            <a:spcBef>
              <a:spcPct val="0"/>
            </a:spcBef>
            <a:spcAft>
              <a:spcPct val="15000"/>
            </a:spcAft>
            <a:buChar char="••"/>
          </a:pPr>
          <a:r>
            <a:rPr lang="es-CO" sz="800" b="1" kern="1200" smtClean="0">
              <a:solidFill>
                <a:schemeClr val="tx2"/>
              </a:solidFill>
            </a:rPr>
            <a:t>Estudio definición Vida útil</a:t>
          </a:r>
          <a:endParaRPr lang="es-CO" sz="800" kern="1200" dirty="0">
            <a:solidFill>
              <a:schemeClr val="tx2"/>
            </a:solidFill>
          </a:endParaRPr>
        </a:p>
        <a:p>
          <a:pPr marL="57150" lvl="1" indent="-57150" algn="l" defTabSz="355600">
            <a:lnSpc>
              <a:spcPct val="90000"/>
            </a:lnSpc>
            <a:spcBef>
              <a:spcPct val="0"/>
            </a:spcBef>
            <a:spcAft>
              <a:spcPct val="15000"/>
            </a:spcAft>
            <a:buChar char="••"/>
          </a:pPr>
          <a:r>
            <a:rPr lang="es-CO" sz="800" b="1" kern="1200" dirty="0" smtClean="0">
              <a:solidFill>
                <a:schemeClr val="tx2"/>
              </a:solidFill>
            </a:rPr>
            <a:t>Modelo valoración nueva infraestructura</a:t>
          </a:r>
          <a:endParaRPr lang="es-CO" sz="800" kern="1200" dirty="0">
            <a:solidFill>
              <a:schemeClr val="tx2"/>
            </a:solidFill>
          </a:endParaRPr>
        </a:p>
        <a:p>
          <a:pPr marL="57150" lvl="1" indent="-57150" algn="l" defTabSz="355600">
            <a:lnSpc>
              <a:spcPct val="90000"/>
            </a:lnSpc>
            <a:spcBef>
              <a:spcPct val="0"/>
            </a:spcBef>
            <a:spcAft>
              <a:spcPct val="15000"/>
            </a:spcAft>
            <a:buChar char="••"/>
          </a:pPr>
          <a:r>
            <a:rPr lang="es-CO" sz="800" b="1" kern="1200" dirty="0" smtClean="0">
              <a:solidFill>
                <a:schemeClr val="tx2"/>
              </a:solidFill>
            </a:rPr>
            <a:t>Valoración infraestructura actual</a:t>
          </a:r>
          <a:endParaRPr lang="es-CO" sz="800" kern="1200" dirty="0">
            <a:solidFill>
              <a:schemeClr val="tx2"/>
            </a:solidFill>
          </a:endParaRPr>
        </a:p>
      </dsp:txBody>
      <dsp:txXfrm>
        <a:off x="3012943" y="24645"/>
        <a:ext cx="1361228" cy="792157"/>
      </dsp:txXfrm>
    </dsp:sp>
    <dsp:sp modelId="{E45B788C-C3EC-4FAE-B237-1F9FE2FB76AA}">
      <dsp:nvSpPr>
        <dsp:cNvPr id="0" name=""/>
        <dsp:cNvSpPr/>
      </dsp:nvSpPr>
      <dsp:spPr>
        <a:xfrm rot="20018646">
          <a:off x="3477963" y="1654177"/>
          <a:ext cx="1632223" cy="42823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0ACE0A7-36A7-4E3D-911F-03C225A8261B}">
      <dsp:nvSpPr>
        <dsp:cNvPr id="0" name=""/>
        <dsp:cNvSpPr/>
      </dsp:nvSpPr>
      <dsp:spPr>
        <a:xfrm>
          <a:off x="4499450" y="1085262"/>
          <a:ext cx="1051809" cy="841447"/>
        </a:xfrm>
        <a:prstGeom prst="roundRect">
          <a:avLst>
            <a:gd name="adj" fmla="val 10000"/>
          </a:avLst>
        </a:prstGeom>
        <a:solidFill>
          <a:schemeClr val="lt1">
            <a:hueOff val="0"/>
            <a:satOff val="0"/>
            <a:lumOff val="0"/>
            <a:alphaOff val="0"/>
          </a:schemeClr>
        </a:solidFill>
        <a:ln w="25400" cap="flat" cmpd="sng" algn="ctr">
          <a:solidFill>
            <a:schemeClr val="accent1"/>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t" anchorCtr="0">
          <a:noAutofit/>
        </a:bodyPr>
        <a:lstStyle/>
        <a:p>
          <a:pPr lvl="0" algn="l" defTabSz="444500">
            <a:lnSpc>
              <a:spcPct val="90000"/>
            </a:lnSpc>
            <a:spcBef>
              <a:spcPct val="0"/>
            </a:spcBef>
            <a:spcAft>
              <a:spcPct val="35000"/>
            </a:spcAft>
          </a:pPr>
          <a:r>
            <a:rPr lang="es-CO" sz="1000" b="1" kern="1200" dirty="0" smtClean="0">
              <a:solidFill>
                <a:schemeClr val="tx2"/>
              </a:solidFill>
            </a:rPr>
            <a:t>Remuneración facilidades</a:t>
          </a:r>
          <a:endParaRPr lang="es-CO" sz="1000" kern="1200" dirty="0">
            <a:solidFill>
              <a:schemeClr val="tx2"/>
            </a:solidFill>
          </a:endParaRPr>
        </a:p>
        <a:p>
          <a:pPr marL="57150" lvl="1" indent="-57150" algn="l" defTabSz="355600">
            <a:lnSpc>
              <a:spcPct val="90000"/>
            </a:lnSpc>
            <a:spcBef>
              <a:spcPct val="0"/>
            </a:spcBef>
            <a:spcAft>
              <a:spcPct val="15000"/>
            </a:spcAft>
            <a:buChar char="••"/>
          </a:pPr>
          <a:r>
            <a:rPr lang="es-CO" sz="800" b="1" kern="1200" dirty="0" smtClean="0">
              <a:solidFill>
                <a:schemeClr val="tx2"/>
              </a:solidFill>
            </a:rPr>
            <a:t>Almacenamiento</a:t>
          </a:r>
          <a:endParaRPr lang="es-CO" sz="800" b="1" kern="1200" dirty="0">
            <a:solidFill>
              <a:schemeClr val="tx2"/>
            </a:solidFill>
          </a:endParaRPr>
        </a:p>
        <a:p>
          <a:pPr marL="57150" lvl="1" indent="-57150" algn="l" defTabSz="355600">
            <a:lnSpc>
              <a:spcPct val="90000"/>
            </a:lnSpc>
            <a:spcBef>
              <a:spcPct val="0"/>
            </a:spcBef>
            <a:spcAft>
              <a:spcPct val="15000"/>
            </a:spcAft>
            <a:buChar char="••"/>
          </a:pPr>
          <a:r>
            <a:rPr lang="es-CO" sz="800" b="1" kern="1200" dirty="0" smtClean="0">
              <a:solidFill>
                <a:schemeClr val="tx2"/>
              </a:solidFill>
            </a:rPr>
            <a:t>Conexiones</a:t>
          </a:r>
          <a:endParaRPr lang="es-CO" sz="800" b="1" kern="1200" dirty="0">
            <a:solidFill>
              <a:schemeClr val="tx2"/>
            </a:solidFill>
          </a:endParaRPr>
        </a:p>
        <a:p>
          <a:pPr marL="57150" lvl="1" indent="-57150" algn="l" defTabSz="355600">
            <a:lnSpc>
              <a:spcPct val="90000"/>
            </a:lnSpc>
            <a:spcBef>
              <a:spcPct val="0"/>
            </a:spcBef>
            <a:spcAft>
              <a:spcPct val="15000"/>
            </a:spcAft>
            <a:buChar char="••"/>
          </a:pPr>
          <a:r>
            <a:rPr lang="es-CO" sz="800" b="1" kern="1200" dirty="0" smtClean="0">
              <a:solidFill>
                <a:schemeClr val="tx2"/>
              </a:solidFill>
            </a:rPr>
            <a:t>Libre/regulado</a:t>
          </a:r>
          <a:endParaRPr lang="es-CO" sz="800" b="1" kern="1200" dirty="0">
            <a:solidFill>
              <a:schemeClr val="tx2"/>
            </a:solidFill>
          </a:endParaRPr>
        </a:p>
      </dsp:txBody>
      <dsp:txXfrm>
        <a:off x="4524095" y="1109907"/>
        <a:ext cx="1002519" cy="792157"/>
      </dsp:txXfrm>
    </dsp:sp>
    <dsp:sp modelId="{68F69398-9F70-47A1-9FEE-961AA5C96B19}">
      <dsp:nvSpPr>
        <dsp:cNvPr id="0" name=""/>
        <dsp:cNvSpPr/>
      </dsp:nvSpPr>
      <dsp:spPr>
        <a:xfrm rot="388596">
          <a:off x="3630586" y="2568681"/>
          <a:ext cx="1457107" cy="428236"/>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501F039-96D5-4BA2-9009-E203955B49B9}">
      <dsp:nvSpPr>
        <dsp:cNvPr id="0" name=""/>
        <dsp:cNvSpPr/>
      </dsp:nvSpPr>
      <dsp:spPr>
        <a:xfrm>
          <a:off x="4557139" y="2524845"/>
          <a:ext cx="1051809" cy="680268"/>
        </a:xfrm>
        <a:prstGeom prst="roundRect">
          <a:avLst>
            <a:gd name="adj" fmla="val 10000"/>
          </a:avLst>
        </a:prstGeom>
        <a:solidFill>
          <a:schemeClr val="lt1">
            <a:hueOff val="0"/>
            <a:satOff val="0"/>
            <a:lumOff val="0"/>
            <a:alphaOff val="0"/>
          </a:schemeClr>
        </a:solidFill>
        <a:ln w="25400" cap="flat" cmpd="sng" algn="ctr">
          <a:solidFill>
            <a:schemeClr val="accent1"/>
          </a:solidFill>
          <a:prstDash val="sysDot"/>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t" anchorCtr="0">
          <a:noAutofit/>
        </a:bodyPr>
        <a:lstStyle/>
        <a:p>
          <a:pPr lvl="0" algn="l" defTabSz="488950">
            <a:lnSpc>
              <a:spcPct val="90000"/>
            </a:lnSpc>
            <a:spcBef>
              <a:spcPct val="0"/>
            </a:spcBef>
            <a:spcAft>
              <a:spcPct val="35000"/>
            </a:spcAft>
          </a:pPr>
          <a:r>
            <a:rPr lang="es-CO" sz="1100" b="1" kern="1200" dirty="0" smtClean="0">
              <a:solidFill>
                <a:schemeClr val="tx2"/>
              </a:solidFill>
            </a:rPr>
            <a:t>AOM</a:t>
          </a:r>
          <a:endParaRPr lang="es-CO" sz="1100" kern="1200" dirty="0">
            <a:solidFill>
              <a:schemeClr val="tx2"/>
            </a:solidFill>
          </a:endParaRPr>
        </a:p>
        <a:p>
          <a:pPr marL="57150" lvl="1" indent="-57150" algn="l" defTabSz="355600">
            <a:lnSpc>
              <a:spcPct val="90000"/>
            </a:lnSpc>
            <a:spcBef>
              <a:spcPct val="0"/>
            </a:spcBef>
            <a:spcAft>
              <a:spcPct val="15000"/>
            </a:spcAft>
            <a:buChar char="••"/>
          </a:pPr>
          <a:r>
            <a:rPr lang="es-CO" sz="800" b="1" kern="1200" dirty="0" smtClean="0">
              <a:solidFill>
                <a:schemeClr val="tx2"/>
              </a:solidFill>
            </a:rPr>
            <a:t>% de inversión</a:t>
          </a:r>
          <a:endParaRPr lang="es-CO" sz="800" kern="1200" dirty="0">
            <a:solidFill>
              <a:schemeClr val="tx2"/>
            </a:solidFill>
          </a:endParaRPr>
        </a:p>
        <a:p>
          <a:pPr marL="57150" lvl="1" indent="-57150" algn="l" defTabSz="355600">
            <a:lnSpc>
              <a:spcPct val="90000"/>
            </a:lnSpc>
            <a:spcBef>
              <a:spcPct val="0"/>
            </a:spcBef>
            <a:spcAft>
              <a:spcPct val="15000"/>
            </a:spcAft>
            <a:buChar char="••"/>
          </a:pPr>
          <a:r>
            <a:rPr lang="es-CO" sz="800" b="1" kern="1200" dirty="0" smtClean="0">
              <a:solidFill>
                <a:schemeClr val="tx2"/>
              </a:solidFill>
            </a:rPr>
            <a:t>Proyección </a:t>
          </a:r>
          <a:endParaRPr lang="es-CO" sz="800" kern="1200" dirty="0">
            <a:solidFill>
              <a:schemeClr val="tx2"/>
            </a:solidFill>
          </a:endParaRPr>
        </a:p>
      </dsp:txBody>
      <dsp:txXfrm>
        <a:off x="4577063" y="2544769"/>
        <a:ext cx="1011961" cy="640420"/>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Aná14</b:Tag>
    <b:SourceType>Report</b:SourceType>
    <b:Guid>{CAFC8E93-6B75-4A48-A994-793A661B2B2D}</b:Guid>
    <b:Title>Análisis base para definir la metodología de remuneración de transporte de combustibles líquidos por ductos.</b:Title>
    <b:Year>2014</b:Year>
    <b:City>Bogotá D.C</b:City>
    <b:Author>
      <b:Author>
        <b:Corporate>SNC- Lavalin</b:Corporate>
      </b:Author>
    </b:Author>
    <b:RefOrder>3</b:RefOrder>
  </b:Source>
  <b:Source>
    <b:Tag>Sum13</b:Tag>
    <b:SourceType>Report</b:SourceType>
    <b:Guid>{5EBC0284-51CE-4FDF-B721-6A9EBAEF7C8D}</b:Guid>
    <b:Author>
      <b:Author>
        <b:Corporate>Sumatoria S.A.S</b:Corporate>
      </b:Author>
    </b:Author>
    <b:Title>Propuesta de un esquema de regulación económica para la actividad de transporte de derivados de petróleo por poliductos  </b:Title>
    <b:Year>2013</b:Year>
    <b:City>Bogotá D.C</b:City>
    <b:RefOrder>2</b:RefOrder>
  </b:Source>
  <b:Source>
    <b:Tag>Eco09</b:Tag>
    <b:SourceType>Report</b:SourceType>
    <b:Guid>{64D8BFDC-359B-46AA-82CB-C7824EE1C01C}</b:Guid>
    <b:Author>
      <b:Author>
        <b:NameList>
          <b:Person>
            <b:Last>Econometría</b:Last>
          </b:Person>
        </b:NameList>
      </b:Author>
    </b:Author>
    <b:Title>Revisión de la metodología tarifaria para el transporte de derivados del petróleo en poliductos y establecimiento de la tasa de remuneración de los activos</b:Title>
    <b:Year>2009</b:Year>
    <b:City>Bogotá D.C</b:City>
    <b:RefOrder>1</b:RefOrder>
  </b:Source>
  <b:Source>
    <b:Tag>Sum15</b:Tag>
    <b:SourceType>Report</b:SourceType>
    <b:Guid>{AA1DDB48-1B64-4799-8003-24EE17F4F51E}</b:Guid>
    <b:Author>
      <b:Author>
        <b:Corporate>Sumatoria S.A.S</b:Corporate>
      </b:Author>
    </b:Author>
    <b:Title>Consultoría para el análisis y actualización del estudio de márgenes de la gasolina y el diésel contratado por el MME en el 2011, con el fin de aplicarlo en el esquema tarifario de la CREG.</b:Title>
    <b:Year>2015</b:Year>
    <b:City>Bogotá</b:City>
    <b:RefOrder>5</b:RefOrder>
  </b:Source>
  <b:Source>
    <b:Tag>Cir</b:Tag>
    <b:SourceType>BookSection</b:SourceType>
    <b:Guid>{891E600B-DB7F-4073-8A79-93B88BC05420}</b:Guid>
    <b:Author>
      <b:Author>
        <b:Corporate>Circular CREG 061 -2012</b:Corporate>
      </b:Author>
    </b:Author>
    <b:Title>Estudio del impacto del marco regulatorio del sector de energía eléctrica, incluida la regulación de los intercambios internacionales de energía</b:Title>
    <b:RefOrder>4</b:RefOrder>
  </b:Source>
</b:Sources>
</file>

<file path=customXml/itemProps1.xml><?xml version="1.0" encoding="utf-8"?>
<ds:datastoreItem xmlns:ds="http://schemas.openxmlformats.org/officeDocument/2006/customXml" ds:itemID="{E7280F32-201C-48EA-9960-250630DF4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PLANTILLA1</Template>
  <TotalTime>1</TotalTime>
  <Pages>76</Pages>
  <Words>20404</Words>
  <Characters>112227</Characters>
  <Application>Microsoft Office Word</Application>
  <DocSecurity>0</DocSecurity>
  <Lines>935</Lines>
  <Paragraphs>264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132367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LSROJAS</dc:creator>
  <cp:lastModifiedBy>Luz Stella Rojas Macias</cp:lastModifiedBy>
  <cp:revision>2</cp:revision>
  <cp:lastPrinted>2016-01-05T16:26:00Z</cp:lastPrinted>
  <dcterms:created xsi:type="dcterms:W3CDTF">2016-01-08T14:32:00Z</dcterms:created>
  <dcterms:modified xsi:type="dcterms:W3CDTF">2016-01-08T14:32:00Z</dcterms:modified>
</cp:coreProperties>
</file>