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B2C6F" w14:textId="31BA1A7D" w:rsidR="00182AB0" w:rsidRPr="00A96759" w:rsidRDefault="00CB50A8" w:rsidP="00FD3852">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3CBF9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8pt;margin-top:-58.6pt;width:52.5pt;height:48.75pt;z-index:251658240" fillcolor="#0c9">
            <v:imagedata r:id="rId8" o:title=""/>
          </v:shape>
          <o:OLEObject Type="Embed" ProgID="PBrush" ShapeID="_x0000_s1026" DrawAspect="Content" ObjectID="_1670756554" r:id="rId9"/>
        </w:object>
      </w:r>
    </w:p>
    <w:p w14:paraId="45E4607C" w14:textId="77777777" w:rsidR="00182AB0" w:rsidRPr="00A96759" w:rsidRDefault="00182AB0" w:rsidP="00182AB0">
      <w:pPr>
        <w:pStyle w:val="Ttulo4"/>
        <w:tabs>
          <w:tab w:val="left" w:pos="0"/>
          <w:tab w:val="right" w:pos="9356"/>
        </w:tabs>
        <w:ind w:left="0"/>
        <w:rPr>
          <w:rFonts w:ascii="Bookman Old Style" w:hAnsi="Bookman Old Style"/>
          <w:b w:val="0"/>
          <w:bCs/>
          <w:noProof/>
          <w:sz w:val="24"/>
          <w:szCs w:val="24"/>
          <w:lang w:val="es-ES"/>
        </w:rPr>
      </w:pPr>
      <w:r w:rsidRPr="00A96759">
        <w:rPr>
          <w:rFonts w:ascii="Bookman Old Style" w:hAnsi="Bookman Old Style"/>
          <w:b w:val="0"/>
          <w:bCs/>
          <w:sz w:val="24"/>
          <w:szCs w:val="24"/>
        </w:rPr>
        <w:t>Ministerio de Minas y Energía</w:t>
      </w:r>
    </w:p>
    <w:p w14:paraId="65565DCB" w14:textId="77777777" w:rsidR="00182AB0" w:rsidRDefault="00182AB0" w:rsidP="00182AB0"/>
    <w:p w14:paraId="3D593267" w14:textId="77777777" w:rsidR="008E4804" w:rsidRDefault="008E4804" w:rsidP="00182AB0"/>
    <w:p w14:paraId="21EF6459" w14:textId="77777777" w:rsidR="00182AB0" w:rsidRPr="00A96759" w:rsidRDefault="00182AB0" w:rsidP="008E4804">
      <w:pPr>
        <w:pStyle w:val="Ttulo3"/>
        <w:tabs>
          <w:tab w:val="left" w:pos="0"/>
          <w:tab w:val="right" w:pos="9356"/>
        </w:tabs>
        <w:ind w:left="0"/>
        <w:rPr>
          <w:rFonts w:ascii="Bookman Old Style" w:hAnsi="Bookman Old Style" w:cs="Arial"/>
          <w:spacing w:val="20"/>
          <w:szCs w:val="24"/>
        </w:rPr>
      </w:pPr>
      <w:r w:rsidRPr="00A96759">
        <w:rPr>
          <w:rFonts w:ascii="Bookman Old Style" w:hAnsi="Bookman Old Style" w:cs="Arial"/>
          <w:spacing w:val="20"/>
          <w:szCs w:val="24"/>
        </w:rPr>
        <w:t>COMISIÓN DE REGULACIÓN DE ENERGÍA Y GAS</w:t>
      </w:r>
    </w:p>
    <w:p w14:paraId="77E97662" w14:textId="77777777" w:rsidR="00182AB0" w:rsidRDefault="00182AB0" w:rsidP="008E4804">
      <w:pPr>
        <w:rPr>
          <w:rFonts w:ascii="Bookman Old Style" w:hAnsi="Bookman Old Style"/>
          <w:lang w:val="es-ES_tradnl" w:eastAsia="x-none"/>
        </w:rPr>
      </w:pPr>
    </w:p>
    <w:p w14:paraId="526F7574" w14:textId="2B3BEA10" w:rsidR="00182AB0" w:rsidRPr="00A96759" w:rsidRDefault="00754AD8" w:rsidP="008E4804">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 N</w:t>
      </w:r>
      <w:r w:rsidR="00724E99">
        <w:rPr>
          <w:rFonts w:ascii="Bookman Old Style" w:hAnsi="Bookman Old Style"/>
          <w:sz w:val="24"/>
          <w:szCs w:val="24"/>
        </w:rPr>
        <w:t>o.</w:t>
      </w:r>
      <w:r w:rsidR="00182AB0">
        <w:rPr>
          <w:rFonts w:ascii="Bookman Old Style" w:hAnsi="Bookman Old Style"/>
          <w:sz w:val="24"/>
          <w:szCs w:val="24"/>
        </w:rPr>
        <w:t xml:space="preserve"> </w:t>
      </w:r>
      <w:r w:rsidR="0054162D">
        <w:rPr>
          <w:rFonts w:ascii="Bookman Old Style" w:hAnsi="Bookman Old Style"/>
          <w:sz w:val="32"/>
          <w:szCs w:val="32"/>
        </w:rPr>
        <w:t>235</w:t>
      </w:r>
      <w:r w:rsidR="00182AB0">
        <w:rPr>
          <w:rFonts w:ascii="Bookman Old Style" w:hAnsi="Bookman Old Style"/>
          <w:sz w:val="24"/>
          <w:szCs w:val="24"/>
        </w:rPr>
        <w:t xml:space="preserve">    </w:t>
      </w:r>
      <w:r w:rsidR="00182AB0" w:rsidRPr="00A96759">
        <w:rPr>
          <w:rFonts w:ascii="Bookman Old Style" w:hAnsi="Bookman Old Style"/>
          <w:sz w:val="24"/>
          <w:szCs w:val="24"/>
        </w:rPr>
        <w:t>DE 20</w:t>
      </w:r>
      <w:r w:rsidR="00652489">
        <w:rPr>
          <w:rFonts w:ascii="Bookman Old Style" w:hAnsi="Bookman Old Style"/>
          <w:sz w:val="24"/>
          <w:szCs w:val="24"/>
        </w:rPr>
        <w:t>20</w:t>
      </w:r>
    </w:p>
    <w:p w14:paraId="18F9B3B1" w14:textId="77777777" w:rsidR="00182AB0" w:rsidRPr="00A96759" w:rsidRDefault="00182AB0" w:rsidP="008E4804">
      <w:pPr>
        <w:tabs>
          <w:tab w:val="left" w:pos="0"/>
          <w:tab w:val="right" w:pos="9356"/>
        </w:tabs>
        <w:ind w:left="0"/>
        <w:jc w:val="center"/>
        <w:rPr>
          <w:rFonts w:ascii="Bookman Old Style" w:hAnsi="Bookman Old Style" w:cs="Arial"/>
          <w:b/>
          <w:snapToGrid w:val="0"/>
          <w:color w:val="000000"/>
          <w:lang w:val="es-ES_tradnl"/>
        </w:rPr>
      </w:pPr>
    </w:p>
    <w:p w14:paraId="3E6F4AE4" w14:textId="76FDB176" w:rsidR="00182AB0" w:rsidRPr="00A96759" w:rsidRDefault="00182AB0" w:rsidP="008E4804">
      <w:pPr>
        <w:pStyle w:val="Ttulo3"/>
        <w:tabs>
          <w:tab w:val="left" w:pos="0"/>
          <w:tab w:val="right" w:pos="9356"/>
        </w:tabs>
        <w:ind w:left="0"/>
        <w:rPr>
          <w:rFonts w:ascii="Bookman Old Style" w:hAnsi="Bookman Old Style"/>
          <w:b w:val="0"/>
          <w:szCs w:val="24"/>
        </w:rPr>
      </w:pPr>
      <w:proofErr w:type="gramStart"/>
      <w:r w:rsidRPr="00A96759">
        <w:rPr>
          <w:rFonts w:ascii="Bookman Old Style" w:hAnsi="Bookman Old Style"/>
          <w:b w:val="0"/>
          <w:szCs w:val="24"/>
        </w:rPr>
        <w:t>(</w:t>
      </w:r>
      <w:r>
        <w:rPr>
          <w:rFonts w:ascii="Bookman Old Style" w:hAnsi="Bookman Old Style"/>
          <w:b w:val="0"/>
          <w:szCs w:val="24"/>
        </w:rPr>
        <w:t xml:space="preserve">  </w:t>
      </w:r>
      <w:proofErr w:type="gramEnd"/>
      <w:r>
        <w:rPr>
          <w:rFonts w:ascii="Bookman Old Style" w:hAnsi="Bookman Old Style"/>
          <w:b w:val="0"/>
          <w:szCs w:val="24"/>
        </w:rPr>
        <w:t xml:space="preserve"> </w:t>
      </w:r>
      <w:r w:rsidR="00D65E78">
        <w:rPr>
          <w:rFonts w:ascii="Bookman Old Style" w:hAnsi="Bookman Old Style"/>
          <w:bCs/>
          <w:sz w:val="32"/>
          <w:szCs w:val="32"/>
        </w:rPr>
        <w:t xml:space="preserve">  </w:t>
      </w:r>
      <w:r w:rsidR="00EA44D0" w:rsidRPr="00EA44D0">
        <w:rPr>
          <w:rFonts w:ascii="Bookman Old Style" w:hAnsi="Bookman Old Style"/>
          <w:bCs/>
          <w:sz w:val="32"/>
          <w:szCs w:val="32"/>
        </w:rPr>
        <w:t>2</w:t>
      </w:r>
      <w:r w:rsidR="00EA44D0">
        <w:rPr>
          <w:rFonts w:ascii="Bookman Old Style" w:hAnsi="Bookman Old Style"/>
          <w:bCs/>
          <w:sz w:val="32"/>
          <w:szCs w:val="32"/>
        </w:rPr>
        <w:t>3</w:t>
      </w:r>
      <w:r w:rsidR="00EA44D0" w:rsidRPr="00EA44D0">
        <w:rPr>
          <w:rFonts w:ascii="Bookman Old Style" w:hAnsi="Bookman Old Style"/>
          <w:bCs/>
          <w:sz w:val="32"/>
          <w:szCs w:val="32"/>
        </w:rPr>
        <w:t xml:space="preserve"> DIC. 2020</w:t>
      </w:r>
      <w:r w:rsidR="00D65E78">
        <w:rPr>
          <w:rFonts w:ascii="Bookman Old Style" w:hAnsi="Bookman Old Style"/>
          <w:bCs/>
          <w:sz w:val="32"/>
          <w:szCs w:val="32"/>
        </w:rPr>
        <w:t xml:space="preserve">    </w:t>
      </w:r>
      <w:r w:rsidRPr="00A96759">
        <w:rPr>
          <w:rFonts w:ascii="Bookman Old Style" w:hAnsi="Bookman Old Style"/>
          <w:b w:val="0"/>
          <w:szCs w:val="24"/>
        </w:rPr>
        <w:t>)</w:t>
      </w:r>
    </w:p>
    <w:p w14:paraId="4E98F281" w14:textId="7227CB99" w:rsidR="00182AB0" w:rsidRDefault="00182AB0" w:rsidP="008E4804">
      <w:pPr>
        <w:tabs>
          <w:tab w:val="left" w:pos="0"/>
          <w:tab w:val="right" w:pos="9356"/>
        </w:tabs>
        <w:ind w:left="0"/>
        <w:jc w:val="center"/>
        <w:rPr>
          <w:rFonts w:ascii="Bookman Old Style" w:hAnsi="Bookman Old Style"/>
          <w:lang w:val="es-ES_tradnl"/>
        </w:rPr>
      </w:pPr>
    </w:p>
    <w:p w14:paraId="731FA872" w14:textId="7B435A94" w:rsidR="00182AB0" w:rsidRDefault="00C75D50" w:rsidP="00182AB0">
      <w:pPr>
        <w:ind w:left="0"/>
        <w:jc w:val="center"/>
        <w:rPr>
          <w:rFonts w:ascii="Bookman Old Style" w:hAnsi="Bookman Old Style" w:cs="Arial"/>
        </w:rPr>
      </w:pPr>
      <w:r w:rsidRPr="00C75D50">
        <w:rPr>
          <w:rFonts w:ascii="Bookman Old Style" w:hAnsi="Bookman Old Style" w:cs="Arial"/>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2020 y se dictan otras disposiciones</w:t>
      </w:r>
      <w:r w:rsidR="00772E19" w:rsidRPr="005B3D0E">
        <w:rPr>
          <w:rFonts w:ascii="Bookman Old Style" w:hAnsi="Bookman Old Style" w:cs="Arial"/>
        </w:rPr>
        <w:t>.</w:t>
      </w:r>
    </w:p>
    <w:p w14:paraId="61F6CEF5" w14:textId="77777777" w:rsidR="00C75D50" w:rsidRPr="005B3D0E" w:rsidRDefault="00C75D50" w:rsidP="00182AB0">
      <w:pPr>
        <w:ind w:left="0"/>
        <w:jc w:val="center"/>
        <w:rPr>
          <w:rFonts w:ascii="Bookman Old Style" w:hAnsi="Bookman Old Style" w:cs="Arial"/>
          <w:lang w:val="es-CO" w:eastAsia="es-CO"/>
        </w:rPr>
      </w:pPr>
    </w:p>
    <w:p w14:paraId="06A8AD02" w14:textId="77777777" w:rsidR="006B12FE" w:rsidRPr="00AB5B2E" w:rsidRDefault="006B12FE" w:rsidP="00182AB0">
      <w:pPr>
        <w:pStyle w:val="TableHeading"/>
        <w:suppressLineNumbers w:val="0"/>
        <w:rPr>
          <w:rFonts w:ascii="Bookman Old Style" w:hAnsi="Bookman Old Style" w:cs="Arial"/>
          <w:bCs w:val="0"/>
          <w:sz w:val="16"/>
          <w:szCs w:val="16"/>
          <w:lang w:val="es-CO"/>
        </w:rPr>
      </w:pPr>
    </w:p>
    <w:p w14:paraId="1001E5B8" w14:textId="77777777" w:rsidR="00182AB0" w:rsidRPr="00A96759" w:rsidRDefault="00182AB0" w:rsidP="00182AB0">
      <w:pPr>
        <w:pStyle w:val="Ttulo6"/>
        <w:spacing w:before="0" w:after="0"/>
        <w:ind w:left="0"/>
        <w:jc w:val="center"/>
        <w:rPr>
          <w:rFonts w:ascii="Bookman Old Style" w:hAnsi="Bookman Old Style"/>
          <w:sz w:val="24"/>
          <w:szCs w:val="24"/>
        </w:rPr>
      </w:pPr>
      <w:r w:rsidRPr="00A96759">
        <w:rPr>
          <w:rFonts w:ascii="Bookman Old Style" w:hAnsi="Bookman Old Style"/>
          <w:sz w:val="24"/>
          <w:szCs w:val="24"/>
        </w:rPr>
        <w:t>LA COMISIÓN DE REGULACIÓN DE ENERGÍA Y GAS</w:t>
      </w:r>
    </w:p>
    <w:p w14:paraId="33D67BF7" w14:textId="77777777" w:rsidR="00182AB0" w:rsidRDefault="00182AB0" w:rsidP="00182AB0">
      <w:pPr>
        <w:ind w:left="0"/>
        <w:jc w:val="both"/>
        <w:rPr>
          <w:rFonts w:ascii="Bookman Old Style" w:hAnsi="Bookman Old Style" w:cs="Arial"/>
          <w:b/>
          <w:bCs/>
          <w:lang w:val="x-none"/>
        </w:rPr>
      </w:pPr>
    </w:p>
    <w:p w14:paraId="5A2C0018" w14:textId="2586DA27" w:rsidR="00315DCC" w:rsidRDefault="00315DCC" w:rsidP="00D86515">
      <w:pPr>
        <w:pStyle w:val="TableHeading"/>
        <w:suppressLineNumbers w:val="0"/>
        <w:jc w:val="both"/>
        <w:rPr>
          <w:rFonts w:ascii="Bookman Old Style" w:hAnsi="Bookman Old Style" w:cs="Arial"/>
          <w:b w:val="0"/>
          <w:bCs w:val="0"/>
          <w:sz w:val="24"/>
          <w:lang w:eastAsia="es-ES"/>
        </w:rPr>
      </w:pPr>
      <w:r w:rsidRPr="00D86515">
        <w:rPr>
          <w:rFonts w:ascii="Bookman Old Style" w:hAnsi="Bookman Old Style" w:cs="Arial"/>
          <w:b w:val="0"/>
          <w:bCs w:val="0"/>
          <w:sz w:val="24"/>
          <w:lang w:eastAsia="es-ES"/>
        </w:rPr>
        <w:t>En ejercicio de sus atribuciones legales, en especial de las que le confieren el artículo 85 de la Ley 142 de 1994,</w:t>
      </w:r>
      <w:r w:rsidR="00A53F81">
        <w:rPr>
          <w:rFonts w:ascii="Bookman Old Style" w:hAnsi="Bookman Old Style" w:cs="Arial"/>
          <w:b w:val="0"/>
          <w:bCs w:val="0"/>
          <w:sz w:val="24"/>
          <w:lang w:eastAsia="es-ES"/>
        </w:rPr>
        <w:t xml:space="preserve"> modificado por el artículo 18 de la Ley 1955 de 2019, </w:t>
      </w:r>
      <w:r w:rsidR="00D86515" w:rsidRPr="00D86515">
        <w:rPr>
          <w:rFonts w:ascii="Bookman Old Style" w:hAnsi="Bookman Old Style" w:cs="Arial"/>
          <w:b w:val="0"/>
          <w:bCs w:val="0"/>
          <w:sz w:val="24"/>
          <w:lang w:eastAsia="es-ES"/>
        </w:rPr>
        <w:t xml:space="preserve"> </w:t>
      </w:r>
      <w:r w:rsidR="00D86515">
        <w:rPr>
          <w:rFonts w:ascii="Bookman Old Style" w:hAnsi="Bookman Old Style" w:cs="Arial"/>
          <w:b w:val="0"/>
          <w:bCs w:val="0"/>
          <w:sz w:val="24"/>
          <w:lang w:eastAsia="es-ES"/>
        </w:rPr>
        <w:t xml:space="preserve">el </w:t>
      </w:r>
      <w:r w:rsidR="00D86515" w:rsidRPr="00D86515">
        <w:rPr>
          <w:rFonts w:ascii="Bookman Old Style" w:hAnsi="Bookman Old Style" w:cs="Arial"/>
          <w:b w:val="0"/>
          <w:bCs w:val="0"/>
          <w:sz w:val="24"/>
          <w:lang w:eastAsia="es-ES"/>
        </w:rPr>
        <w:t xml:space="preserve">parágrafo 3º del artículo 2º de la Ley 901 de 2004, </w:t>
      </w:r>
      <w:r w:rsidR="001B6B8C">
        <w:rPr>
          <w:rFonts w:ascii="Bookman Old Style" w:hAnsi="Bookman Old Style" w:cs="Arial"/>
          <w:b w:val="0"/>
          <w:bCs w:val="0"/>
          <w:sz w:val="24"/>
          <w:lang w:eastAsia="es-ES"/>
        </w:rPr>
        <w:t xml:space="preserve">los </w:t>
      </w:r>
      <w:r w:rsidR="00D86515" w:rsidRPr="00D86515">
        <w:rPr>
          <w:rFonts w:ascii="Bookman Old Style" w:hAnsi="Bookman Old Style" w:cs="Arial"/>
          <w:b w:val="0"/>
          <w:bCs w:val="0"/>
          <w:sz w:val="24"/>
          <w:lang w:eastAsia="es-ES"/>
        </w:rPr>
        <w:t>artículo</w:t>
      </w:r>
      <w:r w:rsidR="001B6B8C">
        <w:rPr>
          <w:rFonts w:ascii="Bookman Old Style" w:hAnsi="Bookman Old Style" w:cs="Arial"/>
          <w:b w:val="0"/>
          <w:bCs w:val="0"/>
          <w:sz w:val="24"/>
          <w:lang w:eastAsia="es-ES"/>
        </w:rPr>
        <w:t>s 1° al 5° de</w:t>
      </w:r>
      <w:r w:rsidR="00D86515" w:rsidRPr="00D86515">
        <w:rPr>
          <w:rFonts w:ascii="Bookman Old Style" w:hAnsi="Bookman Old Style" w:cs="Arial"/>
          <w:b w:val="0"/>
          <w:bCs w:val="0"/>
          <w:sz w:val="24"/>
          <w:lang w:eastAsia="es-ES"/>
        </w:rPr>
        <w:t xml:space="preserve"> la Ley 1066 de 2006</w:t>
      </w:r>
      <w:r w:rsidR="00D86515">
        <w:rPr>
          <w:rFonts w:ascii="Bookman Old Style" w:hAnsi="Bookman Old Style" w:cs="Arial"/>
          <w:b w:val="0"/>
          <w:bCs w:val="0"/>
          <w:sz w:val="24"/>
          <w:lang w:eastAsia="es-ES"/>
        </w:rPr>
        <w:t>,</w:t>
      </w:r>
      <w:r w:rsidR="00AE13F8">
        <w:rPr>
          <w:rFonts w:ascii="Bookman Old Style" w:hAnsi="Bookman Old Style" w:cs="Arial"/>
          <w:b w:val="0"/>
          <w:bCs w:val="0"/>
          <w:sz w:val="24"/>
          <w:lang w:eastAsia="es-ES"/>
        </w:rPr>
        <w:t xml:space="preserve"> Ley 1437 de 2011,</w:t>
      </w:r>
      <w:r w:rsidR="00D86515">
        <w:rPr>
          <w:rFonts w:ascii="Bookman Old Style" w:hAnsi="Bookman Old Style" w:cs="Arial"/>
          <w:b w:val="0"/>
          <w:bCs w:val="0"/>
          <w:sz w:val="24"/>
          <w:lang w:eastAsia="es-ES"/>
        </w:rPr>
        <w:t xml:space="preserve"> </w:t>
      </w:r>
      <w:r w:rsidRPr="00D86515">
        <w:rPr>
          <w:rFonts w:ascii="Bookman Old Style" w:hAnsi="Bookman Old Style" w:cs="Arial"/>
          <w:b w:val="0"/>
          <w:bCs w:val="0"/>
          <w:sz w:val="24"/>
          <w:lang w:eastAsia="es-ES"/>
        </w:rPr>
        <w:t>el Decreto 1260 de 2013, el capítulo 9</w:t>
      </w:r>
      <w:r w:rsidR="001B6B8C">
        <w:rPr>
          <w:rFonts w:ascii="Bookman Old Style" w:hAnsi="Bookman Old Style" w:cs="Arial"/>
          <w:b w:val="0"/>
          <w:bCs w:val="0"/>
          <w:sz w:val="24"/>
          <w:lang w:eastAsia="es-ES"/>
        </w:rPr>
        <w:t>°</w:t>
      </w:r>
      <w:r w:rsidRPr="00D86515">
        <w:rPr>
          <w:rFonts w:ascii="Bookman Old Style" w:hAnsi="Bookman Old Style" w:cs="Arial"/>
          <w:b w:val="0"/>
          <w:bCs w:val="0"/>
          <w:sz w:val="24"/>
          <w:lang w:eastAsia="es-ES"/>
        </w:rPr>
        <w:t xml:space="preserve"> del título 9 de la parte 2 del libro 2 del decreto 1082 de 2015, </w:t>
      </w:r>
      <w:r w:rsidR="00DC7FD0">
        <w:rPr>
          <w:rFonts w:ascii="Bookman Old Style" w:hAnsi="Bookman Old Style" w:cs="Arial"/>
          <w:b w:val="0"/>
          <w:bCs w:val="0"/>
          <w:sz w:val="24"/>
          <w:lang w:eastAsia="es-ES"/>
        </w:rPr>
        <w:t>el anexo del Decreto 2411 de 2019,</w:t>
      </w:r>
      <w:r w:rsidRPr="00D86515">
        <w:rPr>
          <w:rFonts w:ascii="Bookman Old Style" w:hAnsi="Bookman Old Style" w:cs="Arial"/>
          <w:b w:val="0"/>
          <w:bCs w:val="0"/>
          <w:sz w:val="24"/>
          <w:lang w:eastAsia="es-ES"/>
        </w:rPr>
        <w:t xml:space="preserve"> el Capítulo 9 del Título 9 de la Parte 2 del Libro 2 del Decreto 1082 de 2015</w:t>
      </w:r>
      <w:r w:rsidR="00DC7FD0">
        <w:rPr>
          <w:rFonts w:ascii="Bookman Old Style" w:hAnsi="Bookman Old Style" w:cs="Arial"/>
          <w:b w:val="0"/>
          <w:bCs w:val="0"/>
          <w:sz w:val="24"/>
          <w:lang w:eastAsia="es-ES"/>
        </w:rPr>
        <w:t xml:space="preserve"> </w:t>
      </w:r>
      <w:r w:rsidRPr="00D86515">
        <w:rPr>
          <w:rFonts w:ascii="Bookman Old Style" w:hAnsi="Bookman Old Style" w:cs="Arial"/>
          <w:b w:val="0"/>
          <w:bCs w:val="0"/>
          <w:sz w:val="24"/>
          <w:lang w:eastAsia="es-ES"/>
        </w:rPr>
        <w:t>Único Reglamentario del Sector Administrativo de Planeación Nacional que reglamenta el artículo 85 de la Ley 142 de 1994 a través del Decreto 1150 de 2020y</w:t>
      </w:r>
    </w:p>
    <w:p w14:paraId="3AAD8CA1" w14:textId="77777777" w:rsidR="00AE13F8" w:rsidRPr="00D86515" w:rsidRDefault="00AE13F8" w:rsidP="00D86515">
      <w:pPr>
        <w:pStyle w:val="TableHeading"/>
        <w:suppressLineNumbers w:val="0"/>
        <w:jc w:val="both"/>
        <w:rPr>
          <w:rFonts w:ascii="Bookman Old Style" w:hAnsi="Bookman Old Style" w:cs="Arial"/>
          <w:b w:val="0"/>
          <w:bCs w:val="0"/>
          <w:sz w:val="24"/>
          <w:lang w:eastAsia="es-ES"/>
        </w:rPr>
      </w:pPr>
    </w:p>
    <w:p w14:paraId="4F08D81E" w14:textId="1B69A3BA" w:rsidR="00182AB0" w:rsidRPr="00A96759" w:rsidRDefault="00182AB0" w:rsidP="00182AB0">
      <w:pPr>
        <w:pStyle w:val="TableHeading"/>
        <w:suppressLineNumbers w:val="0"/>
        <w:rPr>
          <w:rFonts w:ascii="Bookman Old Style" w:hAnsi="Bookman Old Style" w:cs="Arial"/>
          <w:bCs w:val="0"/>
          <w:sz w:val="24"/>
          <w:lang w:val="es-CO"/>
        </w:rPr>
      </w:pPr>
      <w:r w:rsidRPr="00A96759">
        <w:rPr>
          <w:rFonts w:ascii="Bookman Old Style" w:hAnsi="Bookman Old Style" w:cs="Arial"/>
          <w:bCs w:val="0"/>
          <w:sz w:val="24"/>
        </w:rPr>
        <w:t>C O N S I D E R A N D O</w:t>
      </w:r>
      <w:r w:rsidR="00315DCC">
        <w:rPr>
          <w:rFonts w:ascii="Bookman Old Style" w:hAnsi="Bookman Old Style" w:cs="Arial"/>
          <w:bCs w:val="0"/>
          <w:sz w:val="24"/>
        </w:rPr>
        <w:t xml:space="preserve">   </w:t>
      </w:r>
      <w:r w:rsidR="00817EB7">
        <w:rPr>
          <w:rFonts w:ascii="Bookman Old Style" w:hAnsi="Bookman Old Style" w:cs="Arial"/>
          <w:bCs w:val="0"/>
          <w:sz w:val="24"/>
        </w:rPr>
        <w:t>Q U E</w:t>
      </w:r>
      <w:r w:rsidRPr="00A96759">
        <w:rPr>
          <w:rFonts w:ascii="Bookman Old Style" w:hAnsi="Bookman Old Style" w:cs="Arial"/>
          <w:bCs w:val="0"/>
          <w:sz w:val="24"/>
        </w:rPr>
        <w:t>:</w:t>
      </w:r>
    </w:p>
    <w:p w14:paraId="4226265D" w14:textId="77777777" w:rsidR="006B12FE" w:rsidRPr="00AB5B2E" w:rsidRDefault="006B12FE" w:rsidP="00182AB0">
      <w:pPr>
        <w:ind w:left="0"/>
        <w:jc w:val="both"/>
        <w:rPr>
          <w:rFonts w:ascii="Bookman Old Style" w:hAnsi="Bookman Old Style" w:cs="Arial"/>
          <w:sz w:val="16"/>
          <w:szCs w:val="16"/>
          <w:lang w:val="es-CO"/>
        </w:rPr>
      </w:pPr>
    </w:p>
    <w:p w14:paraId="4C9AA676" w14:textId="416BC849" w:rsidR="001220F9" w:rsidRPr="001220F9" w:rsidRDefault="00DD41CD" w:rsidP="001220F9">
      <w:pPr>
        <w:ind w:left="0"/>
        <w:jc w:val="both"/>
        <w:rPr>
          <w:rFonts w:ascii="Bookman Old Style" w:hAnsi="Bookman Old Style" w:cs="Arial"/>
        </w:rPr>
      </w:pPr>
      <w:r>
        <w:rPr>
          <w:rFonts w:ascii="Bookman Old Style" w:hAnsi="Bookman Old Style" w:cs="Arial"/>
        </w:rPr>
        <w:t>El</w:t>
      </w:r>
      <w:r w:rsidR="001220F9" w:rsidRPr="001220F9">
        <w:rPr>
          <w:rFonts w:ascii="Bookman Old Style" w:hAnsi="Bookman Old Style" w:cs="Arial"/>
        </w:rPr>
        <w:t xml:space="preserve"> artículo 85 de la Ley 142 de 1994</w:t>
      </w:r>
      <w:r>
        <w:rPr>
          <w:rFonts w:ascii="Bookman Old Style" w:hAnsi="Bookman Old Style" w:cs="Arial"/>
        </w:rPr>
        <w:t xml:space="preserve">, </w:t>
      </w:r>
      <w:r w:rsidR="00162383">
        <w:rPr>
          <w:rFonts w:ascii="Bookman Old Style" w:hAnsi="Bookman Old Style" w:cs="Arial"/>
        </w:rPr>
        <w:t xml:space="preserve">modificado por el artículo 18 de la Ley 1955 de 2019, </w:t>
      </w:r>
      <w:r>
        <w:rPr>
          <w:rFonts w:ascii="Bookman Old Style" w:hAnsi="Bookman Old Style" w:cs="Arial"/>
        </w:rPr>
        <w:t>reglamentado por el Decreto 1150 de 2020</w:t>
      </w:r>
      <w:r w:rsidR="001220F9" w:rsidRPr="001220F9">
        <w:rPr>
          <w:rFonts w:ascii="Bookman Old Style" w:hAnsi="Bookman Old Style" w:cs="Arial"/>
        </w:rPr>
        <w:t xml:space="preserve">, facultan a la CREG para liquidar y cobrar anualmente una </w:t>
      </w:r>
      <w:r>
        <w:rPr>
          <w:rFonts w:ascii="Bookman Old Style" w:hAnsi="Bookman Old Style" w:cs="Arial"/>
        </w:rPr>
        <w:t>c</w:t>
      </w:r>
      <w:r w:rsidR="001220F9" w:rsidRPr="001220F9">
        <w:rPr>
          <w:rFonts w:ascii="Bookman Old Style" w:hAnsi="Bookman Old Style" w:cs="Arial"/>
        </w:rPr>
        <w:t xml:space="preserve">ontribución </w:t>
      </w:r>
      <w:r>
        <w:rPr>
          <w:rFonts w:ascii="Bookman Old Style" w:hAnsi="Bookman Old Style" w:cs="Arial"/>
        </w:rPr>
        <w:t>e</w:t>
      </w:r>
      <w:r w:rsidR="001220F9" w:rsidRPr="001220F9">
        <w:rPr>
          <w:rFonts w:ascii="Bookman Old Style" w:hAnsi="Bookman Old Style" w:cs="Arial"/>
        </w:rPr>
        <w:t xml:space="preserve">special a las entidades sometidas a su ámbito de regulación para recuperar los costos en que incurre, con una tarifa que no puede ser superior al uno por ciento (1%) </w:t>
      </w:r>
      <w:r>
        <w:rPr>
          <w:rFonts w:ascii="Bookman Old Style" w:hAnsi="Bookman Old Style" w:cs="Arial"/>
        </w:rPr>
        <w:t>de las respectiva</w:t>
      </w:r>
      <w:r w:rsidR="001220F9" w:rsidRPr="001220F9">
        <w:rPr>
          <w:rFonts w:ascii="Bookman Old Style" w:hAnsi="Bookman Old Style" w:cs="Arial"/>
        </w:rPr>
        <w:t>s</w:t>
      </w:r>
      <w:r>
        <w:rPr>
          <w:rFonts w:ascii="Bookman Old Style" w:hAnsi="Bookman Old Style" w:cs="Arial"/>
        </w:rPr>
        <w:t xml:space="preserve"> bases gravables de los regulados.</w:t>
      </w:r>
    </w:p>
    <w:p w14:paraId="63F0CD30" w14:textId="77777777" w:rsidR="001220F9" w:rsidRPr="00A96759" w:rsidRDefault="001220F9" w:rsidP="00182AB0">
      <w:pPr>
        <w:ind w:left="0"/>
        <w:jc w:val="both"/>
        <w:rPr>
          <w:rFonts w:ascii="Bookman Old Style" w:hAnsi="Bookman Old Style" w:cs="Arial"/>
        </w:rPr>
      </w:pPr>
    </w:p>
    <w:p w14:paraId="27FC9FDA" w14:textId="71B86964" w:rsidR="00182AB0" w:rsidRPr="00A96759" w:rsidRDefault="00182AB0" w:rsidP="00182AB0">
      <w:pPr>
        <w:ind w:left="0"/>
        <w:jc w:val="both"/>
        <w:rPr>
          <w:rFonts w:ascii="Bookman Old Style" w:hAnsi="Bookman Old Style" w:cs="Arial"/>
        </w:rPr>
      </w:pPr>
      <w:r w:rsidRPr="00A96759">
        <w:rPr>
          <w:rFonts w:ascii="Bookman Old Style" w:hAnsi="Bookman Old Style" w:cs="Arial"/>
        </w:rPr>
        <w:t>Los criterios para la</w:t>
      </w:r>
      <w:r w:rsidR="00817EB7">
        <w:rPr>
          <w:rFonts w:ascii="Bookman Old Style" w:hAnsi="Bookman Old Style" w:cs="Arial"/>
        </w:rPr>
        <w:t xml:space="preserve"> metodología y</w:t>
      </w:r>
      <w:r w:rsidRPr="00A96759">
        <w:rPr>
          <w:rFonts w:ascii="Bookman Old Style" w:hAnsi="Bookman Old Style" w:cs="Arial"/>
        </w:rPr>
        <w:t xml:space="preserve"> determinación del porcentaje de la contribución y su liquidación se encuentran </w:t>
      </w:r>
      <w:r w:rsidR="00817EB7">
        <w:rPr>
          <w:rFonts w:ascii="Bookman Old Style" w:hAnsi="Bookman Old Style" w:cs="Arial"/>
        </w:rPr>
        <w:t xml:space="preserve">determinados </w:t>
      </w:r>
      <w:r w:rsidRPr="00A96759">
        <w:rPr>
          <w:rFonts w:ascii="Bookman Old Style" w:hAnsi="Bookman Old Style" w:cs="Arial"/>
        </w:rPr>
        <w:t>en</w:t>
      </w:r>
      <w:r w:rsidR="00817EB7">
        <w:rPr>
          <w:rFonts w:ascii="Bookman Old Style" w:hAnsi="Bookman Old Style" w:cs="Arial"/>
        </w:rPr>
        <w:t xml:space="preserve"> </w:t>
      </w:r>
      <w:r w:rsidR="00817EB7" w:rsidRPr="00817EB7">
        <w:rPr>
          <w:rFonts w:ascii="Bookman Old Style" w:hAnsi="Bookman Old Style" w:cs="Arial"/>
        </w:rPr>
        <w:t>el artículo 85 de la Ley 142 de 1994</w:t>
      </w:r>
      <w:r w:rsidR="00DD41CD">
        <w:rPr>
          <w:rFonts w:ascii="Bookman Old Style" w:hAnsi="Bookman Old Style" w:cs="Arial"/>
        </w:rPr>
        <w:t>,</w:t>
      </w:r>
      <w:r w:rsidR="00817EB7" w:rsidRPr="00817EB7">
        <w:rPr>
          <w:rFonts w:ascii="Bookman Old Style" w:hAnsi="Bookman Old Style" w:cs="Arial"/>
        </w:rPr>
        <w:t xml:space="preserve"> </w:t>
      </w:r>
      <w:r w:rsidR="00817EB7">
        <w:rPr>
          <w:rFonts w:ascii="Bookman Old Style" w:hAnsi="Bookman Old Style" w:cs="Arial"/>
        </w:rPr>
        <w:t>reglamenta</w:t>
      </w:r>
      <w:r w:rsidR="00DD41CD">
        <w:rPr>
          <w:rFonts w:ascii="Bookman Old Style" w:hAnsi="Bookman Old Style" w:cs="Arial"/>
        </w:rPr>
        <w:t>do</w:t>
      </w:r>
      <w:r w:rsidR="00817EB7">
        <w:rPr>
          <w:rFonts w:ascii="Bookman Old Style" w:hAnsi="Bookman Old Style" w:cs="Arial"/>
        </w:rPr>
        <w:t xml:space="preserve"> </w:t>
      </w:r>
      <w:r w:rsidR="00817EB7" w:rsidRPr="00817EB7">
        <w:rPr>
          <w:rFonts w:ascii="Bookman Old Style" w:hAnsi="Bookman Old Style" w:cs="Arial"/>
        </w:rPr>
        <w:t>del Decreto 1150 de 2020</w:t>
      </w:r>
      <w:r w:rsidR="00FF5E35">
        <w:rPr>
          <w:rFonts w:ascii="Bookman Old Style" w:hAnsi="Bookman Old Style" w:cs="Arial"/>
        </w:rPr>
        <w:t>, y para su ejecución no se requiere ninguna otra reglamentación adicional</w:t>
      </w:r>
      <w:r w:rsidRPr="00A96759">
        <w:rPr>
          <w:rFonts w:ascii="Bookman Old Style" w:hAnsi="Bookman Old Style" w:cs="Arial"/>
        </w:rPr>
        <w:t>.</w:t>
      </w:r>
    </w:p>
    <w:p w14:paraId="218D39E0" w14:textId="77777777" w:rsidR="00182AB0" w:rsidRPr="00A96759" w:rsidRDefault="00182AB0" w:rsidP="00182AB0">
      <w:pPr>
        <w:ind w:left="0"/>
        <w:jc w:val="both"/>
        <w:rPr>
          <w:rFonts w:ascii="Bookman Old Style" w:hAnsi="Bookman Old Style" w:cs="Arial"/>
        </w:rPr>
      </w:pPr>
    </w:p>
    <w:p w14:paraId="41F20B62" w14:textId="2F1AD04F" w:rsidR="00182AB0" w:rsidRDefault="00182AB0" w:rsidP="00182AB0">
      <w:pPr>
        <w:ind w:left="0"/>
        <w:jc w:val="both"/>
        <w:rPr>
          <w:rFonts w:ascii="Bookman Old Style" w:hAnsi="Bookman Old Style" w:cs="Arial"/>
        </w:rPr>
      </w:pPr>
      <w:r w:rsidRPr="00A96759">
        <w:rPr>
          <w:rFonts w:ascii="Bookman Old Style" w:hAnsi="Bookman Old Style" w:cs="Arial"/>
        </w:rPr>
        <w:t xml:space="preserve">Corresponde a la </w:t>
      </w:r>
      <w:r w:rsidR="00CB0396">
        <w:rPr>
          <w:rFonts w:ascii="Bookman Old Style" w:hAnsi="Bookman Old Style" w:cs="Arial"/>
        </w:rPr>
        <w:t>CREG</w:t>
      </w:r>
      <w:r w:rsidRPr="00A96759">
        <w:rPr>
          <w:rFonts w:ascii="Bookman Old Style" w:hAnsi="Bookman Old Style" w:cs="Arial"/>
        </w:rPr>
        <w:t xml:space="preserve"> definir el monto de la contribución que se aplicará a cada una de las entidades sometidas a su regulación, por el año </w:t>
      </w:r>
      <w:r w:rsidR="00A06DF4">
        <w:rPr>
          <w:rFonts w:ascii="Bookman Old Style" w:hAnsi="Bookman Old Style" w:cs="Arial"/>
        </w:rPr>
        <w:t>2020</w:t>
      </w:r>
      <w:r w:rsidRPr="00A96759">
        <w:rPr>
          <w:rFonts w:ascii="Bookman Old Style" w:hAnsi="Bookman Old Style" w:cs="Arial"/>
        </w:rPr>
        <w:t>.</w:t>
      </w:r>
    </w:p>
    <w:p w14:paraId="32B621F8" w14:textId="1041F493" w:rsidR="00280335" w:rsidRDefault="00280335" w:rsidP="00182AB0">
      <w:pPr>
        <w:ind w:left="0"/>
        <w:jc w:val="both"/>
        <w:rPr>
          <w:rFonts w:ascii="Bookman Old Style" w:hAnsi="Bookman Old Style" w:cs="Arial"/>
        </w:rPr>
      </w:pPr>
    </w:p>
    <w:p w14:paraId="6C16BE03" w14:textId="15D93240" w:rsidR="00280335" w:rsidRDefault="00817EB7" w:rsidP="00182AB0">
      <w:pPr>
        <w:ind w:left="0"/>
        <w:jc w:val="both"/>
        <w:rPr>
          <w:rFonts w:ascii="Bookman Old Style" w:hAnsi="Bookman Old Style" w:cs="Arial"/>
        </w:rPr>
      </w:pPr>
      <w:r>
        <w:rPr>
          <w:rFonts w:ascii="Bookman Old Style" w:hAnsi="Bookman Old Style" w:cs="Arial"/>
        </w:rPr>
        <w:t>A</w:t>
      </w:r>
      <w:r w:rsidR="00280335" w:rsidRPr="00280335">
        <w:rPr>
          <w:rFonts w:ascii="Bookman Old Style" w:hAnsi="Bookman Old Style" w:cs="Arial"/>
        </w:rPr>
        <w:t xml:space="preserve"> través de </w:t>
      </w:r>
      <w:r w:rsidR="00280335">
        <w:rPr>
          <w:rFonts w:ascii="Bookman Old Style" w:hAnsi="Bookman Old Style" w:cs="Arial"/>
        </w:rPr>
        <w:t>la</w:t>
      </w:r>
      <w:r w:rsidR="00280335" w:rsidRPr="00280335">
        <w:rPr>
          <w:rFonts w:ascii="Bookman Old Style" w:hAnsi="Bookman Old Style" w:cs="Arial"/>
        </w:rPr>
        <w:t xml:space="preserve"> </w:t>
      </w:r>
      <w:bookmarkStart w:id="0" w:name="_Hlk51787020"/>
      <w:r w:rsidR="00280335" w:rsidRPr="00280335">
        <w:rPr>
          <w:rFonts w:ascii="Bookman Old Style" w:hAnsi="Bookman Old Style" w:cs="Arial"/>
        </w:rPr>
        <w:t xml:space="preserve">Resolución </w:t>
      </w:r>
      <w:r w:rsidR="00280335">
        <w:rPr>
          <w:rFonts w:ascii="Bookman Old Style" w:hAnsi="Bookman Old Style" w:cs="Arial"/>
        </w:rPr>
        <w:t xml:space="preserve">SSPD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20201000028355 del 10 de julio de 2020</w:t>
      </w:r>
      <w:r w:rsidR="003031ED">
        <w:rPr>
          <w:rFonts w:ascii="Bookman Old Style" w:hAnsi="Bookman Old Style" w:cs="Arial"/>
        </w:rPr>
        <w:t>,</w:t>
      </w:r>
      <w:r w:rsidR="00280335" w:rsidRPr="00280335">
        <w:rPr>
          <w:rFonts w:ascii="Bookman Old Style" w:hAnsi="Bookman Old Style" w:cs="Arial"/>
        </w:rPr>
        <w:t xml:space="preserve"> publicada en el </w:t>
      </w:r>
      <w:r w:rsidR="00280335" w:rsidRPr="00AC5ED2">
        <w:rPr>
          <w:rFonts w:ascii="Bookman Old Style" w:hAnsi="Bookman Old Style" w:cs="Arial"/>
          <w:i/>
          <w:iCs/>
        </w:rPr>
        <w:t>Diario Oficial</w:t>
      </w:r>
      <w:r w:rsidR="00280335" w:rsidRPr="00280335">
        <w:rPr>
          <w:rFonts w:ascii="Bookman Old Style" w:hAnsi="Bookman Old Style" w:cs="Arial"/>
        </w:rPr>
        <w:t xml:space="preserve">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51.371 del 10 de julio de 2020, </w:t>
      </w:r>
      <w:r w:rsidR="00280335" w:rsidRPr="00280335">
        <w:rPr>
          <w:rFonts w:ascii="Bookman Old Style" w:hAnsi="Bookman Old Style" w:cs="Arial"/>
          <w:i/>
          <w:iCs/>
        </w:rPr>
        <w:t>“Por la cual se determina el número de prestadores que servirá como base para liquidar la contribución especial para el año 2020 y la contribución adicional para el fortalecimiento del Fondo Empresarial”</w:t>
      </w:r>
      <w:bookmarkEnd w:id="0"/>
      <w:r w:rsidR="00280335" w:rsidRPr="00280335">
        <w:rPr>
          <w:rFonts w:ascii="Bookman Old Style" w:hAnsi="Bookman Old Style" w:cs="Arial"/>
        </w:rPr>
        <w:t xml:space="preserve">, la SSPD determinó el número de prestadores de servicios públicos domiciliarios del ámbito de la CREG, censo que </w:t>
      </w:r>
      <w:r w:rsidR="00280335" w:rsidRPr="00280335">
        <w:rPr>
          <w:rFonts w:ascii="Bookman Old Style" w:hAnsi="Bookman Old Style" w:cs="Arial"/>
        </w:rPr>
        <w:lastRenderedPageBreak/>
        <w:t>servirá de base para la CREG para realizar el cálculo de la tarifa de la Contribución Especial 2020.</w:t>
      </w:r>
    </w:p>
    <w:p w14:paraId="3EF8233B" w14:textId="77777777" w:rsidR="00280335" w:rsidRDefault="00280335" w:rsidP="00182AB0">
      <w:pPr>
        <w:ind w:left="0"/>
        <w:jc w:val="both"/>
        <w:rPr>
          <w:rFonts w:ascii="Bookman Old Style" w:hAnsi="Bookman Old Style" w:cs="Arial"/>
        </w:rPr>
      </w:pPr>
    </w:p>
    <w:p w14:paraId="79AFBBE3" w14:textId="72AC3504" w:rsidR="0072159E" w:rsidRDefault="00117D67" w:rsidP="00182AB0">
      <w:pPr>
        <w:ind w:left="0"/>
        <w:jc w:val="both"/>
        <w:rPr>
          <w:rFonts w:ascii="Bookman Old Style" w:hAnsi="Bookman Old Style" w:cs="Arial"/>
        </w:rPr>
      </w:pPr>
      <w:r>
        <w:rPr>
          <w:rFonts w:ascii="Bookman Old Style" w:hAnsi="Bookman Old Style" w:cs="Arial"/>
        </w:rPr>
        <w:t>De</w:t>
      </w:r>
      <w:r w:rsidR="00A724A6">
        <w:rPr>
          <w:rFonts w:ascii="Bookman Old Style" w:hAnsi="Bookman Old Style" w:cs="Arial"/>
        </w:rPr>
        <w:t xml:space="preserve"> conformidad con lo dispuesto en los artículos 53 y 79.4 de la Ley 142 de 1994</w:t>
      </w:r>
      <w:r w:rsidR="001B676C">
        <w:rPr>
          <w:rFonts w:ascii="Bookman Old Style" w:hAnsi="Bookman Old Style" w:cs="Arial"/>
        </w:rPr>
        <w:t>,</w:t>
      </w:r>
      <w:r w:rsidR="00A724A6">
        <w:rPr>
          <w:rFonts w:ascii="Bookman Old Style" w:hAnsi="Bookman Old Style" w:cs="Arial"/>
        </w:rPr>
        <w:t xml:space="preserve"> y </w:t>
      </w:r>
      <w:r w:rsidR="001B676C">
        <w:rPr>
          <w:rFonts w:ascii="Bookman Old Style" w:hAnsi="Bookman Old Style" w:cs="Arial"/>
        </w:rPr>
        <w:t xml:space="preserve">el </w:t>
      </w:r>
      <w:r w:rsidR="00A724A6">
        <w:rPr>
          <w:rFonts w:ascii="Bookman Old Style" w:hAnsi="Bookman Old Style" w:cs="Arial"/>
        </w:rPr>
        <w:t>artículo 14 de la Ley 689 de 2001</w:t>
      </w:r>
      <w:r w:rsidR="0072159E">
        <w:rPr>
          <w:rFonts w:ascii="Bookman Old Style" w:hAnsi="Bookman Old Style" w:cs="Arial"/>
        </w:rPr>
        <w:t>, corresponde a la SSPD establecer, administrar, mantener y operar el Sistema Único de Información</w:t>
      </w:r>
      <w:r w:rsidR="003031ED">
        <w:rPr>
          <w:rFonts w:ascii="Bookman Old Style" w:hAnsi="Bookman Old Style" w:cs="Arial"/>
        </w:rPr>
        <w:t xml:space="preserve">, </w:t>
      </w:r>
      <w:r w:rsidR="0072159E">
        <w:rPr>
          <w:rFonts w:ascii="Bookman Old Style" w:hAnsi="Bookman Old Style" w:cs="Arial"/>
        </w:rPr>
        <w:t>SUI, como s</w:t>
      </w:r>
      <w:r w:rsidR="0072159E" w:rsidRPr="0072159E">
        <w:rPr>
          <w:rFonts w:ascii="Bookman Old Style" w:hAnsi="Bookman Old Style" w:cs="Arial"/>
        </w:rPr>
        <w:t>istema oficial del sector de servicios públicos domiciliarios del país</w:t>
      </w:r>
      <w:r w:rsidR="003031ED">
        <w:rPr>
          <w:rFonts w:ascii="Bookman Old Style" w:hAnsi="Bookman Old Style" w:cs="Arial"/>
        </w:rPr>
        <w:t>,</w:t>
      </w:r>
      <w:r w:rsidR="0072159E" w:rsidRPr="0072159E">
        <w:rPr>
          <w:rFonts w:ascii="Bookman Old Style" w:hAnsi="Bookman Old Style" w:cs="Arial"/>
        </w:rPr>
        <w:t xml:space="preserve"> que recoge, almacena, procesa y publica información reportada por parte de las empresas </w:t>
      </w:r>
      <w:r w:rsidR="0072159E">
        <w:rPr>
          <w:rFonts w:ascii="Bookman Old Style" w:hAnsi="Bookman Old Style" w:cs="Arial"/>
        </w:rPr>
        <w:t xml:space="preserve">y entidades territoriales </w:t>
      </w:r>
      <w:r w:rsidR="0072159E" w:rsidRPr="0072159E">
        <w:rPr>
          <w:rFonts w:ascii="Bookman Old Style" w:hAnsi="Bookman Old Style" w:cs="Arial"/>
        </w:rPr>
        <w:t xml:space="preserve">prestadoras </w:t>
      </w:r>
      <w:r w:rsidR="0072159E">
        <w:rPr>
          <w:rFonts w:ascii="Bookman Old Style" w:hAnsi="Bookman Old Style" w:cs="Arial"/>
        </w:rPr>
        <w:t>de servicios públicos</w:t>
      </w:r>
      <w:r w:rsidR="0072159E" w:rsidRPr="0072159E">
        <w:rPr>
          <w:rFonts w:ascii="Bookman Old Style" w:hAnsi="Bookman Old Style" w:cs="Arial"/>
        </w:rPr>
        <w:t>.</w:t>
      </w:r>
    </w:p>
    <w:p w14:paraId="246C98AE" w14:textId="77777777" w:rsidR="00D57566" w:rsidRDefault="00D57566" w:rsidP="00182AB0">
      <w:pPr>
        <w:ind w:left="0"/>
        <w:jc w:val="both"/>
        <w:rPr>
          <w:rFonts w:ascii="Bookman Old Style" w:hAnsi="Bookman Old Style" w:cs="Arial"/>
        </w:rPr>
      </w:pPr>
    </w:p>
    <w:p w14:paraId="65C7EDD2" w14:textId="4DC34010" w:rsidR="00182AB0" w:rsidRDefault="00117D67" w:rsidP="00182AB0">
      <w:pPr>
        <w:ind w:left="0"/>
        <w:jc w:val="both"/>
        <w:rPr>
          <w:rFonts w:ascii="Bookman Old Style" w:hAnsi="Bookman Old Style" w:cs="Arial"/>
        </w:rPr>
      </w:pPr>
      <w:r>
        <w:rPr>
          <w:rFonts w:ascii="Bookman Old Style" w:hAnsi="Bookman Old Style" w:cs="Arial"/>
        </w:rPr>
        <w:t>E</w:t>
      </w:r>
      <w:r w:rsidR="0072159E">
        <w:rPr>
          <w:rFonts w:ascii="Bookman Old Style" w:hAnsi="Bookman Old Style" w:cs="Arial"/>
        </w:rPr>
        <w:t>l SUI</w:t>
      </w:r>
      <w:r w:rsidR="003031ED">
        <w:rPr>
          <w:rFonts w:ascii="Bookman Old Style" w:hAnsi="Bookman Old Style" w:cs="Arial"/>
        </w:rPr>
        <w:t>,</w:t>
      </w:r>
      <w:r w:rsidR="0072159E">
        <w:rPr>
          <w:rFonts w:ascii="Bookman Old Style" w:hAnsi="Bookman Old Style" w:cs="Arial"/>
        </w:rPr>
        <w:t xml:space="preserve"> como plataforma digital</w:t>
      </w:r>
      <w:r w:rsidR="003031ED">
        <w:rPr>
          <w:rFonts w:ascii="Bookman Old Style" w:hAnsi="Bookman Old Style" w:cs="Arial"/>
        </w:rPr>
        <w:t>,</w:t>
      </w:r>
      <w:r w:rsidR="0072159E">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41FB82F5" w14:textId="77777777" w:rsidR="00A724A6" w:rsidRDefault="00A724A6" w:rsidP="00182AB0">
      <w:pPr>
        <w:ind w:left="0"/>
        <w:jc w:val="both"/>
        <w:rPr>
          <w:rFonts w:ascii="Bookman Old Style" w:hAnsi="Bookman Old Style" w:cs="Arial"/>
        </w:rPr>
      </w:pPr>
    </w:p>
    <w:p w14:paraId="68DBB988" w14:textId="38FAA298" w:rsidR="0065221D" w:rsidRDefault="00117D67" w:rsidP="0065221D">
      <w:pPr>
        <w:ind w:left="0"/>
        <w:jc w:val="both"/>
        <w:rPr>
          <w:rFonts w:ascii="Bookman Old Style" w:hAnsi="Bookman Old Style" w:cs="Arial"/>
        </w:rPr>
      </w:pPr>
      <w:r>
        <w:rPr>
          <w:rFonts w:ascii="Bookman Old Style" w:hAnsi="Bookman Old Style" w:cs="Arial"/>
        </w:rPr>
        <w:t>E</w:t>
      </w:r>
      <w:r w:rsidR="0065221D">
        <w:rPr>
          <w:rFonts w:ascii="Bookman Old Style" w:hAnsi="Bookman Old Style" w:cs="Arial"/>
        </w:rPr>
        <w:t>l d</w:t>
      </w:r>
      <w:r w:rsidR="0065221D" w:rsidRPr="0065221D">
        <w:rPr>
          <w:rFonts w:ascii="Bookman Old Style" w:hAnsi="Bookman Old Style" w:cs="Arial"/>
        </w:rPr>
        <w:t xml:space="preserve">ocumento CONPES </w:t>
      </w:r>
      <w:proofErr w:type="spellStart"/>
      <w:r w:rsidR="0065221D">
        <w:rPr>
          <w:rFonts w:ascii="Bookman Old Style" w:hAnsi="Bookman Old Style" w:cs="Arial"/>
        </w:rPr>
        <w:t>N°</w:t>
      </w:r>
      <w:proofErr w:type="spellEnd"/>
      <w:r w:rsidR="0065221D">
        <w:rPr>
          <w:rFonts w:ascii="Bookman Old Style" w:hAnsi="Bookman Old Style" w:cs="Arial"/>
        </w:rPr>
        <w:t xml:space="preserve"> </w:t>
      </w:r>
      <w:r w:rsidR="0065221D" w:rsidRPr="0065221D">
        <w:rPr>
          <w:rFonts w:ascii="Bookman Old Style" w:hAnsi="Bookman Old Style" w:cs="Arial"/>
        </w:rPr>
        <w:t xml:space="preserve">3168 de 2002 </w:t>
      </w:r>
      <w:r w:rsidR="0065221D">
        <w:rPr>
          <w:rFonts w:ascii="Bookman Old Style" w:hAnsi="Bookman Old Style" w:cs="Arial"/>
        </w:rPr>
        <w:t>estableció</w:t>
      </w:r>
      <w:r w:rsidR="0065221D" w:rsidRPr="0065221D">
        <w:rPr>
          <w:rFonts w:ascii="Bookman Old Style" w:hAnsi="Bookman Old Style" w:cs="Arial"/>
        </w:rPr>
        <w:t xml:space="preserve"> las estrategias para el diseño y adopción del SUI</w:t>
      </w:r>
      <w:r w:rsidR="00E5064C">
        <w:rPr>
          <w:rFonts w:ascii="Bookman Old Style" w:hAnsi="Bookman Old Style" w:cs="Arial"/>
        </w:rPr>
        <w:t xml:space="preserve">, el cual </w:t>
      </w:r>
      <w:r w:rsidR="0065221D">
        <w:rPr>
          <w:rFonts w:ascii="Bookman Old Style" w:hAnsi="Bookman Old Style" w:cs="Arial"/>
        </w:rPr>
        <w:t>b</w:t>
      </w:r>
      <w:r w:rsidR="0065221D" w:rsidRPr="0065221D">
        <w:rPr>
          <w:rFonts w:ascii="Bookman Old Style" w:hAnsi="Bookman Old Style" w:cs="Arial"/>
        </w:rPr>
        <w:t>usca estandarizar requerimientos de información y aportar datos que permita a las entidades del Gobierno evaluar la prest</w:t>
      </w:r>
      <w:r w:rsidR="0065221D">
        <w:rPr>
          <w:rFonts w:ascii="Bookman Old Style" w:hAnsi="Bookman Old Style" w:cs="Arial"/>
        </w:rPr>
        <w:t xml:space="preserve">ación de los servicios públicos, siendo </w:t>
      </w:r>
      <w:r w:rsidR="0065221D" w:rsidRPr="0065221D">
        <w:rPr>
          <w:rFonts w:ascii="Bookman Old Style" w:hAnsi="Bookman Old Style" w:cs="Arial"/>
        </w:rPr>
        <w:t xml:space="preserve">un sistema </w:t>
      </w:r>
      <w:proofErr w:type="spellStart"/>
      <w:r w:rsidR="0065221D" w:rsidRPr="0065221D">
        <w:rPr>
          <w:rFonts w:ascii="Bookman Old Style" w:hAnsi="Bookman Old Style" w:cs="Arial"/>
        </w:rPr>
        <w:t>suprainstitucional</w:t>
      </w:r>
      <w:proofErr w:type="spellEnd"/>
      <w:r w:rsidR="0065221D" w:rsidRPr="0065221D">
        <w:rPr>
          <w:rFonts w:ascii="Bookman Old Style" w:hAnsi="Bookman Old Style" w:cs="Arial"/>
        </w:rPr>
        <w:t xml:space="preserve"> que busca eliminar asimetrías de informació</w:t>
      </w:r>
      <w:r w:rsidR="0065221D">
        <w:rPr>
          <w:rFonts w:ascii="Bookman Old Style" w:hAnsi="Bookman Old Style" w:cs="Arial"/>
        </w:rPr>
        <w:t xml:space="preserve">n, y la duplicidad de esfuerzos, </w:t>
      </w:r>
      <w:r w:rsidR="0065221D" w:rsidRPr="0065221D">
        <w:rPr>
          <w:rFonts w:ascii="Bookman Old Style" w:hAnsi="Bookman Old Style" w:cs="Arial"/>
        </w:rPr>
        <w:t>garantiza</w:t>
      </w:r>
      <w:r w:rsidR="0065221D">
        <w:rPr>
          <w:rFonts w:ascii="Bookman Old Style" w:hAnsi="Bookman Old Style" w:cs="Arial"/>
        </w:rPr>
        <w:t>ndo</w:t>
      </w:r>
      <w:r w:rsidR="0065221D" w:rsidRPr="0065221D">
        <w:rPr>
          <w:rFonts w:ascii="Bookman Old Style" w:hAnsi="Bookman Old Style" w:cs="Arial"/>
        </w:rPr>
        <w:t xml:space="preserve"> la consecución de datos completos, confiables y oportunos, permitiendo el cumplimiento de las funciones misionales, en beneficio de la comunidad.</w:t>
      </w:r>
    </w:p>
    <w:p w14:paraId="50699004" w14:textId="77777777" w:rsidR="00460949" w:rsidRDefault="00460949" w:rsidP="0065221D">
      <w:pPr>
        <w:ind w:left="0"/>
        <w:jc w:val="both"/>
        <w:rPr>
          <w:rFonts w:ascii="Bookman Old Style" w:hAnsi="Bookman Old Style" w:cs="Arial"/>
        </w:rPr>
      </w:pPr>
    </w:p>
    <w:p w14:paraId="7CC6BBB9" w14:textId="449814EA" w:rsidR="00460949" w:rsidRDefault="00117D67" w:rsidP="00460949">
      <w:pPr>
        <w:ind w:left="0"/>
        <w:jc w:val="both"/>
        <w:rPr>
          <w:rFonts w:ascii="Bookman Old Style" w:hAnsi="Bookman Old Style" w:cs="Arial"/>
        </w:rPr>
      </w:pPr>
      <w:r>
        <w:rPr>
          <w:rFonts w:ascii="Bookman Old Style" w:hAnsi="Bookman Old Style" w:cs="Arial"/>
        </w:rPr>
        <w:t>E</w:t>
      </w:r>
      <w:r w:rsidR="00460949">
        <w:rPr>
          <w:rFonts w:ascii="Bookman Old Style" w:hAnsi="Bookman Old Style" w:cs="Arial"/>
        </w:rPr>
        <w:t xml:space="preserve">n la </w:t>
      </w:r>
      <w:r w:rsidR="00460949" w:rsidRPr="00460949">
        <w:rPr>
          <w:rFonts w:ascii="Bookman Old Style" w:hAnsi="Bookman Old Style" w:cs="Arial"/>
        </w:rPr>
        <w:t xml:space="preserve">Resolución </w:t>
      </w:r>
      <w:r w:rsidR="00460949">
        <w:rPr>
          <w:rFonts w:ascii="Bookman Old Style" w:hAnsi="Bookman Old Style" w:cs="Arial"/>
        </w:rPr>
        <w:t xml:space="preserve">SSPD </w:t>
      </w:r>
      <w:proofErr w:type="spellStart"/>
      <w:r w:rsidR="00460949">
        <w:rPr>
          <w:rFonts w:ascii="Bookman Old Style" w:hAnsi="Bookman Old Style" w:cs="Arial"/>
        </w:rPr>
        <w:t>N°</w:t>
      </w:r>
      <w:proofErr w:type="spellEnd"/>
      <w:r w:rsidR="00460949" w:rsidRPr="00460949">
        <w:rPr>
          <w:rFonts w:ascii="Bookman Old Style" w:hAnsi="Bookman Old Style" w:cs="Arial"/>
        </w:rPr>
        <w:t xml:space="preserve"> 013092 de Octubre 30 de 2002</w:t>
      </w:r>
      <w:r w:rsidR="00460949">
        <w:rPr>
          <w:rFonts w:ascii="Bookman Old Style" w:hAnsi="Bookman Old Style" w:cs="Arial"/>
        </w:rPr>
        <w:t>, se estableció</w:t>
      </w:r>
      <w:r w:rsidR="00460949" w:rsidRPr="00460949">
        <w:rPr>
          <w:rFonts w:ascii="Bookman Old Style" w:hAnsi="Bookman Old Style" w:cs="Arial"/>
        </w:rPr>
        <w:t xml:space="preserve"> el Formato Único de Información para las Empresas de Servicios Públicos</w:t>
      </w:r>
      <w:r w:rsidR="00B4539E">
        <w:rPr>
          <w:rFonts w:ascii="Bookman Old Style" w:hAnsi="Bookman Old Style" w:cs="Arial"/>
        </w:rPr>
        <w:t>,</w:t>
      </w:r>
      <w:r w:rsidR="00460949" w:rsidRPr="00460949">
        <w:rPr>
          <w:rFonts w:ascii="Bookman Old Style" w:hAnsi="Bookman Old Style" w:cs="Arial"/>
        </w:rPr>
        <w:t xml:space="preserve"> previo concepto del Ministerio de Ambiente y Desarrollo Sostenible, Ministerio de Vivienda, Ciudad y Territorio de Colombia, Ministerio de Minas y Energía, Ministerios de Tecnologías de la Información y las Comunicaciones</w:t>
      </w:r>
      <w:r w:rsidR="00B4539E">
        <w:rPr>
          <w:rFonts w:ascii="Bookman Old Style" w:hAnsi="Bookman Old Style" w:cs="Arial"/>
        </w:rPr>
        <w:t>,</w:t>
      </w:r>
      <w:r w:rsidR="00460949" w:rsidRPr="00460949">
        <w:rPr>
          <w:rFonts w:ascii="Bookman Old Style" w:hAnsi="Bookman Old Style" w:cs="Arial"/>
        </w:rPr>
        <w:t xml:space="preserve"> y de las Comisiones de Regulación de Agua Potable y Saneamiento Básico (CRA), Comisión de Regulación de Energía y Gas (CREG), Comisión de Regulación de Comunicaciones (CRC) y Departamento Nacional de Planeación (DNP).</w:t>
      </w:r>
    </w:p>
    <w:p w14:paraId="6F1C92FA" w14:textId="77777777" w:rsidR="004A5273" w:rsidRDefault="004A5273" w:rsidP="00460949">
      <w:pPr>
        <w:ind w:left="0"/>
        <w:jc w:val="both"/>
        <w:rPr>
          <w:rFonts w:ascii="Bookman Old Style" w:hAnsi="Bookman Old Style" w:cs="Arial"/>
        </w:rPr>
      </w:pPr>
    </w:p>
    <w:p w14:paraId="363F7AE1" w14:textId="5C262BF7" w:rsidR="00197EB7" w:rsidRDefault="00117D67" w:rsidP="00197EB7">
      <w:pPr>
        <w:ind w:left="0"/>
        <w:jc w:val="both"/>
        <w:rPr>
          <w:rFonts w:ascii="Bookman Old Style" w:hAnsi="Bookman Old Style" w:cs="Arial"/>
          <w:lang w:val="es-CO"/>
        </w:rPr>
      </w:pPr>
      <w:r>
        <w:rPr>
          <w:rFonts w:ascii="Bookman Old Style" w:hAnsi="Bookman Old Style" w:cs="Arial"/>
          <w:lang w:val="es-CO"/>
        </w:rPr>
        <w:t>E</w:t>
      </w:r>
      <w:r w:rsidR="00197EB7">
        <w:rPr>
          <w:rFonts w:ascii="Bookman Old Style" w:hAnsi="Bookman Old Style" w:cs="Arial"/>
          <w:lang w:val="es-CO"/>
        </w:rPr>
        <w:t xml:space="preserve">n la </w:t>
      </w:r>
      <w:r w:rsidR="00197EB7" w:rsidRPr="00842BD2">
        <w:rPr>
          <w:rFonts w:ascii="Bookman Old Style" w:hAnsi="Bookman Old Style" w:cs="Arial"/>
          <w:lang w:val="es-CO"/>
        </w:rPr>
        <w:t xml:space="preserve">Circular </w:t>
      </w:r>
      <w:r w:rsidR="00197EB7">
        <w:rPr>
          <w:rFonts w:ascii="Bookman Old Style" w:hAnsi="Bookman Old Style" w:cs="Arial"/>
          <w:lang w:val="es-CO"/>
        </w:rPr>
        <w:t>e</w:t>
      </w:r>
      <w:r w:rsidR="00197EB7" w:rsidRPr="00842BD2">
        <w:rPr>
          <w:rFonts w:ascii="Bookman Old Style" w:hAnsi="Bookman Old Style" w:cs="Arial"/>
          <w:lang w:val="es-CO"/>
        </w:rPr>
        <w:t xml:space="preserve">xterna </w:t>
      </w:r>
      <w:r w:rsidR="00197EB7">
        <w:rPr>
          <w:rFonts w:ascii="Bookman Old Style" w:hAnsi="Bookman Old Style" w:cs="Arial"/>
          <w:lang w:val="es-CO"/>
        </w:rPr>
        <w:t xml:space="preserve">SSPD-CREG </w:t>
      </w:r>
      <w:proofErr w:type="spellStart"/>
      <w:r w:rsidR="00197EB7">
        <w:rPr>
          <w:rFonts w:ascii="Bookman Old Style" w:hAnsi="Bookman Old Style" w:cs="Arial"/>
          <w:lang w:val="es-CO"/>
        </w:rPr>
        <w:t>N°</w:t>
      </w:r>
      <w:proofErr w:type="spellEnd"/>
      <w:r w:rsidR="00197EB7">
        <w:rPr>
          <w:rFonts w:ascii="Bookman Old Style" w:hAnsi="Bookman Old Style" w:cs="Arial"/>
          <w:lang w:val="es-CO"/>
        </w:rPr>
        <w:t xml:space="preserve"> </w:t>
      </w:r>
      <w:r w:rsidR="00197EB7" w:rsidRPr="00842BD2">
        <w:rPr>
          <w:rFonts w:ascii="Bookman Old Style" w:hAnsi="Bookman Old Style" w:cs="Arial"/>
          <w:lang w:val="es-CO"/>
        </w:rPr>
        <w:t xml:space="preserve">000009 </w:t>
      </w:r>
      <w:r w:rsidR="00197EB7">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3F718363" w14:textId="00CA52F2" w:rsidR="000B2934" w:rsidRDefault="000B2934" w:rsidP="00197EB7">
      <w:pPr>
        <w:ind w:left="0"/>
        <w:jc w:val="both"/>
        <w:rPr>
          <w:rFonts w:ascii="Bookman Old Style" w:hAnsi="Bookman Old Style" w:cs="Arial"/>
          <w:lang w:val="es-CO"/>
        </w:rPr>
      </w:pPr>
    </w:p>
    <w:p w14:paraId="313A006B" w14:textId="77847888" w:rsidR="000B2934" w:rsidRPr="000B2934" w:rsidRDefault="00B4539E" w:rsidP="000B2934">
      <w:pPr>
        <w:ind w:left="0"/>
        <w:jc w:val="both"/>
        <w:rPr>
          <w:rFonts w:ascii="Bookman Old Style" w:hAnsi="Bookman Old Style" w:cs="Arial"/>
          <w:lang w:val="es-CO"/>
        </w:rPr>
      </w:pPr>
      <w:r>
        <w:rPr>
          <w:rFonts w:ascii="Bookman Old Style" w:hAnsi="Bookman Old Style" w:cs="Arial"/>
          <w:lang w:val="es-CO"/>
        </w:rPr>
        <w:t xml:space="preserve">Es así como la </w:t>
      </w:r>
      <w:r w:rsidR="000B2934" w:rsidRPr="000B2934">
        <w:rPr>
          <w:rFonts w:ascii="Bookman Old Style" w:hAnsi="Bookman Old Style" w:cs="Arial"/>
          <w:lang w:val="es-CO"/>
        </w:rPr>
        <w:t xml:space="preserve">Resolución SSPD </w:t>
      </w:r>
      <w:proofErr w:type="spellStart"/>
      <w:r w:rsidR="000B2934" w:rsidRPr="000B2934">
        <w:rPr>
          <w:rFonts w:ascii="Bookman Old Style" w:hAnsi="Bookman Old Style" w:cs="Arial"/>
          <w:lang w:val="es-CO"/>
        </w:rPr>
        <w:t>N°</w:t>
      </w:r>
      <w:proofErr w:type="spellEnd"/>
      <w:r w:rsidR="000B2934" w:rsidRPr="000B2934">
        <w:rPr>
          <w:rFonts w:ascii="Bookman Old Style" w:hAnsi="Bookman Old Style" w:cs="Arial"/>
          <w:lang w:val="es-CO"/>
        </w:rPr>
        <w:t xml:space="preserve"> 000321 de 2003, en la que se determinó que la información reportada al SUI por parte de los prestadores de estos servicios, se considera oficial para todos los fines previstos en la ley. </w:t>
      </w:r>
    </w:p>
    <w:p w14:paraId="192EC56A" w14:textId="77777777" w:rsidR="000B2934" w:rsidRPr="000B2934" w:rsidRDefault="000B2934" w:rsidP="000B2934">
      <w:pPr>
        <w:ind w:left="0"/>
        <w:jc w:val="both"/>
        <w:rPr>
          <w:rFonts w:ascii="Bookman Old Style" w:hAnsi="Bookman Old Style" w:cs="Arial"/>
          <w:lang w:val="es-CO"/>
        </w:rPr>
      </w:pPr>
    </w:p>
    <w:p w14:paraId="6CDCC98E" w14:textId="30110035" w:rsidR="000B2934" w:rsidRPr="00842BD2" w:rsidRDefault="000B2934" w:rsidP="000B2934">
      <w:pPr>
        <w:ind w:left="0"/>
        <w:jc w:val="both"/>
        <w:rPr>
          <w:rFonts w:ascii="Bookman Old Style" w:hAnsi="Bookman Old Style" w:cs="Arial"/>
          <w:lang w:val="es-CO"/>
        </w:rPr>
      </w:pPr>
      <w:r w:rsidRPr="000B2934">
        <w:rPr>
          <w:rFonts w:ascii="Bookman Old Style" w:hAnsi="Bookman Old Style" w:cs="Arial"/>
          <w:lang w:val="es-CO"/>
        </w:rPr>
        <w:t xml:space="preserve">La información que certifiquen los prestadores de servicios públicos a través del SUI, debe cumplir con los requisitos de calidad y oportunidad, señalados por la Superservicios en la Circular Externa SSPD </w:t>
      </w:r>
      <w:proofErr w:type="spellStart"/>
      <w:r w:rsidRPr="000B2934">
        <w:rPr>
          <w:rFonts w:ascii="Bookman Old Style" w:hAnsi="Bookman Old Style" w:cs="Arial"/>
          <w:lang w:val="es-CO"/>
        </w:rPr>
        <w:t>N°</w:t>
      </w:r>
      <w:proofErr w:type="spellEnd"/>
      <w:r w:rsidRPr="000B2934">
        <w:rPr>
          <w:rFonts w:ascii="Bookman Old Style" w:hAnsi="Bookman Old Style" w:cs="Arial"/>
          <w:lang w:val="es-CO"/>
        </w:rPr>
        <w:t xml:space="preserve"> 00001 del 25 de enero de 2006, “Vigilancia y control de la consistencia y calidad de Información reportada al Sistema Único de Información – SUI”</w:t>
      </w:r>
      <w:r w:rsidR="00B4539E">
        <w:rPr>
          <w:rFonts w:ascii="Bookman Old Style" w:hAnsi="Bookman Old Style" w:cs="Arial"/>
          <w:lang w:val="es-CO"/>
        </w:rPr>
        <w:t>.</w:t>
      </w:r>
    </w:p>
    <w:p w14:paraId="3C59DF88" w14:textId="77777777" w:rsidR="00197EB7" w:rsidRDefault="00197EB7" w:rsidP="00460949">
      <w:pPr>
        <w:ind w:left="0"/>
        <w:jc w:val="both"/>
        <w:rPr>
          <w:rFonts w:ascii="Bookman Old Style" w:hAnsi="Bookman Old Style" w:cs="Arial"/>
        </w:rPr>
      </w:pPr>
    </w:p>
    <w:p w14:paraId="0E9D628B" w14:textId="4E7B9308" w:rsidR="00182AB0" w:rsidRDefault="00A10383" w:rsidP="00182AB0">
      <w:pPr>
        <w:ind w:left="0"/>
        <w:jc w:val="both"/>
        <w:rPr>
          <w:rFonts w:ascii="Bookman Old Style" w:hAnsi="Bookman Old Style" w:cs="Arial"/>
        </w:rPr>
      </w:pPr>
      <w:r>
        <w:rPr>
          <w:rFonts w:ascii="Bookman Old Style" w:hAnsi="Bookman Old Style" w:cs="Arial"/>
        </w:rPr>
        <w:lastRenderedPageBreak/>
        <w:t>A</w:t>
      </w:r>
      <w:r w:rsidR="004A5273">
        <w:rPr>
          <w:rFonts w:ascii="Bookman Old Style" w:hAnsi="Bookman Old Style" w:cs="Arial"/>
        </w:rPr>
        <w:t xml:space="preserve">l estar </w:t>
      </w:r>
      <w:r w:rsidR="0065221D">
        <w:rPr>
          <w:rFonts w:ascii="Bookman Old Style" w:hAnsi="Bookman Old Style" w:cs="Arial"/>
        </w:rPr>
        <w:t>l</w:t>
      </w:r>
      <w:r w:rsidR="00182AB0" w:rsidRPr="00A96759">
        <w:rPr>
          <w:rFonts w:ascii="Bookman Old Style" w:hAnsi="Bookman Old Style" w:cs="Arial"/>
        </w:rPr>
        <w:t>os prestadores de servicios públicos domiciliarios obligados a reportar la información financiera a travé</w:t>
      </w:r>
      <w:r w:rsidR="00CB0396">
        <w:rPr>
          <w:rFonts w:ascii="Bookman Old Style" w:hAnsi="Bookman Old Style" w:cs="Arial"/>
        </w:rPr>
        <w:t xml:space="preserve">s </w:t>
      </w:r>
      <w:r w:rsidR="007F6B42">
        <w:rPr>
          <w:rFonts w:ascii="Bookman Old Style" w:hAnsi="Bookman Old Style" w:cs="Arial"/>
        </w:rPr>
        <w:t xml:space="preserve">del </w:t>
      </w:r>
      <w:r w:rsidR="00182AB0" w:rsidRPr="00A96759">
        <w:rPr>
          <w:rFonts w:ascii="Bookman Old Style" w:hAnsi="Bookman Old Style" w:cs="Arial"/>
        </w:rPr>
        <w:t>SUI</w:t>
      </w:r>
      <w:r w:rsidR="00182AB0">
        <w:rPr>
          <w:rFonts w:ascii="Bookman Old Style" w:hAnsi="Bookman Old Style" w:cs="Arial"/>
        </w:rPr>
        <w:t xml:space="preserve"> o de los medios que para tal fin disponga la </w:t>
      </w:r>
      <w:r w:rsidR="0065221D">
        <w:rPr>
          <w:rFonts w:ascii="Bookman Old Style" w:hAnsi="Bookman Old Style" w:cs="Arial"/>
        </w:rPr>
        <w:t>SSPD</w:t>
      </w:r>
      <w:r w:rsidR="004A5273">
        <w:rPr>
          <w:rFonts w:ascii="Bookman Old Style" w:hAnsi="Bookman Old Style" w:cs="Arial"/>
        </w:rPr>
        <w:t xml:space="preserve">, </w:t>
      </w:r>
      <w:r w:rsidR="00B4539E">
        <w:rPr>
          <w:rFonts w:ascii="Bookman Old Style" w:hAnsi="Bookman Old Style" w:cs="Arial"/>
        </w:rPr>
        <w:t>e</w:t>
      </w:r>
      <w:r w:rsidR="004A5273">
        <w:rPr>
          <w:rFonts w:ascii="Bookman Old Style" w:hAnsi="Bookman Old Style" w:cs="Arial"/>
        </w:rPr>
        <w:t xml:space="preserve">sta plataforma digital es fuente de información financiera de carácter </w:t>
      </w:r>
      <w:r w:rsidR="00A1154C">
        <w:rPr>
          <w:rFonts w:ascii="Bookman Old Style" w:hAnsi="Bookman Old Style" w:cs="Arial"/>
        </w:rPr>
        <w:t>oficial para establecer la contribución especial de la CREG.</w:t>
      </w:r>
    </w:p>
    <w:p w14:paraId="46DA389A" w14:textId="77777777" w:rsidR="009D17F2" w:rsidRDefault="009D17F2" w:rsidP="00182AB0">
      <w:pPr>
        <w:ind w:left="0"/>
        <w:jc w:val="both"/>
        <w:rPr>
          <w:rFonts w:ascii="Bookman Old Style" w:hAnsi="Bookman Old Style" w:cs="Arial"/>
        </w:rPr>
      </w:pPr>
    </w:p>
    <w:p w14:paraId="3CBA4F13" w14:textId="5A153623" w:rsidR="00AB5B2E" w:rsidRDefault="00117D67" w:rsidP="009D17F2">
      <w:pPr>
        <w:ind w:left="0"/>
        <w:jc w:val="both"/>
        <w:rPr>
          <w:rFonts w:ascii="Bookman Old Style" w:hAnsi="Bookman Old Style" w:cs="Arial"/>
        </w:rPr>
      </w:pPr>
      <w:r>
        <w:rPr>
          <w:rFonts w:ascii="Bookman Old Style" w:hAnsi="Bookman Old Style" w:cs="Arial"/>
        </w:rPr>
        <w:t>C</w:t>
      </w:r>
      <w:r w:rsidR="009D17F2" w:rsidRPr="00E42BC0">
        <w:rPr>
          <w:rFonts w:ascii="Bookman Old Style" w:hAnsi="Bookman Old Style" w:cs="Arial"/>
        </w:rPr>
        <w:t xml:space="preserve">on ocasión de </w:t>
      </w:r>
      <w:r w:rsidR="009D17F2">
        <w:rPr>
          <w:rFonts w:ascii="Bookman Old Style" w:hAnsi="Bookman Old Style" w:cs="Arial"/>
        </w:rPr>
        <w:t>la adopción por parte de Colombia de</w:t>
      </w:r>
      <w:r w:rsidR="009D17F2" w:rsidRPr="00E42BC0">
        <w:rPr>
          <w:rFonts w:ascii="Bookman Old Style" w:hAnsi="Bookman Old Style" w:cs="Arial"/>
        </w:rPr>
        <w:t xml:space="preserve"> </w:t>
      </w:r>
      <w:r w:rsidR="009D17F2">
        <w:rPr>
          <w:rFonts w:ascii="Bookman Old Style" w:hAnsi="Bookman Old Style" w:cs="Arial"/>
        </w:rPr>
        <w:t xml:space="preserve">las </w:t>
      </w:r>
      <w:r w:rsidR="009D17F2" w:rsidRPr="00E42BC0">
        <w:rPr>
          <w:rFonts w:ascii="Bookman Old Style" w:hAnsi="Bookman Old Style" w:cs="Arial"/>
        </w:rPr>
        <w:t xml:space="preserve">Normas </w:t>
      </w:r>
      <w:r w:rsidR="009D17F2">
        <w:rPr>
          <w:rFonts w:ascii="Bookman Old Style" w:hAnsi="Bookman Old Style" w:cs="Arial"/>
        </w:rPr>
        <w:t xml:space="preserve">Internacionales </w:t>
      </w:r>
      <w:r w:rsidR="009D17F2" w:rsidRPr="00E42BC0">
        <w:rPr>
          <w:rFonts w:ascii="Bookman Old Style" w:hAnsi="Bookman Old Style" w:cs="Arial"/>
        </w:rPr>
        <w:t xml:space="preserve">de Información Financiera </w:t>
      </w:r>
      <w:r w:rsidR="009D17F2">
        <w:rPr>
          <w:rFonts w:ascii="Bookman Old Style" w:hAnsi="Bookman Old Style" w:cs="Arial"/>
        </w:rPr>
        <w:t>(NIIF) para el sector privado</w:t>
      </w:r>
      <w:r w:rsidR="00B4539E">
        <w:rPr>
          <w:rFonts w:ascii="Bookman Old Style" w:hAnsi="Bookman Old Style" w:cs="Arial"/>
        </w:rPr>
        <w:t>,</w:t>
      </w:r>
      <w:r w:rsidR="009D17F2">
        <w:rPr>
          <w:rFonts w:ascii="Bookman Old Style" w:hAnsi="Bookman Old Style" w:cs="Arial"/>
        </w:rPr>
        <w:t xml:space="preserve"> y las Normas Internacionales de Contabilidad para el sector público (NICSP)</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éstas fueron incorporadas</w:t>
      </w:r>
      <w:r w:rsidR="009D17F2" w:rsidRPr="00E42BC0">
        <w:rPr>
          <w:rFonts w:ascii="Bookman Old Style" w:hAnsi="Bookman Old Style" w:cs="Arial"/>
        </w:rPr>
        <w:t xml:space="preserve"> en </w:t>
      </w:r>
      <w:r w:rsidR="009D17F2">
        <w:rPr>
          <w:rFonts w:ascii="Bookman Old Style" w:hAnsi="Bookman Old Style" w:cs="Arial"/>
        </w:rPr>
        <w:t xml:space="preserve">la legislación colombiana y </w:t>
      </w:r>
      <w:r w:rsidR="009D17F2" w:rsidRPr="00E42BC0">
        <w:rPr>
          <w:rFonts w:ascii="Bookman Old Style" w:hAnsi="Bookman Old Style" w:cs="Arial"/>
        </w:rPr>
        <w:t>constituyen</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por tanto</w:t>
      </w:r>
      <w:r w:rsidR="00B4539E">
        <w:rPr>
          <w:rFonts w:ascii="Bookman Old Style" w:hAnsi="Bookman Old Style" w:cs="Arial"/>
        </w:rPr>
        <w:t>,</w:t>
      </w:r>
      <w:r w:rsidR="009D17F2">
        <w:rPr>
          <w:rFonts w:ascii="Bookman Old Style" w:hAnsi="Bookman Old Style" w:cs="Arial"/>
        </w:rPr>
        <w:t xml:space="preserve"> el marco normativo contable vigente</w:t>
      </w:r>
      <w:r w:rsidR="009D17F2" w:rsidRPr="00E42BC0">
        <w:rPr>
          <w:rFonts w:ascii="Bookman Old Style" w:hAnsi="Bookman Old Style" w:cs="Arial"/>
        </w:rPr>
        <w:t>.</w:t>
      </w:r>
    </w:p>
    <w:p w14:paraId="6EFBF79F" w14:textId="77777777" w:rsidR="006F3A9D" w:rsidRDefault="006F3A9D" w:rsidP="009D17F2">
      <w:pPr>
        <w:ind w:left="0"/>
        <w:jc w:val="both"/>
        <w:rPr>
          <w:rFonts w:ascii="Bookman Old Style" w:hAnsi="Bookman Old Style" w:cs="Arial"/>
        </w:rPr>
      </w:pPr>
    </w:p>
    <w:p w14:paraId="527871A7" w14:textId="4D7C9AC0" w:rsidR="009D17F2" w:rsidRDefault="00117D67" w:rsidP="009D17F2">
      <w:pPr>
        <w:ind w:left="0"/>
        <w:jc w:val="both"/>
        <w:rPr>
          <w:rFonts w:ascii="Bookman Old Style" w:hAnsi="Bookman Old Style" w:cs="Arial"/>
        </w:rPr>
      </w:pPr>
      <w:r>
        <w:rPr>
          <w:rFonts w:ascii="Bookman Old Style" w:hAnsi="Bookman Old Style" w:cs="Arial"/>
        </w:rPr>
        <w:t>E</w:t>
      </w:r>
      <w:r w:rsidR="009D17F2" w:rsidRPr="00B43967">
        <w:rPr>
          <w:rFonts w:ascii="Bookman Old Style" w:hAnsi="Bookman Old Style" w:cs="Arial"/>
        </w:rPr>
        <w:t>l Congreso de la República expidió la Ley 1314 de 2009</w:t>
      </w:r>
      <w:r w:rsidR="009D17F2">
        <w:rPr>
          <w:rStyle w:val="Refdenotaalpie"/>
          <w:rFonts w:ascii="Bookman Old Style" w:hAnsi="Bookman Old Style" w:cs="Arial"/>
        </w:rPr>
        <w:footnoteReference w:id="1"/>
      </w:r>
      <w:r w:rsidR="009D17F2" w:rsidRPr="00B43967">
        <w:rPr>
          <w:rFonts w:ascii="Bookman Old Style" w:hAnsi="Bookman Old Style" w:cs="Arial"/>
        </w:rPr>
        <w:t>, y con fundamento en ella, el Gobierno Na</w:t>
      </w:r>
      <w:r w:rsidR="009D17F2">
        <w:rPr>
          <w:rFonts w:ascii="Bookman Old Style" w:hAnsi="Bookman Old Style" w:cs="Arial"/>
        </w:rPr>
        <w:t>cional</w:t>
      </w:r>
      <w:r w:rsidR="00B4539E">
        <w:rPr>
          <w:rFonts w:ascii="Bookman Old Style" w:hAnsi="Bookman Old Style" w:cs="Arial"/>
        </w:rPr>
        <w:t>,</w:t>
      </w:r>
      <w:r w:rsidR="009D17F2">
        <w:rPr>
          <w:rFonts w:ascii="Bookman Old Style" w:hAnsi="Bookman Old Style" w:cs="Arial"/>
        </w:rPr>
        <w:t xml:space="preserve"> mediante el </w:t>
      </w:r>
      <w:r w:rsidR="00A10383">
        <w:rPr>
          <w:rFonts w:ascii="Bookman Old Style" w:hAnsi="Bookman Old Style" w:cs="Arial"/>
        </w:rPr>
        <w:t>Decreto Único Reglamentario (</w:t>
      </w:r>
      <w:r w:rsidR="009D17F2">
        <w:rPr>
          <w:rFonts w:ascii="Bookman Old Style" w:hAnsi="Bookman Old Style" w:cs="Arial"/>
        </w:rPr>
        <w:t>DUR</w:t>
      </w:r>
      <w:r w:rsidR="00A10383">
        <w:rPr>
          <w:rFonts w:ascii="Bookman Old Style" w:hAnsi="Bookman Old Style" w:cs="Arial"/>
        </w:rPr>
        <w:t>)</w:t>
      </w:r>
      <w:r w:rsidR="009D17F2">
        <w:rPr>
          <w:rFonts w:ascii="Bookman Old Style" w:hAnsi="Bookman Old Style" w:cs="Arial"/>
        </w:rPr>
        <w:t xml:space="preserve"> </w:t>
      </w:r>
      <w:proofErr w:type="spellStart"/>
      <w:r w:rsidR="009D17F2">
        <w:rPr>
          <w:rFonts w:ascii="Bookman Old Style" w:hAnsi="Bookman Old Style" w:cs="Arial"/>
        </w:rPr>
        <w:t>N°</w:t>
      </w:r>
      <w:proofErr w:type="spellEnd"/>
      <w:r w:rsidR="009D17F2">
        <w:rPr>
          <w:rFonts w:ascii="Bookman Old Style" w:hAnsi="Bookman Old Style" w:cs="Arial"/>
        </w:rPr>
        <w:t xml:space="preserve"> 2420</w:t>
      </w:r>
      <w:r w:rsidR="009D17F2" w:rsidRPr="00B43967">
        <w:rPr>
          <w:rFonts w:ascii="Bookman Old Style" w:hAnsi="Bookman Old Style" w:cs="Arial"/>
        </w:rPr>
        <w:t xml:space="preserve"> del 14 de diciembre de 2015</w:t>
      </w:r>
      <w:r w:rsidR="009D17F2">
        <w:rPr>
          <w:rStyle w:val="Refdenotaalpie"/>
          <w:rFonts w:ascii="Bookman Old Style" w:hAnsi="Bookman Old Style" w:cs="Arial"/>
        </w:rPr>
        <w:footnoteReference w:id="2"/>
      </w:r>
      <w:r w:rsidR="009D17F2" w:rsidRPr="00B43967">
        <w:rPr>
          <w:rFonts w:ascii="Bookman Old Style" w:hAnsi="Bookman Old Style" w:cs="Arial"/>
        </w:rPr>
        <w:t xml:space="preserve"> y demás normas que los modifiquen, compilado en el Decreto 2483 del 28 de diciembre de 2018</w:t>
      </w:r>
      <w:r w:rsidR="009D17F2">
        <w:rPr>
          <w:rStyle w:val="Refdenotaalpie"/>
          <w:rFonts w:ascii="Bookman Old Style" w:hAnsi="Bookman Old Style" w:cs="Arial"/>
        </w:rPr>
        <w:footnoteReference w:id="3"/>
      </w:r>
      <w:r w:rsidR="009D17F2" w:rsidRPr="00B43967">
        <w:rPr>
          <w:rFonts w:ascii="Bookman Old Style" w:hAnsi="Bookman Old Style" w:cs="Arial"/>
        </w:rPr>
        <w:t>, estableció los criterios para que los preparadores de información financiera se clasificaran en diferentes grupos</w:t>
      </w:r>
      <w:r w:rsidR="009D17F2">
        <w:rPr>
          <w:rFonts w:ascii="Bookman Old Style" w:hAnsi="Bookman Old Style" w:cs="Arial"/>
        </w:rPr>
        <w:t xml:space="preserve"> </w:t>
      </w:r>
      <w:r w:rsidR="009D17F2" w:rsidRPr="009D17F2">
        <w:rPr>
          <w:rFonts w:ascii="Bookman Old Style" w:hAnsi="Bookman Old Style" w:cs="Arial"/>
        </w:rPr>
        <w:t>de acuerdo con sus características</w:t>
      </w:r>
      <w:r w:rsidR="00B4539E">
        <w:rPr>
          <w:rFonts w:ascii="Bookman Old Style" w:hAnsi="Bookman Old Style" w:cs="Arial"/>
        </w:rPr>
        <w:t>,</w:t>
      </w:r>
      <w:r w:rsidR="009D17F2" w:rsidRPr="009D17F2">
        <w:rPr>
          <w:rFonts w:ascii="Bookman Old Style" w:hAnsi="Bookman Old Style" w:cs="Arial"/>
        </w:rPr>
        <w:t xml:space="preserve"> e igualmente se adoptaron los marcos técnicos normativos para cada grupo.</w:t>
      </w:r>
    </w:p>
    <w:p w14:paraId="71AD0721" w14:textId="77777777" w:rsidR="009D17F2" w:rsidRDefault="009D17F2" w:rsidP="009D17F2">
      <w:pPr>
        <w:ind w:left="0"/>
        <w:jc w:val="both"/>
        <w:rPr>
          <w:rFonts w:ascii="Bookman Old Style" w:hAnsi="Bookman Old Style" w:cs="Arial"/>
        </w:rPr>
      </w:pPr>
    </w:p>
    <w:p w14:paraId="5203788D" w14:textId="60C226C5" w:rsidR="009D17F2" w:rsidRDefault="00117D67" w:rsidP="009D17F2">
      <w:pPr>
        <w:ind w:left="0"/>
        <w:jc w:val="both"/>
        <w:rPr>
          <w:rFonts w:ascii="Bookman Old Style" w:hAnsi="Bookman Old Style" w:cs="Arial"/>
        </w:rPr>
      </w:pPr>
      <w:r>
        <w:rPr>
          <w:rFonts w:ascii="Bookman Old Style" w:hAnsi="Bookman Old Style" w:cs="Arial"/>
        </w:rPr>
        <w:t>E</w:t>
      </w:r>
      <w:r w:rsidR="009D17F2" w:rsidRPr="009D17F2">
        <w:rPr>
          <w:rFonts w:ascii="Bookman Old Style" w:hAnsi="Bookman Old Style" w:cs="Arial"/>
        </w:rPr>
        <w:t>l artículo 10 de la Ley 1314 de 2009 señaló que</w:t>
      </w:r>
      <w:r w:rsidR="00B4539E">
        <w:rPr>
          <w:rFonts w:ascii="Bookman Old Style" w:hAnsi="Bookman Old Style" w:cs="Arial"/>
        </w:rPr>
        <w:t>,</w:t>
      </w:r>
      <w:r w:rsidR="009D17F2" w:rsidRPr="009D17F2">
        <w:rPr>
          <w:rFonts w:ascii="Bookman Old Style" w:hAnsi="Bookman Old Style" w:cs="Arial"/>
        </w:rPr>
        <w:t xml:space="preserve"> corresponde a las autoridades de supervisión, vigilar que los entes económicos sujetos a su inspección, vigilancia y control, así como sus administradores, funcionarios y profesionales de aseguramiento de información</w:t>
      </w:r>
      <w:r w:rsidR="00B4539E">
        <w:rPr>
          <w:rFonts w:ascii="Bookman Old Style" w:hAnsi="Bookman Old Style" w:cs="Arial"/>
        </w:rPr>
        <w:t>,</w:t>
      </w:r>
      <w:r w:rsidR="009D17F2" w:rsidRPr="009D17F2">
        <w:rPr>
          <w:rFonts w:ascii="Bookman Old Style" w:hAnsi="Bookman Old Style" w:cs="Arial"/>
        </w:rPr>
        <w:t xml:space="preserve"> cumplan con las normas en materia de contabilidad, de información financiera y de aseguramiento</w:t>
      </w:r>
      <w:r w:rsidR="00C75D50">
        <w:rPr>
          <w:rFonts w:ascii="Bookman Old Style" w:hAnsi="Bookman Old Style" w:cs="Arial"/>
        </w:rPr>
        <w:t xml:space="preserve"> </w:t>
      </w:r>
      <w:r w:rsidR="009D17F2" w:rsidRPr="009D17F2">
        <w:rPr>
          <w:rFonts w:ascii="Bookman Old Style" w:hAnsi="Bookman Old Style" w:cs="Arial"/>
        </w:rPr>
        <w:t>de información.</w:t>
      </w:r>
    </w:p>
    <w:p w14:paraId="6A34947C" w14:textId="77777777" w:rsidR="009D17F2" w:rsidRDefault="009D17F2" w:rsidP="009D17F2">
      <w:pPr>
        <w:ind w:left="0"/>
        <w:jc w:val="both"/>
        <w:rPr>
          <w:rFonts w:ascii="Bookman Old Style" w:hAnsi="Bookman Old Style" w:cs="Arial"/>
        </w:rPr>
      </w:pPr>
    </w:p>
    <w:p w14:paraId="7E313C06" w14:textId="57E74B2A" w:rsidR="00127AB5" w:rsidRDefault="00117D67" w:rsidP="009D17F2">
      <w:pPr>
        <w:ind w:left="0"/>
        <w:jc w:val="both"/>
        <w:rPr>
          <w:rFonts w:ascii="Bookman Old Style" w:hAnsi="Bookman Old Style" w:cs="Arial"/>
        </w:rPr>
      </w:pPr>
      <w:r>
        <w:rPr>
          <w:rFonts w:ascii="Bookman Old Style" w:hAnsi="Bookman Old Style" w:cs="Arial"/>
        </w:rPr>
        <w:t>L</w:t>
      </w:r>
      <w:r w:rsidR="009D17F2" w:rsidRPr="00CB0396">
        <w:rPr>
          <w:rFonts w:ascii="Bookman Old Style" w:hAnsi="Bookman Old Style" w:cs="Arial"/>
        </w:rPr>
        <w:t>a Contaduría General de la Nación</w:t>
      </w:r>
      <w:r w:rsidR="009D17F2">
        <w:rPr>
          <w:rFonts w:ascii="Bookman Old Style" w:hAnsi="Bookman Old Style" w:cs="Arial"/>
        </w:rPr>
        <w:t xml:space="preserve"> (CGN)</w:t>
      </w:r>
      <w:r w:rsidR="009D17F2" w:rsidRPr="00CB0396">
        <w:rPr>
          <w:rFonts w:ascii="Bookman Old Style" w:hAnsi="Bookman Old Style" w:cs="Arial"/>
        </w:rPr>
        <w:t xml:space="preserve">, expidió las Resoluciones </w:t>
      </w:r>
      <w:proofErr w:type="spellStart"/>
      <w:r w:rsidR="009D17F2">
        <w:rPr>
          <w:rFonts w:ascii="Bookman Old Style" w:hAnsi="Bookman Old Style" w:cs="Arial"/>
        </w:rPr>
        <w:t>N°</w:t>
      </w:r>
      <w:proofErr w:type="spellEnd"/>
      <w:r w:rsidR="009D17F2">
        <w:rPr>
          <w:rFonts w:ascii="Bookman Old Style" w:hAnsi="Bookman Old Style" w:cs="Arial"/>
        </w:rPr>
        <w:t xml:space="preserve"> 414 de 2014</w:t>
      </w:r>
      <w:r w:rsidR="009D17F2">
        <w:rPr>
          <w:rStyle w:val="Refdenotaalpie"/>
          <w:rFonts w:ascii="Bookman Old Style" w:hAnsi="Bookman Old Style" w:cs="Arial"/>
        </w:rPr>
        <w:footnoteReference w:id="4"/>
      </w:r>
      <w:r w:rsidR="009D17F2">
        <w:rPr>
          <w:rFonts w:ascii="Bookman Old Style" w:hAnsi="Bookman Old Style" w:cs="Arial"/>
        </w:rPr>
        <w:t xml:space="preserve"> </w:t>
      </w:r>
      <w:r w:rsidR="009D17F2" w:rsidRPr="00CB0396">
        <w:rPr>
          <w:rFonts w:ascii="Bookman Old Style" w:hAnsi="Bookman Old Style" w:cs="Arial"/>
        </w:rPr>
        <w:t xml:space="preserve">y </w:t>
      </w:r>
      <w:proofErr w:type="spellStart"/>
      <w:r w:rsidR="009D17F2">
        <w:rPr>
          <w:rFonts w:ascii="Bookman Old Style" w:hAnsi="Bookman Old Style" w:cs="Arial"/>
        </w:rPr>
        <w:t>N°</w:t>
      </w:r>
      <w:proofErr w:type="spellEnd"/>
      <w:r w:rsidR="009D17F2">
        <w:rPr>
          <w:rFonts w:ascii="Bookman Old Style" w:hAnsi="Bookman Old Style" w:cs="Arial"/>
        </w:rPr>
        <w:t xml:space="preserve"> 533 de 2015</w:t>
      </w:r>
      <w:r w:rsidR="009D17F2">
        <w:rPr>
          <w:rStyle w:val="Refdenotaalpie"/>
          <w:rFonts w:ascii="Bookman Old Style" w:hAnsi="Bookman Old Style" w:cs="Arial"/>
        </w:rPr>
        <w:footnoteReference w:id="5"/>
      </w:r>
      <w:r w:rsidR="009D17F2" w:rsidRPr="00CB0396">
        <w:rPr>
          <w:rFonts w:ascii="Bookman Old Style" w:hAnsi="Bookman Old Style" w:cs="Arial"/>
        </w:rPr>
        <w:t>, aplicables a las empresas sujetas al ámbito de su competencia y a las entidades del gobierno. Posteriormente</w:t>
      </w:r>
      <w:r w:rsidR="00B4539E">
        <w:rPr>
          <w:rFonts w:ascii="Bookman Old Style" w:hAnsi="Bookman Old Style" w:cs="Arial"/>
        </w:rPr>
        <w:t>,</w:t>
      </w:r>
      <w:r w:rsidR="009D17F2" w:rsidRPr="00CB0396">
        <w:rPr>
          <w:rFonts w:ascii="Bookman Old Style" w:hAnsi="Bookman Old Style" w:cs="Arial"/>
        </w:rPr>
        <w:t xml:space="preserve"> </w:t>
      </w:r>
      <w:r w:rsidR="009D17F2">
        <w:rPr>
          <w:rFonts w:ascii="Bookman Old Style" w:hAnsi="Bookman Old Style" w:cs="Arial"/>
        </w:rPr>
        <w:t xml:space="preserve">la CGN </w:t>
      </w:r>
      <w:r w:rsidR="009D17F2" w:rsidRPr="00CB0396">
        <w:rPr>
          <w:rFonts w:ascii="Bookman Old Style" w:hAnsi="Bookman Old Style" w:cs="Arial"/>
        </w:rPr>
        <w:t xml:space="preserve">emitió la Resolución </w:t>
      </w:r>
      <w:proofErr w:type="spellStart"/>
      <w:r w:rsidR="009D17F2">
        <w:rPr>
          <w:rFonts w:ascii="Bookman Old Style" w:hAnsi="Bookman Old Style" w:cs="Arial"/>
        </w:rPr>
        <w:t>N°</w:t>
      </w:r>
      <w:proofErr w:type="spellEnd"/>
      <w:r w:rsidR="009D17F2">
        <w:rPr>
          <w:rFonts w:ascii="Bookman Old Style" w:hAnsi="Bookman Old Style" w:cs="Arial"/>
        </w:rPr>
        <w:t xml:space="preserve"> </w:t>
      </w:r>
      <w:r w:rsidR="009D17F2" w:rsidRPr="00CB0396">
        <w:rPr>
          <w:rFonts w:ascii="Bookman Old Style" w:hAnsi="Bookman Old Style" w:cs="Arial"/>
        </w:rPr>
        <w:t>037 de 2017</w:t>
      </w:r>
      <w:r w:rsidR="009D17F2">
        <w:rPr>
          <w:rStyle w:val="Refdenotaalpie"/>
          <w:rFonts w:ascii="Bookman Old Style" w:hAnsi="Bookman Old Style" w:cs="Arial"/>
        </w:rPr>
        <w:footnoteReference w:id="6"/>
      </w:r>
      <w:r w:rsidR="00D65E78">
        <w:rPr>
          <w:rFonts w:ascii="Bookman Old Style" w:hAnsi="Bookman Old Style" w:cs="Arial"/>
        </w:rPr>
        <w:t>.</w:t>
      </w:r>
    </w:p>
    <w:p w14:paraId="41D8B05C" w14:textId="77777777" w:rsidR="00127AB5" w:rsidRDefault="00127AB5" w:rsidP="009D17F2">
      <w:pPr>
        <w:ind w:left="0"/>
        <w:jc w:val="both"/>
        <w:rPr>
          <w:rFonts w:ascii="Bookman Old Style" w:hAnsi="Bookman Old Style" w:cs="Arial"/>
        </w:rPr>
      </w:pPr>
    </w:p>
    <w:p w14:paraId="30F28EC4" w14:textId="513F4DFD" w:rsidR="00127AB5" w:rsidRDefault="00B4539E" w:rsidP="009D17F2">
      <w:pPr>
        <w:ind w:left="0"/>
        <w:jc w:val="both"/>
        <w:rPr>
          <w:rFonts w:ascii="Bookman Old Style" w:hAnsi="Bookman Old Style" w:cs="Arial"/>
        </w:rPr>
      </w:pPr>
      <w:r>
        <w:rPr>
          <w:rFonts w:ascii="Bookman Old Style" w:hAnsi="Bookman Old Style" w:cs="Arial"/>
        </w:rPr>
        <w:t>En e</w:t>
      </w:r>
      <w:r w:rsidR="00127AB5" w:rsidRPr="00127AB5">
        <w:rPr>
          <w:rFonts w:ascii="Bookman Old Style" w:hAnsi="Bookman Old Style" w:cs="Arial"/>
        </w:rPr>
        <w:t>l marco de la mencionada ley, se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CD5E2E8" w14:textId="77777777" w:rsidR="00A10383" w:rsidRDefault="00A10383" w:rsidP="009D17F2">
      <w:pPr>
        <w:ind w:left="0"/>
        <w:jc w:val="both"/>
        <w:rPr>
          <w:rFonts w:ascii="Bookman Old Style" w:hAnsi="Bookman Old Style" w:cs="Arial"/>
        </w:rPr>
      </w:pPr>
    </w:p>
    <w:p w14:paraId="307ED20A" w14:textId="049FC7EB" w:rsidR="00515AB6" w:rsidRDefault="00117D67" w:rsidP="00515AB6">
      <w:pPr>
        <w:ind w:left="0"/>
        <w:jc w:val="both"/>
        <w:rPr>
          <w:rFonts w:ascii="Bookman Old Style" w:hAnsi="Bookman Old Style" w:cs="Arial"/>
        </w:rPr>
      </w:pPr>
      <w:r>
        <w:rPr>
          <w:rFonts w:ascii="Bookman Old Style" w:hAnsi="Bookman Old Style" w:cs="Arial"/>
        </w:rPr>
        <w:lastRenderedPageBreak/>
        <w:t>E</w:t>
      </w:r>
      <w:r w:rsidR="00515AB6" w:rsidRPr="00702D59">
        <w:rPr>
          <w:rFonts w:ascii="Bookman Old Style" w:hAnsi="Bookman Old Style" w:cs="Arial"/>
        </w:rPr>
        <w:t>l lenguaje informático XBRL</w:t>
      </w:r>
      <w:r w:rsidR="00515AB6">
        <w:rPr>
          <w:rStyle w:val="Refdenotaalpie"/>
          <w:rFonts w:ascii="Bookman Old Style" w:hAnsi="Bookman Old Style" w:cs="Arial"/>
        </w:rPr>
        <w:footnoteReference w:id="7"/>
      </w:r>
      <w:r w:rsidR="00515AB6" w:rsidRPr="00702D59">
        <w:rPr>
          <w:rFonts w:ascii="Bookman Old Style" w:hAnsi="Bookman Old Style" w:cs="Arial"/>
        </w:rPr>
        <w:t xml:space="preserve"> permite el reporte de información financiera de forma estandarizada, facilitando la comparabilidad, transparencia y fiabilidad</w:t>
      </w:r>
      <w:r w:rsidR="00B4539E">
        <w:rPr>
          <w:rFonts w:ascii="Bookman Old Style" w:hAnsi="Bookman Old Style" w:cs="Arial"/>
        </w:rPr>
        <w:t>,</w:t>
      </w:r>
      <w:r w:rsidR="00515AB6" w:rsidRPr="00702D59">
        <w:rPr>
          <w:rFonts w:ascii="Bookman Old Style" w:hAnsi="Bookman Old Style" w:cs="Arial"/>
        </w:rPr>
        <w:t xml:space="preserve"> e incorporando las reglas de negocio en su implementación.</w:t>
      </w:r>
    </w:p>
    <w:p w14:paraId="1F59BFFF" w14:textId="77777777" w:rsidR="00E7351A" w:rsidRDefault="00E7351A" w:rsidP="00515AB6">
      <w:pPr>
        <w:ind w:left="0"/>
        <w:jc w:val="both"/>
        <w:rPr>
          <w:rFonts w:ascii="Bookman Old Style" w:hAnsi="Bookman Old Style" w:cs="Arial"/>
        </w:rPr>
      </w:pPr>
    </w:p>
    <w:p w14:paraId="73CC0341" w14:textId="2398DFED" w:rsidR="006873EF" w:rsidRDefault="00117D67" w:rsidP="00515AB6">
      <w:pPr>
        <w:ind w:left="0"/>
        <w:jc w:val="both"/>
        <w:rPr>
          <w:rFonts w:ascii="Bookman Old Style" w:hAnsi="Bookman Old Style" w:cs="Arial"/>
        </w:rPr>
      </w:pPr>
      <w:r>
        <w:rPr>
          <w:rFonts w:ascii="Bookman Old Style" w:hAnsi="Bookman Old Style" w:cs="Arial"/>
        </w:rPr>
        <w:t>P</w:t>
      </w:r>
      <w:r w:rsidR="00515AB6">
        <w:rPr>
          <w:rFonts w:ascii="Bookman Old Style" w:hAnsi="Bookman Old Style" w:cs="Arial"/>
        </w:rPr>
        <w:t>ara efectos de lo anterior</w:t>
      </w:r>
      <w:r w:rsidR="00B4539E">
        <w:rPr>
          <w:rFonts w:ascii="Bookman Old Style" w:hAnsi="Bookman Old Style" w:cs="Arial"/>
        </w:rPr>
        <w:t>,</w:t>
      </w:r>
      <w:r w:rsidR="00515AB6">
        <w:rPr>
          <w:rFonts w:ascii="Bookman Old Style" w:hAnsi="Bookman Old Style" w:cs="Arial"/>
        </w:rPr>
        <w:t xml:space="preserve"> </w:t>
      </w:r>
      <w:r w:rsidR="00515AB6" w:rsidRPr="00E42BC0">
        <w:rPr>
          <w:rFonts w:ascii="Bookman Old Style" w:hAnsi="Bookman Old Style" w:cs="Arial"/>
        </w:rPr>
        <w:t xml:space="preserve">la </w:t>
      </w:r>
      <w:r w:rsidR="00515AB6">
        <w:rPr>
          <w:rFonts w:ascii="Bookman Old Style" w:hAnsi="Bookman Old Style" w:cs="Arial"/>
        </w:rPr>
        <w:t xml:space="preserve">SSPD </w:t>
      </w:r>
      <w:r w:rsidR="00515AB6" w:rsidRPr="00E42BC0">
        <w:rPr>
          <w:rFonts w:ascii="Bookman Old Style" w:hAnsi="Bookman Old Style" w:cs="Arial"/>
        </w:rPr>
        <w:t>exp</w:t>
      </w:r>
      <w:r w:rsidR="00515AB6">
        <w:rPr>
          <w:rFonts w:ascii="Bookman Old Style" w:hAnsi="Bookman Old Style" w:cs="Arial"/>
        </w:rPr>
        <w:t xml:space="preserve">idió </w:t>
      </w:r>
      <w:r w:rsidR="006873EF">
        <w:rPr>
          <w:rFonts w:ascii="Bookman Old Style" w:hAnsi="Bookman Old Style" w:cs="Arial"/>
        </w:rPr>
        <w:t xml:space="preserve">la Resolución </w:t>
      </w:r>
      <w:proofErr w:type="spellStart"/>
      <w:r w:rsidR="006873EF">
        <w:rPr>
          <w:rFonts w:ascii="Bookman Old Style" w:hAnsi="Bookman Old Style" w:cs="Arial"/>
        </w:rPr>
        <w:t>N°</w:t>
      </w:r>
      <w:proofErr w:type="spellEnd"/>
      <w:r w:rsidR="006873EF" w:rsidRPr="006873EF">
        <w:rPr>
          <w:rFonts w:ascii="Bookman Old Style" w:hAnsi="Bookman Old Style" w:cs="Arial"/>
        </w:rPr>
        <w:t xml:space="preserve"> SSPD</w:t>
      </w:r>
      <w:r w:rsidR="00B4539E">
        <w:rPr>
          <w:rFonts w:ascii="Bookman Old Style" w:hAnsi="Bookman Old Style" w:cs="Arial"/>
        </w:rPr>
        <w:t xml:space="preserve"> </w:t>
      </w:r>
      <w:r w:rsidR="006873EF" w:rsidRPr="006873EF">
        <w:rPr>
          <w:rFonts w:ascii="Bookman Old Style" w:hAnsi="Bookman Old Style" w:cs="Arial"/>
        </w:rPr>
        <w:t>201613</w:t>
      </w:r>
      <w:r w:rsidR="006873EF">
        <w:rPr>
          <w:rFonts w:ascii="Bookman Old Style" w:hAnsi="Bookman Old Style" w:cs="Arial"/>
        </w:rPr>
        <w:t>00013475 del 19 de mayo de 2016, por la cual se establecen los requerimientos de información financiera para las personas prestador</w:t>
      </w:r>
      <w:r w:rsidR="00155AF8">
        <w:rPr>
          <w:rFonts w:ascii="Bookman Old Style" w:hAnsi="Bookman Old Style" w:cs="Arial"/>
        </w:rPr>
        <w:t>a</w:t>
      </w:r>
      <w:r w:rsidR="006873EF">
        <w:rPr>
          <w:rFonts w:ascii="Bookman Old Style" w:hAnsi="Bookman Old Style" w:cs="Arial"/>
        </w:rPr>
        <w:t xml:space="preserve">s de servicios públicos domiciliarios, mediante </w:t>
      </w:r>
      <w:r w:rsidR="00515AB6">
        <w:rPr>
          <w:rFonts w:ascii="Bookman Old Style" w:hAnsi="Bookman Old Style" w:cs="Arial"/>
        </w:rPr>
        <w:t>una estructura para reportar</w:t>
      </w:r>
      <w:r w:rsidR="00515AB6" w:rsidRPr="00E42BC0">
        <w:rPr>
          <w:rFonts w:ascii="Bookman Old Style" w:hAnsi="Bookman Old Style" w:cs="Arial"/>
        </w:rPr>
        <w:t xml:space="preserve"> </w:t>
      </w:r>
      <w:r w:rsidR="00515AB6">
        <w:rPr>
          <w:rFonts w:ascii="Bookman Old Style" w:hAnsi="Bookman Old Style" w:cs="Arial"/>
        </w:rPr>
        <w:t>la</w:t>
      </w:r>
      <w:r w:rsidR="00515AB6" w:rsidRPr="00E42BC0">
        <w:rPr>
          <w:rFonts w:ascii="Bookman Old Style" w:hAnsi="Bookman Old Style" w:cs="Arial"/>
        </w:rPr>
        <w:t xml:space="preserve"> información financiera en el lenguaje informático XBRL, fundamentado en las estructuras de taxonomía</w:t>
      </w:r>
      <w:r w:rsidR="00515AB6">
        <w:rPr>
          <w:rFonts w:ascii="Bookman Old Style" w:hAnsi="Bookman Old Style" w:cs="Arial"/>
        </w:rPr>
        <w:t>s</w:t>
      </w:r>
      <w:r w:rsidR="00515AB6" w:rsidRPr="00E42BC0">
        <w:rPr>
          <w:rFonts w:ascii="Bookman Old Style" w:hAnsi="Bookman Old Style" w:cs="Arial"/>
        </w:rPr>
        <w:t xml:space="preserve"> </w:t>
      </w:r>
      <w:r w:rsidR="00515AB6">
        <w:rPr>
          <w:rFonts w:ascii="Bookman Old Style" w:hAnsi="Bookman Old Style" w:cs="Arial"/>
        </w:rPr>
        <w:t xml:space="preserve">XML </w:t>
      </w:r>
      <w:r w:rsidR="00515AB6" w:rsidRPr="00E42BC0">
        <w:rPr>
          <w:rFonts w:ascii="Bookman Old Style" w:hAnsi="Bookman Old Style" w:cs="Arial"/>
        </w:rPr>
        <w:t xml:space="preserve">expedidas por </w:t>
      </w:r>
      <w:r w:rsidR="00515AB6">
        <w:rPr>
          <w:rFonts w:ascii="Bookman Old Style" w:hAnsi="Bookman Old Style" w:cs="Arial"/>
        </w:rPr>
        <w:t>la</w:t>
      </w:r>
      <w:r w:rsidR="00515AB6" w:rsidRPr="00E42BC0">
        <w:rPr>
          <w:rFonts w:ascii="Bookman Old Style" w:hAnsi="Bookman Old Style" w:cs="Arial"/>
        </w:rPr>
        <w:t xml:space="preserve"> IASB</w:t>
      </w:r>
      <w:r w:rsidR="00B4539E">
        <w:rPr>
          <w:rFonts w:ascii="Bookman Old Style" w:hAnsi="Bookman Old Style" w:cs="Arial"/>
        </w:rPr>
        <w:t>,</w:t>
      </w:r>
      <w:r w:rsidR="00515AB6" w:rsidRPr="00E42BC0">
        <w:rPr>
          <w:rFonts w:ascii="Bookman Old Style" w:hAnsi="Bookman Old Style" w:cs="Arial"/>
        </w:rPr>
        <w:t xml:space="preserve"> que emite las Normas Internaciona</w:t>
      </w:r>
      <w:r w:rsidR="006873EF">
        <w:rPr>
          <w:rFonts w:ascii="Bookman Old Style" w:hAnsi="Bookman Old Style" w:cs="Arial"/>
        </w:rPr>
        <w:t>les de Información Financiera.</w:t>
      </w:r>
    </w:p>
    <w:p w14:paraId="74A5CFA5" w14:textId="77777777" w:rsidR="006873EF" w:rsidRDefault="006873EF" w:rsidP="00515AB6">
      <w:pPr>
        <w:ind w:left="0"/>
        <w:jc w:val="both"/>
        <w:rPr>
          <w:rFonts w:ascii="Bookman Old Style" w:hAnsi="Bookman Old Style" w:cs="Arial"/>
        </w:rPr>
      </w:pPr>
    </w:p>
    <w:p w14:paraId="181BD0AC" w14:textId="77777777" w:rsidR="00515AB6" w:rsidRDefault="00127AB5" w:rsidP="00515AB6">
      <w:pPr>
        <w:ind w:left="0"/>
        <w:jc w:val="both"/>
        <w:rPr>
          <w:rFonts w:ascii="Bookman Old Style" w:hAnsi="Bookman Old Style" w:cs="Arial"/>
        </w:rPr>
      </w:pPr>
      <w:r w:rsidRPr="00127AB5">
        <w:rPr>
          <w:rFonts w:ascii="Bookman Old Style" w:hAnsi="Bookman Old Style" w:cs="Arial"/>
        </w:rPr>
        <w:t xml:space="preserve">La SSPD 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w:t>
      </w:r>
      <w:proofErr w:type="spellStart"/>
      <w:r w:rsidRPr="00127AB5">
        <w:rPr>
          <w:rFonts w:ascii="Bookman Old Style" w:hAnsi="Bookman Old Style" w:cs="Arial"/>
        </w:rPr>
        <w:t>N°</w:t>
      </w:r>
      <w:proofErr w:type="spellEnd"/>
      <w:r w:rsidRPr="00127AB5">
        <w:rPr>
          <w:rFonts w:ascii="Bookman Old Style" w:hAnsi="Bookman Old Style" w:cs="Arial"/>
        </w:rPr>
        <w:t xml:space="preserve"> 20171300042935 de 2017.</w:t>
      </w:r>
    </w:p>
    <w:p w14:paraId="7E212754" w14:textId="4FA959DF" w:rsidR="00127AB5" w:rsidRDefault="00127AB5" w:rsidP="00515AB6">
      <w:pPr>
        <w:ind w:left="0"/>
        <w:jc w:val="both"/>
        <w:rPr>
          <w:rFonts w:ascii="Bookman Old Style" w:hAnsi="Bookman Old Style" w:cs="Arial"/>
        </w:rPr>
      </w:pPr>
    </w:p>
    <w:p w14:paraId="421A239B" w14:textId="598E309E" w:rsidR="000B2934" w:rsidRDefault="000B2934" w:rsidP="000B2934">
      <w:pPr>
        <w:ind w:left="0"/>
        <w:jc w:val="both"/>
        <w:rPr>
          <w:rFonts w:ascii="Bookman Old Style" w:hAnsi="Bookman Old Style" w:cs="Arial"/>
        </w:rPr>
      </w:pPr>
      <w:r>
        <w:rPr>
          <w:rFonts w:ascii="Bookman Old Style" w:hAnsi="Bookman Old Style" w:cs="Arial"/>
        </w:rPr>
        <w:t xml:space="preserve">En la Resolución SSPD </w:t>
      </w:r>
      <w:proofErr w:type="spellStart"/>
      <w:r>
        <w:rPr>
          <w:rFonts w:ascii="Bookman Old Style" w:hAnsi="Bookman Old Style" w:cs="Arial"/>
        </w:rPr>
        <w:t>N°</w:t>
      </w:r>
      <w:proofErr w:type="spellEnd"/>
      <w:r>
        <w:rPr>
          <w:rFonts w:ascii="Bookman Old Style" w:hAnsi="Bookman Old Style" w:cs="Arial"/>
        </w:rPr>
        <w:t xml:space="preserve"> 20192000034975 del 10 de septiembre de 2019 se complementó la Resolución </w:t>
      </w:r>
      <w:proofErr w:type="spellStart"/>
      <w:r>
        <w:rPr>
          <w:rFonts w:ascii="Bookman Old Style" w:hAnsi="Bookman Old Style" w:cs="Arial"/>
        </w:rPr>
        <w:t>N°</w:t>
      </w:r>
      <w:proofErr w:type="spellEnd"/>
      <w:r>
        <w:rPr>
          <w:rFonts w:ascii="Bookman Old Style" w:hAnsi="Bookman Old Style" w:cs="Arial"/>
        </w:rPr>
        <w:t xml:space="preserve"> 20192200020155 del 25 de junio de 2019</w:t>
      </w:r>
      <w:r w:rsidR="00B4539E">
        <w:rPr>
          <w:rFonts w:ascii="Bookman Old Style" w:hAnsi="Bookman Old Style" w:cs="Arial"/>
        </w:rPr>
        <w:t>,</w:t>
      </w:r>
      <w:r>
        <w:rPr>
          <w:rFonts w:ascii="Bookman Old Style" w:hAnsi="Bookman Old Style" w:cs="Arial"/>
        </w:rPr>
        <w:t xml:space="preserve"> y se establecen los lineamientos de cargue de información al SUI para los formatos contenidos en las circulares SSPD-CREG </w:t>
      </w:r>
      <w:proofErr w:type="spellStart"/>
      <w:r>
        <w:rPr>
          <w:rFonts w:ascii="Bookman Old Style" w:hAnsi="Bookman Old Style" w:cs="Arial"/>
        </w:rPr>
        <w:t>N°</w:t>
      </w:r>
      <w:proofErr w:type="spellEnd"/>
      <w:r>
        <w:rPr>
          <w:rFonts w:ascii="Bookman Old Style" w:hAnsi="Bookman Old Style" w:cs="Arial"/>
        </w:rPr>
        <w:t xml:space="preserve"> 006 del 30 de diciembre de 2003, modificada por la Circular SSPD-CREG </w:t>
      </w:r>
      <w:proofErr w:type="spellStart"/>
      <w:r>
        <w:rPr>
          <w:rFonts w:ascii="Bookman Old Style" w:hAnsi="Bookman Old Style" w:cs="Arial"/>
        </w:rPr>
        <w:t>N°</w:t>
      </w:r>
      <w:proofErr w:type="spellEnd"/>
      <w:r>
        <w:rPr>
          <w:rFonts w:ascii="Bookman Old Style" w:hAnsi="Bookman Old Style" w:cs="Arial"/>
        </w:rPr>
        <w:t xml:space="preserve"> 003 del 19 de diciembre de 2005</w:t>
      </w:r>
      <w:r w:rsidR="00B4539E">
        <w:rPr>
          <w:rFonts w:ascii="Bookman Old Style" w:hAnsi="Bookman Old Style" w:cs="Arial"/>
        </w:rPr>
        <w:t>,</w:t>
      </w:r>
      <w:r>
        <w:rPr>
          <w:rFonts w:ascii="Bookman Old Style" w:hAnsi="Bookman Old Style" w:cs="Arial"/>
        </w:rPr>
        <w:t xml:space="preserve"> y la Circular SSPD-CREG </w:t>
      </w:r>
      <w:proofErr w:type="spellStart"/>
      <w:r>
        <w:rPr>
          <w:rFonts w:ascii="Bookman Old Style" w:hAnsi="Bookman Old Style" w:cs="Arial"/>
        </w:rPr>
        <w:t>N°</w:t>
      </w:r>
      <w:proofErr w:type="spellEnd"/>
      <w:r>
        <w:rPr>
          <w:rFonts w:ascii="Bookman Old Style" w:hAnsi="Bookman Old Style" w:cs="Arial"/>
        </w:rPr>
        <w:t xml:space="preserve"> 001 del 05 de abril de 2005.</w:t>
      </w:r>
    </w:p>
    <w:p w14:paraId="7BBDF983" w14:textId="77777777" w:rsidR="000B2934" w:rsidRDefault="000B2934" w:rsidP="00515AB6">
      <w:pPr>
        <w:ind w:left="0"/>
        <w:jc w:val="both"/>
        <w:rPr>
          <w:rFonts w:ascii="Bookman Old Style" w:hAnsi="Bookman Old Style" w:cs="Arial"/>
        </w:rPr>
      </w:pPr>
    </w:p>
    <w:p w14:paraId="58EEC158" w14:textId="6D8E7510" w:rsidR="00515AB6" w:rsidRDefault="00117D67" w:rsidP="00515AB6">
      <w:pPr>
        <w:ind w:left="0"/>
        <w:jc w:val="both"/>
        <w:rPr>
          <w:rFonts w:ascii="Bookman Old Style" w:hAnsi="Bookman Old Style" w:cs="Arial"/>
        </w:rPr>
      </w:pPr>
      <w:r>
        <w:rPr>
          <w:rFonts w:ascii="Bookman Old Style" w:hAnsi="Bookman Old Style" w:cs="Arial"/>
        </w:rPr>
        <w:t>C</w:t>
      </w:r>
      <w:r w:rsidR="00515AB6" w:rsidRPr="00E42BC0">
        <w:rPr>
          <w:rFonts w:ascii="Bookman Old Style" w:hAnsi="Bookman Old Style" w:cs="Arial"/>
        </w:rPr>
        <w:t>ada reporte basado en una taxonomía por grupo y tipo de reporte, permite reflejar los requerimientos de reconocimiento, medición (inicial y posterior), presentación y revelación de cada uno de los marcos normativos, es así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5A7C2250" w14:textId="7DF9A697" w:rsidR="00F31A31" w:rsidRDefault="00F31A31" w:rsidP="00515AB6">
      <w:pPr>
        <w:ind w:left="0"/>
        <w:jc w:val="both"/>
        <w:rPr>
          <w:rFonts w:ascii="Bookman Old Style" w:hAnsi="Bookman Old Style" w:cs="Arial"/>
        </w:rPr>
      </w:pPr>
    </w:p>
    <w:p w14:paraId="07A34B61" w14:textId="3EEC07DF" w:rsidR="00280335" w:rsidRPr="00280335" w:rsidRDefault="00117D67" w:rsidP="00515AB6">
      <w:pPr>
        <w:ind w:left="0"/>
        <w:jc w:val="both"/>
        <w:rPr>
          <w:rFonts w:ascii="Bookman Old Style" w:hAnsi="Bookman Old Style" w:cs="Arial"/>
        </w:rPr>
      </w:pPr>
      <w:r>
        <w:rPr>
          <w:rFonts w:ascii="Bookman Old Style" w:hAnsi="Bookman Old Style" w:cs="Arial"/>
        </w:rPr>
        <w:t>L</w:t>
      </w:r>
      <w:r w:rsidR="00280335" w:rsidRPr="00280335">
        <w:rPr>
          <w:rFonts w:ascii="Bookman Old Style" w:hAnsi="Bookman Old Style" w:cs="Arial"/>
        </w:rPr>
        <w:t xml:space="preserve">a SSPD a través de la Resolución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20201000004205 de 2020 estableció los plazos para el cargue de la información financiera con corte a 31 de diciembre de 2019, la cual es la base para liquidar la </w:t>
      </w:r>
      <w:r w:rsidR="00874660">
        <w:rPr>
          <w:rFonts w:ascii="Bookman Old Style" w:hAnsi="Bookman Old Style" w:cs="Arial"/>
        </w:rPr>
        <w:t>c</w:t>
      </w:r>
      <w:r w:rsidR="00280335" w:rsidRPr="00280335">
        <w:rPr>
          <w:rFonts w:ascii="Bookman Old Style" w:hAnsi="Bookman Old Style" w:cs="Arial"/>
        </w:rPr>
        <w:t xml:space="preserve">ontribución </w:t>
      </w:r>
      <w:r w:rsidR="00874660">
        <w:rPr>
          <w:rFonts w:ascii="Bookman Old Style" w:hAnsi="Bookman Old Style" w:cs="Arial"/>
        </w:rPr>
        <w:t>e</w:t>
      </w:r>
      <w:r w:rsidR="00280335" w:rsidRPr="00280335">
        <w:rPr>
          <w:rFonts w:ascii="Bookman Old Style" w:hAnsi="Bookman Old Style" w:cs="Arial"/>
        </w:rPr>
        <w:t xml:space="preserve">special </w:t>
      </w:r>
      <w:r w:rsidR="00874660">
        <w:rPr>
          <w:rFonts w:ascii="Bookman Old Style" w:hAnsi="Bookman Old Style" w:cs="Arial"/>
        </w:rPr>
        <w:t>2020, determinada</w:t>
      </w:r>
      <w:r w:rsidR="00280335" w:rsidRPr="00280335">
        <w:rPr>
          <w:rFonts w:ascii="Bookman Old Style" w:hAnsi="Bookman Old Style" w:cs="Arial"/>
        </w:rPr>
        <w:t xml:space="preserve"> en el artículo 85 de la Ley 142 de 1994</w:t>
      </w:r>
      <w:r w:rsidR="00B4539E">
        <w:rPr>
          <w:rFonts w:ascii="Bookman Old Style" w:hAnsi="Bookman Old Style" w:cs="Arial"/>
        </w:rPr>
        <w:t>,</w:t>
      </w:r>
      <w:r w:rsidR="00874660">
        <w:rPr>
          <w:rFonts w:ascii="Bookman Old Style" w:hAnsi="Bookman Old Style" w:cs="Arial"/>
        </w:rPr>
        <w:t xml:space="preserve"> y reglamentada en el Decreto 1150 de 2020.</w:t>
      </w:r>
    </w:p>
    <w:p w14:paraId="30E606F6" w14:textId="7087B59A" w:rsidR="009D17F2" w:rsidRDefault="009D17F2" w:rsidP="009D17F2">
      <w:pPr>
        <w:ind w:left="0"/>
        <w:jc w:val="both"/>
        <w:rPr>
          <w:rFonts w:ascii="Bookman Old Style" w:hAnsi="Bookman Old Style" w:cs="Arial"/>
        </w:rPr>
      </w:pPr>
      <w:r w:rsidRPr="00CB0396">
        <w:rPr>
          <w:rFonts w:ascii="Bookman Old Style" w:hAnsi="Bookman Old Style" w:cs="Arial"/>
        </w:rPr>
        <w:t xml:space="preserve"> </w:t>
      </w:r>
    </w:p>
    <w:p w14:paraId="03A5E97B" w14:textId="54FC9956" w:rsidR="009D17F2" w:rsidRDefault="00117D67" w:rsidP="00515AB6">
      <w:pPr>
        <w:ind w:left="0"/>
        <w:jc w:val="both"/>
        <w:rPr>
          <w:rFonts w:ascii="Bookman Old Style" w:hAnsi="Bookman Old Style" w:cs="Arial"/>
        </w:rPr>
      </w:pPr>
      <w:r>
        <w:rPr>
          <w:rFonts w:ascii="Bookman Old Style" w:hAnsi="Bookman Old Style" w:cs="Arial"/>
        </w:rPr>
        <w:t>L</w:t>
      </w:r>
      <w:r w:rsidR="00515AB6" w:rsidRPr="00515AB6">
        <w:rPr>
          <w:rFonts w:ascii="Bookman Old Style" w:hAnsi="Bookman Old Style" w:cs="Arial"/>
        </w:rPr>
        <w:t>a información que certifiquen los prestadores de servicios públicos a través del SUI, deberá cumplir con los requisitos de calidad y oportunidad señalados por la Superservicios en la Circular</w:t>
      </w:r>
      <w:r w:rsidR="00515AB6">
        <w:rPr>
          <w:rFonts w:ascii="Bookman Old Style" w:hAnsi="Bookman Old Style" w:cs="Arial"/>
        </w:rPr>
        <w:t xml:space="preserve"> </w:t>
      </w:r>
      <w:r w:rsidR="00515AB6" w:rsidRPr="00515AB6">
        <w:rPr>
          <w:rFonts w:ascii="Bookman Old Style" w:hAnsi="Bookman Old Style" w:cs="Arial"/>
        </w:rPr>
        <w:t xml:space="preserve">Externa SSPD </w:t>
      </w:r>
      <w:proofErr w:type="spellStart"/>
      <w:r w:rsidR="00F31A31">
        <w:rPr>
          <w:rFonts w:ascii="Bookman Old Style" w:hAnsi="Bookman Old Style" w:cs="Arial"/>
        </w:rPr>
        <w:t>N°</w:t>
      </w:r>
      <w:proofErr w:type="spellEnd"/>
      <w:r w:rsidR="00F31A31">
        <w:rPr>
          <w:rFonts w:ascii="Bookman Old Style" w:hAnsi="Bookman Old Style" w:cs="Arial"/>
        </w:rPr>
        <w:t xml:space="preserve"> </w:t>
      </w:r>
      <w:r w:rsidR="00515AB6" w:rsidRPr="00515AB6">
        <w:rPr>
          <w:rFonts w:ascii="Bookman Old Style" w:hAnsi="Bookman Old Style" w:cs="Arial"/>
        </w:rPr>
        <w:t>00001 del 25 de enero de 2016.</w:t>
      </w:r>
    </w:p>
    <w:p w14:paraId="0EFACC8F" w14:textId="77777777" w:rsidR="00127AB5" w:rsidRDefault="00127AB5" w:rsidP="00515AB6">
      <w:pPr>
        <w:ind w:left="0"/>
        <w:jc w:val="both"/>
        <w:rPr>
          <w:rFonts w:ascii="Bookman Old Style" w:hAnsi="Bookman Old Style" w:cs="Arial"/>
        </w:rPr>
      </w:pPr>
    </w:p>
    <w:p w14:paraId="46863841" w14:textId="2281AFA8" w:rsidR="00BF13B8" w:rsidRDefault="00117D67" w:rsidP="00515AB6">
      <w:pPr>
        <w:ind w:left="0"/>
        <w:jc w:val="both"/>
        <w:rPr>
          <w:rFonts w:ascii="Bookman Old Style" w:hAnsi="Bookman Old Style" w:cs="Arial"/>
        </w:rPr>
      </w:pPr>
      <w:r>
        <w:rPr>
          <w:rFonts w:ascii="Bookman Old Style" w:hAnsi="Bookman Old Style" w:cs="Arial"/>
        </w:rPr>
        <w:lastRenderedPageBreak/>
        <w:t>E</w:t>
      </w:r>
      <w:r w:rsidR="00BF13B8">
        <w:rPr>
          <w:rFonts w:ascii="Bookman Old Style" w:hAnsi="Bookman Old Style" w:cs="Arial"/>
        </w:rPr>
        <w:t xml:space="preserve">l artículo 85 de la Ley 142 de 1994, aplicable a la liquidación de la contribución especial para </w:t>
      </w:r>
      <w:r w:rsidR="00FE08E5">
        <w:rPr>
          <w:rFonts w:ascii="Bookman Old Style" w:hAnsi="Bookman Old Style" w:cs="Arial"/>
        </w:rPr>
        <w:t>l</w:t>
      </w:r>
      <w:r w:rsidR="00BF13B8">
        <w:rPr>
          <w:rFonts w:ascii="Bookman Old Style" w:hAnsi="Bookman Old Style" w:cs="Arial"/>
        </w:rPr>
        <w:t>a vigencia 20</w:t>
      </w:r>
      <w:r w:rsidR="00817EB7">
        <w:rPr>
          <w:rFonts w:ascii="Bookman Old Style" w:hAnsi="Bookman Old Style" w:cs="Arial"/>
        </w:rPr>
        <w:t>20</w:t>
      </w:r>
      <w:r w:rsidR="00BF13B8">
        <w:rPr>
          <w:rFonts w:ascii="Bookman Old Style" w:hAnsi="Bookman Old Style" w:cs="Arial"/>
        </w:rPr>
        <w:t>, establece:</w:t>
      </w:r>
    </w:p>
    <w:p w14:paraId="2628F932" w14:textId="57FE7869" w:rsidR="00BF13B8" w:rsidRDefault="00BF13B8" w:rsidP="00515AB6">
      <w:pPr>
        <w:ind w:left="0"/>
        <w:jc w:val="both"/>
        <w:rPr>
          <w:rFonts w:ascii="Bookman Old Style" w:hAnsi="Bookman Old Style" w:cs="Arial"/>
        </w:rPr>
      </w:pPr>
    </w:p>
    <w:p w14:paraId="238B773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Con el fin de financiar los gastos de funcionamiento e inversión de la CREG, la CRA y la SSPD, y en general recuperar los costos del servicio, las personas prestadoras y entidades sujetas a la regulación, inspección, vigilancia y control de las respectivas entidades, serán sujetos pasivos del pago de las contribuciones especiales anuales descritas en el presente artículo, cuyas tarifas serán determinadas por las entidades respectivas y las cuales no podrán ser superiores al uno por ciento (1%) de las respectivas bases gravables. Los elementos de las contribuciones a que hace referencia el presente artículo serán:</w:t>
      </w:r>
    </w:p>
    <w:p w14:paraId="386A19AE" w14:textId="77777777" w:rsidR="00817EB7" w:rsidRPr="00817EB7" w:rsidRDefault="00817EB7" w:rsidP="00B4539E">
      <w:pPr>
        <w:ind w:left="284" w:right="6"/>
        <w:jc w:val="both"/>
        <w:rPr>
          <w:rFonts w:ascii="Bookman Old Style" w:hAnsi="Bookman Old Style" w:cs="Arial"/>
          <w:i/>
          <w:iCs/>
        </w:rPr>
      </w:pPr>
    </w:p>
    <w:p w14:paraId="5967FCB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1. Base gravable: 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 este resultado se denomina costos y gastos totales depurados. Este valor se multiplicará por la división de los ingresos por actividades ordinarias reguladas y el total de ingresos por actividades ordinarias, conforme a los estados financieros de la vigencia fiscal anterior a la cual se haga su cobro. La base gravable descrita se calculará para cada sujeto pasivo así:</w:t>
      </w:r>
    </w:p>
    <w:p w14:paraId="05576795" w14:textId="77777777" w:rsidR="00817EB7" w:rsidRPr="00817EB7" w:rsidRDefault="00817EB7" w:rsidP="00B4539E">
      <w:pPr>
        <w:ind w:left="284" w:right="6"/>
        <w:jc w:val="both"/>
        <w:rPr>
          <w:rFonts w:ascii="Bookman Old Style" w:hAnsi="Bookman Old Style" w:cs="Arial"/>
          <w:i/>
          <w:iCs/>
        </w:rPr>
      </w:pPr>
    </w:p>
    <w:p w14:paraId="052D63D9"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Base gravable = (Costos y Gastos totales depurados) * (Total ingresos actividades ordinarias y sus actividades complementarias de servicios sujetas a inspección vigilancia, control y regulación devengados en el período) / (Total de ingresos de actividades ordinarias devengados en el período).</w:t>
      </w:r>
    </w:p>
    <w:p w14:paraId="395C2F75" w14:textId="77777777" w:rsidR="00817EB7" w:rsidRPr="00817EB7" w:rsidRDefault="00817EB7" w:rsidP="00B4539E">
      <w:pPr>
        <w:ind w:left="284" w:right="6"/>
        <w:jc w:val="both"/>
        <w:rPr>
          <w:rFonts w:ascii="Bookman Old Style" w:hAnsi="Bookman Old Style" w:cs="Arial"/>
          <w:i/>
          <w:iCs/>
        </w:rPr>
      </w:pPr>
    </w:p>
    <w:p w14:paraId="20957B1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Se entenderá que es un tercero independiente siempre que no cumpla con alguno de los criterios de vinculación previstos en el artículo 260-1 del Estatuto Tributario.</w:t>
      </w:r>
    </w:p>
    <w:p w14:paraId="21A0D8AF" w14:textId="77777777" w:rsidR="00817EB7" w:rsidRPr="00817EB7" w:rsidRDefault="00817EB7" w:rsidP="00B4539E">
      <w:pPr>
        <w:ind w:left="284" w:right="6"/>
        <w:jc w:val="both"/>
        <w:rPr>
          <w:rFonts w:ascii="Bookman Old Style" w:hAnsi="Bookman Old Style" w:cs="Arial"/>
          <w:i/>
          <w:iCs/>
        </w:rPr>
      </w:pPr>
    </w:p>
    <w:p w14:paraId="32A5808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2. Tarifa: La tarifa de cada contribución especial se determinará por cada uno de los sujetos activos de la contribución de manera independiente, tomando el valor del presupuesto neto de la entidad correspondiente en el año a financiar, incluidos la totalidad de gastos de funcionamiento e inversión, el cual se dividirá por la suma de las bases gravables determinadas para los sujetos pasivos conforme a los estados financieros de la vigencia fiscal anterior.</w:t>
      </w:r>
    </w:p>
    <w:p w14:paraId="124165EF" w14:textId="77777777" w:rsidR="00817EB7" w:rsidRPr="00817EB7" w:rsidRDefault="00817EB7" w:rsidP="00B4539E">
      <w:pPr>
        <w:ind w:left="284" w:right="6"/>
        <w:jc w:val="both"/>
        <w:rPr>
          <w:rFonts w:ascii="Bookman Old Style" w:hAnsi="Bookman Old Style" w:cs="Arial"/>
          <w:i/>
          <w:iCs/>
        </w:rPr>
      </w:pPr>
    </w:p>
    <w:p w14:paraId="71F04AF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Tarifa de contribución de sujeto activo = (Presupuesto a financiar de sujeto activo) / (Suma de bases gravables de sujetos pasivos).</w:t>
      </w:r>
    </w:p>
    <w:p w14:paraId="2A785745" w14:textId="77777777" w:rsidR="00817EB7" w:rsidRPr="00817EB7" w:rsidRDefault="00817EB7" w:rsidP="00B4539E">
      <w:pPr>
        <w:ind w:left="284" w:right="6"/>
        <w:jc w:val="both"/>
        <w:rPr>
          <w:rFonts w:ascii="Bookman Old Style" w:hAnsi="Bookman Old Style" w:cs="Arial"/>
          <w:i/>
          <w:iCs/>
        </w:rPr>
      </w:pPr>
    </w:p>
    <w:p w14:paraId="65B8C9CE"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 xml:space="preserve">3. Hecho generador. El hecho generador de cada contribución especial por parte de los sujetos </w:t>
      </w:r>
      <w:proofErr w:type="gramStart"/>
      <w:r w:rsidRPr="00817EB7">
        <w:rPr>
          <w:rFonts w:ascii="Bookman Old Style" w:hAnsi="Bookman Old Style" w:cs="Arial"/>
          <w:i/>
          <w:iCs/>
        </w:rPr>
        <w:t>pasivos,</w:t>
      </w:r>
      <w:proofErr w:type="gramEnd"/>
      <w:r w:rsidRPr="00817EB7">
        <w:rPr>
          <w:rFonts w:ascii="Bookman Old Style" w:hAnsi="Bookman Old Style" w:cs="Arial"/>
          <w:i/>
          <w:iCs/>
        </w:rPr>
        <w:t xml:space="preserve"> será la prestación de los servicios sometidos a inspección, control, vigilancia y la venta de sus bienes vigilados o regulados.</w:t>
      </w:r>
    </w:p>
    <w:p w14:paraId="7D22D892" w14:textId="77777777" w:rsidR="00817EB7" w:rsidRPr="00817EB7" w:rsidRDefault="00817EB7" w:rsidP="00B4539E">
      <w:pPr>
        <w:ind w:left="284" w:right="6"/>
        <w:jc w:val="both"/>
        <w:rPr>
          <w:rFonts w:ascii="Bookman Old Style" w:hAnsi="Bookman Old Style" w:cs="Arial"/>
          <w:i/>
          <w:iCs/>
        </w:rPr>
      </w:pPr>
    </w:p>
    <w:p w14:paraId="3CDB5918"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 xml:space="preserve">4. Sujetos pasivos. Los sujetos pasivos de la contribución especial son las personas prestadoras de servicios públicos domiciliarios, conforme a los artículos 15 y 16 de la Ley 142 de 1994, y todos aquellos que inciden directa o </w:t>
      </w:r>
      <w:r w:rsidRPr="00817EB7">
        <w:rPr>
          <w:rFonts w:ascii="Bookman Old Style" w:hAnsi="Bookman Old Style" w:cs="Arial"/>
          <w:i/>
          <w:iCs/>
        </w:rPr>
        <w:lastRenderedPageBreak/>
        <w:t>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61 de la Ley 812 de 2003 y el Decreto número 4299 de 2005, o las normas que lo modifiquen, sustituyan o deroguen, con excepción de los distribuidores minoristas en estación de servicio en un municipio ubicado en zona de frontera.</w:t>
      </w:r>
    </w:p>
    <w:p w14:paraId="45F5B187" w14:textId="77777777" w:rsidR="00817EB7" w:rsidRPr="00817EB7" w:rsidRDefault="00817EB7" w:rsidP="00B4539E">
      <w:pPr>
        <w:ind w:left="284" w:right="6"/>
        <w:jc w:val="both"/>
        <w:rPr>
          <w:rFonts w:ascii="Bookman Old Style" w:hAnsi="Bookman Old Style" w:cs="Arial"/>
          <w:i/>
          <w:iCs/>
        </w:rPr>
      </w:pPr>
    </w:p>
    <w:p w14:paraId="7DA870A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1o. El Gobierno nacional reglamentará las características y condiciones especiales que se requieran para la determinación de las contribuciones especiales a que hace referencia el presente artículo, así como los asuntos relacionados con la declaración, administración, fiscalización, el cálculo, cobro, recaudo y aplicación del anticipo y demás aspectos relacionados con obligaciones formales y de procedimiento. Las sanciones e intereses por el incumplimiento de las obligaciones formales y sustanciales relacionadas con la contribución especial serán las mismas establecidas en el Estatuto Tributario para el impuesto sobre la renta y complementarios.</w:t>
      </w:r>
    </w:p>
    <w:p w14:paraId="41F6334C" w14:textId="77777777" w:rsidR="00817EB7" w:rsidRPr="00817EB7" w:rsidRDefault="00817EB7" w:rsidP="00B4539E">
      <w:pPr>
        <w:ind w:left="284" w:right="6"/>
        <w:jc w:val="both"/>
        <w:rPr>
          <w:rFonts w:ascii="Bookman Old Style" w:hAnsi="Bookman Old Style" w:cs="Arial"/>
          <w:i/>
          <w:iCs/>
        </w:rPr>
      </w:pPr>
    </w:p>
    <w:p w14:paraId="1D1ABDD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2o. El manejo de los recursos del pago de las contribuciones especiales de la CRA y la CREG a que hace referencia el presente artículo se realizará de acuerdo con los mecanismos previstos en los artículos 72 de la Ley 142 de 1994 y 21 de la Ley 143 de 1994. En el evento de existir excedentes de la contribución especial de la CREG provenientes de las actividades reguladas de combustibles líquidos, debido a recursos no ejecutados en el período presupuestal, dichos excedentes serán compensados al pago de la contribución especial de cada empresa del sector de combustibles líquidos en la siguiente vigencia fiscal.</w:t>
      </w:r>
    </w:p>
    <w:p w14:paraId="25F24CD5" w14:textId="77777777" w:rsidR="00817EB7" w:rsidRPr="00817EB7" w:rsidRDefault="00817EB7" w:rsidP="00B4539E">
      <w:pPr>
        <w:ind w:left="284" w:right="6"/>
        <w:jc w:val="both"/>
        <w:rPr>
          <w:rFonts w:ascii="Bookman Old Style" w:hAnsi="Bookman Old Style" w:cs="Arial"/>
          <w:i/>
          <w:iCs/>
        </w:rPr>
      </w:pPr>
    </w:p>
    <w:p w14:paraId="5B7A4BC9"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3o. Los sujetos pasivos objeto de la presente contribución están obligados a reportar a más tardar el 30 de abril de cada vigencia la información requerida para el cálculo de la tarifa y la liquidación de la contribución especial en el formato que para el efecto defina la CRA, la CREG y la SSPD a través del SUI.</w:t>
      </w:r>
    </w:p>
    <w:p w14:paraId="7DBA5800" w14:textId="77777777" w:rsidR="00817EB7" w:rsidRPr="00817EB7" w:rsidRDefault="00817EB7" w:rsidP="00B4539E">
      <w:pPr>
        <w:ind w:left="284" w:right="6"/>
        <w:jc w:val="both"/>
        <w:rPr>
          <w:rFonts w:ascii="Bookman Old Style" w:hAnsi="Bookman Old Style" w:cs="Arial"/>
          <w:i/>
          <w:iCs/>
        </w:rPr>
      </w:pPr>
    </w:p>
    <w:p w14:paraId="70CEED1C"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El no reporte de información, en las condiciones de oportunidad, calidad e integralidad definidos por la SSPD, generará la imposición de las sanciones a que hubiere lugar.</w:t>
      </w:r>
    </w:p>
    <w:p w14:paraId="1C4014A3" w14:textId="77777777" w:rsidR="00817EB7" w:rsidRPr="00BF13B8" w:rsidRDefault="00817EB7" w:rsidP="00817EB7">
      <w:pPr>
        <w:ind w:left="0"/>
        <w:jc w:val="both"/>
        <w:rPr>
          <w:rFonts w:ascii="Bookman Old Style" w:hAnsi="Bookman Old Style" w:cs="Arial"/>
          <w:i/>
        </w:rPr>
      </w:pPr>
    </w:p>
    <w:p w14:paraId="174D088C" w14:textId="52D99903" w:rsidR="001F1E4A" w:rsidRDefault="001F1E4A" w:rsidP="001F1E4A">
      <w:pPr>
        <w:ind w:left="0"/>
        <w:jc w:val="both"/>
        <w:rPr>
          <w:rFonts w:ascii="Bookman Old Style" w:hAnsi="Bookman Old Style" w:cs="Arial"/>
        </w:rPr>
      </w:pPr>
      <w:r>
        <w:rPr>
          <w:rFonts w:ascii="Bookman Old Style" w:hAnsi="Bookman Old Style" w:cs="Arial"/>
        </w:rPr>
        <w:t>E</w:t>
      </w:r>
      <w:r w:rsidRPr="001F1E4A">
        <w:rPr>
          <w:rFonts w:ascii="Bookman Old Style" w:hAnsi="Bookman Old Style" w:cs="Arial"/>
        </w:rPr>
        <w:t>l parágrafo transitorio del artículo 18 de la Ley 1955 del 25 de mayo de 2019, estableció</w:t>
      </w:r>
      <w:r>
        <w:rPr>
          <w:rFonts w:ascii="Bookman Old Style" w:hAnsi="Bookman Old Style" w:cs="Arial"/>
        </w:rPr>
        <w:t xml:space="preserve"> </w:t>
      </w:r>
      <w:r w:rsidRPr="001F1E4A">
        <w:rPr>
          <w:rFonts w:ascii="Bookman Old Style" w:hAnsi="Bookman Old Style" w:cs="Arial"/>
        </w:rPr>
        <w:t>que l</w:t>
      </w:r>
      <w:r w:rsidR="00B4539E">
        <w:rPr>
          <w:rFonts w:ascii="Bookman Old Style" w:hAnsi="Bookman Old Style" w:cs="Arial"/>
        </w:rPr>
        <w:t>o</w:t>
      </w:r>
      <w:r>
        <w:rPr>
          <w:rFonts w:ascii="Bookman Old Style" w:hAnsi="Bookman Old Style" w:cs="Arial"/>
        </w:rPr>
        <w:t xml:space="preserve">s regulados </w:t>
      </w:r>
      <w:r w:rsidRPr="001F1E4A">
        <w:rPr>
          <w:rFonts w:ascii="Bookman Old Style" w:hAnsi="Bookman Old Style" w:cs="Arial"/>
        </w:rPr>
        <w:t xml:space="preserve">por la </w:t>
      </w:r>
      <w:r>
        <w:rPr>
          <w:rFonts w:ascii="Bookman Old Style" w:hAnsi="Bookman Old Style" w:cs="Arial"/>
        </w:rPr>
        <w:t>CREG</w:t>
      </w:r>
      <w:r w:rsidRPr="001F1E4A">
        <w:rPr>
          <w:rFonts w:ascii="Bookman Old Style" w:hAnsi="Bookman Old Style" w:cs="Arial"/>
        </w:rPr>
        <w:t>, tienen plazo hasta el 31 de julio de 2020 para el</w:t>
      </w:r>
      <w:r>
        <w:rPr>
          <w:rFonts w:ascii="Bookman Old Style" w:hAnsi="Bookman Old Style" w:cs="Arial"/>
        </w:rPr>
        <w:t xml:space="preserve"> </w:t>
      </w:r>
      <w:r w:rsidRPr="001F1E4A">
        <w:rPr>
          <w:rFonts w:ascii="Bookman Old Style" w:hAnsi="Bookman Old Style" w:cs="Arial"/>
        </w:rPr>
        <w:t>cargue de información financiera con corte al 31 de diciembre de 2019</w:t>
      </w:r>
      <w:r>
        <w:rPr>
          <w:rFonts w:ascii="Bookman Old Style" w:hAnsi="Bookman Old Style" w:cs="Arial"/>
        </w:rPr>
        <w:t>.</w:t>
      </w:r>
    </w:p>
    <w:p w14:paraId="17903E4C" w14:textId="77777777" w:rsidR="001F1E4A" w:rsidRDefault="001F1E4A" w:rsidP="00F31A31">
      <w:pPr>
        <w:ind w:left="0"/>
        <w:jc w:val="both"/>
        <w:rPr>
          <w:rFonts w:ascii="Bookman Old Style" w:hAnsi="Bookman Old Style" w:cs="Arial"/>
        </w:rPr>
      </w:pPr>
    </w:p>
    <w:p w14:paraId="4880EC52" w14:textId="014D8FBF" w:rsidR="003553A3" w:rsidRDefault="00117D67" w:rsidP="00F31A31">
      <w:pPr>
        <w:ind w:left="0"/>
        <w:jc w:val="both"/>
        <w:rPr>
          <w:rFonts w:ascii="Bookman Old Style" w:hAnsi="Bookman Old Style" w:cs="Arial"/>
        </w:rPr>
      </w:pPr>
      <w:r>
        <w:rPr>
          <w:rFonts w:ascii="Bookman Old Style" w:hAnsi="Bookman Old Style" w:cs="Arial"/>
        </w:rPr>
        <w:t>F</w:t>
      </w:r>
      <w:r w:rsidR="003553A3" w:rsidRPr="003553A3">
        <w:rPr>
          <w:rFonts w:ascii="Bookman Old Style" w:hAnsi="Bookman Old Style" w:cs="Arial"/>
        </w:rPr>
        <w:t>ormarán parte de la base gravable de liquidación de la contribución especial 20</w:t>
      </w:r>
      <w:r w:rsidR="00817EB7">
        <w:rPr>
          <w:rFonts w:ascii="Bookman Old Style" w:hAnsi="Bookman Old Style" w:cs="Arial"/>
        </w:rPr>
        <w:t>20</w:t>
      </w:r>
      <w:r w:rsidR="003553A3" w:rsidRPr="003553A3">
        <w:rPr>
          <w:rFonts w:ascii="Bookman Old Style" w:hAnsi="Bookman Old Style" w:cs="Arial"/>
        </w:rPr>
        <w:t>, la sumatoria de los valores reportados y certificados al SUI, por los prestadores de servicios públicos domiciliarios, en los formatos establecidos por la SSPD, de las taxonomías XBRL estructuradas por la SSPD a 31 de diciembre de 201</w:t>
      </w:r>
      <w:r w:rsidR="00817EB7">
        <w:rPr>
          <w:rFonts w:ascii="Bookman Old Style" w:hAnsi="Bookman Old Style" w:cs="Arial"/>
        </w:rPr>
        <w:t>9</w:t>
      </w:r>
      <w:r w:rsidR="003553A3" w:rsidRPr="003553A3">
        <w:rPr>
          <w:rFonts w:ascii="Bookman Old Style" w:hAnsi="Bookman Old Style" w:cs="Arial"/>
        </w:rPr>
        <w:t xml:space="preserve">, organizada por cada servicio público objeto de regulación por parte de la CREG, tomando como corte de toma de información el </w:t>
      </w:r>
      <w:r w:rsidR="00817EB7">
        <w:rPr>
          <w:rFonts w:ascii="Bookman Old Style" w:hAnsi="Bookman Old Style" w:cs="Arial"/>
        </w:rPr>
        <w:t>22</w:t>
      </w:r>
      <w:r w:rsidR="003553A3" w:rsidRPr="003553A3">
        <w:rPr>
          <w:rFonts w:ascii="Bookman Old Style" w:hAnsi="Bookman Old Style" w:cs="Arial"/>
        </w:rPr>
        <w:t xml:space="preserve"> de </w:t>
      </w:r>
      <w:r w:rsidR="00817EB7">
        <w:rPr>
          <w:rFonts w:ascii="Bookman Old Style" w:hAnsi="Bookman Old Style" w:cs="Arial"/>
        </w:rPr>
        <w:t>septiembre</w:t>
      </w:r>
      <w:r w:rsidR="003553A3" w:rsidRPr="003553A3">
        <w:rPr>
          <w:rFonts w:ascii="Bookman Old Style" w:hAnsi="Bookman Old Style" w:cs="Arial"/>
        </w:rPr>
        <w:t xml:space="preserve"> de 20</w:t>
      </w:r>
      <w:r w:rsidR="00817EB7">
        <w:rPr>
          <w:rFonts w:ascii="Bookman Old Style" w:hAnsi="Bookman Old Style" w:cs="Arial"/>
        </w:rPr>
        <w:t>20</w:t>
      </w:r>
      <w:r w:rsidR="003553A3" w:rsidRPr="003553A3">
        <w:rPr>
          <w:rFonts w:ascii="Bookman Old Style" w:hAnsi="Bookman Old Style" w:cs="Arial"/>
        </w:rPr>
        <w:t>.</w:t>
      </w:r>
    </w:p>
    <w:p w14:paraId="635DCF8D" w14:textId="591E5B5B" w:rsidR="00E42BC0" w:rsidRDefault="00E42BC0" w:rsidP="00E42BC0">
      <w:pPr>
        <w:ind w:left="0"/>
        <w:jc w:val="both"/>
        <w:rPr>
          <w:rFonts w:ascii="Bookman Old Style" w:hAnsi="Bookman Old Style" w:cs="Arial"/>
        </w:rPr>
      </w:pPr>
    </w:p>
    <w:p w14:paraId="4EE35484" w14:textId="3FF9692A" w:rsidR="00D57566" w:rsidRPr="00D57566" w:rsidRDefault="00D57566" w:rsidP="00D57566">
      <w:pPr>
        <w:ind w:left="0"/>
        <w:jc w:val="both"/>
        <w:rPr>
          <w:rFonts w:ascii="Bookman Old Style" w:hAnsi="Bookman Old Style" w:cs="Arial"/>
        </w:rPr>
      </w:pPr>
      <w:r w:rsidRPr="00D57566">
        <w:rPr>
          <w:rFonts w:ascii="Bookman Old Style" w:hAnsi="Bookman Old Style" w:cs="Arial"/>
        </w:rPr>
        <w:t>Los regulados que no reportaron en el SUI su información financiera con corte a diciembre 31 de 2019 serán tratados como omisos, por cuanto es inaplicable el parágrafo 1 del Artículo 2.2.9.9.10 del Decreto 1082 de 2015, en razón a que no hay base de comparación entre dos metodologías diferentes para liquidar la contribución especial de los años 2019 y 2020</w:t>
      </w:r>
      <w:r w:rsidR="00AD7CFD">
        <w:rPr>
          <w:rFonts w:ascii="Bookman Old Style" w:hAnsi="Bookman Old Style" w:cs="Arial"/>
        </w:rPr>
        <w:t>,</w:t>
      </w:r>
      <w:r w:rsidRPr="00D57566">
        <w:rPr>
          <w:rFonts w:ascii="Bookman Old Style" w:hAnsi="Bookman Old Style" w:cs="Arial"/>
        </w:rPr>
        <w:t xml:space="preserve"> que permita comparar para cotejar y hallar la base gravable, por cuanto al diferir el procedimiento de éstas arrojan resultados asimétricos. </w:t>
      </w:r>
      <w:r>
        <w:rPr>
          <w:rFonts w:ascii="Bookman Old Style" w:hAnsi="Bookman Old Style" w:cs="Arial"/>
        </w:rPr>
        <w:t xml:space="preserve"> </w:t>
      </w:r>
      <w:r w:rsidRPr="00D57566">
        <w:rPr>
          <w:rFonts w:ascii="Bookman Old Style" w:hAnsi="Bookman Old Style" w:cs="Arial"/>
        </w:rPr>
        <w:t>Esta metodología fue modificada a través del artículo 18 de la Ley 1955 de 2019, el cual modificó el artículo 85 de la Ley 142 de 1994.</w:t>
      </w:r>
      <w:r>
        <w:rPr>
          <w:rFonts w:ascii="Bookman Old Style" w:hAnsi="Bookman Old Style" w:cs="Arial"/>
        </w:rPr>
        <w:t xml:space="preserve"> </w:t>
      </w:r>
    </w:p>
    <w:p w14:paraId="022E2280" w14:textId="77777777" w:rsidR="00D57566" w:rsidRPr="00D57566" w:rsidRDefault="00D57566" w:rsidP="00D57566">
      <w:pPr>
        <w:ind w:left="0"/>
        <w:jc w:val="both"/>
        <w:rPr>
          <w:rFonts w:ascii="Bookman Old Style" w:hAnsi="Bookman Old Style" w:cs="Arial"/>
        </w:rPr>
      </w:pPr>
    </w:p>
    <w:p w14:paraId="3EEE341C" w14:textId="3367B400" w:rsidR="00D57566" w:rsidRPr="00D57566" w:rsidRDefault="00D57566" w:rsidP="00D57566">
      <w:pPr>
        <w:ind w:left="0"/>
        <w:jc w:val="both"/>
        <w:rPr>
          <w:rFonts w:ascii="Bookman Old Style" w:hAnsi="Bookman Old Style" w:cs="Arial"/>
        </w:rPr>
      </w:pPr>
      <w:r w:rsidRPr="00D57566">
        <w:rPr>
          <w:rFonts w:ascii="Bookman Old Style" w:hAnsi="Bookman Old Style" w:cs="Arial"/>
        </w:rPr>
        <w:t>Entendiendo en el contexto la asimetría de la información</w:t>
      </w:r>
      <w:r w:rsidR="00AD7CFD">
        <w:rPr>
          <w:rFonts w:ascii="Bookman Old Style" w:hAnsi="Bookman Old Style" w:cs="Arial"/>
        </w:rPr>
        <w:t>,</w:t>
      </w:r>
      <w:r w:rsidRPr="00D57566">
        <w:rPr>
          <w:rFonts w:ascii="Bookman Old Style" w:hAnsi="Bookman Old Style" w:cs="Arial"/>
        </w:rPr>
        <w:t xml:space="preserve"> no sólo como una imperfección en la que dos agentes o personas que participan en un mercado manejan información distinta para la toma de sus decisiones (</w:t>
      </w:r>
      <w:proofErr w:type="spellStart"/>
      <w:r w:rsidRPr="00D57566">
        <w:rPr>
          <w:rFonts w:ascii="Bookman Old Style" w:hAnsi="Bookman Old Style" w:cs="Arial"/>
        </w:rPr>
        <w:t>Akerlof</w:t>
      </w:r>
      <w:proofErr w:type="spellEnd"/>
      <w:r w:rsidRPr="00D57566">
        <w:rPr>
          <w:rFonts w:ascii="Bookman Old Style" w:hAnsi="Bookman Old Style" w:cs="Arial"/>
        </w:rPr>
        <w:t xml:space="preserve">, </w:t>
      </w:r>
      <w:proofErr w:type="spellStart"/>
      <w:r w:rsidRPr="00D57566">
        <w:rPr>
          <w:rFonts w:ascii="Bookman Old Style" w:hAnsi="Bookman Old Style" w:cs="Arial"/>
        </w:rPr>
        <w:t>Spence</w:t>
      </w:r>
      <w:proofErr w:type="spellEnd"/>
      <w:r w:rsidRPr="00D57566">
        <w:rPr>
          <w:rFonts w:ascii="Bookman Old Style" w:hAnsi="Bookman Old Style" w:cs="Arial"/>
        </w:rPr>
        <w:t xml:space="preserve"> y Stiglitz, 2001), sino en nuestro caso, derivada de un fenómeno jurídico de cambio normativo que no permite la comparabilidad de las bases gravables del mismo sujeto pasivo tributario en vigencias diferentes, y por tanto, la administración debe intervenir oportunamente para prevenir una inequidad tributaria con los regulados que declararon oportunamente</w:t>
      </w:r>
      <w:r w:rsidR="00AD7CFD">
        <w:rPr>
          <w:rFonts w:ascii="Bookman Old Style" w:hAnsi="Bookman Old Style" w:cs="Arial"/>
        </w:rPr>
        <w:t>,</w:t>
      </w:r>
      <w:r w:rsidRPr="00D57566">
        <w:rPr>
          <w:rFonts w:ascii="Bookman Old Style" w:hAnsi="Bookman Old Style" w:cs="Arial"/>
        </w:rPr>
        <w:t xml:space="preserve"> y evitar una elusión pasiva del tributo por parte de los no declarantes, en el sentido de la no configuración de la hipótesis establecida en la norma tributaria cómo hecho imponible, o que de configurarse se provoque una carga mucho menor, mediante la realización de hechos que aisladamente son lícitos (Ochoa León, 2014). </w:t>
      </w:r>
    </w:p>
    <w:p w14:paraId="5351E513" w14:textId="77777777" w:rsidR="00D57566" w:rsidRPr="00D57566" w:rsidRDefault="00D57566" w:rsidP="00D57566">
      <w:pPr>
        <w:ind w:left="0"/>
        <w:jc w:val="both"/>
        <w:rPr>
          <w:rFonts w:ascii="Bookman Old Style" w:hAnsi="Bookman Old Style" w:cs="Arial"/>
        </w:rPr>
      </w:pPr>
    </w:p>
    <w:p w14:paraId="7CA3A9DE" w14:textId="5E00A259" w:rsidR="00D57566" w:rsidRDefault="00D57566" w:rsidP="00D57566">
      <w:pPr>
        <w:ind w:left="0"/>
        <w:jc w:val="both"/>
        <w:rPr>
          <w:rFonts w:ascii="Bookman Old Style" w:hAnsi="Bookman Old Style" w:cs="Arial"/>
        </w:rPr>
      </w:pPr>
      <w:r w:rsidRPr="00D57566">
        <w:rPr>
          <w:rFonts w:ascii="Bookman Old Style" w:hAnsi="Bookman Old Style" w:cs="Arial"/>
        </w:rPr>
        <w:t>Lo anterior basado en los principios constitucionales establecidos en los artículos 95, 338 y 363 de equidad, eficiencia, progresividad, reserva de ley, justicia y la prevalencia del derecho sustancial sobre la forma, así como lo fallado por el Consejo de Estado en su sentencia del 2</w:t>
      </w:r>
      <w:r w:rsidR="00AD7CFD">
        <w:rPr>
          <w:rFonts w:ascii="Bookman Old Style" w:hAnsi="Bookman Old Style" w:cs="Arial"/>
        </w:rPr>
        <w:t xml:space="preserve"> de </w:t>
      </w:r>
      <w:r w:rsidRPr="00D57566">
        <w:rPr>
          <w:rFonts w:ascii="Bookman Old Style" w:hAnsi="Bookman Old Style" w:cs="Arial"/>
        </w:rPr>
        <w:t>mar</w:t>
      </w:r>
      <w:r w:rsidR="00AD7CFD">
        <w:rPr>
          <w:rFonts w:ascii="Bookman Old Style" w:hAnsi="Bookman Old Style" w:cs="Arial"/>
        </w:rPr>
        <w:t xml:space="preserve">zo de </w:t>
      </w:r>
      <w:r w:rsidRPr="00D57566">
        <w:rPr>
          <w:rFonts w:ascii="Bookman Old Style" w:hAnsi="Bookman Old Style" w:cs="Arial"/>
        </w:rPr>
        <w:t xml:space="preserve">1990 del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1957 con ponente del Magistrado Dr. Jaime Abella Zárate, la sentencia de la Corte Constitucional </w:t>
      </w:r>
      <w:proofErr w:type="spellStart"/>
      <w:r w:rsidRPr="00D57566">
        <w:rPr>
          <w:rFonts w:ascii="Bookman Old Style" w:hAnsi="Bookman Old Style" w:cs="Arial"/>
        </w:rPr>
        <w:t>N°</w:t>
      </w:r>
      <w:proofErr w:type="spellEnd"/>
      <w:r w:rsidRPr="00D57566">
        <w:rPr>
          <w:rFonts w:ascii="Bookman Old Style" w:hAnsi="Bookman Old Style" w:cs="Arial"/>
        </w:rPr>
        <w:t xml:space="preserve"> C-015 de enero 21 de 1993 y su sentencia unificada </w:t>
      </w:r>
      <w:proofErr w:type="spellStart"/>
      <w:r w:rsidRPr="00D57566">
        <w:rPr>
          <w:rFonts w:ascii="Bookman Old Style" w:hAnsi="Bookman Old Style" w:cs="Arial"/>
        </w:rPr>
        <w:t>N°</w:t>
      </w:r>
      <w:proofErr w:type="spellEnd"/>
      <w:r w:rsidRPr="00D57566">
        <w:rPr>
          <w:rFonts w:ascii="Bookman Old Style" w:hAnsi="Bookman Old Style" w:cs="Arial"/>
        </w:rPr>
        <w:t xml:space="preserve"> SU-1122 de octubre 25 de 2001, así como el concepto de la DIAN </w:t>
      </w:r>
      <w:proofErr w:type="spellStart"/>
      <w:r w:rsidRPr="00D57566">
        <w:rPr>
          <w:rFonts w:ascii="Bookman Old Style" w:hAnsi="Bookman Old Style" w:cs="Arial"/>
        </w:rPr>
        <w:t>N°</w:t>
      </w:r>
      <w:proofErr w:type="spellEnd"/>
      <w:r w:rsidRPr="00D57566">
        <w:rPr>
          <w:rFonts w:ascii="Bookman Old Style" w:hAnsi="Bookman Old Style" w:cs="Arial"/>
        </w:rPr>
        <w:t xml:space="preserve"> 051977 del 2005 y</w:t>
      </w:r>
      <w:r w:rsidR="00AD7CFD">
        <w:rPr>
          <w:rFonts w:ascii="Bookman Old Style" w:hAnsi="Bookman Old Style" w:cs="Arial"/>
        </w:rPr>
        <w:t>,</w:t>
      </w:r>
      <w:r w:rsidRPr="00D57566">
        <w:rPr>
          <w:rFonts w:ascii="Bookman Old Style" w:hAnsi="Bookman Old Style" w:cs="Arial"/>
        </w:rPr>
        <w:t xml:space="preserve"> en tal sentido</w:t>
      </w:r>
      <w:r w:rsidR="00AD7CFD">
        <w:rPr>
          <w:rFonts w:ascii="Bookman Old Style" w:hAnsi="Bookman Old Style" w:cs="Arial"/>
        </w:rPr>
        <w:t>,</w:t>
      </w:r>
      <w:r w:rsidRPr="00D57566">
        <w:rPr>
          <w:rFonts w:ascii="Bookman Old Style" w:hAnsi="Bookman Old Style" w:cs="Arial"/>
        </w:rPr>
        <w:t xml:space="preserve"> adhiriéndose la CREG al argumento del marco normativo vigente de que la verdad formal no es suficiente para interpretar de forma adecuada la ley tributaria y</w:t>
      </w:r>
      <w:r w:rsidR="00AD7CFD">
        <w:rPr>
          <w:rFonts w:ascii="Bookman Old Style" w:hAnsi="Bookman Old Style" w:cs="Arial"/>
        </w:rPr>
        <w:t>,</w:t>
      </w:r>
      <w:r w:rsidRPr="00D57566">
        <w:rPr>
          <w:rFonts w:ascii="Bookman Old Style" w:hAnsi="Bookman Old Style" w:cs="Arial"/>
        </w:rPr>
        <w:t xml:space="preserve"> por consiguiente</w:t>
      </w:r>
      <w:r w:rsidR="00AD7CFD">
        <w:rPr>
          <w:rFonts w:ascii="Bookman Old Style" w:hAnsi="Bookman Old Style" w:cs="Arial"/>
        </w:rPr>
        <w:t>,</w:t>
      </w:r>
      <w:r w:rsidRPr="00D57566">
        <w:rPr>
          <w:rFonts w:ascii="Bookman Old Style" w:hAnsi="Bookman Old Style" w:cs="Arial"/>
        </w:rPr>
        <w:t xml:space="preserve"> hay que buscar la verdad real al momento de determinar la carga impositiva</w:t>
      </w:r>
      <w:r w:rsidR="00AD7CFD">
        <w:rPr>
          <w:rFonts w:ascii="Bookman Old Style" w:hAnsi="Bookman Old Style" w:cs="Arial"/>
        </w:rPr>
        <w:t>,</w:t>
      </w:r>
      <w:r w:rsidRPr="00D57566">
        <w:rPr>
          <w:rFonts w:ascii="Bookman Old Style" w:hAnsi="Bookman Old Style" w:cs="Arial"/>
        </w:rPr>
        <w:t xml:space="preserve"> la cual ha sido objeto de pronunciamiento en diferentes momentos en el Consejo de Estado, en su sentencia del 13 de diciembre de 1995,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7159 con ponencia del Dr. Delio Gómez Leyva, que retoma la sentencia del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1957 de 1990, así como la sentencia del 10 de julio de 2002, con radicación </w:t>
      </w:r>
      <w:proofErr w:type="spellStart"/>
      <w:r w:rsidRPr="00D57566">
        <w:rPr>
          <w:rFonts w:ascii="Bookman Old Style" w:hAnsi="Bookman Old Style" w:cs="Arial"/>
        </w:rPr>
        <w:t>N°</w:t>
      </w:r>
      <w:proofErr w:type="spellEnd"/>
      <w:r w:rsidRPr="00D57566">
        <w:rPr>
          <w:rFonts w:ascii="Bookman Old Style" w:hAnsi="Bookman Old Style" w:cs="Arial"/>
        </w:rPr>
        <w:t xml:space="preserve"> 12411, del Magistrado ponente: Dr. Germán Ayala Mantilla, donde nuevamente el Consejo de Estado retoma la sentencia del 2 de marzo de 1990.</w:t>
      </w:r>
    </w:p>
    <w:p w14:paraId="1D25A6E1" w14:textId="487FB7F1" w:rsidR="00D57566" w:rsidRDefault="00D57566" w:rsidP="00E42BC0">
      <w:pPr>
        <w:ind w:left="0"/>
        <w:jc w:val="both"/>
        <w:rPr>
          <w:rFonts w:ascii="Bookman Old Style" w:hAnsi="Bookman Old Style" w:cs="Arial"/>
        </w:rPr>
      </w:pPr>
    </w:p>
    <w:p w14:paraId="20F043CB" w14:textId="5941AC08" w:rsidR="00E42BC0" w:rsidRPr="00DE4534" w:rsidRDefault="00117D67" w:rsidP="00E42BC0">
      <w:pPr>
        <w:ind w:left="0"/>
        <w:jc w:val="both"/>
        <w:rPr>
          <w:rFonts w:ascii="Bookman Old Style" w:hAnsi="Bookman Old Style" w:cs="Arial"/>
        </w:rPr>
      </w:pPr>
      <w:r>
        <w:rPr>
          <w:rFonts w:ascii="Bookman Old Style" w:hAnsi="Bookman Old Style" w:cs="Arial"/>
        </w:rPr>
        <w:t>P</w:t>
      </w:r>
      <w:r w:rsidR="00E42BC0" w:rsidRPr="00E42BC0">
        <w:rPr>
          <w:rFonts w:ascii="Bookman Old Style" w:hAnsi="Bookman Old Style" w:cs="Arial"/>
        </w:rPr>
        <w:t xml:space="preserve">ara definir los costos de los servicios que presta la </w:t>
      </w:r>
      <w:r w:rsidR="00482643">
        <w:rPr>
          <w:rFonts w:ascii="Bookman Old Style" w:hAnsi="Bookman Old Style" w:cs="Arial"/>
        </w:rPr>
        <w:t>CREG</w:t>
      </w:r>
      <w:r w:rsidR="00E42BC0" w:rsidRPr="00E42BC0">
        <w:rPr>
          <w:rFonts w:ascii="Bookman Old Style" w:hAnsi="Bookman Old Style" w:cs="Arial"/>
        </w:rPr>
        <w:t xml:space="preserve">, se tomó el presupuesto anual de gastos aprobado a la entidad para el período anual </w:t>
      </w:r>
      <w:r w:rsidR="00E42BC0" w:rsidRPr="00FE55BD">
        <w:rPr>
          <w:rFonts w:ascii="Bookman Old Style" w:hAnsi="Bookman Old Style" w:cs="Arial"/>
        </w:rPr>
        <w:t xml:space="preserve">respectivo, el cual está integrado, entre otros, por los gastos de funcionamiento y los gastos de inversión, a la luz de lo dispuesto en el artículo 36 del Estatuto </w:t>
      </w:r>
      <w:r w:rsidR="00E42BC0" w:rsidRPr="00DE4534">
        <w:rPr>
          <w:rFonts w:ascii="Bookman Old Style" w:hAnsi="Bookman Old Style" w:cs="Arial"/>
        </w:rPr>
        <w:t xml:space="preserve">Orgánico del Presupuesto General de la Nación. </w:t>
      </w:r>
    </w:p>
    <w:p w14:paraId="3C6587FB" w14:textId="77777777" w:rsidR="00825371" w:rsidRPr="00DE4534" w:rsidRDefault="00825371" w:rsidP="00E42BC0">
      <w:pPr>
        <w:ind w:left="0"/>
        <w:jc w:val="both"/>
        <w:rPr>
          <w:rFonts w:ascii="Bookman Old Style" w:hAnsi="Bookman Old Style" w:cs="Arial"/>
        </w:rPr>
      </w:pPr>
    </w:p>
    <w:p w14:paraId="1E1E7BBB" w14:textId="7DF9B88E" w:rsidR="00E42BC0" w:rsidRPr="00DE4534" w:rsidRDefault="00117D67" w:rsidP="00E42BC0">
      <w:pPr>
        <w:ind w:left="0"/>
        <w:jc w:val="both"/>
        <w:rPr>
          <w:rFonts w:ascii="Bookman Old Style" w:hAnsi="Bookman Old Style" w:cs="Arial"/>
        </w:rPr>
      </w:pPr>
      <w:r>
        <w:rPr>
          <w:rFonts w:ascii="Bookman Old Style" w:hAnsi="Bookman Old Style" w:cs="Arial"/>
        </w:rPr>
        <w:t>D</w:t>
      </w:r>
      <w:r w:rsidR="00E42BC0" w:rsidRPr="00DE4534">
        <w:rPr>
          <w:rFonts w:ascii="Bookman Old Style" w:hAnsi="Bookman Old Style" w:cs="Arial"/>
        </w:rPr>
        <w:t>e acuerdo con lo anterior</w:t>
      </w:r>
      <w:r w:rsidR="00AD7CFD">
        <w:rPr>
          <w:rFonts w:ascii="Bookman Old Style" w:hAnsi="Bookman Old Style" w:cs="Arial"/>
        </w:rPr>
        <w:t>,</w:t>
      </w:r>
      <w:r w:rsidR="00E42BC0" w:rsidRPr="00DE4534">
        <w:rPr>
          <w:rFonts w:ascii="Bookman Old Style" w:hAnsi="Bookman Old Style" w:cs="Arial"/>
        </w:rPr>
        <w:t xml:space="preserve"> y con el fin de proyectar la tarifa para la liquidación de la contribución especial del año 20</w:t>
      </w:r>
      <w:r w:rsidR="006101D8">
        <w:rPr>
          <w:rFonts w:ascii="Bookman Old Style" w:hAnsi="Bookman Old Style" w:cs="Arial"/>
        </w:rPr>
        <w:t>20</w:t>
      </w:r>
      <w:r w:rsidR="00E42BC0" w:rsidRPr="00DE4534">
        <w:rPr>
          <w:rFonts w:ascii="Bookman Old Style" w:hAnsi="Bookman Old Style" w:cs="Arial"/>
        </w:rPr>
        <w:t xml:space="preserve">, se tomó la información financiera </w:t>
      </w:r>
      <w:r w:rsidR="00E42BC0" w:rsidRPr="00DE4534">
        <w:rPr>
          <w:rFonts w:ascii="Bookman Old Style" w:hAnsi="Bookman Old Style" w:cs="Arial"/>
        </w:rPr>
        <w:lastRenderedPageBreak/>
        <w:t>reportada y certificada con corte a 31 de diciembre de 201</w:t>
      </w:r>
      <w:r w:rsidR="006101D8">
        <w:rPr>
          <w:rFonts w:ascii="Bookman Old Style" w:hAnsi="Bookman Old Style" w:cs="Arial"/>
        </w:rPr>
        <w:t>9</w:t>
      </w:r>
      <w:r w:rsidR="00E42BC0" w:rsidRPr="00DE4534">
        <w:rPr>
          <w:rFonts w:ascii="Bookman Old Style" w:hAnsi="Bookman Old Style" w:cs="Arial"/>
        </w:rPr>
        <w:t xml:space="preserve"> por las entidades sometidas a </w:t>
      </w:r>
      <w:r w:rsidR="00F1173E">
        <w:rPr>
          <w:rFonts w:ascii="Bookman Old Style" w:hAnsi="Bookman Old Style" w:cs="Arial"/>
        </w:rPr>
        <w:t>regulación de la Comisión</w:t>
      </w:r>
      <w:r w:rsidR="00AD7CFD">
        <w:rPr>
          <w:rFonts w:ascii="Bookman Old Style" w:hAnsi="Bookman Old Style" w:cs="Arial"/>
        </w:rPr>
        <w:t>,</w:t>
      </w:r>
      <w:r w:rsidR="00E42BC0" w:rsidRPr="00DE4534">
        <w:rPr>
          <w:rFonts w:ascii="Bookman Old Style" w:hAnsi="Bookman Old Style" w:cs="Arial"/>
        </w:rPr>
        <w:t xml:space="preserve"> y el valor del presupuesto por concepto de ingresos corrientes </w:t>
      </w:r>
      <w:r w:rsidR="006101D8">
        <w:rPr>
          <w:rFonts w:ascii="Bookman Old Style" w:hAnsi="Bookman Old Style" w:cs="Arial"/>
        </w:rPr>
        <w:t xml:space="preserve">de </w:t>
      </w:r>
      <w:r w:rsidR="00E42BC0" w:rsidRPr="00DE4534">
        <w:rPr>
          <w:rFonts w:ascii="Bookman Old Style" w:hAnsi="Bookman Old Style" w:cs="Arial"/>
        </w:rPr>
        <w:t>tasas, multas y contribuciones</w:t>
      </w:r>
      <w:r w:rsidR="006101D8">
        <w:rPr>
          <w:rFonts w:ascii="Bookman Old Style" w:hAnsi="Bookman Old Style" w:cs="Arial"/>
        </w:rPr>
        <w:t>, así como intereses devengados a favor de terceros independientes,</w:t>
      </w:r>
      <w:r w:rsidR="00E42BC0" w:rsidRPr="00DE4534">
        <w:rPr>
          <w:rFonts w:ascii="Bookman Old Style" w:hAnsi="Bookman Old Style" w:cs="Arial"/>
        </w:rPr>
        <w:t xml:space="preserve"> para el año 201</w:t>
      </w:r>
      <w:r w:rsidR="006101D8">
        <w:rPr>
          <w:rFonts w:ascii="Bookman Old Style" w:hAnsi="Bookman Old Style" w:cs="Arial"/>
        </w:rPr>
        <w:t>9</w:t>
      </w:r>
      <w:r w:rsidR="00E42BC0" w:rsidRPr="00DE4534">
        <w:rPr>
          <w:rFonts w:ascii="Bookman Old Style" w:hAnsi="Bookman Old Style" w:cs="Arial"/>
        </w:rPr>
        <w:t xml:space="preserve"> antes indicado.</w:t>
      </w:r>
    </w:p>
    <w:p w14:paraId="127D7CB8" w14:textId="77777777" w:rsidR="00482643" w:rsidRPr="00DE4534" w:rsidRDefault="00482643" w:rsidP="00E42BC0">
      <w:pPr>
        <w:ind w:left="0"/>
        <w:jc w:val="both"/>
        <w:rPr>
          <w:rFonts w:ascii="Bookman Old Style" w:hAnsi="Bookman Old Style" w:cs="Arial"/>
        </w:rPr>
      </w:pPr>
    </w:p>
    <w:p w14:paraId="683C8309" w14:textId="5C93FEB7" w:rsidR="00D66761" w:rsidRDefault="00D66761" w:rsidP="00D66761">
      <w:pPr>
        <w:ind w:left="0"/>
        <w:jc w:val="both"/>
        <w:rPr>
          <w:rFonts w:ascii="Bookman Old Style" w:hAnsi="Bookman Old Style" w:cs="Arial"/>
        </w:rPr>
      </w:pPr>
      <w:bookmarkStart w:id="1" w:name="_Hlk52098252"/>
      <w:r>
        <w:rPr>
          <w:rFonts w:ascii="Bookman Old Style" w:hAnsi="Bookman Old Style" w:cs="Arial"/>
        </w:rPr>
        <w:t xml:space="preserve">El </w:t>
      </w:r>
      <w:r w:rsidR="00D57566" w:rsidRPr="00D66761">
        <w:rPr>
          <w:rFonts w:ascii="Bookman Old Style" w:hAnsi="Bookman Old Style" w:cs="Arial"/>
        </w:rPr>
        <w:t>artículo</w:t>
      </w:r>
      <w:r w:rsidRPr="00D66761">
        <w:rPr>
          <w:rFonts w:ascii="Bookman Old Style" w:hAnsi="Bookman Old Style" w:cs="Arial"/>
        </w:rPr>
        <w:t xml:space="preserve"> 20 de la Ley 2008 de 2019 "</w:t>
      </w:r>
      <w:r w:rsidRPr="0068067F">
        <w:rPr>
          <w:rFonts w:ascii="Bookman Old Style" w:hAnsi="Bookman Old Style" w:cs="Arial"/>
          <w:i/>
          <w:iCs/>
        </w:rPr>
        <w:t>“Por la cual se decreta el Presupuesto de Rentas y Recursos de Capital y Ley de Apropiaciones para la vigencia fiscal del 1 de enero al 31 de diciembre de 2020”</w:t>
      </w:r>
      <w:r>
        <w:rPr>
          <w:rFonts w:ascii="Bookman Old Style" w:hAnsi="Bookman Old Style" w:cs="Arial"/>
          <w:i/>
          <w:iCs/>
        </w:rPr>
        <w:t>,</w:t>
      </w:r>
      <w:r w:rsidRPr="00D66761">
        <w:rPr>
          <w:rFonts w:ascii="Bookman Old Style" w:hAnsi="Bookman Old Style" w:cs="Arial"/>
        </w:rPr>
        <w:t xml:space="preserve"> faculta al Gobierno Nacional para que en el Decreto de liquidación clasifique los ingresos y gastos</w:t>
      </w:r>
      <w:r w:rsidR="00AD7CFD">
        <w:rPr>
          <w:rFonts w:ascii="Bookman Old Style" w:hAnsi="Bookman Old Style" w:cs="Arial"/>
        </w:rPr>
        <w:t>,</w:t>
      </w:r>
      <w:r w:rsidRPr="00D66761">
        <w:rPr>
          <w:rFonts w:ascii="Bookman Old Style" w:hAnsi="Bookman Old Style" w:cs="Arial"/>
        </w:rPr>
        <w:t xml:space="preserve"> y</w:t>
      </w:r>
      <w:r>
        <w:rPr>
          <w:rFonts w:ascii="Bookman Old Style" w:hAnsi="Bookman Old Style" w:cs="Arial"/>
        </w:rPr>
        <w:t xml:space="preserve"> </w:t>
      </w:r>
      <w:r w:rsidRPr="00D66761">
        <w:rPr>
          <w:rFonts w:ascii="Bookman Old Style" w:hAnsi="Bookman Old Style" w:cs="Arial"/>
        </w:rPr>
        <w:t>defina estos últimos</w:t>
      </w:r>
      <w:r>
        <w:rPr>
          <w:rFonts w:ascii="Bookman Old Style" w:hAnsi="Bookman Old Style" w:cs="Arial"/>
        </w:rPr>
        <w:t>.</w:t>
      </w:r>
    </w:p>
    <w:p w14:paraId="416C065A" w14:textId="77777777" w:rsidR="00D66761" w:rsidRDefault="00D66761" w:rsidP="00D66761">
      <w:pPr>
        <w:ind w:left="0"/>
        <w:jc w:val="both"/>
        <w:rPr>
          <w:rFonts w:ascii="Bookman Old Style" w:hAnsi="Bookman Old Style" w:cs="Arial"/>
        </w:rPr>
      </w:pPr>
    </w:p>
    <w:p w14:paraId="555CAB82" w14:textId="4EA9E221" w:rsidR="00733B4E" w:rsidRDefault="009F1528" w:rsidP="00733B4E">
      <w:pPr>
        <w:ind w:left="0"/>
        <w:jc w:val="both"/>
        <w:rPr>
          <w:rFonts w:ascii="Bookman Old Style" w:hAnsi="Bookman Old Style" w:cs="Arial"/>
        </w:rPr>
      </w:pPr>
      <w:r>
        <w:rPr>
          <w:rFonts w:ascii="Bookman Old Style" w:hAnsi="Bookman Old Style" w:cs="Arial"/>
        </w:rPr>
        <w:t>En cumplimiento de la anterior ley citada, l</w:t>
      </w:r>
      <w:r w:rsidR="00733B4E" w:rsidRPr="00733B4E">
        <w:rPr>
          <w:rFonts w:ascii="Bookman Old Style" w:hAnsi="Bookman Old Style" w:cs="Arial"/>
        </w:rPr>
        <w:t>as apropiaciones presupuestales de la CREG para la vigencia fiscal 20</w:t>
      </w:r>
      <w:r w:rsidR="0068067F">
        <w:rPr>
          <w:rFonts w:ascii="Bookman Old Style" w:hAnsi="Bookman Old Style" w:cs="Arial"/>
        </w:rPr>
        <w:t>20</w:t>
      </w:r>
      <w:r w:rsidR="00733B4E" w:rsidRPr="00733B4E">
        <w:rPr>
          <w:rFonts w:ascii="Bookman Old Style" w:hAnsi="Bookman Old Style" w:cs="Arial"/>
        </w:rPr>
        <w:t xml:space="preserve">, fueron establecidas </w:t>
      </w:r>
      <w:r w:rsidR="00D66761" w:rsidRPr="00733B4E">
        <w:rPr>
          <w:rFonts w:ascii="Bookman Old Style" w:hAnsi="Bookman Old Style" w:cs="Arial"/>
        </w:rPr>
        <w:t xml:space="preserve">en el </w:t>
      </w:r>
      <w:r w:rsidR="00D66761">
        <w:rPr>
          <w:rFonts w:ascii="Bookman Old Style" w:hAnsi="Bookman Old Style" w:cs="Arial"/>
        </w:rPr>
        <w:t xml:space="preserve">anexo del </w:t>
      </w:r>
      <w:r w:rsidR="00D66761" w:rsidRPr="00733B4E">
        <w:rPr>
          <w:rFonts w:ascii="Bookman Old Style" w:hAnsi="Bookman Old Style" w:cs="Arial"/>
        </w:rPr>
        <w:t xml:space="preserve">Decreto de </w:t>
      </w:r>
      <w:proofErr w:type="spellStart"/>
      <w:r w:rsidR="00D66761" w:rsidRPr="00733B4E">
        <w:rPr>
          <w:rFonts w:ascii="Bookman Old Style" w:hAnsi="Bookman Old Style" w:cs="Arial"/>
        </w:rPr>
        <w:t>N°</w:t>
      </w:r>
      <w:proofErr w:type="spellEnd"/>
      <w:r w:rsidR="00D66761" w:rsidRPr="00733B4E">
        <w:rPr>
          <w:rFonts w:ascii="Bookman Old Style" w:hAnsi="Bookman Old Style" w:cs="Arial"/>
        </w:rPr>
        <w:t xml:space="preserve"> </w:t>
      </w:r>
      <w:r w:rsidR="00D66761" w:rsidRPr="0068067F">
        <w:rPr>
          <w:rFonts w:ascii="Bookman Old Style" w:hAnsi="Bookman Old Style" w:cs="Arial"/>
        </w:rPr>
        <w:t>2411 del 30 Diciembre 2019</w:t>
      </w:r>
      <w:r w:rsidR="00D66761" w:rsidRPr="00733B4E">
        <w:rPr>
          <w:rFonts w:ascii="Bookman Old Style" w:hAnsi="Bookman Old Style" w:cs="Arial"/>
        </w:rPr>
        <w:t xml:space="preserve">, </w:t>
      </w:r>
      <w:r w:rsidR="00D66761">
        <w:rPr>
          <w:rFonts w:ascii="Bookman Old Style" w:hAnsi="Bookman Old Style" w:cs="Arial"/>
        </w:rPr>
        <w:t>“</w:t>
      </w:r>
      <w:r w:rsidR="00D66761" w:rsidRPr="00D66761">
        <w:rPr>
          <w:rFonts w:ascii="Bookman Old Style" w:hAnsi="Bookman Old Style" w:cs="Arial"/>
          <w:i/>
          <w:iCs/>
        </w:rPr>
        <w:t>Por el cual se liquida el Presupuesto General de la Nación para la vigencia fiscal de 2020, se detallan las apropiaciones y se clasifican y definen los gastos</w:t>
      </w:r>
      <w:r w:rsidR="00D66761">
        <w:rPr>
          <w:rFonts w:ascii="Bookman Old Style" w:hAnsi="Bookman Old Style" w:cs="Arial"/>
          <w:i/>
          <w:iCs/>
        </w:rPr>
        <w:t xml:space="preserve">”, </w:t>
      </w:r>
      <w:r w:rsidR="00733B4E" w:rsidRPr="00733B4E">
        <w:rPr>
          <w:rFonts w:ascii="Bookman Old Style" w:hAnsi="Bookman Old Style" w:cs="Arial"/>
        </w:rPr>
        <w:t xml:space="preserve">en un valor </w:t>
      </w:r>
      <w:r w:rsidR="00D66761">
        <w:rPr>
          <w:rFonts w:ascii="Bookman Old Style" w:hAnsi="Bookman Old Style" w:cs="Arial"/>
        </w:rPr>
        <w:t xml:space="preserve">total </w:t>
      </w:r>
      <w:r w:rsidR="00733B4E" w:rsidRPr="00733B4E">
        <w:rPr>
          <w:rFonts w:ascii="Bookman Old Style" w:hAnsi="Bookman Old Style" w:cs="Arial"/>
        </w:rPr>
        <w:t xml:space="preserve">de </w:t>
      </w:r>
      <w:r w:rsidR="0068067F">
        <w:rPr>
          <w:rFonts w:ascii="Bookman Old Style" w:hAnsi="Bookman Old Style" w:cs="Arial"/>
        </w:rPr>
        <w:t>TREINTA Y SEIS</w:t>
      </w:r>
      <w:r w:rsidR="00733B4E" w:rsidRPr="00733B4E">
        <w:rPr>
          <w:rFonts w:ascii="Bookman Old Style" w:hAnsi="Bookman Old Style" w:cs="Arial"/>
        </w:rPr>
        <w:t xml:space="preserve"> MIL SEISCIENTOS </w:t>
      </w:r>
      <w:r w:rsidR="0068067F">
        <w:rPr>
          <w:rFonts w:ascii="Bookman Old Style" w:hAnsi="Bookman Old Style" w:cs="Arial"/>
        </w:rPr>
        <w:t>SESENTA</w:t>
      </w:r>
      <w:r w:rsidR="00733B4E" w:rsidRPr="00733B4E">
        <w:rPr>
          <w:rFonts w:ascii="Bookman Old Style" w:hAnsi="Bookman Old Style" w:cs="Arial"/>
        </w:rPr>
        <w:t xml:space="preserve"> Y </w:t>
      </w:r>
      <w:r w:rsidR="0068067F">
        <w:rPr>
          <w:rFonts w:ascii="Bookman Old Style" w:hAnsi="Bookman Old Style" w:cs="Arial"/>
        </w:rPr>
        <w:t xml:space="preserve">SIETE </w:t>
      </w:r>
      <w:r w:rsidR="00733B4E" w:rsidRPr="00733B4E">
        <w:rPr>
          <w:rFonts w:ascii="Bookman Old Style" w:hAnsi="Bookman Old Style" w:cs="Arial"/>
        </w:rPr>
        <w:t xml:space="preserve">MILLONES </w:t>
      </w:r>
      <w:r w:rsidR="0068067F">
        <w:rPr>
          <w:rFonts w:ascii="Bookman Old Style" w:hAnsi="Bookman Old Style" w:cs="Arial"/>
        </w:rPr>
        <w:t>OCHOCIENTOS</w:t>
      </w:r>
      <w:r w:rsidR="00733B4E" w:rsidRPr="00733B4E">
        <w:rPr>
          <w:rFonts w:ascii="Bookman Old Style" w:hAnsi="Bookman Old Style" w:cs="Arial"/>
        </w:rPr>
        <w:t xml:space="preserve"> </w:t>
      </w:r>
      <w:r w:rsidR="0068067F">
        <w:rPr>
          <w:rFonts w:ascii="Bookman Old Style" w:hAnsi="Bookman Old Style" w:cs="Arial"/>
        </w:rPr>
        <w:t>SESENTA Y OCHO</w:t>
      </w:r>
      <w:r w:rsidR="00733B4E" w:rsidRPr="00733B4E">
        <w:rPr>
          <w:rFonts w:ascii="Bookman Old Style" w:hAnsi="Bookman Old Style" w:cs="Arial"/>
        </w:rPr>
        <w:t xml:space="preserve"> MIL </w:t>
      </w:r>
      <w:r w:rsidR="0068067F">
        <w:rPr>
          <w:rFonts w:ascii="Bookman Old Style" w:hAnsi="Bookman Old Style" w:cs="Arial"/>
        </w:rPr>
        <w:t>CIENTO SETENTA Y UN</w:t>
      </w:r>
      <w:r w:rsidR="00733B4E" w:rsidRPr="00733B4E">
        <w:rPr>
          <w:rFonts w:ascii="Bookman Old Style" w:hAnsi="Bookman Old Style" w:cs="Arial"/>
        </w:rPr>
        <w:t xml:space="preserve"> PESO</w:t>
      </w:r>
      <w:r w:rsidR="0068067F">
        <w:rPr>
          <w:rFonts w:ascii="Bookman Old Style" w:hAnsi="Bookman Old Style" w:cs="Arial"/>
        </w:rPr>
        <w:t>S</w:t>
      </w:r>
      <w:r w:rsidR="00733B4E" w:rsidRPr="00733B4E">
        <w:rPr>
          <w:rFonts w:ascii="Bookman Old Style" w:hAnsi="Bookman Old Style" w:cs="Arial"/>
        </w:rPr>
        <w:t xml:space="preserve"> M/CTE ($</w:t>
      </w:r>
      <w:r w:rsidR="0068067F">
        <w:rPr>
          <w:rFonts w:ascii="Bookman Old Style" w:hAnsi="Bookman Old Style" w:cs="Arial"/>
        </w:rPr>
        <w:t>36</w:t>
      </w:r>
      <w:r w:rsidR="00733B4E" w:rsidRPr="00733B4E">
        <w:rPr>
          <w:rFonts w:ascii="Bookman Old Style" w:hAnsi="Bookman Old Style" w:cs="Arial"/>
        </w:rPr>
        <w:t>,</w:t>
      </w:r>
      <w:r w:rsidR="0068067F">
        <w:rPr>
          <w:rFonts w:ascii="Bookman Old Style" w:hAnsi="Bookman Old Style" w:cs="Arial"/>
        </w:rPr>
        <w:t>667</w:t>
      </w:r>
      <w:r w:rsidR="00733B4E" w:rsidRPr="00733B4E">
        <w:rPr>
          <w:rFonts w:ascii="Bookman Old Style" w:hAnsi="Bookman Old Style" w:cs="Arial"/>
        </w:rPr>
        <w:t>,</w:t>
      </w:r>
      <w:r w:rsidR="0068067F">
        <w:rPr>
          <w:rFonts w:ascii="Bookman Old Style" w:hAnsi="Bookman Old Style" w:cs="Arial"/>
        </w:rPr>
        <w:t>868</w:t>
      </w:r>
      <w:r w:rsidR="00733B4E" w:rsidRPr="00733B4E">
        <w:rPr>
          <w:rFonts w:ascii="Bookman Old Style" w:hAnsi="Bookman Old Style" w:cs="Arial"/>
        </w:rPr>
        <w:t>,</w:t>
      </w:r>
      <w:r w:rsidR="0068067F">
        <w:rPr>
          <w:rFonts w:ascii="Bookman Old Style" w:hAnsi="Bookman Old Style" w:cs="Arial"/>
        </w:rPr>
        <w:t>171</w:t>
      </w:r>
      <w:r w:rsidR="00733B4E" w:rsidRPr="00733B4E">
        <w:rPr>
          <w:rFonts w:ascii="Bookman Old Style" w:hAnsi="Bookman Old Style" w:cs="Arial"/>
        </w:rPr>
        <w:t>), el cual debe ser cubierto con el recaudo de la contribución especial de que trata el artículo 85 de la Ley 142 de 1994.</w:t>
      </w:r>
    </w:p>
    <w:p w14:paraId="6654E633" w14:textId="79C0719E" w:rsidR="009F1528" w:rsidRDefault="009F1528" w:rsidP="00733B4E">
      <w:pPr>
        <w:ind w:left="0"/>
        <w:jc w:val="both"/>
        <w:rPr>
          <w:rFonts w:ascii="Bookman Old Style" w:hAnsi="Bookman Old Style" w:cs="Arial"/>
        </w:rPr>
      </w:pPr>
    </w:p>
    <w:p w14:paraId="66D3B8CD" w14:textId="2B2828B6" w:rsidR="009F1528" w:rsidRPr="00733B4E" w:rsidRDefault="009F1528" w:rsidP="00733B4E">
      <w:pPr>
        <w:ind w:left="0"/>
        <w:jc w:val="both"/>
        <w:rPr>
          <w:rFonts w:ascii="Bookman Old Style" w:hAnsi="Bookman Old Style" w:cs="Arial"/>
        </w:rPr>
      </w:pPr>
      <w:r w:rsidRPr="009F1528">
        <w:rPr>
          <w:rFonts w:ascii="Bookman Old Style" w:hAnsi="Bookman Old Style" w:cs="Arial"/>
        </w:rPr>
        <w:t>A través de la liquidación, cobro y recaudo de la contribución especial se financia el presupuesto de gastos de funcionamiento e inversión de la CREG, con el fin de recuperar los costos del servicio de la actividad regulatoria.</w:t>
      </w:r>
    </w:p>
    <w:bookmarkEnd w:id="1"/>
    <w:p w14:paraId="7BA71418" w14:textId="78C09596" w:rsidR="0068067F" w:rsidRDefault="0068067F" w:rsidP="00733B4E">
      <w:pPr>
        <w:ind w:left="0"/>
        <w:jc w:val="both"/>
        <w:rPr>
          <w:rFonts w:ascii="Bookman Old Style" w:hAnsi="Bookman Old Style" w:cs="Arial"/>
        </w:rPr>
      </w:pPr>
    </w:p>
    <w:p w14:paraId="12B7BF51" w14:textId="6BD1F993" w:rsidR="009D43B2" w:rsidRPr="009D43B2" w:rsidRDefault="009D43B2" w:rsidP="009D43B2">
      <w:pPr>
        <w:ind w:left="0"/>
        <w:jc w:val="both"/>
        <w:rPr>
          <w:rFonts w:ascii="Bookman Old Style" w:hAnsi="Bookman Old Style" w:cs="Arial"/>
        </w:rPr>
      </w:pPr>
      <w:r w:rsidRPr="009D43B2">
        <w:rPr>
          <w:rFonts w:ascii="Bookman Old Style" w:hAnsi="Bookman Old Style" w:cs="Arial"/>
        </w:rPr>
        <w:t>Con el fin de proporcionar el esfuerzo regulatorio por servicio prestado</w:t>
      </w:r>
      <w:r w:rsidR="00AD7CFD">
        <w:rPr>
          <w:rFonts w:ascii="Bookman Old Style" w:hAnsi="Bookman Old Style" w:cs="Arial"/>
        </w:rPr>
        <w:t>,</w:t>
      </w:r>
      <w:r w:rsidRPr="009D43B2">
        <w:rPr>
          <w:rFonts w:ascii="Bookman Old Style" w:hAnsi="Bookman Old Style" w:cs="Arial"/>
        </w:rPr>
        <w:t xml:space="preserve"> y conforme al parágrafo 1 del artículo 2.2.9.9.7. Cobro, recaudo y aplicación del anticipo de las contribuciones especiales del Decreto 1082 de 2015, para la vigencia 2020 la CREG liquidará proporcionalmente la contribución especial a los sujetos pasivos tomando como referencia los costos asociados a la actividad regulatoria de cada servicio prestado, de acuerdo al origen de los recursos de las apropiaciones presupuestales que venían siendo cubiertas con aportes del PGN, dentro del presupuesto total aprobado para la CREG, durante los últimos tres (3) años, así: recurso 16 PGN SSF: Personas prestadoras del servicio de energía y gas combustible (GN, GLP), y recurso 10 PGN CSF: Personas prestadoras de la cadena de combustibles líquidos.</w:t>
      </w:r>
    </w:p>
    <w:p w14:paraId="2E333CC0" w14:textId="77777777" w:rsidR="009D43B2" w:rsidRPr="009D43B2" w:rsidRDefault="009D43B2" w:rsidP="009D43B2">
      <w:pPr>
        <w:ind w:left="0"/>
        <w:jc w:val="both"/>
        <w:rPr>
          <w:rFonts w:ascii="Bookman Old Style" w:hAnsi="Bookman Old Style" w:cs="Arial"/>
        </w:rPr>
      </w:pPr>
    </w:p>
    <w:p w14:paraId="7EAE5FAC" w14:textId="7160758F" w:rsidR="009D43B2" w:rsidRDefault="009D43B2" w:rsidP="009D43B2">
      <w:pPr>
        <w:ind w:left="0"/>
        <w:jc w:val="both"/>
        <w:rPr>
          <w:rFonts w:ascii="Bookman Old Style" w:hAnsi="Bookman Old Style" w:cs="Arial"/>
        </w:rPr>
      </w:pPr>
      <w:r w:rsidRPr="009D43B2">
        <w:rPr>
          <w:rFonts w:ascii="Bookman Old Style" w:hAnsi="Bookman Old Style" w:cs="Arial"/>
        </w:rPr>
        <w:t>Con base en lo anterior</w:t>
      </w:r>
      <w:r w:rsidR="00AD7CFD">
        <w:rPr>
          <w:rFonts w:ascii="Bookman Old Style" w:hAnsi="Bookman Old Style" w:cs="Arial"/>
        </w:rPr>
        <w:t>,</w:t>
      </w:r>
      <w:r w:rsidRPr="009D43B2">
        <w:rPr>
          <w:rFonts w:ascii="Bookman Old Style" w:hAnsi="Bookman Old Style" w:cs="Arial"/>
        </w:rPr>
        <w:t xml:space="preserve"> se obtuvo la media aritmética (</w:t>
      </w:r>
      <w:r>
        <w:rPr>
          <w:rFonts w:ascii="Bookman Old Style" w:hAnsi="Bookman Old Style" w:cs="Arial"/>
        </w:rPr>
        <w:t xml:space="preserve"> </w:t>
      </w:r>
      <m:oMath>
        <m:acc>
          <m:accPr>
            <m:chr m:val="̅"/>
            <m:ctrlPr>
              <w:rPr>
                <w:rFonts w:ascii="Cambria Math" w:hAnsi="Cambria Math" w:cs="Arial"/>
                <w:i/>
              </w:rPr>
            </m:ctrlPr>
          </m:accPr>
          <m:e>
            <m:r>
              <w:rPr>
                <w:rFonts w:ascii="Cambria Math" w:hAnsi="Cambria Math" w:cs="Arial"/>
              </w:rPr>
              <m:t>X</m:t>
            </m:r>
          </m:e>
        </m:acc>
      </m:oMath>
      <w:r>
        <w:rPr>
          <w:rFonts w:ascii="Bookman Old Style" w:hAnsi="Bookman Old Style" w:cs="Arial"/>
        </w:rPr>
        <w:t xml:space="preserve"> </w:t>
      </w:r>
      <w:r w:rsidRPr="009D43B2">
        <w:rPr>
          <w:rFonts w:ascii="Bookman Old Style" w:hAnsi="Bookman Old Style" w:cs="Arial"/>
        </w:rPr>
        <w:t>) de las vigencias 2017, 2018 y 2019, dando como resultado una participaci</w:t>
      </w:r>
      <w:r w:rsidRPr="009D43B2">
        <w:rPr>
          <w:rFonts w:ascii="Bookman Old Style" w:hAnsi="Bookman Old Style" w:cs="Bookman Old Style"/>
        </w:rPr>
        <w:t>ó</w:t>
      </w:r>
      <w:r w:rsidRPr="009D43B2">
        <w:rPr>
          <w:rFonts w:ascii="Bookman Old Style" w:hAnsi="Bookman Old Style" w:cs="Arial"/>
        </w:rPr>
        <w:t xml:space="preserve">n del 83.07% para los servicios prestados de </w:t>
      </w:r>
      <w:r w:rsidR="00FB5FBD" w:rsidRPr="009D43B2">
        <w:rPr>
          <w:rFonts w:ascii="Bookman Old Style" w:hAnsi="Bookman Old Style" w:cs="Arial"/>
        </w:rPr>
        <w:t>energía</w:t>
      </w:r>
      <w:r w:rsidRPr="009D43B2">
        <w:rPr>
          <w:rFonts w:ascii="Bookman Old Style" w:hAnsi="Bookman Old Style" w:cs="Arial"/>
        </w:rPr>
        <w:t xml:space="preserve"> y gas combustible (GN, GLP), y una participación del 16.93% para los servicios de combustibles líquidos, el cual se detalla a continuación</w:t>
      </w:r>
      <w:r>
        <w:rPr>
          <w:rFonts w:ascii="Bookman Old Style" w:hAnsi="Bookman Old Style" w:cs="Arial"/>
        </w:rPr>
        <w:t>:</w:t>
      </w:r>
    </w:p>
    <w:p w14:paraId="3AE0EFEB" w14:textId="77777777" w:rsidR="00E7351A" w:rsidRDefault="00E7351A" w:rsidP="009D43B2">
      <w:pPr>
        <w:ind w:left="0"/>
        <w:jc w:val="both"/>
        <w:rPr>
          <w:rFonts w:ascii="Bookman Old Style" w:hAnsi="Bookman Old Style" w:cs="Arial"/>
        </w:rPr>
      </w:pPr>
    </w:p>
    <w:tbl>
      <w:tblPr>
        <w:tblW w:w="9351" w:type="dxa"/>
        <w:jc w:val="center"/>
        <w:tblLayout w:type="fixed"/>
        <w:tblCellMar>
          <w:left w:w="70" w:type="dxa"/>
          <w:right w:w="70" w:type="dxa"/>
        </w:tblCellMar>
        <w:tblLook w:val="04A0" w:firstRow="1" w:lastRow="0" w:firstColumn="1" w:lastColumn="0" w:noHBand="0" w:noVBand="1"/>
      </w:tblPr>
      <w:tblGrid>
        <w:gridCol w:w="1129"/>
        <w:gridCol w:w="1418"/>
        <w:gridCol w:w="1134"/>
        <w:gridCol w:w="1276"/>
        <w:gridCol w:w="1134"/>
        <w:gridCol w:w="1417"/>
        <w:gridCol w:w="1134"/>
        <w:gridCol w:w="709"/>
      </w:tblGrid>
      <w:tr w:rsidR="009D43B2" w:rsidRPr="001F5D0C" w14:paraId="2BA051C0" w14:textId="77777777" w:rsidTr="00D0527D">
        <w:trPr>
          <w:trHeight w:val="300"/>
          <w:jc w:val="center"/>
        </w:trPr>
        <w:tc>
          <w:tcPr>
            <w:tcW w:w="112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5B6AB3B5"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Servicio</w:t>
            </w:r>
          </w:p>
        </w:tc>
        <w:tc>
          <w:tcPr>
            <w:tcW w:w="2552"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277D1D3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2017</w:t>
            </w:r>
          </w:p>
        </w:tc>
        <w:tc>
          <w:tcPr>
            <w:tcW w:w="2410"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05D6A77E"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2018</w:t>
            </w:r>
          </w:p>
        </w:tc>
        <w:tc>
          <w:tcPr>
            <w:tcW w:w="2551"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16E43E74"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2019</w:t>
            </w:r>
          </w:p>
        </w:tc>
        <w:tc>
          <w:tcPr>
            <w:tcW w:w="70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4D3CAC06" w14:textId="77777777" w:rsidR="009D43B2" w:rsidRPr="001F5D0C" w:rsidRDefault="00CB50A8" w:rsidP="009D43B2">
            <w:pPr>
              <w:ind w:left="0"/>
              <w:rPr>
                <w:rFonts w:ascii="Microsoft Sans Serif" w:hAnsi="Microsoft Sans Serif" w:cs="Microsoft Sans Serif"/>
                <w:sz w:val="19"/>
                <w:szCs w:val="19"/>
                <w:highlight w:val="lightGray"/>
              </w:rPr>
            </w:pPr>
            <m:oMathPara>
              <m:oMath>
                <m:acc>
                  <m:accPr>
                    <m:chr m:val="̅"/>
                    <m:ctrlPr>
                      <w:rPr>
                        <w:rFonts w:ascii="Cambria Math" w:hAnsi="Cambria Math" w:cs="Microsoft Sans Serif"/>
                        <w:i/>
                        <w:sz w:val="19"/>
                        <w:szCs w:val="19"/>
                        <w:highlight w:val="lightGray"/>
                      </w:rPr>
                    </m:ctrlPr>
                  </m:accPr>
                  <m:e>
                    <m:r>
                      <w:rPr>
                        <w:rFonts w:ascii="Cambria Math" w:hAnsi="Cambria Math" w:cs="Microsoft Sans Serif"/>
                        <w:sz w:val="19"/>
                        <w:szCs w:val="19"/>
                        <w:highlight w:val="lightGray"/>
                      </w:rPr>
                      <m:t>x</m:t>
                    </m:r>
                  </m:e>
                </m:acc>
              </m:oMath>
            </m:oMathPara>
          </w:p>
        </w:tc>
      </w:tr>
      <w:tr w:rsidR="001F5D0C" w:rsidRPr="001F5D0C" w14:paraId="74AB0932" w14:textId="77777777" w:rsidTr="00D0527D">
        <w:trPr>
          <w:trHeight w:val="510"/>
          <w:jc w:val="center"/>
        </w:trPr>
        <w:tc>
          <w:tcPr>
            <w:tcW w:w="1129" w:type="dxa"/>
            <w:vMerge/>
            <w:tcBorders>
              <w:top w:val="single" w:sz="4" w:space="0" w:color="0070C0"/>
              <w:left w:val="single" w:sz="4" w:space="0" w:color="0070C0"/>
              <w:bottom w:val="single" w:sz="4" w:space="0" w:color="0070C0"/>
              <w:right w:val="single" w:sz="4" w:space="0" w:color="0070C0"/>
            </w:tcBorders>
            <w:vAlign w:val="center"/>
            <w:hideMark/>
          </w:tcPr>
          <w:p w14:paraId="406CF7FC" w14:textId="77777777" w:rsidR="009D43B2" w:rsidRPr="001F5D0C" w:rsidRDefault="009D43B2" w:rsidP="009D43B2">
            <w:pPr>
              <w:ind w:left="0"/>
              <w:rPr>
                <w:rFonts w:ascii="Arial Narrow" w:hAnsi="Arial Narrow" w:cs="Calibri"/>
                <w:b/>
                <w:bCs/>
                <w:sz w:val="19"/>
                <w:szCs w:val="19"/>
                <w:highlight w:val="lightGray"/>
                <w:lang w:eastAsia="es-CO"/>
              </w:rPr>
            </w:pPr>
          </w:p>
        </w:tc>
        <w:tc>
          <w:tcPr>
            <w:tcW w:w="1418" w:type="dxa"/>
            <w:tcBorders>
              <w:top w:val="nil"/>
              <w:left w:val="nil"/>
              <w:bottom w:val="single" w:sz="4" w:space="0" w:color="0070C0"/>
              <w:right w:val="single" w:sz="4" w:space="0" w:color="0070C0"/>
            </w:tcBorders>
            <w:shd w:val="clear" w:color="000000" w:fill="D0CECE"/>
            <w:vAlign w:val="center"/>
            <w:hideMark/>
          </w:tcPr>
          <w:p w14:paraId="2F72521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4FC42A80"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1276" w:type="dxa"/>
            <w:tcBorders>
              <w:top w:val="nil"/>
              <w:left w:val="nil"/>
              <w:bottom w:val="single" w:sz="4" w:space="0" w:color="0070C0"/>
              <w:right w:val="single" w:sz="4" w:space="0" w:color="0070C0"/>
            </w:tcBorders>
            <w:shd w:val="clear" w:color="000000" w:fill="D0CECE"/>
            <w:vAlign w:val="center"/>
            <w:hideMark/>
          </w:tcPr>
          <w:p w14:paraId="339F4ACA"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0104FC81"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1417" w:type="dxa"/>
            <w:tcBorders>
              <w:top w:val="nil"/>
              <w:left w:val="nil"/>
              <w:bottom w:val="single" w:sz="4" w:space="0" w:color="0070C0"/>
              <w:right w:val="single" w:sz="4" w:space="0" w:color="0070C0"/>
            </w:tcBorders>
            <w:shd w:val="clear" w:color="000000" w:fill="D0CECE"/>
            <w:vAlign w:val="center"/>
            <w:hideMark/>
          </w:tcPr>
          <w:p w14:paraId="3757A187"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37DC8885"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709" w:type="dxa"/>
            <w:vMerge/>
            <w:tcBorders>
              <w:top w:val="single" w:sz="4" w:space="0" w:color="0070C0"/>
              <w:left w:val="single" w:sz="4" w:space="0" w:color="0070C0"/>
              <w:bottom w:val="single" w:sz="4" w:space="0" w:color="0070C0"/>
              <w:right w:val="single" w:sz="4" w:space="0" w:color="0070C0"/>
            </w:tcBorders>
            <w:vAlign w:val="center"/>
            <w:hideMark/>
          </w:tcPr>
          <w:p w14:paraId="226E1868" w14:textId="77777777" w:rsidR="009D43B2" w:rsidRPr="001F5D0C" w:rsidRDefault="009D43B2" w:rsidP="009D43B2">
            <w:pPr>
              <w:ind w:left="0"/>
              <w:rPr>
                <w:rFonts w:ascii="Arial Narrow" w:hAnsi="Arial Narrow" w:cs="Calibri"/>
                <w:b/>
                <w:bCs/>
                <w:sz w:val="19"/>
                <w:szCs w:val="19"/>
                <w:highlight w:val="lightGray"/>
                <w:lang w:eastAsia="es-CO"/>
              </w:rPr>
            </w:pPr>
          </w:p>
        </w:tc>
      </w:tr>
      <w:tr w:rsidR="001F5D0C" w:rsidRPr="001F5D0C" w14:paraId="38B5CC5F" w14:textId="77777777" w:rsidTr="00D0527D">
        <w:trPr>
          <w:trHeight w:val="681"/>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68E25736" w14:textId="77777777" w:rsidR="001F5D0C"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 xml:space="preserve">Energía y gas combustible </w:t>
            </w:r>
          </w:p>
          <w:p w14:paraId="608CC4F0" w14:textId="36AEBF01"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(GN, GLP)</w:t>
            </w:r>
          </w:p>
        </w:tc>
        <w:tc>
          <w:tcPr>
            <w:tcW w:w="1418" w:type="dxa"/>
            <w:tcBorders>
              <w:top w:val="nil"/>
              <w:left w:val="nil"/>
              <w:bottom w:val="single" w:sz="4" w:space="0" w:color="0070C0"/>
              <w:right w:val="single" w:sz="4" w:space="0" w:color="0070C0"/>
            </w:tcBorders>
            <w:shd w:val="clear" w:color="000000" w:fill="FFFFFF"/>
            <w:vAlign w:val="center"/>
            <w:hideMark/>
          </w:tcPr>
          <w:p w14:paraId="136C1C1C"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20.317.309.000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57F0762"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80,52%</w:t>
            </w:r>
          </w:p>
        </w:tc>
        <w:tc>
          <w:tcPr>
            <w:tcW w:w="1276" w:type="dxa"/>
            <w:tcBorders>
              <w:top w:val="nil"/>
              <w:left w:val="nil"/>
              <w:bottom w:val="single" w:sz="4" w:space="0" w:color="0070C0"/>
              <w:right w:val="single" w:sz="4" w:space="0" w:color="0070C0"/>
            </w:tcBorders>
            <w:shd w:val="clear" w:color="000000" w:fill="FFFFFF"/>
            <w:vAlign w:val="center"/>
            <w:hideMark/>
          </w:tcPr>
          <w:p w14:paraId="654B10B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23.961.291.000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BCC4B3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83,73%</w:t>
            </w:r>
          </w:p>
        </w:tc>
        <w:tc>
          <w:tcPr>
            <w:tcW w:w="1417" w:type="dxa"/>
            <w:tcBorders>
              <w:top w:val="nil"/>
              <w:left w:val="nil"/>
              <w:bottom w:val="single" w:sz="4" w:space="0" w:color="0070C0"/>
              <w:right w:val="single" w:sz="4" w:space="0" w:color="0070C0"/>
            </w:tcBorders>
            <w:shd w:val="clear" w:color="000000" w:fill="FFFFFF"/>
            <w:vAlign w:val="center"/>
            <w:hideMark/>
          </w:tcPr>
          <w:p w14:paraId="376D5810"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28.015.328.300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78D83FA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84,97%</w:t>
            </w:r>
          </w:p>
        </w:tc>
        <w:tc>
          <w:tcPr>
            <w:tcW w:w="709" w:type="dxa"/>
            <w:tcBorders>
              <w:top w:val="nil"/>
              <w:left w:val="nil"/>
              <w:bottom w:val="single" w:sz="4" w:space="0" w:color="0070C0"/>
              <w:right w:val="single" w:sz="4" w:space="0" w:color="0070C0"/>
            </w:tcBorders>
            <w:shd w:val="clear" w:color="000000" w:fill="FFFFFF"/>
            <w:noWrap/>
            <w:vAlign w:val="center"/>
            <w:hideMark/>
          </w:tcPr>
          <w:p w14:paraId="1B0F6581"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83,07%</w:t>
            </w:r>
          </w:p>
        </w:tc>
      </w:tr>
      <w:tr w:rsidR="001F5D0C" w:rsidRPr="001F5D0C" w14:paraId="40C3E2B9" w14:textId="77777777" w:rsidTr="00D0527D">
        <w:trPr>
          <w:trHeight w:val="510"/>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316E2F6E" w14:textId="77777777"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Combustibles Líquidos</w:t>
            </w:r>
          </w:p>
        </w:tc>
        <w:tc>
          <w:tcPr>
            <w:tcW w:w="1418" w:type="dxa"/>
            <w:tcBorders>
              <w:top w:val="nil"/>
              <w:left w:val="nil"/>
              <w:bottom w:val="single" w:sz="4" w:space="0" w:color="0070C0"/>
              <w:right w:val="single" w:sz="4" w:space="0" w:color="0070C0"/>
            </w:tcBorders>
            <w:shd w:val="clear" w:color="000000" w:fill="FFFFFF"/>
            <w:vAlign w:val="center"/>
            <w:hideMark/>
          </w:tcPr>
          <w:p w14:paraId="6B1E5D69"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4.914.464.000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6F265CE"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19,48%</w:t>
            </w:r>
          </w:p>
        </w:tc>
        <w:tc>
          <w:tcPr>
            <w:tcW w:w="1276" w:type="dxa"/>
            <w:tcBorders>
              <w:top w:val="nil"/>
              <w:left w:val="nil"/>
              <w:bottom w:val="single" w:sz="4" w:space="0" w:color="0070C0"/>
              <w:right w:val="single" w:sz="4" w:space="0" w:color="0070C0"/>
            </w:tcBorders>
            <w:shd w:val="clear" w:color="000000" w:fill="FFFFFF"/>
            <w:vAlign w:val="center"/>
            <w:hideMark/>
          </w:tcPr>
          <w:p w14:paraId="1C384F9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4.656.164.000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7529087"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16,27%</w:t>
            </w:r>
          </w:p>
        </w:tc>
        <w:tc>
          <w:tcPr>
            <w:tcW w:w="1417" w:type="dxa"/>
            <w:tcBorders>
              <w:top w:val="nil"/>
              <w:left w:val="nil"/>
              <w:bottom w:val="single" w:sz="4" w:space="0" w:color="0070C0"/>
              <w:right w:val="single" w:sz="4" w:space="0" w:color="0070C0"/>
            </w:tcBorders>
            <w:shd w:val="clear" w:color="000000" w:fill="FFFFFF"/>
            <w:vAlign w:val="center"/>
            <w:hideMark/>
          </w:tcPr>
          <w:p w14:paraId="757F4CC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4.955.734.000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2FB06D6B"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15,03%</w:t>
            </w:r>
          </w:p>
        </w:tc>
        <w:tc>
          <w:tcPr>
            <w:tcW w:w="709" w:type="dxa"/>
            <w:tcBorders>
              <w:top w:val="nil"/>
              <w:left w:val="nil"/>
              <w:bottom w:val="single" w:sz="4" w:space="0" w:color="0070C0"/>
              <w:right w:val="single" w:sz="4" w:space="0" w:color="0070C0"/>
            </w:tcBorders>
            <w:shd w:val="clear" w:color="000000" w:fill="FFFFFF"/>
            <w:noWrap/>
            <w:vAlign w:val="center"/>
            <w:hideMark/>
          </w:tcPr>
          <w:p w14:paraId="1E626B87"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16,93%</w:t>
            </w:r>
          </w:p>
        </w:tc>
      </w:tr>
      <w:tr w:rsidR="001F5D0C" w:rsidRPr="001F5D0C" w14:paraId="4932B128" w14:textId="77777777" w:rsidTr="00D0527D">
        <w:trPr>
          <w:trHeight w:val="300"/>
          <w:jc w:val="center"/>
        </w:trPr>
        <w:tc>
          <w:tcPr>
            <w:tcW w:w="1129" w:type="dxa"/>
            <w:tcBorders>
              <w:top w:val="nil"/>
              <w:left w:val="single" w:sz="4" w:space="0" w:color="0070C0"/>
              <w:bottom w:val="single" w:sz="4" w:space="0" w:color="0070C0"/>
              <w:right w:val="single" w:sz="4" w:space="0" w:color="0070C0"/>
            </w:tcBorders>
            <w:shd w:val="clear" w:color="000000" w:fill="D0CECE"/>
            <w:noWrap/>
            <w:vAlign w:val="center"/>
            <w:hideMark/>
          </w:tcPr>
          <w:p w14:paraId="35DDB464" w14:textId="77777777" w:rsidR="009D43B2" w:rsidRPr="001F5D0C" w:rsidRDefault="009D43B2" w:rsidP="009D43B2">
            <w:pPr>
              <w:ind w:left="0"/>
              <w:jc w:val="center"/>
              <w:rPr>
                <w:rFonts w:ascii="Arial Narrow" w:hAnsi="Arial Narrow" w:cs="Calibri"/>
                <w:b/>
                <w:bCs/>
                <w:sz w:val="19"/>
                <w:szCs w:val="19"/>
                <w:lang w:eastAsia="es-CO"/>
              </w:rPr>
            </w:pPr>
            <w:r w:rsidRPr="001F5D0C">
              <w:rPr>
                <w:rFonts w:ascii="Arial Narrow" w:hAnsi="Arial Narrow" w:cs="Calibri"/>
                <w:b/>
                <w:bCs/>
                <w:sz w:val="19"/>
                <w:szCs w:val="19"/>
                <w:lang w:eastAsia="es-CO"/>
              </w:rPr>
              <w:t>TOTAL</w:t>
            </w:r>
          </w:p>
        </w:tc>
        <w:tc>
          <w:tcPr>
            <w:tcW w:w="1418" w:type="dxa"/>
            <w:tcBorders>
              <w:top w:val="nil"/>
              <w:left w:val="nil"/>
              <w:bottom w:val="single" w:sz="4" w:space="0" w:color="0070C0"/>
              <w:right w:val="single" w:sz="4" w:space="0" w:color="0070C0"/>
            </w:tcBorders>
            <w:shd w:val="clear" w:color="000000" w:fill="D0CECE"/>
            <w:noWrap/>
            <w:vAlign w:val="center"/>
            <w:hideMark/>
          </w:tcPr>
          <w:p w14:paraId="155E2A5C"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25.231.773.000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588BD094"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276" w:type="dxa"/>
            <w:tcBorders>
              <w:top w:val="nil"/>
              <w:left w:val="nil"/>
              <w:bottom w:val="single" w:sz="4" w:space="0" w:color="0070C0"/>
              <w:right w:val="single" w:sz="4" w:space="0" w:color="0070C0"/>
            </w:tcBorders>
            <w:shd w:val="clear" w:color="000000" w:fill="D0CECE"/>
            <w:noWrap/>
            <w:vAlign w:val="center"/>
            <w:hideMark/>
          </w:tcPr>
          <w:p w14:paraId="06CDB0B6"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28.617.455.000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1C00DBA9"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417" w:type="dxa"/>
            <w:tcBorders>
              <w:top w:val="nil"/>
              <w:left w:val="nil"/>
              <w:bottom w:val="single" w:sz="4" w:space="0" w:color="0070C0"/>
              <w:right w:val="single" w:sz="4" w:space="0" w:color="0070C0"/>
            </w:tcBorders>
            <w:shd w:val="clear" w:color="000000" w:fill="D0CECE"/>
            <w:noWrap/>
            <w:vAlign w:val="center"/>
            <w:hideMark/>
          </w:tcPr>
          <w:p w14:paraId="67F795F1"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32.971.062.300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20403D8E"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709" w:type="dxa"/>
            <w:tcBorders>
              <w:top w:val="nil"/>
              <w:left w:val="nil"/>
              <w:bottom w:val="nil"/>
              <w:right w:val="nil"/>
            </w:tcBorders>
            <w:shd w:val="clear" w:color="000000" w:fill="FFFFFF"/>
            <w:noWrap/>
            <w:vAlign w:val="center"/>
            <w:hideMark/>
          </w:tcPr>
          <w:p w14:paraId="5B8645DA" w14:textId="77777777" w:rsidR="009D43B2" w:rsidRPr="001F5D0C" w:rsidRDefault="009D43B2" w:rsidP="009D43B2">
            <w:pPr>
              <w:ind w:left="0"/>
              <w:rPr>
                <w:rFonts w:ascii="Calibri" w:hAnsi="Calibri" w:cs="Calibri"/>
                <w:sz w:val="19"/>
                <w:szCs w:val="19"/>
                <w:lang w:eastAsia="es-CO"/>
              </w:rPr>
            </w:pPr>
            <w:r w:rsidRPr="001F5D0C">
              <w:rPr>
                <w:rFonts w:ascii="Calibri" w:hAnsi="Calibri" w:cs="Calibri"/>
                <w:sz w:val="19"/>
                <w:szCs w:val="19"/>
                <w:lang w:eastAsia="es-CO"/>
              </w:rPr>
              <w:t> </w:t>
            </w:r>
          </w:p>
        </w:tc>
      </w:tr>
    </w:tbl>
    <w:p w14:paraId="3DE58511" w14:textId="77777777" w:rsidR="002F6A43" w:rsidRDefault="002F6A43" w:rsidP="001F5D0C">
      <w:pPr>
        <w:ind w:left="0"/>
        <w:jc w:val="both"/>
        <w:rPr>
          <w:rFonts w:ascii="Bookman Old Style" w:hAnsi="Bookman Old Style" w:cs="Arial"/>
        </w:rPr>
      </w:pPr>
    </w:p>
    <w:p w14:paraId="6DAE1936" w14:textId="574CF1CF" w:rsidR="001F5D0C" w:rsidRPr="001F5D0C" w:rsidRDefault="001F5D0C" w:rsidP="001F5D0C">
      <w:pPr>
        <w:ind w:left="0"/>
        <w:jc w:val="both"/>
        <w:rPr>
          <w:rFonts w:ascii="Bookman Old Style" w:hAnsi="Bookman Old Style" w:cs="Arial"/>
        </w:rPr>
      </w:pPr>
      <w:r w:rsidRPr="001F5D0C">
        <w:rPr>
          <w:rFonts w:ascii="Bookman Old Style" w:hAnsi="Bookman Old Style" w:cs="Arial"/>
        </w:rPr>
        <w:t>Teniendo en cuenta que el presupuesto vigente es el numerador de la fórmula para hallar la tarifa o factor general descrita anteriormente, así como la media aritmética (</w:t>
      </w:r>
      <m:oMath>
        <m:acc>
          <m:accPr>
            <m:chr m:val="̅"/>
            <m:ctrlPr>
              <w:rPr>
                <w:rFonts w:ascii="Cambria Math" w:hAnsi="Cambria Math" w:cs="Arial"/>
                <w:i/>
              </w:rPr>
            </m:ctrlPr>
          </m:accPr>
          <m:e>
            <m:r>
              <w:rPr>
                <w:rFonts w:ascii="Cambria Math" w:hAnsi="Cambria Math" w:cs="Arial"/>
              </w:rPr>
              <m:t xml:space="preserve">X </m:t>
            </m:r>
          </m:e>
        </m:acc>
      </m:oMath>
      <w:r w:rsidRPr="001F5D0C">
        <w:rPr>
          <w:rFonts w:ascii="Bookman Old Style" w:hAnsi="Bookman Old Style" w:cs="Arial"/>
        </w:rPr>
        <w:t>) para cada uno de los servicios prestados, se obtiene la base presupuestal para la liquidaci</w:t>
      </w:r>
      <w:proofErr w:type="spellStart"/>
      <w:r w:rsidRPr="001F5D0C">
        <w:rPr>
          <w:rFonts w:ascii="Bookman Old Style" w:hAnsi="Bookman Old Style" w:cs="Bookman Old Style"/>
        </w:rPr>
        <w:t>ó</w:t>
      </w:r>
      <w:r w:rsidRPr="001F5D0C">
        <w:rPr>
          <w:rFonts w:ascii="Bookman Old Style" w:hAnsi="Bookman Old Style" w:cs="Arial"/>
        </w:rPr>
        <w:t>n</w:t>
      </w:r>
      <w:proofErr w:type="spellEnd"/>
      <w:r w:rsidRPr="001F5D0C">
        <w:rPr>
          <w:rFonts w:ascii="Bookman Old Style" w:hAnsi="Bookman Old Style" w:cs="Arial"/>
        </w:rPr>
        <w:t xml:space="preserve"> de la contribuci</w:t>
      </w:r>
      <w:r w:rsidRPr="001F5D0C">
        <w:rPr>
          <w:rFonts w:ascii="Bookman Old Style" w:hAnsi="Bookman Old Style" w:cs="Bookman Old Style"/>
        </w:rPr>
        <w:t>ó</w:t>
      </w:r>
      <w:r w:rsidRPr="001F5D0C">
        <w:rPr>
          <w:rFonts w:ascii="Bookman Old Style" w:hAnsi="Bookman Old Style" w:cs="Arial"/>
        </w:rPr>
        <w:t>n especial 2020, que se detalla a continuaci</w:t>
      </w:r>
      <w:r w:rsidRPr="001F5D0C">
        <w:rPr>
          <w:rFonts w:ascii="Bookman Old Style" w:hAnsi="Bookman Old Style" w:cs="Bookman Old Style"/>
        </w:rPr>
        <w:t>ó</w:t>
      </w:r>
      <w:r w:rsidRPr="001F5D0C">
        <w:rPr>
          <w:rFonts w:ascii="Bookman Old Style" w:hAnsi="Bookman Old Style" w:cs="Arial"/>
        </w:rPr>
        <w:t>n:</w:t>
      </w:r>
    </w:p>
    <w:p w14:paraId="176E2345" w14:textId="53FB738D" w:rsidR="001F5D0C" w:rsidRDefault="001F5D0C" w:rsidP="00733B4E">
      <w:pPr>
        <w:ind w:left="0"/>
        <w:jc w:val="both"/>
        <w:rPr>
          <w:rFonts w:ascii="Bookman Old Style" w:hAnsi="Bookman Old Style" w:cs="Arial"/>
        </w:rPr>
      </w:pPr>
    </w:p>
    <w:tbl>
      <w:tblPr>
        <w:tblW w:w="8212" w:type="dxa"/>
        <w:jc w:val="center"/>
        <w:tblCellMar>
          <w:left w:w="70" w:type="dxa"/>
          <w:right w:w="70" w:type="dxa"/>
        </w:tblCellMar>
        <w:tblLook w:val="04A0" w:firstRow="1" w:lastRow="0" w:firstColumn="1" w:lastColumn="0" w:noHBand="0" w:noVBand="1"/>
      </w:tblPr>
      <w:tblGrid>
        <w:gridCol w:w="2200"/>
        <w:gridCol w:w="2752"/>
        <w:gridCol w:w="3260"/>
      </w:tblGrid>
      <w:tr w:rsidR="001F5D0C" w:rsidRPr="0051774F" w14:paraId="1CBD51B0" w14:textId="77777777" w:rsidTr="001F5D0C">
        <w:trPr>
          <w:trHeight w:val="389"/>
          <w:jc w:val="center"/>
        </w:trPr>
        <w:tc>
          <w:tcPr>
            <w:tcW w:w="2200" w:type="dxa"/>
            <w:vMerge w:val="restart"/>
            <w:tcBorders>
              <w:top w:val="single" w:sz="8" w:space="0" w:color="0070C0"/>
              <w:left w:val="single" w:sz="8" w:space="0" w:color="0070C0"/>
              <w:bottom w:val="single" w:sz="8" w:space="0" w:color="0070C0"/>
              <w:right w:val="single" w:sz="8" w:space="0" w:color="0070C0"/>
            </w:tcBorders>
            <w:shd w:val="clear" w:color="000000" w:fill="D0CECE"/>
            <w:vAlign w:val="center"/>
            <w:hideMark/>
          </w:tcPr>
          <w:p w14:paraId="20EA8494"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Servicio</w:t>
            </w:r>
          </w:p>
        </w:tc>
        <w:tc>
          <w:tcPr>
            <w:tcW w:w="6012" w:type="dxa"/>
            <w:gridSpan w:val="2"/>
            <w:tcBorders>
              <w:top w:val="single" w:sz="8" w:space="0" w:color="0070C0"/>
              <w:left w:val="nil"/>
              <w:bottom w:val="single" w:sz="8" w:space="0" w:color="0070C0"/>
              <w:right w:val="single" w:sz="8" w:space="0" w:color="0070C0"/>
            </w:tcBorders>
            <w:shd w:val="clear" w:color="000000" w:fill="D0CECE"/>
            <w:vAlign w:val="center"/>
            <w:hideMark/>
          </w:tcPr>
          <w:p w14:paraId="5FECDBE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DISTRIBUCIÓN PRESUPUESTAL</w:t>
            </w:r>
          </w:p>
        </w:tc>
      </w:tr>
      <w:tr w:rsidR="001F5D0C" w:rsidRPr="0051774F" w14:paraId="71E82A13" w14:textId="77777777" w:rsidTr="001F5D0C">
        <w:trPr>
          <w:trHeight w:val="541"/>
          <w:jc w:val="center"/>
        </w:trPr>
        <w:tc>
          <w:tcPr>
            <w:tcW w:w="2200" w:type="dxa"/>
            <w:vMerge/>
            <w:tcBorders>
              <w:top w:val="single" w:sz="8" w:space="0" w:color="0070C0"/>
              <w:left w:val="single" w:sz="8" w:space="0" w:color="0070C0"/>
              <w:bottom w:val="single" w:sz="8" w:space="0" w:color="0070C0"/>
              <w:right w:val="single" w:sz="8" w:space="0" w:color="0070C0"/>
            </w:tcBorders>
            <w:vAlign w:val="center"/>
            <w:hideMark/>
          </w:tcPr>
          <w:p w14:paraId="25F390D3" w14:textId="77777777" w:rsidR="001F5D0C" w:rsidRPr="001F5D0C" w:rsidRDefault="001F5D0C" w:rsidP="001F5D0C">
            <w:pPr>
              <w:ind w:left="0"/>
              <w:rPr>
                <w:rFonts w:ascii="Arial Narrow" w:hAnsi="Arial Narrow" w:cs="Calibri"/>
                <w:b/>
                <w:bCs/>
                <w:color w:val="000000"/>
                <w:sz w:val="20"/>
                <w:szCs w:val="20"/>
                <w:lang w:eastAsia="es-CO"/>
              </w:rPr>
            </w:pPr>
          </w:p>
        </w:tc>
        <w:tc>
          <w:tcPr>
            <w:tcW w:w="2752" w:type="dxa"/>
            <w:tcBorders>
              <w:top w:val="nil"/>
              <w:left w:val="nil"/>
              <w:bottom w:val="single" w:sz="8" w:space="0" w:color="0070C0"/>
              <w:right w:val="single" w:sz="8" w:space="0" w:color="0070C0"/>
            </w:tcBorders>
            <w:shd w:val="clear" w:color="000000" w:fill="D0CECE"/>
            <w:vAlign w:val="center"/>
            <w:hideMark/>
          </w:tcPr>
          <w:p w14:paraId="0C07B7DC"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Base presupuestal liquidación contribución especial 2020</w:t>
            </w:r>
          </w:p>
        </w:tc>
        <w:tc>
          <w:tcPr>
            <w:tcW w:w="3260" w:type="dxa"/>
            <w:tcBorders>
              <w:top w:val="nil"/>
              <w:left w:val="nil"/>
              <w:bottom w:val="single" w:sz="8" w:space="0" w:color="0070C0"/>
              <w:right w:val="single" w:sz="8" w:space="0" w:color="0070C0"/>
            </w:tcBorders>
            <w:shd w:val="clear" w:color="000000" w:fill="D0CECE"/>
            <w:vAlign w:val="center"/>
            <w:hideMark/>
          </w:tcPr>
          <w:p w14:paraId="1F253828"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 xml:space="preserve">% </w:t>
            </w:r>
            <w:proofErr w:type="spellStart"/>
            <w:r w:rsidRPr="001F5D0C">
              <w:rPr>
                <w:rFonts w:ascii="Arial Narrow" w:hAnsi="Arial Narrow" w:cs="Calibri"/>
                <w:b/>
                <w:bCs/>
                <w:color w:val="000000"/>
                <w:sz w:val="20"/>
                <w:szCs w:val="20"/>
                <w:lang w:eastAsia="es-CO"/>
              </w:rPr>
              <w:t>Participacion</w:t>
            </w:r>
            <w:proofErr w:type="spellEnd"/>
            <w:r w:rsidRPr="001F5D0C">
              <w:rPr>
                <w:rFonts w:ascii="Arial Narrow" w:hAnsi="Arial Narrow" w:cs="Calibri"/>
                <w:b/>
                <w:bCs/>
                <w:color w:val="000000"/>
                <w:sz w:val="20"/>
                <w:szCs w:val="20"/>
                <w:lang w:eastAsia="es-CO"/>
              </w:rPr>
              <w:t xml:space="preserve"> con base en la media </w:t>
            </w:r>
            <w:proofErr w:type="spellStart"/>
            <w:r w:rsidRPr="001F5D0C">
              <w:rPr>
                <w:rFonts w:ascii="Arial Narrow" w:hAnsi="Arial Narrow" w:cs="Calibri"/>
                <w:b/>
                <w:bCs/>
                <w:color w:val="000000"/>
                <w:sz w:val="20"/>
                <w:szCs w:val="20"/>
                <w:lang w:eastAsia="es-CO"/>
              </w:rPr>
              <w:t>artimética</w:t>
            </w:r>
            <w:proofErr w:type="spellEnd"/>
          </w:p>
        </w:tc>
      </w:tr>
      <w:tr w:rsidR="001F5D0C" w:rsidRPr="0051774F" w14:paraId="5D830DFC" w14:textId="77777777" w:rsidTr="001F5D0C">
        <w:trPr>
          <w:trHeight w:val="453"/>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72A3090B"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Energía y gas combustible (GN, GLP).</w:t>
            </w:r>
          </w:p>
        </w:tc>
        <w:tc>
          <w:tcPr>
            <w:tcW w:w="2752" w:type="dxa"/>
            <w:tcBorders>
              <w:top w:val="nil"/>
              <w:left w:val="nil"/>
              <w:bottom w:val="single" w:sz="8" w:space="0" w:color="0070C0"/>
              <w:right w:val="single" w:sz="8" w:space="0" w:color="0070C0"/>
            </w:tcBorders>
            <w:shd w:val="clear" w:color="000000" w:fill="FFFFFF"/>
            <w:vAlign w:val="center"/>
            <w:hideMark/>
          </w:tcPr>
          <w:p w14:paraId="739EEBCC"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30.459.998.090</w:t>
            </w:r>
          </w:p>
        </w:tc>
        <w:tc>
          <w:tcPr>
            <w:tcW w:w="3260" w:type="dxa"/>
            <w:tcBorders>
              <w:top w:val="nil"/>
              <w:left w:val="nil"/>
              <w:bottom w:val="single" w:sz="8" w:space="0" w:color="0070C0"/>
              <w:right w:val="single" w:sz="8" w:space="0" w:color="0070C0"/>
            </w:tcBorders>
            <w:shd w:val="clear" w:color="000000" w:fill="FFFFFF"/>
            <w:noWrap/>
            <w:vAlign w:val="center"/>
            <w:hideMark/>
          </w:tcPr>
          <w:p w14:paraId="32C8D43E"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83,07%</w:t>
            </w:r>
          </w:p>
        </w:tc>
      </w:tr>
      <w:tr w:rsidR="001F5D0C" w:rsidRPr="0051774F" w14:paraId="129D8BBD" w14:textId="77777777" w:rsidTr="001F5D0C">
        <w:trPr>
          <w:trHeight w:val="415"/>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07BC76FC"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Combustibles Líquidos.</w:t>
            </w:r>
          </w:p>
        </w:tc>
        <w:tc>
          <w:tcPr>
            <w:tcW w:w="2752" w:type="dxa"/>
            <w:tcBorders>
              <w:top w:val="nil"/>
              <w:left w:val="nil"/>
              <w:bottom w:val="single" w:sz="8" w:space="0" w:color="0070C0"/>
              <w:right w:val="single" w:sz="8" w:space="0" w:color="0070C0"/>
            </w:tcBorders>
            <w:shd w:val="clear" w:color="000000" w:fill="FFFFFF"/>
            <w:vAlign w:val="center"/>
            <w:hideMark/>
          </w:tcPr>
          <w:p w14:paraId="642D4D61"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6.207.870.081</w:t>
            </w:r>
          </w:p>
        </w:tc>
        <w:tc>
          <w:tcPr>
            <w:tcW w:w="3260" w:type="dxa"/>
            <w:tcBorders>
              <w:top w:val="nil"/>
              <w:left w:val="nil"/>
              <w:bottom w:val="single" w:sz="8" w:space="0" w:color="0070C0"/>
              <w:right w:val="single" w:sz="8" w:space="0" w:color="0070C0"/>
            </w:tcBorders>
            <w:shd w:val="clear" w:color="000000" w:fill="FFFFFF"/>
            <w:noWrap/>
            <w:vAlign w:val="center"/>
            <w:hideMark/>
          </w:tcPr>
          <w:p w14:paraId="38FE660B"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16,93%</w:t>
            </w:r>
          </w:p>
        </w:tc>
      </w:tr>
      <w:tr w:rsidR="001F5D0C" w:rsidRPr="0051774F" w14:paraId="332EA614" w14:textId="77777777" w:rsidTr="001F5D0C">
        <w:trPr>
          <w:trHeight w:val="254"/>
          <w:jc w:val="center"/>
        </w:trPr>
        <w:tc>
          <w:tcPr>
            <w:tcW w:w="2200" w:type="dxa"/>
            <w:tcBorders>
              <w:top w:val="nil"/>
              <w:left w:val="single" w:sz="8" w:space="0" w:color="0070C0"/>
              <w:bottom w:val="single" w:sz="8" w:space="0" w:color="0070C0"/>
              <w:right w:val="single" w:sz="8" w:space="0" w:color="0070C0"/>
            </w:tcBorders>
            <w:shd w:val="clear" w:color="000000" w:fill="D0CECE"/>
            <w:noWrap/>
            <w:vAlign w:val="center"/>
            <w:hideMark/>
          </w:tcPr>
          <w:p w14:paraId="4106A00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TOTAL</w:t>
            </w:r>
          </w:p>
        </w:tc>
        <w:tc>
          <w:tcPr>
            <w:tcW w:w="2752" w:type="dxa"/>
            <w:tcBorders>
              <w:top w:val="nil"/>
              <w:left w:val="nil"/>
              <w:bottom w:val="single" w:sz="8" w:space="0" w:color="0070C0"/>
              <w:right w:val="single" w:sz="8" w:space="0" w:color="0070C0"/>
            </w:tcBorders>
            <w:shd w:val="clear" w:color="000000" w:fill="D0CECE"/>
            <w:noWrap/>
            <w:vAlign w:val="center"/>
            <w:hideMark/>
          </w:tcPr>
          <w:p w14:paraId="363652F6"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36.667.868.171</w:t>
            </w:r>
          </w:p>
        </w:tc>
        <w:tc>
          <w:tcPr>
            <w:tcW w:w="3260" w:type="dxa"/>
            <w:tcBorders>
              <w:top w:val="nil"/>
              <w:left w:val="nil"/>
              <w:bottom w:val="single" w:sz="8" w:space="0" w:color="0070C0"/>
              <w:right w:val="single" w:sz="8" w:space="0" w:color="0070C0"/>
            </w:tcBorders>
            <w:shd w:val="clear" w:color="000000" w:fill="D0CECE"/>
            <w:noWrap/>
            <w:vAlign w:val="center"/>
            <w:hideMark/>
          </w:tcPr>
          <w:p w14:paraId="5D196B1A"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100%</w:t>
            </w:r>
          </w:p>
        </w:tc>
      </w:tr>
    </w:tbl>
    <w:p w14:paraId="6A6F0228" w14:textId="77777777" w:rsidR="001F5D0C" w:rsidRDefault="001F5D0C" w:rsidP="001F5D0C">
      <w:pPr>
        <w:ind w:left="0"/>
        <w:jc w:val="both"/>
        <w:rPr>
          <w:rFonts w:ascii="Bookman Old Style" w:hAnsi="Bookman Old Style" w:cs="Arial"/>
        </w:rPr>
      </w:pPr>
    </w:p>
    <w:p w14:paraId="42D8A144" w14:textId="6DA00BA5" w:rsidR="0016312D" w:rsidRDefault="00261394" w:rsidP="00733B4E">
      <w:pPr>
        <w:ind w:left="0"/>
        <w:jc w:val="both"/>
        <w:rPr>
          <w:rFonts w:ascii="Bookman Old Style" w:hAnsi="Bookman Old Style" w:cs="Arial"/>
        </w:rPr>
      </w:pPr>
      <w:r w:rsidRPr="00261394">
        <w:rPr>
          <w:rFonts w:ascii="Bookman Old Style" w:hAnsi="Bookman Old Style" w:cs="Arial"/>
        </w:rPr>
        <w:t>Por tanto, la suma de $30.459.998.090 es la porción de la contribución especial a pagar a favor de la CREG, por parte de las personas prestadoras del servicio de energía y gas combustible, el cual financia en un 83,07% el total del presupuesto vigente 2020 de la CREG de gastos de funcionamiento e inversión que asciende a $36.667.868.171, y la porción restante, es decir, el 16.93% que corresponde a $6.207.870.081</w:t>
      </w:r>
      <w:r w:rsidR="00AD7CFD">
        <w:rPr>
          <w:rFonts w:ascii="Bookman Old Style" w:hAnsi="Bookman Old Style" w:cs="Arial"/>
        </w:rPr>
        <w:t>,</w:t>
      </w:r>
      <w:r w:rsidRPr="00261394">
        <w:rPr>
          <w:rFonts w:ascii="Bookman Old Style" w:hAnsi="Bookman Old Style" w:cs="Arial"/>
        </w:rPr>
        <w:t xml:space="preserve"> es la suma de la contribución especial a pagar por parte de personas prestadoras de la cadena de combustibles líquidos.</w:t>
      </w:r>
    </w:p>
    <w:p w14:paraId="0816C31B" w14:textId="6C47A62B" w:rsidR="00717FB2" w:rsidRDefault="00717FB2" w:rsidP="00733B4E">
      <w:pPr>
        <w:ind w:left="0"/>
        <w:jc w:val="both"/>
        <w:rPr>
          <w:rFonts w:ascii="Bookman Old Style" w:hAnsi="Bookman Old Style" w:cs="Arial"/>
        </w:rPr>
      </w:pPr>
    </w:p>
    <w:p w14:paraId="038CE552" w14:textId="77777777" w:rsidR="00225209" w:rsidRPr="00225209" w:rsidRDefault="00225209" w:rsidP="00225209">
      <w:pPr>
        <w:ind w:left="0"/>
        <w:jc w:val="both"/>
        <w:rPr>
          <w:rFonts w:ascii="Bookman Old Style" w:hAnsi="Bookman Old Style" w:cs="Arial"/>
        </w:rPr>
      </w:pPr>
      <w:r w:rsidRPr="002F6A43">
        <w:rPr>
          <w:rFonts w:ascii="Bookman Old Style" w:hAnsi="Bookman Old Style" w:cs="Arial"/>
        </w:rPr>
        <w:t>A efectos de evitar incurrir en un detrimento, en el sentido de no recuperar los costos representados en recursos humanos, tecnológicos y financieros incurridos por la CREG en el procedimiento de cálculo, liquidación, recaudo y gestión de cartera de la contribución especial 2020, la Comisión determinó una cuantía mínima óptima de $285,119 por debajo de la cual resulta ineficiente liquidar la contribución especial a los sujetos pasivos en la presente vigencia.</w:t>
      </w:r>
    </w:p>
    <w:p w14:paraId="6E05F0AB" w14:textId="77777777" w:rsidR="00733B4E" w:rsidRPr="00733B4E" w:rsidRDefault="00733B4E" w:rsidP="00733B4E">
      <w:pPr>
        <w:ind w:left="0"/>
        <w:jc w:val="both"/>
        <w:rPr>
          <w:rFonts w:ascii="Bookman Old Style" w:hAnsi="Bookman Old Style" w:cs="Arial"/>
        </w:rPr>
      </w:pPr>
    </w:p>
    <w:p w14:paraId="6FA3C407" w14:textId="22DD0623"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w:t>
      </w:r>
      <w:r w:rsidR="00AD7CFD">
        <w:rPr>
          <w:rFonts w:ascii="Bookman Old Style" w:hAnsi="Bookman Old Style" w:cs="Arial"/>
          <w:sz w:val="24"/>
          <w:szCs w:val="24"/>
        </w:rPr>
        <w:t>. E</w:t>
      </w:r>
      <w:r w:rsidRPr="006E21B3">
        <w:rPr>
          <w:rFonts w:ascii="Bookman Old Style" w:hAnsi="Bookman Old Style" w:cs="Arial"/>
          <w:sz w:val="24"/>
          <w:szCs w:val="24"/>
        </w:rPr>
        <w:t xml:space="preserve">ste resultado se denomina costos y gastos totales depurados. </w:t>
      </w:r>
    </w:p>
    <w:p w14:paraId="78A4349B" w14:textId="77777777" w:rsidR="006E21B3" w:rsidRPr="006E21B3" w:rsidRDefault="006E21B3" w:rsidP="006E21B3">
      <w:pPr>
        <w:pStyle w:val="Textoindependiente"/>
        <w:spacing w:after="0"/>
        <w:rPr>
          <w:rFonts w:ascii="Bookman Old Style" w:hAnsi="Bookman Old Style" w:cs="Arial"/>
          <w:sz w:val="24"/>
          <w:szCs w:val="24"/>
        </w:rPr>
      </w:pPr>
    </w:p>
    <w:p w14:paraId="4E830615"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 xml:space="preserve">Este valor se multiplicará por la división de los ingresos por actividades ordinarias reguladas y el total de ingresos por actividades ordinarias, conforme a los estados financieros de la vigencia fiscal anterior a la cual se haga su cobro. </w:t>
      </w:r>
    </w:p>
    <w:p w14:paraId="138D4380" w14:textId="77777777" w:rsidR="006E21B3" w:rsidRPr="006E21B3" w:rsidRDefault="006E21B3" w:rsidP="006E21B3">
      <w:pPr>
        <w:pStyle w:val="Textoindependiente"/>
        <w:spacing w:after="0"/>
        <w:rPr>
          <w:rFonts w:ascii="Bookman Old Style" w:hAnsi="Bookman Old Style" w:cs="Arial"/>
          <w:sz w:val="24"/>
          <w:szCs w:val="24"/>
        </w:rPr>
      </w:pPr>
    </w:p>
    <w:p w14:paraId="2D63403F"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w:t>
      </w:r>
      <w:proofErr w:type="spellStart"/>
      <w:r w:rsidRPr="006E21B3">
        <w:rPr>
          <w:rFonts w:ascii="Bookman Old Style" w:hAnsi="Bookman Old Style" w:cs="Arial"/>
          <w:sz w:val="24"/>
          <w:szCs w:val="24"/>
        </w:rPr>
        <w:t>Bg</w:t>
      </w:r>
      <w:proofErr w:type="spellEnd"/>
      <w:r w:rsidRPr="006E21B3">
        <w:rPr>
          <w:rFonts w:ascii="Bookman Old Style" w:hAnsi="Bookman Old Style" w:cs="Arial"/>
          <w:sz w:val="24"/>
          <w:szCs w:val="24"/>
        </w:rPr>
        <w:t>) descrita se calculará para cada sujeto pasivo así:</w:t>
      </w:r>
    </w:p>
    <w:p w14:paraId="53A473F2" w14:textId="77777777" w:rsidR="006E21B3" w:rsidRPr="006E21B3" w:rsidRDefault="006E21B3" w:rsidP="006E21B3">
      <w:pPr>
        <w:pStyle w:val="Textoindependiente"/>
        <w:spacing w:after="0"/>
        <w:rPr>
          <w:rFonts w:ascii="Bookman Old Style" w:hAnsi="Bookman Old Style" w:cs="Arial"/>
          <w:sz w:val="24"/>
          <w:szCs w:val="24"/>
        </w:rPr>
      </w:pPr>
    </w:p>
    <w:p w14:paraId="6700FA8E"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cgtd</w:t>
      </w:r>
      <w:proofErr w:type="spellEnd"/>
      <w:r w:rsidRPr="006E21B3">
        <w:rPr>
          <w:rFonts w:ascii="Bookman Old Style" w:hAnsi="Bookman Old Style" w:cs="Arial"/>
          <w:sz w:val="24"/>
          <w:szCs w:val="24"/>
        </w:rPr>
        <w:t>: costos y gastos totales depurados.</w:t>
      </w:r>
    </w:p>
    <w:p w14:paraId="2B990C27" w14:textId="00B3F68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tiar</w:t>
      </w:r>
      <w:proofErr w:type="spellEnd"/>
      <w:r w:rsidRPr="006E21B3">
        <w:rPr>
          <w:rFonts w:ascii="Bookman Old Style" w:hAnsi="Bookman Old Style" w:cs="Arial"/>
          <w:sz w:val="24"/>
          <w:szCs w:val="24"/>
        </w:rPr>
        <w:t>: total ingresos actividades ordinarias y comple</w:t>
      </w:r>
      <w:r w:rsidR="00FB5FBD">
        <w:rPr>
          <w:rFonts w:ascii="Bookman Old Style" w:hAnsi="Bookman Old Style" w:cs="Arial"/>
          <w:sz w:val="24"/>
          <w:szCs w:val="24"/>
        </w:rPr>
        <w:t>men</w:t>
      </w:r>
      <w:r w:rsidRPr="006E21B3">
        <w:rPr>
          <w:rFonts w:ascii="Bookman Old Style" w:hAnsi="Bookman Old Style" w:cs="Arial"/>
          <w:sz w:val="24"/>
          <w:szCs w:val="24"/>
        </w:rPr>
        <w:t>tarias reguladas</w:t>
      </w:r>
    </w:p>
    <w:p w14:paraId="29740398"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tiao</w:t>
      </w:r>
      <w:proofErr w:type="spellEnd"/>
      <w:r w:rsidRPr="006E21B3">
        <w:rPr>
          <w:rFonts w:ascii="Bookman Old Style" w:hAnsi="Bookman Old Style" w:cs="Arial"/>
          <w:sz w:val="24"/>
          <w:szCs w:val="24"/>
        </w:rPr>
        <w:t>: total ingresos de actividades ordinarias</w:t>
      </w:r>
    </w:p>
    <w:p w14:paraId="62BAA65F" w14:textId="77777777" w:rsidR="006E21B3" w:rsidRPr="006E21B3" w:rsidRDefault="006E21B3" w:rsidP="006E21B3">
      <w:pPr>
        <w:pStyle w:val="Textoindependiente"/>
        <w:spacing w:after="0"/>
        <w:rPr>
          <w:rFonts w:ascii="Bookman Old Style" w:hAnsi="Bookman Old Style" w:cs="Arial"/>
          <w:sz w:val="22"/>
          <w:szCs w:val="22"/>
        </w:rPr>
      </w:pPr>
    </w:p>
    <w:p w14:paraId="2D8D87A5" w14:textId="7ED86CFF" w:rsidR="006E21B3" w:rsidRPr="006E21B3" w:rsidRDefault="006E21B3" w:rsidP="00532572">
      <w:pPr>
        <w:pStyle w:val="Textoindependiente"/>
        <w:spacing w:after="0"/>
        <w:jc w:val="center"/>
        <w:rPr>
          <w:rFonts w:ascii="Bookman Old Style" w:hAnsi="Bookman Old Style" w:cs="Arial"/>
          <w:sz w:val="28"/>
          <w:szCs w:val="28"/>
        </w:rPr>
      </w:pPr>
      <m:oMath>
        <m:r>
          <w:rPr>
            <w:rFonts w:ascii="Cambria Math" w:hAnsi="Cambria Math" w:cs="Arial"/>
            <w:sz w:val="28"/>
            <w:szCs w:val="28"/>
          </w:rPr>
          <m:t xml:space="preserve">Bg=cgtd* </m:t>
        </m:r>
        <m:f>
          <m:fPr>
            <m:ctrlPr>
              <w:rPr>
                <w:rFonts w:ascii="Cambria Math" w:hAnsi="Cambria Math" w:cs="Arial"/>
                <w:i/>
                <w:sz w:val="28"/>
                <w:szCs w:val="28"/>
              </w:rPr>
            </m:ctrlPr>
          </m:fPr>
          <m:num>
            <m:r>
              <w:rPr>
                <w:rFonts w:ascii="Cambria Math" w:hAnsi="Cambria Math" w:cs="Arial"/>
                <w:sz w:val="28"/>
                <w:szCs w:val="28"/>
              </w:rPr>
              <m:t xml:space="preserve">tiar </m:t>
            </m:r>
          </m:num>
          <m:den>
            <m:r>
              <w:rPr>
                <w:rFonts w:ascii="Cambria Math" w:hAnsi="Cambria Math" w:cs="Arial"/>
                <w:sz w:val="28"/>
                <w:szCs w:val="28"/>
              </w:rPr>
              <m:t>tiao</m:t>
            </m:r>
          </m:den>
        </m:f>
      </m:oMath>
      <w:r w:rsidR="00532572">
        <w:rPr>
          <w:rFonts w:ascii="Bookman Old Style" w:hAnsi="Bookman Old Style" w:cs="Arial"/>
          <w:sz w:val="28"/>
          <w:szCs w:val="28"/>
        </w:rPr>
        <w:t xml:space="preserve">                   </w:t>
      </w:r>
      <w:r w:rsidR="00532572" w:rsidRPr="00532572">
        <w:rPr>
          <w:rFonts w:ascii="Bookman Old Style" w:hAnsi="Bookman Old Style" w:cs="Arial"/>
          <w:sz w:val="24"/>
          <w:szCs w:val="24"/>
        </w:rPr>
        <w:t>(1)</w:t>
      </w:r>
    </w:p>
    <w:p w14:paraId="54EB29A8" w14:textId="15FDFB35" w:rsidR="0082409F" w:rsidRDefault="0082409F" w:rsidP="00733B4E">
      <w:pPr>
        <w:ind w:left="0"/>
        <w:jc w:val="both"/>
        <w:rPr>
          <w:rFonts w:ascii="Bookman Old Style" w:hAnsi="Bookman Old Style" w:cs="Arial"/>
        </w:rPr>
      </w:pPr>
    </w:p>
    <w:p w14:paraId="6EAEEADB" w14:textId="77777777" w:rsidR="00354789" w:rsidRDefault="00532572" w:rsidP="00532572">
      <w:pPr>
        <w:ind w:left="0"/>
        <w:jc w:val="both"/>
        <w:rPr>
          <w:rFonts w:ascii="Bookman Old Style" w:hAnsi="Bookman Old Style" w:cs="Arial"/>
        </w:rPr>
      </w:pPr>
      <w:r w:rsidRPr="00532572">
        <w:rPr>
          <w:rFonts w:ascii="Bookman Old Style" w:hAnsi="Bookman Old Style" w:cs="Arial"/>
        </w:rPr>
        <w:lastRenderedPageBreak/>
        <w:t xml:space="preserve">La tarifa es un factor general con el cual se determina el valor a pagar por cada regulado contribuyente de la contribución especial en una vigencia específica. </w:t>
      </w:r>
    </w:p>
    <w:p w14:paraId="686B2BE5" w14:textId="77777777" w:rsidR="00354789" w:rsidRDefault="00354789" w:rsidP="00532572">
      <w:pPr>
        <w:ind w:left="0"/>
        <w:jc w:val="both"/>
        <w:rPr>
          <w:rFonts w:ascii="Bookman Old Style" w:hAnsi="Bookman Old Style" w:cs="Arial"/>
        </w:rPr>
      </w:pPr>
    </w:p>
    <w:p w14:paraId="2E02E939"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Esta tarifa será hallada tomando el presupuesto vigente de la CREG el cual será dividido sobre la sumatoria de las bases gravables de los sujetos pasivos. </w:t>
      </w:r>
    </w:p>
    <w:p w14:paraId="39C86BA8" w14:textId="77777777" w:rsidR="00354789" w:rsidRDefault="00354789" w:rsidP="00532572">
      <w:pPr>
        <w:ind w:left="0"/>
        <w:jc w:val="both"/>
        <w:rPr>
          <w:rFonts w:ascii="Bookman Old Style" w:hAnsi="Bookman Old Style" w:cs="Arial"/>
        </w:rPr>
      </w:pPr>
    </w:p>
    <w:p w14:paraId="45718260"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La tarifa no podrá ser superior al uno por ciento (1%) de las respectivas bases gravables. </w:t>
      </w:r>
    </w:p>
    <w:p w14:paraId="5110D083" w14:textId="77777777" w:rsidR="00354789" w:rsidRDefault="00354789" w:rsidP="00532572">
      <w:pPr>
        <w:ind w:left="0"/>
        <w:jc w:val="both"/>
        <w:rPr>
          <w:rFonts w:ascii="Bookman Old Style" w:hAnsi="Bookman Old Style" w:cs="Arial"/>
        </w:rPr>
      </w:pPr>
    </w:p>
    <w:p w14:paraId="27001008" w14:textId="2EA37D75" w:rsidR="00532572" w:rsidRPr="00532572" w:rsidRDefault="00532572" w:rsidP="00532572">
      <w:pPr>
        <w:ind w:left="0"/>
        <w:jc w:val="both"/>
        <w:rPr>
          <w:rFonts w:ascii="Bookman Old Style" w:hAnsi="Bookman Old Style" w:cs="Arial"/>
        </w:rPr>
      </w:pPr>
      <w:r w:rsidRPr="00532572">
        <w:rPr>
          <w:rFonts w:ascii="Bookman Old Style" w:hAnsi="Bookman Old Style" w:cs="Arial"/>
        </w:rPr>
        <w:t>La tarifa descrita se calculará de la siguiente manera:</w:t>
      </w:r>
    </w:p>
    <w:p w14:paraId="4873C332" w14:textId="77777777" w:rsidR="00532572" w:rsidRPr="00532572" w:rsidRDefault="00532572" w:rsidP="00532572">
      <w:pPr>
        <w:pStyle w:val="Textoindependiente"/>
        <w:spacing w:after="0"/>
        <w:rPr>
          <w:rFonts w:ascii="Bookman Old Style" w:hAnsi="Bookman Old Style" w:cs="Arial"/>
          <w:sz w:val="22"/>
          <w:szCs w:val="22"/>
        </w:rPr>
      </w:pPr>
      <w:bookmarkStart w:id="2" w:name="_Hlk51792520"/>
    </w:p>
    <w:p w14:paraId="1C142929"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Tce</w:t>
      </w:r>
      <w:proofErr w:type="spellEnd"/>
      <w:r w:rsidRPr="00532572">
        <w:rPr>
          <w:rFonts w:ascii="Bookman Old Style" w:hAnsi="Bookman Old Style" w:cs="Arial"/>
          <w:sz w:val="22"/>
          <w:szCs w:val="22"/>
        </w:rPr>
        <w:t>: tarifa de la contribución especial.</w:t>
      </w:r>
    </w:p>
    <w:p w14:paraId="4C7BD51F"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Pv</w:t>
      </w:r>
      <w:proofErr w:type="spellEnd"/>
      <w:r w:rsidRPr="00532572">
        <w:rPr>
          <w:rFonts w:ascii="Bookman Old Style" w:hAnsi="Bookman Old Style" w:cs="Arial"/>
          <w:sz w:val="22"/>
          <w:szCs w:val="22"/>
        </w:rPr>
        <w:t>: presupuesto vigente.</w:t>
      </w:r>
    </w:p>
    <w:p w14:paraId="45ABEE30" w14:textId="77777777" w:rsidR="00532572" w:rsidRPr="00532572" w:rsidRDefault="00CB50A8" w:rsidP="00532572">
      <w:pPr>
        <w:pStyle w:val="Textoindependiente"/>
        <w:spacing w:after="0"/>
        <w:rPr>
          <w:rFonts w:ascii="Bookman Old Style" w:hAnsi="Bookman Old Style" w:cs="Arial"/>
          <w:sz w:val="22"/>
          <w:szCs w:val="22"/>
        </w:rPr>
      </w:pPr>
      <m:oMath>
        <m:nary>
          <m:naryPr>
            <m:chr m:val="∑"/>
            <m:subHide m:val="1"/>
            <m:supHide m:val="1"/>
            <m:ctrlPr>
              <w:rPr>
                <w:rFonts w:ascii="Cambria Math" w:hAnsi="Cambria Math" w:cs="Arial"/>
                <w:i/>
                <w:sz w:val="22"/>
                <w:szCs w:val="22"/>
              </w:rPr>
            </m:ctrlPr>
          </m:naryPr>
          <m:sub/>
          <m:sup/>
          <m:e>
            <m:r>
              <w:rPr>
                <w:rFonts w:ascii="Cambria Math" w:hAnsi="Cambria Math" w:cs="Arial"/>
                <w:sz w:val="22"/>
                <w:szCs w:val="22"/>
              </w:rPr>
              <m:t>bg</m:t>
            </m:r>
          </m:e>
        </m:nary>
        <m:r>
          <w:rPr>
            <w:rFonts w:ascii="Cambria Math" w:hAnsi="Cambria Math" w:cs="Arial"/>
            <w:sz w:val="22"/>
            <w:szCs w:val="22"/>
          </w:rPr>
          <m:t xml:space="preserve">: </m:t>
        </m:r>
      </m:oMath>
      <w:r w:rsidR="00532572" w:rsidRPr="00532572">
        <w:rPr>
          <w:rFonts w:ascii="Bookman Old Style" w:hAnsi="Bookman Old Style" w:cs="Arial"/>
          <w:sz w:val="22"/>
          <w:szCs w:val="22"/>
        </w:rPr>
        <w:t xml:space="preserve">Sumatoria de las bases gravables de los sujetos pasivos. </w:t>
      </w:r>
    </w:p>
    <w:p w14:paraId="6FDD7ECD" w14:textId="77777777" w:rsidR="00532572" w:rsidRPr="00E428C3" w:rsidRDefault="00532572" w:rsidP="00532572">
      <w:pPr>
        <w:pStyle w:val="Textoindependiente"/>
        <w:spacing w:after="0"/>
        <w:rPr>
          <w:rFonts w:cs="Arial"/>
          <w:sz w:val="28"/>
          <w:szCs w:val="28"/>
        </w:rPr>
      </w:pPr>
    </w:p>
    <w:p w14:paraId="1F5676BC" w14:textId="06055DB2" w:rsidR="00532572" w:rsidRPr="00323A3F" w:rsidRDefault="00532572" w:rsidP="00532572">
      <w:pPr>
        <w:pStyle w:val="Textoindependiente"/>
        <w:spacing w:after="0"/>
        <w:jc w:val="center"/>
        <w:rPr>
          <w:rFonts w:cs="Arial"/>
          <w:sz w:val="22"/>
          <w:szCs w:val="22"/>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xml:space="preserve">Pv </m:t>
            </m:r>
          </m:num>
          <m:den>
            <m:nary>
              <m:naryPr>
                <m:chr m:val="∑"/>
                <m:subHide m:val="1"/>
                <m:supHide m:val="1"/>
                <m:ctrlPr>
                  <w:rPr>
                    <w:rFonts w:ascii="Cambria Math" w:hAnsi="Cambria Math" w:cs="Arial"/>
                    <w:i/>
                    <w:sz w:val="28"/>
                    <w:szCs w:val="28"/>
                  </w:rPr>
                </m:ctrlPr>
              </m:naryPr>
              <m:sub/>
              <m:sup/>
              <m:e>
                <m:r>
                  <w:rPr>
                    <w:rFonts w:ascii="Cambria Math" w:hAnsi="Cambria Math" w:cs="Arial"/>
                    <w:sz w:val="28"/>
                    <w:szCs w:val="28"/>
                  </w:rPr>
                  <m:t>bg</m:t>
                </m:r>
              </m:e>
            </m:nary>
          </m:den>
        </m:f>
      </m:oMath>
      <w:r>
        <w:rPr>
          <w:rFonts w:cs="Arial"/>
          <w:sz w:val="28"/>
          <w:szCs w:val="28"/>
        </w:rPr>
        <w:t xml:space="preserve">          </w:t>
      </w:r>
      <w:r w:rsidRPr="00323A3F">
        <w:rPr>
          <w:rFonts w:cs="Arial"/>
          <w:sz w:val="24"/>
          <w:szCs w:val="24"/>
        </w:rPr>
        <w:t xml:space="preserve">   </w:t>
      </w:r>
      <w:r>
        <w:rPr>
          <w:rFonts w:cs="Arial"/>
          <w:sz w:val="24"/>
          <w:szCs w:val="24"/>
        </w:rPr>
        <w:t xml:space="preserve">                 </w:t>
      </w:r>
      <w:r w:rsidRPr="00323A3F">
        <w:rPr>
          <w:rFonts w:cs="Arial"/>
          <w:sz w:val="24"/>
          <w:szCs w:val="24"/>
        </w:rPr>
        <w:t xml:space="preserve"> </w:t>
      </w:r>
      <w:r>
        <w:rPr>
          <w:rFonts w:cs="Arial"/>
          <w:sz w:val="24"/>
          <w:szCs w:val="24"/>
        </w:rPr>
        <w:t xml:space="preserve">  </w:t>
      </w:r>
      <w:r w:rsidRPr="00323A3F">
        <w:rPr>
          <w:rFonts w:cs="Arial"/>
          <w:sz w:val="22"/>
          <w:szCs w:val="22"/>
        </w:rPr>
        <w:t>(2)</w:t>
      </w:r>
    </w:p>
    <w:p w14:paraId="33CC1B8E" w14:textId="77777777" w:rsidR="008913A7" w:rsidRDefault="008913A7" w:rsidP="003560B7">
      <w:pPr>
        <w:ind w:left="0"/>
        <w:jc w:val="both"/>
        <w:rPr>
          <w:rFonts w:ascii="Bookman Old Style" w:hAnsi="Bookman Old Style" w:cs="Arial"/>
        </w:rPr>
      </w:pPr>
      <w:bookmarkStart w:id="3" w:name="_Hlk51792478"/>
      <w:bookmarkEnd w:id="2"/>
    </w:p>
    <w:p w14:paraId="0D940369" w14:textId="3E994C85" w:rsidR="003560B7" w:rsidRDefault="003560B7" w:rsidP="003560B7">
      <w:pPr>
        <w:ind w:left="0"/>
        <w:jc w:val="both"/>
        <w:rPr>
          <w:rFonts w:ascii="Bookman Old Style" w:hAnsi="Bookman Old Style" w:cs="Arial"/>
        </w:rPr>
      </w:pPr>
      <w:r w:rsidRPr="002216F7">
        <w:rPr>
          <w:rFonts w:ascii="Bookman Old Style" w:hAnsi="Bookman Old Style" w:cs="Arial"/>
        </w:rPr>
        <w:t>Teniendo en</w:t>
      </w:r>
      <w:r w:rsidR="00A63808">
        <w:rPr>
          <w:rFonts w:ascii="Bookman Old Style" w:hAnsi="Bookman Old Style" w:cs="Arial"/>
        </w:rPr>
        <w:t xml:space="preserve"> </w:t>
      </w:r>
      <w:r w:rsidRPr="002216F7">
        <w:rPr>
          <w:rFonts w:ascii="Bookman Old Style" w:hAnsi="Bookman Old Style" w:cs="Arial"/>
        </w:rPr>
        <w:t xml:space="preserve">cuenta </w:t>
      </w:r>
      <w:r>
        <w:rPr>
          <w:rFonts w:ascii="Bookman Old Style" w:hAnsi="Bookman Old Style" w:cs="Arial"/>
        </w:rPr>
        <w:t xml:space="preserve">la </w:t>
      </w:r>
      <w:r w:rsidRPr="002216F7">
        <w:rPr>
          <w:rFonts w:ascii="Bookman Old Style" w:hAnsi="Bookman Old Style" w:cs="Arial"/>
        </w:rPr>
        <w:t xml:space="preserve">sumatoria de </w:t>
      </w:r>
      <w:r w:rsidR="000A387A" w:rsidRPr="002216F7">
        <w:rPr>
          <w:rFonts w:ascii="Bookman Old Style" w:hAnsi="Bookman Old Style" w:cs="Arial"/>
        </w:rPr>
        <w:t>las bases gravables</w:t>
      </w:r>
      <w:r>
        <w:rPr>
          <w:rFonts w:ascii="Bookman Old Style" w:hAnsi="Bookman Old Style" w:cs="Arial"/>
        </w:rPr>
        <w:t xml:space="preserve"> de los regulados,</w:t>
      </w:r>
      <w:r w:rsidRPr="002216F7">
        <w:rPr>
          <w:rFonts w:ascii="Bookman Old Style" w:hAnsi="Bookman Old Style" w:cs="Arial"/>
        </w:rPr>
        <w:t xml:space="preserve"> con base en la información financiera 2019 reportada en el SUI por las personas prestadoras del servicio de energía eléctrica y gas combustible, </w:t>
      </w:r>
      <w:r>
        <w:rPr>
          <w:rFonts w:ascii="Bookman Old Style" w:hAnsi="Bookman Old Style" w:cs="Arial"/>
        </w:rPr>
        <w:t xml:space="preserve">y </w:t>
      </w:r>
      <w:r w:rsidRPr="002216F7">
        <w:rPr>
          <w:rFonts w:ascii="Bookman Old Style" w:hAnsi="Bookman Old Style" w:cs="Arial"/>
        </w:rPr>
        <w:t>el valor a financiar del total del presupuesto de la CREG por parte de estos regulados por $ 30.459.998.090 (83.07%)</w:t>
      </w:r>
      <w:r>
        <w:rPr>
          <w:rFonts w:ascii="Bookman Old Style" w:hAnsi="Bookman Old Style" w:cs="Arial"/>
        </w:rPr>
        <w:t>,</w:t>
      </w:r>
      <w:r w:rsidRPr="002216F7">
        <w:rPr>
          <w:rFonts w:ascii="Bookman Old Style" w:hAnsi="Bookman Old Style" w:cs="Arial"/>
        </w:rPr>
        <w:t xml:space="preserve"> </w:t>
      </w:r>
      <w:r w:rsidR="00354789">
        <w:rPr>
          <w:rFonts w:ascii="Bookman Old Style" w:hAnsi="Bookman Old Style" w:cs="Arial"/>
        </w:rPr>
        <w:t xml:space="preserve">la CREG estableció </w:t>
      </w:r>
      <w:r w:rsidR="00A63808" w:rsidRPr="00A63808">
        <w:rPr>
          <w:rFonts w:ascii="Bookman Old Style" w:hAnsi="Bookman Old Style" w:cs="Arial"/>
        </w:rPr>
        <w:t>el factor o tarifa usando la fórmula (2):</w:t>
      </w:r>
    </w:p>
    <w:p w14:paraId="0B42DFB9" w14:textId="157EE061" w:rsidR="00A63808" w:rsidRDefault="00A63808" w:rsidP="003560B7">
      <w:pPr>
        <w:ind w:left="0"/>
        <w:jc w:val="both"/>
        <w:rPr>
          <w:rFonts w:ascii="Bookman Old Style" w:hAnsi="Bookman Old Style" w:cs="Arial"/>
        </w:rPr>
      </w:pPr>
    </w:p>
    <w:p w14:paraId="3F72B477" w14:textId="29FB00CD" w:rsidR="00A63808" w:rsidRDefault="00A63808" w:rsidP="003560B7">
      <w:pPr>
        <w:ind w:left="0"/>
        <w:jc w:val="both"/>
        <w:rPr>
          <w:rFonts w:ascii="Bookman Old Style" w:hAnsi="Bookman Old Style" w:cs="Arial"/>
        </w:rPr>
      </w:pPr>
      <w:r w:rsidRPr="00A63808">
        <w:rPr>
          <w:rFonts w:ascii="Bookman Old Style" w:hAnsi="Bookman Old Style" w:cs="Arial"/>
        </w:rPr>
        <w:t>Reemplazando en la fórmula, obtenemos el siguiente resultado:</w:t>
      </w:r>
    </w:p>
    <w:p w14:paraId="25C8D265" w14:textId="77777777" w:rsidR="0088575C" w:rsidRDefault="0088575C" w:rsidP="0088575C">
      <w:pPr>
        <w:rPr>
          <w:rFonts w:ascii="Bookman Old Style" w:hAnsi="Bookman Old Style" w:cs="Arial"/>
        </w:rPr>
      </w:pPr>
    </w:p>
    <w:p w14:paraId="243C3F31" w14:textId="3975E387" w:rsidR="0088575C" w:rsidRPr="0088575C" w:rsidRDefault="0088575C" w:rsidP="0088575C">
      <w:pPr>
        <w:rPr>
          <w:rFonts w:ascii="Bookman Old Style" w:hAnsi="Bookman Old Style" w:cs="Arial"/>
          <w:sz w:val="20"/>
          <w:szCs w:val="20"/>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$ 30.459.998.090</m:t>
            </m:r>
          </m:num>
          <m:den>
            <m:r>
              <m:rPr>
                <m:sty m:val="p"/>
              </m:rPr>
              <w:rPr>
                <w:rFonts w:ascii="Cambria Math" w:hAnsi="Cambria Math" w:cs="Arial"/>
                <w:sz w:val="28"/>
                <w:szCs w:val="28"/>
                <w:lang w:eastAsia="es-CO"/>
              </w:rPr>
              <m:t xml:space="preserve">$  57.567.394.537.315 </m:t>
            </m:r>
          </m:den>
        </m:f>
      </m:oMath>
      <w:r>
        <w:rPr>
          <w:rFonts w:ascii="Bookman Old Style" w:hAnsi="Bookman Old Style" w:cs="Arial"/>
        </w:rPr>
        <w:t xml:space="preserve"> = </w:t>
      </w:r>
      <w:r w:rsidRPr="0088575C">
        <w:rPr>
          <w:rFonts w:ascii="Bookman Old Style" w:hAnsi="Bookman Old Style" w:cs="Arial"/>
          <w:sz w:val="20"/>
          <w:szCs w:val="20"/>
          <w:lang w:eastAsia="es-CO"/>
        </w:rPr>
        <w:t>0,</w:t>
      </w:r>
      <w:proofErr w:type="gramStart"/>
      <w:r w:rsidRPr="0088575C">
        <w:rPr>
          <w:rFonts w:ascii="Bookman Old Style" w:hAnsi="Bookman Old Style" w:cs="Arial"/>
          <w:sz w:val="20"/>
          <w:szCs w:val="20"/>
          <w:lang w:eastAsia="es-CO"/>
        </w:rPr>
        <w:t xml:space="preserve">000529118928074917  </w:t>
      </w:r>
      <w:r w:rsidRPr="0088575C">
        <w:rPr>
          <w:rFonts w:ascii="Cambria Math" w:hAnsi="Cambria Math" w:cs="Cambria Math"/>
          <w:sz w:val="20"/>
          <w:szCs w:val="20"/>
        </w:rPr>
        <w:t>∴</w:t>
      </w:r>
      <w:proofErr w:type="gramEnd"/>
      <w:r w:rsidRPr="0088575C">
        <w:rPr>
          <w:rFonts w:ascii="Cambria Math" w:hAnsi="Cambria Math" w:cs="Cambria Math"/>
          <w:sz w:val="20"/>
          <w:szCs w:val="20"/>
        </w:rPr>
        <w:t xml:space="preserve">   </w:t>
      </w:r>
      <w:r w:rsidRPr="0088575C">
        <w:rPr>
          <w:rFonts w:ascii="Bookman Old Style" w:hAnsi="Bookman Old Style" w:cs="Calibri"/>
          <w:color w:val="000000"/>
          <w:sz w:val="20"/>
          <w:szCs w:val="20"/>
          <w:lang w:eastAsia="es-CO"/>
        </w:rPr>
        <w:t>0,0529118928074917%</w:t>
      </w:r>
    </w:p>
    <w:p w14:paraId="3650EDC1" w14:textId="77777777" w:rsidR="0088575C" w:rsidRDefault="0088575C" w:rsidP="0088575C">
      <w:pPr>
        <w:rPr>
          <w:rFonts w:ascii="Bookman Old Style" w:hAnsi="Bookman Old Style" w:cs="Arial"/>
        </w:rPr>
      </w:pPr>
    </w:p>
    <w:p w14:paraId="59BDCC5E" w14:textId="77777777" w:rsidR="0088575C" w:rsidRPr="00354789" w:rsidRDefault="0088575C" w:rsidP="00354789">
      <w:pPr>
        <w:ind w:left="0"/>
        <w:jc w:val="both"/>
        <w:rPr>
          <w:rFonts w:ascii="Bookman Old Style" w:hAnsi="Bookman Old Style" w:cs="Arial"/>
        </w:rPr>
      </w:pPr>
      <w:bookmarkStart w:id="4" w:name="_Hlk51792921"/>
      <w:r w:rsidRPr="00354789">
        <w:rPr>
          <w:rFonts w:ascii="Bookman Old Style" w:hAnsi="Bookman Old Style" w:cs="Arial"/>
        </w:rPr>
        <w:t>De esta forma, el factor o tarifa hallado para señalar el porcentaje de la contribución especial 2020 a favor de la CREG es el siguiente:</w:t>
      </w:r>
    </w:p>
    <w:p w14:paraId="61562862" w14:textId="77777777" w:rsidR="0088575C" w:rsidRDefault="0088575C" w:rsidP="0088575C">
      <w:pPr>
        <w:rPr>
          <w:rFonts w:cs="Arial"/>
        </w:rPr>
      </w:pPr>
    </w:p>
    <w:p w14:paraId="41582991" w14:textId="77777777" w:rsidR="0088575C" w:rsidRPr="00FF5E35" w:rsidRDefault="0088575C" w:rsidP="0088575C">
      <w:pPr>
        <w:rPr>
          <w:rFonts w:ascii="Bookman Old Style" w:hAnsi="Bookman Old Style" w:cs="Arial"/>
          <w:b/>
          <w:bCs/>
          <w:color w:val="000000"/>
          <w:sz w:val="22"/>
          <w:szCs w:val="22"/>
          <w:lang w:eastAsia="es-CO"/>
        </w:rPr>
      </w:pPr>
      <w:r w:rsidRPr="00FF5E35">
        <w:rPr>
          <w:rFonts w:ascii="Bookman Old Style" w:hAnsi="Bookman Old Style" w:cs="Arial"/>
          <w:sz w:val="22"/>
          <w:szCs w:val="22"/>
        </w:rPr>
        <w:t xml:space="preserve">Factor: </w:t>
      </w:r>
      <w:r w:rsidRPr="00FF5E35">
        <w:rPr>
          <w:rFonts w:ascii="Bookman Old Style" w:hAnsi="Bookman Old Style" w:cs="Arial"/>
          <w:b/>
          <w:bCs/>
          <w:sz w:val="22"/>
          <w:szCs w:val="22"/>
          <w:lang w:eastAsia="es-CO"/>
        </w:rPr>
        <w:t>0,000529118928074917</w:t>
      </w:r>
    </w:p>
    <w:p w14:paraId="6E3F8414" w14:textId="77777777" w:rsidR="0088575C" w:rsidRPr="00FF5E35" w:rsidRDefault="0088575C" w:rsidP="0088575C">
      <w:pPr>
        <w:rPr>
          <w:rFonts w:ascii="Bookman Old Style" w:hAnsi="Bookman Old Style" w:cs="Arial"/>
          <w:sz w:val="22"/>
          <w:szCs w:val="22"/>
        </w:rPr>
      </w:pPr>
      <w:r w:rsidRPr="00FF5E35">
        <w:rPr>
          <w:rFonts w:ascii="Bookman Old Style" w:hAnsi="Bookman Old Style" w:cs="Arial"/>
          <w:color w:val="000000"/>
          <w:sz w:val="22"/>
          <w:szCs w:val="22"/>
          <w:lang w:eastAsia="es-CO"/>
        </w:rPr>
        <w:t>Tarifa:</w:t>
      </w:r>
      <w:r w:rsidRPr="00FF5E35">
        <w:rPr>
          <w:rFonts w:ascii="Bookman Old Style" w:hAnsi="Bookman Old Style" w:cs="Arial"/>
          <w:b/>
          <w:bCs/>
          <w:color w:val="000000"/>
          <w:sz w:val="22"/>
          <w:szCs w:val="22"/>
          <w:lang w:eastAsia="es-CO"/>
        </w:rPr>
        <w:t xml:space="preserve"> 0,0529118928074917%</w:t>
      </w:r>
    </w:p>
    <w:bookmarkEnd w:id="4"/>
    <w:p w14:paraId="62EDA5E2" w14:textId="52A700DC" w:rsidR="00A63808" w:rsidRDefault="00A63808" w:rsidP="00C4627C">
      <w:pPr>
        <w:ind w:left="0"/>
        <w:jc w:val="both"/>
        <w:rPr>
          <w:rFonts w:ascii="Bookman Old Style" w:hAnsi="Bookman Old Style" w:cs="Arial"/>
        </w:rPr>
      </w:pPr>
    </w:p>
    <w:p w14:paraId="04F18A6D" w14:textId="335D2B0C" w:rsidR="00C377BF" w:rsidRPr="00C377BF" w:rsidRDefault="00C377BF" w:rsidP="00C377BF">
      <w:pPr>
        <w:ind w:left="0"/>
        <w:jc w:val="both"/>
        <w:rPr>
          <w:rFonts w:ascii="Bookman Old Style" w:hAnsi="Bookman Old Style" w:cs="Arial"/>
          <w:i/>
          <w:iCs/>
        </w:rPr>
      </w:pPr>
      <w:r>
        <w:rPr>
          <w:rFonts w:ascii="Bookman Old Style" w:hAnsi="Bookman Old Style" w:cs="Arial"/>
        </w:rPr>
        <w:t xml:space="preserve">Las consideraciones anteriormente expuestas, fueron objeto de consulta </w:t>
      </w:r>
      <w:r w:rsidRPr="00AB1823">
        <w:rPr>
          <w:rFonts w:ascii="Bookman Old Style" w:hAnsi="Bookman Old Style" w:cs="Arial"/>
        </w:rPr>
        <w:t xml:space="preserve">mediante Resolución CREG </w:t>
      </w:r>
      <w:r>
        <w:rPr>
          <w:rFonts w:ascii="Bookman Old Style" w:hAnsi="Bookman Old Style" w:cs="Arial"/>
        </w:rPr>
        <w:t>213</w:t>
      </w:r>
      <w:r w:rsidRPr="00AB1823">
        <w:rPr>
          <w:rFonts w:ascii="Bookman Old Style" w:hAnsi="Bookman Old Style" w:cs="Arial"/>
        </w:rPr>
        <w:t xml:space="preserve"> del 1</w:t>
      </w:r>
      <w:r>
        <w:rPr>
          <w:rFonts w:ascii="Bookman Old Style" w:hAnsi="Bookman Old Style" w:cs="Arial"/>
        </w:rPr>
        <w:t>0</w:t>
      </w:r>
      <w:r w:rsidRPr="00AB1823">
        <w:rPr>
          <w:rFonts w:ascii="Bookman Old Style" w:hAnsi="Bookman Old Style" w:cs="Arial"/>
        </w:rPr>
        <w:t xml:space="preserve"> de </w:t>
      </w:r>
      <w:r>
        <w:rPr>
          <w:rFonts w:ascii="Bookman Old Style" w:hAnsi="Bookman Old Style" w:cs="Arial"/>
        </w:rPr>
        <w:t xml:space="preserve">noviembre </w:t>
      </w:r>
      <w:r w:rsidRPr="00AB1823">
        <w:rPr>
          <w:rFonts w:ascii="Bookman Old Style" w:hAnsi="Bookman Old Style" w:cs="Arial"/>
        </w:rPr>
        <w:t>de 20</w:t>
      </w:r>
      <w:r>
        <w:rPr>
          <w:rFonts w:ascii="Bookman Old Style" w:hAnsi="Bookman Old Style" w:cs="Arial"/>
        </w:rPr>
        <w:t>20</w:t>
      </w:r>
      <w:r w:rsidRPr="00AB1823">
        <w:rPr>
          <w:rFonts w:ascii="Bookman Old Style" w:hAnsi="Bookman Old Style" w:cs="Arial"/>
        </w:rPr>
        <w:t xml:space="preserve">, </w:t>
      </w:r>
      <w:r>
        <w:rPr>
          <w:rFonts w:ascii="Bookman Old Style" w:hAnsi="Bookman Old Style" w:cs="Arial"/>
        </w:rPr>
        <w:t xml:space="preserve">la cual ordenó hacer </w:t>
      </w:r>
      <w:r w:rsidRPr="00AB1823">
        <w:rPr>
          <w:rFonts w:ascii="Bookman Old Style" w:hAnsi="Bookman Old Style" w:cs="Arial"/>
        </w:rPr>
        <w:t xml:space="preserve">público </w:t>
      </w:r>
      <w:r>
        <w:rPr>
          <w:rFonts w:ascii="Bookman Old Style" w:hAnsi="Bookman Old Style" w:cs="Arial"/>
        </w:rPr>
        <w:t xml:space="preserve">el </w:t>
      </w:r>
      <w:r w:rsidRPr="00AB1823">
        <w:rPr>
          <w:rFonts w:ascii="Bookman Old Style" w:hAnsi="Bookman Old Style" w:cs="Arial"/>
        </w:rPr>
        <w:t xml:space="preserve">proyecto de resolución </w:t>
      </w:r>
      <w:r w:rsidRPr="00C377BF">
        <w:rPr>
          <w:rFonts w:ascii="Bookman Old Style" w:hAnsi="Bookman Old Style" w:cs="Arial"/>
          <w:i/>
          <w:iCs/>
        </w:rPr>
        <w:t xml:space="preserve">“Por la cual se señala el porcentaje de la contribución especial que deben pagar las personas prestadoras del servicio de energía eléctrica, gas natural y gas licuado de petróleo (GLP), sometidas a la regulación de la Comisión de Regulación de Energía y Gas en el año 2020 y se dictan otras disposiciones”. </w:t>
      </w:r>
    </w:p>
    <w:p w14:paraId="41582C0C" w14:textId="77777777" w:rsidR="00C377BF" w:rsidRPr="00AB1823" w:rsidRDefault="00C377BF" w:rsidP="00C377BF">
      <w:pPr>
        <w:ind w:left="0"/>
        <w:jc w:val="both"/>
        <w:rPr>
          <w:rFonts w:ascii="Bookman Old Style" w:hAnsi="Bookman Old Style" w:cs="Arial"/>
        </w:rPr>
      </w:pPr>
    </w:p>
    <w:p w14:paraId="6E9EA7E4" w14:textId="0A662358" w:rsidR="00C377BF" w:rsidRDefault="00C377BF" w:rsidP="00C377BF">
      <w:pPr>
        <w:ind w:left="0"/>
        <w:jc w:val="both"/>
        <w:rPr>
          <w:rFonts w:ascii="Bookman Old Style" w:hAnsi="Bookman Old Style" w:cs="Arial"/>
        </w:rPr>
      </w:pPr>
      <w:r>
        <w:rPr>
          <w:rFonts w:ascii="Bookman Old Style" w:hAnsi="Bookman Old Style" w:cs="Arial"/>
        </w:rPr>
        <w:t>D</w:t>
      </w:r>
      <w:r w:rsidRPr="00AB1823">
        <w:rPr>
          <w:rFonts w:ascii="Bookman Old Style" w:hAnsi="Bookman Old Style" w:cs="Arial"/>
        </w:rPr>
        <w:t xml:space="preserve">e igual forma </w:t>
      </w:r>
      <w:r>
        <w:rPr>
          <w:rFonts w:ascii="Bookman Old Style" w:hAnsi="Bookman Old Style" w:cs="Arial"/>
        </w:rPr>
        <w:t>la Comisión p</w:t>
      </w:r>
      <w:r w:rsidRPr="00AB1823">
        <w:rPr>
          <w:rFonts w:ascii="Bookman Old Style" w:hAnsi="Bookman Old Style" w:cs="Arial"/>
        </w:rPr>
        <w:t xml:space="preserve">ublicó el documento CREG </w:t>
      </w:r>
      <w:proofErr w:type="spellStart"/>
      <w:r w:rsidRPr="00AB1823">
        <w:rPr>
          <w:rFonts w:ascii="Bookman Old Style" w:hAnsi="Bookman Old Style" w:cs="Arial"/>
        </w:rPr>
        <w:t>N°</w:t>
      </w:r>
      <w:proofErr w:type="spellEnd"/>
      <w:r w:rsidRPr="00AB1823">
        <w:rPr>
          <w:rFonts w:ascii="Bookman Old Style" w:hAnsi="Bookman Old Style" w:cs="Arial"/>
        </w:rPr>
        <w:t xml:space="preserve"> </w:t>
      </w:r>
      <w:r>
        <w:rPr>
          <w:rFonts w:ascii="Bookman Old Style" w:hAnsi="Bookman Old Style" w:cs="Arial"/>
        </w:rPr>
        <w:t>170</w:t>
      </w:r>
      <w:r w:rsidRPr="00AB1823">
        <w:rPr>
          <w:rFonts w:ascii="Bookman Old Style" w:hAnsi="Bookman Old Style" w:cs="Arial"/>
        </w:rPr>
        <w:t xml:space="preserve"> del 1</w:t>
      </w:r>
      <w:r>
        <w:rPr>
          <w:rFonts w:ascii="Bookman Old Style" w:hAnsi="Bookman Old Style" w:cs="Arial"/>
        </w:rPr>
        <w:t>0</w:t>
      </w:r>
      <w:r w:rsidRPr="00AB1823">
        <w:rPr>
          <w:rFonts w:ascii="Bookman Old Style" w:hAnsi="Bookman Old Style" w:cs="Arial"/>
        </w:rPr>
        <w:t xml:space="preserve"> de </w:t>
      </w:r>
      <w:r>
        <w:rPr>
          <w:rFonts w:ascii="Bookman Old Style" w:hAnsi="Bookman Old Style" w:cs="Arial"/>
        </w:rPr>
        <w:t>noviembre</w:t>
      </w:r>
      <w:r w:rsidRPr="00AB1823">
        <w:rPr>
          <w:rFonts w:ascii="Bookman Old Style" w:hAnsi="Bookman Old Style" w:cs="Arial"/>
        </w:rPr>
        <w:t xml:space="preserve"> del 20</w:t>
      </w:r>
      <w:r>
        <w:rPr>
          <w:rFonts w:ascii="Bookman Old Style" w:hAnsi="Bookman Old Style" w:cs="Arial"/>
        </w:rPr>
        <w:t>20</w:t>
      </w:r>
      <w:r w:rsidRPr="00AB1823">
        <w:rPr>
          <w:rFonts w:ascii="Bookman Old Style" w:hAnsi="Bookman Old Style" w:cs="Arial"/>
        </w:rPr>
        <w:t xml:space="preserve">, </w:t>
      </w:r>
      <w:r w:rsidRPr="007B0C19">
        <w:rPr>
          <w:rFonts w:ascii="Bookman Old Style" w:hAnsi="Bookman Old Style" w:cs="Arial"/>
          <w:i/>
          <w:iCs/>
        </w:rPr>
        <w:t>“liquidación de la contribución especial para el año 2020 que deben pagar las personas prestadoras del servicio de energía eléctrica, gas natural y gas licuado de petróleo (GLP) sometidas a la regulación de la CREG”</w:t>
      </w:r>
      <w:r w:rsidRPr="00AB1823">
        <w:rPr>
          <w:rFonts w:ascii="Bookman Old Style" w:hAnsi="Bookman Old Style" w:cs="Arial"/>
        </w:rPr>
        <w:t xml:space="preserve">, </w:t>
      </w:r>
      <w:r w:rsidR="007B0C19">
        <w:rPr>
          <w:rFonts w:ascii="Bookman Old Style" w:hAnsi="Bookman Old Style" w:cs="Arial"/>
        </w:rPr>
        <w:t xml:space="preserve">como soporte de la Resolución 213 de 2020 y </w:t>
      </w:r>
      <w:r w:rsidRPr="00AB1823">
        <w:rPr>
          <w:rFonts w:ascii="Bookman Old Style" w:hAnsi="Bookman Old Style" w:cs="Arial"/>
        </w:rPr>
        <w:t xml:space="preserve">el </w:t>
      </w:r>
      <w:r>
        <w:rPr>
          <w:rFonts w:ascii="Bookman Old Style" w:hAnsi="Bookman Old Style" w:cs="Arial"/>
        </w:rPr>
        <w:t>cual</w:t>
      </w:r>
      <w:r w:rsidRPr="00AB1823">
        <w:rPr>
          <w:rFonts w:ascii="Bookman Old Style" w:hAnsi="Bookman Old Style" w:cs="Arial"/>
        </w:rPr>
        <w:t xml:space="preserve"> contiene la metodología de depuración, cálculo y liquidación de la contribución especial para la vigencia 2020 a favor de la CREG, señalada en el artículo 85 de la Ley 142 de 1994, el </w:t>
      </w:r>
      <w:r w:rsidRPr="00AB1823">
        <w:rPr>
          <w:rFonts w:ascii="Bookman Old Style" w:hAnsi="Bookman Old Style" w:cs="Arial"/>
        </w:rPr>
        <w:lastRenderedPageBreak/>
        <w:t>cual fue modificado por el artículo 18 de la Ley 1955 de 2019 y reglamentado por el Decreto 1150 de 2020.</w:t>
      </w:r>
    </w:p>
    <w:p w14:paraId="579BC65F" w14:textId="77777777" w:rsidR="00C377BF" w:rsidRPr="00AB1823" w:rsidRDefault="00C377BF" w:rsidP="00C377BF">
      <w:pPr>
        <w:ind w:left="0"/>
        <w:jc w:val="both"/>
        <w:rPr>
          <w:rFonts w:ascii="Bookman Old Style" w:hAnsi="Bookman Old Style" w:cs="Arial"/>
        </w:rPr>
      </w:pPr>
    </w:p>
    <w:p w14:paraId="0E15FDC3" w14:textId="486E2642" w:rsidR="00C377BF" w:rsidRDefault="007B0C19" w:rsidP="00C377BF">
      <w:pPr>
        <w:ind w:left="0"/>
        <w:jc w:val="both"/>
        <w:rPr>
          <w:rFonts w:ascii="Bookman Old Style" w:hAnsi="Bookman Old Style" w:cs="Arial"/>
        </w:rPr>
      </w:pPr>
      <w:r>
        <w:rPr>
          <w:rFonts w:ascii="Bookman Old Style" w:hAnsi="Bookman Old Style" w:cs="Arial"/>
        </w:rPr>
        <w:t>D</w:t>
      </w:r>
      <w:r w:rsidR="00C377BF" w:rsidRPr="00AB1823">
        <w:rPr>
          <w:rFonts w:ascii="Bookman Old Style" w:hAnsi="Bookman Old Style" w:cs="Arial"/>
        </w:rPr>
        <w:t xml:space="preserve">urante el periodo de consulta de los anteriores documentos, se recibieron </w:t>
      </w:r>
      <w:r w:rsidR="00C377BF">
        <w:rPr>
          <w:rFonts w:ascii="Bookman Old Style" w:hAnsi="Bookman Old Style" w:cs="Arial"/>
        </w:rPr>
        <w:t xml:space="preserve">hasta el viernes 18 de diciembre de 2020 inclusive, </w:t>
      </w:r>
      <w:r w:rsidR="002F6A43">
        <w:rPr>
          <w:rFonts w:ascii="Bookman Old Style" w:hAnsi="Bookman Old Style" w:cs="Arial"/>
        </w:rPr>
        <w:t>catorce</w:t>
      </w:r>
      <w:r w:rsidR="00C377BF">
        <w:rPr>
          <w:rFonts w:ascii="Bookman Old Style" w:hAnsi="Bookman Old Style" w:cs="Arial"/>
        </w:rPr>
        <w:t xml:space="preserve"> (1</w:t>
      </w:r>
      <w:r w:rsidR="002F6A43">
        <w:rPr>
          <w:rFonts w:ascii="Bookman Old Style" w:hAnsi="Bookman Old Style" w:cs="Arial"/>
        </w:rPr>
        <w:t>4</w:t>
      </w:r>
      <w:r w:rsidR="00C377BF">
        <w:rPr>
          <w:rFonts w:ascii="Bookman Old Style" w:hAnsi="Bookman Old Style" w:cs="Arial"/>
        </w:rPr>
        <w:t>)</w:t>
      </w:r>
      <w:r w:rsidR="00C377BF" w:rsidRPr="00AB1823">
        <w:rPr>
          <w:rFonts w:ascii="Bookman Old Style" w:hAnsi="Bookman Old Style" w:cs="Arial"/>
        </w:rPr>
        <w:t xml:space="preserve"> comentarios de los regulados</w:t>
      </w:r>
      <w:r w:rsidR="00C377BF">
        <w:rPr>
          <w:rFonts w:ascii="Bookman Old Style" w:hAnsi="Bookman Old Style" w:cs="Arial"/>
        </w:rPr>
        <w:t>, relacionados a continuación.</w:t>
      </w:r>
    </w:p>
    <w:p w14:paraId="7CB4CDBF" w14:textId="77777777" w:rsidR="00C377BF" w:rsidRDefault="00C377BF" w:rsidP="00C377BF">
      <w:pPr>
        <w:ind w:left="0"/>
        <w:jc w:val="both"/>
        <w:rPr>
          <w:rFonts w:ascii="Bookman Old Style" w:hAnsi="Bookman Old Style" w:cs="Arial"/>
        </w:rPr>
      </w:pPr>
    </w:p>
    <w:p w14:paraId="3F460329" w14:textId="77777777" w:rsidR="00C377BF" w:rsidRDefault="00C377BF" w:rsidP="00C377BF">
      <w:pPr>
        <w:ind w:left="0"/>
        <w:jc w:val="both"/>
        <w:rPr>
          <w:rFonts w:ascii="Bookman Old Style" w:hAnsi="Bookman Old Style" w:cs="Arial"/>
        </w:rPr>
      </w:pPr>
      <w:r>
        <w:rPr>
          <w:rFonts w:ascii="Bookman Old Style" w:hAnsi="Bookman Old Style" w:cs="Arial"/>
        </w:rPr>
        <w:t xml:space="preserve">Las siguientes nueve (9) empresas solicitaron la aplicación de la </w:t>
      </w:r>
      <w:r w:rsidRPr="009518B4">
        <w:rPr>
          <w:rFonts w:ascii="Bookman Old Style" w:hAnsi="Bookman Old Style" w:cs="Arial"/>
        </w:rPr>
        <w:t>Sentencia C-484 de 2020 d</w:t>
      </w:r>
      <w:r>
        <w:rPr>
          <w:rFonts w:ascii="Bookman Old Style" w:hAnsi="Bookman Old Style" w:cs="Arial"/>
        </w:rPr>
        <w:t>onde la Corte Constitucional d</w:t>
      </w:r>
      <w:r w:rsidRPr="009518B4">
        <w:rPr>
          <w:rFonts w:ascii="Bookman Old Style" w:hAnsi="Bookman Old Style" w:cs="Arial"/>
        </w:rPr>
        <w:t>eclaró inexequible el artículo 18 de la Ley 1955 de 2019 con efectos inmediatos a futuro</w:t>
      </w:r>
      <w:r>
        <w:rPr>
          <w:rFonts w:ascii="Bookman Old Style" w:hAnsi="Bookman Old Style" w:cs="Arial"/>
        </w:rPr>
        <w:t>:</w:t>
      </w:r>
    </w:p>
    <w:p w14:paraId="7BF40F96" w14:textId="77777777" w:rsidR="00C377BF" w:rsidRDefault="00C377BF" w:rsidP="00C377BF">
      <w:pPr>
        <w:ind w:left="0"/>
        <w:jc w:val="both"/>
        <w:rPr>
          <w:rFonts w:ascii="Bookman Old Style" w:hAnsi="Bookman Old Style" w:cs="Arial"/>
        </w:rPr>
      </w:pPr>
    </w:p>
    <w:tbl>
      <w:tblPr>
        <w:tblW w:w="9427" w:type="dxa"/>
        <w:tblCellMar>
          <w:left w:w="70" w:type="dxa"/>
          <w:right w:w="70" w:type="dxa"/>
        </w:tblCellMar>
        <w:tblLook w:val="04A0" w:firstRow="1" w:lastRow="0" w:firstColumn="1" w:lastColumn="0" w:noHBand="0" w:noVBand="1"/>
      </w:tblPr>
      <w:tblGrid>
        <w:gridCol w:w="840"/>
        <w:gridCol w:w="5043"/>
        <w:gridCol w:w="1342"/>
        <w:gridCol w:w="2202"/>
      </w:tblGrid>
      <w:tr w:rsidR="00C377BF" w:rsidRPr="00A13F34" w14:paraId="2F567577" w14:textId="77777777" w:rsidTr="006D453F">
        <w:trPr>
          <w:trHeight w:val="2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E992" w14:textId="77777777" w:rsidR="00C377BF" w:rsidRPr="00A13F34" w:rsidRDefault="00C377BF" w:rsidP="006D453F">
            <w:pPr>
              <w:ind w:left="0"/>
              <w:jc w:val="center"/>
              <w:rPr>
                <w:rFonts w:ascii="Bookman Old Style" w:hAnsi="Bookman Old Style" w:cs="Calibri"/>
                <w:b/>
                <w:bCs/>
                <w:sz w:val="18"/>
                <w:szCs w:val="18"/>
                <w:lang w:val="es-CO" w:eastAsia="es-CO"/>
              </w:rPr>
            </w:pPr>
            <w:proofErr w:type="spellStart"/>
            <w:r w:rsidRPr="00A13F34">
              <w:rPr>
                <w:rFonts w:ascii="Bookman Old Style" w:hAnsi="Bookman Old Style" w:cs="Calibri"/>
                <w:b/>
                <w:bCs/>
                <w:sz w:val="18"/>
                <w:szCs w:val="18"/>
                <w:lang w:val="es-CO" w:eastAsia="es-CO"/>
              </w:rPr>
              <w:t>N°</w:t>
            </w:r>
            <w:proofErr w:type="spellEnd"/>
          </w:p>
        </w:tc>
        <w:tc>
          <w:tcPr>
            <w:tcW w:w="5043" w:type="dxa"/>
            <w:tcBorders>
              <w:top w:val="single" w:sz="4" w:space="0" w:color="auto"/>
              <w:left w:val="nil"/>
              <w:bottom w:val="single" w:sz="4" w:space="0" w:color="auto"/>
              <w:right w:val="single" w:sz="4" w:space="0" w:color="auto"/>
            </w:tcBorders>
            <w:shd w:val="clear" w:color="auto" w:fill="auto"/>
            <w:vAlign w:val="center"/>
            <w:hideMark/>
          </w:tcPr>
          <w:p w14:paraId="6D3B7E72" w14:textId="77777777" w:rsidR="00C377BF" w:rsidRPr="00A13F34" w:rsidRDefault="00C377BF" w:rsidP="006D453F">
            <w:pPr>
              <w:ind w:left="0"/>
              <w:jc w:val="center"/>
              <w:rPr>
                <w:rFonts w:ascii="Bookman Old Style" w:hAnsi="Bookman Old Style" w:cs="Calibri"/>
                <w:b/>
                <w:bCs/>
                <w:sz w:val="18"/>
                <w:szCs w:val="18"/>
                <w:lang w:val="es-CO" w:eastAsia="es-CO"/>
              </w:rPr>
            </w:pPr>
            <w:r w:rsidRPr="00A13F34">
              <w:rPr>
                <w:rFonts w:ascii="Bookman Old Style" w:hAnsi="Bookman Old Style" w:cs="Calibri"/>
                <w:b/>
                <w:bCs/>
                <w:sz w:val="18"/>
                <w:szCs w:val="18"/>
                <w:lang w:val="es-CO" w:eastAsia="es-CO"/>
              </w:rPr>
              <w:t>NOMBRE EMPRESA</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14:paraId="1E6ED7A6" w14:textId="77777777" w:rsidR="00C377BF" w:rsidRPr="00A13F34" w:rsidRDefault="00C377BF" w:rsidP="006D453F">
            <w:pPr>
              <w:ind w:left="0"/>
              <w:jc w:val="center"/>
              <w:rPr>
                <w:rFonts w:ascii="Bookman Old Style" w:hAnsi="Bookman Old Style" w:cs="Calibri"/>
                <w:b/>
                <w:bCs/>
                <w:sz w:val="18"/>
                <w:szCs w:val="18"/>
                <w:lang w:val="es-CO" w:eastAsia="es-CO"/>
              </w:rPr>
            </w:pPr>
            <w:r w:rsidRPr="00A13F34">
              <w:rPr>
                <w:rFonts w:ascii="Bookman Old Style" w:hAnsi="Bookman Old Style" w:cs="Calibri"/>
                <w:b/>
                <w:bCs/>
                <w:sz w:val="18"/>
                <w:szCs w:val="18"/>
                <w:lang w:val="es-CO" w:eastAsia="es-CO"/>
              </w:rPr>
              <w:t>NIT</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1D53B514" w14:textId="77777777" w:rsidR="00C377BF" w:rsidRPr="00A13F34" w:rsidRDefault="00C377BF" w:rsidP="006D453F">
            <w:pPr>
              <w:ind w:left="0"/>
              <w:jc w:val="center"/>
              <w:rPr>
                <w:rFonts w:ascii="Bookman Old Style" w:hAnsi="Bookman Old Style" w:cs="Calibri"/>
                <w:b/>
                <w:bCs/>
                <w:sz w:val="18"/>
                <w:szCs w:val="18"/>
                <w:lang w:val="es-CO" w:eastAsia="es-CO"/>
              </w:rPr>
            </w:pPr>
            <w:r w:rsidRPr="00A13F34">
              <w:rPr>
                <w:rFonts w:ascii="Bookman Old Style" w:hAnsi="Bookman Old Style" w:cs="Calibri"/>
                <w:b/>
                <w:bCs/>
                <w:sz w:val="18"/>
                <w:szCs w:val="18"/>
                <w:lang w:val="es-CO" w:eastAsia="es-CO"/>
              </w:rPr>
              <w:t>RADICADO</w:t>
            </w:r>
            <w:r>
              <w:rPr>
                <w:rFonts w:ascii="Bookman Old Style" w:hAnsi="Bookman Old Style" w:cs="Calibri"/>
                <w:b/>
                <w:bCs/>
                <w:sz w:val="18"/>
                <w:szCs w:val="18"/>
                <w:lang w:val="es-CO" w:eastAsia="es-CO"/>
              </w:rPr>
              <w:t xml:space="preserve"> CREG</w:t>
            </w:r>
          </w:p>
        </w:tc>
      </w:tr>
      <w:tr w:rsidR="00C377BF" w:rsidRPr="00A13F34" w14:paraId="17B8A6C1" w14:textId="77777777" w:rsidTr="006D453F">
        <w:trPr>
          <w:trHeight w:val="664"/>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E52EB9"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1</w:t>
            </w:r>
          </w:p>
        </w:tc>
        <w:tc>
          <w:tcPr>
            <w:tcW w:w="5043" w:type="dxa"/>
            <w:tcBorders>
              <w:top w:val="nil"/>
              <w:left w:val="nil"/>
              <w:bottom w:val="single" w:sz="4" w:space="0" w:color="auto"/>
              <w:right w:val="single" w:sz="4" w:space="0" w:color="auto"/>
            </w:tcBorders>
            <w:shd w:val="clear" w:color="auto" w:fill="auto"/>
            <w:vAlign w:val="center"/>
            <w:hideMark/>
          </w:tcPr>
          <w:p w14:paraId="4D3E368A"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ASOCIACION COLOMBIANA DE DISTRIBUIDORES DE ENERGIA ELECTRICA -ASOCODIS-</w:t>
            </w:r>
          </w:p>
        </w:tc>
        <w:tc>
          <w:tcPr>
            <w:tcW w:w="1342" w:type="dxa"/>
            <w:tcBorders>
              <w:top w:val="nil"/>
              <w:left w:val="nil"/>
              <w:bottom w:val="single" w:sz="4" w:space="0" w:color="auto"/>
              <w:right w:val="single" w:sz="4" w:space="0" w:color="auto"/>
            </w:tcBorders>
            <w:shd w:val="clear" w:color="auto" w:fill="auto"/>
            <w:vAlign w:val="center"/>
            <w:hideMark/>
          </w:tcPr>
          <w:p w14:paraId="66BF22F9"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830060203-6</w:t>
            </w:r>
          </w:p>
        </w:tc>
        <w:tc>
          <w:tcPr>
            <w:tcW w:w="2202" w:type="dxa"/>
            <w:tcBorders>
              <w:top w:val="nil"/>
              <w:left w:val="nil"/>
              <w:bottom w:val="single" w:sz="4" w:space="0" w:color="auto"/>
              <w:right w:val="single" w:sz="4" w:space="0" w:color="auto"/>
            </w:tcBorders>
            <w:shd w:val="clear" w:color="auto" w:fill="auto"/>
            <w:noWrap/>
            <w:vAlign w:val="center"/>
            <w:hideMark/>
          </w:tcPr>
          <w:p w14:paraId="4DAD984D"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E-2020-015858</w:t>
            </w:r>
          </w:p>
        </w:tc>
      </w:tr>
      <w:tr w:rsidR="00C377BF" w:rsidRPr="00A13F34" w14:paraId="6768DCA6" w14:textId="77777777" w:rsidTr="006D453F">
        <w:trPr>
          <w:trHeight w:val="41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E1F95B"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2</w:t>
            </w:r>
          </w:p>
        </w:tc>
        <w:tc>
          <w:tcPr>
            <w:tcW w:w="5043" w:type="dxa"/>
            <w:tcBorders>
              <w:top w:val="nil"/>
              <w:left w:val="nil"/>
              <w:bottom w:val="single" w:sz="4" w:space="0" w:color="auto"/>
              <w:right w:val="single" w:sz="4" w:space="0" w:color="auto"/>
            </w:tcBorders>
            <w:shd w:val="clear" w:color="auto" w:fill="auto"/>
            <w:vAlign w:val="center"/>
            <w:hideMark/>
          </w:tcPr>
          <w:p w14:paraId="7527D738"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ASOCIACION COLOMBIANA DEL GLP -GASNOVA-</w:t>
            </w:r>
          </w:p>
        </w:tc>
        <w:tc>
          <w:tcPr>
            <w:tcW w:w="1342" w:type="dxa"/>
            <w:tcBorders>
              <w:top w:val="nil"/>
              <w:left w:val="nil"/>
              <w:bottom w:val="single" w:sz="4" w:space="0" w:color="auto"/>
              <w:right w:val="single" w:sz="4" w:space="0" w:color="auto"/>
            </w:tcBorders>
            <w:shd w:val="clear" w:color="auto" w:fill="auto"/>
            <w:vAlign w:val="center"/>
            <w:hideMark/>
          </w:tcPr>
          <w:p w14:paraId="14788445"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900599299-0</w:t>
            </w:r>
          </w:p>
        </w:tc>
        <w:tc>
          <w:tcPr>
            <w:tcW w:w="2202" w:type="dxa"/>
            <w:tcBorders>
              <w:top w:val="nil"/>
              <w:left w:val="nil"/>
              <w:bottom w:val="single" w:sz="4" w:space="0" w:color="auto"/>
              <w:right w:val="single" w:sz="4" w:space="0" w:color="auto"/>
            </w:tcBorders>
            <w:shd w:val="clear" w:color="auto" w:fill="auto"/>
            <w:noWrap/>
            <w:vAlign w:val="center"/>
            <w:hideMark/>
          </w:tcPr>
          <w:p w14:paraId="6E770788"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E-2020-015871</w:t>
            </w:r>
          </w:p>
        </w:tc>
      </w:tr>
      <w:tr w:rsidR="00C377BF" w:rsidRPr="00A13F34" w14:paraId="65759517" w14:textId="77777777" w:rsidTr="006D453F">
        <w:trPr>
          <w:trHeight w:val="69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CE5AA0A"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3</w:t>
            </w:r>
          </w:p>
        </w:tc>
        <w:tc>
          <w:tcPr>
            <w:tcW w:w="5043" w:type="dxa"/>
            <w:tcBorders>
              <w:top w:val="nil"/>
              <w:left w:val="nil"/>
              <w:bottom w:val="single" w:sz="4" w:space="0" w:color="auto"/>
              <w:right w:val="single" w:sz="4" w:space="0" w:color="auto"/>
            </w:tcBorders>
            <w:shd w:val="clear" w:color="auto" w:fill="auto"/>
            <w:vAlign w:val="center"/>
            <w:hideMark/>
          </w:tcPr>
          <w:p w14:paraId="51B92463"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CENTRALES ELECTRICAS DE NARIÑO S.A. E.S.P. -CEDENAR S.A. E.S.P.-</w:t>
            </w:r>
          </w:p>
        </w:tc>
        <w:tc>
          <w:tcPr>
            <w:tcW w:w="1342" w:type="dxa"/>
            <w:tcBorders>
              <w:top w:val="nil"/>
              <w:left w:val="nil"/>
              <w:bottom w:val="single" w:sz="4" w:space="0" w:color="auto"/>
              <w:right w:val="single" w:sz="4" w:space="0" w:color="auto"/>
            </w:tcBorders>
            <w:shd w:val="clear" w:color="auto" w:fill="auto"/>
            <w:vAlign w:val="center"/>
            <w:hideMark/>
          </w:tcPr>
          <w:p w14:paraId="46B5D33D"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891200200-8</w:t>
            </w:r>
          </w:p>
        </w:tc>
        <w:tc>
          <w:tcPr>
            <w:tcW w:w="2202" w:type="dxa"/>
            <w:tcBorders>
              <w:top w:val="nil"/>
              <w:left w:val="nil"/>
              <w:bottom w:val="single" w:sz="4" w:space="0" w:color="auto"/>
              <w:right w:val="single" w:sz="4" w:space="0" w:color="auto"/>
            </w:tcBorders>
            <w:shd w:val="clear" w:color="auto" w:fill="auto"/>
            <w:noWrap/>
            <w:vAlign w:val="center"/>
            <w:hideMark/>
          </w:tcPr>
          <w:p w14:paraId="4875ACDE"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E-2020-015607</w:t>
            </w:r>
          </w:p>
        </w:tc>
      </w:tr>
      <w:tr w:rsidR="00C377BF" w:rsidRPr="00A13F34" w14:paraId="7829766E" w14:textId="77777777" w:rsidTr="006D453F">
        <w:trPr>
          <w:trHeight w:val="4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E58864"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4</w:t>
            </w:r>
          </w:p>
        </w:tc>
        <w:tc>
          <w:tcPr>
            <w:tcW w:w="5043" w:type="dxa"/>
            <w:tcBorders>
              <w:top w:val="nil"/>
              <w:left w:val="nil"/>
              <w:bottom w:val="single" w:sz="4" w:space="0" w:color="auto"/>
              <w:right w:val="single" w:sz="4" w:space="0" w:color="auto"/>
            </w:tcBorders>
            <w:shd w:val="clear" w:color="auto" w:fill="auto"/>
            <w:vAlign w:val="center"/>
            <w:hideMark/>
          </w:tcPr>
          <w:p w14:paraId="02AE59E5"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CODENSA S.A. E.S.P.</w:t>
            </w:r>
          </w:p>
        </w:tc>
        <w:tc>
          <w:tcPr>
            <w:tcW w:w="1342" w:type="dxa"/>
            <w:tcBorders>
              <w:top w:val="nil"/>
              <w:left w:val="nil"/>
              <w:bottom w:val="single" w:sz="4" w:space="0" w:color="auto"/>
              <w:right w:val="single" w:sz="4" w:space="0" w:color="auto"/>
            </w:tcBorders>
            <w:shd w:val="clear" w:color="auto" w:fill="auto"/>
            <w:vAlign w:val="center"/>
            <w:hideMark/>
          </w:tcPr>
          <w:p w14:paraId="75BB5984"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830037248-0</w:t>
            </w:r>
          </w:p>
        </w:tc>
        <w:tc>
          <w:tcPr>
            <w:tcW w:w="2202" w:type="dxa"/>
            <w:tcBorders>
              <w:top w:val="nil"/>
              <w:left w:val="nil"/>
              <w:bottom w:val="single" w:sz="4" w:space="0" w:color="auto"/>
              <w:right w:val="single" w:sz="4" w:space="0" w:color="auto"/>
            </w:tcBorders>
            <w:shd w:val="clear" w:color="auto" w:fill="auto"/>
            <w:noWrap/>
            <w:vAlign w:val="center"/>
            <w:hideMark/>
          </w:tcPr>
          <w:p w14:paraId="2F66070E"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E-2020-015879</w:t>
            </w:r>
          </w:p>
        </w:tc>
      </w:tr>
      <w:tr w:rsidR="00C377BF" w:rsidRPr="00A13F34" w14:paraId="16FC132E" w14:textId="77777777" w:rsidTr="006D453F">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B14BB3"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5</w:t>
            </w:r>
          </w:p>
        </w:tc>
        <w:tc>
          <w:tcPr>
            <w:tcW w:w="5043" w:type="dxa"/>
            <w:tcBorders>
              <w:top w:val="nil"/>
              <w:left w:val="nil"/>
              <w:bottom w:val="single" w:sz="4" w:space="0" w:color="auto"/>
              <w:right w:val="single" w:sz="4" w:space="0" w:color="auto"/>
            </w:tcBorders>
            <w:shd w:val="clear" w:color="auto" w:fill="auto"/>
            <w:vAlign w:val="center"/>
            <w:hideMark/>
          </w:tcPr>
          <w:p w14:paraId="51B2080A"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COMPAÑIA ENERGETICA DE OCCIDENTE S.A.S</w:t>
            </w:r>
            <w:r>
              <w:rPr>
                <w:rFonts w:ascii="Bookman Old Style" w:hAnsi="Bookman Old Style" w:cs="Calibri"/>
                <w:sz w:val="18"/>
                <w:szCs w:val="18"/>
                <w:lang w:val="es-CO" w:eastAsia="es-CO"/>
              </w:rPr>
              <w:t>.</w:t>
            </w:r>
          </w:p>
        </w:tc>
        <w:tc>
          <w:tcPr>
            <w:tcW w:w="1342" w:type="dxa"/>
            <w:tcBorders>
              <w:top w:val="nil"/>
              <w:left w:val="nil"/>
              <w:bottom w:val="single" w:sz="4" w:space="0" w:color="auto"/>
              <w:right w:val="single" w:sz="4" w:space="0" w:color="auto"/>
            </w:tcBorders>
            <w:shd w:val="clear" w:color="auto" w:fill="auto"/>
            <w:vAlign w:val="center"/>
            <w:hideMark/>
          </w:tcPr>
          <w:p w14:paraId="35EB44B2"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900366010-1</w:t>
            </w:r>
          </w:p>
        </w:tc>
        <w:tc>
          <w:tcPr>
            <w:tcW w:w="2202" w:type="dxa"/>
            <w:tcBorders>
              <w:top w:val="nil"/>
              <w:left w:val="nil"/>
              <w:bottom w:val="single" w:sz="4" w:space="0" w:color="auto"/>
              <w:right w:val="single" w:sz="4" w:space="0" w:color="auto"/>
            </w:tcBorders>
            <w:shd w:val="clear" w:color="auto" w:fill="auto"/>
            <w:noWrap/>
            <w:vAlign w:val="center"/>
            <w:hideMark/>
          </w:tcPr>
          <w:p w14:paraId="1DB72B12"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E-2020-015874</w:t>
            </w:r>
          </w:p>
        </w:tc>
      </w:tr>
      <w:tr w:rsidR="00C377BF" w:rsidRPr="00A13F34" w14:paraId="1892EF07" w14:textId="77777777" w:rsidTr="006D453F">
        <w:trPr>
          <w:trHeight w:val="69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7883AE"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6</w:t>
            </w:r>
          </w:p>
        </w:tc>
        <w:tc>
          <w:tcPr>
            <w:tcW w:w="5043" w:type="dxa"/>
            <w:tcBorders>
              <w:top w:val="nil"/>
              <w:left w:val="nil"/>
              <w:bottom w:val="single" w:sz="4" w:space="0" w:color="auto"/>
              <w:right w:val="single" w:sz="4" w:space="0" w:color="auto"/>
            </w:tcBorders>
            <w:shd w:val="clear" w:color="auto" w:fill="auto"/>
            <w:vAlign w:val="center"/>
            <w:hideMark/>
          </w:tcPr>
          <w:p w14:paraId="2D609E5A"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EMPRESAS PUBLICAS DE MEDELLIN E.S.P. -EEPP DE MEDELLIN-</w:t>
            </w:r>
          </w:p>
        </w:tc>
        <w:tc>
          <w:tcPr>
            <w:tcW w:w="1342" w:type="dxa"/>
            <w:tcBorders>
              <w:top w:val="nil"/>
              <w:left w:val="nil"/>
              <w:bottom w:val="single" w:sz="4" w:space="0" w:color="auto"/>
              <w:right w:val="single" w:sz="4" w:space="0" w:color="auto"/>
            </w:tcBorders>
            <w:shd w:val="clear" w:color="auto" w:fill="auto"/>
            <w:vAlign w:val="center"/>
            <w:hideMark/>
          </w:tcPr>
          <w:p w14:paraId="6EA7AB00"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890904996-1</w:t>
            </w:r>
          </w:p>
        </w:tc>
        <w:tc>
          <w:tcPr>
            <w:tcW w:w="2202" w:type="dxa"/>
            <w:tcBorders>
              <w:top w:val="nil"/>
              <w:left w:val="nil"/>
              <w:bottom w:val="single" w:sz="4" w:space="0" w:color="auto"/>
              <w:right w:val="single" w:sz="4" w:space="0" w:color="auto"/>
            </w:tcBorders>
            <w:shd w:val="clear" w:color="auto" w:fill="auto"/>
            <w:noWrap/>
            <w:vAlign w:val="center"/>
            <w:hideMark/>
          </w:tcPr>
          <w:p w14:paraId="315803B4"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E-2020-015883</w:t>
            </w:r>
          </w:p>
        </w:tc>
      </w:tr>
      <w:tr w:rsidR="00C377BF" w:rsidRPr="00A13F34" w14:paraId="4A0CDBA3" w14:textId="77777777" w:rsidTr="006D453F">
        <w:trPr>
          <w:trHeight w:val="40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7E8A2D4"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7</w:t>
            </w:r>
          </w:p>
        </w:tc>
        <w:tc>
          <w:tcPr>
            <w:tcW w:w="5043" w:type="dxa"/>
            <w:tcBorders>
              <w:top w:val="nil"/>
              <w:left w:val="nil"/>
              <w:bottom w:val="single" w:sz="4" w:space="0" w:color="auto"/>
              <w:right w:val="single" w:sz="4" w:space="0" w:color="auto"/>
            </w:tcBorders>
            <w:shd w:val="clear" w:color="auto" w:fill="auto"/>
            <w:vAlign w:val="center"/>
            <w:hideMark/>
          </w:tcPr>
          <w:p w14:paraId="12BB7D34"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ENERTOTAL S.A. E.S.P.</w:t>
            </w:r>
          </w:p>
        </w:tc>
        <w:tc>
          <w:tcPr>
            <w:tcW w:w="1342" w:type="dxa"/>
            <w:tcBorders>
              <w:top w:val="nil"/>
              <w:left w:val="nil"/>
              <w:bottom w:val="single" w:sz="4" w:space="0" w:color="auto"/>
              <w:right w:val="single" w:sz="4" w:space="0" w:color="auto"/>
            </w:tcBorders>
            <w:shd w:val="clear" w:color="auto" w:fill="auto"/>
            <w:vAlign w:val="center"/>
            <w:hideMark/>
          </w:tcPr>
          <w:p w14:paraId="3DBEF3BB"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900039901-5</w:t>
            </w:r>
          </w:p>
        </w:tc>
        <w:tc>
          <w:tcPr>
            <w:tcW w:w="2202" w:type="dxa"/>
            <w:tcBorders>
              <w:top w:val="nil"/>
              <w:left w:val="nil"/>
              <w:bottom w:val="single" w:sz="4" w:space="0" w:color="auto"/>
              <w:right w:val="single" w:sz="4" w:space="0" w:color="auto"/>
            </w:tcBorders>
            <w:shd w:val="clear" w:color="auto" w:fill="auto"/>
            <w:noWrap/>
            <w:vAlign w:val="center"/>
            <w:hideMark/>
          </w:tcPr>
          <w:p w14:paraId="61991D7B"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E-2020-015870</w:t>
            </w:r>
          </w:p>
        </w:tc>
      </w:tr>
      <w:tr w:rsidR="00C377BF" w:rsidRPr="00A13F34" w14:paraId="72199E6E" w14:textId="77777777" w:rsidTr="006D453F">
        <w:trPr>
          <w:trHeight w:val="69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52E1E4"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w:t>
            </w:r>
          </w:p>
        </w:tc>
        <w:tc>
          <w:tcPr>
            <w:tcW w:w="5043" w:type="dxa"/>
            <w:tcBorders>
              <w:top w:val="nil"/>
              <w:left w:val="nil"/>
              <w:bottom w:val="single" w:sz="4" w:space="0" w:color="auto"/>
              <w:right w:val="single" w:sz="4" w:space="0" w:color="auto"/>
            </w:tcBorders>
            <w:shd w:val="clear" w:color="auto" w:fill="auto"/>
            <w:vAlign w:val="center"/>
            <w:hideMark/>
          </w:tcPr>
          <w:p w14:paraId="08B0D454"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EMPRESA DE ENERGIA DEL QUINDIO S.A. EMPRESA DE SERVICIOS PUBLICOS E.S.P. -EDEQ S.A. E.S.P.-</w:t>
            </w:r>
          </w:p>
        </w:tc>
        <w:tc>
          <w:tcPr>
            <w:tcW w:w="1342" w:type="dxa"/>
            <w:tcBorders>
              <w:top w:val="nil"/>
              <w:left w:val="nil"/>
              <w:bottom w:val="single" w:sz="4" w:space="0" w:color="auto"/>
              <w:right w:val="single" w:sz="4" w:space="0" w:color="auto"/>
            </w:tcBorders>
            <w:shd w:val="clear" w:color="auto" w:fill="auto"/>
            <w:vAlign w:val="center"/>
            <w:hideMark/>
          </w:tcPr>
          <w:p w14:paraId="02CE4E98" w14:textId="77777777" w:rsidR="00C377BF" w:rsidRPr="00A13F34" w:rsidRDefault="00C377BF" w:rsidP="006D453F">
            <w:pPr>
              <w:ind w:left="0"/>
              <w:jc w:val="center"/>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800052640-9</w:t>
            </w:r>
          </w:p>
        </w:tc>
        <w:tc>
          <w:tcPr>
            <w:tcW w:w="2202" w:type="dxa"/>
            <w:tcBorders>
              <w:top w:val="nil"/>
              <w:left w:val="nil"/>
              <w:bottom w:val="single" w:sz="4" w:space="0" w:color="auto"/>
              <w:right w:val="single" w:sz="4" w:space="0" w:color="auto"/>
            </w:tcBorders>
            <w:shd w:val="clear" w:color="auto" w:fill="auto"/>
            <w:noWrap/>
            <w:vAlign w:val="center"/>
            <w:hideMark/>
          </w:tcPr>
          <w:p w14:paraId="3FA9D9E9" w14:textId="77777777" w:rsidR="00C377BF" w:rsidRPr="00A13F34" w:rsidRDefault="00C377BF" w:rsidP="006D453F">
            <w:pPr>
              <w:ind w:left="0"/>
              <w:rPr>
                <w:rFonts w:ascii="Bookman Old Style" w:hAnsi="Bookman Old Style" w:cs="Calibri"/>
                <w:sz w:val="18"/>
                <w:szCs w:val="18"/>
                <w:lang w:val="es-CO" w:eastAsia="es-CO"/>
              </w:rPr>
            </w:pPr>
            <w:r w:rsidRPr="00A13F34">
              <w:rPr>
                <w:rFonts w:ascii="Bookman Old Style" w:hAnsi="Bookman Old Style" w:cs="Calibri"/>
                <w:sz w:val="18"/>
                <w:szCs w:val="18"/>
                <w:lang w:val="es-CO" w:eastAsia="es-CO"/>
              </w:rPr>
              <w:t>E-2020-015864</w:t>
            </w:r>
          </w:p>
        </w:tc>
      </w:tr>
      <w:tr w:rsidR="00C377BF" w:rsidRPr="00A13F34" w14:paraId="3A99F330" w14:textId="77777777" w:rsidTr="006D453F">
        <w:trPr>
          <w:trHeight w:val="47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BDFCA2F" w14:textId="77777777" w:rsidR="00C377BF" w:rsidRPr="00A13F34" w:rsidRDefault="00C377BF" w:rsidP="006D453F">
            <w:pPr>
              <w:ind w:left="0"/>
              <w:jc w:val="center"/>
              <w:rPr>
                <w:rFonts w:ascii="Bookman Old Style" w:hAnsi="Bookman Old Style" w:cs="Calibri"/>
                <w:sz w:val="18"/>
                <w:szCs w:val="18"/>
                <w:lang w:val="es-CO" w:eastAsia="es-CO"/>
              </w:rPr>
            </w:pPr>
            <w:r>
              <w:rPr>
                <w:rFonts w:ascii="Bookman Old Style" w:hAnsi="Bookman Old Style" w:cs="Calibri"/>
                <w:sz w:val="18"/>
                <w:szCs w:val="18"/>
                <w:lang w:val="es-CO" w:eastAsia="es-CO"/>
              </w:rPr>
              <w:t>9</w:t>
            </w:r>
          </w:p>
        </w:tc>
        <w:tc>
          <w:tcPr>
            <w:tcW w:w="5043" w:type="dxa"/>
            <w:tcBorders>
              <w:top w:val="nil"/>
              <w:left w:val="nil"/>
              <w:bottom w:val="single" w:sz="4" w:space="0" w:color="auto"/>
              <w:right w:val="single" w:sz="4" w:space="0" w:color="auto"/>
            </w:tcBorders>
            <w:shd w:val="clear" w:color="auto" w:fill="auto"/>
            <w:vAlign w:val="center"/>
            <w:hideMark/>
          </w:tcPr>
          <w:p w14:paraId="335C6064" w14:textId="77777777" w:rsidR="00C377BF" w:rsidRPr="00A13F34" w:rsidRDefault="00C377BF" w:rsidP="006D453F">
            <w:pPr>
              <w:ind w:left="0"/>
              <w:rPr>
                <w:rFonts w:ascii="Bookman Old Style" w:hAnsi="Bookman Old Style" w:cs="Calibri"/>
                <w:sz w:val="18"/>
                <w:szCs w:val="18"/>
                <w:lang w:val="es-CO" w:eastAsia="es-CO"/>
              </w:rPr>
            </w:pPr>
            <w:r w:rsidRPr="00140A4D">
              <w:rPr>
                <w:rFonts w:ascii="Bookman Old Style" w:hAnsi="Bookman Old Style" w:cs="Calibri"/>
                <w:sz w:val="18"/>
                <w:szCs w:val="18"/>
                <w:lang w:val="es-CO" w:eastAsia="es-CO"/>
              </w:rPr>
              <w:t>EMPRESA DE ENERGIA DE PEREIRA S.A. E.S.P.</w:t>
            </w:r>
          </w:p>
        </w:tc>
        <w:tc>
          <w:tcPr>
            <w:tcW w:w="1342" w:type="dxa"/>
            <w:tcBorders>
              <w:top w:val="nil"/>
              <w:left w:val="nil"/>
              <w:bottom w:val="single" w:sz="4" w:space="0" w:color="auto"/>
              <w:right w:val="single" w:sz="4" w:space="0" w:color="auto"/>
            </w:tcBorders>
            <w:shd w:val="clear" w:color="auto" w:fill="auto"/>
            <w:vAlign w:val="center"/>
            <w:hideMark/>
          </w:tcPr>
          <w:p w14:paraId="79EAA4B5" w14:textId="77777777" w:rsidR="00C377BF" w:rsidRPr="00A13F34" w:rsidRDefault="00C377BF" w:rsidP="006D453F">
            <w:pPr>
              <w:ind w:left="0"/>
              <w:jc w:val="center"/>
              <w:rPr>
                <w:rFonts w:ascii="Bookman Old Style" w:hAnsi="Bookman Old Style" w:cs="Calibri"/>
                <w:sz w:val="18"/>
                <w:szCs w:val="18"/>
                <w:lang w:val="es-CO" w:eastAsia="es-CO"/>
              </w:rPr>
            </w:pPr>
            <w:r w:rsidRPr="00140A4D">
              <w:rPr>
                <w:rFonts w:ascii="Bookman Old Style" w:hAnsi="Bookman Old Style" w:cs="Calibri"/>
                <w:sz w:val="18"/>
                <w:szCs w:val="18"/>
                <w:lang w:val="es-CO" w:eastAsia="es-CO"/>
              </w:rPr>
              <w:t>816002019-9</w:t>
            </w:r>
          </w:p>
        </w:tc>
        <w:tc>
          <w:tcPr>
            <w:tcW w:w="2202" w:type="dxa"/>
            <w:tcBorders>
              <w:top w:val="nil"/>
              <w:left w:val="nil"/>
              <w:bottom w:val="single" w:sz="4" w:space="0" w:color="auto"/>
              <w:right w:val="single" w:sz="4" w:space="0" w:color="auto"/>
            </w:tcBorders>
            <w:shd w:val="clear" w:color="auto" w:fill="auto"/>
            <w:noWrap/>
            <w:vAlign w:val="center"/>
            <w:hideMark/>
          </w:tcPr>
          <w:p w14:paraId="39BD9F6D" w14:textId="77777777" w:rsidR="00C377BF" w:rsidRPr="00A13F34" w:rsidRDefault="00C377BF" w:rsidP="006D453F">
            <w:pPr>
              <w:ind w:left="0"/>
              <w:rPr>
                <w:rFonts w:ascii="Bookman Old Style" w:hAnsi="Bookman Old Style" w:cs="Calibri"/>
                <w:sz w:val="18"/>
                <w:szCs w:val="18"/>
                <w:lang w:val="es-CO" w:eastAsia="es-CO"/>
              </w:rPr>
            </w:pPr>
            <w:r w:rsidRPr="00140A4D">
              <w:rPr>
                <w:rFonts w:ascii="Bookman Old Style" w:hAnsi="Bookman Old Style" w:cs="Calibri"/>
                <w:sz w:val="18"/>
                <w:szCs w:val="18"/>
                <w:lang w:val="es-CO" w:eastAsia="es-CO"/>
              </w:rPr>
              <w:t>E-2020-015631</w:t>
            </w:r>
          </w:p>
        </w:tc>
      </w:tr>
    </w:tbl>
    <w:p w14:paraId="3F134311" w14:textId="77777777" w:rsidR="00C377BF" w:rsidRDefault="00C377BF" w:rsidP="00C377BF">
      <w:pPr>
        <w:ind w:left="0"/>
        <w:jc w:val="both"/>
        <w:rPr>
          <w:rFonts w:ascii="Bookman Old Style" w:hAnsi="Bookman Old Style" w:cs="Arial"/>
        </w:rPr>
      </w:pPr>
    </w:p>
    <w:p w14:paraId="73E199D0" w14:textId="50ACE1C1" w:rsidR="00C377BF" w:rsidRDefault="00EE21AD" w:rsidP="00C377BF">
      <w:pPr>
        <w:ind w:left="0"/>
        <w:jc w:val="both"/>
        <w:rPr>
          <w:rFonts w:ascii="Bookman Old Style" w:hAnsi="Bookman Old Style" w:cs="Arial"/>
        </w:rPr>
      </w:pPr>
      <w:r w:rsidRPr="00EE21AD">
        <w:rPr>
          <w:rFonts w:ascii="Bookman Old Style" w:hAnsi="Bookman Old Style" w:cs="Arial"/>
        </w:rPr>
        <w:t xml:space="preserve">La Corte Constitucional, por medio del </w:t>
      </w:r>
      <w:r>
        <w:rPr>
          <w:rFonts w:ascii="Bookman Old Style" w:hAnsi="Bookman Old Style" w:cs="Arial"/>
        </w:rPr>
        <w:t>C</w:t>
      </w:r>
      <w:r w:rsidRPr="00EE21AD">
        <w:rPr>
          <w:rFonts w:ascii="Bookman Old Style" w:hAnsi="Bookman Old Style" w:cs="Arial"/>
        </w:rPr>
        <w:t xml:space="preserve">omunicado </w:t>
      </w:r>
      <w:r>
        <w:rPr>
          <w:rFonts w:ascii="Bookman Old Style" w:hAnsi="Bookman Old Style" w:cs="Arial"/>
        </w:rPr>
        <w:t xml:space="preserve">49 </w:t>
      </w:r>
      <w:r w:rsidRPr="00EE21AD">
        <w:rPr>
          <w:rFonts w:ascii="Bookman Old Style" w:hAnsi="Bookman Old Style" w:cs="Arial"/>
        </w:rPr>
        <w:t>de</w:t>
      </w:r>
      <w:r>
        <w:rPr>
          <w:rFonts w:ascii="Bookman Old Style" w:hAnsi="Bookman Old Style" w:cs="Arial"/>
        </w:rPr>
        <w:t>l</w:t>
      </w:r>
      <w:r w:rsidRPr="00EE21AD">
        <w:rPr>
          <w:rFonts w:ascii="Bookman Old Style" w:hAnsi="Bookman Old Style" w:cs="Arial"/>
        </w:rPr>
        <w:t xml:space="preserve"> 19 de noviembre de 2020, informó que mediante la Sentencia C-484 de 2020 declaró inexequible el artículo 18 de la Ley 1955 de 2019 de forma inmediata y con efectos a futuro</w:t>
      </w:r>
      <w:r>
        <w:rPr>
          <w:rFonts w:ascii="Bookman Old Style" w:hAnsi="Bookman Old Style" w:cs="Arial"/>
        </w:rPr>
        <w:t xml:space="preserve">. También </w:t>
      </w:r>
      <w:r w:rsidRPr="009518B4">
        <w:rPr>
          <w:rFonts w:ascii="Bookman Old Style" w:hAnsi="Bookman Old Style" w:cs="Arial"/>
        </w:rPr>
        <w:t>aclaró</w:t>
      </w:r>
      <w:r>
        <w:rPr>
          <w:rFonts w:ascii="Bookman Old Style" w:hAnsi="Bookman Old Style" w:cs="Arial"/>
        </w:rPr>
        <w:t xml:space="preserve"> que</w:t>
      </w:r>
      <w:r w:rsidR="00CB65B9" w:rsidRPr="00CB65B9">
        <w:rPr>
          <w:rFonts w:ascii="Bookman Old Style" w:hAnsi="Bookman Old Style" w:cs="Arial"/>
        </w:rPr>
        <w:t xml:space="preserve"> se trata de una tasa contributiva anual. Por tanto, los efectos de la sentencia se deben surtir a partir de la siguiente anualidad, es decir del 2021. Así las cosas, es procedente </w:t>
      </w:r>
      <w:r w:rsidR="00CB65B9">
        <w:rPr>
          <w:rFonts w:ascii="Bookman Old Style" w:hAnsi="Bookman Old Style" w:cs="Arial"/>
        </w:rPr>
        <w:t xml:space="preserve">la </w:t>
      </w:r>
      <w:r w:rsidR="00CB65B9" w:rsidRPr="00CB65B9">
        <w:rPr>
          <w:rFonts w:ascii="Bookman Old Style" w:hAnsi="Bookman Old Style" w:cs="Arial"/>
        </w:rPr>
        <w:t>liquidación y cobro del tributo para la vigencia 2020</w:t>
      </w:r>
      <w:r w:rsidR="00917385">
        <w:rPr>
          <w:rFonts w:ascii="Bookman Old Style" w:hAnsi="Bookman Old Style" w:cs="Arial"/>
        </w:rPr>
        <w:t xml:space="preserve"> </w:t>
      </w:r>
      <w:r w:rsidR="00B11936">
        <w:rPr>
          <w:rFonts w:ascii="Bookman Old Style" w:hAnsi="Bookman Old Style" w:cs="Arial"/>
        </w:rPr>
        <w:t xml:space="preserve">bajo </w:t>
      </w:r>
      <w:r w:rsidR="00C377BF">
        <w:rPr>
          <w:rFonts w:ascii="Bookman Old Style" w:hAnsi="Bookman Old Style" w:cs="Arial"/>
        </w:rPr>
        <w:t xml:space="preserve">los elementos y supuestos establecidos </w:t>
      </w:r>
      <w:r w:rsidR="00917385">
        <w:rPr>
          <w:rFonts w:ascii="Bookman Old Style" w:hAnsi="Bookman Old Style" w:cs="Arial"/>
        </w:rPr>
        <w:t xml:space="preserve">en </w:t>
      </w:r>
      <w:r w:rsidR="00B11936">
        <w:rPr>
          <w:rFonts w:ascii="Bookman Old Style" w:hAnsi="Bookman Old Style" w:cs="Arial"/>
        </w:rPr>
        <w:t>la Ley 1955 de 2019.</w:t>
      </w:r>
    </w:p>
    <w:p w14:paraId="76985A16" w14:textId="77777777" w:rsidR="00B11936" w:rsidRDefault="00B11936" w:rsidP="00C377BF">
      <w:pPr>
        <w:ind w:left="0"/>
        <w:jc w:val="both"/>
        <w:rPr>
          <w:rFonts w:ascii="Bookman Old Style" w:hAnsi="Bookman Old Style" w:cs="Arial"/>
        </w:rPr>
      </w:pPr>
    </w:p>
    <w:p w14:paraId="30D6B5D4" w14:textId="4F340EA7" w:rsidR="00C377BF" w:rsidRDefault="00C377BF" w:rsidP="00C377BF">
      <w:pPr>
        <w:ind w:left="0"/>
        <w:jc w:val="both"/>
        <w:rPr>
          <w:rFonts w:ascii="Bookman Old Style" w:hAnsi="Bookman Old Style" w:cs="Arial"/>
        </w:rPr>
      </w:pPr>
      <w:r>
        <w:rPr>
          <w:rFonts w:ascii="Bookman Old Style" w:hAnsi="Bookman Old Style" w:cs="Arial"/>
        </w:rPr>
        <w:t xml:space="preserve">La </w:t>
      </w:r>
      <w:r w:rsidRPr="006E357E">
        <w:rPr>
          <w:rFonts w:ascii="Bookman Old Style" w:hAnsi="Bookman Old Style" w:cs="Arial"/>
        </w:rPr>
        <w:t xml:space="preserve">Empresa </w:t>
      </w:r>
      <w:r>
        <w:rPr>
          <w:rFonts w:ascii="Bookman Old Style" w:hAnsi="Bookman Old Style" w:cs="Arial"/>
        </w:rPr>
        <w:t>d</w:t>
      </w:r>
      <w:r w:rsidRPr="006E357E">
        <w:rPr>
          <w:rFonts w:ascii="Bookman Old Style" w:hAnsi="Bookman Old Style" w:cs="Arial"/>
        </w:rPr>
        <w:t xml:space="preserve">e Energía </w:t>
      </w:r>
      <w:r>
        <w:rPr>
          <w:rFonts w:ascii="Bookman Old Style" w:hAnsi="Bookman Old Style" w:cs="Arial"/>
        </w:rPr>
        <w:t>d</w:t>
      </w:r>
      <w:r w:rsidRPr="006E357E">
        <w:rPr>
          <w:rFonts w:ascii="Bookman Old Style" w:hAnsi="Bookman Old Style" w:cs="Arial"/>
        </w:rPr>
        <w:t>e Pereira S.A. E.S.P.</w:t>
      </w:r>
      <w:r>
        <w:rPr>
          <w:rFonts w:ascii="Bookman Old Style" w:hAnsi="Bookman Old Style" w:cs="Arial"/>
        </w:rPr>
        <w:t xml:space="preserve"> identificada con el NIT </w:t>
      </w:r>
      <w:r w:rsidRPr="006E357E">
        <w:rPr>
          <w:rFonts w:ascii="Bookman Old Style" w:hAnsi="Bookman Old Style" w:cs="Arial"/>
        </w:rPr>
        <w:t>816</w:t>
      </w:r>
      <w:r>
        <w:rPr>
          <w:rFonts w:ascii="Bookman Old Style" w:hAnsi="Bookman Old Style" w:cs="Arial"/>
        </w:rPr>
        <w:t>.</w:t>
      </w:r>
      <w:r w:rsidRPr="006E357E">
        <w:rPr>
          <w:rFonts w:ascii="Bookman Old Style" w:hAnsi="Bookman Old Style" w:cs="Arial"/>
        </w:rPr>
        <w:t>002</w:t>
      </w:r>
      <w:r>
        <w:rPr>
          <w:rFonts w:ascii="Bookman Old Style" w:hAnsi="Bookman Old Style" w:cs="Arial"/>
        </w:rPr>
        <w:t>.</w:t>
      </w:r>
      <w:r w:rsidRPr="006E357E">
        <w:rPr>
          <w:rFonts w:ascii="Bookman Old Style" w:hAnsi="Bookman Old Style" w:cs="Arial"/>
        </w:rPr>
        <w:t>019-9</w:t>
      </w:r>
      <w:r>
        <w:rPr>
          <w:rFonts w:ascii="Bookman Old Style" w:hAnsi="Bookman Old Style" w:cs="Arial"/>
        </w:rPr>
        <w:t xml:space="preserve"> manifest</w:t>
      </w:r>
      <w:r w:rsidR="007B0C19">
        <w:rPr>
          <w:rFonts w:ascii="Bookman Old Style" w:hAnsi="Bookman Old Style" w:cs="Arial"/>
        </w:rPr>
        <w:t xml:space="preserve">ó con radicado CREG </w:t>
      </w:r>
      <w:proofErr w:type="spellStart"/>
      <w:r w:rsidR="007B0C19">
        <w:rPr>
          <w:rFonts w:ascii="Bookman Old Style" w:hAnsi="Bookman Old Style" w:cs="Arial"/>
        </w:rPr>
        <w:t>N°</w:t>
      </w:r>
      <w:proofErr w:type="spellEnd"/>
      <w:r w:rsidR="007B0C19">
        <w:rPr>
          <w:rFonts w:ascii="Bookman Old Style" w:hAnsi="Bookman Old Style" w:cs="Arial"/>
        </w:rPr>
        <w:t xml:space="preserve"> </w:t>
      </w:r>
      <w:r w:rsidR="007B0C19" w:rsidRPr="006E357E">
        <w:rPr>
          <w:rFonts w:ascii="Bookman Old Style" w:hAnsi="Bookman Old Style" w:cs="Arial"/>
        </w:rPr>
        <w:t>E-2020-015631</w:t>
      </w:r>
      <w:r w:rsidR="007B0C19">
        <w:rPr>
          <w:rFonts w:ascii="Bookman Old Style" w:hAnsi="Bookman Old Style" w:cs="Arial"/>
        </w:rPr>
        <w:t>, que la liquidación publicada en el documento CREG 179 correspondiente a la vigencia 2020 presenta una variación superior al 12% respecto de la contribución liquidada en 2019.</w:t>
      </w:r>
    </w:p>
    <w:p w14:paraId="380A43D5" w14:textId="77777777" w:rsidR="00C377BF" w:rsidRDefault="00C377BF" w:rsidP="00C377BF">
      <w:pPr>
        <w:ind w:left="0"/>
        <w:jc w:val="both"/>
        <w:rPr>
          <w:rFonts w:ascii="Bookman Old Style" w:hAnsi="Bookman Old Style" w:cs="Arial"/>
        </w:rPr>
      </w:pPr>
    </w:p>
    <w:p w14:paraId="7CD91698" w14:textId="7DA5F944" w:rsidR="00C377BF" w:rsidRPr="006E357E" w:rsidRDefault="00C377BF" w:rsidP="00C377BF">
      <w:pPr>
        <w:pStyle w:val="Textoindependiente"/>
        <w:spacing w:after="0" w:line="240" w:lineRule="auto"/>
        <w:rPr>
          <w:rFonts w:ascii="Bookman Old Style" w:hAnsi="Bookman Old Style" w:cs="Arial"/>
          <w:sz w:val="24"/>
          <w:szCs w:val="24"/>
        </w:rPr>
      </w:pPr>
      <w:r w:rsidRPr="006E357E">
        <w:rPr>
          <w:rFonts w:ascii="Bookman Old Style" w:hAnsi="Bookman Old Style" w:cs="Arial"/>
          <w:sz w:val="24"/>
          <w:szCs w:val="24"/>
        </w:rPr>
        <w:t xml:space="preserve">Al respecto, se debe tener en cuenta </w:t>
      </w:r>
      <w:r w:rsidR="007B0C19">
        <w:rPr>
          <w:rFonts w:ascii="Bookman Old Style" w:hAnsi="Bookman Old Style" w:cs="Arial"/>
          <w:sz w:val="24"/>
          <w:szCs w:val="24"/>
        </w:rPr>
        <w:t>que</w:t>
      </w:r>
      <w:r w:rsidR="007B0C19" w:rsidRPr="006E357E">
        <w:rPr>
          <w:rFonts w:ascii="Bookman Old Style" w:hAnsi="Bookman Old Style" w:cs="Arial"/>
          <w:sz w:val="24"/>
          <w:szCs w:val="24"/>
        </w:rPr>
        <w:t xml:space="preserve"> la modificación al artículo 85 de la Ley 142 de 1994 realizada por el artículo 18 de la Ley 1955 de 2019 y reglamentada a través del Decreto 1150 de 2020</w:t>
      </w:r>
      <w:r w:rsidR="007B0C19">
        <w:rPr>
          <w:rFonts w:ascii="Bookman Old Style" w:hAnsi="Bookman Old Style" w:cs="Arial"/>
          <w:sz w:val="24"/>
          <w:szCs w:val="24"/>
        </w:rPr>
        <w:t xml:space="preserve"> cambió </w:t>
      </w:r>
      <w:r w:rsidRPr="006E357E">
        <w:rPr>
          <w:rFonts w:ascii="Bookman Old Style" w:hAnsi="Bookman Old Style" w:cs="Arial"/>
          <w:sz w:val="24"/>
          <w:szCs w:val="24"/>
        </w:rPr>
        <w:t xml:space="preserve">la metodología para hallar la base gravable para </w:t>
      </w:r>
      <w:r w:rsidRPr="006E357E">
        <w:rPr>
          <w:rFonts w:ascii="Bookman Old Style" w:hAnsi="Bookman Old Style" w:cs="Arial"/>
          <w:sz w:val="24"/>
          <w:szCs w:val="24"/>
        </w:rPr>
        <w:lastRenderedPageBreak/>
        <w:t xml:space="preserve">el cálculo de la tarifa de la contribución especial </w:t>
      </w:r>
      <w:r w:rsidR="007B0C19">
        <w:rPr>
          <w:rFonts w:ascii="Bookman Old Style" w:hAnsi="Bookman Old Style" w:cs="Arial"/>
          <w:sz w:val="24"/>
          <w:szCs w:val="24"/>
        </w:rPr>
        <w:t xml:space="preserve">en el año 2020, respecto de la fórmula vigente en </w:t>
      </w:r>
      <w:r w:rsidRPr="006E357E">
        <w:rPr>
          <w:rFonts w:ascii="Bookman Old Style" w:hAnsi="Bookman Old Style" w:cs="Arial"/>
          <w:sz w:val="24"/>
          <w:szCs w:val="24"/>
        </w:rPr>
        <w:t>2019 y años anteriores</w:t>
      </w:r>
      <w:r w:rsidR="007B0C19">
        <w:rPr>
          <w:rFonts w:ascii="Bookman Old Style" w:hAnsi="Bookman Old Style" w:cs="Arial"/>
          <w:sz w:val="24"/>
          <w:szCs w:val="24"/>
        </w:rPr>
        <w:t>.</w:t>
      </w:r>
      <w:r w:rsidRPr="006E357E">
        <w:rPr>
          <w:rFonts w:ascii="Bookman Old Style" w:hAnsi="Bookman Old Style" w:cs="Arial"/>
          <w:sz w:val="24"/>
          <w:szCs w:val="24"/>
        </w:rPr>
        <w:t xml:space="preserve"> </w:t>
      </w:r>
    </w:p>
    <w:p w14:paraId="2F44CBB7" w14:textId="77777777" w:rsidR="00C377BF" w:rsidRPr="006E357E" w:rsidRDefault="00C377BF" w:rsidP="00C377BF">
      <w:pPr>
        <w:pStyle w:val="Textoindependiente"/>
        <w:spacing w:after="0" w:line="240" w:lineRule="auto"/>
        <w:rPr>
          <w:rFonts w:ascii="Bookman Old Style" w:hAnsi="Bookman Old Style" w:cs="Arial"/>
          <w:sz w:val="24"/>
          <w:szCs w:val="24"/>
        </w:rPr>
      </w:pPr>
    </w:p>
    <w:p w14:paraId="7D48071D" w14:textId="77777777" w:rsidR="00C377BF" w:rsidRPr="006E357E" w:rsidRDefault="00C377BF" w:rsidP="00C377BF">
      <w:pPr>
        <w:pStyle w:val="Textoindependiente"/>
        <w:spacing w:after="0" w:line="240" w:lineRule="auto"/>
        <w:rPr>
          <w:rFonts w:ascii="Bookman Old Style" w:hAnsi="Bookman Old Style" w:cs="Arial"/>
          <w:sz w:val="24"/>
          <w:szCs w:val="24"/>
        </w:rPr>
      </w:pPr>
      <w:r w:rsidRPr="006E357E">
        <w:rPr>
          <w:rFonts w:ascii="Bookman Old Style" w:hAnsi="Bookman Old Style" w:cs="Arial"/>
          <w:sz w:val="24"/>
          <w:szCs w:val="24"/>
        </w:rPr>
        <w:t>La base gravable, en cualquiera de las dos metodologías, es un componente para hallar el factor, tarifa del tributo, en el entendido que como denominador es la sumatoria de las bases gravables de los sujetos pasivos, conforme a la formula aplicable determinada por la normatividad vigente al año a liquidar.</w:t>
      </w:r>
    </w:p>
    <w:p w14:paraId="4F45E95B" w14:textId="77777777" w:rsidR="00C377BF" w:rsidRPr="006E357E" w:rsidRDefault="00C377BF" w:rsidP="00C377BF">
      <w:pPr>
        <w:pStyle w:val="Textoindependiente"/>
        <w:spacing w:after="0" w:line="240" w:lineRule="auto"/>
        <w:rPr>
          <w:rFonts w:ascii="Bookman Old Style" w:hAnsi="Bookman Old Style" w:cs="Arial"/>
          <w:sz w:val="24"/>
          <w:szCs w:val="24"/>
        </w:rPr>
      </w:pPr>
    </w:p>
    <w:p w14:paraId="481631C8" w14:textId="77777777" w:rsidR="00C377BF" w:rsidRPr="006E357E" w:rsidRDefault="00C377BF" w:rsidP="00C377BF">
      <w:pPr>
        <w:pStyle w:val="Textoindependiente"/>
        <w:spacing w:after="0" w:line="240" w:lineRule="auto"/>
        <w:rPr>
          <w:rFonts w:ascii="Bookman Old Style" w:hAnsi="Bookman Old Style" w:cs="Arial"/>
          <w:sz w:val="24"/>
          <w:szCs w:val="24"/>
        </w:rPr>
      </w:pPr>
      <w:r w:rsidRPr="006E357E">
        <w:rPr>
          <w:rFonts w:ascii="Bookman Old Style" w:hAnsi="Bookman Old Style" w:cs="Arial"/>
          <w:sz w:val="24"/>
          <w:szCs w:val="24"/>
        </w:rPr>
        <w:t>La estructura de cada una de dos metodologías establecidas para hallar la base gravable es la siguiente:</w:t>
      </w:r>
    </w:p>
    <w:p w14:paraId="1680AAD0" w14:textId="77777777" w:rsidR="00C377BF" w:rsidRPr="006E357E" w:rsidRDefault="00C377BF" w:rsidP="00C377BF">
      <w:pPr>
        <w:pStyle w:val="Textoindependiente"/>
        <w:spacing w:after="0" w:line="240" w:lineRule="auto"/>
        <w:rPr>
          <w:rFonts w:ascii="Bookman Old Style" w:hAnsi="Bookman Old Style" w:cs="Arial"/>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4252"/>
      </w:tblGrid>
      <w:tr w:rsidR="00C377BF" w:rsidRPr="006E357E" w14:paraId="7CDC0013" w14:textId="77777777" w:rsidTr="006D453F">
        <w:trPr>
          <w:trHeight w:val="274"/>
          <w:jc w:val="center"/>
        </w:trPr>
        <w:tc>
          <w:tcPr>
            <w:tcW w:w="8642" w:type="dxa"/>
            <w:gridSpan w:val="2"/>
            <w:shd w:val="clear" w:color="auto" w:fill="E7E6E6" w:themeFill="background2"/>
            <w:vAlign w:val="center"/>
            <w:hideMark/>
          </w:tcPr>
          <w:p w14:paraId="6125A947" w14:textId="77777777" w:rsidR="00C377BF" w:rsidRPr="006E357E" w:rsidRDefault="00C377BF" w:rsidP="006D453F">
            <w:pPr>
              <w:jc w:val="center"/>
              <w:rPr>
                <w:rFonts w:ascii="Bookman Old Style" w:hAnsi="Bookman Old Style" w:cs="Arial"/>
                <w:b/>
                <w:bCs/>
                <w:sz w:val="18"/>
                <w:szCs w:val="18"/>
                <w:lang w:eastAsia="es-CO"/>
              </w:rPr>
            </w:pPr>
            <w:r w:rsidRPr="006E357E">
              <w:rPr>
                <w:rFonts w:ascii="Bookman Old Style" w:hAnsi="Bookman Old Style" w:cs="Arial"/>
                <w:b/>
                <w:bCs/>
                <w:sz w:val="18"/>
                <w:szCs w:val="18"/>
                <w:lang w:eastAsia="es-CO"/>
              </w:rPr>
              <w:t>METODOLOGÍA BASE GRAVABLE</w:t>
            </w:r>
          </w:p>
        </w:tc>
      </w:tr>
      <w:tr w:rsidR="00C377BF" w:rsidRPr="006E357E" w14:paraId="03373853" w14:textId="77777777" w:rsidTr="007B0C19">
        <w:trPr>
          <w:trHeight w:val="274"/>
          <w:jc w:val="center"/>
        </w:trPr>
        <w:tc>
          <w:tcPr>
            <w:tcW w:w="4390" w:type="dxa"/>
            <w:shd w:val="clear" w:color="auto" w:fill="E7E6E6" w:themeFill="background2"/>
            <w:vAlign w:val="center"/>
            <w:hideMark/>
          </w:tcPr>
          <w:p w14:paraId="1EFBDFB3" w14:textId="77777777" w:rsidR="00C377BF" w:rsidRPr="006E357E" w:rsidRDefault="00C377BF" w:rsidP="006D453F">
            <w:pPr>
              <w:jc w:val="center"/>
              <w:rPr>
                <w:rFonts w:ascii="Bookman Old Style" w:hAnsi="Bookman Old Style" w:cs="Arial"/>
                <w:b/>
                <w:bCs/>
                <w:sz w:val="18"/>
                <w:szCs w:val="18"/>
                <w:lang w:eastAsia="es-CO"/>
              </w:rPr>
            </w:pPr>
            <w:r w:rsidRPr="007B0C19">
              <w:rPr>
                <w:rFonts w:ascii="Bookman Old Style" w:hAnsi="Bookman Old Style" w:cs="Arial"/>
                <w:b/>
                <w:bCs/>
                <w:sz w:val="16"/>
                <w:szCs w:val="16"/>
                <w:lang w:eastAsia="es-CO"/>
              </w:rPr>
              <w:t xml:space="preserve">ANTERIOR: AÑO 2019 Y PRECEDENTES </w:t>
            </w:r>
            <w:r w:rsidRPr="007B0C19">
              <w:rPr>
                <w:rFonts w:ascii="Bookman Old Style" w:hAnsi="Bookman Old Style" w:cs="Arial"/>
                <w:sz w:val="22"/>
                <w:szCs w:val="22"/>
                <w:vertAlign w:val="superscript"/>
              </w:rPr>
              <w:t>1</w:t>
            </w:r>
          </w:p>
        </w:tc>
        <w:tc>
          <w:tcPr>
            <w:tcW w:w="4252" w:type="dxa"/>
            <w:shd w:val="clear" w:color="auto" w:fill="E7E6E6" w:themeFill="background2"/>
            <w:vAlign w:val="center"/>
            <w:hideMark/>
          </w:tcPr>
          <w:p w14:paraId="3FC1A72D" w14:textId="77777777" w:rsidR="00C377BF" w:rsidRPr="006E357E" w:rsidRDefault="00C377BF" w:rsidP="006D453F">
            <w:pPr>
              <w:jc w:val="center"/>
              <w:rPr>
                <w:rFonts w:ascii="Bookman Old Style" w:hAnsi="Bookman Old Style" w:cs="Arial"/>
                <w:b/>
                <w:bCs/>
                <w:sz w:val="18"/>
                <w:szCs w:val="18"/>
                <w:lang w:eastAsia="es-CO"/>
              </w:rPr>
            </w:pPr>
            <w:r w:rsidRPr="006E357E">
              <w:rPr>
                <w:rFonts w:ascii="Bookman Old Style" w:hAnsi="Bookman Old Style" w:cs="Arial"/>
                <w:b/>
                <w:bCs/>
                <w:sz w:val="18"/>
                <w:szCs w:val="18"/>
                <w:lang w:eastAsia="es-CO"/>
              </w:rPr>
              <w:t xml:space="preserve">ACTUAL: AÑO 2020 </w:t>
            </w:r>
            <w:r w:rsidRPr="006E357E">
              <w:rPr>
                <w:rFonts w:ascii="Bookman Old Style" w:hAnsi="Bookman Old Style" w:cs="Arial"/>
                <w:vertAlign w:val="superscript"/>
              </w:rPr>
              <w:t>2</w:t>
            </w:r>
          </w:p>
        </w:tc>
      </w:tr>
      <w:tr w:rsidR="00C377BF" w:rsidRPr="006E357E" w14:paraId="29DEFA6D" w14:textId="77777777" w:rsidTr="007B0C19">
        <w:trPr>
          <w:trHeight w:val="1015"/>
          <w:jc w:val="center"/>
        </w:trPr>
        <w:tc>
          <w:tcPr>
            <w:tcW w:w="4390" w:type="dxa"/>
            <w:shd w:val="clear" w:color="auto" w:fill="auto"/>
            <w:noWrap/>
            <w:vAlign w:val="center"/>
          </w:tcPr>
          <w:p w14:paraId="78788CDC"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Bg</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base gravable.</w:t>
            </w:r>
          </w:p>
          <w:p w14:paraId="43C0C36B"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gf</w:t>
            </w:r>
            <w:proofErr w:type="spellEnd"/>
            <w:r w:rsidRPr="006E357E">
              <w:rPr>
                <w:rFonts w:ascii="Bookman Old Style" w:hAnsi="Bookman Old Style" w:cs="Arial"/>
                <w:b/>
                <w:bCs/>
                <w:sz w:val="18"/>
                <w:szCs w:val="18"/>
              </w:rPr>
              <w:t xml:space="preserve">: </w:t>
            </w:r>
            <w:r w:rsidRPr="006E357E">
              <w:rPr>
                <w:rFonts w:ascii="Bookman Old Style" w:hAnsi="Bookman Old Style" w:cs="Arial"/>
                <w:sz w:val="18"/>
                <w:szCs w:val="18"/>
              </w:rPr>
              <w:t>gastos de funcionamiento.</w:t>
            </w:r>
          </w:p>
          <w:p w14:paraId="5515B537"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r w:rsidRPr="006E357E">
              <w:rPr>
                <w:rFonts w:ascii="Bookman Old Style" w:hAnsi="Bookman Old Style" w:cs="Arial"/>
                <w:b/>
                <w:bCs/>
                <w:sz w:val="18"/>
                <w:szCs w:val="18"/>
              </w:rPr>
              <w:t>ex:</w:t>
            </w:r>
            <w:r w:rsidRPr="006E357E">
              <w:rPr>
                <w:rFonts w:ascii="Bookman Old Style" w:hAnsi="Bookman Old Style" w:cs="Arial"/>
                <w:sz w:val="18"/>
                <w:szCs w:val="18"/>
              </w:rPr>
              <w:t xml:space="preserve"> deducciones.</w:t>
            </w:r>
          </w:p>
          <w:p w14:paraId="3CD5D48D"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go</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gastos operativos.</w:t>
            </w:r>
          </w:p>
          <w:p w14:paraId="7247E954" w14:textId="77777777" w:rsidR="00C377BF" w:rsidRPr="006E357E" w:rsidRDefault="00C377BF" w:rsidP="006D453F">
            <w:pPr>
              <w:pStyle w:val="Textoindependiente"/>
              <w:spacing w:before="40" w:after="40" w:line="240" w:lineRule="auto"/>
              <w:ind w:right="57"/>
              <w:rPr>
                <w:rFonts w:ascii="Bookman Old Style" w:hAnsi="Bookman Old Style" w:cs="Arial"/>
              </w:rPr>
            </w:pPr>
            <w:r w:rsidRPr="006E357E">
              <w:rPr>
                <w:rFonts w:ascii="Bookman Old Style" w:hAnsi="Bookman Old Style" w:cs="Arial"/>
                <w:b/>
                <w:bCs/>
                <w:sz w:val="18"/>
                <w:szCs w:val="18"/>
              </w:rPr>
              <w:t xml:space="preserve">                                   Fórmula </w:t>
            </w:r>
            <w:proofErr w:type="gramStart"/>
            <w:r w:rsidRPr="006E357E">
              <w:rPr>
                <w:rFonts w:ascii="Bookman Old Style" w:hAnsi="Bookman Old Style" w:cs="Arial"/>
                <w:vertAlign w:val="superscript"/>
              </w:rPr>
              <w:t>1</w:t>
            </w:r>
            <w:r w:rsidRPr="006E357E">
              <w:rPr>
                <w:rFonts w:ascii="Bookman Old Style" w:hAnsi="Bookman Old Style" w:cs="Arial"/>
                <w:sz w:val="24"/>
                <w:szCs w:val="24"/>
                <w:vertAlign w:val="superscript"/>
              </w:rPr>
              <w:t xml:space="preserve"> </w:t>
            </w:r>
            <w:r w:rsidRPr="006E357E">
              <w:rPr>
                <w:rFonts w:ascii="Bookman Old Style" w:hAnsi="Bookman Old Style" w:cs="Arial"/>
                <w:b/>
                <w:bCs/>
                <w:sz w:val="18"/>
                <w:szCs w:val="18"/>
              </w:rPr>
              <w:t>:</w:t>
            </w:r>
            <w:proofErr w:type="gramEnd"/>
            <w:r w:rsidRPr="006E357E">
              <w:rPr>
                <w:rFonts w:ascii="Bookman Old Style" w:hAnsi="Bookman Old Style" w:cs="Arial"/>
                <w:sz w:val="18"/>
                <w:szCs w:val="18"/>
              </w:rPr>
              <w:t xml:space="preserve">   </w:t>
            </w:r>
            <m:oMath>
              <m:r>
                <w:rPr>
                  <w:rFonts w:ascii="Cambria Math" w:hAnsi="Cambria Math" w:cs="Arial"/>
                </w:rPr>
                <m:t>Bg=gf-ex [+go</m:t>
              </m:r>
              <m:r>
                <m:rPr>
                  <m:sty m:val="p"/>
                </m:rPr>
                <w:rPr>
                  <w:rFonts w:ascii="Cambria Math" w:hAnsi="Cambria Math" w:cs="Arial"/>
                </w:rPr>
                <m:t>]</m:t>
              </m:r>
            </m:oMath>
            <w:r w:rsidRPr="006E357E">
              <w:rPr>
                <w:rFonts w:ascii="Bookman Old Style" w:hAnsi="Bookman Old Style" w:cs="Arial"/>
              </w:rPr>
              <w:t xml:space="preserve"> </w:t>
            </w:r>
          </w:p>
          <w:p w14:paraId="4BCF3FFD" w14:textId="77777777" w:rsidR="00C377BF" w:rsidRPr="006E357E" w:rsidRDefault="00C377BF" w:rsidP="006D453F">
            <w:pPr>
              <w:pStyle w:val="Textoindependiente"/>
              <w:spacing w:before="40" w:after="40" w:line="240" w:lineRule="auto"/>
              <w:ind w:left="57" w:right="57"/>
              <w:rPr>
                <w:rFonts w:ascii="Bookman Old Style" w:hAnsi="Bookman Old Style" w:cs="Arial"/>
                <w:sz w:val="18"/>
                <w:szCs w:val="18"/>
              </w:rPr>
            </w:pPr>
          </w:p>
          <w:p w14:paraId="68D6AC24" w14:textId="77777777" w:rsidR="00C377BF" w:rsidRPr="006E357E" w:rsidRDefault="00C377BF" w:rsidP="006D453F">
            <w:pPr>
              <w:pStyle w:val="Textoindependiente"/>
              <w:spacing w:before="40" w:after="40" w:line="240" w:lineRule="auto"/>
              <w:ind w:left="57" w:right="57"/>
              <w:rPr>
                <w:rFonts w:ascii="Bookman Old Style" w:hAnsi="Bookman Old Style" w:cs="Arial"/>
                <w:sz w:val="18"/>
                <w:szCs w:val="18"/>
              </w:rPr>
            </w:pPr>
            <w:r w:rsidRPr="006E357E">
              <w:rPr>
                <w:rFonts w:ascii="Bookman Old Style" w:hAnsi="Bookman Old Style" w:cs="Arial"/>
                <w:sz w:val="18"/>
                <w:szCs w:val="18"/>
              </w:rPr>
              <w:t>Las exclusiones (</w:t>
            </w:r>
            <w:proofErr w:type="gramStart"/>
            <w:r w:rsidRPr="006E357E">
              <w:rPr>
                <w:rFonts w:ascii="Bookman Old Style" w:hAnsi="Bookman Old Style" w:cs="Arial"/>
                <w:sz w:val="18"/>
                <w:szCs w:val="18"/>
              </w:rPr>
              <w:t>ex)  corresponden</w:t>
            </w:r>
            <w:proofErr w:type="gramEnd"/>
            <w:r w:rsidRPr="006E357E">
              <w:rPr>
                <w:rFonts w:ascii="Bookman Old Style" w:hAnsi="Bookman Old Style" w:cs="Arial"/>
                <w:sz w:val="18"/>
                <w:szCs w:val="18"/>
              </w:rPr>
              <w:t xml:space="preserve"> a los gastos operativos, las compras de electricidad, las compras de combustible y los peajes, impuestos, contribuciones y tasas.</w:t>
            </w:r>
          </w:p>
          <w:p w14:paraId="0E96DC1D" w14:textId="77777777" w:rsidR="00C377BF" w:rsidRPr="006E357E" w:rsidRDefault="00C377BF" w:rsidP="006D453F">
            <w:pPr>
              <w:pStyle w:val="Textoindependiente"/>
              <w:spacing w:before="40" w:after="40" w:line="240" w:lineRule="auto"/>
              <w:ind w:left="57" w:right="57"/>
              <w:rPr>
                <w:rFonts w:ascii="Bookman Old Style" w:hAnsi="Bookman Old Style" w:cs="Arial"/>
                <w:sz w:val="10"/>
                <w:szCs w:val="10"/>
              </w:rPr>
            </w:pPr>
          </w:p>
          <w:p w14:paraId="4C8701C0" w14:textId="77777777" w:rsidR="00C377BF" w:rsidRPr="006E357E" w:rsidRDefault="00C377BF" w:rsidP="006D453F">
            <w:pPr>
              <w:pStyle w:val="Textoindependiente"/>
              <w:spacing w:before="40" w:after="40" w:line="240" w:lineRule="auto"/>
              <w:ind w:left="57" w:right="57"/>
              <w:rPr>
                <w:rFonts w:ascii="Bookman Old Style" w:hAnsi="Bookman Old Style" w:cs="Arial"/>
                <w:color w:val="000000"/>
                <w:sz w:val="18"/>
                <w:szCs w:val="18"/>
                <w:lang w:eastAsia="es-CO"/>
              </w:rPr>
            </w:pPr>
            <w:r w:rsidRPr="006E357E">
              <w:rPr>
                <w:rFonts w:ascii="Bookman Old Style" w:hAnsi="Bookman Old Style" w:cs="Arial"/>
                <w:sz w:val="18"/>
                <w:szCs w:val="18"/>
              </w:rPr>
              <w:t>Regla exceptiva</w:t>
            </w:r>
            <w:r w:rsidRPr="006E357E">
              <w:rPr>
                <w:rFonts w:ascii="Bookman Old Style" w:hAnsi="Bookman Old Style" w:cs="Arial"/>
                <w:vertAlign w:val="superscript"/>
              </w:rPr>
              <w:t>1</w:t>
            </w:r>
            <w:r w:rsidRPr="006E357E">
              <w:rPr>
                <w:rFonts w:ascii="Bookman Old Style" w:hAnsi="Bookman Old Style" w:cs="Arial"/>
                <w:sz w:val="18"/>
                <w:szCs w:val="18"/>
              </w:rPr>
              <w:t xml:space="preserve">: </w:t>
            </w:r>
            <m:oMath>
              <m:r>
                <w:rPr>
                  <w:rFonts w:ascii="Cambria Math" w:hAnsi="Cambria Math" w:cs="Arial"/>
                  <w:sz w:val="18"/>
                  <w:szCs w:val="18"/>
                </w:rPr>
                <m:t>[+go</m:t>
              </m:r>
              <m:r>
                <m:rPr>
                  <m:sty m:val="p"/>
                </m:rPr>
                <w:rPr>
                  <w:rFonts w:ascii="Cambria Math" w:hAnsi="Cambria Math" w:cs="Arial"/>
                  <w:sz w:val="18"/>
                  <w:szCs w:val="18"/>
                </w:rPr>
                <m:t>]</m:t>
              </m:r>
            </m:oMath>
            <w:r w:rsidRPr="006E357E">
              <w:rPr>
                <w:rFonts w:ascii="Bookman Old Style" w:hAnsi="Bookman Old Style" w:cs="Arial"/>
                <w:iCs/>
                <w:sz w:val="18"/>
                <w:szCs w:val="18"/>
              </w:rPr>
              <w:t>: cuando se necesite cubrir faltantes presupuestales, los gastos operativos pueden ser adicionados a los gastos de funcionamiento, en la mis</w:t>
            </w:r>
            <w:proofErr w:type="spellStart"/>
            <w:r w:rsidRPr="006E357E">
              <w:rPr>
                <w:rFonts w:ascii="Bookman Old Style" w:hAnsi="Bookman Old Style" w:cs="Arial"/>
                <w:iCs/>
                <w:sz w:val="18"/>
                <w:szCs w:val="18"/>
              </w:rPr>
              <w:t>ma</w:t>
            </w:r>
            <w:proofErr w:type="spellEnd"/>
            <w:r w:rsidRPr="006E357E">
              <w:rPr>
                <w:rFonts w:ascii="Bookman Old Style" w:hAnsi="Bookman Old Style" w:cs="Arial"/>
                <w:iCs/>
                <w:sz w:val="18"/>
                <w:szCs w:val="18"/>
              </w:rPr>
              <w:t xml:space="preserve"> proporción en que sean indispensables para cubrir el faltante presupuestal.</w:t>
            </w:r>
          </w:p>
        </w:tc>
        <w:tc>
          <w:tcPr>
            <w:tcW w:w="4252" w:type="dxa"/>
            <w:shd w:val="clear" w:color="auto" w:fill="auto"/>
            <w:noWrap/>
            <w:vAlign w:val="center"/>
            <w:hideMark/>
          </w:tcPr>
          <w:p w14:paraId="725B0BF2"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Bg</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base gravable</w:t>
            </w:r>
          </w:p>
          <w:p w14:paraId="29E64404"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cgtd</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costos y gastos totales depurados</w:t>
            </w:r>
          </w:p>
          <w:p w14:paraId="01CC2619"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tiar</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total ingresos actividades ordinarias y </w:t>
            </w:r>
            <w:proofErr w:type="spellStart"/>
            <w:r w:rsidRPr="006E357E">
              <w:rPr>
                <w:rFonts w:ascii="Bookman Old Style" w:hAnsi="Bookman Old Style" w:cs="Arial"/>
                <w:sz w:val="18"/>
                <w:szCs w:val="18"/>
              </w:rPr>
              <w:t>completarias</w:t>
            </w:r>
            <w:proofErr w:type="spellEnd"/>
            <w:r w:rsidRPr="006E357E">
              <w:rPr>
                <w:rFonts w:ascii="Bookman Old Style" w:hAnsi="Bookman Old Style" w:cs="Arial"/>
                <w:sz w:val="18"/>
                <w:szCs w:val="18"/>
              </w:rPr>
              <w:t xml:space="preserve"> reguladas.</w:t>
            </w:r>
          </w:p>
          <w:p w14:paraId="0FDE3BFE" w14:textId="77777777" w:rsidR="00C377BF" w:rsidRPr="006E357E" w:rsidRDefault="00C377BF" w:rsidP="006D453F">
            <w:pPr>
              <w:pStyle w:val="Textoindependiente"/>
              <w:numPr>
                <w:ilvl w:val="0"/>
                <w:numId w:val="3"/>
              </w:numPr>
              <w:spacing w:before="40" w:after="40" w:line="240" w:lineRule="auto"/>
              <w:ind w:left="57" w:right="57"/>
              <w:rPr>
                <w:rFonts w:ascii="Bookman Old Style" w:hAnsi="Bookman Old Style" w:cs="Arial"/>
                <w:sz w:val="18"/>
                <w:szCs w:val="18"/>
              </w:rPr>
            </w:pPr>
            <w:proofErr w:type="spellStart"/>
            <w:r w:rsidRPr="006E357E">
              <w:rPr>
                <w:rFonts w:ascii="Bookman Old Style" w:hAnsi="Bookman Old Style" w:cs="Arial"/>
                <w:b/>
                <w:bCs/>
                <w:sz w:val="18"/>
                <w:szCs w:val="18"/>
              </w:rPr>
              <w:t>tiao</w:t>
            </w:r>
            <w:proofErr w:type="spellEnd"/>
            <w:r w:rsidRPr="006E357E">
              <w:rPr>
                <w:rFonts w:ascii="Bookman Old Style" w:hAnsi="Bookman Old Style" w:cs="Arial"/>
                <w:b/>
                <w:bCs/>
                <w:sz w:val="18"/>
                <w:szCs w:val="18"/>
              </w:rPr>
              <w:t>:</w:t>
            </w:r>
            <w:r w:rsidRPr="006E357E">
              <w:rPr>
                <w:rFonts w:ascii="Bookman Old Style" w:hAnsi="Bookman Old Style" w:cs="Arial"/>
                <w:sz w:val="18"/>
                <w:szCs w:val="18"/>
              </w:rPr>
              <w:t xml:space="preserve"> total ingresos de actividades ordinarias.</w:t>
            </w:r>
          </w:p>
          <w:p w14:paraId="5BB02783" w14:textId="77777777" w:rsidR="00C377BF" w:rsidRPr="006E357E" w:rsidRDefault="00C377BF" w:rsidP="006D453F">
            <w:pPr>
              <w:pStyle w:val="Textoindependiente"/>
              <w:spacing w:before="40" w:after="40" w:line="240" w:lineRule="auto"/>
              <w:ind w:right="57"/>
              <w:rPr>
                <w:rFonts w:ascii="Bookman Old Style" w:hAnsi="Bookman Old Style" w:cs="Arial"/>
              </w:rPr>
            </w:pPr>
            <w:r w:rsidRPr="006E357E">
              <w:rPr>
                <w:rFonts w:ascii="Bookman Old Style" w:hAnsi="Bookman Old Style" w:cs="Arial"/>
                <w:b/>
                <w:bCs/>
                <w:sz w:val="18"/>
                <w:szCs w:val="18"/>
              </w:rPr>
              <w:t xml:space="preserve">              Fórmula </w:t>
            </w:r>
            <w:proofErr w:type="gramStart"/>
            <w:r w:rsidRPr="006E357E">
              <w:rPr>
                <w:rFonts w:ascii="Bookman Old Style" w:hAnsi="Bookman Old Style" w:cs="Arial"/>
                <w:vertAlign w:val="superscript"/>
              </w:rPr>
              <w:t>2</w:t>
            </w:r>
            <w:r w:rsidRPr="006E357E">
              <w:rPr>
                <w:rFonts w:ascii="Bookman Old Style" w:hAnsi="Bookman Old Style" w:cs="Arial"/>
                <w:sz w:val="24"/>
                <w:szCs w:val="24"/>
                <w:vertAlign w:val="superscript"/>
              </w:rPr>
              <w:t xml:space="preserve"> </w:t>
            </w:r>
            <w:r w:rsidRPr="006E357E">
              <w:rPr>
                <w:rFonts w:ascii="Bookman Old Style" w:hAnsi="Bookman Old Style" w:cs="Arial"/>
                <w:b/>
                <w:bCs/>
                <w:sz w:val="18"/>
                <w:szCs w:val="18"/>
              </w:rPr>
              <w:t>:</w:t>
            </w:r>
            <w:proofErr w:type="gramEnd"/>
            <w:r w:rsidRPr="006E357E">
              <w:rPr>
                <w:rFonts w:ascii="Bookman Old Style" w:hAnsi="Bookman Old Style" w:cs="Arial"/>
                <w:sz w:val="18"/>
                <w:szCs w:val="18"/>
              </w:rPr>
              <w:t xml:space="preserve">  </w:t>
            </w:r>
            <m:oMath>
              <m:r>
                <w:rPr>
                  <w:rFonts w:ascii="Cambria Math" w:hAnsi="Cambria Math" w:cs="Arial"/>
                </w:rPr>
                <m:t xml:space="preserve">Bg=cgtd* </m:t>
              </m:r>
              <m:f>
                <m:fPr>
                  <m:ctrlPr>
                    <w:rPr>
                      <w:rFonts w:ascii="Cambria Math" w:hAnsi="Cambria Math" w:cs="Arial"/>
                      <w:i/>
                    </w:rPr>
                  </m:ctrlPr>
                </m:fPr>
                <m:num>
                  <m:r>
                    <w:rPr>
                      <w:rFonts w:ascii="Cambria Math" w:hAnsi="Cambria Math" w:cs="Arial"/>
                    </w:rPr>
                    <m:t xml:space="preserve">tiar </m:t>
                  </m:r>
                </m:num>
                <m:den>
                  <m:r>
                    <w:rPr>
                      <w:rFonts w:ascii="Cambria Math" w:hAnsi="Cambria Math" w:cs="Arial"/>
                    </w:rPr>
                    <m:t>tiao</m:t>
                  </m:r>
                </m:den>
              </m:f>
            </m:oMath>
          </w:p>
          <w:p w14:paraId="0FE8ABD4" w14:textId="77777777" w:rsidR="00C377BF" w:rsidRPr="006E357E" w:rsidRDefault="00C377BF" w:rsidP="006D453F">
            <w:pPr>
              <w:pStyle w:val="Textoindependiente"/>
              <w:spacing w:before="40" w:after="40" w:line="240" w:lineRule="auto"/>
              <w:ind w:left="57" w:right="57"/>
              <w:rPr>
                <w:rFonts w:ascii="Bookman Old Style" w:hAnsi="Bookman Old Style" w:cs="Arial"/>
                <w:sz w:val="18"/>
                <w:szCs w:val="18"/>
              </w:rPr>
            </w:pPr>
          </w:p>
          <w:p w14:paraId="6C149252" w14:textId="77777777" w:rsidR="00C377BF" w:rsidRPr="006E357E" w:rsidRDefault="00C377BF" w:rsidP="006D453F">
            <w:pPr>
              <w:pStyle w:val="Textoindependiente"/>
              <w:spacing w:before="40" w:after="40" w:line="240" w:lineRule="auto"/>
              <w:ind w:left="57" w:right="57"/>
              <w:rPr>
                <w:rFonts w:ascii="Bookman Old Style" w:hAnsi="Bookman Old Style" w:cs="Arial"/>
                <w:sz w:val="18"/>
                <w:szCs w:val="18"/>
              </w:rPr>
            </w:pPr>
            <w:r w:rsidRPr="006E357E">
              <w:rPr>
                <w:rFonts w:ascii="Bookman Old Style" w:hAnsi="Bookman Old Style" w:cs="Arial"/>
                <w:sz w:val="18"/>
                <w:szCs w:val="18"/>
              </w:rPr>
              <w:t xml:space="preserve">Los </w:t>
            </w:r>
            <w:proofErr w:type="spellStart"/>
            <w:r w:rsidRPr="006E357E">
              <w:rPr>
                <w:rFonts w:ascii="Bookman Old Style" w:hAnsi="Bookman Old Style" w:cs="Arial"/>
                <w:b/>
                <w:bCs/>
                <w:sz w:val="18"/>
                <w:szCs w:val="18"/>
              </w:rPr>
              <w:t>cgtd</w:t>
            </w:r>
            <w:proofErr w:type="spellEnd"/>
            <w:r w:rsidRPr="006E357E">
              <w:rPr>
                <w:rFonts w:ascii="Bookman Old Style" w:hAnsi="Bookman Old Style" w:cs="Arial"/>
                <w:sz w:val="18"/>
                <w:szCs w:val="18"/>
              </w:rPr>
              <w:t xml:space="preserve"> es el resultado de deducir de los costos y gastos totales los impuestos, tasas, contribuciones, así como intereses devengados a favor de terceros independientes.</w:t>
            </w:r>
          </w:p>
          <w:p w14:paraId="6C3E375E" w14:textId="77777777" w:rsidR="00C377BF" w:rsidRPr="006E357E" w:rsidRDefault="00C377BF" w:rsidP="006D453F">
            <w:pPr>
              <w:spacing w:before="40" w:after="40"/>
              <w:ind w:left="57" w:right="57"/>
              <w:rPr>
                <w:rFonts w:ascii="Bookman Old Style" w:hAnsi="Bookman Old Style" w:cs="Arial"/>
                <w:color w:val="000000"/>
                <w:sz w:val="18"/>
                <w:szCs w:val="18"/>
                <w:lang w:eastAsia="es-CO"/>
              </w:rPr>
            </w:pPr>
          </w:p>
        </w:tc>
      </w:tr>
    </w:tbl>
    <w:p w14:paraId="6A39E303" w14:textId="77777777" w:rsidR="00C377BF" w:rsidRPr="006E357E" w:rsidRDefault="00C377BF" w:rsidP="00C377BF">
      <w:pPr>
        <w:pStyle w:val="Textoindependiente"/>
        <w:spacing w:after="0" w:line="240" w:lineRule="auto"/>
        <w:rPr>
          <w:rFonts w:ascii="Bookman Old Style" w:hAnsi="Bookman Old Style" w:cs="Arial"/>
          <w:sz w:val="22"/>
          <w:szCs w:val="22"/>
        </w:rPr>
      </w:pPr>
    </w:p>
    <w:p w14:paraId="49C6EBDE" w14:textId="7DEBA389" w:rsidR="00C377BF" w:rsidRPr="006E357E" w:rsidRDefault="00C377BF" w:rsidP="00C377BF">
      <w:pPr>
        <w:pStyle w:val="Textoindependiente"/>
        <w:spacing w:after="0" w:line="240" w:lineRule="auto"/>
        <w:rPr>
          <w:rFonts w:ascii="Bookman Old Style" w:hAnsi="Bookman Old Style" w:cs="Arial"/>
          <w:sz w:val="18"/>
          <w:szCs w:val="18"/>
        </w:rPr>
      </w:pPr>
      <w:r w:rsidRPr="006E357E">
        <w:rPr>
          <w:rFonts w:ascii="Bookman Old Style" w:hAnsi="Bookman Old Style" w:cs="Arial"/>
          <w:sz w:val="18"/>
          <w:szCs w:val="18"/>
          <w:vertAlign w:val="superscript"/>
        </w:rPr>
        <w:t>1</w:t>
      </w:r>
      <w:r w:rsidRPr="006E357E">
        <w:rPr>
          <w:rFonts w:ascii="Bookman Old Style" w:hAnsi="Bookman Old Style" w:cs="Arial"/>
          <w:sz w:val="18"/>
          <w:szCs w:val="18"/>
        </w:rPr>
        <w:t xml:space="preserve"> </w:t>
      </w:r>
      <w:proofErr w:type="gramStart"/>
      <w:r w:rsidRPr="006E357E">
        <w:rPr>
          <w:rFonts w:ascii="Bookman Old Style" w:hAnsi="Bookman Old Style" w:cs="Arial"/>
          <w:sz w:val="18"/>
          <w:szCs w:val="18"/>
        </w:rPr>
        <w:t>En</w:t>
      </w:r>
      <w:proofErr w:type="gramEnd"/>
      <w:r w:rsidRPr="006E357E">
        <w:rPr>
          <w:rFonts w:ascii="Bookman Old Style" w:hAnsi="Bookman Old Style" w:cs="Arial"/>
          <w:sz w:val="18"/>
          <w:szCs w:val="18"/>
        </w:rPr>
        <w:t xml:space="preserve"> la anterior metodología, los faltante</w:t>
      </w:r>
      <w:r w:rsidR="007B0C19">
        <w:rPr>
          <w:rFonts w:ascii="Bookman Old Style" w:hAnsi="Bookman Old Style" w:cs="Arial"/>
          <w:sz w:val="18"/>
          <w:szCs w:val="18"/>
        </w:rPr>
        <w:t>s</w:t>
      </w:r>
      <w:r w:rsidRPr="006E357E">
        <w:rPr>
          <w:rFonts w:ascii="Bookman Old Style" w:hAnsi="Bookman Old Style" w:cs="Arial"/>
          <w:sz w:val="18"/>
          <w:szCs w:val="18"/>
        </w:rPr>
        <w:t xml:space="preserve"> se cubrían conforme al parágrafo 2 del numeral 6 del artículo 85 (85.6) de la Ley 142 de 1994 (modificado por el artículo 18 Ley 1955 de 2009).</w:t>
      </w:r>
    </w:p>
    <w:p w14:paraId="6F536E33" w14:textId="77777777" w:rsidR="00C377BF" w:rsidRPr="006E357E" w:rsidRDefault="00C377BF" w:rsidP="00C377BF">
      <w:pPr>
        <w:pStyle w:val="Textoindependiente"/>
        <w:spacing w:after="0" w:line="240" w:lineRule="auto"/>
        <w:rPr>
          <w:rFonts w:ascii="Bookman Old Style" w:hAnsi="Bookman Old Style" w:cs="Arial"/>
          <w:sz w:val="10"/>
          <w:szCs w:val="10"/>
        </w:rPr>
      </w:pPr>
    </w:p>
    <w:p w14:paraId="6EB79076" w14:textId="77777777" w:rsidR="00C377BF" w:rsidRPr="006E357E" w:rsidRDefault="00C377BF" w:rsidP="00C377BF">
      <w:pPr>
        <w:pStyle w:val="Textoindependiente"/>
        <w:spacing w:after="0" w:line="240" w:lineRule="auto"/>
        <w:rPr>
          <w:rFonts w:ascii="Bookman Old Style" w:hAnsi="Bookman Old Style" w:cs="Arial"/>
          <w:sz w:val="18"/>
          <w:szCs w:val="18"/>
        </w:rPr>
      </w:pPr>
      <w:r w:rsidRPr="006E357E">
        <w:rPr>
          <w:rFonts w:ascii="Bookman Old Style" w:hAnsi="Bookman Old Style" w:cs="Arial"/>
          <w:sz w:val="18"/>
          <w:szCs w:val="18"/>
          <w:vertAlign w:val="superscript"/>
        </w:rPr>
        <w:t xml:space="preserve">2 </w:t>
      </w:r>
      <w:proofErr w:type="gramStart"/>
      <w:r w:rsidRPr="006E357E">
        <w:rPr>
          <w:rFonts w:ascii="Bookman Old Style" w:hAnsi="Bookman Old Style" w:cs="Arial"/>
          <w:sz w:val="18"/>
          <w:szCs w:val="18"/>
        </w:rPr>
        <w:t>Con</w:t>
      </w:r>
      <w:proofErr w:type="gramEnd"/>
      <w:r w:rsidRPr="006E357E">
        <w:rPr>
          <w:rFonts w:ascii="Bookman Old Style" w:hAnsi="Bookman Old Style" w:cs="Arial"/>
          <w:sz w:val="18"/>
          <w:szCs w:val="18"/>
        </w:rPr>
        <w:t xml:space="preserve"> la actual metodología, se tiene en cuenta lo establecido en el Decreto 1150 de 2020, </w:t>
      </w:r>
      <w:r w:rsidRPr="006E357E">
        <w:rPr>
          <w:rFonts w:ascii="Bookman Old Style" w:hAnsi="Bookman Old Style" w:cs="Arial"/>
          <w:i/>
          <w:iCs/>
          <w:sz w:val="18"/>
          <w:szCs w:val="18"/>
        </w:rPr>
        <w:t>“Por el cual se reglamentan el artículo 85 de la Ley 142 de 1994, modificado por el artículo 18 de la Ley 1955 de 2019, el artículo 314 de la Ley 1955 de 2019 y se adiciona el Capítulo 9 del Título 9 de la Parte 2 del Libro 2 del Decreto 1082 de 2015, Único Reglamentario del Sector Administrativo de Planeación Nacional”.</w:t>
      </w:r>
    </w:p>
    <w:p w14:paraId="132DFB7A" w14:textId="77777777" w:rsidR="00C377BF" w:rsidRDefault="00C377BF" w:rsidP="00C377BF">
      <w:pPr>
        <w:pStyle w:val="Textoindependiente"/>
        <w:spacing w:after="0" w:line="240" w:lineRule="auto"/>
        <w:rPr>
          <w:rFonts w:cs="Arial"/>
          <w:sz w:val="22"/>
          <w:szCs w:val="22"/>
        </w:rPr>
      </w:pPr>
    </w:p>
    <w:p w14:paraId="66152D7E" w14:textId="26C0F50B" w:rsidR="00C377BF" w:rsidRPr="007B0C19" w:rsidRDefault="00C377BF" w:rsidP="00C377BF">
      <w:pPr>
        <w:pStyle w:val="Textoindependiente"/>
        <w:spacing w:after="0" w:line="240" w:lineRule="auto"/>
        <w:rPr>
          <w:rFonts w:ascii="Bookman Old Style" w:hAnsi="Bookman Old Style" w:cs="Arial"/>
          <w:sz w:val="24"/>
          <w:szCs w:val="24"/>
        </w:rPr>
      </w:pPr>
      <w:r w:rsidRPr="007B0C19">
        <w:rPr>
          <w:rFonts w:ascii="Bookman Old Style" w:hAnsi="Bookman Old Style" w:cs="Arial"/>
          <w:sz w:val="24"/>
          <w:szCs w:val="24"/>
        </w:rPr>
        <w:t>Por tanto, teniendo en cuenta la modificación en la metodología para la determinación de la base gravable que fue introducida por el artículo 18 de la Ley 1955 de 2019 para la vigencia 2020, el valor liquidado por concepto de contribución especial obedece al tratamiento de la información contable que se deriva de la norma citada, razón por la cual las variaciones por exceso o por defecto, respecto de vigencias anteriores, corresponden a la aplicación de la fórmula vigente, y en sentido estricto no son comparables.</w:t>
      </w:r>
    </w:p>
    <w:p w14:paraId="61A794EE" w14:textId="77777777" w:rsidR="007B0C19" w:rsidRPr="007B0C19" w:rsidRDefault="007B0C19" w:rsidP="00C377BF">
      <w:pPr>
        <w:pStyle w:val="Textoindependiente"/>
        <w:spacing w:after="0" w:line="240" w:lineRule="auto"/>
        <w:rPr>
          <w:rFonts w:ascii="Bookman Old Style" w:hAnsi="Bookman Old Style" w:cs="Arial"/>
          <w:sz w:val="24"/>
          <w:szCs w:val="24"/>
        </w:rPr>
      </w:pPr>
    </w:p>
    <w:p w14:paraId="557F2120" w14:textId="2DF0C6E3" w:rsidR="00C377BF" w:rsidRPr="007B0C19" w:rsidRDefault="00C377BF" w:rsidP="00C377BF">
      <w:pPr>
        <w:ind w:left="0"/>
        <w:jc w:val="both"/>
        <w:rPr>
          <w:rFonts w:ascii="Bookman Old Style" w:hAnsi="Bookman Old Style" w:cs="Arial"/>
          <w:spacing w:val="-5"/>
          <w:lang w:val="es-CO" w:eastAsia="en-US"/>
        </w:rPr>
      </w:pPr>
      <w:r w:rsidRPr="007B0C19">
        <w:rPr>
          <w:rFonts w:ascii="Bookman Old Style" w:hAnsi="Bookman Old Style" w:cs="Arial"/>
          <w:spacing w:val="-5"/>
          <w:lang w:val="es-CO" w:eastAsia="en-US"/>
        </w:rPr>
        <w:t xml:space="preserve">Las siguientes </w:t>
      </w:r>
      <w:r w:rsidR="007B0C19" w:rsidRPr="007B0C19">
        <w:rPr>
          <w:rFonts w:ascii="Bookman Old Style" w:hAnsi="Bookman Old Style" w:cs="Arial"/>
          <w:spacing w:val="-5"/>
          <w:lang w:val="es-CO" w:eastAsia="en-US"/>
        </w:rPr>
        <w:t>tres</w:t>
      </w:r>
      <w:r w:rsidRPr="007B0C19">
        <w:rPr>
          <w:rFonts w:ascii="Bookman Old Style" w:hAnsi="Bookman Old Style" w:cs="Arial"/>
          <w:spacing w:val="-5"/>
          <w:lang w:val="es-CO" w:eastAsia="en-US"/>
        </w:rPr>
        <w:t xml:space="preserve"> (</w:t>
      </w:r>
      <w:r w:rsidR="007B0C19" w:rsidRPr="007B0C19">
        <w:rPr>
          <w:rFonts w:ascii="Bookman Old Style" w:hAnsi="Bookman Old Style" w:cs="Arial"/>
          <w:spacing w:val="-5"/>
          <w:lang w:val="es-CO" w:eastAsia="en-US"/>
        </w:rPr>
        <w:t>3</w:t>
      </w:r>
      <w:r w:rsidRPr="007B0C19">
        <w:rPr>
          <w:rFonts w:ascii="Bookman Old Style" w:hAnsi="Bookman Old Style" w:cs="Arial"/>
          <w:spacing w:val="-5"/>
          <w:lang w:val="es-CO" w:eastAsia="en-US"/>
        </w:rPr>
        <w:t xml:space="preserve">) empresas, manifestaron situaciones particulares con la información financiera reportada en el SUI, respecto del tratamiento </w:t>
      </w:r>
      <w:proofErr w:type="gramStart"/>
      <w:r w:rsidRPr="007B0C19">
        <w:rPr>
          <w:rFonts w:ascii="Bookman Old Style" w:hAnsi="Bookman Old Style" w:cs="Arial"/>
          <w:spacing w:val="-5"/>
          <w:lang w:val="es-CO" w:eastAsia="en-US"/>
        </w:rPr>
        <w:t>que</w:t>
      </w:r>
      <w:proofErr w:type="gramEnd"/>
      <w:r w:rsidRPr="007B0C19">
        <w:rPr>
          <w:rFonts w:ascii="Bookman Old Style" w:hAnsi="Bookman Old Style" w:cs="Arial"/>
          <w:spacing w:val="-5"/>
          <w:lang w:val="es-CO" w:eastAsia="en-US"/>
        </w:rPr>
        <w:t xml:space="preserve"> a nivel de formato de captura, se le da a los ingresos por participación:</w:t>
      </w:r>
    </w:p>
    <w:p w14:paraId="0926A71D" w14:textId="77777777" w:rsidR="00C377BF" w:rsidRDefault="00C377BF" w:rsidP="00C377BF">
      <w:pPr>
        <w:ind w:left="0"/>
        <w:jc w:val="both"/>
        <w:rPr>
          <w:rFonts w:ascii="Bookman Old Style" w:hAnsi="Bookman Old Style" w:cs="Arial"/>
        </w:rPr>
      </w:pPr>
    </w:p>
    <w:tbl>
      <w:tblPr>
        <w:tblW w:w="9351" w:type="dxa"/>
        <w:tblCellMar>
          <w:left w:w="70" w:type="dxa"/>
          <w:right w:w="70" w:type="dxa"/>
        </w:tblCellMar>
        <w:tblLook w:val="04A0" w:firstRow="1" w:lastRow="0" w:firstColumn="1" w:lastColumn="0" w:noHBand="0" w:noVBand="1"/>
      </w:tblPr>
      <w:tblGrid>
        <w:gridCol w:w="840"/>
        <w:gridCol w:w="3975"/>
        <w:gridCol w:w="1701"/>
        <w:gridCol w:w="2835"/>
      </w:tblGrid>
      <w:tr w:rsidR="00C377BF" w:rsidRPr="00D63579" w14:paraId="6215F572" w14:textId="77777777" w:rsidTr="006D453F">
        <w:trPr>
          <w:trHeight w:val="2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5B8E3" w14:textId="77777777" w:rsidR="00C377BF" w:rsidRPr="00D63579" w:rsidRDefault="00C377BF" w:rsidP="006D453F">
            <w:pPr>
              <w:ind w:left="0"/>
              <w:jc w:val="center"/>
              <w:rPr>
                <w:rFonts w:ascii="Bookman Old Style" w:hAnsi="Bookman Old Style" w:cs="Calibri"/>
                <w:b/>
                <w:bCs/>
                <w:sz w:val="18"/>
                <w:szCs w:val="18"/>
                <w:lang w:val="es-CO" w:eastAsia="es-CO"/>
              </w:rPr>
            </w:pPr>
            <w:proofErr w:type="spellStart"/>
            <w:r w:rsidRPr="00D63579">
              <w:rPr>
                <w:rFonts w:ascii="Bookman Old Style" w:hAnsi="Bookman Old Style" w:cs="Calibri"/>
                <w:b/>
                <w:bCs/>
                <w:sz w:val="18"/>
                <w:szCs w:val="18"/>
                <w:lang w:val="es-CO" w:eastAsia="es-CO"/>
              </w:rPr>
              <w:t>N°</w:t>
            </w:r>
            <w:proofErr w:type="spellEnd"/>
          </w:p>
        </w:tc>
        <w:tc>
          <w:tcPr>
            <w:tcW w:w="3975" w:type="dxa"/>
            <w:tcBorders>
              <w:top w:val="single" w:sz="4" w:space="0" w:color="auto"/>
              <w:left w:val="nil"/>
              <w:bottom w:val="single" w:sz="4" w:space="0" w:color="auto"/>
              <w:right w:val="single" w:sz="4" w:space="0" w:color="auto"/>
            </w:tcBorders>
            <w:shd w:val="clear" w:color="auto" w:fill="auto"/>
            <w:vAlign w:val="center"/>
            <w:hideMark/>
          </w:tcPr>
          <w:p w14:paraId="49F29C87" w14:textId="77777777" w:rsidR="00C377BF" w:rsidRPr="00D63579" w:rsidRDefault="00C377BF" w:rsidP="006D453F">
            <w:pPr>
              <w:ind w:left="0"/>
              <w:jc w:val="center"/>
              <w:rPr>
                <w:rFonts w:ascii="Bookman Old Style" w:hAnsi="Bookman Old Style" w:cs="Calibri"/>
                <w:b/>
                <w:bCs/>
                <w:sz w:val="18"/>
                <w:szCs w:val="18"/>
                <w:lang w:val="es-CO" w:eastAsia="es-CO"/>
              </w:rPr>
            </w:pPr>
            <w:r w:rsidRPr="00D63579">
              <w:rPr>
                <w:rFonts w:ascii="Bookman Old Style" w:hAnsi="Bookman Old Style" w:cs="Calibri"/>
                <w:b/>
                <w:bCs/>
                <w:sz w:val="18"/>
                <w:szCs w:val="18"/>
                <w:lang w:val="es-CO" w:eastAsia="es-CO"/>
              </w:rPr>
              <w:t>NOMBRE EMPRESA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B6BCC7E" w14:textId="77777777" w:rsidR="00C377BF" w:rsidRPr="00D63579" w:rsidRDefault="00C377BF" w:rsidP="006D453F">
            <w:pPr>
              <w:ind w:left="0"/>
              <w:jc w:val="center"/>
              <w:rPr>
                <w:rFonts w:ascii="Bookman Old Style" w:hAnsi="Bookman Old Style" w:cs="Calibri"/>
                <w:b/>
                <w:bCs/>
                <w:sz w:val="18"/>
                <w:szCs w:val="18"/>
                <w:lang w:val="es-CO" w:eastAsia="es-CO"/>
              </w:rPr>
            </w:pPr>
            <w:r w:rsidRPr="00D63579">
              <w:rPr>
                <w:rFonts w:ascii="Bookman Old Style" w:hAnsi="Bookman Old Style" w:cs="Calibri"/>
                <w:b/>
                <w:bCs/>
                <w:sz w:val="18"/>
                <w:szCs w:val="18"/>
                <w:lang w:val="es-CO" w:eastAsia="es-CO"/>
              </w:rPr>
              <w:t>NIT</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190FBBA" w14:textId="77777777" w:rsidR="00C377BF" w:rsidRPr="00D63579" w:rsidRDefault="00C377BF" w:rsidP="006D453F">
            <w:pPr>
              <w:ind w:left="0"/>
              <w:jc w:val="center"/>
              <w:rPr>
                <w:rFonts w:ascii="Bookman Old Style" w:hAnsi="Bookman Old Style" w:cs="Calibri"/>
                <w:b/>
                <w:bCs/>
                <w:sz w:val="18"/>
                <w:szCs w:val="18"/>
                <w:lang w:val="es-CO" w:eastAsia="es-CO"/>
              </w:rPr>
            </w:pPr>
            <w:r w:rsidRPr="00D63579">
              <w:rPr>
                <w:rFonts w:ascii="Bookman Old Style" w:hAnsi="Bookman Old Style" w:cs="Calibri"/>
                <w:b/>
                <w:bCs/>
                <w:sz w:val="18"/>
                <w:szCs w:val="18"/>
                <w:lang w:val="es-CO" w:eastAsia="es-CO"/>
              </w:rPr>
              <w:t>RADICADO</w:t>
            </w:r>
            <w:r>
              <w:rPr>
                <w:rFonts w:ascii="Bookman Old Style" w:hAnsi="Bookman Old Style" w:cs="Calibri"/>
                <w:b/>
                <w:bCs/>
                <w:sz w:val="18"/>
                <w:szCs w:val="18"/>
                <w:lang w:val="es-CO" w:eastAsia="es-CO"/>
              </w:rPr>
              <w:t xml:space="preserve"> CREG</w:t>
            </w:r>
          </w:p>
        </w:tc>
      </w:tr>
      <w:tr w:rsidR="00C377BF" w:rsidRPr="00D63579" w14:paraId="1ED46B2D" w14:textId="77777777" w:rsidTr="006D453F">
        <w:trPr>
          <w:trHeight w:val="5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75FF63"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1</w:t>
            </w:r>
          </w:p>
        </w:tc>
        <w:tc>
          <w:tcPr>
            <w:tcW w:w="3975" w:type="dxa"/>
            <w:tcBorders>
              <w:top w:val="nil"/>
              <w:left w:val="nil"/>
              <w:bottom w:val="single" w:sz="4" w:space="0" w:color="auto"/>
              <w:right w:val="single" w:sz="4" w:space="0" w:color="auto"/>
            </w:tcBorders>
            <w:shd w:val="clear" w:color="auto" w:fill="auto"/>
            <w:vAlign w:val="center"/>
            <w:hideMark/>
          </w:tcPr>
          <w:p w14:paraId="6CD36529"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INTERCOLOMBIA S.A. E.S.P.</w:t>
            </w:r>
          </w:p>
        </w:tc>
        <w:tc>
          <w:tcPr>
            <w:tcW w:w="1701" w:type="dxa"/>
            <w:tcBorders>
              <w:top w:val="nil"/>
              <w:left w:val="nil"/>
              <w:bottom w:val="single" w:sz="4" w:space="0" w:color="auto"/>
              <w:right w:val="single" w:sz="4" w:space="0" w:color="auto"/>
            </w:tcBorders>
            <w:shd w:val="clear" w:color="auto" w:fill="auto"/>
            <w:vAlign w:val="center"/>
            <w:hideMark/>
          </w:tcPr>
          <w:p w14:paraId="04DCBAD4"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900667590-1</w:t>
            </w:r>
          </w:p>
        </w:tc>
        <w:tc>
          <w:tcPr>
            <w:tcW w:w="2835" w:type="dxa"/>
            <w:tcBorders>
              <w:top w:val="nil"/>
              <w:left w:val="nil"/>
              <w:bottom w:val="single" w:sz="4" w:space="0" w:color="auto"/>
              <w:right w:val="single" w:sz="4" w:space="0" w:color="auto"/>
            </w:tcBorders>
            <w:shd w:val="clear" w:color="auto" w:fill="auto"/>
            <w:noWrap/>
            <w:vAlign w:val="center"/>
            <w:hideMark/>
          </w:tcPr>
          <w:p w14:paraId="22F7FDE8"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E-2020-015689</w:t>
            </w:r>
          </w:p>
        </w:tc>
      </w:tr>
      <w:tr w:rsidR="00C377BF" w:rsidRPr="00D63579" w14:paraId="346A54C1" w14:textId="77777777" w:rsidTr="006D453F">
        <w:trPr>
          <w:trHeight w:val="1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20522C"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2</w:t>
            </w:r>
          </w:p>
        </w:tc>
        <w:tc>
          <w:tcPr>
            <w:tcW w:w="3975" w:type="dxa"/>
            <w:tcBorders>
              <w:top w:val="nil"/>
              <w:left w:val="nil"/>
              <w:bottom w:val="single" w:sz="4" w:space="0" w:color="auto"/>
              <w:right w:val="single" w:sz="4" w:space="0" w:color="auto"/>
            </w:tcBorders>
            <w:shd w:val="clear" w:color="auto" w:fill="auto"/>
            <w:vAlign w:val="center"/>
            <w:hideMark/>
          </w:tcPr>
          <w:p w14:paraId="30FD3DFF"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INTERCONEXION ELECTRICA S.A. -ISA-</w:t>
            </w:r>
          </w:p>
        </w:tc>
        <w:tc>
          <w:tcPr>
            <w:tcW w:w="1701" w:type="dxa"/>
            <w:tcBorders>
              <w:top w:val="nil"/>
              <w:left w:val="nil"/>
              <w:bottom w:val="single" w:sz="4" w:space="0" w:color="auto"/>
              <w:right w:val="single" w:sz="4" w:space="0" w:color="auto"/>
            </w:tcBorders>
            <w:shd w:val="clear" w:color="auto" w:fill="auto"/>
            <w:vAlign w:val="center"/>
            <w:hideMark/>
          </w:tcPr>
          <w:p w14:paraId="7E403B92"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860016610-3</w:t>
            </w:r>
          </w:p>
        </w:tc>
        <w:tc>
          <w:tcPr>
            <w:tcW w:w="2835" w:type="dxa"/>
            <w:tcBorders>
              <w:top w:val="nil"/>
              <w:left w:val="nil"/>
              <w:bottom w:val="single" w:sz="4" w:space="0" w:color="auto"/>
              <w:right w:val="single" w:sz="4" w:space="0" w:color="auto"/>
            </w:tcBorders>
            <w:shd w:val="clear" w:color="auto" w:fill="auto"/>
            <w:noWrap/>
            <w:vAlign w:val="center"/>
            <w:hideMark/>
          </w:tcPr>
          <w:p w14:paraId="013A4B60"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E-2020-015608</w:t>
            </w:r>
          </w:p>
        </w:tc>
      </w:tr>
      <w:tr w:rsidR="00C377BF" w:rsidRPr="00D63579" w14:paraId="74238FE7" w14:textId="77777777" w:rsidTr="006D453F">
        <w:trPr>
          <w:trHeight w:val="5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E423067"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3</w:t>
            </w:r>
          </w:p>
        </w:tc>
        <w:tc>
          <w:tcPr>
            <w:tcW w:w="3975" w:type="dxa"/>
            <w:tcBorders>
              <w:top w:val="nil"/>
              <w:left w:val="nil"/>
              <w:bottom w:val="single" w:sz="4" w:space="0" w:color="auto"/>
              <w:right w:val="single" w:sz="4" w:space="0" w:color="auto"/>
            </w:tcBorders>
            <w:shd w:val="clear" w:color="auto" w:fill="auto"/>
            <w:vAlign w:val="center"/>
            <w:hideMark/>
          </w:tcPr>
          <w:p w14:paraId="7C47BEE9"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TRANSELCA S.A. E.S.P.</w:t>
            </w:r>
          </w:p>
        </w:tc>
        <w:tc>
          <w:tcPr>
            <w:tcW w:w="1701" w:type="dxa"/>
            <w:tcBorders>
              <w:top w:val="nil"/>
              <w:left w:val="nil"/>
              <w:bottom w:val="single" w:sz="4" w:space="0" w:color="auto"/>
              <w:right w:val="single" w:sz="4" w:space="0" w:color="auto"/>
            </w:tcBorders>
            <w:shd w:val="clear" w:color="auto" w:fill="auto"/>
            <w:vAlign w:val="center"/>
            <w:hideMark/>
          </w:tcPr>
          <w:p w14:paraId="6773F0FF"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802007669-8</w:t>
            </w:r>
          </w:p>
        </w:tc>
        <w:tc>
          <w:tcPr>
            <w:tcW w:w="2835" w:type="dxa"/>
            <w:tcBorders>
              <w:top w:val="nil"/>
              <w:left w:val="nil"/>
              <w:bottom w:val="single" w:sz="4" w:space="0" w:color="auto"/>
              <w:right w:val="single" w:sz="4" w:space="0" w:color="auto"/>
            </w:tcBorders>
            <w:shd w:val="clear" w:color="auto" w:fill="auto"/>
            <w:noWrap/>
            <w:vAlign w:val="center"/>
            <w:hideMark/>
          </w:tcPr>
          <w:p w14:paraId="65F14651"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E-2020-015662</w:t>
            </w:r>
          </w:p>
        </w:tc>
      </w:tr>
      <w:tr w:rsidR="00C377BF" w:rsidRPr="00D63579" w14:paraId="5FC65069" w14:textId="77777777" w:rsidTr="006D453F">
        <w:trPr>
          <w:trHeight w:val="5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548223"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lastRenderedPageBreak/>
              <w:t>4</w:t>
            </w:r>
          </w:p>
        </w:tc>
        <w:tc>
          <w:tcPr>
            <w:tcW w:w="3975" w:type="dxa"/>
            <w:tcBorders>
              <w:top w:val="nil"/>
              <w:left w:val="nil"/>
              <w:bottom w:val="single" w:sz="4" w:space="0" w:color="auto"/>
              <w:right w:val="single" w:sz="4" w:space="0" w:color="auto"/>
            </w:tcBorders>
            <w:shd w:val="clear" w:color="auto" w:fill="auto"/>
            <w:vAlign w:val="center"/>
            <w:hideMark/>
          </w:tcPr>
          <w:p w14:paraId="2C113DE0"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TRANSELCA S.A. E.S.P.</w:t>
            </w:r>
          </w:p>
        </w:tc>
        <w:tc>
          <w:tcPr>
            <w:tcW w:w="1701" w:type="dxa"/>
            <w:tcBorders>
              <w:top w:val="nil"/>
              <w:left w:val="nil"/>
              <w:bottom w:val="single" w:sz="4" w:space="0" w:color="auto"/>
              <w:right w:val="single" w:sz="4" w:space="0" w:color="auto"/>
            </w:tcBorders>
            <w:shd w:val="clear" w:color="auto" w:fill="auto"/>
            <w:vAlign w:val="center"/>
            <w:hideMark/>
          </w:tcPr>
          <w:p w14:paraId="2C7F86F4" w14:textId="77777777" w:rsidR="00C377BF" w:rsidRPr="00D63579" w:rsidRDefault="00C377BF" w:rsidP="006D453F">
            <w:pPr>
              <w:ind w:left="0"/>
              <w:jc w:val="center"/>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802007669-8</w:t>
            </w:r>
          </w:p>
        </w:tc>
        <w:tc>
          <w:tcPr>
            <w:tcW w:w="2835" w:type="dxa"/>
            <w:tcBorders>
              <w:top w:val="nil"/>
              <w:left w:val="nil"/>
              <w:bottom w:val="single" w:sz="4" w:space="0" w:color="auto"/>
              <w:right w:val="single" w:sz="4" w:space="0" w:color="auto"/>
            </w:tcBorders>
            <w:shd w:val="clear" w:color="auto" w:fill="auto"/>
            <w:noWrap/>
            <w:vAlign w:val="center"/>
            <w:hideMark/>
          </w:tcPr>
          <w:p w14:paraId="33690A8B" w14:textId="77777777" w:rsidR="00C377BF" w:rsidRPr="00D63579" w:rsidRDefault="00C377BF" w:rsidP="006D453F">
            <w:pPr>
              <w:ind w:left="0"/>
              <w:rPr>
                <w:rFonts w:ascii="Bookman Old Style" w:hAnsi="Bookman Old Style" w:cs="Calibri"/>
                <w:sz w:val="18"/>
                <w:szCs w:val="18"/>
                <w:lang w:val="es-CO" w:eastAsia="es-CO"/>
              </w:rPr>
            </w:pPr>
            <w:r w:rsidRPr="00D63579">
              <w:rPr>
                <w:rFonts w:ascii="Bookman Old Style" w:hAnsi="Bookman Old Style" w:cs="Calibri"/>
                <w:sz w:val="18"/>
                <w:szCs w:val="18"/>
                <w:lang w:val="es-CO" w:eastAsia="es-CO"/>
              </w:rPr>
              <w:t>E-2020-015851</w:t>
            </w:r>
          </w:p>
        </w:tc>
      </w:tr>
    </w:tbl>
    <w:p w14:paraId="5607A4C9" w14:textId="77777777" w:rsidR="00C377BF" w:rsidRDefault="00C377BF" w:rsidP="00C377BF">
      <w:pPr>
        <w:ind w:left="0"/>
        <w:jc w:val="both"/>
        <w:rPr>
          <w:rFonts w:ascii="Bookman Old Style" w:hAnsi="Bookman Old Style" w:cs="Arial"/>
        </w:rPr>
      </w:pPr>
    </w:p>
    <w:p w14:paraId="7E498849" w14:textId="36678DC1" w:rsidR="00C377BF" w:rsidRPr="00114CE4" w:rsidRDefault="00C377BF" w:rsidP="00C377BF">
      <w:pPr>
        <w:ind w:left="0"/>
        <w:jc w:val="both"/>
        <w:rPr>
          <w:rFonts w:ascii="Bookman Old Style" w:hAnsi="Bookman Old Style" w:cs="Arial"/>
        </w:rPr>
      </w:pPr>
      <w:r w:rsidRPr="00114CE4">
        <w:rPr>
          <w:rFonts w:ascii="Bookman Old Style" w:hAnsi="Bookman Old Style" w:cs="Arial"/>
        </w:rPr>
        <w:t>Según lo establecido en el artículo 85 de la Ley 142 de 1994</w:t>
      </w:r>
      <w:r w:rsidR="005E7F42">
        <w:rPr>
          <w:rFonts w:ascii="Bookman Old Style" w:hAnsi="Bookman Old Style" w:cs="Arial"/>
        </w:rPr>
        <w:t>,</w:t>
      </w:r>
      <w:r w:rsidRPr="00114CE4">
        <w:rPr>
          <w:rFonts w:ascii="Bookman Old Style" w:hAnsi="Bookman Old Style" w:cs="Arial"/>
        </w:rPr>
        <w:t xml:space="preserve"> modificado por el artículo 18 de la Ley 1955 de 2019, </w:t>
      </w:r>
      <w:r w:rsidR="005E7F42">
        <w:rPr>
          <w:rFonts w:ascii="Bookman Old Style" w:hAnsi="Bookman Old Style" w:cs="Arial"/>
        </w:rPr>
        <w:t xml:space="preserve">reglamentado por el Decreto 1150 de 2019, </w:t>
      </w:r>
      <w:r w:rsidRPr="00114CE4">
        <w:rPr>
          <w:rFonts w:ascii="Bookman Old Style" w:hAnsi="Bookman Old Style" w:cs="Arial"/>
        </w:rPr>
        <w:t xml:space="preserve">la base gravable de la contribución especial a favor de la CREG tiene en cuenta dos componentes, a saber: </w:t>
      </w:r>
      <w:r w:rsidRPr="00114CE4">
        <w:rPr>
          <w:rFonts w:ascii="Bookman Old Style" w:hAnsi="Bookman Old Style" w:cs="Arial"/>
          <w:i/>
          <w:iCs/>
        </w:rPr>
        <w:t>i)</w:t>
      </w:r>
      <w:r w:rsidRPr="00114CE4">
        <w:rPr>
          <w:rFonts w:ascii="Bookman Old Style" w:hAnsi="Bookman Old Style" w:cs="Arial"/>
        </w:rPr>
        <w:t xml:space="preserve"> los costos y gastos totales depurados y </w:t>
      </w:r>
      <w:proofErr w:type="spellStart"/>
      <w:r w:rsidRPr="00114CE4">
        <w:rPr>
          <w:rFonts w:ascii="Bookman Old Style" w:hAnsi="Bookman Old Style" w:cs="Arial"/>
          <w:i/>
          <w:iCs/>
        </w:rPr>
        <w:t>ii</w:t>
      </w:r>
      <w:proofErr w:type="spellEnd"/>
      <w:r w:rsidRPr="00114CE4">
        <w:rPr>
          <w:rFonts w:ascii="Bookman Old Style" w:hAnsi="Bookman Old Style" w:cs="Arial"/>
          <w:i/>
          <w:iCs/>
        </w:rPr>
        <w:t>)</w:t>
      </w:r>
      <w:r w:rsidRPr="00114CE4">
        <w:rPr>
          <w:rFonts w:ascii="Bookman Old Style" w:hAnsi="Bookman Old Style" w:cs="Arial"/>
        </w:rPr>
        <w:t xml:space="preserve"> la proporción entre los ingresos provenientes por actividades reguladas sobre el total de ingresos de actividades ordinarias devengados en el período. En este segundo componente, al tratarse el numerador de un subconjunto o grupo dentro del total de ingresos (denominador), se constituye una relación siempre menor a uno.</w:t>
      </w:r>
    </w:p>
    <w:p w14:paraId="65FE4D7B" w14:textId="77777777" w:rsidR="00C377BF" w:rsidRPr="00114CE4" w:rsidRDefault="00C377BF" w:rsidP="00C377BF">
      <w:pPr>
        <w:ind w:left="0"/>
        <w:jc w:val="both"/>
        <w:rPr>
          <w:rFonts w:ascii="Bookman Old Style" w:hAnsi="Bookman Old Style" w:cs="Arial"/>
        </w:rPr>
      </w:pPr>
    </w:p>
    <w:p w14:paraId="67EF565A" w14:textId="3DB60433" w:rsidR="00C377BF" w:rsidRPr="00114CE4" w:rsidRDefault="00C377BF" w:rsidP="00C377BF">
      <w:pPr>
        <w:ind w:left="0"/>
        <w:jc w:val="both"/>
        <w:rPr>
          <w:rFonts w:ascii="Bookman Old Style" w:hAnsi="Bookman Old Style" w:cs="Arial"/>
        </w:rPr>
      </w:pPr>
      <w:r w:rsidRPr="00114CE4">
        <w:rPr>
          <w:rFonts w:ascii="Bookman Old Style" w:hAnsi="Bookman Old Style" w:cs="Arial"/>
        </w:rPr>
        <w:t>De otro lado</w:t>
      </w:r>
      <w:r w:rsidR="005E7F42">
        <w:rPr>
          <w:rFonts w:ascii="Bookman Old Style" w:hAnsi="Bookman Old Style" w:cs="Arial"/>
        </w:rPr>
        <w:t>,</w:t>
      </w:r>
      <w:r w:rsidRPr="00114CE4">
        <w:rPr>
          <w:rFonts w:ascii="Bookman Old Style" w:hAnsi="Bookman Old Style" w:cs="Arial"/>
        </w:rPr>
        <w:t xml:space="preserve"> establece la norma que, para la determinación de la base gravable, al momento de depurar los costos y gastos totales, se deben tener en cuenta aquellos que hayan sido devengados de acuerdo con la técnica contable. Sobre esta consideración, deberán determinarse también los ingresos. Esta técnica contable está relacionada con el marco contable aplicado a cada sujeto pasivo. </w:t>
      </w:r>
    </w:p>
    <w:p w14:paraId="63D09F66" w14:textId="77777777" w:rsidR="00C377BF" w:rsidRPr="00114CE4" w:rsidRDefault="00C377BF" w:rsidP="00C377BF">
      <w:pPr>
        <w:ind w:left="0"/>
        <w:jc w:val="both"/>
        <w:rPr>
          <w:rFonts w:ascii="Bookman Old Style" w:hAnsi="Bookman Old Style" w:cs="Arial"/>
        </w:rPr>
      </w:pPr>
    </w:p>
    <w:p w14:paraId="557FEAB0" w14:textId="77777777" w:rsidR="00C377BF" w:rsidRPr="00114CE4" w:rsidRDefault="00C377BF" w:rsidP="00C377BF">
      <w:pPr>
        <w:ind w:left="0"/>
        <w:jc w:val="both"/>
        <w:rPr>
          <w:rFonts w:ascii="Bookman Old Style" w:hAnsi="Bookman Old Style" w:cs="Arial"/>
        </w:rPr>
      </w:pPr>
      <w:r w:rsidRPr="00114CE4">
        <w:rPr>
          <w:rFonts w:ascii="Bookman Old Style" w:hAnsi="Bookman Old Style" w:cs="Arial"/>
        </w:rPr>
        <w:t>En este sentido, las solicitudes realizadas durante la etapa de comentarios versaron sobre la necesidad de incorporar dentro del total de ingresos por actividades ordinarias las partidas correspondientes a los ingresos o ganancias derivados de cuentas en participación patrimonial. Revisadas las consideraciones contables para el régimen aplicable, las ganancias o ingresos por participación patrimonial no se constituyen en ingresos por actividades reguladas, y son semejantes a las actividades ordinarias.</w:t>
      </w:r>
    </w:p>
    <w:p w14:paraId="275B4B97" w14:textId="7E46B95A" w:rsidR="00C377BF" w:rsidRPr="00114CE4" w:rsidRDefault="00C377BF" w:rsidP="00C377BF">
      <w:pPr>
        <w:ind w:left="0"/>
        <w:jc w:val="both"/>
        <w:rPr>
          <w:rFonts w:ascii="Bookman Old Style" w:hAnsi="Bookman Old Style" w:cs="Arial"/>
        </w:rPr>
      </w:pPr>
    </w:p>
    <w:p w14:paraId="7A41BA70" w14:textId="485064B3" w:rsidR="00114CE4" w:rsidRPr="00114CE4" w:rsidRDefault="00114CE4" w:rsidP="00C377BF">
      <w:pPr>
        <w:ind w:left="0"/>
        <w:jc w:val="both"/>
        <w:rPr>
          <w:rFonts w:ascii="Bookman Old Style" w:hAnsi="Bookman Old Style" w:cs="Arial"/>
        </w:rPr>
      </w:pPr>
      <w:r w:rsidRPr="00114CE4">
        <w:rPr>
          <w:rFonts w:ascii="Bookman Old Style" w:hAnsi="Bookman Old Style" w:cs="Arial"/>
        </w:rPr>
        <w:t xml:space="preserve">No obstante, revisada la información reportada por los regulados en el SUI y </w:t>
      </w:r>
      <w:r w:rsidRPr="00B11936">
        <w:rPr>
          <w:rFonts w:ascii="Bookman Old Style" w:hAnsi="Bookman Old Style" w:cs="Arial"/>
        </w:rPr>
        <w:t>contrastada contra los comentarios presentados, con excepción de INTERCOLOMBIA S.A. E.S.P.</w:t>
      </w:r>
      <w:r w:rsidR="00B11936">
        <w:rPr>
          <w:rFonts w:ascii="Bookman Old Style" w:hAnsi="Bookman Old Style" w:cs="Arial"/>
        </w:rPr>
        <w:t>,</w:t>
      </w:r>
      <w:r w:rsidRPr="00B11936">
        <w:rPr>
          <w:rFonts w:ascii="Bookman Old Style" w:hAnsi="Bookman Old Style" w:cs="Arial"/>
        </w:rPr>
        <w:t xml:space="preserve"> no fue posible establecer las cuentas o formatos en</w:t>
      </w:r>
      <w:r w:rsidRPr="00114CE4">
        <w:rPr>
          <w:rFonts w:ascii="Bookman Old Style" w:hAnsi="Bookman Old Style" w:cs="Arial"/>
        </w:rPr>
        <w:t xml:space="preserve"> los cuales se incorporó la información, ni tampoco una cuantía cierta que permitiera a la CREG realizar la depuración de la base gravable, a efectos de descontar el valor de estos ingresos dentro del segundo componente de dicha base.</w:t>
      </w:r>
    </w:p>
    <w:p w14:paraId="27B80FF1" w14:textId="77777777" w:rsidR="00114CE4" w:rsidRPr="00114CE4" w:rsidRDefault="00114CE4" w:rsidP="00C377BF">
      <w:pPr>
        <w:ind w:left="0"/>
        <w:jc w:val="both"/>
        <w:rPr>
          <w:rFonts w:ascii="Bookman Old Style" w:hAnsi="Bookman Old Style" w:cs="Arial"/>
        </w:rPr>
      </w:pPr>
    </w:p>
    <w:p w14:paraId="746F97AD" w14:textId="240B32B0" w:rsidR="00C377BF" w:rsidRDefault="005D10F5" w:rsidP="00C377BF">
      <w:pPr>
        <w:ind w:left="0"/>
        <w:jc w:val="both"/>
        <w:rPr>
          <w:rFonts w:ascii="Bookman Old Style" w:hAnsi="Bookman Old Style" w:cs="Arial"/>
        </w:rPr>
      </w:pPr>
      <w:r>
        <w:rPr>
          <w:rFonts w:ascii="Bookman Old Style" w:hAnsi="Bookman Old Style" w:cs="Arial"/>
        </w:rPr>
        <w:t>En este sentido</w:t>
      </w:r>
      <w:r w:rsidR="00114CE4">
        <w:rPr>
          <w:rFonts w:ascii="Bookman Old Style" w:hAnsi="Bookman Old Style" w:cs="Arial"/>
        </w:rPr>
        <w:t xml:space="preserve">, </w:t>
      </w:r>
      <w:r>
        <w:rPr>
          <w:rFonts w:ascii="Bookman Old Style" w:hAnsi="Bookman Old Style" w:cs="Arial"/>
        </w:rPr>
        <w:t xml:space="preserve">sólo </w:t>
      </w:r>
      <w:r w:rsidR="00C377BF" w:rsidRPr="00114CE4">
        <w:rPr>
          <w:rFonts w:ascii="Bookman Old Style" w:hAnsi="Bookman Old Style" w:cs="Arial"/>
        </w:rPr>
        <w:t>se acepta el argumento presentado y se procederá con el ajuste respectivo</w:t>
      </w:r>
      <w:r w:rsidR="00114CE4">
        <w:rPr>
          <w:rFonts w:ascii="Bookman Old Style" w:hAnsi="Bookman Old Style" w:cs="Arial"/>
        </w:rPr>
        <w:t xml:space="preserve"> en lo correspondiente al regulado que aportó la totalidad de la información necesaria para realizar la depuración respectiva.</w:t>
      </w:r>
    </w:p>
    <w:p w14:paraId="729877EC" w14:textId="2F50A0F4" w:rsidR="00114CE4" w:rsidRDefault="00114CE4" w:rsidP="00C377BF">
      <w:pPr>
        <w:ind w:left="0"/>
        <w:jc w:val="both"/>
        <w:rPr>
          <w:rFonts w:ascii="Bookman Old Style" w:hAnsi="Bookman Old Style" w:cs="Arial"/>
        </w:rPr>
      </w:pPr>
    </w:p>
    <w:p w14:paraId="433B8EAD" w14:textId="2AE1CCF2" w:rsidR="00114CE4" w:rsidRDefault="00114CE4" w:rsidP="00C377BF">
      <w:pPr>
        <w:ind w:left="0"/>
        <w:jc w:val="both"/>
        <w:rPr>
          <w:rFonts w:ascii="Bookman Old Style" w:hAnsi="Bookman Old Style" w:cs="Arial"/>
        </w:rPr>
      </w:pPr>
      <w:r>
        <w:rPr>
          <w:rFonts w:ascii="Bookman Old Style" w:hAnsi="Bookman Old Style" w:cs="Arial"/>
        </w:rPr>
        <w:t xml:space="preserve">Con base en los comentarios recibidos, y el análisis </w:t>
      </w:r>
      <w:r w:rsidR="00E54308">
        <w:rPr>
          <w:rFonts w:ascii="Bookman Old Style" w:hAnsi="Bookman Old Style" w:cs="Arial"/>
        </w:rPr>
        <w:t>realizado por</w:t>
      </w:r>
      <w:r>
        <w:rPr>
          <w:rFonts w:ascii="Bookman Old Style" w:hAnsi="Bookman Old Style" w:cs="Arial"/>
        </w:rPr>
        <w:t xml:space="preserve"> parte de la CREG, se procede a realizar un ajuste en el cálculo de la base gravable, la tarifa y el factor aplicable a la contribución especial para la vigencia 2020.</w:t>
      </w:r>
      <w:r w:rsidR="00E54308">
        <w:rPr>
          <w:rFonts w:ascii="Bookman Old Style" w:hAnsi="Bookman Old Style" w:cs="Arial"/>
        </w:rPr>
        <w:t xml:space="preserve"> Por lo anterior, al aplicar la fórmula descrita en la presente resolución se tiene:</w:t>
      </w:r>
    </w:p>
    <w:p w14:paraId="6CFD4053" w14:textId="4A99935B" w:rsidR="00114CE4" w:rsidRDefault="00114CE4" w:rsidP="00C377BF">
      <w:pPr>
        <w:ind w:left="0"/>
        <w:jc w:val="both"/>
        <w:rPr>
          <w:rFonts w:ascii="Bookman Old Style" w:hAnsi="Bookman Old Style" w:cs="Arial"/>
        </w:rPr>
      </w:pPr>
    </w:p>
    <w:p w14:paraId="695FDD78" w14:textId="177BC8DA" w:rsidR="00E54308" w:rsidRPr="00F77794" w:rsidRDefault="00E54308" w:rsidP="00E54308">
      <w:pPr>
        <w:rPr>
          <w:rFonts w:ascii="Bookman Old Style" w:hAnsi="Bookman Old Style" w:cs="Arial"/>
          <w:sz w:val="20"/>
          <w:szCs w:val="20"/>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$ 30.459.998.090</m:t>
            </m:r>
          </m:num>
          <m:den>
            <m:r>
              <m:rPr>
                <m:sty m:val="p"/>
              </m:rPr>
              <w:rPr>
                <w:rFonts w:ascii="Cambria Math" w:hAnsi="Cambria Math" w:cs="Arial"/>
                <w:sz w:val="28"/>
                <w:szCs w:val="28"/>
                <w:lang w:eastAsia="es-CO"/>
              </w:rPr>
              <m:t xml:space="preserve">$  56.712.726.819.086 </m:t>
            </m:r>
          </m:den>
        </m:f>
      </m:oMath>
      <w:r w:rsidRPr="005D10F5">
        <w:rPr>
          <w:rFonts w:ascii="Bookman Old Style" w:hAnsi="Bookman Old Style" w:cs="Arial"/>
        </w:rPr>
        <w:t xml:space="preserve"> = </w:t>
      </w:r>
      <w:r w:rsidRPr="005D10F5">
        <w:rPr>
          <w:rFonts w:ascii="Bookman Old Style" w:hAnsi="Bookman Old Style" w:cs="Arial"/>
          <w:sz w:val="20"/>
          <w:szCs w:val="20"/>
          <w:lang w:eastAsia="es-CO"/>
        </w:rPr>
        <w:t>0,</w:t>
      </w:r>
      <w:proofErr w:type="gramStart"/>
      <w:r w:rsidRPr="005D10F5">
        <w:rPr>
          <w:rFonts w:ascii="Bookman Old Style" w:hAnsi="Bookman Old Style" w:cs="Arial"/>
          <w:sz w:val="20"/>
          <w:szCs w:val="20"/>
          <w:lang w:eastAsia="es-CO"/>
        </w:rPr>
        <w:t>0005</w:t>
      </w:r>
      <w:r w:rsidR="00F77794" w:rsidRPr="005D10F5">
        <w:rPr>
          <w:rFonts w:ascii="Bookman Old Style" w:hAnsi="Bookman Old Style" w:cs="Arial"/>
          <w:sz w:val="20"/>
          <w:szCs w:val="20"/>
          <w:lang w:eastAsia="es-CO"/>
        </w:rPr>
        <w:t>37092814930545</w:t>
      </w:r>
      <w:r w:rsidRPr="005D10F5">
        <w:rPr>
          <w:rFonts w:ascii="Bookman Old Style" w:hAnsi="Bookman Old Style" w:cs="Arial"/>
          <w:sz w:val="20"/>
          <w:szCs w:val="20"/>
          <w:lang w:eastAsia="es-CO"/>
        </w:rPr>
        <w:t xml:space="preserve">  </w:t>
      </w:r>
      <w:r w:rsidRPr="005D10F5">
        <w:rPr>
          <w:rFonts w:ascii="Cambria Math" w:hAnsi="Cambria Math" w:cs="Cambria Math"/>
          <w:sz w:val="20"/>
          <w:szCs w:val="20"/>
        </w:rPr>
        <w:t>∴</w:t>
      </w:r>
      <w:proofErr w:type="gramEnd"/>
      <w:r w:rsidRPr="005D10F5">
        <w:rPr>
          <w:rFonts w:ascii="Cambria Math" w:hAnsi="Cambria Math" w:cs="Cambria Math"/>
          <w:sz w:val="20"/>
          <w:szCs w:val="20"/>
        </w:rPr>
        <w:t xml:space="preserve">   </w:t>
      </w:r>
      <w:r w:rsidRPr="005D10F5">
        <w:rPr>
          <w:rFonts w:ascii="Bookman Old Style" w:hAnsi="Bookman Old Style" w:cs="Calibri"/>
          <w:color w:val="000000"/>
          <w:sz w:val="20"/>
          <w:szCs w:val="20"/>
          <w:lang w:eastAsia="es-CO"/>
        </w:rPr>
        <w:t>0,0</w:t>
      </w:r>
      <w:r w:rsidR="00F77794" w:rsidRPr="005D10F5">
        <w:rPr>
          <w:rFonts w:ascii="Bookman Old Style" w:hAnsi="Bookman Old Style" w:cs="Arial"/>
          <w:sz w:val="20"/>
          <w:szCs w:val="20"/>
          <w:lang w:eastAsia="es-CO"/>
        </w:rPr>
        <w:t>537092814930545</w:t>
      </w:r>
      <w:r w:rsidRPr="005D10F5">
        <w:rPr>
          <w:rFonts w:ascii="Bookman Old Style" w:hAnsi="Bookman Old Style" w:cs="Calibri"/>
          <w:color w:val="000000"/>
          <w:sz w:val="20"/>
          <w:szCs w:val="20"/>
          <w:lang w:eastAsia="es-CO"/>
        </w:rPr>
        <w:t>%</w:t>
      </w:r>
    </w:p>
    <w:p w14:paraId="1DC02F4B" w14:textId="77777777" w:rsidR="00E54308" w:rsidRPr="00F77794" w:rsidRDefault="00E54308" w:rsidP="00E54308">
      <w:pPr>
        <w:rPr>
          <w:rFonts w:ascii="Bookman Old Style" w:hAnsi="Bookman Old Style" w:cs="Arial"/>
        </w:rPr>
      </w:pPr>
    </w:p>
    <w:p w14:paraId="70E31CE5" w14:textId="77777777" w:rsidR="00E54308" w:rsidRPr="00F77794" w:rsidRDefault="00E54308" w:rsidP="00E54308">
      <w:pPr>
        <w:ind w:left="0"/>
        <w:jc w:val="both"/>
        <w:rPr>
          <w:rFonts w:ascii="Bookman Old Style" w:hAnsi="Bookman Old Style" w:cs="Arial"/>
        </w:rPr>
      </w:pPr>
      <w:r w:rsidRPr="00F77794">
        <w:rPr>
          <w:rFonts w:ascii="Bookman Old Style" w:hAnsi="Bookman Old Style" w:cs="Arial"/>
        </w:rPr>
        <w:t>De esta forma, el factor o tarifa hallado para señalar el porcentaje de la contribución especial 2020 a favor de la CREG es el siguiente:</w:t>
      </w:r>
    </w:p>
    <w:p w14:paraId="53D8766D" w14:textId="77777777" w:rsidR="00E54308" w:rsidRPr="00F77794" w:rsidRDefault="00E54308" w:rsidP="00E54308">
      <w:pPr>
        <w:rPr>
          <w:rFonts w:cs="Arial"/>
        </w:rPr>
      </w:pPr>
    </w:p>
    <w:p w14:paraId="3244098B" w14:textId="56EA95F5" w:rsidR="00E54308" w:rsidRPr="00FF5E35" w:rsidRDefault="00E54308" w:rsidP="00E54308">
      <w:pPr>
        <w:rPr>
          <w:rFonts w:ascii="Bookman Old Style" w:hAnsi="Bookman Old Style" w:cs="Arial"/>
          <w:b/>
          <w:bCs/>
          <w:color w:val="000000"/>
          <w:sz w:val="22"/>
          <w:szCs w:val="22"/>
          <w:lang w:eastAsia="es-CO"/>
        </w:rPr>
      </w:pPr>
      <w:r w:rsidRPr="00FF5E35">
        <w:rPr>
          <w:rFonts w:ascii="Bookman Old Style" w:hAnsi="Bookman Old Style" w:cs="Arial"/>
          <w:sz w:val="22"/>
          <w:szCs w:val="22"/>
        </w:rPr>
        <w:t xml:space="preserve">Factor: </w:t>
      </w:r>
      <w:r w:rsidRPr="00FF5E35">
        <w:rPr>
          <w:rFonts w:ascii="Bookman Old Style" w:hAnsi="Bookman Old Style" w:cs="Arial"/>
          <w:b/>
          <w:bCs/>
          <w:sz w:val="22"/>
          <w:szCs w:val="22"/>
          <w:lang w:eastAsia="es-CO"/>
        </w:rPr>
        <w:t>0,000</w:t>
      </w:r>
      <w:r w:rsidR="00F77794" w:rsidRPr="00FF5E35">
        <w:rPr>
          <w:rFonts w:ascii="Bookman Old Style" w:hAnsi="Bookman Old Style" w:cs="Arial"/>
          <w:b/>
          <w:bCs/>
          <w:sz w:val="22"/>
          <w:szCs w:val="22"/>
          <w:lang w:eastAsia="es-CO"/>
        </w:rPr>
        <w:t>537092814930545</w:t>
      </w:r>
    </w:p>
    <w:p w14:paraId="772EDA15" w14:textId="7FAE85FD" w:rsidR="00E54308" w:rsidRPr="00FF5E35" w:rsidRDefault="00E54308" w:rsidP="00E54308">
      <w:pPr>
        <w:rPr>
          <w:rFonts w:ascii="Bookman Old Style" w:hAnsi="Bookman Old Style" w:cs="Arial"/>
          <w:sz w:val="22"/>
          <w:szCs w:val="22"/>
        </w:rPr>
      </w:pPr>
      <w:r w:rsidRPr="00FF5E35">
        <w:rPr>
          <w:rFonts w:ascii="Bookman Old Style" w:hAnsi="Bookman Old Style" w:cs="Arial"/>
          <w:color w:val="000000"/>
          <w:sz w:val="22"/>
          <w:szCs w:val="22"/>
          <w:lang w:eastAsia="es-CO"/>
        </w:rPr>
        <w:t>Tarifa:</w:t>
      </w:r>
      <w:r w:rsidRPr="00FF5E35">
        <w:rPr>
          <w:rFonts w:ascii="Bookman Old Style" w:hAnsi="Bookman Old Style" w:cs="Arial"/>
          <w:b/>
          <w:bCs/>
          <w:color w:val="000000"/>
          <w:sz w:val="22"/>
          <w:szCs w:val="22"/>
          <w:lang w:eastAsia="es-CO"/>
        </w:rPr>
        <w:t xml:space="preserve"> 0,0</w:t>
      </w:r>
      <w:r w:rsidR="00F77794" w:rsidRPr="00FF5E35">
        <w:rPr>
          <w:rFonts w:ascii="Bookman Old Style" w:hAnsi="Bookman Old Style" w:cs="Arial"/>
          <w:b/>
          <w:bCs/>
          <w:color w:val="000000"/>
          <w:sz w:val="22"/>
          <w:szCs w:val="22"/>
          <w:lang w:eastAsia="es-CO"/>
        </w:rPr>
        <w:t>537092814930545</w:t>
      </w:r>
      <w:r w:rsidRPr="00FF5E35">
        <w:rPr>
          <w:rFonts w:ascii="Bookman Old Style" w:hAnsi="Bookman Old Style" w:cs="Arial"/>
          <w:b/>
          <w:bCs/>
          <w:color w:val="000000"/>
          <w:sz w:val="22"/>
          <w:szCs w:val="22"/>
          <w:lang w:eastAsia="es-CO"/>
        </w:rPr>
        <w:t>%</w:t>
      </w:r>
    </w:p>
    <w:p w14:paraId="00B6F6C9" w14:textId="1AF9B49D" w:rsidR="00114CE4" w:rsidRDefault="00114CE4" w:rsidP="00C377BF">
      <w:pPr>
        <w:ind w:left="0"/>
        <w:jc w:val="both"/>
        <w:rPr>
          <w:rFonts w:ascii="Bookman Old Style" w:hAnsi="Bookman Old Style" w:cs="Arial"/>
        </w:rPr>
      </w:pPr>
    </w:p>
    <w:p w14:paraId="7892B789" w14:textId="4356C473" w:rsidR="00E54308" w:rsidRDefault="00E54308" w:rsidP="00C377BF">
      <w:pPr>
        <w:ind w:left="0"/>
        <w:jc w:val="both"/>
        <w:rPr>
          <w:rFonts w:ascii="Bookman Old Style" w:hAnsi="Bookman Old Style" w:cs="Arial"/>
        </w:rPr>
      </w:pPr>
      <w:r>
        <w:rPr>
          <w:rFonts w:ascii="Bookman Old Style" w:hAnsi="Bookman Old Style" w:cs="Arial"/>
        </w:rPr>
        <w:t xml:space="preserve">Con base en los comentarios recibidos y el análisis realizado por la CREG, el presupuesto oficial a recaudar para la vigencia 2020, la proporción del presupuesto a recuperar con cargo a la contribución especial </w:t>
      </w:r>
      <w:r w:rsidRPr="00E54308">
        <w:rPr>
          <w:rFonts w:ascii="Bookman Old Style" w:hAnsi="Bookman Old Style" w:cs="Arial"/>
        </w:rPr>
        <w:t>que deben pagar las personas prestadoras del servicio de energía eléctrica, gas natural y gas licuado de petróleo (GLP)</w:t>
      </w:r>
      <w:r>
        <w:rPr>
          <w:rFonts w:ascii="Bookman Old Style" w:hAnsi="Bookman Old Style" w:cs="Arial"/>
        </w:rPr>
        <w:t xml:space="preserve"> y los demás aspectos que fueron objeto de consulta en la Resolución 213 de 2020, no serán objeto de modificación.</w:t>
      </w:r>
    </w:p>
    <w:p w14:paraId="469A4008" w14:textId="77777777" w:rsidR="00E54308" w:rsidRPr="00114CE4" w:rsidRDefault="00E54308" w:rsidP="00C377BF">
      <w:pPr>
        <w:ind w:left="0"/>
        <w:jc w:val="both"/>
        <w:rPr>
          <w:rFonts w:ascii="Bookman Old Style" w:hAnsi="Bookman Old Style" w:cs="Arial"/>
        </w:rPr>
      </w:pPr>
    </w:p>
    <w:bookmarkEnd w:id="3"/>
    <w:p w14:paraId="21B6D3FF" w14:textId="0E43738D" w:rsidR="00607653" w:rsidRDefault="00532572" w:rsidP="00C4627C">
      <w:pPr>
        <w:ind w:left="0"/>
        <w:jc w:val="both"/>
        <w:rPr>
          <w:rFonts w:ascii="Bookman Old Style" w:hAnsi="Bookman Old Style" w:cs="Arial"/>
        </w:rPr>
      </w:pPr>
      <w:r>
        <w:rPr>
          <w:rFonts w:ascii="Bookman Old Style" w:hAnsi="Bookman Old Style" w:cs="Arial"/>
        </w:rPr>
        <w:t>E</w:t>
      </w:r>
      <w:r w:rsidRPr="00C4627C">
        <w:rPr>
          <w:rFonts w:ascii="Bookman Old Style" w:hAnsi="Bookman Old Style" w:cs="Arial"/>
        </w:rPr>
        <w:t xml:space="preserve">l Boletín de Deudores Morosos del Estado </w:t>
      </w:r>
      <w:r>
        <w:rPr>
          <w:rFonts w:ascii="Bookman Old Style" w:hAnsi="Bookman Old Style" w:cs="Arial"/>
        </w:rPr>
        <w:t>(</w:t>
      </w:r>
      <w:r w:rsidRPr="00C4627C">
        <w:rPr>
          <w:rFonts w:ascii="Bookman Old Style" w:hAnsi="Bookman Old Style" w:cs="Arial"/>
        </w:rPr>
        <w:t>BDME</w:t>
      </w:r>
      <w:r>
        <w:rPr>
          <w:rFonts w:ascii="Bookman Old Style" w:hAnsi="Bookman Old Style" w:cs="Arial"/>
        </w:rPr>
        <w:t>)</w:t>
      </w:r>
      <w:r w:rsidRPr="00C4627C">
        <w:rPr>
          <w:rFonts w:ascii="Bookman Old Style" w:hAnsi="Bookman Old Style" w:cs="Arial"/>
        </w:rPr>
        <w:t xml:space="preserve"> es </w:t>
      </w:r>
      <w:r>
        <w:rPr>
          <w:rFonts w:ascii="Bookman Old Style" w:hAnsi="Bookman Old Style" w:cs="Arial"/>
        </w:rPr>
        <w:t>un reporte</w:t>
      </w:r>
      <w:r w:rsidRPr="00C4627C">
        <w:rPr>
          <w:rFonts w:ascii="Bookman Old Style" w:hAnsi="Bookman Old Style" w:cs="Arial"/>
        </w:rPr>
        <w:t xml:space="preserve"> de las personas naturales y jurídicas que</w:t>
      </w:r>
      <w:r>
        <w:rPr>
          <w:rFonts w:ascii="Bookman Old Style" w:hAnsi="Bookman Old Style" w:cs="Arial"/>
        </w:rPr>
        <w:t>,</w:t>
      </w:r>
      <w:r w:rsidRPr="00C4627C">
        <w:rPr>
          <w:rFonts w:ascii="Bookman Old Style" w:hAnsi="Bookman Old Style" w:cs="Arial"/>
        </w:rPr>
        <w:t xml:space="preserve"> a cualquier título, a una fecha de corte, tienen contraída una obligación </w:t>
      </w:r>
      <w:r>
        <w:rPr>
          <w:rFonts w:ascii="Bookman Old Style" w:hAnsi="Bookman Old Style" w:cs="Arial"/>
        </w:rPr>
        <w:t xml:space="preserve">en mora </w:t>
      </w:r>
      <w:r w:rsidRPr="00C4627C">
        <w:rPr>
          <w:rFonts w:ascii="Bookman Old Style" w:hAnsi="Bookman Old Style" w:cs="Arial"/>
        </w:rPr>
        <w:t>con una entidad pública de cualquier orden o nivel</w:t>
      </w:r>
      <w:r w:rsidR="00AD7CFD">
        <w:rPr>
          <w:rFonts w:ascii="Bookman Old Style" w:hAnsi="Bookman Old Style" w:cs="Arial"/>
        </w:rPr>
        <w:t>,</w:t>
      </w:r>
      <w:r>
        <w:rPr>
          <w:rFonts w:ascii="Bookman Old Style" w:hAnsi="Bookman Old Style" w:cs="Arial"/>
        </w:rPr>
        <w:t xml:space="preserve"> y </w:t>
      </w:r>
      <w:r w:rsidR="00754AD8">
        <w:rPr>
          <w:rFonts w:ascii="Bookman Old Style" w:hAnsi="Bookman Old Style" w:cs="Arial"/>
        </w:rPr>
        <w:t xml:space="preserve">se encuentra establecido </w:t>
      </w:r>
      <w:r w:rsidR="00C4627C" w:rsidRPr="00C4627C">
        <w:rPr>
          <w:rFonts w:ascii="Bookman Old Style" w:hAnsi="Bookman Old Style" w:cs="Arial"/>
        </w:rPr>
        <w:t>en virtud del parágrafo 3º del artículo 2º de la Ley 901 de 2004, y del numeral 5º del Art</w:t>
      </w:r>
      <w:r w:rsidR="00607653">
        <w:rPr>
          <w:rFonts w:ascii="Bookman Old Style" w:hAnsi="Bookman Old Style" w:cs="Arial"/>
        </w:rPr>
        <w:t>ículo</w:t>
      </w:r>
      <w:r w:rsidR="00C4627C" w:rsidRPr="00C4627C">
        <w:rPr>
          <w:rFonts w:ascii="Bookman Old Style" w:hAnsi="Bookman Old Style" w:cs="Arial"/>
        </w:rPr>
        <w:t xml:space="preserve"> 2º de la Ley 1066 de 2006, </w:t>
      </w:r>
      <w:r>
        <w:rPr>
          <w:rFonts w:ascii="Bookman Old Style" w:hAnsi="Bookman Old Style" w:cs="Arial"/>
        </w:rPr>
        <w:t xml:space="preserve">el cual ordena que </w:t>
      </w:r>
      <w:r w:rsidR="00C4627C" w:rsidRPr="00C4627C">
        <w:rPr>
          <w:rFonts w:ascii="Bookman Old Style" w:hAnsi="Bookman Old Style" w:cs="Arial"/>
        </w:rPr>
        <w:t>todas las entidades públicas tienen la obligación de enviar a la Co</w:t>
      </w:r>
      <w:r w:rsidR="00607653">
        <w:rPr>
          <w:rFonts w:ascii="Bookman Old Style" w:hAnsi="Bookman Old Style" w:cs="Arial"/>
        </w:rPr>
        <w:t>ntaduría General de la Nación (</w:t>
      </w:r>
      <w:r w:rsidR="00C4627C" w:rsidRPr="00C4627C">
        <w:rPr>
          <w:rFonts w:ascii="Bookman Old Style" w:hAnsi="Bookman Old Style" w:cs="Arial"/>
        </w:rPr>
        <w:t>CGN</w:t>
      </w:r>
      <w:r w:rsidR="00607653">
        <w:rPr>
          <w:rFonts w:ascii="Bookman Old Style" w:hAnsi="Bookman Old Style" w:cs="Arial"/>
        </w:rPr>
        <w:t>)</w:t>
      </w:r>
      <w:r w:rsidR="00C4627C" w:rsidRPr="00C4627C">
        <w:rPr>
          <w:rFonts w:ascii="Bookman Old Style" w:hAnsi="Bookman Old Style" w:cs="Arial"/>
        </w:rPr>
        <w:t>, el</w:t>
      </w:r>
      <w:r w:rsidR="00D21FEB">
        <w:rPr>
          <w:rFonts w:ascii="Bookman Old Style" w:hAnsi="Bookman Old Style" w:cs="Arial"/>
        </w:rPr>
        <w:t xml:space="preserve"> reporte del</w:t>
      </w:r>
      <w:r w:rsidR="00C4627C" w:rsidRPr="00C4627C">
        <w:rPr>
          <w:rFonts w:ascii="Bookman Old Style" w:hAnsi="Bookman Old Style" w:cs="Arial"/>
        </w:rPr>
        <w:t xml:space="preserve"> BDME, el cual debe transmitirse por el sistema CHIP</w:t>
      </w:r>
      <w:r w:rsidR="00607653">
        <w:rPr>
          <w:rFonts w:ascii="Bookman Old Style" w:hAnsi="Bookman Old Style" w:cs="Arial"/>
        </w:rPr>
        <w:t xml:space="preserve"> de la CGN</w:t>
      </w:r>
      <w:r w:rsidR="00C4627C" w:rsidRPr="00C4627C">
        <w:rPr>
          <w:rFonts w:ascii="Bookman Old Style" w:hAnsi="Bookman Old Style" w:cs="Arial"/>
        </w:rPr>
        <w:t xml:space="preserve">, en los </w:t>
      </w:r>
      <w:r w:rsidR="00C4627C">
        <w:rPr>
          <w:rFonts w:ascii="Bookman Old Style" w:hAnsi="Bookman Old Style" w:cs="Arial"/>
        </w:rPr>
        <w:t>diez (</w:t>
      </w:r>
      <w:r w:rsidR="00C4627C" w:rsidRPr="00C4627C">
        <w:rPr>
          <w:rFonts w:ascii="Bookman Old Style" w:hAnsi="Bookman Old Style" w:cs="Arial"/>
        </w:rPr>
        <w:t>10</w:t>
      </w:r>
      <w:r w:rsidR="00C4627C">
        <w:rPr>
          <w:rFonts w:ascii="Bookman Old Style" w:hAnsi="Bookman Old Style" w:cs="Arial"/>
        </w:rPr>
        <w:t>)</w:t>
      </w:r>
      <w:r w:rsidR="00C4627C" w:rsidRPr="00C4627C">
        <w:rPr>
          <w:rFonts w:ascii="Bookman Old Style" w:hAnsi="Bookman Old Style" w:cs="Arial"/>
        </w:rPr>
        <w:t xml:space="preserve"> primeros días de los meses de junio y de diciembre</w:t>
      </w:r>
      <w:r w:rsidR="00AD7CFD">
        <w:rPr>
          <w:rFonts w:ascii="Bookman Old Style" w:hAnsi="Bookman Old Style" w:cs="Arial"/>
        </w:rPr>
        <w:t>,</w:t>
      </w:r>
      <w:r w:rsidR="00C4627C" w:rsidRPr="00C4627C">
        <w:rPr>
          <w:rFonts w:ascii="Bookman Old Style" w:hAnsi="Bookman Old Style" w:cs="Arial"/>
        </w:rPr>
        <w:t xml:space="preserve"> con fecha</w:t>
      </w:r>
      <w:r w:rsidR="00AD7CFD">
        <w:rPr>
          <w:rFonts w:ascii="Bookman Old Style" w:hAnsi="Bookman Old Style" w:cs="Arial"/>
        </w:rPr>
        <w:t>s</w:t>
      </w:r>
      <w:r w:rsidR="00C4627C" w:rsidRPr="00C4627C">
        <w:rPr>
          <w:rFonts w:ascii="Bookman Old Style" w:hAnsi="Bookman Old Style" w:cs="Arial"/>
        </w:rPr>
        <w:t xml:space="preserve"> de corte 31 de mayo y </w:t>
      </w:r>
      <w:r w:rsidR="00C4627C">
        <w:rPr>
          <w:rFonts w:ascii="Bookman Old Style" w:hAnsi="Bookman Old Style" w:cs="Arial"/>
        </w:rPr>
        <w:t>30 de noviembre respectivamente</w:t>
      </w:r>
      <w:r w:rsidR="00607653">
        <w:rPr>
          <w:rFonts w:ascii="Bookman Old Style" w:hAnsi="Bookman Old Style" w:cs="Arial"/>
        </w:rPr>
        <w:t>.</w:t>
      </w:r>
    </w:p>
    <w:p w14:paraId="7DEFB2AD" w14:textId="77777777" w:rsidR="00607653" w:rsidRDefault="00607653" w:rsidP="00C4627C">
      <w:pPr>
        <w:ind w:left="0"/>
        <w:jc w:val="both"/>
        <w:rPr>
          <w:rFonts w:ascii="Bookman Old Style" w:hAnsi="Bookman Old Style" w:cs="Arial"/>
        </w:rPr>
      </w:pPr>
    </w:p>
    <w:p w14:paraId="6FA69D44" w14:textId="77A76F07" w:rsidR="00C4627C" w:rsidRDefault="00F40390" w:rsidP="00C4627C">
      <w:pPr>
        <w:ind w:left="0"/>
        <w:jc w:val="both"/>
        <w:rPr>
          <w:rFonts w:ascii="Bookman Old Style" w:hAnsi="Bookman Old Style" w:cs="Arial"/>
        </w:rPr>
      </w:pPr>
      <w:r>
        <w:rPr>
          <w:rFonts w:ascii="Bookman Old Style" w:hAnsi="Bookman Old Style" w:cs="Arial"/>
        </w:rPr>
        <w:t>L</w:t>
      </w:r>
      <w:r w:rsidR="00607653">
        <w:rPr>
          <w:rFonts w:ascii="Bookman Old Style" w:hAnsi="Bookman Old Style" w:cs="Arial"/>
        </w:rPr>
        <w:t xml:space="preserve">a entidad debe dar </w:t>
      </w:r>
      <w:r w:rsidR="00C4627C" w:rsidRPr="00C4627C">
        <w:rPr>
          <w:rFonts w:ascii="Bookman Old Style" w:hAnsi="Bookman Old Style" w:cs="Arial"/>
        </w:rPr>
        <w:t xml:space="preserve">cumplimiento </w:t>
      </w:r>
      <w:r w:rsidR="00473C7C">
        <w:rPr>
          <w:rFonts w:ascii="Bookman Old Style" w:hAnsi="Bookman Old Style" w:cs="Arial"/>
        </w:rPr>
        <w:t xml:space="preserve">a los expuesto en el anterior </w:t>
      </w:r>
      <w:r w:rsidR="003D09ED">
        <w:rPr>
          <w:rFonts w:ascii="Bookman Old Style" w:hAnsi="Bookman Old Style" w:cs="Arial"/>
        </w:rPr>
        <w:t>considerando y</w:t>
      </w:r>
      <w:r w:rsidR="00AD7CFD">
        <w:rPr>
          <w:rFonts w:ascii="Bookman Old Style" w:hAnsi="Bookman Old Style" w:cs="Arial"/>
        </w:rPr>
        <w:t>,</w:t>
      </w:r>
      <w:r w:rsidR="0099543A">
        <w:rPr>
          <w:rFonts w:ascii="Bookman Old Style" w:hAnsi="Bookman Old Style" w:cs="Arial"/>
        </w:rPr>
        <w:t xml:space="preserve"> por tanto</w:t>
      </w:r>
      <w:r w:rsidR="00AD7CFD">
        <w:rPr>
          <w:rFonts w:ascii="Bookman Old Style" w:hAnsi="Bookman Old Style" w:cs="Arial"/>
        </w:rPr>
        <w:t>,</w:t>
      </w:r>
      <w:r w:rsidR="00C4627C" w:rsidRPr="00C4627C">
        <w:rPr>
          <w:rFonts w:ascii="Bookman Old Style" w:hAnsi="Bookman Old Style" w:cs="Arial"/>
        </w:rPr>
        <w:t xml:space="preserve"> </w:t>
      </w:r>
      <w:r w:rsidR="00607653">
        <w:rPr>
          <w:rFonts w:ascii="Bookman Old Style" w:hAnsi="Bookman Old Style" w:cs="Arial"/>
        </w:rPr>
        <w:t xml:space="preserve">se reportarán </w:t>
      </w:r>
      <w:r w:rsidR="00C4627C" w:rsidRPr="00C4627C">
        <w:rPr>
          <w:rFonts w:ascii="Bookman Old Style" w:hAnsi="Bookman Old Style" w:cs="Arial"/>
        </w:rPr>
        <w:t xml:space="preserve">en el BDME </w:t>
      </w:r>
      <w:r w:rsidR="0099543A">
        <w:rPr>
          <w:rFonts w:ascii="Bookman Old Style" w:hAnsi="Bookman Old Style" w:cs="Arial"/>
        </w:rPr>
        <w:t>los regulados que presentan</w:t>
      </w:r>
      <w:r w:rsidR="00C4627C" w:rsidRPr="00C4627C">
        <w:rPr>
          <w:rFonts w:ascii="Bookman Old Style" w:hAnsi="Bookman Old Style" w:cs="Arial"/>
        </w:rPr>
        <w:t xml:space="preserve"> morosidad en el pago de la contribución espe</w:t>
      </w:r>
      <w:r w:rsidR="0099543A">
        <w:rPr>
          <w:rFonts w:ascii="Bookman Old Style" w:hAnsi="Bookman Old Style" w:cs="Arial"/>
        </w:rPr>
        <w:t>cial de la CREG en las fechas de corte establecidas.</w:t>
      </w:r>
    </w:p>
    <w:p w14:paraId="65EC34CF" w14:textId="77777777" w:rsidR="00C4627C" w:rsidRPr="00FE55BD" w:rsidRDefault="00C4627C" w:rsidP="00C4627C">
      <w:pPr>
        <w:ind w:left="0"/>
        <w:jc w:val="both"/>
        <w:rPr>
          <w:rFonts w:ascii="Bookman Old Style" w:hAnsi="Bookman Old Style" w:cs="Arial"/>
        </w:rPr>
      </w:pPr>
    </w:p>
    <w:p w14:paraId="19DD878A" w14:textId="66425D14" w:rsidR="00354789" w:rsidRDefault="00354789" w:rsidP="00354789">
      <w:pPr>
        <w:ind w:left="0"/>
        <w:jc w:val="both"/>
      </w:pPr>
      <w:r w:rsidRPr="00FE55BD">
        <w:rPr>
          <w:rFonts w:ascii="Bookman Old Style" w:hAnsi="Bookman Old Style" w:cs="Arial"/>
        </w:rPr>
        <w:t xml:space="preserve">La CREG en la </w:t>
      </w:r>
      <w:r w:rsidRPr="00354789">
        <w:rPr>
          <w:rFonts w:ascii="Bookman Old Style" w:hAnsi="Bookman Old Style" w:cs="Arial"/>
        </w:rPr>
        <w:t xml:space="preserve">sesión </w:t>
      </w:r>
      <w:r w:rsidR="00AC5ED2">
        <w:rPr>
          <w:rFonts w:ascii="Bookman Old Style" w:hAnsi="Bookman Old Style" w:cs="Arial"/>
        </w:rPr>
        <w:t>10</w:t>
      </w:r>
      <w:r w:rsidR="00E54308">
        <w:rPr>
          <w:rFonts w:ascii="Bookman Old Style" w:hAnsi="Bookman Old Style" w:cs="Arial"/>
        </w:rPr>
        <w:t>69</w:t>
      </w:r>
      <w:r w:rsidRPr="00354789">
        <w:rPr>
          <w:rFonts w:ascii="Bookman Old Style" w:hAnsi="Bookman Old Style" w:cs="Arial"/>
        </w:rPr>
        <w:t xml:space="preserve"> del </w:t>
      </w:r>
      <w:r w:rsidR="00E54308">
        <w:rPr>
          <w:rFonts w:ascii="Bookman Old Style" w:hAnsi="Bookman Old Style" w:cs="Arial"/>
        </w:rPr>
        <w:t xml:space="preserve">23 </w:t>
      </w:r>
      <w:r w:rsidRPr="00354789">
        <w:rPr>
          <w:rFonts w:ascii="Bookman Old Style" w:hAnsi="Bookman Old Style" w:cs="Arial"/>
        </w:rPr>
        <w:t xml:space="preserve">de </w:t>
      </w:r>
      <w:r w:rsidR="00E54308">
        <w:rPr>
          <w:rFonts w:ascii="Bookman Old Style" w:hAnsi="Bookman Old Style" w:cs="Arial"/>
        </w:rPr>
        <w:t>dic</w:t>
      </w:r>
      <w:r w:rsidR="00AC5ED2">
        <w:rPr>
          <w:rFonts w:ascii="Bookman Old Style" w:hAnsi="Bookman Old Style" w:cs="Arial"/>
        </w:rPr>
        <w:t xml:space="preserve">iembre </w:t>
      </w:r>
      <w:r w:rsidRPr="00354789">
        <w:rPr>
          <w:rFonts w:ascii="Bookman Old Style" w:hAnsi="Bookman Old Style" w:cs="Arial"/>
        </w:rPr>
        <w:t>de 2020</w:t>
      </w:r>
      <w:r w:rsidRPr="00594E59">
        <w:rPr>
          <w:rFonts w:ascii="Bookman Old Style" w:hAnsi="Bookman Old Style" w:cs="Arial"/>
        </w:rPr>
        <w:t xml:space="preserve">, </w:t>
      </w:r>
      <w:r w:rsidRPr="00E36C0E">
        <w:rPr>
          <w:rFonts w:ascii="Bookman Old Style" w:hAnsi="Bookman Old Style" w:cs="Arial"/>
        </w:rPr>
        <w:t>de conformidad con la información recopilad</w:t>
      </w:r>
      <w:r w:rsidRPr="00FE55BD">
        <w:rPr>
          <w:rFonts w:ascii="Bookman Old Style" w:hAnsi="Bookman Old Style" w:cs="Arial"/>
        </w:rPr>
        <w:t>a y recibida durante el proceso de consulta, aprobó expedir la presente</w:t>
      </w:r>
      <w:r>
        <w:rPr>
          <w:rFonts w:ascii="Bookman Old Style" w:hAnsi="Bookman Old Style" w:cs="Arial"/>
        </w:rPr>
        <w:t xml:space="preserve"> resolución.</w:t>
      </w:r>
      <w:r w:rsidRPr="00354789">
        <w:t xml:space="preserve"> </w:t>
      </w:r>
    </w:p>
    <w:p w14:paraId="6C71016C" w14:textId="77777777" w:rsidR="00354789" w:rsidRDefault="00354789" w:rsidP="00182AB0">
      <w:pPr>
        <w:ind w:left="0"/>
        <w:jc w:val="both"/>
        <w:rPr>
          <w:rFonts w:ascii="Bookman Old Style" w:hAnsi="Bookman Old Style" w:cs="Arial"/>
        </w:rPr>
      </w:pPr>
    </w:p>
    <w:p w14:paraId="1366F737" w14:textId="77777777" w:rsidR="00D0527D" w:rsidRPr="00AB5B2E" w:rsidRDefault="00D0527D" w:rsidP="00182AB0">
      <w:pPr>
        <w:ind w:left="0"/>
        <w:jc w:val="both"/>
        <w:rPr>
          <w:rFonts w:ascii="Bookman Old Style" w:hAnsi="Bookman Old Style" w:cs="Arial"/>
          <w:sz w:val="16"/>
          <w:szCs w:val="16"/>
        </w:rPr>
      </w:pPr>
    </w:p>
    <w:p w14:paraId="0940B93D" w14:textId="77777777" w:rsidR="00182AB0" w:rsidRPr="00754AD8" w:rsidRDefault="00182AB0" w:rsidP="00D7711F">
      <w:pPr>
        <w:ind w:left="0"/>
        <w:jc w:val="center"/>
        <w:rPr>
          <w:rFonts w:ascii="Bookman Old Style" w:hAnsi="Bookman Old Style"/>
          <w:b/>
          <w:sz w:val="28"/>
          <w:szCs w:val="28"/>
        </w:rPr>
      </w:pPr>
      <w:r w:rsidRPr="00754AD8">
        <w:rPr>
          <w:rFonts w:ascii="Bookman Old Style" w:hAnsi="Bookman Old Style"/>
          <w:b/>
          <w:sz w:val="28"/>
          <w:szCs w:val="28"/>
        </w:rPr>
        <w:t>R E S U E L V E:</w:t>
      </w:r>
    </w:p>
    <w:p w14:paraId="42BB0284" w14:textId="77777777" w:rsidR="000F4DE3" w:rsidRDefault="000F4DE3" w:rsidP="00182AB0">
      <w:pPr>
        <w:jc w:val="center"/>
        <w:rPr>
          <w:rFonts w:ascii="Bookman Old Style" w:hAnsi="Bookman Old Style"/>
          <w:b/>
        </w:rPr>
      </w:pPr>
    </w:p>
    <w:p w14:paraId="76BD6773" w14:textId="453A4960" w:rsidR="00314E9E" w:rsidRDefault="00182AB0" w:rsidP="00182AB0">
      <w:pPr>
        <w:pStyle w:val="Ttulo1"/>
        <w:ind w:left="0"/>
        <w:jc w:val="both"/>
        <w:rPr>
          <w:rFonts w:ascii="Bookman Old Style" w:hAnsi="Bookman Old Style" w:cs="Arial"/>
          <w:b w:val="0"/>
          <w:szCs w:val="24"/>
        </w:rPr>
      </w:pPr>
      <w:r w:rsidRPr="00A96759">
        <w:rPr>
          <w:rFonts w:ascii="Bookman Old Style" w:hAnsi="Bookman Old Style"/>
          <w:szCs w:val="24"/>
        </w:rPr>
        <w:t xml:space="preserve">ARTÍCULO 1. </w:t>
      </w:r>
      <w:r w:rsidR="0082513F" w:rsidRPr="00354789">
        <w:rPr>
          <w:rFonts w:ascii="Bookman Old Style" w:hAnsi="Bookman Old Style"/>
          <w:b w:val="0"/>
          <w:bCs/>
          <w:szCs w:val="24"/>
        </w:rPr>
        <w:t>S</w:t>
      </w:r>
      <w:r w:rsidRPr="00354789">
        <w:rPr>
          <w:rFonts w:ascii="Bookman Old Style" w:hAnsi="Bookman Old Style" w:cs="Arial"/>
          <w:b w:val="0"/>
          <w:szCs w:val="24"/>
        </w:rPr>
        <w:t xml:space="preserve">eñalar </w:t>
      </w:r>
      <w:r w:rsidR="00314E9E" w:rsidRPr="00354789">
        <w:rPr>
          <w:rFonts w:ascii="Bookman Old Style" w:hAnsi="Bookman Old Style" w:cs="Arial"/>
          <w:b w:val="0"/>
          <w:szCs w:val="24"/>
        </w:rPr>
        <w:t xml:space="preserve">por concepto de contribución especial para el año 2020 </w:t>
      </w:r>
      <w:r w:rsidR="002216F7" w:rsidRPr="00354789">
        <w:rPr>
          <w:rFonts w:ascii="Bookman Old Style" w:hAnsi="Bookman Old Style" w:cs="Arial"/>
          <w:b w:val="0"/>
          <w:szCs w:val="24"/>
        </w:rPr>
        <w:t>el</w:t>
      </w:r>
      <w:r w:rsidR="004148DC" w:rsidRPr="00354789">
        <w:rPr>
          <w:rFonts w:ascii="Bookman Old Style" w:hAnsi="Bookman Old Style" w:cs="Arial"/>
          <w:b w:val="0"/>
          <w:szCs w:val="24"/>
        </w:rPr>
        <w:t xml:space="preserve"> </w:t>
      </w:r>
      <w:r w:rsidR="002216F7" w:rsidRPr="005D10F5">
        <w:rPr>
          <w:rFonts w:ascii="Bookman Old Style" w:hAnsi="Bookman Old Style" w:cs="Arial"/>
          <w:b w:val="0"/>
          <w:szCs w:val="24"/>
        </w:rPr>
        <w:t xml:space="preserve">factor de </w:t>
      </w:r>
      <w:r w:rsidR="00DB44A3" w:rsidRPr="005D10F5">
        <w:rPr>
          <w:rFonts w:ascii="Bookman Old Style" w:hAnsi="Bookman Old Style" w:cs="Arial"/>
          <w:b w:val="0"/>
          <w:bCs/>
          <w:szCs w:val="24"/>
          <w:lang w:eastAsia="es-CO"/>
        </w:rPr>
        <w:t>0,000</w:t>
      </w:r>
      <w:r w:rsidR="00A9645D" w:rsidRPr="005D10F5">
        <w:rPr>
          <w:rFonts w:ascii="Bookman Old Style" w:hAnsi="Bookman Old Style" w:cs="Arial"/>
          <w:b w:val="0"/>
          <w:bCs/>
          <w:szCs w:val="24"/>
          <w:lang w:eastAsia="es-CO"/>
        </w:rPr>
        <w:t>537092814930545</w:t>
      </w:r>
      <w:r w:rsidR="00DB1EA4" w:rsidRPr="005D10F5">
        <w:rPr>
          <w:rFonts w:ascii="Bookman Old Style" w:hAnsi="Bookman Old Style" w:cs="Arial"/>
          <w:b w:val="0"/>
          <w:bCs/>
          <w:szCs w:val="24"/>
          <w:lang w:eastAsia="es-CO"/>
        </w:rPr>
        <w:t xml:space="preserve"> </w:t>
      </w:r>
      <w:r w:rsidR="002216F7" w:rsidRPr="005D10F5">
        <w:rPr>
          <w:rFonts w:ascii="Bookman Old Style" w:hAnsi="Bookman Old Style" w:cs="Arial"/>
          <w:b w:val="0"/>
          <w:bCs/>
          <w:szCs w:val="24"/>
          <w:lang w:eastAsia="es-CO"/>
        </w:rPr>
        <w:t xml:space="preserve">que equivale al </w:t>
      </w:r>
      <w:r w:rsidR="00DB1EA4" w:rsidRPr="005D10F5">
        <w:rPr>
          <w:rFonts w:ascii="Bookman Old Style" w:hAnsi="Bookman Old Style" w:cs="Arial"/>
          <w:b w:val="0"/>
          <w:bCs/>
          <w:szCs w:val="24"/>
        </w:rPr>
        <w:t>0,0</w:t>
      </w:r>
      <w:r w:rsidR="00A9645D" w:rsidRPr="005D10F5">
        <w:rPr>
          <w:rFonts w:ascii="Bookman Old Style" w:hAnsi="Bookman Old Style" w:cs="Arial"/>
          <w:b w:val="0"/>
          <w:bCs/>
          <w:szCs w:val="24"/>
        </w:rPr>
        <w:t>537092814930545</w:t>
      </w:r>
      <w:r w:rsidR="00DB1EA4" w:rsidRPr="005D10F5">
        <w:rPr>
          <w:rFonts w:ascii="Bookman Old Style" w:hAnsi="Bookman Old Style" w:cs="Arial"/>
          <w:b w:val="0"/>
          <w:bCs/>
          <w:szCs w:val="24"/>
        </w:rPr>
        <w:t>%</w:t>
      </w:r>
      <w:r w:rsidR="00DB1EA4" w:rsidRPr="00A9645D">
        <w:rPr>
          <w:rFonts w:ascii="Bookman Old Style" w:hAnsi="Bookman Old Style" w:cs="Arial"/>
          <w:b w:val="0"/>
          <w:bCs/>
          <w:szCs w:val="24"/>
        </w:rPr>
        <w:t xml:space="preserve"> </w:t>
      </w:r>
      <w:r w:rsidR="00870D04" w:rsidRPr="00A9645D">
        <w:rPr>
          <w:rFonts w:ascii="Bookman Old Style" w:hAnsi="Bookman Old Style" w:cs="Arial"/>
          <w:b w:val="0"/>
          <w:bCs/>
          <w:szCs w:val="24"/>
        </w:rPr>
        <w:t xml:space="preserve">como </w:t>
      </w:r>
      <w:r w:rsidR="00870D04" w:rsidRPr="00A9645D">
        <w:rPr>
          <w:rFonts w:ascii="Bookman Old Style" w:hAnsi="Bookman Old Style" w:cs="Arial"/>
          <w:b w:val="0"/>
          <w:szCs w:val="24"/>
        </w:rPr>
        <w:t xml:space="preserve">tarifa para </w:t>
      </w:r>
      <w:r w:rsidR="00314E9E" w:rsidRPr="00A9645D">
        <w:rPr>
          <w:rFonts w:ascii="Bookman Old Style" w:hAnsi="Bookman Old Style" w:cs="Arial"/>
          <w:b w:val="0"/>
          <w:szCs w:val="24"/>
        </w:rPr>
        <w:t>las personas prestadoras del servicio de energía</w:t>
      </w:r>
      <w:r w:rsidR="00314E9E">
        <w:rPr>
          <w:rFonts w:ascii="Bookman Old Style" w:hAnsi="Bookman Old Style" w:cs="Arial"/>
          <w:b w:val="0"/>
          <w:szCs w:val="24"/>
        </w:rPr>
        <w:t xml:space="preserve"> </w:t>
      </w:r>
      <w:r w:rsidR="00DB1EA4">
        <w:rPr>
          <w:rFonts w:ascii="Bookman Old Style" w:hAnsi="Bookman Old Style" w:cs="Arial"/>
          <w:b w:val="0"/>
          <w:szCs w:val="24"/>
        </w:rPr>
        <w:t>eléctrica</w:t>
      </w:r>
      <w:r w:rsidR="00314E9E">
        <w:rPr>
          <w:rFonts w:ascii="Bookman Old Style" w:hAnsi="Bookman Old Style" w:cs="Arial"/>
          <w:b w:val="0"/>
          <w:szCs w:val="24"/>
        </w:rPr>
        <w:t xml:space="preserve">, gas natural y gas licuado de </w:t>
      </w:r>
      <w:r w:rsidR="00DB1EA4">
        <w:rPr>
          <w:rFonts w:ascii="Bookman Old Style" w:hAnsi="Bookman Old Style" w:cs="Arial"/>
          <w:b w:val="0"/>
          <w:szCs w:val="24"/>
        </w:rPr>
        <w:t>petróleo</w:t>
      </w:r>
      <w:r w:rsidR="00314E9E">
        <w:rPr>
          <w:rFonts w:ascii="Bookman Old Style" w:hAnsi="Bookman Old Style" w:cs="Arial"/>
          <w:b w:val="0"/>
          <w:szCs w:val="24"/>
        </w:rPr>
        <w:t xml:space="preserve"> (GLP)</w:t>
      </w:r>
      <w:r w:rsidR="004F030C">
        <w:rPr>
          <w:rFonts w:ascii="Bookman Old Style" w:hAnsi="Bookman Old Style" w:cs="Arial"/>
          <w:b w:val="0"/>
          <w:szCs w:val="24"/>
        </w:rPr>
        <w:t>,</w:t>
      </w:r>
      <w:r w:rsidR="00DD41CD">
        <w:rPr>
          <w:rFonts w:ascii="Bookman Old Style" w:hAnsi="Bookman Old Style" w:cs="Arial"/>
          <w:b w:val="0"/>
          <w:szCs w:val="24"/>
        </w:rPr>
        <w:t xml:space="preserve"> </w:t>
      </w:r>
      <w:r w:rsidR="00870D04" w:rsidRPr="00870D04">
        <w:rPr>
          <w:rFonts w:ascii="Bookman Old Style" w:hAnsi="Bookman Old Style" w:cs="Arial"/>
          <w:b w:val="0"/>
          <w:szCs w:val="24"/>
        </w:rPr>
        <w:t>que</w:t>
      </w:r>
      <w:r w:rsidR="00AD7CFD">
        <w:rPr>
          <w:rFonts w:ascii="Bookman Old Style" w:hAnsi="Bookman Old Style" w:cs="Arial"/>
          <w:b w:val="0"/>
          <w:szCs w:val="24"/>
        </w:rPr>
        <w:t>,</w:t>
      </w:r>
      <w:r w:rsidR="00870D04" w:rsidRPr="00870D04">
        <w:rPr>
          <w:rFonts w:ascii="Bookman Old Style" w:hAnsi="Bookman Old Style" w:cs="Arial"/>
          <w:b w:val="0"/>
          <w:szCs w:val="24"/>
        </w:rPr>
        <w:t xml:space="preserve"> multiplicada por el valor de la base gravable </w:t>
      </w:r>
      <w:r w:rsidR="00870D04">
        <w:rPr>
          <w:rFonts w:ascii="Bookman Old Style" w:hAnsi="Bookman Old Style" w:cs="Arial"/>
          <w:b w:val="0"/>
          <w:szCs w:val="24"/>
        </w:rPr>
        <w:t>de cada empresa</w:t>
      </w:r>
      <w:r w:rsidR="00AD7CFD">
        <w:rPr>
          <w:rFonts w:ascii="Bookman Old Style" w:hAnsi="Bookman Old Style" w:cs="Arial"/>
          <w:b w:val="0"/>
          <w:szCs w:val="24"/>
        </w:rPr>
        <w:t>,</w:t>
      </w:r>
      <w:r w:rsidR="00870D04">
        <w:rPr>
          <w:rFonts w:ascii="Bookman Old Style" w:hAnsi="Bookman Old Style" w:cs="Arial"/>
          <w:b w:val="0"/>
          <w:szCs w:val="24"/>
        </w:rPr>
        <w:t xml:space="preserve"> </w:t>
      </w:r>
      <w:r w:rsidR="00DD41CD">
        <w:rPr>
          <w:rFonts w:ascii="Bookman Old Style" w:hAnsi="Bookman Old Style" w:cs="Arial"/>
          <w:b w:val="0"/>
          <w:szCs w:val="24"/>
        </w:rPr>
        <w:t>d</w:t>
      </w:r>
      <w:r w:rsidR="004F030C">
        <w:rPr>
          <w:rFonts w:ascii="Bookman Old Style" w:hAnsi="Bookman Old Style" w:cs="Arial"/>
          <w:b w:val="0"/>
          <w:szCs w:val="24"/>
        </w:rPr>
        <w:t xml:space="preserve">a como resultado el valor a </w:t>
      </w:r>
      <w:r w:rsidR="00DD41CD">
        <w:rPr>
          <w:rFonts w:ascii="Bookman Old Style" w:hAnsi="Bookman Old Style" w:cs="Arial"/>
          <w:b w:val="0"/>
          <w:szCs w:val="24"/>
        </w:rPr>
        <w:t>pagar por concepto de contribución</w:t>
      </w:r>
      <w:r w:rsidR="00870D04">
        <w:rPr>
          <w:rFonts w:ascii="Bookman Old Style" w:hAnsi="Bookman Old Style" w:cs="Arial"/>
          <w:b w:val="0"/>
          <w:szCs w:val="24"/>
        </w:rPr>
        <w:t xml:space="preserve"> especial por cada regulado. Lo anterior</w:t>
      </w:r>
      <w:r w:rsidR="00314E9E">
        <w:rPr>
          <w:rFonts w:ascii="Bookman Old Style" w:hAnsi="Bookman Old Style" w:cs="Arial"/>
          <w:b w:val="0"/>
          <w:szCs w:val="24"/>
        </w:rPr>
        <w:t xml:space="preserve"> </w:t>
      </w:r>
      <w:r w:rsidR="00870D04">
        <w:rPr>
          <w:rFonts w:ascii="Bookman Old Style" w:hAnsi="Bookman Old Style" w:cs="Arial"/>
          <w:b w:val="0"/>
          <w:szCs w:val="24"/>
        </w:rPr>
        <w:t xml:space="preserve">con el fin de financiar en </w:t>
      </w:r>
      <w:r w:rsidR="00870D04" w:rsidRPr="00314E9E">
        <w:rPr>
          <w:rFonts w:ascii="Bookman Old Style" w:hAnsi="Bookman Old Style" w:cs="Arial"/>
          <w:b w:val="0"/>
          <w:szCs w:val="24"/>
        </w:rPr>
        <w:t>$30.459.998.</w:t>
      </w:r>
      <w:r w:rsidR="00870D04">
        <w:rPr>
          <w:rFonts w:ascii="Bookman Old Style" w:hAnsi="Bookman Old Style" w:cs="Arial"/>
          <w:b w:val="0"/>
          <w:szCs w:val="24"/>
        </w:rPr>
        <w:t>090 (83.07%) el</w:t>
      </w:r>
      <w:r w:rsidR="00314E9E">
        <w:rPr>
          <w:rFonts w:ascii="Bookman Old Style" w:hAnsi="Bookman Old Style" w:cs="Arial"/>
          <w:b w:val="0"/>
          <w:szCs w:val="24"/>
        </w:rPr>
        <w:t xml:space="preserve"> total del presupuesto vigente de la CREG</w:t>
      </w:r>
      <w:r w:rsidR="00870D04">
        <w:rPr>
          <w:rFonts w:ascii="Bookman Old Style" w:hAnsi="Bookman Old Style" w:cs="Arial"/>
          <w:b w:val="0"/>
          <w:szCs w:val="24"/>
        </w:rPr>
        <w:t xml:space="preserve"> para la vigencia 2020</w:t>
      </w:r>
      <w:r w:rsidR="00AD7CFD">
        <w:rPr>
          <w:rFonts w:ascii="Bookman Old Style" w:hAnsi="Bookman Old Style" w:cs="Arial"/>
          <w:b w:val="0"/>
          <w:szCs w:val="24"/>
        </w:rPr>
        <w:t>,</w:t>
      </w:r>
      <w:r w:rsidR="00870D04">
        <w:rPr>
          <w:rFonts w:ascii="Bookman Old Style" w:hAnsi="Bookman Old Style" w:cs="Arial"/>
          <w:b w:val="0"/>
          <w:szCs w:val="24"/>
        </w:rPr>
        <w:t xml:space="preserve"> que asciende a </w:t>
      </w:r>
      <w:r w:rsidR="00870D04" w:rsidRPr="00870D04">
        <w:rPr>
          <w:rFonts w:ascii="Bookman Old Style" w:hAnsi="Bookman Old Style" w:cs="Arial"/>
          <w:b w:val="0"/>
          <w:szCs w:val="24"/>
        </w:rPr>
        <w:t>$36.667.868.171</w:t>
      </w:r>
      <w:r w:rsidR="00870D04">
        <w:rPr>
          <w:rFonts w:ascii="Bookman Old Style" w:hAnsi="Bookman Old Style" w:cs="Arial"/>
          <w:b w:val="0"/>
          <w:szCs w:val="24"/>
        </w:rPr>
        <w:t>.</w:t>
      </w:r>
    </w:p>
    <w:p w14:paraId="0684BC2C" w14:textId="77777777" w:rsidR="00314E9E" w:rsidRDefault="00314E9E" w:rsidP="00182AB0">
      <w:pPr>
        <w:pStyle w:val="Ttulo1"/>
        <w:ind w:left="0"/>
        <w:jc w:val="both"/>
        <w:rPr>
          <w:rFonts w:ascii="Bookman Old Style" w:hAnsi="Bookman Old Style" w:cs="Arial"/>
          <w:b w:val="0"/>
          <w:szCs w:val="24"/>
        </w:rPr>
      </w:pPr>
    </w:p>
    <w:p w14:paraId="625C9CF3" w14:textId="298024B7" w:rsidR="0082513F" w:rsidRDefault="00DC2D21" w:rsidP="00182AB0">
      <w:pPr>
        <w:ind w:left="0"/>
        <w:jc w:val="both"/>
        <w:rPr>
          <w:rFonts w:ascii="Bookman Old Style" w:hAnsi="Bookman Old Style" w:cs="Arial"/>
          <w:bCs/>
        </w:rPr>
      </w:pPr>
      <w:r>
        <w:rPr>
          <w:rFonts w:ascii="Bookman Old Style" w:hAnsi="Bookman Old Style" w:cs="Arial"/>
          <w:b/>
        </w:rPr>
        <w:t>PARÁGRAFO.</w:t>
      </w:r>
      <w:r w:rsidR="00182AB0">
        <w:rPr>
          <w:rFonts w:ascii="Bookman Old Style" w:hAnsi="Bookman Old Style" w:cs="Arial"/>
          <w:b/>
        </w:rPr>
        <w:t xml:space="preserve"> </w:t>
      </w:r>
      <w:bookmarkStart w:id="5" w:name="_Hlk51786664"/>
      <w:r w:rsidR="00266DB6">
        <w:rPr>
          <w:rFonts w:ascii="Bookman Old Style" w:hAnsi="Bookman Old Style" w:cs="Arial"/>
          <w:bCs/>
          <w:lang w:val="es-CO"/>
        </w:rPr>
        <w:t>Con base en e</w:t>
      </w:r>
      <w:r w:rsidR="00266DB6" w:rsidRPr="00FE15DA">
        <w:rPr>
          <w:rFonts w:ascii="Bookman Old Style" w:hAnsi="Bookman Old Style" w:cs="Arial"/>
          <w:bCs/>
          <w:lang w:val="es-CO"/>
        </w:rPr>
        <w:t>l</w:t>
      </w:r>
      <w:r w:rsidR="00266DB6">
        <w:rPr>
          <w:rFonts w:ascii="Bookman Old Style" w:hAnsi="Bookman Old Style" w:cs="Arial"/>
          <w:bCs/>
          <w:lang w:val="es-CO"/>
        </w:rPr>
        <w:t xml:space="preserve"> parágrafo del</w:t>
      </w:r>
      <w:r w:rsidR="00266DB6" w:rsidRPr="00FE15DA">
        <w:rPr>
          <w:rFonts w:ascii="Bookman Old Style" w:hAnsi="Bookman Old Style" w:cs="Arial"/>
          <w:bCs/>
          <w:lang w:val="es-CO"/>
        </w:rPr>
        <w:t xml:space="preserve"> artículo 2.2.9.9.</w:t>
      </w:r>
      <w:r w:rsidR="00DD06F7">
        <w:rPr>
          <w:rFonts w:ascii="Bookman Old Style" w:hAnsi="Bookman Old Style" w:cs="Arial"/>
          <w:bCs/>
          <w:lang w:val="es-CO"/>
        </w:rPr>
        <w:t>2</w:t>
      </w:r>
      <w:r w:rsidR="00DD06F7" w:rsidRPr="00FE15DA">
        <w:rPr>
          <w:rFonts w:ascii="Bookman Old Style" w:hAnsi="Bookman Old Style" w:cs="Arial"/>
          <w:bCs/>
          <w:lang w:val="es-CO"/>
        </w:rPr>
        <w:t xml:space="preserve"> </w:t>
      </w:r>
      <w:r w:rsidR="00266DB6" w:rsidRPr="00FE15DA">
        <w:rPr>
          <w:rFonts w:ascii="Bookman Old Style" w:hAnsi="Bookman Old Style" w:cs="Arial"/>
          <w:bCs/>
          <w:lang w:val="es-CO"/>
        </w:rPr>
        <w:t>del Decreto 1082 de 2015</w:t>
      </w:r>
      <w:bookmarkEnd w:id="5"/>
      <w:r w:rsidR="00266DB6">
        <w:rPr>
          <w:rFonts w:ascii="Bookman Old Style" w:hAnsi="Bookman Old Style" w:cs="Arial"/>
          <w:bCs/>
          <w:lang w:val="es-CO"/>
        </w:rPr>
        <w:t>, p</w:t>
      </w:r>
      <w:r w:rsidR="006A4C59" w:rsidRPr="006A4C59">
        <w:rPr>
          <w:rFonts w:ascii="Bookman Old Style" w:hAnsi="Bookman Old Style" w:cs="Arial"/>
          <w:bCs/>
        </w:rPr>
        <w:t>ara efectos de la liquidación y pago de la contribuci</w:t>
      </w:r>
      <w:r w:rsidR="006A4C59">
        <w:rPr>
          <w:rFonts w:ascii="Bookman Old Style" w:hAnsi="Bookman Old Style" w:cs="Arial"/>
          <w:bCs/>
        </w:rPr>
        <w:t>ón</w:t>
      </w:r>
      <w:r w:rsidR="006A4C59" w:rsidRPr="006A4C59">
        <w:rPr>
          <w:rFonts w:ascii="Bookman Old Style" w:hAnsi="Bookman Old Style" w:cs="Arial"/>
          <w:bCs/>
        </w:rPr>
        <w:t xml:space="preserve"> especial, se tendrán en cuenta los prestadores que se encuentren en proceso de liquidación, fusión, escisión, o en toma de posesión para administrar, con fines liquidatarios - etapa de administración temporal o liquidación, o en proceso de reestructuración; de conformidad con lo previsto en la Ley 550 de 1999 o en la Ley 1116 de 2006, según corresponda, o que suspendan la prestación del servicio público. </w:t>
      </w:r>
    </w:p>
    <w:p w14:paraId="1D31D191" w14:textId="77777777" w:rsidR="00C26B94" w:rsidRDefault="00C26B94" w:rsidP="00182AB0">
      <w:pPr>
        <w:ind w:left="0"/>
        <w:jc w:val="both"/>
        <w:rPr>
          <w:rFonts w:ascii="Bookman Old Style" w:hAnsi="Bookman Old Style" w:cs="Arial"/>
          <w:bCs/>
        </w:rPr>
      </w:pPr>
    </w:p>
    <w:p w14:paraId="162C001B" w14:textId="777BC5B5" w:rsidR="00266DB6" w:rsidRDefault="006A4C59" w:rsidP="00182AB0">
      <w:pPr>
        <w:ind w:left="0"/>
        <w:jc w:val="both"/>
        <w:rPr>
          <w:rFonts w:ascii="Bookman Old Style" w:hAnsi="Bookman Old Style" w:cs="Arial"/>
          <w:bCs/>
        </w:rPr>
      </w:pPr>
      <w:r w:rsidRPr="006A4C59">
        <w:rPr>
          <w:rFonts w:ascii="Bookman Old Style" w:hAnsi="Bookman Old Style" w:cs="Arial"/>
          <w:bCs/>
        </w:rPr>
        <w:lastRenderedPageBreak/>
        <w:t>En este caso, el monto de la contribución será proporcional al tiempo en que hayan prestado el servicio público objeto de regulación o inspección, vigilancia y control; para lo cual, deberán certificar la información financiera para tal fin.</w:t>
      </w:r>
      <w:r>
        <w:rPr>
          <w:rFonts w:ascii="Bookman Old Style" w:hAnsi="Bookman Old Style" w:cs="Arial"/>
          <w:bCs/>
        </w:rPr>
        <w:t xml:space="preserve"> </w:t>
      </w:r>
    </w:p>
    <w:p w14:paraId="54B95B29" w14:textId="77777777" w:rsidR="00266DB6" w:rsidRDefault="00266DB6" w:rsidP="00182AB0">
      <w:pPr>
        <w:ind w:left="0"/>
        <w:jc w:val="both"/>
        <w:rPr>
          <w:rFonts w:ascii="Bookman Old Style" w:hAnsi="Bookman Old Style" w:cs="Arial"/>
          <w:bCs/>
        </w:rPr>
      </w:pPr>
    </w:p>
    <w:p w14:paraId="654AC697" w14:textId="5FC328C8" w:rsidR="00DC2D21" w:rsidRDefault="006A4C59" w:rsidP="00182AB0">
      <w:pPr>
        <w:ind w:left="0"/>
        <w:jc w:val="both"/>
        <w:rPr>
          <w:rFonts w:ascii="Bookman Old Style" w:hAnsi="Bookman Old Style" w:cs="Arial"/>
        </w:rPr>
      </w:pPr>
      <w:r>
        <w:rPr>
          <w:rFonts w:ascii="Bookman Old Style" w:hAnsi="Bookman Old Style" w:cs="Arial"/>
        </w:rPr>
        <w:t>Por tanto</w:t>
      </w:r>
      <w:r w:rsidR="00AD7CFD">
        <w:rPr>
          <w:rFonts w:ascii="Bookman Old Style" w:hAnsi="Bookman Old Style" w:cs="Arial"/>
        </w:rPr>
        <w:t>,</w:t>
      </w:r>
      <w:r>
        <w:rPr>
          <w:rFonts w:ascii="Bookman Old Style" w:hAnsi="Bookman Old Style" w:cs="Arial"/>
        </w:rPr>
        <w:t xml:space="preserve"> </w:t>
      </w:r>
      <w:r w:rsidR="00AD7CFD">
        <w:rPr>
          <w:rFonts w:ascii="Bookman Old Style" w:hAnsi="Bookman Old Style" w:cs="Arial"/>
        </w:rPr>
        <w:t xml:space="preserve">a </w:t>
      </w:r>
      <w:r>
        <w:rPr>
          <w:rFonts w:ascii="Bookman Old Style" w:hAnsi="Bookman Old Style" w:cs="Arial"/>
        </w:rPr>
        <w:t>las empresas</w:t>
      </w:r>
      <w:r w:rsidR="00182AB0">
        <w:rPr>
          <w:rFonts w:ascii="Bookman Old Style" w:hAnsi="Bookman Old Style" w:cs="Arial"/>
        </w:rPr>
        <w:t xml:space="preserve"> que hubieren operado al menos un día durante la vigencia 20</w:t>
      </w:r>
      <w:r w:rsidR="00473C7C">
        <w:rPr>
          <w:rFonts w:ascii="Bookman Old Style" w:hAnsi="Bookman Old Style" w:cs="Arial"/>
        </w:rPr>
        <w:t>20</w:t>
      </w:r>
      <w:r w:rsidR="0030667C">
        <w:rPr>
          <w:rFonts w:ascii="Bookman Old Style" w:hAnsi="Bookman Old Style" w:cs="Arial"/>
        </w:rPr>
        <w:t>, s</w:t>
      </w:r>
      <w:r w:rsidR="00182AB0">
        <w:rPr>
          <w:rFonts w:ascii="Bookman Old Style" w:hAnsi="Bookman Old Style" w:cs="Arial"/>
        </w:rPr>
        <w:t xml:space="preserve">e </w:t>
      </w:r>
      <w:r w:rsidR="00AD7CFD">
        <w:rPr>
          <w:rFonts w:ascii="Bookman Old Style" w:hAnsi="Bookman Old Style" w:cs="Arial"/>
        </w:rPr>
        <w:t xml:space="preserve">les </w:t>
      </w:r>
      <w:r w:rsidR="00182AB0">
        <w:rPr>
          <w:rFonts w:ascii="Bookman Old Style" w:hAnsi="Bookman Old Style" w:cs="Arial"/>
        </w:rPr>
        <w:t>liquidará la contribución especial para la presente vigencia</w:t>
      </w:r>
      <w:r w:rsidR="009741FC">
        <w:rPr>
          <w:rFonts w:ascii="Bookman Old Style" w:hAnsi="Bookman Old Style" w:cs="Arial"/>
        </w:rPr>
        <w:t xml:space="preserve"> </w:t>
      </w:r>
      <w:r w:rsidR="00182AB0">
        <w:rPr>
          <w:rFonts w:ascii="Bookman Old Style" w:hAnsi="Bookman Old Style" w:cs="Arial"/>
        </w:rPr>
        <w:t xml:space="preserve"> con base en la información </w:t>
      </w:r>
      <w:r w:rsidR="001231FF">
        <w:rPr>
          <w:rFonts w:ascii="Bookman Old Style" w:hAnsi="Bookman Old Style" w:cs="Arial"/>
        </w:rPr>
        <w:t xml:space="preserve">financiera </w:t>
      </w:r>
      <w:r w:rsidR="0082409F">
        <w:rPr>
          <w:rFonts w:ascii="Bookman Old Style" w:hAnsi="Bookman Old Style" w:cs="Arial"/>
        </w:rPr>
        <w:t>de 201</w:t>
      </w:r>
      <w:r w:rsidR="00F40390">
        <w:rPr>
          <w:rFonts w:ascii="Bookman Old Style" w:hAnsi="Bookman Old Style" w:cs="Arial"/>
        </w:rPr>
        <w:t>9</w:t>
      </w:r>
      <w:r w:rsidR="0082409F">
        <w:rPr>
          <w:rFonts w:ascii="Bookman Old Style" w:hAnsi="Bookman Old Style" w:cs="Arial"/>
        </w:rPr>
        <w:t>, r</w:t>
      </w:r>
      <w:r w:rsidR="00182AB0">
        <w:rPr>
          <w:rFonts w:ascii="Bookman Old Style" w:hAnsi="Bookman Old Style" w:cs="Arial"/>
        </w:rPr>
        <w:t xml:space="preserve">eportada en el SUI </w:t>
      </w:r>
      <w:r w:rsidR="0030667C">
        <w:rPr>
          <w:rFonts w:ascii="Bookman Old Style" w:hAnsi="Bookman Old Style" w:cs="Arial"/>
        </w:rPr>
        <w:t>de la</w:t>
      </w:r>
      <w:r w:rsidR="00182AB0">
        <w:rPr>
          <w:rFonts w:ascii="Bookman Old Style" w:hAnsi="Bookman Old Style" w:cs="Arial"/>
        </w:rPr>
        <w:t xml:space="preserve"> </w:t>
      </w:r>
      <w:r w:rsidR="00DE4534">
        <w:rPr>
          <w:rFonts w:ascii="Bookman Old Style" w:hAnsi="Bookman Old Style" w:cs="Arial"/>
        </w:rPr>
        <w:t>SSPD</w:t>
      </w:r>
      <w:r w:rsidR="00361DE7">
        <w:rPr>
          <w:rFonts w:ascii="Bookman Old Style" w:hAnsi="Bookman Old Style" w:cs="Arial"/>
        </w:rPr>
        <w:t>, por lo que</w:t>
      </w:r>
      <w:r>
        <w:rPr>
          <w:rFonts w:ascii="Bookman Old Style" w:hAnsi="Bookman Old Style" w:cs="Arial"/>
        </w:rPr>
        <w:t xml:space="preserve"> éstas</w:t>
      </w:r>
      <w:r w:rsidR="00361DE7">
        <w:rPr>
          <w:rFonts w:ascii="Bookman Old Style" w:hAnsi="Bookman Old Style" w:cs="Arial"/>
        </w:rPr>
        <w:t xml:space="preserve"> </w:t>
      </w:r>
      <w:r w:rsidR="00742A9C">
        <w:rPr>
          <w:rFonts w:ascii="Bookman Old Style" w:hAnsi="Bookman Old Style" w:cs="Arial"/>
        </w:rPr>
        <w:t xml:space="preserve">empresas reguladas </w:t>
      </w:r>
      <w:r w:rsidR="00361DE7">
        <w:rPr>
          <w:rFonts w:ascii="Bookman Old Style" w:hAnsi="Bookman Old Style" w:cs="Arial"/>
        </w:rPr>
        <w:t xml:space="preserve">deben </w:t>
      </w:r>
      <w:r w:rsidR="00182AB0">
        <w:rPr>
          <w:rFonts w:ascii="Bookman Old Style" w:hAnsi="Bookman Old Style" w:cs="Arial"/>
        </w:rPr>
        <w:t>provision</w:t>
      </w:r>
      <w:r w:rsidR="00361DE7">
        <w:rPr>
          <w:rFonts w:ascii="Bookman Old Style" w:hAnsi="Bookman Old Style" w:cs="Arial"/>
        </w:rPr>
        <w:t>ar</w:t>
      </w:r>
      <w:r w:rsidR="00182AB0">
        <w:rPr>
          <w:rFonts w:ascii="Bookman Old Style" w:hAnsi="Bookman Old Style" w:cs="Arial"/>
        </w:rPr>
        <w:t xml:space="preserve"> y pagar proporcionalmente a la fracción de año que hubiere prestado el servicio público,</w:t>
      </w:r>
      <w:r w:rsidR="00DC2D21">
        <w:rPr>
          <w:rFonts w:ascii="Bookman Old Style" w:hAnsi="Bookman Old Style" w:cs="Arial"/>
        </w:rPr>
        <w:t xml:space="preserve"> de conformidad con las reglas establecidas en </w:t>
      </w:r>
      <w:r w:rsidR="00DC2D21" w:rsidRPr="00DC2D21">
        <w:rPr>
          <w:rFonts w:ascii="Bookman Old Style" w:hAnsi="Bookman Old Style" w:cs="Arial"/>
        </w:rPr>
        <w:t xml:space="preserve">el artículo 85 de </w:t>
      </w:r>
      <w:r w:rsidR="00DC2D21">
        <w:rPr>
          <w:rFonts w:ascii="Bookman Old Style" w:hAnsi="Bookman Old Style" w:cs="Arial"/>
        </w:rPr>
        <w:t>la Ley 142 de 1994,</w:t>
      </w:r>
      <w:r w:rsidR="00DC2D21" w:rsidRPr="00DC2D21">
        <w:rPr>
          <w:rFonts w:ascii="Bookman Old Style" w:hAnsi="Bookman Old Style" w:cs="Arial"/>
        </w:rPr>
        <w:t xml:space="preserve"> </w:t>
      </w:r>
      <w:r w:rsidR="00473C7C">
        <w:rPr>
          <w:rFonts w:ascii="Bookman Old Style" w:hAnsi="Bookman Old Style" w:cs="Arial"/>
        </w:rPr>
        <w:t xml:space="preserve">modificado por la Ley 1955 de 2019, </w:t>
      </w:r>
      <w:r w:rsidR="00DC2D21" w:rsidRPr="00DC2D21">
        <w:rPr>
          <w:rFonts w:ascii="Bookman Old Style" w:hAnsi="Bookman Old Style" w:cs="Arial"/>
        </w:rPr>
        <w:t>reglamentado por el Decreto 1150 de 2020</w:t>
      </w:r>
      <w:r w:rsidR="00DC2D21">
        <w:rPr>
          <w:rFonts w:ascii="Bookman Old Style" w:hAnsi="Bookman Old Style" w:cs="Arial"/>
        </w:rPr>
        <w:t xml:space="preserve"> y causados hasta la fecha de finalización de actividades.</w:t>
      </w:r>
    </w:p>
    <w:p w14:paraId="59CAF06D" w14:textId="77777777" w:rsidR="00182AB0" w:rsidRPr="000F4DE3" w:rsidRDefault="00182AB0" w:rsidP="00182AB0">
      <w:pPr>
        <w:spacing w:after="200" w:line="276" w:lineRule="auto"/>
        <w:ind w:left="0"/>
        <w:contextualSpacing/>
        <w:jc w:val="both"/>
        <w:rPr>
          <w:rFonts w:ascii="Bookman Old Style" w:hAnsi="Bookman Old Style" w:cs="Arial"/>
          <w:color w:val="000000"/>
          <w:sz w:val="28"/>
          <w:szCs w:val="28"/>
        </w:rPr>
      </w:pPr>
    </w:p>
    <w:p w14:paraId="1E317E17" w14:textId="398B3FA3" w:rsidR="00D0527D" w:rsidRDefault="00C26B94" w:rsidP="00DC2D21">
      <w:pPr>
        <w:spacing w:after="200"/>
        <w:ind w:left="0"/>
        <w:contextualSpacing/>
        <w:jc w:val="both"/>
        <w:rPr>
          <w:rFonts w:ascii="Bookman Old Style" w:hAnsi="Bookman Old Style" w:cs="Arial"/>
          <w:bCs/>
          <w:lang w:val="es-CO"/>
        </w:rPr>
      </w:pPr>
      <w:r w:rsidRPr="00DD06F7">
        <w:rPr>
          <w:rFonts w:ascii="Bookman Old Style" w:hAnsi="Bookman Old Style" w:cs="Arial"/>
          <w:b/>
          <w:color w:val="000000"/>
        </w:rPr>
        <w:t>ARTÍCULO 2</w:t>
      </w:r>
      <w:r w:rsidR="00DC2D21" w:rsidRPr="00DD06F7">
        <w:rPr>
          <w:rFonts w:ascii="Bookman Old Style" w:hAnsi="Bookman Old Style" w:cs="Arial"/>
          <w:b/>
          <w:color w:val="000000"/>
        </w:rPr>
        <w:t>.</w:t>
      </w:r>
      <w:r w:rsidR="00EC0306">
        <w:rPr>
          <w:rFonts w:ascii="Bookman Old Style" w:hAnsi="Bookman Old Style" w:cs="Arial"/>
          <w:color w:val="000000"/>
        </w:rPr>
        <w:t xml:space="preserve"> </w:t>
      </w:r>
      <w:r w:rsidR="00DD06F7" w:rsidRPr="00F84E2A">
        <w:rPr>
          <w:rFonts w:ascii="Bookman Old Style" w:hAnsi="Bookman Old Style" w:cs="Arial"/>
          <w:color w:val="000000"/>
        </w:rPr>
        <w:t>S</w:t>
      </w:r>
      <w:proofErr w:type="spellStart"/>
      <w:r w:rsidR="00DD06F7" w:rsidRPr="00DC2D21">
        <w:rPr>
          <w:rFonts w:ascii="Bookman Old Style" w:hAnsi="Bookman Old Style" w:cs="Arial"/>
          <w:bCs/>
          <w:lang w:val="es-CO"/>
        </w:rPr>
        <w:t>e</w:t>
      </w:r>
      <w:proofErr w:type="spellEnd"/>
      <w:r w:rsidR="00EC0306">
        <w:rPr>
          <w:rFonts w:ascii="Bookman Old Style" w:hAnsi="Bookman Old Style" w:cs="Arial"/>
          <w:bCs/>
          <w:lang w:val="es-CO"/>
        </w:rPr>
        <w:t xml:space="preserve"> </w:t>
      </w:r>
      <w:r w:rsidR="00DD06F7" w:rsidRPr="00DC2D21">
        <w:rPr>
          <w:rFonts w:ascii="Bookman Old Style" w:hAnsi="Bookman Old Style" w:cs="Arial"/>
          <w:bCs/>
          <w:lang w:val="es-CO"/>
        </w:rPr>
        <w:t xml:space="preserve">considerarán empresas omisas aquellas que, </w:t>
      </w:r>
      <w:r w:rsidR="00DD06F7">
        <w:rPr>
          <w:rFonts w:ascii="Bookman Old Style" w:hAnsi="Bookman Old Style" w:cs="Arial"/>
          <w:bCs/>
          <w:lang w:val="es-CO"/>
        </w:rPr>
        <w:t>al momento de expedición de la presente Resolución</w:t>
      </w:r>
      <w:r w:rsidR="00DD06F7" w:rsidRPr="00DC2D21">
        <w:rPr>
          <w:rFonts w:ascii="Bookman Old Style" w:hAnsi="Bookman Old Style" w:cs="Arial"/>
          <w:bCs/>
          <w:lang w:val="es-CO"/>
        </w:rPr>
        <w:t xml:space="preserve">, no se </w:t>
      </w:r>
      <w:r w:rsidR="003D09ED">
        <w:rPr>
          <w:rFonts w:ascii="Bookman Old Style" w:hAnsi="Bookman Old Style" w:cs="Arial"/>
          <w:bCs/>
          <w:lang w:val="es-CO"/>
        </w:rPr>
        <w:t>le</w:t>
      </w:r>
      <w:r w:rsidR="00DD06F7">
        <w:rPr>
          <w:rFonts w:ascii="Bookman Old Style" w:hAnsi="Bookman Old Style" w:cs="Arial"/>
          <w:bCs/>
          <w:lang w:val="es-CO"/>
        </w:rPr>
        <w:t xml:space="preserve"> haya liquidado </w:t>
      </w:r>
      <w:r w:rsidR="00DD06F7" w:rsidRPr="00DC2D21">
        <w:rPr>
          <w:rFonts w:ascii="Bookman Old Style" w:hAnsi="Bookman Old Style" w:cs="Arial"/>
          <w:bCs/>
          <w:lang w:val="es-CO"/>
        </w:rPr>
        <w:t>la contribución correspondiente a alguno de los últimos cinco (5) años</w:t>
      </w:r>
      <w:r w:rsidR="003D09ED">
        <w:rPr>
          <w:rFonts w:ascii="Bookman Old Style" w:hAnsi="Bookman Old Style" w:cs="Arial"/>
          <w:bCs/>
          <w:lang w:val="es-CO"/>
        </w:rPr>
        <w:t xml:space="preserve"> anteriores al 2020</w:t>
      </w:r>
      <w:r w:rsidR="00DD06F7" w:rsidRPr="00DC2D21">
        <w:rPr>
          <w:rFonts w:ascii="Bookman Old Style" w:hAnsi="Bookman Old Style" w:cs="Arial"/>
          <w:bCs/>
          <w:lang w:val="es-CO"/>
        </w:rPr>
        <w:t>, y hasta el 20</w:t>
      </w:r>
      <w:r w:rsidR="00DD06F7">
        <w:rPr>
          <w:rFonts w:ascii="Bookman Old Style" w:hAnsi="Bookman Old Style" w:cs="Arial"/>
          <w:bCs/>
          <w:lang w:val="es-CO"/>
        </w:rPr>
        <w:t>20</w:t>
      </w:r>
      <w:r w:rsidR="00DD06F7" w:rsidRPr="00DC2D21">
        <w:rPr>
          <w:rFonts w:ascii="Bookman Old Style" w:hAnsi="Bookman Old Style" w:cs="Arial"/>
          <w:bCs/>
          <w:lang w:val="es-CO"/>
        </w:rPr>
        <w:t xml:space="preserve">, debido entre otras causales, </w:t>
      </w:r>
      <w:r w:rsidR="00DD06F7">
        <w:rPr>
          <w:rFonts w:ascii="Bookman Old Style" w:hAnsi="Bookman Old Style" w:cs="Arial"/>
          <w:bCs/>
          <w:lang w:val="es-CO"/>
        </w:rPr>
        <w:t>a</w:t>
      </w:r>
      <w:r w:rsidR="00DD06F7" w:rsidRPr="00DC2D21">
        <w:rPr>
          <w:rFonts w:ascii="Bookman Old Style" w:hAnsi="Bookman Old Style" w:cs="Arial"/>
          <w:bCs/>
          <w:lang w:val="es-CO"/>
        </w:rPr>
        <w:t xml:space="preserve">l no reporte de estados financieros en el SUI de la SSPD o </w:t>
      </w:r>
      <w:r w:rsidR="00DD06F7">
        <w:rPr>
          <w:rFonts w:ascii="Bookman Old Style" w:hAnsi="Bookman Old Style" w:cs="Arial"/>
          <w:bCs/>
          <w:lang w:val="es-CO"/>
        </w:rPr>
        <w:t>a</w:t>
      </w:r>
      <w:r w:rsidR="00DD06F7" w:rsidRPr="00DC2D21">
        <w:rPr>
          <w:rFonts w:ascii="Bookman Old Style" w:hAnsi="Bookman Old Style" w:cs="Arial"/>
          <w:bCs/>
          <w:lang w:val="es-CO"/>
        </w:rPr>
        <w:t>l registro en el RUPS realizado en fecha posterior a la liquidación de la respectiva contribución de la vigencia relacionada.</w:t>
      </w:r>
    </w:p>
    <w:p w14:paraId="59E91349" w14:textId="77777777" w:rsidR="0023732E" w:rsidRDefault="0023732E" w:rsidP="00DC2D21">
      <w:pPr>
        <w:spacing w:after="200"/>
        <w:ind w:left="0"/>
        <w:contextualSpacing/>
        <w:jc w:val="both"/>
        <w:rPr>
          <w:rFonts w:ascii="Bookman Old Style" w:hAnsi="Bookman Old Style" w:cs="Arial"/>
          <w:bCs/>
          <w:lang w:val="es-CO"/>
        </w:rPr>
      </w:pPr>
    </w:p>
    <w:p w14:paraId="73C0AF54" w14:textId="67D93A11" w:rsidR="00742A9C" w:rsidRDefault="00F84E2A" w:rsidP="00DC2D21">
      <w:pPr>
        <w:spacing w:after="200"/>
        <w:ind w:left="0"/>
        <w:contextualSpacing/>
        <w:jc w:val="both"/>
        <w:rPr>
          <w:rFonts w:ascii="Bookman Old Style" w:hAnsi="Bookman Old Style" w:cs="Arial"/>
          <w:bCs/>
          <w:lang w:val="es-CO"/>
        </w:rPr>
      </w:pPr>
      <w:r w:rsidRPr="00DC2D21">
        <w:rPr>
          <w:rFonts w:ascii="Bookman Old Style" w:hAnsi="Bookman Old Style" w:cs="Arial"/>
          <w:bCs/>
          <w:lang w:val="es-CO"/>
        </w:rPr>
        <w:t>Aquellas empresas reguladas que no han reportado</w:t>
      </w:r>
      <w:r w:rsidR="000926F0">
        <w:rPr>
          <w:rFonts w:ascii="Bookman Old Style" w:hAnsi="Bookman Old Style" w:cs="Arial"/>
          <w:bCs/>
          <w:lang w:val="es-CO"/>
        </w:rPr>
        <w:t>,</w:t>
      </w:r>
      <w:r w:rsidRPr="00DC2D21">
        <w:rPr>
          <w:rFonts w:ascii="Bookman Old Style" w:hAnsi="Bookman Old Style" w:cs="Arial"/>
          <w:bCs/>
          <w:lang w:val="es-CO"/>
        </w:rPr>
        <w:t xml:space="preserve"> y que reporten posterior a la publicación de la presente resolución de contribución especial, se liquidar</w:t>
      </w:r>
      <w:r w:rsidR="000926F0">
        <w:rPr>
          <w:rFonts w:ascii="Bookman Old Style" w:hAnsi="Bookman Old Style" w:cs="Arial"/>
          <w:bCs/>
          <w:lang w:val="es-CO"/>
        </w:rPr>
        <w:t>á</w:t>
      </w:r>
      <w:r w:rsidRPr="00DC2D21">
        <w:rPr>
          <w:rFonts w:ascii="Bookman Old Style" w:hAnsi="Bookman Old Style" w:cs="Arial"/>
          <w:bCs/>
          <w:lang w:val="es-CO"/>
        </w:rPr>
        <w:t>n en las próximas vigencias al factor generado en cada año de reporte</w:t>
      </w:r>
      <w:r w:rsidR="00DC2D21" w:rsidRPr="00DC2D21">
        <w:rPr>
          <w:rFonts w:ascii="Bookman Old Style" w:hAnsi="Bookman Old Style" w:cs="Arial"/>
          <w:bCs/>
          <w:lang w:val="es-CO"/>
        </w:rPr>
        <w:t>, teniendo en cuenta la metodología para hallar la base gravable al año correspondiente de acuerdo con la normatividad aplicable para esa vigencia.</w:t>
      </w:r>
    </w:p>
    <w:p w14:paraId="2A117467" w14:textId="77777777" w:rsidR="00D0527D" w:rsidRDefault="00D0527D" w:rsidP="00DC2D21">
      <w:pPr>
        <w:spacing w:after="200"/>
        <w:ind w:left="0"/>
        <w:contextualSpacing/>
        <w:jc w:val="both"/>
        <w:rPr>
          <w:rFonts w:ascii="Bookman Old Style" w:hAnsi="Bookman Old Style" w:cs="Arial"/>
          <w:color w:val="000000"/>
        </w:rPr>
      </w:pPr>
    </w:p>
    <w:p w14:paraId="187DC8D9" w14:textId="249612C9" w:rsidR="00D0527D" w:rsidRDefault="0030667C" w:rsidP="00E8132D">
      <w:pPr>
        <w:ind w:left="0"/>
        <w:jc w:val="both"/>
        <w:rPr>
          <w:rFonts w:ascii="Bookman Old Style" w:hAnsi="Bookman Old Style" w:cs="Arial"/>
          <w:bCs/>
          <w:lang w:val="es-CO"/>
        </w:rPr>
      </w:pPr>
      <w:r w:rsidRPr="00A96759">
        <w:rPr>
          <w:rFonts w:ascii="Bookman Old Style" w:hAnsi="Bookman Old Style" w:cs="Arial"/>
          <w:b/>
        </w:rPr>
        <w:t xml:space="preserve">ARTÍCULO </w:t>
      </w:r>
      <w:r w:rsidR="00DC2D21">
        <w:rPr>
          <w:rFonts w:ascii="Bookman Old Style" w:hAnsi="Bookman Old Style" w:cs="Arial"/>
          <w:b/>
        </w:rPr>
        <w:t>3</w:t>
      </w:r>
      <w:r w:rsidRPr="00A96759">
        <w:rPr>
          <w:rFonts w:ascii="Bookman Old Style" w:hAnsi="Bookman Old Style" w:cs="Arial"/>
          <w:b/>
        </w:rPr>
        <w:t xml:space="preserve">. </w:t>
      </w:r>
      <w:r w:rsidR="00F84E2A" w:rsidRPr="00F84E2A">
        <w:rPr>
          <w:rFonts w:ascii="Bookman Old Style" w:hAnsi="Bookman Old Style" w:cs="Arial"/>
          <w:bCs/>
          <w:lang w:val="es-CO"/>
        </w:rPr>
        <w:t xml:space="preserve">La contribución especial será calculada </w:t>
      </w:r>
      <w:r w:rsidR="004148DC">
        <w:rPr>
          <w:rFonts w:ascii="Bookman Old Style" w:hAnsi="Bookman Old Style" w:cs="Arial"/>
          <w:bCs/>
          <w:lang w:val="es-CO"/>
        </w:rPr>
        <w:t xml:space="preserve">y liquidada </w:t>
      </w:r>
      <w:r w:rsidR="00E8132D">
        <w:rPr>
          <w:rFonts w:ascii="Bookman Old Style" w:hAnsi="Bookman Old Style" w:cs="Arial"/>
          <w:bCs/>
          <w:lang w:val="es-CO"/>
        </w:rPr>
        <w:t xml:space="preserve">por la CREG </w:t>
      </w:r>
      <w:r w:rsidR="00F84E2A" w:rsidRPr="00F84E2A">
        <w:rPr>
          <w:rFonts w:ascii="Bookman Old Style" w:hAnsi="Bookman Old Style" w:cs="Arial"/>
          <w:bCs/>
          <w:lang w:val="es-CO"/>
        </w:rPr>
        <w:t>a través de una liquidación oficial</w:t>
      </w:r>
      <w:r w:rsidR="00E8132D">
        <w:rPr>
          <w:rFonts w:ascii="Bookman Old Style" w:hAnsi="Bookman Old Style" w:cs="Arial"/>
          <w:bCs/>
          <w:lang w:val="es-CO"/>
        </w:rPr>
        <w:t xml:space="preserve"> </w:t>
      </w:r>
      <w:r w:rsidR="00F84E2A" w:rsidRPr="00F84E2A">
        <w:rPr>
          <w:rFonts w:ascii="Bookman Old Style" w:hAnsi="Bookman Old Style" w:cs="Arial"/>
          <w:bCs/>
          <w:lang w:val="es-CO"/>
        </w:rPr>
        <w:t>para cada uno de los regulados</w:t>
      </w:r>
      <w:r w:rsidR="00E8132D">
        <w:rPr>
          <w:rFonts w:ascii="Bookman Old Style" w:hAnsi="Bookman Old Style" w:cs="Arial"/>
          <w:bCs/>
          <w:lang w:val="es-CO"/>
        </w:rPr>
        <w:t>,</w:t>
      </w:r>
      <w:r w:rsidR="00F84E2A" w:rsidRPr="00F84E2A">
        <w:rPr>
          <w:rFonts w:ascii="Bookman Old Style" w:hAnsi="Bookman Old Style" w:cs="Arial"/>
          <w:bCs/>
          <w:lang w:val="es-CO"/>
        </w:rPr>
        <w:t xml:space="preserve"> </w:t>
      </w:r>
      <w:r w:rsidR="00F84E2A">
        <w:rPr>
          <w:rFonts w:ascii="Bookman Old Style" w:hAnsi="Bookman Old Style" w:cs="Arial"/>
          <w:bCs/>
          <w:lang w:val="es-CO"/>
        </w:rPr>
        <w:t xml:space="preserve">la cual será </w:t>
      </w:r>
      <w:r w:rsidR="00F84E2A" w:rsidRPr="00F84E2A">
        <w:rPr>
          <w:rFonts w:ascii="Bookman Old Style" w:hAnsi="Bookman Old Style" w:cs="Arial"/>
          <w:bCs/>
          <w:lang w:val="es-CO"/>
        </w:rPr>
        <w:t>notifi</w:t>
      </w:r>
      <w:r w:rsidR="00F84E2A">
        <w:rPr>
          <w:rFonts w:ascii="Bookman Old Style" w:hAnsi="Bookman Old Style" w:cs="Arial"/>
          <w:bCs/>
          <w:lang w:val="es-CO"/>
        </w:rPr>
        <w:t xml:space="preserve">cada </w:t>
      </w:r>
      <w:r w:rsidR="00DE48BB">
        <w:rPr>
          <w:rFonts w:ascii="Bookman Old Style" w:hAnsi="Bookman Old Style" w:cs="Arial"/>
          <w:bCs/>
          <w:lang w:val="es-CO"/>
        </w:rPr>
        <w:t>conforme a lo previsto en las disposiciones legales vigentes</w:t>
      </w:r>
      <w:r w:rsidR="000926F0">
        <w:rPr>
          <w:rFonts w:ascii="Bookman Old Style" w:hAnsi="Bookman Old Style" w:cs="Arial"/>
          <w:bCs/>
          <w:lang w:val="es-CO"/>
        </w:rPr>
        <w:t>,</w:t>
      </w:r>
      <w:r w:rsidR="00DE48BB">
        <w:rPr>
          <w:rFonts w:ascii="Bookman Old Style" w:hAnsi="Bookman Old Style" w:cs="Arial"/>
          <w:bCs/>
          <w:lang w:val="es-CO"/>
        </w:rPr>
        <w:t xml:space="preserve"> y contra ella procede el recurso de reposición, el cual podrá interponerse ante la Dirección </w:t>
      </w:r>
      <w:r w:rsidR="00CE3697">
        <w:rPr>
          <w:rFonts w:ascii="Bookman Old Style" w:hAnsi="Bookman Old Style" w:cs="Arial"/>
          <w:bCs/>
          <w:lang w:val="es-CO"/>
        </w:rPr>
        <w:t>E</w:t>
      </w:r>
      <w:r w:rsidR="00DE48BB">
        <w:rPr>
          <w:rFonts w:ascii="Bookman Old Style" w:hAnsi="Bookman Old Style" w:cs="Arial"/>
          <w:bCs/>
          <w:lang w:val="es-CO"/>
        </w:rPr>
        <w:t xml:space="preserve">jecutiva de la </w:t>
      </w:r>
      <w:r w:rsidR="00CE3697">
        <w:rPr>
          <w:rFonts w:ascii="Bookman Old Style" w:hAnsi="Bookman Old Style" w:cs="Arial"/>
          <w:bCs/>
          <w:lang w:val="es-CO"/>
        </w:rPr>
        <w:t>CREG</w:t>
      </w:r>
      <w:r w:rsidR="00DE48BB">
        <w:rPr>
          <w:rFonts w:ascii="Bookman Old Style" w:hAnsi="Bookman Old Style" w:cs="Arial"/>
          <w:bCs/>
          <w:lang w:val="es-CO"/>
        </w:rPr>
        <w:t>, dentro de los cinco (5) días hábiles siguientes a la diligencia de notificación.</w:t>
      </w:r>
      <w:r w:rsidR="00CE3697">
        <w:rPr>
          <w:rFonts w:ascii="Bookman Old Style" w:hAnsi="Bookman Old Style" w:cs="Arial"/>
          <w:bCs/>
          <w:lang w:val="es-CO"/>
        </w:rPr>
        <w:t xml:space="preserve"> </w:t>
      </w:r>
    </w:p>
    <w:p w14:paraId="0222F2A6" w14:textId="77777777" w:rsidR="00D0527D" w:rsidRDefault="00D0527D" w:rsidP="00E8132D">
      <w:pPr>
        <w:ind w:left="0"/>
        <w:jc w:val="both"/>
        <w:rPr>
          <w:rFonts w:ascii="Bookman Old Style" w:hAnsi="Bookman Old Style" w:cs="Arial"/>
          <w:bCs/>
          <w:lang w:val="es-CO"/>
        </w:rPr>
      </w:pPr>
    </w:p>
    <w:p w14:paraId="0BD763D9" w14:textId="17778DE0" w:rsidR="00CE3697" w:rsidRDefault="00C26B94" w:rsidP="00E8132D">
      <w:pPr>
        <w:ind w:left="0"/>
        <w:jc w:val="both"/>
        <w:rPr>
          <w:rFonts w:ascii="Bookman Old Style" w:hAnsi="Bookman Old Style" w:cs="Arial"/>
          <w:bCs/>
          <w:color w:val="FF0000"/>
          <w:lang w:val="es-CO"/>
        </w:rPr>
      </w:pPr>
      <w:r w:rsidRPr="00C26B94">
        <w:rPr>
          <w:rFonts w:ascii="Bookman Old Style" w:hAnsi="Bookman Old Style" w:cs="Arial"/>
          <w:b/>
          <w:lang w:val="es-CO"/>
        </w:rPr>
        <w:t>PARÁGRAFO.</w:t>
      </w:r>
      <w:r>
        <w:rPr>
          <w:rFonts w:ascii="Bookman Old Style" w:hAnsi="Bookman Old Style" w:cs="Arial"/>
          <w:bCs/>
          <w:lang w:val="es-CO"/>
        </w:rPr>
        <w:t xml:space="preserve"> </w:t>
      </w:r>
      <w:r w:rsidR="004148DC" w:rsidRPr="004F030C">
        <w:rPr>
          <w:rFonts w:ascii="Bookman Old Style" w:hAnsi="Bookman Old Style" w:cs="Arial"/>
          <w:bCs/>
          <w:lang w:val="es-CO"/>
        </w:rPr>
        <w:t xml:space="preserve">De acuerdo </w:t>
      </w:r>
      <w:r>
        <w:rPr>
          <w:rFonts w:ascii="Bookman Old Style" w:hAnsi="Bookman Old Style" w:cs="Arial"/>
          <w:bCs/>
          <w:lang w:val="es-CO"/>
        </w:rPr>
        <w:t>con</w:t>
      </w:r>
      <w:r w:rsidR="004148DC" w:rsidRPr="004F030C">
        <w:rPr>
          <w:rFonts w:ascii="Bookman Old Style" w:hAnsi="Bookman Old Style" w:cs="Arial"/>
          <w:bCs/>
          <w:lang w:val="es-CO"/>
        </w:rPr>
        <w:t xml:space="preserve"> lo establecido en e</w:t>
      </w:r>
      <w:r w:rsidR="00E8132D" w:rsidRPr="004F030C">
        <w:rPr>
          <w:rFonts w:ascii="Bookman Old Style" w:hAnsi="Bookman Old Style" w:cs="Arial"/>
          <w:bCs/>
          <w:lang w:val="es-CO"/>
        </w:rPr>
        <w:t>l artículo 2.2.9.9.6 del Decreto 1082 de 2015, la contribuci</w:t>
      </w:r>
      <w:r w:rsidR="00CE3697" w:rsidRPr="004F030C">
        <w:rPr>
          <w:rFonts w:ascii="Bookman Old Style" w:hAnsi="Bookman Old Style" w:cs="Arial"/>
          <w:bCs/>
          <w:lang w:val="es-CO"/>
        </w:rPr>
        <w:t>ón</w:t>
      </w:r>
      <w:r w:rsidR="00E8132D" w:rsidRPr="004F030C">
        <w:rPr>
          <w:rFonts w:ascii="Bookman Old Style" w:hAnsi="Bookman Old Style" w:cs="Arial"/>
          <w:bCs/>
          <w:lang w:val="es-CO"/>
        </w:rPr>
        <w:t xml:space="preserve"> especial deberá ser pagada dentro de los cinco (5) días hábiles siguientes a la firmeza del acto administrativo que las liquida, de conformidad con lo establecido en el artículo 87 de la Ley 1437 de 2011. </w:t>
      </w:r>
    </w:p>
    <w:p w14:paraId="5C6BCDFE" w14:textId="77777777" w:rsidR="00CE3697" w:rsidRDefault="00CE3697" w:rsidP="00E8132D">
      <w:pPr>
        <w:ind w:left="0"/>
        <w:jc w:val="both"/>
        <w:rPr>
          <w:rFonts w:ascii="Bookman Old Style" w:hAnsi="Bookman Old Style" w:cs="Arial"/>
          <w:bCs/>
          <w:color w:val="FF0000"/>
          <w:lang w:val="es-CO"/>
        </w:rPr>
      </w:pPr>
    </w:p>
    <w:p w14:paraId="405AB441" w14:textId="6A61D496" w:rsidR="00CE3697" w:rsidRDefault="00D86515" w:rsidP="00E8132D">
      <w:pPr>
        <w:ind w:left="0"/>
        <w:jc w:val="both"/>
        <w:rPr>
          <w:rFonts w:ascii="Bookman Old Style" w:hAnsi="Bookman Old Style" w:cs="Arial"/>
          <w:bCs/>
          <w:lang w:val="es-CO"/>
        </w:rPr>
      </w:pPr>
      <w:r w:rsidRPr="00DD06F7">
        <w:rPr>
          <w:rFonts w:ascii="Bookman Old Style" w:hAnsi="Bookman Old Style" w:cs="Arial"/>
          <w:b/>
          <w:bCs/>
          <w:lang w:val="es-CO"/>
        </w:rPr>
        <w:t>ARTÍCULO 4</w:t>
      </w:r>
      <w:r w:rsidR="00CE3697" w:rsidRPr="00DD06F7">
        <w:rPr>
          <w:rFonts w:ascii="Bookman Old Style" w:hAnsi="Bookman Old Style" w:cs="Arial"/>
          <w:bCs/>
          <w:lang w:val="es-CO"/>
        </w:rPr>
        <w:t xml:space="preserve">.  </w:t>
      </w:r>
      <w:r w:rsidR="0036481D" w:rsidRPr="00FF5E35">
        <w:rPr>
          <w:rFonts w:ascii="Bookman Old Style" w:hAnsi="Bookman Old Style" w:cs="Arial"/>
          <w:bCs/>
          <w:lang w:val="es-CO"/>
        </w:rPr>
        <w:t>F</w:t>
      </w:r>
      <w:r w:rsidR="00CE3697" w:rsidRPr="00DD06F7">
        <w:rPr>
          <w:rFonts w:ascii="Bookman Old Style" w:hAnsi="Bookman Old Style" w:cs="Arial"/>
          <w:bCs/>
          <w:lang w:val="es-CO"/>
        </w:rPr>
        <w:t xml:space="preserve">íjese el anticipo o primer pago de la contribución especial de la vigencia 2021 en un sesenta por ciento (60%) del valor liquidado por concepto de contribución especial del año 2020. </w:t>
      </w:r>
    </w:p>
    <w:p w14:paraId="17D5576F" w14:textId="77777777" w:rsidR="00CE3697" w:rsidRDefault="00CE3697" w:rsidP="00E8132D">
      <w:pPr>
        <w:ind w:left="0"/>
        <w:jc w:val="both"/>
        <w:rPr>
          <w:rFonts w:ascii="Bookman Old Style" w:hAnsi="Bookman Old Style" w:cs="Arial"/>
          <w:bCs/>
          <w:lang w:val="es-CO"/>
        </w:rPr>
      </w:pPr>
    </w:p>
    <w:p w14:paraId="1307254C" w14:textId="30B071FD" w:rsidR="00E8132D" w:rsidRPr="00D86515" w:rsidRDefault="00CE3697" w:rsidP="00E8132D">
      <w:pPr>
        <w:ind w:left="0"/>
        <w:jc w:val="both"/>
        <w:rPr>
          <w:rFonts w:ascii="Bookman Old Style" w:hAnsi="Bookman Old Style" w:cs="Arial"/>
          <w:bCs/>
          <w:lang w:val="es-CO"/>
        </w:rPr>
      </w:pPr>
      <w:r w:rsidRPr="0036481D">
        <w:rPr>
          <w:rFonts w:ascii="Bookman Old Style" w:hAnsi="Bookman Old Style" w:cs="Arial"/>
          <w:b/>
          <w:lang w:val="es-CO"/>
        </w:rPr>
        <w:t xml:space="preserve">PARÁGRAFO </w:t>
      </w:r>
      <w:r w:rsidR="00D86515" w:rsidRPr="0036481D">
        <w:rPr>
          <w:rFonts w:ascii="Bookman Old Style" w:hAnsi="Bookman Old Style" w:cs="Arial"/>
          <w:b/>
          <w:lang w:val="es-CO"/>
        </w:rPr>
        <w:t>1</w:t>
      </w:r>
      <w:r w:rsidRPr="0036481D">
        <w:rPr>
          <w:rFonts w:ascii="Bookman Old Style" w:hAnsi="Bookman Old Style" w:cs="Arial"/>
          <w:b/>
          <w:lang w:val="es-CO"/>
        </w:rPr>
        <w:t>.</w:t>
      </w:r>
      <w:r w:rsidRPr="0036481D">
        <w:rPr>
          <w:rFonts w:ascii="Bookman Old Style" w:hAnsi="Bookman Old Style" w:cs="Arial"/>
          <w:bCs/>
          <w:lang w:val="es-CO"/>
        </w:rPr>
        <w:t xml:space="preserve"> </w:t>
      </w:r>
      <w:r w:rsidR="00FE15DA" w:rsidRPr="0036481D">
        <w:rPr>
          <w:rFonts w:ascii="Bookman Old Style" w:hAnsi="Bookman Old Style" w:cs="Arial"/>
          <w:bCs/>
          <w:lang w:val="es-CO"/>
        </w:rPr>
        <w:t>En virtud del cuarto inciso del artículo 21 de la Ley 143 de 1994, t</w:t>
      </w:r>
      <w:r w:rsidR="00D86515" w:rsidRPr="0036481D">
        <w:rPr>
          <w:rFonts w:ascii="Bookman Old Style" w:hAnsi="Bookman Old Style" w:cs="Arial"/>
          <w:bCs/>
          <w:lang w:val="es-CO"/>
        </w:rPr>
        <w:t xml:space="preserve">anto </w:t>
      </w:r>
      <w:r w:rsidRPr="0036481D">
        <w:rPr>
          <w:rFonts w:ascii="Bookman Old Style" w:hAnsi="Bookman Old Style" w:cs="Arial"/>
          <w:bCs/>
          <w:lang w:val="es-CO"/>
        </w:rPr>
        <w:t>e</w:t>
      </w:r>
      <w:r w:rsidR="00E8132D" w:rsidRPr="0036481D">
        <w:rPr>
          <w:rFonts w:ascii="Bookman Old Style" w:hAnsi="Bookman Old Style" w:cs="Arial"/>
          <w:bCs/>
          <w:lang w:val="es-CO"/>
        </w:rPr>
        <w:t xml:space="preserve">l pago </w:t>
      </w:r>
      <w:r w:rsidR="00D86515" w:rsidRPr="0036481D">
        <w:rPr>
          <w:rFonts w:ascii="Bookman Old Style" w:hAnsi="Bookman Old Style" w:cs="Arial"/>
          <w:bCs/>
          <w:lang w:val="es-CO"/>
        </w:rPr>
        <w:t>de la contribución especial 2020 como del anticipo a la contribución especial 2021</w:t>
      </w:r>
      <w:r w:rsidR="00FE15DA" w:rsidRPr="0036481D">
        <w:rPr>
          <w:rFonts w:ascii="Bookman Old Style" w:hAnsi="Bookman Old Style" w:cs="Arial"/>
          <w:bCs/>
          <w:lang w:val="es-CO"/>
        </w:rPr>
        <w:t>,</w:t>
      </w:r>
      <w:r w:rsidR="00D86515" w:rsidRPr="0036481D">
        <w:rPr>
          <w:rFonts w:ascii="Bookman Old Style" w:hAnsi="Bookman Old Style" w:cs="Arial"/>
          <w:bCs/>
          <w:lang w:val="es-CO"/>
        </w:rPr>
        <w:t xml:space="preserve"> </w:t>
      </w:r>
      <w:r w:rsidRPr="0036481D">
        <w:rPr>
          <w:rFonts w:ascii="Bookman Old Style" w:hAnsi="Bookman Old Style" w:cs="Arial"/>
          <w:bCs/>
          <w:lang w:val="es-CO"/>
        </w:rPr>
        <w:t>se realizará</w:t>
      </w:r>
      <w:r w:rsidR="00D86515" w:rsidRPr="0036481D">
        <w:rPr>
          <w:rFonts w:ascii="Bookman Old Style" w:hAnsi="Bookman Old Style" w:cs="Arial"/>
          <w:bCs/>
          <w:lang w:val="es-CO"/>
        </w:rPr>
        <w:t>n</w:t>
      </w:r>
      <w:r w:rsidR="00E8132D" w:rsidRPr="0036481D">
        <w:rPr>
          <w:rFonts w:ascii="Bookman Old Style" w:hAnsi="Bookman Old Style" w:cs="Arial"/>
          <w:bCs/>
          <w:lang w:val="es-CO"/>
        </w:rPr>
        <w:t xml:space="preserve"> en la cuenta bancaria </w:t>
      </w:r>
      <w:r w:rsidR="00D86515" w:rsidRPr="0036481D">
        <w:rPr>
          <w:rFonts w:ascii="Bookman Old Style" w:hAnsi="Bookman Old Style" w:cs="Arial"/>
          <w:bCs/>
          <w:lang w:val="es-CO"/>
        </w:rPr>
        <w:t>de la fiducia mercantil</w:t>
      </w:r>
      <w:r w:rsidR="00FE15DA" w:rsidRPr="0036481D">
        <w:rPr>
          <w:rFonts w:ascii="Bookman Old Style" w:hAnsi="Bookman Old Style" w:cs="Arial"/>
          <w:bCs/>
          <w:lang w:val="es-CO"/>
        </w:rPr>
        <w:t xml:space="preserve"> </w:t>
      </w:r>
      <w:r w:rsidR="00D86515" w:rsidRPr="0036481D">
        <w:rPr>
          <w:rFonts w:ascii="Bookman Old Style" w:hAnsi="Bookman Old Style" w:cs="Arial"/>
          <w:bCs/>
          <w:lang w:val="es-CO"/>
        </w:rPr>
        <w:t>que</w:t>
      </w:r>
      <w:r w:rsidR="00FE15DA" w:rsidRPr="0036481D">
        <w:rPr>
          <w:rFonts w:ascii="Bookman Old Style" w:hAnsi="Bookman Old Style" w:cs="Arial"/>
          <w:bCs/>
          <w:lang w:val="es-CO"/>
        </w:rPr>
        <w:t xml:space="preserve"> </w:t>
      </w:r>
      <w:r w:rsidR="00D86515" w:rsidRPr="0036481D">
        <w:rPr>
          <w:rFonts w:ascii="Bookman Old Style" w:hAnsi="Bookman Old Style" w:cs="Arial"/>
          <w:bCs/>
          <w:lang w:val="es-CO"/>
        </w:rPr>
        <w:t>administr</w:t>
      </w:r>
      <w:r w:rsidR="00FE15DA" w:rsidRPr="0036481D">
        <w:rPr>
          <w:rFonts w:ascii="Bookman Old Style" w:hAnsi="Bookman Old Style" w:cs="Arial"/>
          <w:bCs/>
          <w:lang w:val="es-CO"/>
        </w:rPr>
        <w:t>e</w:t>
      </w:r>
      <w:r w:rsidR="00D86515" w:rsidRPr="0036481D">
        <w:rPr>
          <w:rFonts w:ascii="Bookman Old Style" w:hAnsi="Bookman Old Style" w:cs="Arial"/>
          <w:bCs/>
          <w:lang w:val="es-CO"/>
        </w:rPr>
        <w:t xml:space="preserve"> los </w:t>
      </w:r>
      <w:r w:rsidR="00DB1EA4" w:rsidRPr="0036481D">
        <w:rPr>
          <w:rFonts w:ascii="Bookman Old Style" w:hAnsi="Bookman Old Style" w:cs="Arial"/>
          <w:bCs/>
          <w:lang w:val="es-CO"/>
        </w:rPr>
        <w:t>recursos</w:t>
      </w:r>
      <w:r w:rsidR="00D86515" w:rsidRPr="0036481D">
        <w:rPr>
          <w:rFonts w:ascii="Bookman Old Style" w:hAnsi="Bookman Old Style" w:cs="Arial"/>
          <w:bCs/>
          <w:lang w:val="es-CO"/>
        </w:rPr>
        <w:t xml:space="preserve"> del fideicomiso </w:t>
      </w:r>
      <w:r w:rsidR="00FE15DA" w:rsidRPr="0036481D">
        <w:rPr>
          <w:rFonts w:ascii="Bookman Old Style" w:hAnsi="Bookman Old Style" w:cs="Arial"/>
          <w:bCs/>
          <w:lang w:val="es-CO"/>
        </w:rPr>
        <w:t xml:space="preserve">del patrimonio autónomo de la CREG, de </w:t>
      </w:r>
      <w:r w:rsidR="00D86515" w:rsidRPr="0036481D">
        <w:rPr>
          <w:rFonts w:ascii="Bookman Old Style" w:hAnsi="Bookman Old Style" w:cs="Arial"/>
          <w:bCs/>
          <w:lang w:val="es-CO"/>
        </w:rPr>
        <w:t xml:space="preserve">acuerdo </w:t>
      </w:r>
      <w:r w:rsidR="00C26B94" w:rsidRPr="0036481D">
        <w:rPr>
          <w:rFonts w:ascii="Bookman Old Style" w:hAnsi="Bookman Old Style" w:cs="Arial"/>
          <w:bCs/>
          <w:lang w:val="es-CO"/>
        </w:rPr>
        <w:t>con el</w:t>
      </w:r>
      <w:r w:rsidR="00E8132D" w:rsidRPr="0036481D">
        <w:rPr>
          <w:rFonts w:ascii="Bookman Old Style" w:hAnsi="Bookman Old Style" w:cs="Arial"/>
          <w:bCs/>
          <w:lang w:val="es-CO"/>
        </w:rPr>
        <w:t xml:space="preserve"> procedimiento descrito en la liquidación oficial</w:t>
      </w:r>
      <w:r w:rsidR="00FE15DA" w:rsidRPr="0036481D">
        <w:rPr>
          <w:rFonts w:ascii="Bookman Old Style" w:hAnsi="Bookman Old Style" w:cs="Arial"/>
          <w:bCs/>
          <w:lang w:val="es-CO"/>
        </w:rPr>
        <w:t xml:space="preserve"> </w:t>
      </w:r>
      <w:r w:rsidR="00D86515" w:rsidRPr="0036481D">
        <w:rPr>
          <w:rFonts w:ascii="Bookman Old Style" w:hAnsi="Bookman Old Style" w:cs="Arial"/>
          <w:bCs/>
          <w:lang w:val="es-CO"/>
        </w:rPr>
        <w:t>a través de la plataforma de pagos virtuales o banca electrónica.</w:t>
      </w:r>
    </w:p>
    <w:p w14:paraId="5B85EA5E" w14:textId="77777777" w:rsidR="00E8132D" w:rsidRDefault="00E8132D" w:rsidP="00D93B42">
      <w:pPr>
        <w:ind w:left="0"/>
        <w:jc w:val="both"/>
        <w:rPr>
          <w:rFonts w:ascii="Bookman Old Style" w:hAnsi="Bookman Old Style" w:cs="Arial"/>
          <w:bCs/>
          <w:color w:val="FF0000"/>
          <w:lang w:val="es-CO"/>
        </w:rPr>
      </w:pPr>
    </w:p>
    <w:p w14:paraId="18E27F9A" w14:textId="77777777" w:rsidR="00D0527D" w:rsidRDefault="00B16AC6" w:rsidP="00C4627C">
      <w:pPr>
        <w:ind w:left="0"/>
        <w:jc w:val="both"/>
        <w:rPr>
          <w:rFonts w:ascii="Bookman Old Style" w:hAnsi="Bookman Old Style" w:cs="Arial"/>
          <w:bCs/>
          <w:lang w:val="es-CO"/>
        </w:rPr>
      </w:pPr>
      <w:r w:rsidRPr="00AB5B2E">
        <w:rPr>
          <w:rFonts w:ascii="Bookman Old Style" w:hAnsi="Bookman Old Style" w:cs="Arial"/>
          <w:b/>
          <w:bCs/>
          <w:lang w:val="es-CO"/>
        </w:rPr>
        <w:lastRenderedPageBreak/>
        <w:t>PARÁGRAFO</w:t>
      </w:r>
      <w:r w:rsidR="00AB5B2E" w:rsidRPr="00AB5B2E">
        <w:rPr>
          <w:rFonts w:ascii="Bookman Old Style" w:hAnsi="Bookman Old Style" w:cs="Arial"/>
          <w:b/>
          <w:bCs/>
          <w:lang w:val="es-CO"/>
        </w:rPr>
        <w:t xml:space="preserve"> </w:t>
      </w:r>
      <w:r w:rsidR="00BD069A">
        <w:rPr>
          <w:rFonts w:ascii="Bookman Old Style" w:hAnsi="Bookman Old Style" w:cs="Arial"/>
          <w:b/>
          <w:bCs/>
          <w:lang w:val="es-CO"/>
        </w:rPr>
        <w:t>2</w:t>
      </w:r>
      <w:r w:rsidRPr="00AB5B2E">
        <w:rPr>
          <w:rFonts w:ascii="Bookman Old Style" w:hAnsi="Bookman Old Style" w:cs="Arial"/>
          <w:bCs/>
          <w:lang w:val="es-CO"/>
        </w:rPr>
        <w:t xml:space="preserve">. </w:t>
      </w:r>
      <w:r w:rsidR="00D93B42" w:rsidRPr="00AB5B2E">
        <w:rPr>
          <w:rFonts w:ascii="Bookman Old Style" w:hAnsi="Bookman Old Style" w:cs="Arial"/>
          <w:bCs/>
          <w:lang w:val="es-CO"/>
        </w:rPr>
        <w:t xml:space="preserve">Se aplicará el mismo régimen de sanción por mora </w:t>
      </w:r>
      <w:r w:rsidRPr="00AB5B2E">
        <w:rPr>
          <w:rFonts w:ascii="Bookman Old Style" w:hAnsi="Bookman Old Style" w:cs="Arial"/>
          <w:bCs/>
          <w:lang w:val="es-CO"/>
        </w:rPr>
        <w:t>determinado para e</w:t>
      </w:r>
      <w:r w:rsidR="00D93B42" w:rsidRPr="00AB5B2E">
        <w:rPr>
          <w:rFonts w:ascii="Bookman Old Style" w:hAnsi="Bookman Old Style" w:cs="Arial"/>
          <w:bCs/>
          <w:lang w:val="es-CO"/>
        </w:rPr>
        <w:t xml:space="preserve">l impuesto sobre la renta y complementarios, sin perjuicio de las demás sanciones establecidas en la </w:t>
      </w:r>
      <w:r w:rsidR="005859D7" w:rsidRPr="00AB5B2E">
        <w:rPr>
          <w:rFonts w:ascii="Bookman Old Style" w:hAnsi="Bookman Old Style" w:cs="Arial"/>
          <w:bCs/>
          <w:lang w:val="es-CO"/>
        </w:rPr>
        <w:t>normatividad vigente</w:t>
      </w:r>
      <w:r w:rsidR="00D86515">
        <w:rPr>
          <w:rFonts w:ascii="Bookman Old Style" w:hAnsi="Bookman Old Style" w:cs="Arial"/>
          <w:bCs/>
          <w:lang w:val="es-CO"/>
        </w:rPr>
        <w:t xml:space="preserve">. </w:t>
      </w:r>
      <w:bookmarkStart w:id="6" w:name="_Hlk51792755"/>
    </w:p>
    <w:p w14:paraId="4B4FEB1C" w14:textId="77777777" w:rsidR="00D0527D" w:rsidRDefault="00D0527D" w:rsidP="00C4627C">
      <w:pPr>
        <w:ind w:left="0"/>
        <w:jc w:val="both"/>
        <w:rPr>
          <w:rFonts w:ascii="Bookman Old Style" w:hAnsi="Bookman Old Style" w:cs="Arial"/>
          <w:bCs/>
          <w:lang w:val="es-CO"/>
        </w:rPr>
      </w:pPr>
    </w:p>
    <w:p w14:paraId="633EB6FD" w14:textId="7AF00D76" w:rsidR="00C4627C" w:rsidRPr="00AB5B2E" w:rsidRDefault="00C26B94" w:rsidP="00C4627C">
      <w:pPr>
        <w:ind w:left="0"/>
        <w:jc w:val="both"/>
        <w:rPr>
          <w:rFonts w:ascii="Bookman Old Style" w:hAnsi="Bookman Old Style" w:cs="Arial"/>
        </w:rPr>
      </w:pPr>
      <w:r w:rsidRPr="00C26B94">
        <w:rPr>
          <w:rFonts w:ascii="Bookman Old Style" w:hAnsi="Bookman Old Style" w:cs="Arial"/>
          <w:b/>
          <w:lang w:val="es-CO"/>
        </w:rPr>
        <w:t xml:space="preserve">PARÁGRAFO 3. </w:t>
      </w:r>
      <w:r w:rsidR="00D86515">
        <w:rPr>
          <w:rFonts w:ascii="Bookman Old Style" w:hAnsi="Bookman Old Style" w:cs="Arial"/>
          <w:bCs/>
          <w:lang w:val="es-CO"/>
        </w:rPr>
        <w:t xml:space="preserve">En virtud </w:t>
      </w:r>
      <w:r w:rsidR="00D86515" w:rsidRPr="00D86515">
        <w:rPr>
          <w:rFonts w:ascii="Bookman Old Style" w:hAnsi="Bookman Old Style" w:cs="Arial"/>
          <w:bCs/>
          <w:lang w:val="es-CO"/>
        </w:rPr>
        <w:t>del parágrafo 3º del artículo 2º de la Ley 901 de 2004, y del numeral 5º del artículo 2º de la Ley 1066 de 2006</w:t>
      </w:r>
      <w:bookmarkEnd w:id="6"/>
      <w:r w:rsidR="00D86515">
        <w:rPr>
          <w:rFonts w:ascii="Bookman Old Style" w:hAnsi="Bookman Old Style" w:cs="Arial"/>
          <w:bCs/>
          <w:lang w:val="es-CO"/>
        </w:rPr>
        <w:t>,</w:t>
      </w:r>
      <w:r w:rsidR="00AB5B2E" w:rsidRPr="00AB5B2E">
        <w:rPr>
          <w:rFonts w:ascii="Bookman Old Style" w:hAnsi="Bookman Old Style" w:cs="Arial"/>
          <w:bCs/>
          <w:lang w:val="es-CO"/>
        </w:rPr>
        <w:t xml:space="preserve"> la</w:t>
      </w:r>
      <w:r w:rsidR="00607653" w:rsidRPr="00AB5B2E">
        <w:rPr>
          <w:rFonts w:ascii="Bookman Old Style" w:hAnsi="Bookman Old Style" w:cs="Arial"/>
        </w:rPr>
        <w:t xml:space="preserve"> CREG</w:t>
      </w:r>
      <w:r w:rsidR="00C4627C" w:rsidRPr="00AB5B2E">
        <w:rPr>
          <w:rFonts w:ascii="Bookman Old Style" w:hAnsi="Bookman Old Style" w:cs="Arial"/>
        </w:rPr>
        <w:t xml:space="preserve"> </w:t>
      </w:r>
      <w:r w:rsidR="00607653" w:rsidRPr="00AB5B2E">
        <w:rPr>
          <w:rFonts w:ascii="Bookman Old Style" w:hAnsi="Bookman Old Style" w:cs="Arial"/>
        </w:rPr>
        <w:t xml:space="preserve">reportará </w:t>
      </w:r>
      <w:r w:rsidR="00C4627C" w:rsidRPr="00AB5B2E">
        <w:rPr>
          <w:rFonts w:ascii="Bookman Old Style" w:hAnsi="Bookman Old Style" w:cs="Arial"/>
        </w:rPr>
        <w:t xml:space="preserve">en el </w:t>
      </w:r>
      <w:r w:rsidR="00607653" w:rsidRPr="00AB5B2E">
        <w:rPr>
          <w:rFonts w:ascii="Bookman Old Style" w:hAnsi="Bookman Old Style" w:cs="Arial"/>
        </w:rPr>
        <w:t>Boletín de Deudores Morosos del Estado (</w:t>
      </w:r>
      <w:r w:rsidR="00C4627C" w:rsidRPr="00AB5B2E">
        <w:rPr>
          <w:rFonts w:ascii="Bookman Old Style" w:hAnsi="Bookman Old Style" w:cs="Arial"/>
        </w:rPr>
        <w:t>BDME</w:t>
      </w:r>
      <w:r w:rsidR="00607653" w:rsidRPr="00AB5B2E">
        <w:rPr>
          <w:rFonts w:ascii="Bookman Old Style" w:hAnsi="Bookman Old Style" w:cs="Arial"/>
        </w:rPr>
        <w:t xml:space="preserve">) a </w:t>
      </w:r>
      <w:r w:rsidR="00C4627C" w:rsidRPr="00AB5B2E">
        <w:rPr>
          <w:rFonts w:ascii="Bookman Old Style" w:hAnsi="Bookman Old Style" w:cs="Arial"/>
        </w:rPr>
        <w:t>aquellos regulados que presente morosidad en el pago de la contribución espe</w:t>
      </w:r>
      <w:r w:rsidR="001220F9" w:rsidRPr="00AB5B2E">
        <w:rPr>
          <w:rFonts w:ascii="Bookman Old Style" w:hAnsi="Bookman Old Style" w:cs="Arial"/>
        </w:rPr>
        <w:t xml:space="preserve">cial en las </w:t>
      </w:r>
      <w:r w:rsidR="00CE3697">
        <w:rPr>
          <w:rFonts w:ascii="Bookman Old Style" w:hAnsi="Bookman Old Style" w:cs="Arial"/>
        </w:rPr>
        <w:t xml:space="preserve">condiciones y </w:t>
      </w:r>
      <w:r w:rsidR="001220F9" w:rsidRPr="00AB5B2E">
        <w:rPr>
          <w:rFonts w:ascii="Bookman Old Style" w:hAnsi="Bookman Old Style" w:cs="Arial"/>
        </w:rPr>
        <w:t>fechas de corte establecidas para tal fin.</w:t>
      </w:r>
    </w:p>
    <w:p w14:paraId="19FA35C5" w14:textId="77777777" w:rsidR="00BD069A" w:rsidRDefault="00BD069A" w:rsidP="00182AB0">
      <w:pPr>
        <w:ind w:left="0"/>
        <w:jc w:val="both"/>
        <w:rPr>
          <w:rFonts w:ascii="Bookman Old Style" w:hAnsi="Bookman Old Style" w:cs="Arial"/>
          <w:b/>
        </w:rPr>
      </w:pPr>
    </w:p>
    <w:p w14:paraId="0C7CE281" w14:textId="58A19DC4" w:rsidR="00182AB0" w:rsidRDefault="00182AB0" w:rsidP="00182AB0">
      <w:pPr>
        <w:ind w:left="0"/>
        <w:jc w:val="both"/>
        <w:rPr>
          <w:rFonts w:ascii="Bookman Old Style" w:hAnsi="Bookman Old Style" w:cs="Arial"/>
          <w:bCs/>
        </w:rPr>
      </w:pPr>
      <w:r w:rsidRPr="00A96759">
        <w:rPr>
          <w:rFonts w:ascii="Bookman Old Style" w:hAnsi="Bookman Old Style" w:cs="Arial"/>
          <w:b/>
        </w:rPr>
        <w:t xml:space="preserve">ARTÍCULO </w:t>
      </w:r>
      <w:r w:rsidR="00D86515">
        <w:rPr>
          <w:rFonts w:ascii="Bookman Old Style" w:hAnsi="Bookman Old Style" w:cs="Arial"/>
          <w:b/>
        </w:rPr>
        <w:t>5</w:t>
      </w:r>
      <w:r w:rsidRPr="00A96759">
        <w:rPr>
          <w:rFonts w:ascii="Bookman Old Style" w:hAnsi="Bookman Old Style" w:cs="Arial"/>
          <w:b/>
        </w:rPr>
        <w:t xml:space="preserve">. </w:t>
      </w:r>
      <w:r w:rsidRPr="00A96759">
        <w:rPr>
          <w:rFonts w:ascii="Bookman Old Style" w:hAnsi="Bookman Old Style" w:cs="Arial"/>
          <w:bCs/>
        </w:rPr>
        <w:t xml:space="preserve">La presente </w:t>
      </w:r>
      <w:r>
        <w:rPr>
          <w:rFonts w:ascii="Bookman Old Style" w:hAnsi="Bookman Old Style" w:cs="Arial"/>
          <w:bCs/>
        </w:rPr>
        <w:t>r</w:t>
      </w:r>
      <w:r w:rsidRPr="00A96759">
        <w:rPr>
          <w:rFonts w:ascii="Bookman Old Style" w:hAnsi="Bookman Old Style" w:cs="Arial"/>
          <w:bCs/>
        </w:rPr>
        <w:t>esolución rige a partir de la fecha de su expedición.</w:t>
      </w:r>
    </w:p>
    <w:p w14:paraId="210A204D" w14:textId="77777777" w:rsidR="003560B7" w:rsidRDefault="003560B7" w:rsidP="00182AB0">
      <w:pPr>
        <w:ind w:left="0"/>
        <w:jc w:val="both"/>
        <w:rPr>
          <w:rFonts w:ascii="Bookman Old Style" w:hAnsi="Bookman Old Style" w:cs="Arial"/>
          <w:bCs/>
        </w:rPr>
      </w:pPr>
    </w:p>
    <w:p w14:paraId="3AC398E1" w14:textId="77777777" w:rsidR="00182AB0" w:rsidRPr="00A96759" w:rsidRDefault="00182AB0" w:rsidP="00182AB0">
      <w:pPr>
        <w:jc w:val="center"/>
        <w:rPr>
          <w:rFonts w:ascii="Bookman Old Style" w:hAnsi="Bookman Old Style"/>
          <w:lang w:eastAsia="ar-SA"/>
        </w:rPr>
      </w:pPr>
      <w:r w:rsidRPr="00A96759">
        <w:rPr>
          <w:rFonts w:ascii="Bookman Old Style" w:hAnsi="Bookman Old Style" w:cs="Arial"/>
          <w:b/>
        </w:rPr>
        <w:t>PUBLÍQUESE Y CÚMPLASE</w:t>
      </w:r>
    </w:p>
    <w:p w14:paraId="582F87CE" w14:textId="2E781E20" w:rsidR="00AF394D" w:rsidRDefault="00AF394D" w:rsidP="00182AB0">
      <w:pPr>
        <w:ind w:left="0"/>
        <w:rPr>
          <w:rFonts w:ascii="Bookman Old Style" w:hAnsi="Bookman Old Style" w:cs="Arial"/>
        </w:rPr>
      </w:pPr>
    </w:p>
    <w:p w14:paraId="51286EB1" w14:textId="6F404CA5" w:rsidR="0045758B" w:rsidRDefault="0045758B" w:rsidP="00182AB0">
      <w:pPr>
        <w:ind w:left="0"/>
        <w:rPr>
          <w:rFonts w:ascii="Bookman Old Style" w:hAnsi="Bookman Old Style" w:cs="Arial"/>
        </w:rPr>
      </w:pPr>
    </w:p>
    <w:p w14:paraId="10C947C3" w14:textId="77777777" w:rsidR="0054162D" w:rsidRDefault="0054162D" w:rsidP="00182AB0">
      <w:pPr>
        <w:ind w:left="0"/>
        <w:rPr>
          <w:rFonts w:ascii="Bookman Old Style" w:hAnsi="Bookman Old Style" w:cs="Arial"/>
        </w:rPr>
      </w:pPr>
    </w:p>
    <w:p w14:paraId="3279CFF7" w14:textId="77777777" w:rsidR="00AF394D" w:rsidRDefault="00AF394D" w:rsidP="00182AB0">
      <w:pPr>
        <w:ind w:left="0"/>
        <w:rPr>
          <w:rFonts w:ascii="Bookman Old Style" w:hAnsi="Bookman Old Style" w:cs="Arial"/>
        </w:rPr>
      </w:pPr>
    </w:p>
    <w:p w14:paraId="7EDDBF62" w14:textId="77777777" w:rsidR="00FF742A" w:rsidRDefault="00FF742A" w:rsidP="00182AB0">
      <w:pPr>
        <w:ind w:left="0"/>
        <w:rPr>
          <w:rFonts w:ascii="Bookman Old Style" w:hAnsi="Bookman Old Style" w:cs="Arial"/>
        </w:rPr>
      </w:pPr>
    </w:p>
    <w:p w14:paraId="6114BEC6" w14:textId="77777777" w:rsidR="00182AB0" w:rsidRDefault="00182AB0" w:rsidP="00182AB0">
      <w:pPr>
        <w:rPr>
          <w:rFonts w:ascii="Bookman Old Style" w:hAnsi="Bookman Old Style" w:cs="Arial"/>
        </w:rPr>
      </w:pPr>
    </w:p>
    <w:tbl>
      <w:tblPr>
        <w:tblW w:w="9498" w:type="dxa"/>
        <w:tblInd w:w="-147" w:type="dxa"/>
        <w:tblLayout w:type="fixed"/>
        <w:tblCellMar>
          <w:left w:w="0" w:type="dxa"/>
          <w:right w:w="0" w:type="dxa"/>
        </w:tblCellMar>
        <w:tblLook w:val="04A0" w:firstRow="1" w:lastRow="0" w:firstColumn="1" w:lastColumn="0" w:noHBand="0" w:noVBand="1"/>
      </w:tblPr>
      <w:tblGrid>
        <w:gridCol w:w="4825"/>
        <w:gridCol w:w="4673"/>
      </w:tblGrid>
      <w:tr w:rsidR="002E5869" w:rsidRPr="001A11B2" w14:paraId="2120CEE1" w14:textId="77777777" w:rsidTr="004D044D">
        <w:tc>
          <w:tcPr>
            <w:tcW w:w="4825" w:type="dxa"/>
            <w:hideMark/>
          </w:tcPr>
          <w:p w14:paraId="73E7973B" w14:textId="05E29DDB" w:rsidR="00227325" w:rsidRDefault="00B7316C" w:rsidP="004D4F43">
            <w:pPr>
              <w:snapToGrid w:val="0"/>
              <w:ind w:left="0"/>
              <w:jc w:val="center"/>
              <w:rPr>
                <w:rFonts w:ascii="Bookman Old Style" w:hAnsi="Bookman Old Style" w:cs="Arial"/>
                <w:b/>
                <w:bCs/>
              </w:rPr>
            </w:pPr>
            <w:r>
              <w:rPr>
                <w:rFonts w:ascii="Bookman Old Style" w:hAnsi="Bookman Old Style" w:cs="Arial"/>
                <w:b/>
                <w:bCs/>
              </w:rPr>
              <w:t>MIGUEL LOTERO ROBLEDO</w:t>
            </w:r>
          </w:p>
          <w:p w14:paraId="16A1A274" w14:textId="137A2FBD" w:rsidR="002E5869" w:rsidRPr="00B00EAD" w:rsidRDefault="002E5869" w:rsidP="004D4F43">
            <w:pPr>
              <w:snapToGrid w:val="0"/>
              <w:ind w:left="0"/>
              <w:jc w:val="center"/>
              <w:rPr>
                <w:rFonts w:ascii="Bookman Old Style" w:hAnsi="Bookman Old Style" w:cs="Arial"/>
                <w:bCs/>
              </w:rPr>
            </w:pPr>
          </w:p>
        </w:tc>
        <w:tc>
          <w:tcPr>
            <w:tcW w:w="4673" w:type="dxa"/>
            <w:hideMark/>
          </w:tcPr>
          <w:p w14:paraId="66E2AD57" w14:textId="2FEE52F4" w:rsidR="002E5869" w:rsidRPr="001A11B2" w:rsidRDefault="006F3A9D" w:rsidP="00316C3E">
            <w:pPr>
              <w:snapToGrid w:val="0"/>
              <w:ind w:left="141"/>
              <w:jc w:val="center"/>
              <w:rPr>
                <w:rFonts w:ascii="Bookman Old Style" w:hAnsi="Bookman Old Style" w:cs="Arial"/>
                <w:b/>
                <w:bCs/>
              </w:rPr>
            </w:pPr>
            <w:r>
              <w:rPr>
                <w:rFonts w:ascii="Bookman Old Style" w:hAnsi="Bookman Old Style" w:cs="Arial"/>
                <w:b/>
                <w:bCs/>
              </w:rPr>
              <w:t>JORGE ALBERTO VALENCIA MARÍN</w:t>
            </w:r>
          </w:p>
        </w:tc>
      </w:tr>
      <w:tr w:rsidR="002E5869" w:rsidRPr="001A11B2" w14:paraId="2DAF118C" w14:textId="77777777" w:rsidTr="004D044D">
        <w:tc>
          <w:tcPr>
            <w:tcW w:w="4825" w:type="dxa"/>
            <w:hideMark/>
          </w:tcPr>
          <w:p w14:paraId="02AD5347" w14:textId="6C4DF76E" w:rsidR="002E5869" w:rsidRDefault="00B7316C" w:rsidP="004D4F43">
            <w:pPr>
              <w:snapToGrid w:val="0"/>
              <w:ind w:left="0"/>
              <w:jc w:val="center"/>
              <w:rPr>
                <w:rFonts w:ascii="Bookman Old Style" w:hAnsi="Bookman Old Style" w:cs="Arial"/>
              </w:rPr>
            </w:pPr>
            <w:r>
              <w:rPr>
                <w:rFonts w:ascii="Bookman Old Style" w:hAnsi="Bookman Old Style" w:cs="Arial"/>
              </w:rPr>
              <w:t xml:space="preserve">Viceministro de Energía, delegado del </w:t>
            </w:r>
            <w:proofErr w:type="gramStart"/>
            <w:r w:rsidR="002E5869" w:rsidRPr="001A11B2">
              <w:rPr>
                <w:rFonts w:ascii="Bookman Old Style" w:hAnsi="Bookman Old Style" w:cs="Arial"/>
              </w:rPr>
              <w:t>Ministr</w:t>
            </w:r>
            <w:r w:rsidR="006F3A9D">
              <w:rPr>
                <w:rFonts w:ascii="Bookman Old Style" w:hAnsi="Bookman Old Style" w:cs="Arial"/>
              </w:rPr>
              <w:t>o</w:t>
            </w:r>
            <w:proofErr w:type="gramEnd"/>
            <w:r w:rsidR="002E5869" w:rsidRPr="001A11B2">
              <w:rPr>
                <w:rFonts w:ascii="Bookman Old Style" w:hAnsi="Bookman Old Style" w:cs="Arial"/>
              </w:rPr>
              <w:t xml:space="preserve"> de Minas y Energía</w:t>
            </w:r>
          </w:p>
          <w:p w14:paraId="061A1E5E" w14:textId="5088DAF6" w:rsidR="00B7316C" w:rsidRPr="001A11B2" w:rsidRDefault="00B7316C" w:rsidP="004D4F43">
            <w:pPr>
              <w:snapToGrid w:val="0"/>
              <w:ind w:left="0"/>
              <w:jc w:val="center"/>
              <w:rPr>
                <w:rFonts w:ascii="Bookman Old Style" w:hAnsi="Bookman Old Style" w:cs="Arial"/>
              </w:rPr>
            </w:pPr>
            <w:r>
              <w:rPr>
                <w:rFonts w:ascii="Bookman Old Style" w:hAnsi="Bookman Old Style" w:cs="Arial"/>
              </w:rPr>
              <w:t>Presidente</w:t>
            </w:r>
          </w:p>
          <w:p w14:paraId="4E606D7C" w14:textId="77777777" w:rsidR="002E5869" w:rsidRPr="001A11B2" w:rsidRDefault="002E5869" w:rsidP="004D4F43">
            <w:pPr>
              <w:snapToGrid w:val="0"/>
              <w:ind w:left="0"/>
              <w:jc w:val="center"/>
              <w:rPr>
                <w:rFonts w:ascii="Bookman Old Style" w:hAnsi="Bookman Old Style" w:cs="Arial"/>
              </w:rPr>
            </w:pPr>
          </w:p>
        </w:tc>
        <w:tc>
          <w:tcPr>
            <w:tcW w:w="4673" w:type="dxa"/>
            <w:hideMark/>
          </w:tcPr>
          <w:p w14:paraId="64550BB5" w14:textId="77777777" w:rsidR="002E5869" w:rsidRPr="001A11B2" w:rsidRDefault="002E5869" w:rsidP="00316C3E">
            <w:pPr>
              <w:snapToGrid w:val="0"/>
              <w:ind w:left="0"/>
              <w:jc w:val="center"/>
              <w:rPr>
                <w:rFonts w:ascii="Bookman Old Style" w:hAnsi="Bookman Old Style" w:cs="Arial"/>
              </w:rPr>
            </w:pPr>
            <w:r w:rsidRPr="001A11B2">
              <w:rPr>
                <w:rFonts w:ascii="Bookman Old Style" w:hAnsi="Bookman Old Style" w:cs="Arial"/>
              </w:rPr>
              <w:t>Director Ejecutivo</w:t>
            </w:r>
          </w:p>
        </w:tc>
      </w:tr>
    </w:tbl>
    <w:p w14:paraId="726DB0FC" w14:textId="65FB2D62" w:rsidR="003344CF" w:rsidRDefault="003344CF" w:rsidP="00FF742A">
      <w:pPr>
        <w:ind w:left="0"/>
        <w:rPr>
          <w:rFonts w:ascii="Bookman Old Style" w:hAnsi="Bookman Old Style" w:cs="Arial"/>
        </w:rPr>
      </w:pPr>
    </w:p>
    <w:p w14:paraId="7008F6D2" w14:textId="22F1B78C" w:rsidR="0054162D" w:rsidRDefault="0054162D" w:rsidP="00FF742A">
      <w:pPr>
        <w:ind w:left="0"/>
        <w:rPr>
          <w:rFonts w:ascii="Bookman Old Style" w:hAnsi="Bookman Old Style" w:cs="Arial"/>
        </w:rPr>
      </w:pPr>
    </w:p>
    <w:p w14:paraId="2E1B4702" w14:textId="677FE6B3" w:rsidR="0054162D" w:rsidRDefault="0054162D" w:rsidP="00FF742A">
      <w:pPr>
        <w:ind w:left="0"/>
        <w:rPr>
          <w:rFonts w:ascii="Bookman Old Style" w:hAnsi="Bookman Old Style" w:cs="Arial"/>
        </w:rPr>
      </w:pPr>
    </w:p>
    <w:p w14:paraId="30C24C1A" w14:textId="28EE4A94" w:rsidR="0054162D" w:rsidRDefault="0054162D" w:rsidP="00FF742A">
      <w:pPr>
        <w:ind w:left="0"/>
        <w:rPr>
          <w:rFonts w:ascii="Bookman Old Style" w:hAnsi="Bookman Old Style" w:cs="Arial"/>
        </w:rPr>
      </w:pPr>
    </w:p>
    <w:p w14:paraId="58AFCE08" w14:textId="6B7FE092" w:rsidR="0054162D" w:rsidRDefault="0054162D" w:rsidP="00FF742A">
      <w:pPr>
        <w:ind w:left="0"/>
        <w:rPr>
          <w:rFonts w:ascii="Bookman Old Style" w:hAnsi="Bookman Old Style" w:cs="Arial"/>
        </w:rPr>
      </w:pPr>
    </w:p>
    <w:p w14:paraId="23D72ED0" w14:textId="77777777" w:rsidR="0054162D" w:rsidRDefault="0054162D" w:rsidP="00FF742A">
      <w:pPr>
        <w:ind w:left="0"/>
        <w:rPr>
          <w:rFonts w:ascii="Bookman Old Style" w:hAnsi="Bookman Old Style" w:cs="Arial"/>
        </w:rPr>
      </w:pPr>
    </w:p>
    <w:p w14:paraId="7250F5C9" w14:textId="26F21549" w:rsidR="0054162D" w:rsidRDefault="0054162D" w:rsidP="00FF742A">
      <w:pPr>
        <w:ind w:left="0"/>
        <w:rPr>
          <w:rFonts w:ascii="Bookman Old Style" w:hAnsi="Bookman Old Style" w:cs="Arial"/>
        </w:rPr>
      </w:pPr>
    </w:p>
    <w:p w14:paraId="3F079615" w14:textId="77777777" w:rsidR="0054162D" w:rsidRDefault="0054162D" w:rsidP="0054162D">
      <w:pPr>
        <w:autoSpaceDE w:val="0"/>
        <w:autoSpaceDN w:val="0"/>
        <w:adjustRightInd w:val="0"/>
        <w:ind w:left="0"/>
        <w:rPr>
          <w:rFonts w:ascii="CIDFont+F1" w:eastAsiaTheme="minorHAnsi" w:hAnsi="CIDFont+F1" w:cs="CIDFont+F1"/>
          <w:sz w:val="14"/>
          <w:szCs w:val="14"/>
          <w:lang w:val="es-CO" w:eastAsia="en-US"/>
        </w:rPr>
      </w:pPr>
      <w:r>
        <w:rPr>
          <w:rFonts w:ascii="CIDFont+F1" w:eastAsiaTheme="minorHAnsi" w:hAnsi="CIDFont+F1" w:cs="CIDFont+F1"/>
          <w:sz w:val="14"/>
          <w:szCs w:val="14"/>
          <w:lang w:val="es-CO" w:eastAsia="en-US"/>
        </w:rPr>
        <w:t>COMISIÓN DE REGULACIÓN DE ENERGÍA Y GAS (CREG)</w:t>
      </w:r>
    </w:p>
    <w:p w14:paraId="211573CE" w14:textId="77777777" w:rsidR="0054162D" w:rsidRDefault="0054162D" w:rsidP="0054162D">
      <w:pPr>
        <w:autoSpaceDE w:val="0"/>
        <w:autoSpaceDN w:val="0"/>
        <w:adjustRightInd w:val="0"/>
        <w:ind w:left="0"/>
        <w:rPr>
          <w:rFonts w:ascii="CIDFont+F2" w:eastAsiaTheme="minorHAnsi" w:hAnsi="CIDFont+F2" w:cs="CIDFont+F2"/>
          <w:sz w:val="14"/>
          <w:szCs w:val="14"/>
          <w:lang w:val="es-CO" w:eastAsia="en-US"/>
        </w:rPr>
      </w:pPr>
      <w:r>
        <w:rPr>
          <w:rFonts w:ascii="CIDFont+F2" w:eastAsiaTheme="minorHAnsi" w:hAnsi="CIDFont+F2" w:cs="CIDFont+F2"/>
          <w:sz w:val="14"/>
          <w:szCs w:val="14"/>
          <w:lang w:val="es-CO" w:eastAsia="en-US"/>
        </w:rPr>
        <w:t>24/12/2020 00:35:24</w:t>
      </w:r>
    </w:p>
    <w:p w14:paraId="4F0866F3" w14:textId="77777777" w:rsidR="0054162D" w:rsidRDefault="0054162D" w:rsidP="0054162D">
      <w:pPr>
        <w:autoSpaceDE w:val="0"/>
        <w:autoSpaceDN w:val="0"/>
        <w:adjustRightInd w:val="0"/>
        <w:ind w:left="0"/>
        <w:rPr>
          <w:rFonts w:ascii="CIDFont+F2" w:eastAsiaTheme="minorHAnsi" w:hAnsi="CIDFont+F2" w:cs="CIDFont+F2"/>
          <w:sz w:val="20"/>
          <w:szCs w:val="20"/>
          <w:lang w:val="es-CO" w:eastAsia="en-US"/>
        </w:rPr>
      </w:pPr>
      <w:proofErr w:type="spellStart"/>
      <w:proofErr w:type="gramStart"/>
      <w:r>
        <w:rPr>
          <w:rFonts w:ascii="CIDFont+F1" w:eastAsiaTheme="minorHAnsi" w:hAnsi="CIDFont+F1" w:cs="CIDFont+F1"/>
          <w:sz w:val="16"/>
          <w:szCs w:val="16"/>
          <w:lang w:val="es-CO" w:eastAsia="en-US"/>
        </w:rPr>
        <w:t>No.RADICACION</w:t>
      </w:r>
      <w:proofErr w:type="spellEnd"/>
      <w:proofErr w:type="gramEnd"/>
      <w:r>
        <w:rPr>
          <w:rFonts w:ascii="CIDFont+F1" w:eastAsiaTheme="minorHAnsi" w:hAnsi="CIDFont+F1" w:cs="CIDFont+F1"/>
          <w:sz w:val="16"/>
          <w:szCs w:val="16"/>
          <w:lang w:val="es-CO" w:eastAsia="en-US"/>
        </w:rPr>
        <w:t xml:space="preserve"> </w:t>
      </w:r>
      <w:r>
        <w:rPr>
          <w:rFonts w:ascii="CIDFont+F2" w:eastAsiaTheme="minorHAnsi" w:hAnsi="CIDFont+F2" w:cs="CIDFont+F2"/>
          <w:sz w:val="20"/>
          <w:szCs w:val="20"/>
          <w:lang w:val="es-CO" w:eastAsia="en-US"/>
        </w:rPr>
        <w:t>I-2020-005174</w:t>
      </w:r>
    </w:p>
    <w:p w14:paraId="10624C33" w14:textId="77777777" w:rsidR="0054162D" w:rsidRDefault="0054162D" w:rsidP="0054162D">
      <w:pPr>
        <w:autoSpaceDE w:val="0"/>
        <w:autoSpaceDN w:val="0"/>
        <w:adjustRightInd w:val="0"/>
        <w:ind w:left="0"/>
        <w:rPr>
          <w:rFonts w:ascii="CIDFont+F2" w:eastAsiaTheme="minorHAnsi" w:hAnsi="CIDFont+F2" w:cs="CIDFont+F2"/>
          <w:sz w:val="16"/>
          <w:szCs w:val="16"/>
          <w:lang w:val="es-CO" w:eastAsia="en-US"/>
        </w:rPr>
      </w:pPr>
      <w:r>
        <w:rPr>
          <w:rFonts w:ascii="CIDFont+F1" w:eastAsiaTheme="minorHAnsi" w:hAnsi="CIDFont+F1" w:cs="CIDFont+F1"/>
          <w:sz w:val="16"/>
          <w:szCs w:val="16"/>
          <w:lang w:val="es-CO" w:eastAsia="en-US"/>
        </w:rPr>
        <w:t xml:space="preserve">No. FOLIOS </w:t>
      </w:r>
      <w:r>
        <w:rPr>
          <w:rFonts w:ascii="CIDFont+F2" w:eastAsiaTheme="minorHAnsi" w:hAnsi="CIDFont+F2" w:cs="CIDFont+F2"/>
          <w:sz w:val="16"/>
          <w:szCs w:val="16"/>
          <w:lang w:val="es-CO" w:eastAsia="en-US"/>
        </w:rPr>
        <w:t xml:space="preserve">8 </w:t>
      </w:r>
      <w:r>
        <w:rPr>
          <w:rFonts w:ascii="CIDFont+F1" w:eastAsiaTheme="minorHAnsi" w:hAnsi="CIDFont+F1" w:cs="CIDFont+F1"/>
          <w:sz w:val="16"/>
          <w:szCs w:val="16"/>
          <w:lang w:val="es-CO" w:eastAsia="en-US"/>
        </w:rPr>
        <w:t xml:space="preserve">ANEXOS </w:t>
      </w:r>
      <w:r>
        <w:rPr>
          <w:rFonts w:ascii="CIDFont+F2" w:eastAsiaTheme="minorHAnsi" w:hAnsi="CIDFont+F2" w:cs="CIDFont+F2"/>
          <w:sz w:val="16"/>
          <w:szCs w:val="16"/>
          <w:lang w:val="es-CO" w:eastAsia="en-US"/>
        </w:rPr>
        <w:t>SI</w:t>
      </w:r>
    </w:p>
    <w:p w14:paraId="30274F56" w14:textId="261204CA" w:rsidR="0054162D" w:rsidRDefault="0054162D" w:rsidP="0054162D">
      <w:pPr>
        <w:ind w:left="0"/>
        <w:rPr>
          <w:rFonts w:ascii="Bookman Old Style" w:hAnsi="Bookman Old Style" w:cs="Arial"/>
        </w:rPr>
      </w:pPr>
      <w:r>
        <w:rPr>
          <w:rFonts w:ascii="CIDFont+F2" w:eastAsiaTheme="minorHAnsi" w:hAnsi="CIDFont+F2" w:cs="CIDFont+F2"/>
          <w:sz w:val="14"/>
          <w:szCs w:val="14"/>
          <w:lang w:val="es-CO" w:eastAsia="en-US"/>
        </w:rPr>
        <w:t>Para Respuesta o Adicionales Cite No. de Radicación</w:t>
      </w:r>
    </w:p>
    <w:sectPr w:rsidR="0054162D" w:rsidSect="004D4F43">
      <w:headerReference w:type="default" r:id="rId10"/>
      <w:headerReference w:type="first" r:id="rId11"/>
      <w:pgSz w:w="12242" w:h="18722" w:code="259"/>
      <w:pgMar w:top="2448" w:right="1181" w:bottom="1757"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23AA4" w14:textId="77777777" w:rsidR="002D4EB4" w:rsidRDefault="002D4EB4" w:rsidP="00182AB0">
      <w:r>
        <w:separator/>
      </w:r>
    </w:p>
  </w:endnote>
  <w:endnote w:type="continuationSeparator" w:id="0">
    <w:p w14:paraId="30A3122E" w14:textId="77777777" w:rsidR="002D4EB4" w:rsidRDefault="002D4EB4" w:rsidP="0018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D90B" w14:textId="77777777" w:rsidR="002D4EB4" w:rsidRDefault="002D4EB4" w:rsidP="00182AB0">
      <w:r>
        <w:separator/>
      </w:r>
    </w:p>
  </w:footnote>
  <w:footnote w:type="continuationSeparator" w:id="0">
    <w:p w14:paraId="6F46A051" w14:textId="77777777" w:rsidR="002D4EB4" w:rsidRDefault="002D4EB4" w:rsidP="00182AB0">
      <w:r>
        <w:continuationSeparator/>
      </w:r>
    </w:p>
  </w:footnote>
  <w:footnote w:id="1">
    <w:p w14:paraId="7F20C73B"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2">
    <w:p w14:paraId="278817B3"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del cual se expide el Decreto Único Reglamentario – DUR de las Normas de Contabilidad, de Información Financiera y Aseguramiento de la Información y se dictan otras disposiciones.</w:t>
      </w:r>
    </w:p>
  </w:footnote>
  <w:footnote w:id="3">
    <w:p w14:paraId="2B01EBD8"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4">
    <w:p w14:paraId="03C191B1"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para algunas empresas sujetas a su ámbito y se dictan otras disposiciones.</w:t>
      </w:r>
    </w:p>
  </w:footnote>
  <w:footnote w:id="5">
    <w:p w14:paraId="33FEED12"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a entidades de gobierno y se dictan otras disposiciones.</w:t>
      </w:r>
    </w:p>
  </w:footnote>
  <w:footnote w:id="6">
    <w:p w14:paraId="55D9A71A"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 el marco normativo para empresas que coticen en el Mercado de Valores o que capten o administren ahorro del público.</w:t>
      </w:r>
    </w:p>
  </w:footnote>
  <w:footnote w:id="7">
    <w:p w14:paraId="19EC68F0" w14:textId="77777777" w:rsidR="00874660" w:rsidRPr="00C75D50" w:rsidRDefault="00874660" w:rsidP="00C75D50">
      <w:pPr>
        <w:pStyle w:val="Textonotapie"/>
        <w:ind w:left="0"/>
        <w:jc w:val="both"/>
        <w:rPr>
          <w:sz w:val="18"/>
          <w:szCs w:val="18"/>
          <w:lang w:val="es-CO"/>
        </w:rPr>
      </w:pPr>
      <w:r w:rsidRPr="00C75D50">
        <w:rPr>
          <w:rStyle w:val="Refdenotaalpie"/>
          <w:rFonts w:ascii="Bookman Old Style" w:hAnsi="Bookman Old Style"/>
          <w:sz w:val="18"/>
          <w:szCs w:val="18"/>
        </w:rPr>
        <w:footnoteRef/>
      </w:r>
      <w:r w:rsidRPr="00C75D50">
        <w:rPr>
          <w:rFonts w:ascii="Bookman Old Style" w:hAnsi="Bookman Old Style"/>
          <w:sz w:val="18"/>
          <w:szCs w:val="18"/>
          <w:lang w:val="es-CO"/>
        </w:rPr>
        <w:t xml:space="preserve"> Siglas de la expresión: Extensible Business Reporting Language, desarrollado para simplificar la automatización del intercambio con la estandarización de la información financiera a reportar mediante la definición de taxonomías basadas en XML.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DFF2" w14:textId="77777777" w:rsidR="00874660" w:rsidRDefault="00874660" w:rsidP="004D4F43">
    <w:pPr>
      <w:pStyle w:val="Ttulo1"/>
      <w:ind w:right="6"/>
      <w:jc w:val="left"/>
      <w:rPr>
        <w:rFonts w:ascii="Bookman Old Style" w:hAnsi="Bookman Old Style" w:cs="Arial"/>
        <w:b w:val="0"/>
        <w:sz w:val="22"/>
        <w:szCs w:val="22"/>
      </w:rPr>
    </w:pPr>
  </w:p>
  <w:p w14:paraId="45D7F91E" w14:textId="15303D28" w:rsidR="00874660" w:rsidRPr="00951F79" w:rsidRDefault="00874660" w:rsidP="004D4F4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917385">
      <w:rPr>
        <w:rFonts w:ascii="Bookman Old Style" w:hAnsi="Bookman Old Style" w:cs="Arial"/>
        <w:bCs/>
        <w:szCs w:val="24"/>
        <w:u w:val="single"/>
      </w:rPr>
      <w:t xml:space="preserve">   </w:t>
    </w:r>
    <w:proofErr w:type="gramEnd"/>
    <w:r w:rsidR="00917385">
      <w:rPr>
        <w:rFonts w:ascii="Bookman Old Style" w:hAnsi="Bookman Old Style" w:cs="Arial"/>
        <w:bCs/>
        <w:szCs w:val="24"/>
        <w:u w:val="single"/>
      </w:rPr>
      <w:t xml:space="preserve">   </w:t>
    </w:r>
    <w:r w:rsidR="00EA44D0">
      <w:rPr>
        <w:rFonts w:ascii="Bookman Old Style" w:hAnsi="Bookman Old Style" w:cs="Arial"/>
        <w:bCs/>
        <w:szCs w:val="24"/>
        <w:u w:val="single"/>
      </w:rPr>
      <w:t>235</w:t>
    </w:r>
    <w:r w:rsidR="00917385">
      <w:rPr>
        <w:rFonts w:ascii="Bookman Old Style" w:hAnsi="Bookman Old Style" w:cs="Arial"/>
        <w:bCs/>
        <w:szCs w:val="24"/>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917385">
      <w:rPr>
        <w:rFonts w:ascii="Bookman Old Style" w:hAnsi="Bookman Old Style" w:cs="Arial"/>
        <w:bCs/>
        <w:sz w:val="22"/>
        <w:szCs w:val="22"/>
        <w:u w:val="single"/>
      </w:rPr>
      <w:t xml:space="preserve">    </w:t>
    </w:r>
    <w:r w:rsidR="00EA44D0">
      <w:rPr>
        <w:rFonts w:ascii="Bookman Old Style" w:hAnsi="Bookman Old Style" w:cs="Arial"/>
        <w:bCs/>
        <w:sz w:val="22"/>
        <w:szCs w:val="22"/>
        <w:u w:val="single"/>
      </w:rPr>
      <w:t>23 DIC.  2020</w:t>
    </w:r>
    <w:r w:rsidR="00917385">
      <w:rPr>
        <w:rFonts w:ascii="Bookman Old Style" w:hAnsi="Bookman Old Style" w:cs="Arial"/>
        <w:bCs/>
        <w:sz w:val="22"/>
        <w:szCs w:val="22"/>
        <w:u w:val="single"/>
      </w:rPr>
      <w:t xml:space="preserve">      </w:t>
    </w:r>
    <w:r w:rsidR="00AC5ED2">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BA5660">
        <w:rPr>
          <w:rFonts w:ascii="Bookman Old Style" w:hAnsi="Bookman Old Style" w:cs="Arial"/>
          <w:b w:val="0"/>
          <w:noProof/>
          <w:sz w:val="22"/>
          <w:szCs w:val="22"/>
        </w:rPr>
        <w:t>13</w:t>
      </w:r>
    </w:fldSimple>
  </w:p>
  <w:p w14:paraId="097CC234" w14:textId="77777777" w:rsidR="00874660" w:rsidRDefault="00874660" w:rsidP="004D4F43">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880B7FD" wp14:editId="1D1F365C">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18B0"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14:paraId="4C46BC20" w14:textId="5154C065" w:rsidR="00AC5ED2" w:rsidRPr="00917385" w:rsidRDefault="00917385" w:rsidP="00AC5ED2">
    <w:pPr>
      <w:ind w:left="0"/>
      <w:jc w:val="both"/>
      <w:rPr>
        <w:rFonts w:ascii="Bookman Old Style" w:hAnsi="Bookman Old Style" w:cs="Arial"/>
        <w:sz w:val="20"/>
        <w:szCs w:val="20"/>
      </w:rPr>
    </w:pPr>
    <w:r w:rsidRPr="00917385">
      <w:rPr>
        <w:rFonts w:ascii="Bookman Old Style" w:hAnsi="Bookman Old Style" w:cs="Arial"/>
        <w:sz w:val="20"/>
        <w:szCs w:val="20"/>
      </w:rPr>
      <w:t>Por</w:t>
    </w:r>
    <w:r w:rsidR="00AC5ED2" w:rsidRPr="00917385">
      <w:rPr>
        <w:rFonts w:ascii="Bookman Old Style" w:hAnsi="Bookman Old Style" w:cs="Arial"/>
        <w:sz w:val="20"/>
        <w:szCs w:val="20"/>
      </w:rPr>
      <w:t xml:space="preserve"> la cual se señala el porcentaje de la contribución especial que deben pagar las personas prestadoras del servicio de energía eléctrica, gas natural y gas licuado de petróleo (GLP), sometidas a la regulación de la Comisión de Regulación de Energía y Gas en el año 2020 y se dictan otras disposiciones</w:t>
    </w:r>
  </w:p>
  <w:p w14:paraId="475DEC1B" w14:textId="77777777" w:rsidR="00874660" w:rsidRDefault="00874660" w:rsidP="00E36C0E">
    <w:pPr>
      <w:ind w:left="0"/>
      <w:jc w:val="both"/>
      <w:rPr>
        <w:rFonts w:ascii="Bookman Old Style" w:hAnsi="Bookman Old Style" w:cs="Arial"/>
        <w:sz w:val="22"/>
        <w:szCs w:val="22"/>
      </w:rPr>
    </w:pPr>
    <w:r>
      <w:rPr>
        <w:rFonts w:ascii="Bookman Old Style" w:hAnsi="Bookman Old Style" w:cs="Arial"/>
        <w:noProof/>
        <w:sz w:val="22"/>
        <w:szCs w:val="22"/>
        <w:lang w:val="es-CO" w:eastAsia="es-CO"/>
      </w:rPr>
      <mc:AlternateContent>
        <mc:Choice Requires="wps">
          <w:drawing>
            <wp:anchor distT="0" distB="0" distL="114300" distR="114300" simplePos="0" relativeHeight="251661312" behindDoc="0" locked="0" layoutInCell="1" allowOverlap="1" wp14:anchorId="51752BE8" wp14:editId="17223DDF">
              <wp:simplePos x="0" y="0"/>
              <wp:positionH relativeFrom="margin">
                <wp:align>center</wp:align>
              </wp:positionH>
              <wp:positionV relativeFrom="paragraph">
                <wp:posOffset>77173</wp:posOffset>
              </wp:positionV>
              <wp:extent cx="5998779" cy="0"/>
              <wp:effectExtent l="0" t="0" r="21590" b="19050"/>
              <wp:wrapNone/>
              <wp:docPr id="4" name="Conector recto 4"/>
              <wp:cNvGraphicFramePr/>
              <a:graphic xmlns:a="http://schemas.openxmlformats.org/drawingml/2006/main">
                <a:graphicData uri="http://schemas.microsoft.com/office/word/2010/wordprocessingShape">
                  <wps:wsp>
                    <wps:cNvCnPr/>
                    <wps:spPr>
                      <a:xfrm>
                        <a:off x="0" y="0"/>
                        <a:ext cx="59987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74020" id="Conector recto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1pt" to="472.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" strokecolor="black [3213]">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DC22C" w14:textId="77777777" w:rsidR="00874660" w:rsidRDefault="00874660" w:rsidP="004D4F43">
    <w:pPr>
      <w:pStyle w:val="Encabezado"/>
      <w:jc w:val="both"/>
      <w:rPr>
        <w:rFonts w:ascii="Arial" w:hAnsi="Arial" w:cs="Arial"/>
        <w:spacing w:val="20"/>
        <w:sz w:val="20"/>
      </w:rPr>
    </w:pPr>
    <w:r>
      <w:rPr>
        <w:rFonts w:ascii="Arial" w:hAnsi="Arial" w:cs="Arial"/>
        <w:spacing w:val="20"/>
        <w:sz w:val="20"/>
      </w:rPr>
      <w:tab/>
      <w:t xml:space="preserve">      República de Colombia</w:t>
    </w:r>
  </w:p>
  <w:p w14:paraId="12EEF977" w14:textId="77777777" w:rsidR="00874660" w:rsidRDefault="00874660">
    <w:pPr>
      <w:pStyle w:val="Encabezado"/>
      <w:jc w:val="center"/>
      <w:rPr>
        <w:rFonts w:ascii="Arial" w:hAnsi="Arial" w:cs="Arial"/>
        <w:spacing w:val="20"/>
        <w:sz w:val="20"/>
      </w:rPr>
    </w:pPr>
  </w:p>
  <w:p w14:paraId="74E4F7C9" w14:textId="77777777" w:rsidR="00874660" w:rsidRDefault="00874660" w:rsidP="004D4F4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7AC5EA5" wp14:editId="4AB7901F">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9D27"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4217300"/>
    <w:multiLevelType w:val="hybridMultilevel"/>
    <w:tmpl w:val="0A54803E"/>
    <w:lvl w:ilvl="0" w:tplc="435EDE02">
      <w:start w:val="2"/>
      <w:numFmt w:val="decimal"/>
      <w:lvlText w:val="%1."/>
      <w:lvlJc w:val="left"/>
      <w:pPr>
        <w:tabs>
          <w:tab w:val="num" w:pos="720"/>
        </w:tabs>
        <w:ind w:left="720" w:hanging="360"/>
      </w:pPr>
    </w:lvl>
    <w:lvl w:ilvl="1" w:tplc="87CC477C" w:tentative="1">
      <w:start w:val="1"/>
      <w:numFmt w:val="decimal"/>
      <w:lvlText w:val="%2."/>
      <w:lvlJc w:val="left"/>
      <w:pPr>
        <w:tabs>
          <w:tab w:val="num" w:pos="1440"/>
        </w:tabs>
        <w:ind w:left="1440" w:hanging="360"/>
      </w:pPr>
    </w:lvl>
    <w:lvl w:ilvl="2" w:tplc="C9C8A3FC" w:tentative="1">
      <w:start w:val="1"/>
      <w:numFmt w:val="decimal"/>
      <w:lvlText w:val="%3."/>
      <w:lvlJc w:val="left"/>
      <w:pPr>
        <w:tabs>
          <w:tab w:val="num" w:pos="2160"/>
        </w:tabs>
        <w:ind w:left="2160" w:hanging="360"/>
      </w:pPr>
    </w:lvl>
    <w:lvl w:ilvl="3" w:tplc="AC2A7CD2" w:tentative="1">
      <w:start w:val="1"/>
      <w:numFmt w:val="decimal"/>
      <w:lvlText w:val="%4."/>
      <w:lvlJc w:val="left"/>
      <w:pPr>
        <w:tabs>
          <w:tab w:val="num" w:pos="2880"/>
        </w:tabs>
        <w:ind w:left="2880" w:hanging="360"/>
      </w:pPr>
    </w:lvl>
    <w:lvl w:ilvl="4" w:tplc="116E0896" w:tentative="1">
      <w:start w:val="1"/>
      <w:numFmt w:val="decimal"/>
      <w:lvlText w:val="%5."/>
      <w:lvlJc w:val="left"/>
      <w:pPr>
        <w:tabs>
          <w:tab w:val="num" w:pos="3600"/>
        </w:tabs>
        <w:ind w:left="3600" w:hanging="360"/>
      </w:pPr>
    </w:lvl>
    <w:lvl w:ilvl="5" w:tplc="BE2C3BD4" w:tentative="1">
      <w:start w:val="1"/>
      <w:numFmt w:val="decimal"/>
      <w:lvlText w:val="%6."/>
      <w:lvlJc w:val="left"/>
      <w:pPr>
        <w:tabs>
          <w:tab w:val="num" w:pos="4320"/>
        </w:tabs>
        <w:ind w:left="4320" w:hanging="360"/>
      </w:pPr>
    </w:lvl>
    <w:lvl w:ilvl="6" w:tplc="BFC6A0A2" w:tentative="1">
      <w:start w:val="1"/>
      <w:numFmt w:val="decimal"/>
      <w:lvlText w:val="%7."/>
      <w:lvlJc w:val="left"/>
      <w:pPr>
        <w:tabs>
          <w:tab w:val="num" w:pos="5040"/>
        </w:tabs>
        <w:ind w:left="5040" w:hanging="360"/>
      </w:pPr>
    </w:lvl>
    <w:lvl w:ilvl="7" w:tplc="05A284A4" w:tentative="1">
      <w:start w:val="1"/>
      <w:numFmt w:val="decimal"/>
      <w:lvlText w:val="%8."/>
      <w:lvlJc w:val="left"/>
      <w:pPr>
        <w:tabs>
          <w:tab w:val="num" w:pos="5760"/>
        </w:tabs>
        <w:ind w:left="5760" w:hanging="360"/>
      </w:pPr>
    </w:lvl>
    <w:lvl w:ilvl="8" w:tplc="15A0DE0E" w:tentative="1">
      <w:start w:val="1"/>
      <w:numFmt w:val="decimal"/>
      <w:lvlText w:val="%9."/>
      <w:lvlJc w:val="left"/>
      <w:pPr>
        <w:tabs>
          <w:tab w:val="num" w:pos="6480"/>
        </w:tabs>
        <w:ind w:left="6480" w:hanging="360"/>
      </w:pPr>
    </w:lvl>
  </w:abstractNum>
  <w:abstractNum w:abstractNumId="2" w15:restartNumberingAfterBreak="0">
    <w:nsid w:val="6E9C2651"/>
    <w:multiLevelType w:val="hybridMultilevel"/>
    <w:tmpl w:val="3A6CABDA"/>
    <w:lvl w:ilvl="0" w:tplc="3B2E9EBA">
      <w:start w:val="1"/>
      <w:numFmt w:val="decimal"/>
      <w:lvlText w:val="%1."/>
      <w:lvlJc w:val="left"/>
      <w:pPr>
        <w:tabs>
          <w:tab w:val="num" w:pos="720"/>
        </w:tabs>
        <w:ind w:left="720" w:hanging="360"/>
      </w:pPr>
    </w:lvl>
    <w:lvl w:ilvl="1" w:tplc="F3C68C80">
      <w:start w:val="1"/>
      <w:numFmt w:val="lowerLetter"/>
      <w:lvlText w:val="%2."/>
      <w:lvlJc w:val="left"/>
      <w:pPr>
        <w:tabs>
          <w:tab w:val="num" w:pos="1440"/>
        </w:tabs>
        <w:ind w:left="1440" w:hanging="360"/>
      </w:pPr>
    </w:lvl>
    <w:lvl w:ilvl="2" w:tplc="72686F16" w:tentative="1">
      <w:start w:val="1"/>
      <w:numFmt w:val="decimal"/>
      <w:lvlText w:val="%3."/>
      <w:lvlJc w:val="left"/>
      <w:pPr>
        <w:tabs>
          <w:tab w:val="num" w:pos="2160"/>
        </w:tabs>
        <w:ind w:left="2160" w:hanging="360"/>
      </w:pPr>
    </w:lvl>
    <w:lvl w:ilvl="3" w:tplc="0392775E" w:tentative="1">
      <w:start w:val="1"/>
      <w:numFmt w:val="decimal"/>
      <w:lvlText w:val="%4."/>
      <w:lvlJc w:val="left"/>
      <w:pPr>
        <w:tabs>
          <w:tab w:val="num" w:pos="2880"/>
        </w:tabs>
        <w:ind w:left="2880" w:hanging="360"/>
      </w:pPr>
    </w:lvl>
    <w:lvl w:ilvl="4" w:tplc="E8A0EE9C" w:tentative="1">
      <w:start w:val="1"/>
      <w:numFmt w:val="decimal"/>
      <w:lvlText w:val="%5."/>
      <w:lvlJc w:val="left"/>
      <w:pPr>
        <w:tabs>
          <w:tab w:val="num" w:pos="3600"/>
        </w:tabs>
        <w:ind w:left="3600" w:hanging="360"/>
      </w:pPr>
    </w:lvl>
    <w:lvl w:ilvl="5" w:tplc="6B701588" w:tentative="1">
      <w:start w:val="1"/>
      <w:numFmt w:val="decimal"/>
      <w:lvlText w:val="%6."/>
      <w:lvlJc w:val="left"/>
      <w:pPr>
        <w:tabs>
          <w:tab w:val="num" w:pos="4320"/>
        </w:tabs>
        <w:ind w:left="4320" w:hanging="360"/>
      </w:pPr>
    </w:lvl>
    <w:lvl w:ilvl="6" w:tplc="49B04160" w:tentative="1">
      <w:start w:val="1"/>
      <w:numFmt w:val="decimal"/>
      <w:lvlText w:val="%7."/>
      <w:lvlJc w:val="left"/>
      <w:pPr>
        <w:tabs>
          <w:tab w:val="num" w:pos="5040"/>
        </w:tabs>
        <w:ind w:left="5040" w:hanging="360"/>
      </w:pPr>
    </w:lvl>
    <w:lvl w:ilvl="7" w:tplc="8F1819F8" w:tentative="1">
      <w:start w:val="1"/>
      <w:numFmt w:val="decimal"/>
      <w:lvlText w:val="%8."/>
      <w:lvlJc w:val="left"/>
      <w:pPr>
        <w:tabs>
          <w:tab w:val="num" w:pos="5760"/>
        </w:tabs>
        <w:ind w:left="5760" w:hanging="360"/>
      </w:pPr>
    </w:lvl>
    <w:lvl w:ilvl="8" w:tplc="B4943D62"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B0"/>
    <w:rsid w:val="00011451"/>
    <w:rsid w:val="00013146"/>
    <w:rsid w:val="0001566D"/>
    <w:rsid w:val="00015C20"/>
    <w:rsid w:val="00020980"/>
    <w:rsid w:val="00026742"/>
    <w:rsid w:val="000420C4"/>
    <w:rsid w:val="00044CA8"/>
    <w:rsid w:val="00050202"/>
    <w:rsid w:val="00065EEC"/>
    <w:rsid w:val="00065F88"/>
    <w:rsid w:val="00073B0F"/>
    <w:rsid w:val="000926F0"/>
    <w:rsid w:val="000A387A"/>
    <w:rsid w:val="000B2934"/>
    <w:rsid w:val="000D2309"/>
    <w:rsid w:val="000E040A"/>
    <w:rsid w:val="000E140F"/>
    <w:rsid w:val="000F11D6"/>
    <w:rsid w:val="000F4DE3"/>
    <w:rsid w:val="00110C3F"/>
    <w:rsid w:val="00114CE4"/>
    <w:rsid w:val="00117D67"/>
    <w:rsid w:val="001220F9"/>
    <w:rsid w:val="001231FF"/>
    <w:rsid w:val="00127AB5"/>
    <w:rsid w:val="00134F00"/>
    <w:rsid w:val="0014567B"/>
    <w:rsid w:val="00146CCD"/>
    <w:rsid w:val="00155AF8"/>
    <w:rsid w:val="00162383"/>
    <w:rsid w:val="001626B2"/>
    <w:rsid w:val="0016312D"/>
    <w:rsid w:val="00173437"/>
    <w:rsid w:val="00180E7A"/>
    <w:rsid w:val="0018150D"/>
    <w:rsid w:val="00182AB0"/>
    <w:rsid w:val="001979B1"/>
    <w:rsid w:val="001979FF"/>
    <w:rsid w:val="00197EB7"/>
    <w:rsid w:val="001B2414"/>
    <w:rsid w:val="001B676C"/>
    <w:rsid w:val="001B6B8C"/>
    <w:rsid w:val="001B7B4F"/>
    <w:rsid w:val="001C090B"/>
    <w:rsid w:val="001F0CA9"/>
    <w:rsid w:val="001F128B"/>
    <w:rsid w:val="001F1E4A"/>
    <w:rsid w:val="001F2C48"/>
    <w:rsid w:val="001F5D0C"/>
    <w:rsid w:val="00200823"/>
    <w:rsid w:val="00207DC8"/>
    <w:rsid w:val="002159AD"/>
    <w:rsid w:val="002216F7"/>
    <w:rsid w:val="00225209"/>
    <w:rsid w:val="00227325"/>
    <w:rsid w:val="00227EAC"/>
    <w:rsid w:val="0023732E"/>
    <w:rsid w:val="00244EF0"/>
    <w:rsid w:val="00247C1B"/>
    <w:rsid w:val="00261394"/>
    <w:rsid w:val="00266A32"/>
    <w:rsid w:val="00266DB6"/>
    <w:rsid w:val="00280335"/>
    <w:rsid w:val="0028142E"/>
    <w:rsid w:val="00294E7F"/>
    <w:rsid w:val="002A50AF"/>
    <w:rsid w:val="002A758F"/>
    <w:rsid w:val="002D0B56"/>
    <w:rsid w:val="002D4EB4"/>
    <w:rsid w:val="002E5869"/>
    <w:rsid w:val="002F1450"/>
    <w:rsid w:val="002F6A43"/>
    <w:rsid w:val="00301459"/>
    <w:rsid w:val="003031ED"/>
    <w:rsid w:val="0030667C"/>
    <w:rsid w:val="00314E9E"/>
    <w:rsid w:val="00315DCC"/>
    <w:rsid w:val="00316C3E"/>
    <w:rsid w:val="003229C8"/>
    <w:rsid w:val="00327616"/>
    <w:rsid w:val="00327E77"/>
    <w:rsid w:val="003344CF"/>
    <w:rsid w:val="00350725"/>
    <w:rsid w:val="003523EA"/>
    <w:rsid w:val="00354789"/>
    <w:rsid w:val="003553A3"/>
    <w:rsid w:val="003560B7"/>
    <w:rsid w:val="00361DE7"/>
    <w:rsid w:val="0036481D"/>
    <w:rsid w:val="00370F0B"/>
    <w:rsid w:val="00373574"/>
    <w:rsid w:val="003A306B"/>
    <w:rsid w:val="003A3073"/>
    <w:rsid w:val="003B08D1"/>
    <w:rsid w:val="003B0E71"/>
    <w:rsid w:val="003C12D1"/>
    <w:rsid w:val="003C553E"/>
    <w:rsid w:val="003C6F78"/>
    <w:rsid w:val="003D0457"/>
    <w:rsid w:val="003D09ED"/>
    <w:rsid w:val="004148DC"/>
    <w:rsid w:val="00430A10"/>
    <w:rsid w:val="004332AA"/>
    <w:rsid w:val="0044111D"/>
    <w:rsid w:val="0044370C"/>
    <w:rsid w:val="00456973"/>
    <w:rsid w:val="0045758B"/>
    <w:rsid w:val="00460949"/>
    <w:rsid w:val="0046717C"/>
    <w:rsid w:val="00473C7C"/>
    <w:rsid w:val="00482643"/>
    <w:rsid w:val="00486B52"/>
    <w:rsid w:val="004A5273"/>
    <w:rsid w:val="004B6517"/>
    <w:rsid w:val="004B7AA8"/>
    <w:rsid w:val="004D044D"/>
    <w:rsid w:val="004D4F43"/>
    <w:rsid w:val="004E636C"/>
    <w:rsid w:val="004E67B9"/>
    <w:rsid w:val="004F030C"/>
    <w:rsid w:val="00500DFC"/>
    <w:rsid w:val="00515AB6"/>
    <w:rsid w:val="005269AA"/>
    <w:rsid w:val="00532572"/>
    <w:rsid w:val="00534FE2"/>
    <w:rsid w:val="0054162D"/>
    <w:rsid w:val="0054190B"/>
    <w:rsid w:val="00547A5A"/>
    <w:rsid w:val="00551A95"/>
    <w:rsid w:val="00575DEB"/>
    <w:rsid w:val="005774E0"/>
    <w:rsid w:val="005859D7"/>
    <w:rsid w:val="00594E59"/>
    <w:rsid w:val="005A51EF"/>
    <w:rsid w:val="005A568C"/>
    <w:rsid w:val="005A77BA"/>
    <w:rsid w:val="005B3D0E"/>
    <w:rsid w:val="005B61A0"/>
    <w:rsid w:val="005D10F5"/>
    <w:rsid w:val="005E2AB5"/>
    <w:rsid w:val="005E7F42"/>
    <w:rsid w:val="005F1355"/>
    <w:rsid w:val="005F767F"/>
    <w:rsid w:val="00602132"/>
    <w:rsid w:val="00607653"/>
    <w:rsid w:val="006101D8"/>
    <w:rsid w:val="0064160C"/>
    <w:rsid w:val="0065221D"/>
    <w:rsid w:val="00652489"/>
    <w:rsid w:val="00667464"/>
    <w:rsid w:val="00671B25"/>
    <w:rsid w:val="0068067F"/>
    <w:rsid w:val="006873EF"/>
    <w:rsid w:val="006A43B4"/>
    <w:rsid w:val="006A4C59"/>
    <w:rsid w:val="006B0BA3"/>
    <w:rsid w:val="006B12FE"/>
    <w:rsid w:val="006C46DD"/>
    <w:rsid w:val="006D00DF"/>
    <w:rsid w:val="006E21B3"/>
    <w:rsid w:val="006E51CD"/>
    <w:rsid w:val="006F3A9D"/>
    <w:rsid w:val="006F72B5"/>
    <w:rsid w:val="00702D59"/>
    <w:rsid w:val="00703BD6"/>
    <w:rsid w:val="00716E59"/>
    <w:rsid w:val="00717FB2"/>
    <w:rsid w:val="0072159E"/>
    <w:rsid w:val="00724E99"/>
    <w:rsid w:val="00733B4E"/>
    <w:rsid w:val="00740A6B"/>
    <w:rsid w:val="00742A9C"/>
    <w:rsid w:val="00744F2D"/>
    <w:rsid w:val="00754AD8"/>
    <w:rsid w:val="0076030A"/>
    <w:rsid w:val="0077153B"/>
    <w:rsid w:val="00771E02"/>
    <w:rsid w:val="00772E19"/>
    <w:rsid w:val="00776189"/>
    <w:rsid w:val="00777CDE"/>
    <w:rsid w:val="0078796D"/>
    <w:rsid w:val="00791C82"/>
    <w:rsid w:val="00792CB9"/>
    <w:rsid w:val="00796BCB"/>
    <w:rsid w:val="007B0C19"/>
    <w:rsid w:val="007B26F2"/>
    <w:rsid w:val="007E22EB"/>
    <w:rsid w:val="007E49D8"/>
    <w:rsid w:val="007F6B42"/>
    <w:rsid w:val="007F7F5D"/>
    <w:rsid w:val="00810A58"/>
    <w:rsid w:val="00813378"/>
    <w:rsid w:val="0081376C"/>
    <w:rsid w:val="00817EB7"/>
    <w:rsid w:val="0082155C"/>
    <w:rsid w:val="0082409F"/>
    <w:rsid w:val="0082513F"/>
    <w:rsid w:val="00825371"/>
    <w:rsid w:val="00831409"/>
    <w:rsid w:val="00842BD2"/>
    <w:rsid w:val="00843E86"/>
    <w:rsid w:val="008440C1"/>
    <w:rsid w:val="008479BB"/>
    <w:rsid w:val="00870D04"/>
    <w:rsid w:val="00874660"/>
    <w:rsid w:val="00877BED"/>
    <w:rsid w:val="0088575C"/>
    <w:rsid w:val="00885F10"/>
    <w:rsid w:val="00886D9B"/>
    <w:rsid w:val="008913A7"/>
    <w:rsid w:val="008938C3"/>
    <w:rsid w:val="008A2768"/>
    <w:rsid w:val="008B42D1"/>
    <w:rsid w:val="008B6DB0"/>
    <w:rsid w:val="008D27F1"/>
    <w:rsid w:val="008D3F9E"/>
    <w:rsid w:val="008E4804"/>
    <w:rsid w:val="008F0DD7"/>
    <w:rsid w:val="008F707D"/>
    <w:rsid w:val="00910CC8"/>
    <w:rsid w:val="00917385"/>
    <w:rsid w:val="00927948"/>
    <w:rsid w:val="0093781E"/>
    <w:rsid w:val="00967F39"/>
    <w:rsid w:val="00970820"/>
    <w:rsid w:val="009741FC"/>
    <w:rsid w:val="0099543A"/>
    <w:rsid w:val="009A171B"/>
    <w:rsid w:val="009A6DBE"/>
    <w:rsid w:val="009B0983"/>
    <w:rsid w:val="009B43D0"/>
    <w:rsid w:val="009C4573"/>
    <w:rsid w:val="009D015D"/>
    <w:rsid w:val="009D17F2"/>
    <w:rsid w:val="009D43B2"/>
    <w:rsid w:val="009D7111"/>
    <w:rsid w:val="009E29D4"/>
    <w:rsid w:val="009F1528"/>
    <w:rsid w:val="00A06DF4"/>
    <w:rsid w:val="00A10383"/>
    <w:rsid w:val="00A1154C"/>
    <w:rsid w:val="00A12423"/>
    <w:rsid w:val="00A133DF"/>
    <w:rsid w:val="00A176C3"/>
    <w:rsid w:val="00A22B0B"/>
    <w:rsid w:val="00A309C8"/>
    <w:rsid w:val="00A35DF7"/>
    <w:rsid w:val="00A46E2A"/>
    <w:rsid w:val="00A51595"/>
    <w:rsid w:val="00A53F81"/>
    <w:rsid w:val="00A63808"/>
    <w:rsid w:val="00A724A6"/>
    <w:rsid w:val="00A76756"/>
    <w:rsid w:val="00A916A3"/>
    <w:rsid w:val="00A9645D"/>
    <w:rsid w:val="00AA28D4"/>
    <w:rsid w:val="00AB5B2E"/>
    <w:rsid w:val="00AC5ED2"/>
    <w:rsid w:val="00AD7CFD"/>
    <w:rsid w:val="00AE13F8"/>
    <w:rsid w:val="00AE2A32"/>
    <w:rsid w:val="00AE3425"/>
    <w:rsid w:val="00AF394D"/>
    <w:rsid w:val="00B00EAD"/>
    <w:rsid w:val="00B06A49"/>
    <w:rsid w:val="00B11936"/>
    <w:rsid w:val="00B16AC6"/>
    <w:rsid w:val="00B36345"/>
    <w:rsid w:val="00B36FD2"/>
    <w:rsid w:val="00B43967"/>
    <w:rsid w:val="00B4539E"/>
    <w:rsid w:val="00B60D40"/>
    <w:rsid w:val="00B7316C"/>
    <w:rsid w:val="00B73FE6"/>
    <w:rsid w:val="00B85445"/>
    <w:rsid w:val="00BA5660"/>
    <w:rsid w:val="00BB2892"/>
    <w:rsid w:val="00BB293C"/>
    <w:rsid w:val="00BC1DE4"/>
    <w:rsid w:val="00BD069A"/>
    <w:rsid w:val="00BD4499"/>
    <w:rsid w:val="00BD6F85"/>
    <w:rsid w:val="00BF13B8"/>
    <w:rsid w:val="00BF3F93"/>
    <w:rsid w:val="00C006A3"/>
    <w:rsid w:val="00C169EE"/>
    <w:rsid w:val="00C26B94"/>
    <w:rsid w:val="00C32891"/>
    <w:rsid w:val="00C377BF"/>
    <w:rsid w:val="00C41F3D"/>
    <w:rsid w:val="00C4627C"/>
    <w:rsid w:val="00C7262B"/>
    <w:rsid w:val="00C73BC0"/>
    <w:rsid w:val="00C75D50"/>
    <w:rsid w:val="00C8065F"/>
    <w:rsid w:val="00C92610"/>
    <w:rsid w:val="00CB0396"/>
    <w:rsid w:val="00CB1244"/>
    <w:rsid w:val="00CB50A8"/>
    <w:rsid w:val="00CB65B9"/>
    <w:rsid w:val="00CC689F"/>
    <w:rsid w:val="00CC75AD"/>
    <w:rsid w:val="00CE3697"/>
    <w:rsid w:val="00CF1F96"/>
    <w:rsid w:val="00D0527D"/>
    <w:rsid w:val="00D204AC"/>
    <w:rsid w:val="00D21FEB"/>
    <w:rsid w:val="00D22622"/>
    <w:rsid w:val="00D369FC"/>
    <w:rsid w:val="00D57566"/>
    <w:rsid w:val="00D65E78"/>
    <w:rsid w:val="00D66761"/>
    <w:rsid w:val="00D720E7"/>
    <w:rsid w:val="00D7711F"/>
    <w:rsid w:val="00D84CE1"/>
    <w:rsid w:val="00D86515"/>
    <w:rsid w:val="00D93B42"/>
    <w:rsid w:val="00D94AC0"/>
    <w:rsid w:val="00DA7AEF"/>
    <w:rsid w:val="00DB1EA4"/>
    <w:rsid w:val="00DB44A3"/>
    <w:rsid w:val="00DC2D21"/>
    <w:rsid w:val="00DC56A1"/>
    <w:rsid w:val="00DC7FD0"/>
    <w:rsid w:val="00DD009A"/>
    <w:rsid w:val="00DD06F7"/>
    <w:rsid w:val="00DD41CD"/>
    <w:rsid w:val="00DD482E"/>
    <w:rsid w:val="00DE4534"/>
    <w:rsid w:val="00DE48BB"/>
    <w:rsid w:val="00DF45DD"/>
    <w:rsid w:val="00E34F30"/>
    <w:rsid w:val="00E36A91"/>
    <w:rsid w:val="00E36C0E"/>
    <w:rsid w:val="00E42BC0"/>
    <w:rsid w:val="00E44A58"/>
    <w:rsid w:val="00E5064C"/>
    <w:rsid w:val="00E50E45"/>
    <w:rsid w:val="00E5224D"/>
    <w:rsid w:val="00E53D76"/>
    <w:rsid w:val="00E54308"/>
    <w:rsid w:val="00E7351A"/>
    <w:rsid w:val="00E77BBC"/>
    <w:rsid w:val="00E8132D"/>
    <w:rsid w:val="00EA44D0"/>
    <w:rsid w:val="00EC0306"/>
    <w:rsid w:val="00EC0C08"/>
    <w:rsid w:val="00EC15AF"/>
    <w:rsid w:val="00EC3DD1"/>
    <w:rsid w:val="00EC52B2"/>
    <w:rsid w:val="00ED4AF3"/>
    <w:rsid w:val="00EE21AD"/>
    <w:rsid w:val="00EF0C78"/>
    <w:rsid w:val="00F05394"/>
    <w:rsid w:val="00F1173E"/>
    <w:rsid w:val="00F151C6"/>
    <w:rsid w:val="00F16887"/>
    <w:rsid w:val="00F245CE"/>
    <w:rsid w:val="00F30B37"/>
    <w:rsid w:val="00F31A31"/>
    <w:rsid w:val="00F40390"/>
    <w:rsid w:val="00F40504"/>
    <w:rsid w:val="00F77794"/>
    <w:rsid w:val="00F804BE"/>
    <w:rsid w:val="00F80D08"/>
    <w:rsid w:val="00F84E2A"/>
    <w:rsid w:val="00F948B0"/>
    <w:rsid w:val="00FA25F4"/>
    <w:rsid w:val="00FA6A9D"/>
    <w:rsid w:val="00FB45BF"/>
    <w:rsid w:val="00FB5FBD"/>
    <w:rsid w:val="00FC1FD3"/>
    <w:rsid w:val="00FD3852"/>
    <w:rsid w:val="00FD3B83"/>
    <w:rsid w:val="00FE08E5"/>
    <w:rsid w:val="00FE15DA"/>
    <w:rsid w:val="00FE55BD"/>
    <w:rsid w:val="00FF5AA6"/>
    <w:rsid w:val="00FF5E35"/>
    <w:rsid w:val="00FF74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743C6"/>
  <w15:chartTrackingRefBased/>
  <w15:docId w15:val="{3EDA31B1-AE61-43A4-B95A-2B9BCD4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2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82AB0"/>
    <w:pPr>
      <w:keepNext/>
      <w:jc w:val="center"/>
      <w:outlineLvl w:val="0"/>
    </w:pPr>
    <w:rPr>
      <w:rFonts w:ascii="CG Times" w:hAnsi="CG Times"/>
      <w:b/>
      <w:szCs w:val="20"/>
      <w:lang w:val="es-CO"/>
    </w:rPr>
  </w:style>
  <w:style w:type="paragraph" w:styleId="Ttulo3">
    <w:name w:val="heading 3"/>
    <w:basedOn w:val="Normal"/>
    <w:next w:val="Normal"/>
    <w:link w:val="Ttulo3Car"/>
    <w:qFormat/>
    <w:rsid w:val="00182AB0"/>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182AB0"/>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182AB0"/>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182AB0"/>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A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182AB0"/>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182AB0"/>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182AB0"/>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182AB0"/>
    <w:rPr>
      <w:rFonts w:ascii="Calibri" w:eastAsia="Times New Roman" w:hAnsi="Calibri" w:cs="Times New Roman"/>
      <w:b/>
      <w:bCs/>
      <w:lang w:val="x-none" w:eastAsia="x-none"/>
    </w:rPr>
  </w:style>
  <w:style w:type="paragraph" w:styleId="Encabezado">
    <w:name w:val="header"/>
    <w:basedOn w:val="Normal"/>
    <w:link w:val="EncabezadoCar"/>
    <w:uiPriority w:val="99"/>
    <w:rsid w:val="00182AB0"/>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182AB0"/>
    <w:rPr>
      <w:rFonts w:ascii="CG Times" w:eastAsia="Times New Roman" w:hAnsi="CG Times" w:cs="Times New Roman"/>
      <w:sz w:val="24"/>
      <w:szCs w:val="20"/>
      <w:lang w:eastAsia="x-none"/>
    </w:rPr>
  </w:style>
  <w:style w:type="paragraph" w:customStyle="1" w:styleId="TableHeading">
    <w:name w:val="Table Heading"/>
    <w:basedOn w:val="Normal"/>
    <w:rsid w:val="00182AB0"/>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182AB0"/>
    <w:rPr>
      <w:sz w:val="20"/>
      <w:szCs w:val="20"/>
    </w:rPr>
  </w:style>
  <w:style w:type="character" w:customStyle="1" w:styleId="TextonotapieCar">
    <w:name w:val="Texto nota pie Car"/>
    <w:basedOn w:val="Fuentedeprrafopredeter"/>
    <w:link w:val="Textonotapie"/>
    <w:uiPriority w:val="99"/>
    <w:semiHidden/>
    <w:rsid w:val="00182AB0"/>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182AB0"/>
    <w:rPr>
      <w:vertAlign w:val="superscript"/>
    </w:rPr>
  </w:style>
  <w:style w:type="paragraph" w:styleId="Piedepgina">
    <w:name w:val="footer"/>
    <w:basedOn w:val="Normal"/>
    <w:link w:val="PiedepginaCar"/>
    <w:uiPriority w:val="99"/>
    <w:unhideWhenUsed/>
    <w:rsid w:val="00182AB0"/>
    <w:pPr>
      <w:tabs>
        <w:tab w:val="center" w:pos="4419"/>
        <w:tab w:val="right" w:pos="8838"/>
      </w:tabs>
    </w:pPr>
  </w:style>
  <w:style w:type="character" w:customStyle="1" w:styleId="PiedepginaCar">
    <w:name w:val="Pie de página Car"/>
    <w:basedOn w:val="Fuentedeprrafopredeter"/>
    <w:link w:val="Piedepgina"/>
    <w:uiPriority w:val="99"/>
    <w:rsid w:val="00182AB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82643"/>
    <w:pPr>
      <w:spacing w:before="100" w:beforeAutospacing="1" w:after="100" w:afterAutospacing="1"/>
      <w:ind w:left="0"/>
    </w:pPr>
    <w:rPr>
      <w:lang w:val="es-CO" w:eastAsia="es-CO"/>
    </w:rPr>
  </w:style>
  <w:style w:type="paragraph" w:styleId="Textodeglobo">
    <w:name w:val="Balloon Text"/>
    <w:basedOn w:val="Normal"/>
    <w:link w:val="TextodegloboCar"/>
    <w:uiPriority w:val="99"/>
    <w:semiHidden/>
    <w:unhideWhenUsed/>
    <w:rsid w:val="00F16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887"/>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A35DF7"/>
    <w:rPr>
      <w:color w:val="0563C1" w:themeColor="hyperlink"/>
      <w:u w:val="single"/>
    </w:rPr>
  </w:style>
  <w:style w:type="paragraph" w:styleId="Textoindependiente">
    <w:name w:val="Body Text"/>
    <w:basedOn w:val="Normal"/>
    <w:link w:val="TextoindependienteCar"/>
    <w:semiHidden/>
    <w:rsid w:val="00A35DF7"/>
    <w:pPr>
      <w:spacing w:after="220" w:line="220" w:lineRule="atLeast"/>
      <w:ind w:left="0"/>
      <w:jc w:val="both"/>
    </w:pPr>
    <w:rPr>
      <w:rFonts w:ascii="Arial" w:hAnsi="Arial"/>
      <w:spacing w:val="-5"/>
      <w:sz w:val="20"/>
      <w:szCs w:val="20"/>
      <w:lang w:val="es-CO" w:eastAsia="en-US"/>
    </w:rPr>
  </w:style>
  <w:style w:type="character" w:customStyle="1" w:styleId="TextoindependienteCar">
    <w:name w:val="Texto independiente Car"/>
    <w:basedOn w:val="Fuentedeprrafopredeter"/>
    <w:link w:val="Textoindependiente"/>
    <w:semiHidden/>
    <w:rsid w:val="00A35DF7"/>
    <w:rPr>
      <w:rFonts w:ascii="Arial" w:eastAsia="Times New Roman" w:hAnsi="Arial" w:cs="Times New Roman"/>
      <w:spacing w:val="-5"/>
      <w:sz w:val="20"/>
      <w:szCs w:val="20"/>
    </w:rPr>
  </w:style>
  <w:style w:type="table" w:styleId="Tablaconcuadrcula">
    <w:name w:val="Table Grid"/>
    <w:basedOn w:val="Tablanormal"/>
    <w:uiPriority w:val="39"/>
    <w:rsid w:val="00A3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D4F43"/>
    <w:rPr>
      <w:color w:val="954F72"/>
      <w:u w:val="single"/>
    </w:rPr>
  </w:style>
  <w:style w:type="paragraph" w:customStyle="1" w:styleId="msonormal0">
    <w:name w:val="msonormal"/>
    <w:basedOn w:val="Normal"/>
    <w:rsid w:val="004D4F43"/>
    <w:pPr>
      <w:spacing w:before="100" w:beforeAutospacing="1" w:after="100" w:afterAutospacing="1"/>
      <w:ind w:left="0"/>
    </w:pPr>
    <w:rPr>
      <w:lang w:val="en-US" w:eastAsia="en-US"/>
    </w:rPr>
  </w:style>
  <w:style w:type="paragraph" w:customStyle="1" w:styleId="xl67">
    <w:name w:val="xl67"/>
    <w:basedOn w:val="Normal"/>
    <w:rsid w:val="004D4F43"/>
    <w:pPr>
      <w:pBdr>
        <w:top w:val="single" w:sz="8" w:space="0" w:color="auto"/>
        <w:left w:val="single" w:sz="8"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8">
    <w:name w:val="xl68"/>
    <w:basedOn w:val="Normal"/>
    <w:rsid w:val="004D4F43"/>
    <w:pPr>
      <w:pBdr>
        <w:top w:val="single" w:sz="8" w:space="0" w:color="auto"/>
        <w:left w:val="single" w:sz="8"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9">
    <w:name w:val="xl69"/>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0">
    <w:name w:val="xl70"/>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1">
    <w:name w:val="xl71"/>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2">
    <w:name w:val="xl72"/>
    <w:basedOn w:val="Normal"/>
    <w:rsid w:val="004D4F43"/>
    <w:pPr>
      <w:pBdr>
        <w:top w:val="single" w:sz="8" w:space="0" w:color="auto"/>
        <w:left w:val="single" w:sz="4"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3">
    <w:name w:val="xl73"/>
    <w:basedOn w:val="Normal"/>
    <w:rsid w:val="004D4F43"/>
    <w:pPr>
      <w:spacing w:before="100" w:beforeAutospacing="1" w:after="100" w:afterAutospacing="1"/>
      <w:ind w:left="0"/>
      <w:textAlignment w:val="center"/>
    </w:pPr>
    <w:rPr>
      <w:sz w:val="18"/>
      <w:szCs w:val="18"/>
      <w:lang w:val="en-US" w:eastAsia="en-US"/>
    </w:rPr>
  </w:style>
  <w:style w:type="paragraph" w:customStyle="1" w:styleId="xl74">
    <w:name w:val="xl74"/>
    <w:basedOn w:val="Normal"/>
    <w:rsid w:val="004D4F43"/>
    <w:pPr>
      <w:pBdr>
        <w:top w:val="single" w:sz="8"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75">
    <w:name w:val="xl75"/>
    <w:basedOn w:val="Normal"/>
    <w:rsid w:val="004D4F43"/>
    <w:pPr>
      <w:pBdr>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76">
    <w:name w:val="xl76"/>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7">
    <w:name w:val="xl77"/>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8">
    <w:name w:val="xl78"/>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9">
    <w:name w:val="xl79"/>
    <w:basedOn w:val="Normal"/>
    <w:rsid w:val="004D4F43"/>
    <w:pPr>
      <w:pBdr>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0">
    <w:name w:val="xl80"/>
    <w:basedOn w:val="Normal"/>
    <w:rsid w:val="004D4F43"/>
    <w:pPr>
      <w:pBdr>
        <w:top w:val="single" w:sz="4"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81">
    <w:name w:val="xl81"/>
    <w:basedOn w:val="Normal"/>
    <w:rsid w:val="004D4F43"/>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2">
    <w:name w:val="xl82"/>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3">
    <w:name w:val="xl83"/>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4">
    <w:name w:val="xl84"/>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5">
    <w:name w:val="xl85"/>
    <w:basedOn w:val="Normal"/>
    <w:rsid w:val="004D4F43"/>
    <w:pPr>
      <w:pBdr>
        <w:top w:val="single" w:sz="4" w:space="0" w:color="auto"/>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6">
    <w:name w:val="xl86"/>
    <w:basedOn w:val="Normal"/>
    <w:rsid w:val="004D4F43"/>
    <w:pPr>
      <w:pBdr>
        <w:top w:val="single" w:sz="4"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7">
    <w:name w:val="xl87"/>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8">
    <w:name w:val="xl88"/>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9">
    <w:name w:val="xl89"/>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90">
    <w:name w:val="xl90"/>
    <w:basedOn w:val="Normal"/>
    <w:rsid w:val="004D4F43"/>
    <w:pPr>
      <w:pBdr>
        <w:top w:val="single" w:sz="4" w:space="0" w:color="auto"/>
        <w:left w:val="single" w:sz="4" w:space="0" w:color="auto"/>
        <w:bottom w:val="single" w:sz="8"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91">
    <w:name w:val="xl91"/>
    <w:basedOn w:val="Normal"/>
    <w:rsid w:val="004D4F43"/>
    <w:pPr>
      <w:spacing w:before="100" w:beforeAutospacing="1" w:after="100" w:afterAutospacing="1"/>
      <w:ind w:left="0"/>
      <w:textAlignment w:val="center"/>
    </w:pPr>
    <w:rPr>
      <w:sz w:val="18"/>
      <w:szCs w:val="18"/>
      <w:lang w:val="en-US" w:eastAsia="en-US"/>
    </w:rPr>
  </w:style>
  <w:style w:type="paragraph" w:customStyle="1" w:styleId="xl92">
    <w:name w:val="xl92"/>
    <w:basedOn w:val="Normal"/>
    <w:rsid w:val="004D4F43"/>
    <w:pPr>
      <w:spacing w:before="100" w:beforeAutospacing="1" w:after="100" w:afterAutospacing="1"/>
      <w:ind w:left="0"/>
      <w:textAlignment w:val="center"/>
    </w:pPr>
    <w:rPr>
      <w:sz w:val="18"/>
      <w:szCs w:val="18"/>
      <w:lang w:val="en-US" w:eastAsia="en-US"/>
    </w:rPr>
  </w:style>
  <w:style w:type="character" w:styleId="Textodelmarcadordeposicin">
    <w:name w:val="Placeholder Text"/>
    <w:basedOn w:val="Fuentedeprrafopredeter"/>
    <w:uiPriority w:val="99"/>
    <w:semiHidden/>
    <w:rsid w:val="009D43B2"/>
    <w:rPr>
      <w:color w:val="808080"/>
    </w:rPr>
  </w:style>
  <w:style w:type="character" w:styleId="Refdecomentario">
    <w:name w:val="annotation reference"/>
    <w:basedOn w:val="Fuentedeprrafopredeter"/>
    <w:uiPriority w:val="99"/>
    <w:semiHidden/>
    <w:unhideWhenUsed/>
    <w:rsid w:val="00AD7CFD"/>
    <w:rPr>
      <w:sz w:val="16"/>
      <w:szCs w:val="16"/>
    </w:rPr>
  </w:style>
  <w:style w:type="paragraph" w:styleId="Textocomentario">
    <w:name w:val="annotation text"/>
    <w:basedOn w:val="Normal"/>
    <w:link w:val="TextocomentarioCar"/>
    <w:uiPriority w:val="99"/>
    <w:semiHidden/>
    <w:unhideWhenUsed/>
    <w:rsid w:val="00AD7CFD"/>
    <w:rPr>
      <w:sz w:val="20"/>
      <w:szCs w:val="20"/>
    </w:rPr>
  </w:style>
  <w:style w:type="character" w:customStyle="1" w:styleId="TextocomentarioCar">
    <w:name w:val="Texto comentario Car"/>
    <w:basedOn w:val="Fuentedeprrafopredeter"/>
    <w:link w:val="Textocomentario"/>
    <w:uiPriority w:val="99"/>
    <w:semiHidden/>
    <w:rsid w:val="00AD7CF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7CFD"/>
    <w:rPr>
      <w:b/>
      <w:bCs/>
    </w:rPr>
  </w:style>
  <w:style w:type="character" w:customStyle="1" w:styleId="AsuntodelcomentarioCar">
    <w:name w:val="Asunto del comentario Car"/>
    <w:basedOn w:val="TextocomentarioCar"/>
    <w:link w:val="Asuntodelcomentario"/>
    <w:uiPriority w:val="99"/>
    <w:semiHidden/>
    <w:rsid w:val="00AD7CF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6821">
      <w:bodyDiv w:val="1"/>
      <w:marLeft w:val="0"/>
      <w:marRight w:val="0"/>
      <w:marTop w:val="0"/>
      <w:marBottom w:val="0"/>
      <w:divBdr>
        <w:top w:val="none" w:sz="0" w:space="0" w:color="auto"/>
        <w:left w:val="none" w:sz="0" w:space="0" w:color="auto"/>
        <w:bottom w:val="none" w:sz="0" w:space="0" w:color="auto"/>
        <w:right w:val="none" w:sz="0" w:space="0" w:color="auto"/>
      </w:divBdr>
    </w:div>
    <w:div w:id="135149494">
      <w:bodyDiv w:val="1"/>
      <w:marLeft w:val="0"/>
      <w:marRight w:val="0"/>
      <w:marTop w:val="0"/>
      <w:marBottom w:val="0"/>
      <w:divBdr>
        <w:top w:val="none" w:sz="0" w:space="0" w:color="auto"/>
        <w:left w:val="none" w:sz="0" w:space="0" w:color="auto"/>
        <w:bottom w:val="none" w:sz="0" w:space="0" w:color="auto"/>
        <w:right w:val="none" w:sz="0" w:space="0" w:color="auto"/>
      </w:divBdr>
    </w:div>
    <w:div w:id="384644816">
      <w:bodyDiv w:val="1"/>
      <w:marLeft w:val="0"/>
      <w:marRight w:val="0"/>
      <w:marTop w:val="0"/>
      <w:marBottom w:val="0"/>
      <w:divBdr>
        <w:top w:val="none" w:sz="0" w:space="0" w:color="auto"/>
        <w:left w:val="none" w:sz="0" w:space="0" w:color="auto"/>
        <w:bottom w:val="none" w:sz="0" w:space="0" w:color="auto"/>
        <w:right w:val="none" w:sz="0" w:space="0" w:color="auto"/>
      </w:divBdr>
    </w:div>
    <w:div w:id="498808813">
      <w:bodyDiv w:val="1"/>
      <w:marLeft w:val="0"/>
      <w:marRight w:val="0"/>
      <w:marTop w:val="0"/>
      <w:marBottom w:val="0"/>
      <w:divBdr>
        <w:top w:val="none" w:sz="0" w:space="0" w:color="auto"/>
        <w:left w:val="none" w:sz="0" w:space="0" w:color="auto"/>
        <w:bottom w:val="none" w:sz="0" w:space="0" w:color="auto"/>
        <w:right w:val="none" w:sz="0" w:space="0" w:color="auto"/>
      </w:divBdr>
      <w:divsChild>
        <w:div w:id="58022174">
          <w:marLeft w:val="720"/>
          <w:marRight w:val="0"/>
          <w:marTop w:val="0"/>
          <w:marBottom w:val="0"/>
          <w:divBdr>
            <w:top w:val="none" w:sz="0" w:space="0" w:color="auto"/>
            <w:left w:val="none" w:sz="0" w:space="0" w:color="auto"/>
            <w:bottom w:val="none" w:sz="0" w:space="0" w:color="auto"/>
            <w:right w:val="none" w:sz="0" w:space="0" w:color="auto"/>
          </w:divBdr>
        </w:div>
        <w:div w:id="1443650801">
          <w:marLeft w:val="1440"/>
          <w:marRight w:val="0"/>
          <w:marTop w:val="0"/>
          <w:marBottom w:val="0"/>
          <w:divBdr>
            <w:top w:val="none" w:sz="0" w:space="0" w:color="auto"/>
            <w:left w:val="none" w:sz="0" w:space="0" w:color="auto"/>
            <w:bottom w:val="none" w:sz="0" w:space="0" w:color="auto"/>
            <w:right w:val="none" w:sz="0" w:space="0" w:color="auto"/>
          </w:divBdr>
        </w:div>
        <w:div w:id="239995639">
          <w:marLeft w:val="1440"/>
          <w:marRight w:val="0"/>
          <w:marTop w:val="0"/>
          <w:marBottom w:val="0"/>
          <w:divBdr>
            <w:top w:val="none" w:sz="0" w:space="0" w:color="auto"/>
            <w:left w:val="none" w:sz="0" w:space="0" w:color="auto"/>
            <w:bottom w:val="none" w:sz="0" w:space="0" w:color="auto"/>
            <w:right w:val="none" w:sz="0" w:space="0" w:color="auto"/>
          </w:divBdr>
        </w:div>
        <w:div w:id="1376346787">
          <w:marLeft w:val="720"/>
          <w:marRight w:val="0"/>
          <w:marTop w:val="0"/>
          <w:marBottom w:val="0"/>
          <w:divBdr>
            <w:top w:val="none" w:sz="0" w:space="0" w:color="auto"/>
            <w:left w:val="none" w:sz="0" w:space="0" w:color="auto"/>
            <w:bottom w:val="none" w:sz="0" w:space="0" w:color="auto"/>
            <w:right w:val="none" w:sz="0" w:space="0" w:color="auto"/>
          </w:divBdr>
        </w:div>
      </w:divsChild>
    </w:div>
    <w:div w:id="638997342">
      <w:bodyDiv w:val="1"/>
      <w:marLeft w:val="0"/>
      <w:marRight w:val="0"/>
      <w:marTop w:val="0"/>
      <w:marBottom w:val="0"/>
      <w:divBdr>
        <w:top w:val="none" w:sz="0" w:space="0" w:color="auto"/>
        <w:left w:val="none" w:sz="0" w:space="0" w:color="auto"/>
        <w:bottom w:val="none" w:sz="0" w:space="0" w:color="auto"/>
        <w:right w:val="none" w:sz="0" w:space="0" w:color="auto"/>
      </w:divBdr>
      <w:divsChild>
        <w:div w:id="1023869256">
          <w:marLeft w:val="720"/>
          <w:marRight w:val="0"/>
          <w:marTop w:val="0"/>
          <w:marBottom w:val="0"/>
          <w:divBdr>
            <w:top w:val="none" w:sz="0" w:space="0" w:color="auto"/>
            <w:left w:val="none" w:sz="0" w:space="0" w:color="auto"/>
            <w:bottom w:val="none" w:sz="0" w:space="0" w:color="auto"/>
            <w:right w:val="none" w:sz="0" w:space="0" w:color="auto"/>
          </w:divBdr>
        </w:div>
        <w:div w:id="391779310">
          <w:marLeft w:val="1440"/>
          <w:marRight w:val="0"/>
          <w:marTop w:val="0"/>
          <w:marBottom w:val="0"/>
          <w:divBdr>
            <w:top w:val="none" w:sz="0" w:space="0" w:color="auto"/>
            <w:left w:val="none" w:sz="0" w:space="0" w:color="auto"/>
            <w:bottom w:val="none" w:sz="0" w:space="0" w:color="auto"/>
            <w:right w:val="none" w:sz="0" w:space="0" w:color="auto"/>
          </w:divBdr>
        </w:div>
        <w:div w:id="1427965446">
          <w:marLeft w:val="1440"/>
          <w:marRight w:val="0"/>
          <w:marTop w:val="0"/>
          <w:marBottom w:val="0"/>
          <w:divBdr>
            <w:top w:val="none" w:sz="0" w:space="0" w:color="auto"/>
            <w:left w:val="none" w:sz="0" w:space="0" w:color="auto"/>
            <w:bottom w:val="none" w:sz="0" w:space="0" w:color="auto"/>
            <w:right w:val="none" w:sz="0" w:space="0" w:color="auto"/>
          </w:divBdr>
        </w:div>
        <w:div w:id="276520777">
          <w:marLeft w:val="720"/>
          <w:marRight w:val="0"/>
          <w:marTop w:val="0"/>
          <w:marBottom w:val="0"/>
          <w:divBdr>
            <w:top w:val="none" w:sz="0" w:space="0" w:color="auto"/>
            <w:left w:val="none" w:sz="0" w:space="0" w:color="auto"/>
            <w:bottom w:val="none" w:sz="0" w:space="0" w:color="auto"/>
            <w:right w:val="none" w:sz="0" w:space="0" w:color="auto"/>
          </w:divBdr>
        </w:div>
      </w:divsChild>
    </w:div>
    <w:div w:id="925921060">
      <w:bodyDiv w:val="1"/>
      <w:marLeft w:val="0"/>
      <w:marRight w:val="0"/>
      <w:marTop w:val="0"/>
      <w:marBottom w:val="0"/>
      <w:divBdr>
        <w:top w:val="none" w:sz="0" w:space="0" w:color="auto"/>
        <w:left w:val="none" w:sz="0" w:space="0" w:color="auto"/>
        <w:bottom w:val="none" w:sz="0" w:space="0" w:color="auto"/>
        <w:right w:val="none" w:sz="0" w:space="0" w:color="auto"/>
      </w:divBdr>
    </w:div>
    <w:div w:id="958101745">
      <w:bodyDiv w:val="1"/>
      <w:marLeft w:val="0"/>
      <w:marRight w:val="0"/>
      <w:marTop w:val="0"/>
      <w:marBottom w:val="0"/>
      <w:divBdr>
        <w:top w:val="none" w:sz="0" w:space="0" w:color="auto"/>
        <w:left w:val="none" w:sz="0" w:space="0" w:color="auto"/>
        <w:bottom w:val="none" w:sz="0" w:space="0" w:color="auto"/>
        <w:right w:val="none" w:sz="0" w:space="0" w:color="auto"/>
      </w:divBdr>
    </w:div>
    <w:div w:id="1221669579">
      <w:bodyDiv w:val="1"/>
      <w:marLeft w:val="0"/>
      <w:marRight w:val="0"/>
      <w:marTop w:val="0"/>
      <w:marBottom w:val="0"/>
      <w:divBdr>
        <w:top w:val="none" w:sz="0" w:space="0" w:color="auto"/>
        <w:left w:val="none" w:sz="0" w:space="0" w:color="auto"/>
        <w:bottom w:val="none" w:sz="0" w:space="0" w:color="auto"/>
        <w:right w:val="none" w:sz="0" w:space="0" w:color="auto"/>
      </w:divBdr>
    </w:div>
    <w:div w:id="1335574473">
      <w:bodyDiv w:val="1"/>
      <w:marLeft w:val="0"/>
      <w:marRight w:val="0"/>
      <w:marTop w:val="0"/>
      <w:marBottom w:val="0"/>
      <w:divBdr>
        <w:top w:val="none" w:sz="0" w:space="0" w:color="auto"/>
        <w:left w:val="none" w:sz="0" w:space="0" w:color="auto"/>
        <w:bottom w:val="none" w:sz="0" w:space="0" w:color="auto"/>
        <w:right w:val="none" w:sz="0" w:space="0" w:color="auto"/>
      </w:divBdr>
    </w:div>
    <w:div w:id="1371144493">
      <w:bodyDiv w:val="1"/>
      <w:marLeft w:val="0"/>
      <w:marRight w:val="0"/>
      <w:marTop w:val="0"/>
      <w:marBottom w:val="0"/>
      <w:divBdr>
        <w:top w:val="none" w:sz="0" w:space="0" w:color="auto"/>
        <w:left w:val="none" w:sz="0" w:space="0" w:color="auto"/>
        <w:bottom w:val="none" w:sz="0" w:space="0" w:color="auto"/>
        <w:right w:val="none" w:sz="0" w:space="0" w:color="auto"/>
      </w:divBdr>
    </w:div>
    <w:div w:id="1422019859">
      <w:bodyDiv w:val="1"/>
      <w:marLeft w:val="0"/>
      <w:marRight w:val="0"/>
      <w:marTop w:val="0"/>
      <w:marBottom w:val="0"/>
      <w:divBdr>
        <w:top w:val="none" w:sz="0" w:space="0" w:color="auto"/>
        <w:left w:val="none" w:sz="0" w:space="0" w:color="auto"/>
        <w:bottom w:val="none" w:sz="0" w:space="0" w:color="auto"/>
        <w:right w:val="none" w:sz="0" w:space="0" w:color="auto"/>
      </w:divBdr>
    </w:div>
    <w:div w:id="1489785418">
      <w:bodyDiv w:val="1"/>
      <w:marLeft w:val="0"/>
      <w:marRight w:val="0"/>
      <w:marTop w:val="0"/>
      <w:marBottom w:val="0"/>
      <w:divBdr>
        <w:top w:val="none" w:sz="0" w:space="0" w:color="auto"/>
        <w:left w:val="none" w:sz="0" w:space="0" w:color="auto"/>
        <w:bottom w:val="none" w:sz="0" w:space="0" w:color="auto"/>
        <w:right w:val="none" w:sz="0" w:space="0" w:color="auto"/>
      </w:divBdr>
    </w:div>
    <w:div w:id="1534927776">
      <w:bodyDiv w:val="1"/>
      <w:marLeft w:val="0"/>
      <w:marRight w:val="0"/>
      <w:marTop w:val="0"/>
      <w:marBottom w:val="0"/>
      <w:divBdr>
        <w:top w:val="none" w:sz="0" w:space="0" w:color="auto"/>
        <w:left w:val="none" w:sz="0" w:space="0" w:color="auto"/>
        <w:bottom w:val="none" w:sz="0" w:space="0" w:color="auto"/>
        <w:right w:val="none" w:sz="0" w:space="0" w:color="auto"/>
      </w:divBdr>
    </w:div>
    <w:div w:id="1603225915">
      <w:bodyDiv w:val="1"/>
      <w:marLeft w:val="0"/>
      <w:marRight w:val="0"/>
      <w:marTop w:val="0"/>
      <w:marBottom w:val="0"/>
      <w:divBdr>
        <w:top w:val="none" w:sz="0" w:space="0" w:color="auto"/>
        <w:left w:val="none" w:sz="0" w:space="0" w:color="auto"/>
        <w:bottom w:val="none" w:sz="0" w:space="0" w:color="auto"/>
        <w:right w:val="none" w:sz="0" w:space="0" w:color="auto"/>
      </w:divBdr>
    </w:div>
    <w:div w:id="1834293935">
      <w:bodyDiv w:val="1"/>
      <w:marLeft w:val="0"/>
      <w:marRight w:val="0"/>
      <w:marTop w:val="0"/>
      <w:marBottom w:val="0"/>
      <w:divBdr>
        <w:top w:val="none" w:sz="0" w:space="0" w:color="auto"/>
        <w:left w:val="none" w:sz="0" w:space="0" w:color="auto"/>
        <w:bottom w:val="none" w:sz="0" w:space="0" w:color="auto"/>
        <w:right w:val="none" w:sz="0" w:space="0" w:color="auto"/>
      </w:divBdr>
    </w:div>
    <w:div w:id="20382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8211-B6FB-4C45-8F77-D81BDD36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6639</Words>
  <Characters>36520</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Diana Patino</cp:lastModifiedBy>
  <cp:revision>2</cp:revision>
  <cp:lastPrinted>2020-12-28T14:39:00Z</cp:lastPrinted>
  <dcterms:created xsi:type="dcterms:W3CDTF">2020-12-29T19:16:00Z</dcterms:created>
  <dcterms:modified xsi:type="dcterms:W3CDTF">2020-12-29T19:16:00Z</dcterms:modified>
</cp:coreProperties>
</file>