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F93" w:rsidRPr="007A5CCB" w:rsidRDefault="0020551B" w:rsidP="00575F93">
      <w:pPr>
        <w:pStyle w:val="Ttulo4"/>
        <w:tabs>
          <w:tab w:val="left" w:pos="0"/>
          <w:tab w:val="right" w:pos="9356"/>
        </w:tabs>
        <w:ind w:left="0"/>
        <w:contextualSpacing/>
        <w:rPr>
          <w:rFonts w:ascii="Bookman Old Style" w:hAnsi="Bookman Old Style"/>
          <w:b w:val="0"/>
          <w:bCs/>
          <w:sz w:val="24"/>
          <w:szCs w:val="24"/>
        </w:rPr>
      </w:pPr>
      <w:bookmarkStart w:id="0" w:name="_GoBack"/>
      <w:bookmarkEnd w:id="0"/>
      <w:r>
        <w:rPr>
          <w:rFonts w:ascii="Bookman Old Style" w:hAnsi="Bookman Old Style"/>
          <w:b w:val="0"/>
          <w:bCs/>
          <w:noProof/>
          <w:snapToGrid/>
          <w:sz w:val="24"/>
          <w:szCs w:val="24"/>
          <w:lang w:val="es-CO"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9264" fillcolor="#0c9">
            <v:imagedata r:id="rId8" o:title=""/>
          </v:shape>
          <o:OLEObject Type="Embed" ProgID="PBrush" ShapeID="_x0000_s1027" DrawAspect="Content" ObjectID="_1533717739" r:id="rId9"/>
        </w:object>
      </w:r>
      <w:r w:rsidR="00575F93" w:rsidRPr="007A5CCB">
        <w:rPr>
          <w:rFonts w:ascii="Bookman Old Style" w:hAnsi="Bookman Old Style"/>
          <w:b w:val="0"/>
          <w:bCs/>
          <w:sz w:val="24"/>
          <w:szCs w:val="24"/>
        </w:rPr>
        <w:t>Ministerio de Minas y Energía</w:t>
      </w:r>
    </w:p>
    <w:p w:rsidR="00575F93" w:rsidRPr="007A5CCB" w:rsidRDefault="00575F93" w:rsidP="00575F93">
      <w:pPr>
        <w:rPr>
          <w:rFonts w:ascii="Bookman Old Style" w:hAnsi="Bookman Old Style"/>
          <w:lang w:val="es-ES_tradnl"/>
        </w:rPr>
      </w:pPr>
    </w:p>
    <w:p w:rsidR="00575F93" w:rsidRPr="007A5CCB" w:rsidRDefault="00575F93" w:rsidP="00575F93">
      <w:pPr>
        <w:pStyle w:val="Ttulo4"/>
        <w:tabs>
          <w:tab w:val="left" w:pos="0"/>
          <w:tab w:val="right" w:pos="9356"/>
        </w:tabs>
        <w:ind w:left="0"/>
        <w:contextualSpacing/>
        <w:rPr>
          <w:rFonts w:ascii="Bookman Old Style" w:hAnsi="Bookman Old Style"/>
          <w:b w:val="0"/>
          <w:bCs/>
          <w:sz w:val="24"/>
          <w:szCs w:val="24"/>
        </w:rPr>
      </w:pPr>
    </w:p>
    <w:p w:rsidR="00575F93" w:rsidRPr="007A5CCB" w:rsidRDefault="00575F93" w:rsidP="00575F93">
      <w:pPr>
        <w:pStyle w:val="Ttulo3"/>
        <w:tabs>
          <w:tab w:val="left" w:pos="0"/>
          <w:tab w:val="right" w:pos="9356"/>
        </w:tabs>
        <w:ind w:left="0"/>
        <w:contextualSpacing/>
        <w:rPr>
          <w:rFonts w:ascii="Bookman Old Style" w:hAnsi="Bookman Old Style" w:cs="Arial"/>
          <w:spacing w:val="20"/>
          <w:szCs w:val="24"/>
        </w:rPr>
      </w:pPr>
      <w:r w:rsidRPr="007A5CCB">
        <w:rPr>
          <w:rFonts w:ascii="Bookman Old Style" w:hAnsi="Bookman Old Style" w:cs="Arial"/>
          <w:spacing w:val="20"/>
          <w:szCs w:val="24"/>
        </w:rPr>
        <w:t>COMISIÓN DE REGULACIÓN DE ENERGÍA Y GAS</w:t>
      </w:r>
    </w:p>
    <w:p w:rsidR="00575F93" w:rsidRPr="007A5CCB" w:rsidRDefault="00575F93" w:rsidP="00575F93">
      <w:pPr>
        <w:pStyle w:val="Ttulo5"/>
        <w:tabs>
          <w:tab w:val="left" w:pos="0"/>
          <w:tab w:val="right" w:pos="9356"/>
        </w:tabs>
        <w:ind w:left="0"/>
        <w:contextualSpacing/>
        <w:rPr>
          <w:rFonts w:ascii="Bookman Old Style" w:hAnsi="Bookman Old Style"/>
          <w:sz w:val="24"/>
          <w:szCs w:val="24"/>
        </w:rPr>
      </w:pPr>
    </w:p>
    <w:p w:rsidR="00575F93" w:rsidRPr="007A5CCB" w:rsidRDefault="00575F93" w:rsidP="00575F93">
      <w:pPr>
        <w:pStyle w:val="Ttulo5"/>
        <w:tabs>
          <w:tab w:val="left" w:pos="0"/>
          <w:tab w:val="right" w:pos="9356"/>
        </w:tabs>
        <w:ind w:left="0"/>
        <w:contextualSpacing/>
        <w:rPr>
          <w:rFonts w:ascii="Bookman Old Style" w:hAnsi="Bookman Old Style"/>
          <w:sz w:val="24"/>
          <w:szCs w:val="24"/>
        </w:rPr>
      </w:pPr>
    </w:p>
    <w:p w:rsidR="00575F93" w:rsidRPr="007A5CCB" w:rsidRDefault="00575F93" w:rsidP="00575F93">
      <w:pPr>
        <w:pStyle w:val="Ttulo5"/>
        <w:tabs>
          <w:tab w:val="left" w:pos="0"/>
          <w:tab w:val="right" w:pos="9356"/>
        </w:tabs>
        <w:ind w:left="0"/>
        <w:contextualSpacing/>
        <w:rPr>
          <w:rFonts w:ascii="Bookman Old Style" w:hAnsi="Bookman Old Style"/>
          <w:sz w:val="24"/>
          <w:szCs w:val="24"/>
        </w:rPr>
      </w:pPr>
      <w:r w:rsidRPr="007A5CCB">
        <w:rPr>
          <w:rFonts w:ascii="Bookman Old Style" w:hAnsi="Bookman Old Style"/>
          <w:sz w:val="24"/>
          <w:szCs w:val="24"/>
        </w:rPr>
        <w:t>RESOLUCIÓN No.                   DE 2016</w:t>
      </w:r>
    </w:p>
    <w:p w:rsidR="00575F93" w:rsidRPr="007A5CCB" w:rsidRDefault="00575F93" w:rsidP="00575F93">
      <w:pPr>
        <w:tabs>
          <w:tab w:val="left" w:pos="0"/>
          <w:tab w:val="right" w:pos="9356"/>
        </w:tabs>
        <w:ind w:left="0"/>
        <w:contextualSpacing/>
        <w:jc w:val="center"/>
        <w:rPr>
          <w:rFonts w:ascii="Bookman Old Style" w:hAnsi="Bookman Old Style" w:cs="Arial"/>
          <w:b/>
          <w:snapToGrid w:val="0"/>
          <w:color w:val="000000"/>
          <w:lang w:val="es-ES_tradnl"/>
        </w:rPr>
      </w:pPr>
    </w:p>
    <w:p w:rsidR="00575F93" w:rsidRPr="007A5CCB" w:rsidRDefault="00575F93" w:rsidP="00575F93">
      <w:pPr>
        <w:pStyle w:val="Ttulo3"/>
        <w:tabs>
          <w:tab w:val="left" w:pos="0"/>
          <w:tab w:val="right" w:pos="9356"/>
        </w:tabs>
        <w:ind w:left="0"/>
        <w:contextualSpacing/>
        <w:rPr>
          <w:rFonts w:ascii="Bookman Old Style" w:hAnsi="Bookman Old Style"/>
          <w:b w:val="0"/>
          <w:szCs w:val="24"/>
        </w:rPr>
      </w:pPr>
      <w:r w:rsidRPr="007A5CCB">
        <w:rPr>
          <w:rFonts w:ascii="Bookman Old Style" w:hAnsi="Bookman Old Style"/>
          <w:b w:val="0"/>
          <w:szCs w:val="24"/>
        </w:rPr>
        <w:t>(                                  )</w:t>
      </w:r>
    </w:p>
    <w:p w:rsidR="00575F93" w:rsidRPr="007A5CCB" w:rsidRDefault="00575F93" w:rsidP="00575F93">
      <w:pPr>
        <w:tabs>
          <w:tab w:val="left" w:pos="0"/>
          <w:tab w:val="right" w:pos="9356"/>
        </w:tabs>
        <w:ind w:left="0"/>
        <w:contextualSpacing/>
        <w:jc w:val="center"/>
        <w:rPr>
          <w:rFonts w:ascii="Bookman Old Style" w:hAnsi="Bookman Old Style"/>
          <w:lang w:val="es-ES_tradnl"/>
        </w:rPr>
      </w:pPr>
    </w:p>
    <w:p w:rsidR="00575F93" w:rsidRPr="007A5CCB" w:rsidRDefault="00575F93" w:rsidP="00575F93">
      <w:pPr>
        <w:tabs>
          <w:tab w:val="left" w:pos="0"/>
          <w:tab w:val="right" w:pos="9356"/>
        </w:tabs>
        <w:ind w:left="0"/>
        <w:contextualSpacing/>
        <w:jc w:val="center"/>
        <w:rPr>
          <w:rFonts w:ascii="Bookman Old Style" w:hAnsi="Bookman Old Style"/>
          <w:lang w:val="es-ES_tradnl"/>
        </w:rPr>
      </w:pPr>
    </w:p>
    <w:p w:rsidR="00575F93" w:rsidRPr="007A5CCB" w:rsidRDefault="00575F93" w:rsidP="003D41A8">
      <w:pPr>
        <w:ind w:left="0"/>
        <w:jc w:val="center"/>
        <w:rPr>
          <w:rFonts w:ascii="Bookman Old Style" w:hAnsi="Bookman Old Style" w:cs="Arial"/>
          <w:color w:val="000000"/>
        </w:rPr>
      </w:pPr>
      <w:r w:rsidRPr="007A5CCB">
        <w:rPr>
          <w:rFonts w:ascii="Bookman Old Style" w:hAnsi="Bookman Old Style" w:cs="Arial"/>
        </w:rPr>
        <w:t>Por la cual se ordena hacer público un proyecto de resolución “</w:t>
      </w:r>
      <w:r w:rsidR="003D41A8" w:rsidRPr="003D41A8">
        <w:rPr>
          <w:rFonts w:ascii="Bookman Old Style" w:hAnsi="Bookman Old Style" w:cs="Arial"/>
        </w:rPr>
        <w:t>Por la cual se modifica y complementa el Reglamento Único de Tr</w:t>
      </w:r>
      <w:r w:rsidR="003D41A8">
        <w:rPr>
          <w:rFonts w:ascii="Bookman Old Style" w:hAnsi="Bookman Old Style" w:cs="Arial"/>
        </w:rPr>
        <w:t>ansporte de Gas Natural  - RUT</w:t>
      </w:r>
      <w:r w:rsidRPr="007A5CCB">
        <w:rPr>
          <w:rFonts w:ascii="Bookman Old Style" w:hAnsi="Bookman Old Style" w:cs="Arial"/>
          <w:color w:val="000000"/>
        </w:rPr>
        <w:t>”</w:t>
      </w:r>
    </w:p>
    <w:p w:rsidR="00575F93" w:rsidRPr="00666AA8" w:rsidRDefault="00575F93" w:rsidP="00575F93">
      <w:pPr>
        <w:widowControl w:val="0"/>
        <w:suppressAutoHyphens/>
        <w:ind w:left="0"/>
        <w:rPr>
          <w:rFonts w:ascii="Bookman Old Style" w:hAnsi="Bookman Old Style" w:cs="Arial"/>
          <w:spacing w:val="-3"/>
          <w:sz w:val="16"/>
        </w:rPr>
      </w:pPr>
    </w:p>
    <w:p w:rsidR="00575F93" w:rsidRPr="007A5CCB" w:rsidRDefault="00575F93" w:rsidP="00575F93">
      <w:pPr>
        <w:widowControl w:val="0"/>
        <w:ind w:left="0"/>
        <w:rPr>
          <w:rFonts w:ascii="Bookman Old Style" w:hAnsi="Bookman Old Style"/>
        </w:rPr>
      </w:pPr>
    </w:p>
    <w:p w:rsidR="00575F93" w:rsidRPr="007A5CCB" w:rsidRDefault="00575F93" w:rsidP="00575F93">
      <w:pPr>
        <w:widowControl w:val="0"/>
        <w:ind w:left="0"/>
        <w:jc w:val="center"/>
        <w:rPr>
          <w:rFonts w:ascii="Bookman Old Style" w:hAnsi="Bookman Old Style"/>
          <w:b/>
        </w:rPr>
      </w:pPr>
      <w:r w:rsidRPr="007A5CCB">
        <w:rPr>
          <w:rFonts w:ascii="Bookman Old Style" w:hAnsi="Bookman Old Style"/>
          <w:b/>
        </w:rPr>
        <w:t>LA COMISIÓN DE REGULACIÓN DE  ENERGÍA Y GAS</w:t>
      </w:r>
    </w:p>
    <w:p w:rsidR="00575F93" w:rsidRPr="007A5CCB" w:rsidRDefault="00575F93" w:rsidP="00575F93">
      <w:pPr>
        <w:widowControl w:val="0"/>
        <w:ind w:left="0"/>
        <w:rPr>
          <w:rFonts w:ascii="Bookman Old Style" w:hAnsi="Bookman Old Style"/>
        </w:rPr>
      </w:pPr>
    </w:p>
    <w:p w:rsidR="00575F93" w:rsidRPr="00666AA8" w:rsidRDefault="00575F93" w:rsidP="00575F93">
      <w:pPr>
        <w:widowControl w:val="0"/>
        <w:ind w:left="0"/>
        <w:rPr>
          <w:rFonts w:ascii="Bookman Old Style" w:hAnsi="Bookman Old Style"/>
          <w:sz w:val="18"/>
        </w:rPr>
      </w:pPr>
    </w:p>
    <w:p w:rsidR="00575F93" w:rsidRPr="007A5CCB" w:rsidRDefault="00575F93" w:rsidP="00575F93">
      <w:pPr>
        <w:widowControl w:val="0"/>
        <w:ind w:left="0"/>
        <w:jc w:val="center"/>
        <w:rPr>
          <w:rFonts w:ascii="Bookman Old Style" w:hAnsi="Bookman Old Style" w:cs="Arial"/>
          <w:bCs/>
          <w:spacing w:val="-3"/>
          <w:lang w:val="es-CO"/>
        </w:rPr>
      </w:pPr>
      <w:r w:rsidRPr="007A5CCB">
        <w:rPr>
          <w:rFonts w:ascii="Bookman Old Style" w:hAnsi="Bookman Old Style" w:cs="Arial"/>
          <w:bCs/>
          <w:spacing w:val="-3"/>
        </w:rPr>
        <w:t xml:space="preserve">En ejercicio de sus atribuciones legales, en especial las conferidas por las </w:t>
      </w:r>
      <w:r w:rsidRPr="007A5CCB">
        <w:rPr>
          <w:rFonts w:ascii="Bookman Old Style" w:hAnsi="Bookman Old Style" w:cs="Arial"/>
          <w:bCs/>
          <w:spacing w:val="-3"/>
          <w:lang w:val="es-CO"/>
        </w:rPr>
        <w:t>l</w:t>
      </w:r>
      <w:proofErr w:type="spellStart"/>
      <w:r w:rsidR="003D41A8">
        <w:rPr>
          <w:rFonts w:ascii="Bookman Old Style" w:hAnsi="Bookman Old Style" w:cs="Arial"/>
          <w:bCs/>
          <w:spacing w:val="-3"/>
        </w:rPr>
        <w:t>eyes</w:t>
      </w:r>
      <w:proofErr w:type="spellEnd"/>
      <w:r w:rsidR="003D41A8">
        <w:rPr>
          <w:rFonts w:ascii="Bookman Old Style" w:hAnsi="Bookman Old Style" w:cs="Arial"/>
          <w:bCs/>
          <w:spacing w:val="-3"/>
        </w:rPr>
        <w:t xml:space="preserve"> 142, </w:t>
      </w:r>
      <w:r w:rsidRPr="007A5CCB">
        <w:rPr>
          <w:rFonts w:ascii="Bookman Old Style" w:hAnsi="Bookman Old Style" w:cs="Arial"/>
          <w:bCs/>
          <w:spacing w:val="-3"/>
        </w:rPr>
        <w:t xml:space="preserve">143 de 1994, </w:t>
      </w:r>
      <w:r w:rsidR="003D41A8">
        <w:rPr>
          <w:rFonts w:ascii="Bookman Old Style" w:hAnsi="Bookman Old Style" w:cs="Arial"/>
          <w:bCs/>
          <w:spacing w:val="-3"/>
        </w:rPr>
        <w:t xml:space="preserve">401 de 1997 </w:t>
      </w:r>
      <w:r w:rsidRPr="007A5CCB">
        <w:rPr>
          <w:rFonts w:ascii="Bookman Old Style" w:hAnsi="Bookman Old Style" w:cs="Arial"/>
          <w:bCs/>
          <w:spacing w:val="-3"/>
        </w:rPr>
        <w:t>y en desarrollo de los Decretos 1524</w:t>
      </w:r>
      <w:r w:rsidRPr="007A5CCB">
        <w:rPr>
          <w:rFonts w:ascii="Bookman Old Style" w:hAnsi="Bookman Old Style" w:cs="Arial"/>
          <w:bCs/>
          <w:spacing w:val="-3"/>
          <w:lang w:val="es-CO"/>
        </w:rPr>
        <w:t>,</w:t>
      </w:r>
      <w:r w:rsidRPr="007A5CCB">
        <w:rPr>
          <w:rFonts w:ascii="Bookman Old Style" w:hAnsi="Bookman Old Style" w:cs="Arial"/>
          <w:bCs/>
          <w:spacing w:val="-3"/>
        </w:rPr>
        <w:t xml:space="preserve"> 2253 de 1994</w:t>
      </w:r>
      <w:r w:rsidRPr="007A5CCB">
        <w:rPr>
          <w:rFonts w:ascii="Bookman Old Style" w:hAnsi="Bookman Old Style" w:cs="Arial"/>
          <w:bCs/>
          <w:spacing w:val="-3"/>
          <w:lang w:val="es-CO"/>
        </w:rPr>
        <w:t>, 1260 de 2013 y 2345 de 2015</w:t>
      </w:r>
    </w:p>
    <w:p w:rsidR="00575F93" w:rsidRPr="007A5CCB" w:rsidRDefault="00575F93" w:rsidP="00575F93">
      <w:pPr>
        <w:widowControl w:val="0"/>
        <w:ind w:left="0"/>
        <w:rPr>
          <w:rFonts w:ascii="Bookman Old Style" w:hAnsi="Bookman Old Style"/>
          <w:lang w:val="es-CO"/>
        </w:rPr>
      </w:pPr>
    </w:p>
    <w:p w:rsidR="00575F93" w:rsidRPr="007A5CCB" w:rsidRDefault="00575F93" w:rsidP="00575F93">
      <w:pPr>
        <w:widowControl w:val="0"/>
        <w:ind w:left="0"/>
        <w:rPr>
          <w:rFonts w:ascii="Bookman Old Style" w:hAnsi="Bookman Old Style"/>
        </w:rPr>
      </w:pPr>
    </w:p>
    <w:p w:rsidR="00575F93" w:rsidRPr="007A5CCB" w:rsidRDefault="00575F93" w:rsidP="00575F93">
      <w:pPr>
        <w:widowControl w:val="0"/>
        <w:ind w:left="0"/>
        <w:jc w:val="center"/>
        <w:rPr>
          <w:rFonts w:ascii="Bookman Old Style" w:hAnsi="Bookman Old Style"/>
          <w:b/>
        </w:rPr>
      </w:pPr>
      <w:r w:rsidRPr="007A5CCB">
        <w:rPr>
          <w:rFonts w:ascii="Bookman Old Style" w:hAnsi="Bookman Old Style"/>
          <w:b/>
        </w:rPr>
        <w:t>C O N S I D E R A N D O  Q U E:</w:t>
      </w:r>
    </w:p>
    <w:p w:rsidR="00575F93" w:rsidRPr="007A5CCB" w:rsidRDefault="00575F93" w:rsidP="00575F93">
      <w:pPr>
        <w:widowControl w:val="0"/>
        <w:ind w:left="0"/>
        <w:jc w:val="center"/>
        <w:rPr>
          <w:rFonts w:ascii="Bookman Old Style" w:hAnsi="Bookman Old Style"/>
          <w:b/>
        </w:rPr>
      </w:pPr>
    </w:p>
    <w:p w:rsidR="00575F93" w:rsidRPr="007A5CCB" w:rsidRDefault="00575F93" w:rsidP="00575F93">
      <w:pPr>
        <w:widowControl w:val="0"/>
        <w:ind w:left="0"/>
        <w:jc w:val="center"/>
        <w:rPr>
          <w:rFonts w:ascii="Bookman Old Style" w:hAnsi="Bookman Old Style"/>
          <w:b/>
        </w:rPr>
      </w:pPr>
    </w:p>
    <w:p w:rsidR="00575F93" w:rsidRPr="007A5CCB" w:rsidRDefault="00575F93" w:rsidP="00575F93">
      <w:pPr>
        <w:widowControl w:val="0"/>
        <w:tabs>
          <w:tab w:val="left" w:pos="0"/>
        </w:tabs>
        <w:ind w:left="0"/>
        <w:jc w:val="both"/>
        <w:rPr>
          <w:rFonts w:ascii="Bookman Old Style" w:hAnsi="Bookman Old Style" w:cs="Arial"/>
        </w:rPr>
      </w:pPr>
      <w:r w:rsidRPr="007A5CCB">
        <w:rPr>
          <w:rFonts w:ascii="Bookman Old Style" w:hAnsi="Bookman Old Style" w:cs="Arial"/>
        </w:rPr>
        <w:t>Conforme a lo dispuesto por el artículo 8 del Código de Procedimiento Administrativo y de lo Contencioso Administrativo y el artículo 9 del Decreto 2696 de 2004</w:t>
      </w:r>
      <w:r w:rsidRPr="007A5CCB">
        <w:rPr>
          <w:rFonts w:ascii="Bookman Old Style" w:hAnsi="Bookman Old Style" w:cs="Arial"/>
          <w:vertAlign w:val="superscript"/>
        </w:rPr>
        <w:footnoteReference w:id="1"/>
      </w:r>
      <w:r w:rsidRPr="007A5CCB">
        <w:rPr>
          <w:rFonts w:ascii="Bookman Old Style" w:hAnsi="Bookman Old Style" w:cs="Arial"/>
        </w:rPr>
        <w:t>, la Comisión debe hacer público en su página web todos los proyectos de resolución de carácter general que pretenda adoptar.</w:t>
      </w:r>
    </w:p>
    <w:p w:rsidR="00575F93" w:rsidRPr="007A5CCB" w:rsidRDefault="00575F93" w:rsidP="00575F93">
      <w:pPr>
        <w:ind w:left="0" w:right="-73"/>
        <w:jc w:val="both"/>
        <w:rPr>
          <w:rFonts w:ascii="Bookman Old Style" w:hAnsi="Bookman Old Style"/>
        </w:rPr>
      </w:pPr>
    </w:p>
    <w:p w:rsidR="00575F93" w:rsidRPr="007A5CCB" w:rsidRDefault="00575F93" w:rsidP="00575F93">
      <w:pPr>
        <w:ind w:left="0"/>
        <w:jc w:val="both"/>
        <w:rPr>
          <w:rFonts w:ascii="Bookman Old Style" w:hAnsi="Bookman Old Style" w:cs="Arial"/>
          <w:color w:val="000000"/>
        </w:rPr>
      </w:pPr>
      <w:r w:rsidRPr="007A5CCB">
        <w:rPr>
          <w:rFonts w:ascii="Bookman Old Style" w:hAnsi="Bookman Old Style"/>
        </w:rPr>
        <w:t xml:space="preserve">La Comisión de Regulación de Energía y Gas, en su sesión No. </w:t>
      </w:r>
      <w:r w:rsidR="003D41A8">
        <w:rPr>
          <w:rFonts w:ascii="Bookman Old Style" w:hAnsi="Bookman Old Style"/>
        </w:rPr>
        <w:t>727 de 25 de julio</w:t>
      </w:r>
      <w:r w:rsidRPr="007A5CCB">
        <w:rPr>
          <w:rFonts w:ascii="Bookman Old Style" w:hAnsi="Bookman Old Style"/>
        </w:rPr>
        <w:t xml:space="preserve"> de 2016 aprobó hacer público el proyecto de resolución “</w:t>
      </w:r>
      <w:r w:rsidR="003D41A8" w:rsidRPr="003D41A8">
        <w:rPr>
          <w:rFonts w:ascii="Bookman Old Style" w:hAnsi="Bookman Old Style" w:cs="Arial"/>
          <w:color w:val="000000"/>
        </w:rPr>
        <w:t>Por la cual se modifica y complementa el Reglamento Único de Tr</w:t>
      </w:r>
      <w:r w:rsidR="003D41A8">
        <w:rPr>
          <w:rFonts w:ascii="Bookman Old Style" w:hAnsi="Bookman Old Style" w:cs="Arial"/>
          <w:color w:val="000000"/>
        </w:rPr>
        <w:t>ansporte de Gas Natural  - RUT</w:t>
      </w:r>
      <w:r w:rsidRPr="007A5CCB">
        <w:rPr>
          <w:rFonts w:ascii="Bookman Old Style" w:hAnsi="Bookman Old Style" w:cs="Arial"/>
          <w:i/>
          <w:color w:val="000000"/>
        </w:rPr>
        <w:t>”.</w:t>
      </w:r>
    </w:p>
    <w:p w:rsidR="00575F93" w:rsidRPr="003D41A8" w:rsidRDefault="00575F93" w:rsidP="00575F93">
      <w:pPr>
        <w:widowControl w:val="0"/>
        <w:ind w:left="0"/>
        <w:jc w:val="both"/>
        <w:rPr>
          <w:rFonts w:ascii="Bookman Old Style" w:hAnsi="Bookman Old Style"/>
        </w:rPr>
      </w:pPr>
    </w:p>
    <w:p w:rsidR="00575F93" w:rsidRPr="007A5CCB" w:rsidRDefault="00575F93" w:rsidP="00575F93">
      <w:pPr>
        <w:widowControl w:val="0"/>
        <w:suppressAutoHyphens/>
        <w:ind w:left="0"/>
        <w:jc w:val="center"/>
        <w:rPr>
          <w:rFonts w:ascii="Bookman Old Style" w:hAnsi="Bookman Old Style"/>
          <w:spacing w:val="-3"/>
        </w:rPr>
      </w:pPr>
      <w:r w:rsidRPr="007A5CCB">
        <w:rPr>
          <w:rFonts w:ascii="Bookman Old Style" w:hAnsi="Bookman Old Style"/>
          <w:b/>
          <w:spacing w:val="-3"/>
        </w:rPr>
        <w:t>R E S U E L V E:</w:t>
      </w:r>
    </w:p>
    <w:p w:rsidR="00575F93" w:rsidRPr="007A5CCB" w:rsidRDefault="00575F93" w:rsidP="00575F93">
      <w:pPr>
        <w:widowControl w:val="0"/>
        <w:ind w:left="0"/>
        <w:jc w:val="center"/>
        <w:rPr>
          <w:rFonts w:ascii="Bookman Old Style" w:hAnsi="Bookman Old Style"/>
        </w:rPr>
      </w:pPr>
    </w:p>
    <w:p w:rsidR="00575F93" w:rsidRPr="007A5CCB" w:rsidRDefault="00575F93" w:rsidP="00575F93">
      <w:pPr>
        <w:widowControl w:val="0"/>
        <w:ind w:left="0"/>
        <w:jc w:val="center"/>
        <w:rPr>
          <w:rFonts w:ascii="Bookman Old Style" w:hAnsi="Bookman Old Style"/>
        </w:rPr>
      </w:pPr>
    </w:p>
    <w:p w:rsidR="00575F93" w:rsidRPr="007A5CCB" w:rsidRDefault="00575F93" w:rsidP="003D41A8">
      <w:pPr>
        <w:pStyle w:val="ARTICULOS"/>
      </w:pPr>
      <w:r w:rsidRPr="007A5CCB">
        <w:t>Hágase público el siguiente proyecto de resolución “</w:t>
      </w:r>
      <w:r w:rsidR="003D41A8" w:rsidRPr="003D41A8">
        <w:t>Por la cual se modifica y complementa el Reglamento Único de Tr</w:t>
      </w:r>
      <w:r w:rsidR="003D41A8">
        <w:t>ansporte de Gas Natural  - RUT</w:t>
      </w:r>
      <w:r w:rsidRPr="007A5CCB">
        <w:t>”</w:t>
      </w:r>
      <w:r w:rsidRPr="007A5CCB">
        <w:rPr>
          <w:i/>
        </w:rPr>
        <w:t>.</w:t>
      </w:r>
    </w:p>
    <w:p w:rsidR="00575F93" w:rsidRPr="007A5CCB" w:rsidRDefault="00575F93" w:rsidP="00575F93">
      <w:pPr>
        <w:pStyle w:val="ARTICULOS"/>
        <w:numPr>
          <w:ilvl w:val="0"/>
          <w:numId w:val="0"/>
        </w:numPr>
        <w:ind w:left="1"/>
      </w:pPr>
    </w:p>
    <w:p w:rsidR="00575F93" w:rsidRPr="007A5CCB" w:rsidRDefault="00575F93" w:rsidP="0056289C">
      <w:pPr>
        <w:pStyle w:val="ARTICULOS"/>
      </w:pPr>
      <w:r w:rsidRPr="007A5CCB">
        <w:t xml:space="preserve">Se invita a los agentes, a los usuarios, a las autoridades competentes, a la Superintendencia de Servicios Públicos Domiciliarios y a la Superintendencia de Industria y Comercio, </w:t>
      </w:r>
      <w:r w:rsidR="0056289C" w:rsidRPr="0056289C">
        <w:rPr>
          <w:rFonts w:cs="Arial"/>
          <w:lang w:val="es-CO" w:eastAsia="es-CO"/>
        </w:rPr>
        <w:t xml:space="preserve">al Consejo Nacional de Operación de Gas Natural </w:t>
      </w:r>
      <w:r w:rsidR="0056289C">
        <w:rPr>
          <w:rFonts w:cs="Arial"/>
          <w:lang w:val="es-CO" w:eastAsia="es-CO"/>
        </w:rPr>
        <w:t xml:space="preserve">CNOG, </w:t>
      </w:r>
      <w:r w:rsidRPr="007A5CCB">
        <w:t>para que remitan sus observaciones o</w:t>
      </w:r>
      <w:r w:rsidR="003D41A8">
        <w:t xml:space="preserve"> sugerencias durante los diez (1</w:t>
      </w:r>
      <w:r w:rsidRPr="007A5CCB">
        <w:t xml:space="preserve">0) días calendario siguientes a la publicación del proyecto en la página web de la Comisión. </w:t>
      </w:r>
    </w:p>
    <w:p w:rsidR="00575F93" w:rsidRPr="007A5CCB" w:rsidRDefault="00575F93" w:rsidP="00575F93">
      <w:pPr>
        <w:rPr>
          <w:rFonts w:ascii="Bookman Old Style" w:hAnsi="Bookman Old Style"/>
        </w:rPr>
      </w:pPr>
    </w:p>
    <w:p w:rsidR="003D41A8" w:rsidRPr="003D41A8" w:rsidRDefault="003D41A8" w:rsidP="003D41A8">
      <w:pPr>
        <w:pStyle w:val="ARTICULOS"/>
      </w:pPr>
      <w:r w:rsidRPr="00E10B3E">
        <w:t>Infórmese en la página web la identificación de la dependencia administrativa y de las personas a quienes se podrá solicitar información sobre el proyecto y hacer llegar las observaciones, reparos o sugerencias, y los demás aspectos previstos en el artículo 10 del Decreto 2696 de 2004</w:t>
      </w:r>
      <w:r w:rsidRPr="00E10B3E">
        <w:rPr>
          <w:vertAlign w:val="superscript"/>
        </w:rPr>
        <w:footnoteReference w:id="2"/>
      </w:r>
      <w:r w:rsidRPr="00E10B3E">
        <w:t>.</w:t>
      </w:r>
    </w:p>
    <w:p w:rsidR="00575F93" w:rsidRPr="007A5CCB" w:rsidRDefault="00575F93" w:rsidP="00575F93">
      <w:pPr>
        <w:widowControl w:val="0"/>
        <w:tabs>
          <w:tab w:val="left" w:pos="0"/>
        </w:tabs>
        <w:ind w:left="0" w:right="47"/>
        <w:jc w:val="both"/>
        <w:rPr>
          <w:rFonts w:ascii="Bookman Old Style" w:hAnsi="Bookman Old Style" w:cs="Arial"/>
        </w:rPr>
      </w:pPr>
    </w:p>
    <w:p w:rsidR="00575F93" w:rsidRPr="007A5CCB" w:rsidRDefault="00575F93" w:rsidP="00575F93">
      <w:pPr>
        <w:pStyle w:val="ARTICULOS"/>
      </w:pPr>
      <w:r w:rsidRPr="007A5CCB">
        <w:t xml:space="preserve"> La presente resolución no deroga disposiciones vigentes por tratarse de un acto de trámite.</w:t>
      </w:r>
    </w:p>
    <w:p w:rsidR="00575F93" w:rsidRPr="007A5CCB" w:rsidRDefault="00575F93" w:rsidP="00575F93">
      <w:pPr>
        <w:widowControl w:val="0"/>
        <w:rPr>
          <w:rFonts w:ascii="Bookman Old Style" w:hAnsi="Bookman Old Style"/>
        </w:rPr>
      </w:pPr>
    </w:p>
    <w:p w:rsidR="00575F93" w:rsidRPr="007A5CCB" w:rsidRDefault="00575F93" w:rsidP="00575F93">
      <w:pPr>
        <w:widowControl w:val="0"/>
        <w:adjustRightInd w:val="0"/>
        <w:ind w:left="0"/>
        <w:textAlignment w:val="baseline"/>
        <w:rPr>
          <w:rFonts w:ascii="Bookman Old Style" w:hAnsi="Bookman Old Style"/>
        </w:rPr>
      </w:pPr>
    </w:p>
    <w:p w:rsidR="00575F93" w:rsidRPr="007A5CCB" w:rsidRDefault="00575F93" w:rsidP="00575F93">
      <w:pPr>
        <w:widowControl w:val="0"/>
        <w:jc w:val="center"/>
        <w:rPr>
          <w:rFonts w:ascii="Bookman Old Style" w:hAnsi="Bookman Old Style"/>
          <w:b/>
        </w:rPr>
      </w:pPr>
      <w:r w:rsidRPr="007A5CCB">
        <w:rPr>
          <w:rFonts w:ascii="Bookman Old Style" w:hAnsi="Bookman Old Style"/>
          <w:b/>
        </w:rPr>
        <w:t>PUBLÍQUESE Y CÚMPLASE</w:t>
      </w:r>
    </w:p>
    <w:p w:rsidR="00575F93" w:rsidRPr="007A5CCB" w:rsidRDefault="00575F93" w:rsidP="00575F93">
      <w:pPr>
        <w:widowControl w:val="0"/>
        <w:rPr>
          <w:rFonts w:ascii="Bookman Old Style" w:hAnsi="Bookman Old Style"/>
        </w:rPr>
      </w:pPr>
    </w:p>
    <w:p w:rsidR="00575F93" w:rsidRPr="007A5CCB" w:rsidRDefault="00575F93" w:rsidP="00575F93">
      <w:pPr>
        <w:widowControl w:val="0"/>
        <w:ind w:left="0"/>
        <w:rPr>
          <w:rFonts w:ascii="Bookman Old Style" w:hAnsi="Bookman Old Style"/>
        </w:rPr>
      </w:pPr>
      <w:r w:rsidRPr="007A5CCB">
        <w:rPr>
          <w:rFonts w:ascii="Bookman Old Style" w:hAnsi="Bookman Old Style"/>
        </w:rPr>
        <w:t>Dada en Bogotá D.C., a</w:t>
      </w:r>
    </w:p>
    <w:p w:rsidR="00575F93" w:rsidRPr="007A5CCB" w:rsidRDefault="00575F93" w:rsidP="00575F93">
      <w:pPr>
        <w:widowControl w:val="0"/>
        <w:ind w:left="0"/>
        <w:rPr>
          <w:rFonts w:ascii="Bookman Old Style" w:hAnsi="Bookman Old Style"/>
        </w:rPr>
      </w:pPr>
    </w:p>
    <w:p w:rsidR="00575F93" w:rsidRPr="007A5CCB" w:rsidRDefault="00575F93" w:rsidP="00575F93">
      <w:pPr>
        <w:widowControl w:val="0"/>
        <w:ind w:left="0"/>
        <w:rPr>
          <w:rFonts w:ascii="Bookman Old Style" w:hAnsi="Bookman Old Style"/>
        </w:rPr>
      </w:pPr>
    </w:p>
    <w:p w:rsidR="00575F93" w:rsidRPr="007A5CCB" w:rsidRDefault="00575F93" w:rsidP="00575F93">
      <w:pPr>
        <w:widowControl w:val="0"/>
        <w:ind w:left="0"/>
        <w:rPr>
          <w:rFonts w:ascii="Bookman Old Style" w:hAnsi="Bookman Old Style"/>
        </w:rPr>
      </w:pPr>
    </w:p>
    <w:p w:rsidR="00575F93" w:rsidRPr="007A5CCB" w:rsidRDefault="00575F93" w:rsidP="00575F93">
      <w:pPr>
        <w:widowControl w:val="0"/>
        <w:ind w:left="0"/>
        <w:rPr>
          <w:rFonts w:ascii="Bookman Old Style" w:hAnsi="Bookman Old Style"/>
        </w:rPr>
      </w:pPr>
    </w:p>
    <w:p w:rsidR="00575F93" w:rsidRPr="007A5CCB" w:rsidRDefault="00575F93" w:rsidP="00575F93">
      <w:pPr>
        <w:widowControl w:val="0"/>
        <w:ind w:left="0"/>
        <w:rPr>
          <w:rFonts w:ascii="Bookman Old Style" w:hAnsi="Bookman Old Style"/>
        </w:rPr>
      </w:pPr>
    </w:p>
    <w:tbl>
      <w:tblPr>
        <w:tblW w:w="9676" w:type="dxa"/>
        <w:jc w:val="center"/>
        <w:tblLayout w:type="fixed"/>
        <w:tblLook w:val="04A0" w:firstRow="1" w:lastRow="0" w:firstColumn="1" w:lastColumn="0" w:noHBand="0" w:noVBand="1"/>
      </w:tblPr>
      <w:tblGrid>
        <w:gridCol w:w="4928"/>
        <w:gridCol w:w="4748"/>
      </w:tblGrid>
      <w:tr w:rsidR="00575F93" w:rsidRPr="007A5CCB" w:rsidTr="0024550D">
        <w:trPr>
          <w:jc w:val="center"/>
        </w:trPr>
        <w:tc>
          <w:tcPr>
            <w:tcW w:w="4928" w:type="dxa"/>
            <w:hideMark/>
          </w:tcPr>
          <w:p w:rsidR="00575F93" w:rsidRPr="007A5CCB" w:rsidRDefault="003D41A8" w:rsidP="003D41A8">
            <w:pPr>
              <w:ind w:left="0" w:right="-288"/>
              <w:jc w:val="center"/>
              <w:rPr>
                <w:rFonts w:ascii="Bookman Old Style" w:hAnsi="Bookman Old Style"/>
                <w:b/>
              </w:rPr>
            </w:pPr>
            <w:r>
              <w:rPr>
                <w:rFonts w:ascii="Bookman Old Style" w:hAnsi="Bookman Old Style"/>
                <w:b/>
              </w:rPr>
              <w:t>GERMÁN ARCE ZAPATA</w:t>
            </w:r>
          </w:p>
          <w:p w:rsidR="00575F93" w:rsidRPr="007A5CCB" w:rsidRDefault="00575F93" w:rsidP="0024550D">
            <w:pPr>
              <w:ind w:left="-90" w:right="-160"/>
              <w:jc w:val="center"/>
              <w:rPr>
                <w:rFonts w:ascii="Bookman Old Style" w:hAnsi="Bookman Old Style"/>
                <w:bCs/>
                <w:lang w:val="es-CO"/>
              </w:rPr>
            </w:pPr>
            <w:r w:rsidRPr="007A5CCB">
              <w:rPr>
                <w:rFonts w:ascii="Bookman Old Style" w:hAnsi="Bookman Old Style"/>
                <w:bCs/>
                <w:lang w:val="es-CO"/>
              </w:rPr>
              <w:t>Ministro de Minas y Energía</w:t>
            </w:r>
          </w:p>
          <w:p w:rsidR="00575F93" w:rsidRPr="007A5CCB" w:rsidRDefault="00575F93" w:rsidP="0024550D">
            <w:pPr>
              <w:ind w:left="142"/>
              <w:jc w:val="center"/>
              <w:rPr>
                <w:rFonts w:ascii="Bookman Old Style" w:hAnsi="Bookman Old Style"/>
                <w:bCs/>
                <w:lang w:val="es-CO"/>
              </w:rPr>
            </w:pPr>
            <w:r w:rsidRPr="007A5CCB">
              <w:rPr>
                <w:rFonts w:ascii="Bookman Old Style" w:hAnsi="Bookman Old Style"/>
                <w:bCs/>
                <w:lang w:val="es-CO"/>
              </w:rPr>
              <w:t>Presidente</w:t>
            </w:r>
          </w:p>
        </w:tc>
        <w:tc>
          <w:tcPr>
            <w:tcW w:w="4748" w:type="dxa"/>
            <w:hideMark/>
          </w:tcPr>
          <w:p w:rsidR="00575F93" w:rsidRPr="007A5CCB" w:rsidRDefault="00575F93" w:rsidP="0024550D">
            <w:pPr>
              <w:ind w:left="0"/>
              <w:jc w:val="center"/>
              <w:rPr>
                <w:rFonts w:ascii="Bookman Old Style" w:hAnsi="Bookman Old Style"/>
                <w:b/>
              </w:rPr>
            </w:pPr>
            <w:r w:rsidRPr="007A5CCB">
              <w:rPr>
                <w:rFonts w:ascii="Bookman Old Style" w:hAnsi="Bookman Old Style"/>
                <w:b/>
              </w:rPr>
              <w:t>JORGE PINTO NOLLA</w:t>
            </w:r>
          </w:p>
          <w:p w:rsidR="00575F93" w:rsidRPr="007A5CCB" w:rsidRDefault="00575F93" w:rsidP="0024550D">
            <w:pPr>
              <w:ind w:left="0"/>
              <w:jc w:val="center"/>
              <w:rPr>
                <w:rFonts w:ascii="Bookman Old Style" w:hAnsi="Bookman Old Style"/>
              </w:rPr>
            </w:pPr>
            <w:r w:rsidRPr="007A5CCB">
              <w:rPr>
                <w:rFonts w:ascii="Bookman Old Style" w:hAnsi="Bookman Old Style"/>
              </w:rPr>
              <w:t>Director Ejecutivo</w:t>
            </w:r>
          </w:p>
        </w:tc>
      </w:tr>
    </w:tbl>
    <w:p w:rsidR="00575F93" w:rsidRPr="007A5CCB" w:rsidRDefault="00575F93" w:rsidP="00575F93">
      <w:pPr>
        <w:ind w:left="0"/>
        <w:rPr>
          <w:rFonts w:ascii="Bookman Old Style" w:hAnsi="Bookman Old Style"/>
          <w:b/>
          <w:snapToGrid w:val="0"/>
          <w:color w:val="000000"/>
          <w:lang w:val="es-ES_tradnl"/>
        </w:rPr>
      </w:pPr>
      <w:r w:rsidRPr="007A5CCB">
        <w:rPr>
          <w:rFonts w:ascii="Bookman Old Style" w:hAnsi="Bookman Old Style"/>
        </w:rPr>
        <w:br w:type="page"/>
      </w:r>
    </w:p>
    <w:p w:rsidR="00575F93" w:rsidRPr="007A5CCB" w:rsidRDefault="00575F93" w:rsidP="00575F93">
      <w:pPr>
        <w:ind w:left="0"/>
        <w:contextualSpacing/>
        <w:rPr>
          <w:rFonts w:ascii="Bookman Old Style" w:hAnsi="Bookman Old Style"/>
        </w:rPr>
      </w:pPr>
    </w:p>
    <w:p w:rsidR="001B14BA" w:rsidRPr="001B14BA" w:rsidRDefault="001B14BA" w:rsidP="00575F93">
      <w:pPr>
        <w:ind w:left="0"/>
        <w:contextualSpacing/>
        <w:jc w:val="center"/>
        <w:rPr>
          <w:rFonts w:ascii="Bookman Old Style" w:hAnsi="Bookman Old Style"/>
          <w:b/>
        </w:rPr>
      </w:pPr>
      <w:r w:rsidRPr="001B14BA">
        <w:rPr>
          <w:rFonts w:ascii="Bookman Old Style" w:hAnsi="Bookman Old Style"/>
          <w:b/>
        </w:rPr>
        <w:t>PROYECTO DE RESOLUCIÓN</w:t>
      </w:r>
    </w:p>
    <w:p w:rsidR="001B14BA" w:rsidRDefault="001B14BA" w:rsidP="00575F93">
      <w:pPr>
        <w:ind w:left="0"/>
        <w:contextualSpacing/>
        <w:jc w:val="center"/>
        <w:rPr>
          <w:rFonts w:ascii="Bookman Old Style" w:hAnsi="Bookman Old Style"/>
        </w:rPr>
      </w:pPr>
    </w:p>
    <w:p w:rsidR="00666AA8" w:rsidRDefault="00666AA8" w:rsidP="00575F93">
      <w:pPr>
        <w:ind w:left="0"/>
        <w:contextualSpacing/>
        <w:jc w:val="center"/>
        <w:rPr>
          <w:rFonts w:ascii="Bookman Old Style" w:hAnsi="Bookman Old Style"/>
        </w:rPr>
      </w:pPr>
    </w:p>
    <w:p w:rsidR="00575F93" w:rsidRDefault="003D41A8" w:rsidP="00575F93">
      <w:pPr>
        <w:ind w:left="0"/>
        <w:contextualSpacing/>
        <w:jc w:val="center"/>
        <w:rPr>
          <w:rFonts w:ascii="Bookman Old Style" w:hAnsi="Bookman Old Style"/>
        </w:rPr>
      </w:pPr>
      <w:r w:rsidRPr="003D41A8">
        <w:rPr>
          <w:rFonts w:ascii="Bookman Old Style" w:hAnsi="Bookman Old Style"/>
        </w:rPr>
        <w:t>Por la cual se modifica y complementa el Reglamento Único de Tr</w:t>
      </w:r>
      <w:r>
        <w:rPr>
          <w:rFonts w:ascii="Bookman Old Style" w:hAnsi="Bookman Old Style"/>
        </w:rPr>
        <w:t>ansporte de Gas Natural  - RUT</w:t>
      </w:r>
    </w:p>
    <w:p w:rsidR="001B14BA" w:rsidRDefault="001B14BA" w:rsidP="00575F93">
      <w:pPr>
        <w:ind w:left="0"/>
        <w:contextualSpacing/>
        <w:jc w:val="center"/>
        <w:rPr>
          <w:rFonts w:ascii="Bookman Old Style" w:hAnsi="Bookman Old Style"/>
        </w:rPr>
      </w:pPr>
    </w:p>
    <w:p w:rsidR="003D41A8" w:rsidRPr="007A5CCB" w:rsidRDefault="003D41A8" w:rsidP="00575F93">
      <w:pPr>
        <w:ind w:left="0"/>
        <w:contextualSpacing/>
        <w:jc w:val="center"/>
        <w:rPr>
          <w:rFonts w:ascii="Bookman Old Style" w:hAnsi="Bookman Old Style"/>
        </w:rPr>
      </w:pPr>
    </w:p>
    <w:p w:rsidR="00575F93" w:rsidRPr="007A5CCB" w:rsidRDefault="00575F93" w:rsidP="00575F93">
      <w:pPr>
        <w:ind w:right="51"/>
        <w:contextualSpacing/>
        <w:jc w:val="center"/>
        <w:rPr>
          <w:rFonts w:ascii="Bookman Old Style" w:hAnsi="Bookman Old Style"/>
          <w:b/>
        </w:rPr>
      </w:pPr>
      <w:r w:rsidRPr="007A5CCB">
        <w:rPr>
          <w:rFonts w:ascii="Bookman Old Style" w:hAnsi="Bookman Old Style"/>
          <w:b/>
        </w:rPr>
        <w:t>LA COMISIÓN DE REGULACIÓN DE  ENERGÍA Y GAS</w:t>
      </w:r>
    </w:p>
    <w:p w:rsidR="00575F93" w:rsidRPr="007A5CCB" w:rsidRDefault="00575F93" w:rsidP="00575F93">
      <w:pPr>
        <w:ind w:left="0" w:right="51"/>
        <w:contextualSpacing/>
        <w:rPr>
          <w:rFonts w:ascii="Bookman Old Style" w:hAnsi="Bookman Old Style"/>
        </w:rPr>
      </w:pPr>
    </w:p>
    <w:p w:rsidR="00575F93" w:rsidRPr="007A5CCB" w:rsidRDefault="00575F93" w:rsidP="00575F93">
      <w:pPr>
        <w:ind w:left="0" w:right="51"/>
        <w:contextualSpacing/>
        <w:rPr>
          <w:rFonts w:ascii="Bookman Old Style" w:hAnsi="Bookman Old Style"/>
        </w:rPr>
      </w:pPr>
    </w:p>
    <w:p w:rsidR="00575F93" w:rsidRPr="007A5CCB" w:rsidRDefault="00575F93" w:rsidP="00575F93">
      <w:pPr>
        <w:ind w:left="0" w:right="51"/>
        <w:contextualSpacing/>
        <w:jc w:val="center"/>
        <w:rPr>
          <w:rFonts w:ascii="Bookman Old Style" w:hAnsi="Bookman Old Style" w:cs="Arial"/>
          <w:bCs/>
          <w:spacing w:val="-3"/>
        </w:rPr>
      </w:pPr>
      <w:r w:rsidRPr="007A5CCB">
        <w:rPr>
          <w:rFonts w:ascii="Bookman Old Style" w:hAnsi="Bookman Old Style" w:cs="Arial"/>
          <w:bCs/>
          <w:spacing w:val="-3"/>
        </w:rPr>
        <w:t xml:space="preserve">En ejercicio de sus atribuciones legales, en especial las conferidas por las leyes 142 y 143 de 1994, </w:t>
      </w:r>
      <w:r w:rsidR="003D41A8">
        <w:rPr>
          <w:rFonts w:ascii="Bookman Old Style" w:hAnsi="Bookman Old Style" w:cs="Arial"/>
          <w:bCs/>
          <w:spacing w:val="-3"/>
        </w:rPr>
        <w:t xml:space="preserve">401 de 1997 </w:t>
      </w:r>
      <w:r w:rsidRPr="007A5CCB">
        <w:rPr>
          <w:rFonts w:ascii="Bookman Old Style" w:hAnsi="Bookman Old Style" w:cs="Arial"/>
          <w:bCs/>
          <w:spacing w:val="-3"/>
        </w:rPr>
        <w:t>y en desarrollo de los Decretos 1524, 2253 de 1994,1260 de 2013 y 2345 de 2015</w:t>
      </w:r>
    </w:p>
    <w:p w:rsidR="00575F93" w:rsidRPr="007A5CCB" w:rsidRDefault="00575F93" w:rsidP="00575F93">
      <w:pPr>
        <w:ind w:left="0" w:right="51"/>
        <w:contextualSpacing/>
        <w:rPr>
          <w:rFonts w:ascii="Bookman Old Style" w:hAnsi="Bookman Old Style"/>
          <w:b/>
        </w:rPr>
      </w:pPr>
    </w:p>
    <w:p w:rsidR="00575F93" w:rsidRPr="007A5CCB" w:rsidRDefault="00575F93" w:rsidP="00575F93">
      <w:pPr>
        <w:ind w:left="0"/>
        <w:contextualSpacing/>
        <w:rPr>
          <w:rFonts w:ascii="Bookman Old Style" w:hAnsi="Bookman Old Style" w:cs="Arial"/>
          <w:color w:val="000000"/>
        </w:rPr>
      </w:pPr>
    </w:p>
    <w:p w:rsidR="00575F93" w:rsidRPr="007A5CCB" w:rsidRDefault="00575F93" w:rsidP="00575F93">
      <w:pPr>
        <w:ind w:left="0"/>
        <w:contextualSpacing/>
        <w:jc w:val="center"/>
        <w:rPr>
          <w:rFonts w:ascii="Bookman Old Style" w:hAnsi="Bookman Old Style" w:cs="Arial"/>
          <w:b/>
          <w:color w:val="000000"/>
        </w:rPr>
      </w:pPr>
      <w:r w:rsidRPr="007A5CCB">
        <w:rPr>
          <w:rFonts w:ascii="Bookman Old Style" w:hAnsi="Bookman Old Style" w:cs="Arial"/>
          <w:b/>
          <w:color w:val="000000"/>
        </w:rPr>
        <w:t>C O N S I D E R A N D O  Q U E:</w:t>
      </w:r>
    </w:p>
    <w:p w:rsidR="00575F93" w:rsidRPr="007A5CCB" w:rsidRDefault="00575F93" w:rsidP="00575F93">
      <w:pPr>
        <w:ind w:left="0"/>
        <w:contextualSpacing/>
        <w:rPr>
          <w:rFonts w:ascii="Bookman Old Style" w:hAnsi="Bookman Old Style" w:cs="Arial"/>
          <w:b/>
          <w:color w:val="000000"/>
        </w:rPr>
      </w:pPr>
    </w:p>
    <w:p w:rsidR="00575F93" w:rsidRPr="007A5CCB" w:rsidRDefault="00575F93" w:rsidP="00575F93">
      <w:pPr>
        <w:ind w:left="0"/>
        <w:jc w:val="both"/>
        <w:rPr>
          <w:rFonts w:ascii="Bookman Old Style" w:hAnsi="Bookman Old Style" w:cs="Arial"/>
          <w:bCs/>
          <w:color w:val="000000" w:themeColor="text1"/>
          <w:lang w:eastAsia="es-CO"/>
        </w:rPr>
      </w:pPr>
      <w:r w:rsidRPr="007A5CCB">
        <w:rPr>
          <w:rFonts w:ascii="Bookman Old Style" w:hAnsi="Bookman Old Style" w:cs="Arial"/>
          <w:bCs/>
          <w:color w:val="000000" w:themeColor="text1"/>
          <w:lang w:eastAsia="es-CO"/>
        </w:rPr>
        <w:t>El inciso tercero del artículo 333 de la Constitución Política establece que “el Estado, por mandato de la ley, impedirá que se obstruya o se restrinja la libertad económica y evitará o controlará cualquier abuso que personas o empresas hagan de su posición dominante en el mercado nacional”.</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lang w:val="es-ES_tradnl"/>
        </w:rPr>
      </w:pPr>
      <w:r w:rsidRPr="007A5CCB">
        <w:rPr>
          <w:rFonts w:ascii="Bookman Old Style" w:hAnsi="Bookman Old Style" w:cs="Arial"/>
          <w:color w:val="000000" w:themeColor="text1"/>
          <w:lang w:val="es-ES_tradnl"/>
        </w:rPr>
        <w:t>El artículo 365 de la Constitución Política establece, a su vez, que “los servicios públicos son inherentes a la finalidad social del Estado. Es deber del Estado asegurar su prestación eficiente a todos los habitantes del territorio nacional”, que los mismos estarán sometidos al régimen jurídico que fije la ley, y que “en todo caso, el Estado mantendrá la regulación, el control y la vigilancia de dichos servicios”.</w:t>
      </w:r>
    </w:p>
    <w:p w:rsidR="00575F93" w:rsidRPr="007A5CCB" w:rsidRDefault="00575F93" w:rsidP="00575F93">
      <w:pPr>
        <w:ind w:left="0"/>
        <w:jc w:val="both"/>
        <w:rPr>
          <w:rFonts w:ascii="Bookman Old Style" w:hAnsi="Bookman Old Style" w:cs="Arial"/>
          <w:color w:val="000000" w:themeColor="text1"/>
          <w:lang w:val="es-CO"/>
        </w:rPr>
      </w:pPr>
    </w:p>
    <w:p w:rsidR="00575F93" w:rsidRPr="007A5CCB" w:rsidRDefault="00575F93" w:rsidP="00575F93">
      <w:pPr>
        <w:ind w:left="0"/>
        <w:jc w:val="both"/>
        <w:rPr>
          <w:rFonts w:ascii="Bookman Old Style" w:hAnsi="Bookman Old Style" w:cs="Calibri"/>
          <w:color w:val="000000" w:themeColor="text1"/>
        </w:rPr>
      </w:pPr>
      <w:r w:rsidRPr="007A5CCB">
        <w:rPr>
          <w:rFonts w:ascii="Bookman Old Style" w:hAnsi="Bookman Old Style" w:cs="Calibri"/>
          <w:color w:val="000000" w:themeColor="text1"/>
        </w:rPr>
        <w:t>Los artículos 1, 2, 3 y 4 de la Ley 142 de 1994 establecen que los servicios públicos domiciliarios son esenciales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materia de servicios públicos, a las cuales le corresponde expedir la normativa en diferentes materias como es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rsidR="00575F93" w:rsidRPr="007A5CCB" w:rsidRDefault="00575F93" w:rsidP="00575F93">
      <w:pPr>
        <w:ind w:left="0"/>
        <w:jc w:val="both"/>
        <w:rPr>
          <w:rFonts w:ascii="Bookman Old Style" w:hAnsi="Bookman Old Style" w:cs="Arial"/>
          <w:color w:val="000000" w:themeColor="text1"/>
        </w:rPr>
      </w:pPr>
    </w:p>
    <w:p w:rsidR="00575F93" w:rsidRDefault="00575F93" w:rsidP="00575F93">
      <w:pPr>
        <w:ind w:left="0"/>
        <w:jc w:val="both"/>
        <w:rPr>
          <w:rFonts w:ascii="Bookman Old Style" w:hAnsi="Bookman Old Style" w:cs="Calibri"/>
          <w:color w:val="000000" w:themeColor="text1"/>
        </w:rPr>
      </w:pPr>
      <w:r w:rsidRPr="007A5CCB">
        <w:rPr>
          <w:rFonts w:ascii="Bookman Old Style" w:hAnsi="Bookman Old Style" w:cs="Calibri"/>
          <w:color w:val="000000" w:themeColor="text1"/>
        </w:rPr>
        <w:t xml:space="preserve">Los artículos 14.18 y 69 de la Ley 142 de 1994 prevén a cargo de las comisiones de regulación la atribución de regular el servicio público respectivo con sujeción a la ley y a los decretos reglamentarios como una función de intervención sobre la base de lo que las normas superiores dispongan para asegurar que quienes presten los servicios públicos se sujeten a sus mandatos. El ejercicio de dicha atribución ha sido definida legalmente como la facultad de dictar normas de carácter general o particular en los términos de la Constitución y la ley, para someter la conducta de las personas que presten los </w:t>
      </w:r>
      <w:r w:rsidRPr="007A5CCB">
        <w:rPr>
          <w:rFonts w:ascii="Bookman Old Style" w:hAnsi="Bookman Old Style" w:cs="Calibri"/>
          <w:color w:val="000000" w:themeColor="text1"/>
        </w:rPr>
        <w:lastRenderedPageBreak/>
        <w:t>servicios públicos domiciliarios y sus actividades complementarias a las reglas, normas, principios y deberes establecidos por la ley y los reglamentos.</w:t>
      </w:r>
    </w:p>
    <w:p w:rsidR="00666AA8" w:rsidRPr="003D41A8" w:rsidRDefault="00666AA8" w:rsidP="00575F93">
      <w:pPr>
        <w:ind w:left="0"/>
        <w:jc w:val="both"/>
        <w:rPr>
          <w:rFonts w:ascii="Bookman Old Style" w:hAnsi="Bookman Old Style" w:cs="Calibri"/>
          <w:color w:val="000000" w:themeColor="text1"/>
        </w:rPr>
      </w:pPr>
    </w:p>
    <w:p w:rsidR="00575F93" w:rsidRPr="007A5CCB" w:rsidRDefault="00575F93" w:rsidP="00575F93">
      <w:pPr>
        <w:ind w:left="0"/>
        <w:contextualSpacing/>
        <w:jc w:val="both"/>
        <w:rPr>
          <w:rFonts w:ascii="Bookman Old Style" w:hAnsi="Bookman Old Style"/>
          <w:lang w:val="es-CO"/>
        </w:rPr>
      </w:pPr>
      <w:r w:rsidRPr="007A5CCB">
        <w:rPr>
          <w:rFonts w:ascii="Bookman Old Style" w:hAnsi="Bookman Old Style"/>
          <w:lang w:val="es-CO"/>
        </w:rPr>
        <w:t xml:space="preserve">En relación con lo anterior y atendiendo el análisis que se ha hecho del alcance y la finalidad que comprende dicha atribución, se debe tener en cuenta entonces que la regulación y las medidas regulatorias que se adopten por parte de esta Comisión, </w:t>
      </w:r>
      <w:r w:rsidRPr="007A5CCB">
        <w:rPr>
          <w:rFonts w:ascii="Bookman Old Style" w:eastAsia="Calibri" w:hAnsi="Bookman Old Style"/>
          <w:lang w:val="es-ES_tradnl" w:eastAsia="en-US"/>
        </w:rPr>
        <w:t>deben propender, entre otros fines, por la convergencia entre los intereses colectivos que persigue la prestación de los servicios públicos, como por aquellos intereses de las empresas en relación con la competencia, la iniciativa privada y la libertad de empresa, entendidas como la existencia de “</w:t>
      </w:r>
      <w:r w:rsidRPr="007A5CCB">
        <w:rPr>
          <w:rFonts w:ascii="Bookman Old Style" w:eastAsia="Calibri" w:hAnsi="Bookman Old Style"/>
          <w:i/>
          <w:lang w:val="es-ES_tradnl" w:eastAsia="en-US"/>
        </w:rPr>
        <w:t>relaciones jurídicas de equilibrio entre usuarios y las empresas prestadoras de servicios públicos domiciliarios”</w:t>
      </w:r>
      <w:r w:rsidRPr="007A5CCB">
        <w:rPr>
          <w:rFonts w:ascii="Bookman Old Style" w:eastAsia="Calibri" w:hAnsi="Bookman Old Style"/>
          <w:vertAlign w:val="superscript"/>
          <w:lang w:val="es-ES_tradnl" w:eastAsia="en-US"/>
        </w:rPr>
        <w:footnoteReference w:id="3"/>
      </w:r>
      <w:r w:rsidRPr="007A5CCB">
        <w:rPr>
          <w:rFonts w:ascii="Bookman Old Style" w:eastAsia="Calibri" w:hAnsi="Bookman Old Style"/>
          <w:i/>
          <w:lang w:val="es-ES_tradnl" w:eastAsia="en-US"/>
        </w:rPr>
        <w:t>.</w:t>
      </w:r>
    </w:p>
    <w:p w:rsidR="00575F93" w:rsidRPr="007A5CCB" w:rsidRDefault="00575F93" w:rsidP="00575F93">
      <w:pPr>
        <w:ind w:left="0"/>
        <w:contextualSpacing/>
        <w:jc w:val="both"/>
        <w:rPr>
          <w:rFonts w:ascii="Bookman Old Style" w:hAnsi="Bookman Old Style"/>
          <w:lang w:val="es-CO"/>
        </w:rPr>
      </w:pPr>
    </w:p>
    <w:p w:rsidR="00575F93" w:rsidRDefault="00575F93" w:rsidP="00575F93">
      <w:pPr>
        <w:ind w:left="0"/>
        <w:contextualSpacing/>
        <w:jc w:val="both"/>
        <w:rPr>
          <w:rFonts w:ascii="Bookman Old Style" w:eastAsia="Calibri" w:hAnsi="Bookman Old Style"/>
          <w:sz w:val="22"/>
          <w:szCs w:val="22"/>
          <w:lang w:val="es-ES_tradnl" w:eastAsia="en-US"/>
        </w:rPr>
      </w:pPr>
      <w:r w:rsidRPr="007A5CCB">
        <w:rPr>
          <w:rFonts w:ascii="Bookman Old Style" w:eastAsia="Calibri" w:hAnsi="Bookman Old Style"/>
          <w:lang w:val="es-CO" w:eastAsia="en-US"/>
        </w:rPr>
        <w:t>Dicha</w:t>
      </w:r>
      <w:r w:rsidRPr="007A5CCB">
        <w:rPr>
          <w:rFonts w:ascii="Bookman Old Style" w:eastAsia="Calibri" w:hAnsi="Bookman Old Style"/>
          <w:lang w:val="es-ES_tradnl" w:eastAsia="en-US"/>
        </w:rPr>
        <w:t xml:space="preserve">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7A5CCB">
        <w:rPr>
          <w:rFonts w:ascii="Bookman Old Style" w:eastAsia="Calibri" w:hAnsi="Bookman Old Style"/>
          <w:vertAlign w:val="superscript"/>
          <w:lang w:val="es-ES_tradnl" w:eastAsia="en-US"/>
        </w:rPr>
        <w:footnoteReference w:id="4"/>
      </w:r>
      <w:r w:rsidRPr="007A5CCB">
        <w:rPr>
          <w:rFonts w:ascii="Bookman Old Style" w:eastAsia="Calibri" w:hAnsi="Bookman Old Style"/>
          <w:lang w:val="es-ES_tradnl" w:eastAsia="en-US"/>
        </w:rPr>
        <w:t xml:space="preserve">. </w:t>
      </w:r>
    </w:p>
    <w:p w:rsidR="003D41A8" w:rsidRPr="003D41A8" w:rsidRDefault="003D41A8" w:rsidP="00575F93">
      <w:pPr>
        <w:ind w:left="0"/>
        <w:contextualSpacing/>
        <w:jc w:val="both"/>
        <w:rPr>
          <w:rFonts w:ascii="Bookman Old Style" w:eastAsia="Calibri" w:hAnsi="Bookman Old Style"/>
          <w:sz w:val="22"/>
          <w:szCs w:val="22"/>
          <w:lang w:val="es-ES_tradnl" w:eastAsia="en-US"/>
        </w:rPr>
      </w:pPr>
    </w:p>
    <w:p w:rsidR="00575F93" w:rsidRPr="007A5CCB" w:rsidRDefault="00575F93" w:rsidP="00575F93">
      <w:pPr>
        <w:ind w:left="0"/>
        <w:contextualSpacing/>
        <w:jc w:val="both"/>
        <w:rPr>
          <w:rFonts w:ascii="Bookman Old Style" w:hAnsi="Bookman Old Style"/>
          <w:lang w:val="es-CO"/>
        </w:rPr>
      </w:pPr>
      <w:r w:rsidRPr="007A5CCB">
        <w:rPr>
          <w:rFonts w:ascii="Bookman Old Style" w:hAnsi="Bookman Old Style"/>
          <w:lang w:val="es-CO"/>
        </w:rPr>
        <w:t>Esto, teniendo en cuenta que la jurisprudencia constitucional</w:t>
      </w:r>
      <w:r w:rsidRPr="007A5CCB">
        <w:rPr>
          <w:rFonts w:ascii="Bookman Old Style" w:hAnsi="Bookman Old Style"/>
          <w:vertAlign w:val="superscript"/>
          <w:lang w:val="es-CO"/>
        </w:rPr>
        <w:footnoteReference w:id="5"/>
      </w:r>
      <w:r w:rsidRPr="007A5CCB">
        <w:rPr>
          <w:rFonts w:ascii="Bookman Old Style" w:hAnsi="Bookman Old Style"/>
          <w:vertAlign w:val="superscript"/>
          <w:lang w:val="es-CO"/>
        </w:rPr>
        <w:t xml:space="preserve"> </w:t>
      </w:r>
      <w:r w:rsidRPr="007A5CCB">
        <w:rPr>
          <w:rFonts w:ascii="Bookman Old Style" w:hAnsi="Bookman Old Style"/>
          <w:lang w:val="es-CO"/>
        </w:rPr>
        <w:t xml:space="preserve">ha precisado que la regulación, como mecanismo de intervención del Estado en la economía, así como las funciones que en esta materia le han sido atribuidas a las comisiones de regulación en materia de servicios públicos domiciliarios, se debe ejercer a fin de garantizar la prestación eficiente de los servicios, en este caso de energía eléctrica y gas combustible, el buen funcionamiento del mercado, </w:t>
      </w:r>
      <w:r w:rsidRPr="007A5CCB">
        <w:rPr>
          <w:rFonts w:ascii="Bookman Old Style" w:eastAsia="Calibri" w:hAnsi="Bookman Old Style"/>
          <w:lang w:val="es-ES_tradnl" w:eastAsia="en-US"/>
        </w:rPr>
        <w:t>los fines sociales del Estado</w:t>
      </w:r>
      <w:r w:rsidRPr="007A5CCB">
        <w:rPr>
          <w:rFonts w:ascii="Bookman Old Style" w:eastAsia="Calibri" w:hAnsi="Bookman Old Style"/>
          <w:vertAlign w:val="superscript"/>
          <w:lang w:val="es-ES_tradnl" w:eastAsia="en-US"/>
        </w:rPr>
        <w:footnoteReference w:id="6"/>
      </w:r>
      <w:r w:rsidRPr="007A5CCB">
        <w:rPr>
          <w:rFonts w:ascii="Bookman Old Style" w:eastAsia="Calibri" w:hAnsi="Bookman Old Style"/>
          <w:lang w:val="es-ES_tradnl" w:eastAsia="en-US"/>
        </w:rPr>
        <w:t>, la corrección de las imperfecciones del mercado</w:t>
      </w:r>
      <w:r w:rsidRPr="007A5CCB">
        <w:rPr>
          <w:rFonts w:ascii="Bookman Old Style" w:eastAsia="Calibri" w:hAnsi="Bookman Old Style"/>
          <w:vertAlign w:val="superscript"/>
          <w:lang w:val="es-ES_tradnl" w:eastAsia="en-US"/>
        </w:rPr>
        <w:footnoteReference w:id="7"/>
      </w:r>
      <w:r w:rsidRPr="007A5CCB">
        <w:rPr>
          <w:rFonts w:ascii="Bookman Old Style" w:eastAsia="Calibri" w:hAnsi="Bookman Old Style"/>
          <w:lang w:val="es-ES_tradnl" w:eastAsia="en-US"/>
        </w:rPr>
        <w:t>, así como la satisfacción del interés general, entre otros.</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El artículo 34 de la Ley 142 de 1994 dispone que “las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 estableciendo para el efecto, entre otras, qué prácticas son consideradas como restricción indebida a la competencia, dentro de las que se destaca la establecida en su numeral 34.6, que estipula como una de ellas, “el abuso de la posición dominante al que se refiere el artículo 133 de esta Ley, cualquiera que sea la otra parte contratante y en cualquier clase de contratos”.</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 xml:space="preserve">La Ley 401 de 1997 dispuso en el parágrafo 2 de su artículo 11 que “las competencias previstas en la Ley </w:t>
      </w:r>
      <w:hyperlink r:id="rId10" w:anchor="1" w:tgtFrame="_blank" w:history="1">
        <w:r w:rsidRPr="007A5CCB">
          <w:rPr>
            <w:rFonts w:ascii="Bookman Old Style" w:hAnsi="Bookman Old Style" w:cs="Arial"/>
            <w:color w:val="000000" w:themeColor="text1"/>
          </w:rPr>
          <w:t>142</w:t>
        </w:r>
      </w:hyperlink>
      <w:r w:rsidRPr="007A5CCB">
        <w:rPr>
          <w:rFonts w:ascii="Bookman Old Style" w:hAnsi="Bookman Old Style" w:cs="Arial"/>
          <w:color w:val="000000" w:themeColor="text1"/>
        </w:rPr>
        <w:t xml:space="preserve"> de 1994 en lo relacionado con el servicio público domiciliario, comercial e industrial de gas combustible, sólo se predicarán en los casos en que el gas se utilice efectivamente como combustible y no como materia prima de procesos industriales petroquímicos”.</w:t>
      </w:r>
      <w:r w:rsidRPr="007A5CCB">
        <w:rPr>
          <w:rFonts w:ascii="Bookman Old Style" w:hAnsi="Bookman Old Style"/>
        </w:rPr>
        <w:t xml:space="preserve"> </w:t>
      </w:r>
      <w:r w:rsidRPr="007A5CCB">
        <w:rPr>
          <w:rFonts w:ascii="Bookman Old Style" w:hAnsi="Bookman Old Style" w:cs="Arial"/>
          <w:color w:val="000000" w:themeColor="text1"/>
        </w:rPr>
        <w:t xml:space="preserve">En dicha se establece entonces que el gas combustible que se transporte por </w:t>
      </w:r>
      <w:r w:rsidRPr="007A5CCB">
        <w:rPr>
          <w:rFonts w:ascii="Bookman Old Style" w:hAnsi="Bookman Old Style" w:cs="Arial"/>
          <w:color w:val="000000" w:themeColor="text1"/>
        </w:rPr>
        <w:lastRenderedPageBreak/>
        <w:t>red física a todos los usuarios del territorio nacional, se regirá por las disposiciones contenidas en la Ley 142 de 1994, con el propósito de asegurar una prestación eficiente del servicio público domiciliario.</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De acuerdo con lo establecido en el literal a) del artículo 74.1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De acuerdo con lo establecido en el artículo 14 de la Ley 142 de 1994, la actividad de transporte de gas natural es una actividad complementaria del servicio público domiciliario de gas combustible. Así mismo, es derecho de todas las empresas, construir, operar y modificar sus redes e instalaciones para prestar los servicios públicos, para lo cual cumplirán con los mismos requisitos exigidos por la ley a todos los prestadores, como lo garantiza el artículo 28 de la Ley 142 de 1994.</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El literal b) del artículo 74.1 de la Ley 142 de 1994 determina que corresponde a la CREG e</w:t>
      </w:r>
      <w:r w:rsidRPr="007A5CCB">
        <w:rPr>
          <w:rFonts w:ascii="Bookman Old Style" w:hAnsi="Bookman Old Style"/>
          <w:color w:val="000000" w:themeColor="text1"/>
        </w:rPr>
        <w:t>xpedir regulaciones específicas para el uso eficiente del gas combustible por parte de los consumidores.</w:t>
      </w:r>
      <w:r w:rsidRPr="007A5CCB">
        <w:rPr>
          <w:rFonts w:ascii="Bookman Old Style" w:hAnsi="Bookman Old Style" w:cs="Arial"/>
          <w:color w:val="000000" w:themeColor="text1"/>
        </w:rPr>
        <w:t xml:space="preserve"> Así mismo, de acuerdo con lo establecido en el literal c) del artículo 74.1 de la Ley 142 de 1994, es función de la CREG establecer el reglamento de operación para regular el funcionamiento del mercado mayorista de gas combustible.</w:t>
      </w:r>
    </w:p>
    <w:p w:rsidR="00575F93" w:rsidRDefault="00575F93" w:rsidP="00575F93">
      <w:pPr>
        <w:ind w:left="0"/>
        <w:jc w:val="both"/>
        <w:rPr>
          <w:rFonts w:ascii="Bookman Old Style" w:hAnsi="Bookman Old Style" w:cs="Arial"/>
          <w:color w:val="000000" w:themeColor="text1"/>
        </w:rPr>
      </w:pPr>
    </w:p>
    <w:p w:rsidR="00D95396" w:rsidRPr="00D95396" w:rsidRDefault="00D95396" w:rsidP="00575F93">
      <w:pPr>
        <w:ind w:left="0"/>
        <w:jc w:val="both"/>
        <w:rPr>
          <w:rFonts w:ascii="Bookman Old Style" w:hAnsi="Bookman Old Style" w:cs="Arial"/>
          <w:color w:val="000000" w:themeColor="text1"/>
          <w:lang w:val="es-ES_tradnl"/>
        </w:rPr>
      </w:pPr>
      <w:r w:rsidRPr="00D95396">
        <w:rPr>
          <w:rFonts w:ascii="Bookman Old Style" w:hAnsi="Bookman Old Style" w:cs="Arial"/>
          <w:color w:val="000000" w:themeColor="text1"/>
          <w:lang w:val="es-ES_tradnl"/>
        </w:rPr>
        <w:t>El numeral 6 del artículo 11 de la Ley 142 de 1994 establece la función social de la propiedad en las entidades prestadoras de servicios públicos, ya sea esta pública o privada. De acuerdo con esto, las entidades que presten servicios públicos tienen la obligación de facilitar el acceso e interconexión de otras empresas o entidades que prestan servicios públicos, o que sean grandes usuarios de ellos, a los bienes empleados para la organización y prestación de los servicios.</w:t>
      </w:r>
    </w:p>
    <w:p w:rsidR="00D95396" w:rsidRPr="007A5CCB" w:rsidRDefault="00D95396"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Ley 401 de 1997 en su artículo 3 le atribuyó a la CREG la función de establecer las reglas y condiciones operativas que debe cumplir toda la infraestructura del Sistema Nacional de Transporte a través del Reglamento Único de Transporte de Gas Natural.</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 xml:space="preserve">Mediante la Resolución CREG 071 de 1999, la cual ha sido modificada, adicionada y complementada, entre otras, por las resoluciones CREG 084 de 2000, 028 de 2001, 102 de 2001, 014 de 2003, 054 de 2007, 041 de 2008, 077 de 2008, 154 de 2008, 131 de 2009, 187 de 2009, 162 de 2010, 169 de 2011, 171 de 2011, 078 de 2013 y 089 de 2013, la CREG adoptó el reglamento único de transporte de gas natural, RUT, mediante el cual se busca en relación con el Sistema Nacional de Transporte: i) garantizar el acceso abierto y sin discriminación; ii) crear las condiciones e instrumentos para la operación eficiente, económica y confiable; iii) facilitar el desarrollo de mercados de suministro y transporte de gas; iv) estandarizar prácticas y terminología para la </w:t>
      </w:r>
      <w:r w:rsidRPr="007A5CCB">
        <w:rPr>
          <w:rFonts w:ascii="Bookman Old Style" w:hAnsi="Bookman Old Style" w:cs="Arial"/>
          <w:color w:val="000000" w:themeColor="text1"/>
        </w:rPr>
        <w:lastRenderedPageBreak/>
        <w:t>industria de gas y; v) fijar normas y especificaciones de</w:t>
      </w:r>
      <w:r w:rsidR="00D95396">
        <w:rPr>
          <w:rFonts w:ascii="Bookman Old Style" w:hAnsi="Bookman Old Style" w:cs="Arial"/>
          <w:color w:val="000000" w:themeColor="text1"/>
        </w:rPr>
        <w:t xml:space="preserve"> calidad del gas transportado. </w:t>
      </w:r>
    </w:p>
    <w:p w:rsidR="00575F93" w:rsidRPr="007A5CCB" w:rsidRDefault="00575F93" w:rsidP="00575F93">
      <w:pPr>
        <w:ind w:left="0"/>
        <w:jc w:val="both"/>
        <w:rPr>
          <w:rFonts w:ascii="Bookman Old Style" w:hAnsi="Bookman Old Style" w:cs="Arial"/>
          <w:color w:val="000000" w:themeColor="text1"/>
        </w:rPr>
      </w:pPr>
    </w:p>
    <w:p w:rsidR="0096075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 xml:space="preserve">De acuerdo con las atribuciones regulatorias previstas en la Ley 142 de 1994, dentro de disposiciones que hacen parte del RUT se reguló el acceso al Sistema Nacional de Transporte - SNT y sus servicios, así como la responsabilidad y propiedad de la conexión y de los puntos de entrada y salida. Dentro de las disposiciones que hacen parte de las medidas regulatorias adoptadas en estas materias, principalmente mediante las resoluciones CREG 041 de 2008, 169 de 2011, 171 de 2011, las cuales modifican, adicionan y aclaran el RUT. De acuerdo con lo establecido en estas disposiciones, </w:t>
      </w:r>
      <w:r w:rsidR="0096075B">
        <w:rPr>
          <w:rFonts w:ascii="Bookman Old Style" w:hAnsi="Bookman Old Style" w:cs="Arial"/>
          <w:color w:val="000000" w:themeColor="text1"/>
        </w:rPr>
        <w:t xml:space="preserve">allí </w:t>
      </w:r>
      <w:r w:rsidR="0056289C">
        <w:rPr>
          <w:rFonts w:ascii="Bookman Old Style" w:hAnsi="Bookman Old Style" w:cs="Arial"/>
          <w:color w:val="000000" w:themeColor="text1"/>
        </w:rPr>
        <w:t>se consagró la definición de “conexión” que se encuentra actualmente en el RUT</w:t>
      </w:r>
      <w:r w:rsidR="0096075B">
        <w:rPr>
          <w:rFonts w:ascii="Bookman Old Style" w:hAnsi="Bookman Old Style" w:cs="Arial"/>
          <w:color w:val="000000" w:themeColor="text1"/>
        </w:rPr>
        <w:t>, así como la responsabilidad y propiedad de las conexiones.</w:t>
      </w:r>
    </w:p>
    <w:p w:rsidR="00D95396" w:rsidRDefault="00D95396" w:rsidP="00575F93">
      <w:pPr>
        <w:ind w:left="0"/>
        <w:jc w:val="both"/>
        <w:rPr>
          <w:rFonts w:ascii="Bookman Old Style" w:hAnsi="Bookman Old Style" w:cs="Arial"/>
          <w:color w:val="000000" w:themeColor="text1"/>
        </w:rPr>
      </w:pPr>
    </w:p>
    <w:p w:rsidR="0096075B" w:rsidRPr="007A5CCB" w:rsidRDefault="0096075B" w:rsidP="0096075B">
      <w:pPr>
        <w:ind w:left="0"/>
        <w:jc w:val="both"/>
        <w:rPr>
          <w:rFonts w:ascii="Bookman Old Style" w:hAnsi="Bookman Old Style" w:cs="Arial"/>
          <w:color w:val="000000" w:themeColor="text1"/>
        </w:rPr>
      </w:pPr>
      <w:r>
        <w:rPr>
          <w:rFonts w:ascii="Bookman Old Style" w:hAnsi="Bookman Old Style" w:cs="Arial"/>
          <w:color w:val="000000" w:themeColor="text1"/>
        </w:rPr>
        <w:t>Así mismo, dentro de la Resolución CREG 126 de 2010 se establece</w:t>
      </w:r>
      <w:r w:rsidRPr="0096075B">
        <w:rPr>
          <w:rFonts w:ascii="Bookman Old Style" w:hAnsi="Bookman Old Style" w:cs="Arial"/>
          <w:color w:val="000000" w:themeColor="text1"/>
        </w:rPr>
        <w:t>, entre otros aspectos, que las inversiones correspondientes a activos de conexión no serán consideradas para los cálculos de los cargos de transporte y que los costos de estos activos serán cubiertos por los agentes o usuarios que se beneficien de los mismos. También se establece que aquellas conexiones que a la fecha de entrada en vigencia de la Resolución CREG 126 de 2010 se encontraban incluidas en los cargos de transporte podrán mantenerse en la base de activos a reconocer en el tramo o grupo de gasoductos del</w:t>
      </w:r>
      <w:r>
        <w:rPr>
          <w:rFonts w:ascii="Bookman Old Style" w:hAnsi="Bookman Old Style" w:cs="Arial"/>
          <w:color w:val="000000" w:themeColor="text1"/>
        </w:rPr>
        <w:t xml:space="preserve"> transportador correspondiente. De acuerdo con lo anterior, </w:t>
      </w:r>
      <w:r w:rsidRPr="0096075B">
        <w:rPr>
          <w:rFonts w:ascii="Bookman Old Style" w:hAnsi="Bookman Old Style" w:cs="Arial"/>
          <w:color w:val="000000" w:themeColor="text1"/>
        </w:rPr>
        <w:t xml:space="preserve">las conexiones que no estaban incluidas en los cargos de transporte a la entrada en vigencia de la Resolución CREG 126 de 2010 serán asumidas por los usuarios o agentes que se beneficien de las mismas.  </w:t>
      </w:r>
    </w:p>
    <w:p w:rsidR="00575F93" w:rsidRPr="007A5CCB" w:rsidRDefault="00575F93"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El artículo 21 del Decreto 2100 de 2011 determina que cuando la CREG lo solicite, el CNOG expedirá los acuerdos y protocolos operativos que se requieran.</w:t>
      </w:r>
    </w:p>
    <w:p w:rsidR="00575F93" w:rsidRPr="007A5CCB" w:rsidRDefault="00575F93" w:rsidP="00575F93">
      <w:pPr>
        <w:ind w:left="0"/>
        <w:jc w:val="both"/>
        <w:rPr>
          <w:rFonts w:ascii="Bookman Old Style" w:hAnsi="Bookman Old Style" w:cs="Arial"/>
          <w:color w:val="000000" w:themeColor="text1"/>
        </w:rPr>
      </w:pPr>
    </w:p>
    <w:p w:rsidR="00575F93" w:rsidRDefault="00575F93" w:rsidP="00575F93">
      <w:pPr>
        <w:ind w:left="0"/>
        <w:jc w:val="both"/>
        <w:rPr>
          <w:rFonts w:ascii="Bookman Old Style" w:hAnsi="Bookman Old Style" w:cs="Arial"/>
          <w:color w:val="000000" w:themeColor="text1"/>
          <w:lang w:val="es-CO"/>
        </w:rPr>
      </w:pPr>
      <w:r w:rsidRPr="007A5CCB">
        <w:rPr>
          <w:rFonts w:ascii="Bookman Old Style" w:hAnsi="Bookman Old Style" w:cs="Arial"/>
          <w:color w:val="000000" w:themeColor="text1"/>
          <w:lang w:val="es-CO"/>
        </w:rPr>
        <w:t xml:space="preserve">Mediante el Decreto 1073 de 2015 se expidió el “Decreto Reglamentario Único Sectorial del Sector Administrativo de Minas y Energía”, el cual en su Título II establece las disposiciones reglamentarias en materia de gas natural y en su Capítulo 3 incorpora disposiciones particulares para la actividad de transporte de gas natural. </w:t>
      </w:r>
    </w:p>
    <w:p w:rsidR="00D95396" w:rsidRDefault="00D95396" w:rsidP="00575F93">
      <w:pPr>
        <w:ind w:left="0"/>
        <w:jc w:val="both"/>
        <w:rPr>
          <w:rFonts w:ascii="Bookman Old Style" w:hAnsi="Bookman Old Style" w:cs="Arial"/>
          <w:color w:val="000000" w:themeColor="text1"/>
          <w:lang w:val="es-CO"/>
        </w:rPr>
      </w:pPr>
    </w:p>
    <w:p w:rsidR="00FD0E34" w:rsidRDefault="00FD0E34" w:rsidP="00575F93">
      <w:pPr>
        <w:ind w:left="0"/>
        <w:jc w:val="both"/>
        <w:rPr>
          <w:rFonts w:ascii="Bookman Old Style" w:hAnsi="Bookman Old Style" w:cs="Arial"/>
          <w:color w:val="000000" w:themeColor="text1"/>
        </w:rPr>
      </w:pPr>
      <w:r>
        <w:rPr>
          <w:rFonts w:ascii="Bookman Old Style" w:hAnsi="Bookman Old Style" w:cs="Arial"/>
          <w:color w:val="000000" w:themeColor="text1"/>
        </w:rPr>
        <w:t xml:space="preserve">La Resolución CREG 202 de 2013 ha definido a los sistemas de distribución como </w:t>
      </w:r>
      <w:r w:rsidRPr="00FD0E34">
        <w:rPr>
          <w:rFonts w:ascii="Bookman Old Style" w:hAnsi="Bookman Old Style" w:cs="Arial"/>
          <w:color w:val="000000" w:themeColor="text1"/>
        </w:rPr>
        <w:t xml:space="preserve">el conjunto de gasoductos y estaciones reguladoras de presión que transportan Gas Combustible desde una Estación Reguladora de Puerta de Ciudad o desde una Estación de Transferencia de Custodia de Distribución o desde un Tanque de Almacenamiento, o desde una Estación de Descompresión, hasta el punto de derivación de otro Sistema de Distribución y/o de las acometidas de los inmuebles, sin incluir su Conexión. </w:t>
      </w:r>
      <w:r w:rsidR="00042250">
        <w:rPr>
          <w:rFonts w:ascii="Bookman Old Style" w:hAnsi="Bookman Old Style" w:cs="Arial"/>
          <w:color w:val="000000" w:themeColor="text1"/>
        </w:rPr>
        <w:t xml:space="preserve"> </w:t>
      </w:r>
    </w:p>
    <w:p w:rsidR="00FD0E34" w:rsidRDefault="00FD0E34" w:rsidP="00575F93">
      <w:pPr>
        <w:ind w:left="0"/>
        <w:jc w:val="both"/>
        <w:rPr>
          <w:rFonts w:ascii="Bookman Old Style" w:hAnsi="Bookman Old Style" w:cs="Arial"/>
          <w:color w:val="000000" w:themeColor="text1"/>
        </w:rPr>
      </w:pPr>
    </w:p>
    <w:p w:rsidR="00FD0E34" w:rsidRDefault="00FD0E34" w:rsidP="00FD0E34">
      <w:pPr>
        <w:ind w:left="0"/>
        <w:jc w:val="both"/>
        <w:rPr>
          <w:rFonts w:ascii="Bookman Old Style" w:hAnsi="Bookman Old Style" w:cs="Arial"/>
          <w:color w:val="000000" w:themeColor="text1"/>
        </w:rPr>
      </w:pPr>
      <w:r>
        <w:rPr>
          <w:rFonts w:ascii="Bookman Old Style" w:hAnsi="Bookman Old Style" w:cs="Arial"/>
          <w:color w:val="000000" w:themeColor="text1"/>
        </w:rPr>
        <w:t xml:space="preserve">De igual forma, en dicho acto administrativo se ha dispuesto en su artículo 4 las </w:t>
      </w:r>
      <w:r w:rsidRPr="00FD0E34">
        <w:rPr>
          <w:rFonts w:ascii="Bookman Old Style" w:hAnsi="Bookman Old Style" w:cs="Arial"/>
          <w:color w:val="000000" w:themeColor="text1"/>
        </w:rPr>
        <w:t>reglas para la conformación de sistemas de distribución</w:t>
      </w:r>
      <w:r>
        <w:rPr>
          <w:rFonts w:ascii="Bookman Old Style" w:hAnsi="Bookman Old Style" w:cs="Arial"/>
          <w:color w:val="000000" w:themeColor="text1"/>
        </w:rPr>
        <w:t xml:space="preserve">, dentro de las cuales se encuentra, que para </w:t>
      </w:r>
      <w:r w:rsidRPr="00FD0E34">
        <w:rPr>
          <w:rFonts w:ascii="Bookman Old Style" w:hAnsi="Bookman Old Style" w:cs="Arial"/>
          <w:color w:val="000000" w:themeColor="text1"/>
        </w:rPr>
        <w:t xml:space="preserve">conectar un nuevo sistema de distribución o un sistema de distribución existente pero atendido con GNC, a otro Sistema de Distribución, </w:t>
      </w:r>
      <w:r>
        <w:rPr>
          <w:rFonts w:ascii="Bookman Old Style" w:hAnsi="Bookman Old Style" w:cs="Arial"/>
          <w:color w:val="000000" w:themeColor="text1"/>
        </w:rPr>
        <w:t>se debe dar cumplimiento a la condición relativa a que l</w:t>
      </w:r>
      <w:r w:rsidRPr="00FD0E34">
        <w:rPr>
          <w:rFonts w:ascii="Bookman Old Style" w:hAnsi="Bookman Old Style" w:cs="Arial"/>
          <w:color w:val="000000" w:themeColor="text1"/>
        </w:rPr>
        <w:t>a conexión de los sist</w:t>
      </w:r>
      <w:r w:rsidR="00425884">
        <w:rPr>
          <w:rFonts w:ascii="Bookman Old Style" w:hAnsi="Bookman Old Style" w:cs="Arial"/>
          <w:color w:val="000000" w:themeColor="text1"/>
        </w:rPr>
        <w:t>emas de distribución debe corresponder</w:t>
      </w:r>
      <w:r w:rsidRPr="00FD0E34">
        <w:rPr>
          <w:rFonts w:ascii="Bookman Old Style" w:hAnsi="Bookman Old Style" w:cs="Arial"/>
          <w:color w:val="000000" w:themeColor="text1"/>
        </w:rPr>
        <w:t xml:space="preserve"> a mercados </w:t>
      </w:r>
      <w:r w:rsidRPr="00FD0E34">
        <w:rPr>
          <w:rFonts w:ascii="Bookman Old Style" w:hAnsi="Bookman Old Style" w:cs="Arial"/>
          <w:color w:val="000000" w:themeColor="text1"/>
        </w:rPr>
        <w:lastRenderedPageBreak/>
        <w:t xml:space="preserve">relevantes de distribución adyacentes, es decir que estén situados próximos uno de otro y cumplan con el procedimiento indicado en el Anexo 1 </w:t>
      </w:r>
      <w:r>
        <w:rPr>
          <w:rFonts w:ascii="Bookman Old Style" w:hAnsi="Bookman Old Style" w:cs="Arial"/>
          <w:color w:val="000000" w:themeColor="text1"/>
        </w:rPr>
        <w:t>de es</w:t>
      </w:r>
      <w:r w:rsidRPr="00FD0E34">
        <w:rPr>
          <w:rFonts w:ascii="Bookman Old Style" w:hAnsi="Bookman Old Style" w:cs="Arial"/>
          <w:color w:val="000000" w:themeColor="text1"/>
        </w:rPr>
        <w:t xml:space="preserve">a resolución para </w:t>
      </w:r>
      <w:r w:rsidR="00425884">
        <w:rPr>
          <w:rFonts w:ascii="Bookman Old Style" w:hAnsi="Bookman Old Style" w:cs="Arial"/>
          <w:color w:val="000000" w:themeColor="text1"/>
        </w:rPr>
        <w:t>las</w:t>
      </w:r>
      <w:r w:rsidRPr="00FD0E34">
        <w:rPr>
          <w:rFonts w:ascii="Bookman Old Style" w:hAnsi="Bookman Old Style" w:cs="Arial"/>
          <w:color w:val="000000" w:themeColor="text1"/>
        </w:rPr>
        <w:t xml:space="preserve"> solicitudes tarifarias.</w:t>
      </w:r>
    </w:p>
    <w:p w:rsidR="00FD0E34" w:rsidRDefault="00FD0E34" w:rsidP="00575F93">
      <w:pPr>
        <w:ind w:left="0"/>
        <w:jc w:val="both"/>
        <w:rPr>
          <w:rFonts w:ascii="Bookman Old Style" w:hAnsi="Bookman Old Style" w:cs="Arial"/>
          <w:color w:val="000000" w:themeColor="text1"/>
        </w:rPr>
      </w:pPr>
    </w:p>
    <w:p w:rsidR="00D95396" w:rsidRPr="00D95396" w:rsidRDefault="00FD0E34" w:rsidP="00575F93">
      <w:pPr>
        <w:ind w:left="0"/>
        <w:jc w:val="both"/>
        <w:rPr>
          <w:rFonts w:ascii="Bookman Old Style" w:hAnsi="Bookman Old Style" w:cs="Arial"/>
          <w:color w:val="000000" w:themeColor="text1"/>
        </w:rPr>
      </w:pPr>
      <w:r>
        <w:rPr>
          <w:rFonts w:ascii="Bookman Old Style" w:hAnsi="Bookman Old Style" w:cs="Arial"/>
          <w:color w:val="000000" w:themeColor="text1"/>
        </w:rPr>
        <w:t>E</w:t>
      </w:r>
      <w:r w:rsidR="00D95396" w:rsidRPr="00D95396">
        <w:rPr>
          <w:rFonts w:ascii="Bookman Old Style" w:hAnsi="Bookman Old Style" w:cs="Arial"/>
          <w:color w:val="000000" w:themeColor="text1"/>
        </w:rPr>
        <w:t>n el numeral 1.3 del RUT se establece que “la iniciativa para la reforma del reglamento también será de la Comisión si ésta estima que debe adecuarse a la evolución de la industria, que contraría las regulaciones generales sobre el servicio, que va en detrimento de mayor concurrencia entre oferentes y demandantes del suministro o del libre acceso y uso del servicio de transporte y otros servicios asociados”.</w:t>
      </w:r>
    </w:p>
    <w:p w:rsidR="00575F93" w:rsidRPr="007A5CCB" w:rsidRDefault="00575F93" w:rsidP="00575F93">
      <w:pPr>
        <w:ind w:left="0"/>
        <w:jc w:val="both"/>
        <w:rPr>
          <w:rFonts w:ascii="Bookman Old Style" w:hAnsi="Bookman Old Style" w:cs="Arial"/>
          <w:color w:val="000000" w:themeColor="text1"/>
          <w:lang w:val="es-CO"/>
        </w:rPr>
      </w:pPr>
      <w:r w:rsidRPr="007A5CCB">
        <w:rPr>
          <w:rFonts w:ascii="Bookman Old Style" w:hAnsi="Bookman Old Style" w:cs="Arial"/>
          <w:color w:val="000000" w:themeColor="text1"/>
          <w:lang w:val="es-CO"/>
        </w:rPr>
        <w:t xml:space="preserve"> </w:t>
      </w:r>
    </w:p>
    <w:p w:rsidR="00575F93" w:rsidRDefault="00D95396" w:rsidP="00575F93">
      <w:pPr>
        <w:ind w:left="0"/>
        <w:contextualSpacing/>
        <w:jc w:val="both"/>
        <w:rPr>
          <w:rFonts w:ascii="Bookman Old Style" w:hAnsi="Bookman Old Style"/>
          <w:lang w:val="es-CO"/>
        </w:rPr>
      </w:pPr>
      <w:r>
        <w:rPr>
          <w:rFonts w:ascii="Bookman Old Style" w:hAnsi="Bookman Old Style"/>
          <w:lang w:val="es-CO"/>
        </w:rPr>
        <w:t>De acuerdo con esto</w:t>
      </w:r>
      <w:r w:rsidR="00575F93" w:rsidRPr="007A5CCB">
        <w:rPr>
          <w:rFonts w:ascii="Bookman Old Style" w:hAnsi="Bookman Old Style"/>
          <w:lang w:val="es-CO"/>
        </w:rPr>
        <w:t>, se debe tener en cuenta que la regulación es una actividad continua que comprende el seguimiento de la evolución del sector correspondiente y que implica la adopción de diversos tipos de decisiones y actos adecuados tanto a orientar la dinámica del sector hacia los fines que la justifican en cada caso, como 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00575F93" w:rsidRPr="007A5CCB">
        <w:rPr>
          <w:rStyle w:val="Refdenotaalpie"/>
          <w:rFonts w:ascii="Bookman Old Style" w:hAnsi="Bookman Old Style"/>
          <w:lang w:val="es-CO"/>
        </w:rPr>
        <w:footnoteReference w:id="8"/>
      </w:r>
      <w:r w:rsidR="00575F93" w:rsidRPr="007A5CCB">
        <w:rPr>
          <w:rFonts w:ascii="Bookman Old Style" w:hAnsi="Bookman Old Style"/>
          <w:lang w:val="es-CO"/>
        </w:rPr>
        <w:t>.</w:t>
      </w:r>
    </w:p>
    <w:p w:rsidR="00FD0E34" w:rsidRPr="00D95396" w:rsidRDefault="00FD0E34" w:rsidP="00575F93">
      <w:pPr>
        <w:ind w:left="0"/>
        <w:contextualSpacing/>
        <w:jc w:val="both"/>
        <w:rPr>
          <w:rFonts w:ascii="Bookman Old Style" w:hAnsi="Bookman Old Style"/>
          <w:lang w:val="es-CO"/>
        </w:rPr>
      </w:pPr>
    </w:p>
    <w:p w:rsidR="0076698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 xml:space="preserve">En relación con lo anterior, </w:t>
      </w:r>
      <w:r w:rsidR="0096075B">
        <w:rPr>
          <w:rFonts w:ascii="Bookman Old Style" w:hAnsi="Bookman Old Style" w:cs="Arial"/>
          <w:color w:val="000000" w:themeColor="text1"/>
        </w:rPr>
        <w:t>de acuerdo con la forma en que se ha desarrollado la infraestructura de ductos en materia de transporte y distribuci</w:t>
      </w:r>
      <w:r w:rsidR="000938C1">
        <w:rPr>
          <w:rFonts w:ascii="Bookman Old Style" w:hAnsi="Bookman Old Style" w:cs="Arial"/>
          <w:color w:val="000000" w:themeColor="text1"/>
        </w:rPr>
        <w:t xml:space="preserve">ón de </w:t>
      </w:r>
      <w:r w:rsidR="0096075B">
        <w:rPr>
          <w:rFonts w:ascii="Bookman Old Style" w:hAnsi="Bookman Old Style" w:cs="Arial"/>
          <w:color w:val="000000" w:themeColor="text1"/>
        </w:rPr>
        <w:t xml:space="preserve">gas combustible, </w:t>
      </w:r>
      <w:r w:rsidRPr="007A5CCB">
        <w:rPr>
          <w:rFonts w:ascii="Bookman Old Style" w:hAnsi="Bookman Old Style" w:cs="Arial"/>
          <w:color w:val="000000" w:themeColor="text1"/>
        </w:rPr>
        <w:t xml:space="preserve">la Comisión ha identificado </w:t>
      </w:r>
      <w:r w:rsidR="00484A7D">
        <w:rPr>
          <w:rFonts w:ascii="Bookman Old Style" w:hAnsi="Bookman Old Style" w:cs="Arial"/>
          <w:color w:val="000000" w:themeColor="text1"/>
        </w:rPr>
        <w:t>la necesidad y razonabilidad de adoptar un criterio en materia regulatoria en relación con la definición de conexión dentro del Reglamento Único de Transporte – RUT</w:t>
      </w:r>
      <w:r w:rsidR="0076698B">
        <w:rPr>
          <w:rFonts w:ascii="Bookman Old Style" w:hAnsi="Bookman Old Style" w:cs="Arial"/>
          <w:color w:val="000000" w:themeColor="text1"/>
        </w:rPr>
        <w:t>,  que:  i)</w:t>
      </w:r>
      <w:r w:rsidR="00484A7D">
        <w:rPr>
          <w:rFonts w:ascii="Bookman Old Style" w:hAnsi="Bookman Old Style" w:cs="Arial"/>
          <w:color w:val="000000" w:themeColor="text1"/>
        </w:rPr>
        <w:t xml:space="preserve"> permita diferenciar e identificar</w:t>
      </w:r>
      <w:r w:rsidR="00A8199F">
        <w:rPr>
          <w:rFonts w:ascii="Bookman Old Style" w:hAnsi="Bookman Old Style" w:cs="Arial"/>
          <w:color w:val="000000" w:themeColor="text1"/>
        </w:rPr>
        <w:t>, bajo un criterio técnico regulatorio,</w:t>
      </w:r>
      <w:r w:rsidR="00484A7D">
        <w:rPr>
          <w:rFonts w:ascii="Bookman Old Style" w:hAnsi="Bookman Old Style" w:cs="Arial"/>
          <w:color w:val="000000" w:themeColor="text1"/>
        </w:rPr>
        <w:t xml:space="preserve"> la infraestructura dentro de las actividades de transporte de gas natural y distribución de gas combustible</w:t>
      </w:r>
      <w:r w:rsidR="0076698B">
        <w:rPr>
          <w:rFonts w:ascii="Bookman Old Style" w:hAnsi="Bookman Old Style" w:cs="Arial"/>
          <w:color w:val="000000" w:themeColor="text1"/>
        </w:rPr>
        <w:t>; ii) que</w:t>
      </w:r>
      <w:r w:rsidR="00484A7D">
        <w:rPr>
          <w:rFonts w:ascii="Bookman Old Style" w:hAnsi="Bookman Old Style" w:cs="Arial"/>
          <w:color w:val="000000" w:themeColor="text1"/>
        </w:rPr>
        <w:t xml:space="preserve"> dicha definición </w:t>
      </w:r>
      <w:r w:rsidR="0076698B">
        <w:rPr>
          <w:rFonts w:ascii="Bookman Old Style" w:hAnsi="Bookman Old Style" w:cs="Arial"/>
          <w:color w:val="000000" w:themeColor="text1"/>
        </w:rPr>
        <w:t xml:space="preserve">sea compatible </w:t>
      </w:r>
      <w:r w:rsidR="00484A7D">
        <w:rPr>
          <w:rFonts w:ascii="Bookman Old Style" w:hAnsi="Bookman Old Style" w:cs="Arial"/>
          <w:color w:val="000000" w:themeColor="text1"/>
        </w:rPr>
        <w:t xml:space="preserve">con lo previsto en la regulación en materia de transporte de gas natural en relación con los </w:t>
      </w:r>
      <w:r w:rsidR="00484A7D" w:rsidRPr="00484A7D">
        <w:rPr>
          <w:rFonts w:ascii="Bookman Old Style" w:hAnsi="Bookman Old Style" w:cs="Arial"/>
          <w:color w:val="000000" w:themeColor="text1"/>
        </w:rPr>
        <w:t>gasoductos de cone</w:t>
      </w:r>
      <w:r w:rsidR="00A8199F">
        <w:rPr>
          <w:rFonts w:ascii="Bookman Old Style" w:hAnsi="Bookman Old Style" w:cs="Arial"/>
          <w:color w:val="000000" w:themeColor="text1"/>
        </w:rPr>
        <w:t xml:space="preserve">xión, </w:t>
      </w:r>
      <w:r w:rsidR="00484A7D">
        <w:rPr>
          <w:rFonts w:ascii="Bookman Old Style" w:hAnsi="Bookman Old Style" w:cs="Arial"/>
          <w:color w:val="000000" w:themeColor="text1"/>
        </w:rPr>
        <w:t>las “ex</w:t>
      </w:r>
      <w:r w:rsidR="0076698B">
        <w:rPr>
          <w:rFonts w:ascii="Bookman Old Style" w:hAnsi="Bookman Old Style" w:cs="Arial"/>
          <w:color w:val="000000" w:themeColor="text1"/>
        </w:rPr>
        <w:t>tensiones” o gasoductos tipo II; iii</w:t>
      </w:r>
      <w:r w:rsidR="000A0068">
        <w:rPr>
          <w:rFonts w:ascii="Bookman Old Style" w:hAnsi="Bookman Old Style" w:cs="Arial"/>
          <w:color w:val="000000" w:themeColor="text1"/>
        </w:rPr>
        <w:t xml:space="preserve">) </w:t>
      </w:r>
      <w:r w:rsidR="00A8199F">
        <w:rPr>
          <w:rFonts w:ascii="Bookman Old Style" w:hAnsi="Bookman Old Style" w:cs="Arial"/>
          <w:color w:val="000000" w:themeColor="text1"/>
        </w:rPr>
        <w:t xml:space="preserve">que permita </w:t>
      </w:r>
      <w:r w:rsidR="000938C1" w:rsidRPr="000938C1">
        <w:rPr>
          <w:rFonts w:ascii="Bookman Old Style" w:hAnsi="Bookman Old Style" w:cs="Arial"/>
          <w:color w:val="000000" w:themeColor="text1"/>
        </w:rPr>
        <w:t>llevar a cabo un tratamiento regulatorio ajustado</w:t>
      </w:r>
      <w:r w:rsidR="00425884">
        <w:rPr>
          <w:rFonts w:ascii="Bookman Old Style" w:hAnsi="Bookman Old Style" w:cs="Arial"/>
          <w:color w:val="000000" w:themeColor="text1"/>
        </w:rPr>
        <w:t>, concordante</w:t>
      </w:r>
      <w:r w:rsidR="000938C1" w:rsidRPr="000938C1">
        <w:rPr>
          <w:rFonts w:ascii="Bookman Old Style" w:hAnsi="Bookman Old Style" w:cs="Arial"/>
          <w:color w:val="000000" w:themeColor="text1"/>
        </w:rPr>
        <w:t xml:space="preserve"> </w:t>
      </w:r>
      <w:r w:rsidR="00FD0E34">
        <w:rPr>
          <w:rFonts w:ascii="Bookman Old Style" w:hAnsi="Bookman Old Style" w:cs="Arial"/>
          <w:color w:val="000000" w:themeColor="text1"/>
        </w:rPr>
        <w:t xml:space="preserve">y coherente </w:t>
      </w:r>
      <w:r w:rsidR="00425884">
        <w:rPr>
          <w:rFonts w:ascii="Bookman Old Style" w:hAnsi="Bookman Old Style" w:cs="Arial"/>
          <w:color w:val="000000" w:themeColor="text1"/>
        </w:rPr>
        <w:t>con</w:t>
      </w:r>
      <w:r w:rsidR="000938C1" w:rsidRPr="000938C1">
        <w:rPr>
          <w:rFonts w:ascii="Bookman Old Style" w:hAnsi="Bookman Old Style" w:cs="Arial"/>
          <w:color w:val="000000" w:themeColor="text1"/>
        </w:rPr>
        <w:t xml:space="preserve"> lo previsto en las metodologías</w:t>
      </w:r>
      <w:r w:rsidR="0076698B">
        <w:rPr>
          <w:rFonts w:ascii="Bookman Old Style" w:hAnsi="Bookman Old Style" w:cs="Arial"/>
          <w:color w:val="000000" w:themeColor="text1"/>
        </w:rPr>
        <w:t xml:space="preserve"> de </w:t>
      </w:r>
      <w:r w:rsidR="000A0068">
        <w:rPr>
          <w:rFonts w:ascii="Bookman Old Style" w:hAnsi="Bookman Old Style" w:cs="Arial"/>
          <w:color w:val="000000" w:themeColor="text1"/>
        </w:rPr>
        <w:t xml:space="preserve">remuneración de </w:t>
      </w:r>
      <w:r w:rsidR="0076698B">
        <w:rPr>
          <w:rFonts w:ascii="Bookman Old Style" w:hAnsi="Bookman Old Style" w:cs="Arial"/>
          <w:color w:val="000000" w:themeColor="text1"/>
        </w:rPr>
        <w:t>transporte y distribución</w:t>
      </w:r>
      <w:r w:rsidR="000A0068">
        <w:rPr>
          <w:rFonts w:ascii="Bookman Old Style" w:hAnsi="Bookman Old Style" w:cs="Arial"/>
          <w:color w:val="000000" w:themeColor="text1"/>
        </w:rPr>
        <w:t xml:space="preserve"> de gas combustible</w:t>
      </w:r>
      <w:r w:rsidR="000938C1">
        <w:rPr>
          <w:rFonts w:ascii="Bookman Old Style" w:hAnsi="Bookman Old Style" w:cs="Arial"/>
          <w:color w:val="000000" w:themeColor="text1"/>
        </w:rPr>
        <w:t>,</w:t>
      </w:r>
      <w:r w:rsidR="000A0068">
        <w:rPr>
          <w:rFonts w:ascii="Bookman Old Style" w:hAnsi="Bookman Old Style" w:cs="Arial"/>
          <w:color w:val="000000" w:themeColor="text1"/>
        </w:rPr>
        <w:t xml:space="preserve"> </w:t>
      </w:r>
      <w:r w:rsidR="00FD0E34">
        <w:rPr>
          <w:rFonts w:ascii="Bookman Old Style" w:hAnsi="Bookman Old Style" w:cs="Arial"/>
          <w:color w:val="000000" w:themeColor="text1"/>
        </w:rPr>
        <w:t xml:space="preserve">incluidos los procedimientos allí previstos </w:t>
      </w:r>
      <w:r w:rsidR="000A0068">
        <w:rPr>
          <w:rFonts w:ascii="Bookman Old Style" w:hAnsi="Bookman Old Style" w:cs="Arial"/>
          <w:color w:val="000000" w:themeColor="text1"/>
        </w:rPr>
        <w:t>y; iv)</w:t>
      </w:r>
      <w:r w:rsidR="000938C1">
        <w:rPr>
          <w:rFonts w:ascii="Bookman Old Style" w:hAnsi="Bookman Old Style" w:cs="Arial"/>
          <w:color w:val="000000" w:themeColor="text1"/>
        </w:rPr>
        <w:t xml:space="preserve"> </w:t>
      </w:r>
      <w:r w:rsidR="000A0068">
        <w:rPr>
          <w:rFonts w:ascii="Bookman Old Style" w:hAnsi="Bookman Old Style" w:cs="Arial"/>
          <w:color w:val="000000" w:themeColor="text1"/>
        </w:rPr>
        <w:t xml:space="preserve">que dicho criterio permita en adelante </w:t>
      </w:r>
      <w:r w:rsidR="00A8199F">
        <w:rPr>
          <w:rFonts w:ascii="Bookman Old Style" w:hAnsi="Bookman Old Style" w:cs="Arial"/>
          <w:color w:val="000000" w:themeColor="text1"/>
        </w:rPr>
        <w:t xml:space="preserve">llevar a cabo una ejecución de la infraestructura </w:t>
      </w:r>
      <w:r w:rsidR="000A0068">
        <w:rPr>
          <w:rFonts w:ascii="Bookman Old Style" w:hAnsi="Bookman Old Style" w:cs="Arial"/>
          <w:color w:val="000000" w:themeColor="text1"/>
        </w:rPr>
        <w:t>en materia de</w:t>
      </w:r>
      <w:r w:rsidR="00A8199F">
        <w:rPr>
          <w:rFonts w:ascii="Bookman Old Style" w:hAnsi="Bookman Old Style" w:cs="Arial"/>
          <w:color w:val="000000" w:themeColor="text1"/>
        </w:rPr>
        <w:t xml:space="preserve"> redes de</w:t>
      </w:r>
      <w:r w:rsidR="000A0068">
        <w:rPr>
          <w:rFonts w:ascii="Bookman Old Style" w:hAnsi="Bookman Old Style" w:cs="Arial"/>
          <w:color w:val="000000" w:themeColor="text1"/>
        </w:rPr>
        <w:t xml:space="preserve"> transporte y distribución de</w:t>
      </w:r>
      <w:r w:rsidR="00A8199F">
        <w:rPr>
          <w:rFonts w:ascii="Bookman Old Style" w:hAnsi="Bookman Old Style" w:cs="Arial"/>
          <w:color w:val="000000" w:themeColor="text1"/>
        </w:rPr>
        <w:t xml:space="preserve"> manera </w:t>
      </w:r>
      <w:r w:rsidR="0096075B">
        <w:rPr>
          <w:rFonts w:ascii="Bookman Old Style" w:hAnsi="Bookman Old Style" w:cs="Arial"/>
          <w:color w:val="000000" w:themeColor="text1"/>
        </w:rPr>
        <w:t xml:space="preserve">precisa y </w:t>
      </w:r>
      <w:r w:rsidR="00A8199F">
        <w:rPr>
          <w:rFonts w:ascii="Bookman Old Style" w:hAnsi="Bookman Old Style" w:cs="Arial"/>
          <w:color w:val="000000" w:themeColor="text1"/>
        </w:rPr>
        <w:t>eficiente</w:t>
      </w:r>
      <w:r w:rsidR="00D95396">
        <w:rPr>
          <w:rFonts w:ascii="Bookman Old Style" w:hAnsi="Bookman Old Style" w:cs="Arial"/>
          <w:color w:val="000000" w:themeColor="text1"/>
        </w:rPr>
        <w:t>,</w:t>
      </w:r>
      <w:r w:rsidR="00A8199F">
        <w:rPr>
          <w:rFonts w:ascii="Bookman Old Style" w:hAnsi="Bookman Old Style" w:cs="Arial"/>
          <w:color w:val="000000" w:themeColor="text1"/>
        </w:rPr>
        <w:t xml:space="preserve"> </w:t>
      </w:r>
      <w:r w:rsidR="00484A7D">
        <w:rPr>
          <w:rFonts w:ascii="Bookman Old Style" w:hAnsi="Bookman Old Style" w:cs="Arial"/>
          <w:color w:val="000000" w:themeColor="text1"/>
        </w:rPr>
        <w:t xml:space="preserve">en </w:t>
      </w:r>
      <w:r w:rsidR="00A8199F">
        <w:rPr>
          <w:rFonts w:ascii="Bookman Old Style" w:hAnsi="Bookman Old Style" w:cs="Arial"/>
          <w:color w:val="000000" w:themeColor="text1"/>
        </w:rPr>
        <w:t>el</w:t>
      </w:r>
      <w:r w:rsidR="00484A7D">
        <w:rPr>
          <w:rFonts w:ascii="Bookman Old Style" w:hAnsi="Bookman Old Style" w:cs="Arial"/>
          <w:color w:val="000000" w:themeColor="text1"/>
        </w:rPr>
        <w:t xml:space="preserve"> m</w:t>
      </w:r>
      <w:r w:rsidR="00A8199F">
        <w:rPr>
          <w:rFonts w:ascii="Bookman Old Style" w:hAnsi="Bookman Old Style" w:cs="Arial"/>
          <w:color w:val="000000" w:themeColor="text1"/>
        </w:rPr>
        <w:t xml:space="preserve">arco </w:t>
      </w:r>
      <w:r w:rsidR="00484A7D">
        <w:rPr>
          <w:rFonts w:ascii="Bookman Old Style" w:hAnsi="Bookman Old Style" w:cs="Arial"/>
          <w:color w:val="000000" w:themeColor="text1"/>
        </w:rPr>
        <w:t xml:space="preserve">de </w:t>
      </w:r>
      <w:r w:rsidR="00FD0E34">
        <w:rPr>
          <w:rFonts w:ascii="Bookman Old Style" w:hAnsi="Bookman Old Style" w:cs="Arial"/>
          <w:color w:val="000000" w:themeColor="text1"/>
        </w:rPr>
        <w:t xml:space="preserve">la remuneración de cada una de </w:t>
      </w:r>
      <w:r w:rsidR="00484A7D">
        <w:rPr>
          <w:rFonts w:ascii="Bookman Old Style" w:hAnsi="Bookman Old Style" w:cs="Arial"/>
          <w:color w:val="000000" w:themeColor="text1"/>
        </w:rPr>
        <w:t>estas actividades</w:t>
      </w:r>
      <w:r w:rsidR="00484A7D" w:rsidRPr="00484A7D">
        <w:rPr>
          <w:rFonts w:ascii="Bookman Old Style" w:hAnsi="Bookman Old Style" w:cs="Arial"/>
          <w:color w:val="000000" w:themeColor="text1"/>
        </w:rPr>
        <w:t>.</w:t>
      </w:r>
    </w:p>
    <w:p w:rsidR="0076698B" w:rsidRPr="007A5CCB" w:rsidRDefault="0076698B" w:rsidP="00575F93">
      <w:pPr>
        <w:ind w:left="0"/>
        <w:jc w:val="both"/>
        <w:rPr>
          <w:rFonts w:ascii="Bookman Old Style" w:hAnsi="Bookman Old Style" w:cs="Arial"/>
          <w:color w:val="000000" w:themeColor="text1"/>
        </w:rPr>
      </w:pPr>
    </w:p>
    <w:p w:rsidR="00575F93" w:rsidRPr="007A5CCB" w:rsidRDefault="00575F93" w:rsidP="00575F93">
      <w:pPr>
        <w:ind w:left="0"/>
        <w:jc w:val="both"/>
        <w:rPr>
          <w:rFonts w:ascii="Bookman Old Style" w:hAnsi="Bookman Old Style" w:cs="Arial"/>
          <w:color w:val="000000" w:themeColor="text1"/>
        </w:rPr>
      </w:pPr>
      <w:r w:rsidRPr="007A5CCB">
        <w:rPr>
          <w:rFonts w:ascii="Bookman Old Style" w:hAnsi="Bookman Old Style" w:cs="Arial"/>
          <w:color w:val="000000" w:themeColor="text1"/>
        </w:rPr>
        <w:t xml:space="preserve">El análisis que sustenta la presente propuesta se encuentra consignado en el documento soporte </w:t>
      </w:r>
      <w:r w:rsidR="00FD0E34">
        <w:rPr>
          <w:rFonts w:ascii="Bookman Old Style" w:hAnsi="Bookman Old Style" w:cs="Arial"/>
          <w:color w:val="000000" w:themeColor="text1"/>
        </w:rPr>
        <w:t>075 del 2</w:t>
      </w:r>
      <w:r w:rsidR="00484A7D">
        <w:rPr>
          <w:rFonts w:ascii="Bookman Old Style" w:hAnsi="Bookman Old Style" w:cs="Arial"/>
          <w:color w:val="000000" w:themeColor="text1"/>
        </w:rPr>
        <w:t>5 de julio</w:t>
      </w:r>
      <w:r w:rsidRPr="007A5CCB">
        <w:rPr>
          <w:rFonts w:ascii="Bookman Old Style" w:hAnsi="Bookman Old Style" w:cs="Arial"/>
          <w:color w:val="000000" w:themeColor="text1"/>
        </w:rPr>
        <w:t xml:space="preserve"> de 2016, el cual hace parte de la presente resolución.</w:t>
      </w:r>
    </w:p>
    <w:p w:rsidR="00575F93" w:rsidRPr="007A5CCB" w:rsidRDefault="00575F93" w:rsidP="00575F93">
      <w:pPr>
        <w:ind w:left="0"/>
        <w:jc w:val="both"/>
        <w:rPr>
          <w:rFonts w:ascii="Bookman Old Style" w:hAnsi="Bookman Old Style" w:cs="Arial"/>
          <w:color w:val="000000" w:themeColor="text1"/>
        </w:rPr>
      </w:pPr>
    </w:p>
    <w:p w:rsidR="00575F93" w:rsidRDefault="00575F93" w:rsidP="00F65F03">
      <w:pPr>
        <w:ind w:left="0"/>
        <w:jc w:val="center"/>
        <w:rPr>
          <w:rFonts w:ascii="Bookman Old Style" w:hAnsi="Bookman Old Style" w:cs="Arial"/>
          <w:b/>
          <w:color w:val="000000" w:themeColor="text1"/>
        </w:rPr>
      </w:pPr>
      <w:r w:rsidRPr="007A5CCB">
        <w:rPr>
          <w:rFonts w:ascii="Bookman Old Style" w:hAnsi="Bookman Old Style" w:cs="Arial"/>
          <w:b/>
          <w:color w:val="000000" w:themeColor="text1"/>
        </w:rPr>
        <w:t>R E S U E L V E:</w:t>
      </w:r>
    </w:p>
    <w:p w:rsidR="00425884" w:rsidRDefault="00425884" w:rsidP="00575F93">
      <w:pPr>
        <w:ind w:left="0"/>
        <w:rPr>
          <w:rFonts w:ascii="Bookman Old Style" w:hAnsi="Bookman Old Style" w:cs="Arial"/>
          <w:b/>
          <w:color w:val="000000" w:themeColor="text1"/>
        </w:rPr>
      </w:pPr>
    </w:p>
    <w:p w:rsidR="00666AA8" w:rsidRPr="007A5CCB" w:rsidRDefault="00666AA8" w:rsidP="00575F93">
      <w:pPr>
        <w:ind w:left="0"/>
        <w:rPr>
          <w:rFonts w:ascii="Bookman Old Style" w:hAnsi="Bookman Old Style" w:cs="Arial"/>
          <w:b/>
          <w:color w:val="000000" w:themeColor="text1"/>
        </w:rPr>
      </w:pPr>
    </w:p>
    <w:p w:rsidR="00F65F03" w:rsidRPr="00666AA8" w:rsidRDefault="00F65F03" w:rsidP="00F65F03">
      <w:pPr>
        <w:pStyle w:val="ARTICULOS"/>
        <w:numPr>
          <w:ilvl w:val="0"/>
          <w:numId w:val="7"/>
        </w:numPr>
        <w:ind w:left="0" w:firstLine="0"/>
      </w:pPr>
      <w:r>
        <w:rPr>
          <w:rFonts w:cs="Arial"/>
          <w:b/>
          <w:lang w:val="es-CO"/>
        </w:rPr>
        <w:t>Modificación a definiciones</w:t>
      </w:r>
      <w:r w:rsidRPr="00F65F03">
        <w:rPr>
          <w:rFonts w:cs="Arial"/>
          <w:b/>
        </w:rPr>
        <w:t>:</w:t>
      </w:r>
      <w:r w:rsidRPr="00F65F03">
        <w:rPr>
          <w:rFonts w:cs="Arial"/>
        </w:rPr>
        <w:t xml:space="preserve"> Se modifica la definición de Conexión, </w:t>
      </w:r>
      <w:r>
        <w:rPr>
          <w:rFonts w:cs="Arial"/>
        </w:rPr>
        <w:t>establecida en el Numeral 1.1</w:t>
      </w:r>
      <w:r w:rsidRPr="00F65F03">
        <w:rPr>
          <w:rFonts w:cs="Arial"/>
        </w:rPr>
        <w:t xml:space="preserve"> del Anex</w:t>
      </w:r>
      <w:r w:rsidR="000A0068">
        <w:rPr>
          <w:rFonts w:cs="Arial"/>
        </w:rPr>
        <w:t>o General de la Resolución CREG</w:t>
      </w:r>
      <w:r w:rsidR="000A0068">
        <w:rPr>
          <w:rFonts w:cs="Arial"/>
          <w:lang w:val="es-CO"/>
        </w:rPr>
        <w:t xml:space="preserve"> </w:t>
      </w:r>
      <w:r w:rsidRPr="00F65F03">
        <w:rPr>
          <w:rFonts w:cs="Arial"/>
        </w:rPr>
        <w:t>071 de 1999, modificada por la Resolución CREG 041 de 2008, por la siguiente respectivamente:</w:t>
      </w:r>
    </w:p>
    <w:p w:rsidR="00666AA8" w:rsidRPr="00F65F03" w:rsidRDefault="00666AA8" w:rsidP="00666AA8">
      <w:pPr>
        <w:pStyle w:val="ARTICULOS"/>
        <w:numPr>
          <w:ilvl w:val="0"/>
          <w:numId w:val="0"/>
        </w:numPr>
      </w:pPr>
    </w:p>
    <w:p w:rsidR="00F65F03" w:rsidRPr="00F65F03" w:rsidRDefault="00F65F03" w:rsidP="00F65F03">
      <w:pPr>
        <w:widowControl w:val="0"/>
        <w:adjustRightInd w:val="0"/>
        <w:ind w:left="0"/>
        <w:jc w:val="both"/>
        <w:textAlignment w:val="baseline"/>
        <w:rPr>
          <w:rFonts w:ascii="Bookman Old Style" w:hAnsi="Bookman Old Style" w:cs="Arial"/>
        </w:rPr>
      </w:pPr>
    </w:p>
    <w:p w:rsidR="000A0068" w:rsidRDefault="00F65F03" w:rsidP="00F65F03">
      <w:pPr>
        <w:widowControl w:val="0"/>
        <w:adjustRightInd w:val="0"/>
        <w:ind w:left="0"/>
        <w:jc w:val="both"/>
        <w:textAlignment w:val="baseline"/>
        <w:rPr>
          <w:rFonts w:ascii="Bookman Old Style" w:hAnsi="Bookman Old Style" w:cs="Arial"/>
        </w:rPr>
      </w:pPr>
      <w:r w:rsidRPr="00F65F03">
        <w:rPr>
          <w:rFonts w:ascii="Bookman Old Style" w:hAnsi="Bookman Old Style" w:cs="Arial"/>
          <w:b/>
        </w:rPr>
        <w:t>Conexión:</w:t>
      </w:r>
      <w:r w:rsidRPr="00F65F03">
        <w:rPr>
          <w:rFonts w:ascii="Bookman Old Style" w:hAnsi="Bookman Old Style" w:cs="Arial"/>
        </w:rPr>
        <w:t xml:space="preserve"> Tramo de gasoducto que permite conectar al Sistema Nacional de Transporte</w:t>
      </w:r>
      <w:r>
        <w:rPr>
          <w:rFonts w:ascii="Bookman Old Style" w:hAnsi="Bookman Old Style" w:cs="Arial"/>
        </w:rPr>
        <w:t xml:space="preserve"> - SNT</w:t>
      </w:r>
      <w:r w:rsidRPr="00F65F03">
        <w:rPr>
          <w:rFonts w:ascii="Bookman Old Style" w:hAnsi="Bookman Old Style" w:cs="Arial"/>
        </w:rPr>
        <w:t>, desde los Puntos</w:t>
      </w:r>
      <w:r w:rsidR="00425884">
        <w:rPr>
          <w:rFonts w:ascii="Bookman Old Style" w:hAnsi="Bookman Old Style" w:cs="Arial"/>
        </w:rPr>
        <w:t xml:space="preserve"> de Entrada o Puntos de Salida a </w:t>
      </w:r>
      <w:r w:rsidRPr="00F65F03">
        <w:rPr>
          <w:rFonts w:ascii="Bookman Old Style" w:hAnsi="Bookman Old Style" w:cs="Arial"/>
        </w:rPr>
        <w:t xml:space="preserve">las Estaciones para Transferencia de Custodia. </w:t>
      </w:r>
    </w:p>
    <w:p w:rsidR="000A0068" w:rsidRDefault="000A0068" w:rsidP="00F65F03">
      <w:pPr>
        <w:widowControl w:val="0"/>
        <w:adjustRightInd w:val="0"/>
        <w:ind w:left="0"/>
        <w:jc w:val="both"/>
        <w:textAlignment w:val="baseline"/>
        <w:rPr>
          <w:rFonts w:ascii="Bookman Old Style" w:hAnsi="Bookman Old Style" w:cs="Arial"/>
        </w:rPr>
      </w:pPr>
    </w:p>
    <w:p w:rsidR="00F65F03" w:rsidRPr="00F65F03" w:rsidRDefault="00F65F03" w:rsidP="00F65F03">
      <w:pPr>
        <w:widowControl w:val="0"/>
        <w:adjustRightInd w:val="0"/>
        <w:ind w:left="0"/>
        <w:jc w:val="both"/>
        <w:textAlignment w:val="baseline"/>
        <w:rPr>
          <w:rFonts w:ascii="Bookman Old Style" w:hAnsi="Bookman Old Style" w:cs="Arial"/>
        </w:rPr>
      </w:pPr>
      <w:r w:rsidRPr="00F65F03">
        <w:rPr>
          <w:rFonts w:ascii="Bookman Old Style" w:hAnsi="Bookman Old Style" w:cs="Arial"/>
        </w:rPr>
        <w:t xml:space="preserve">Para </w:t>
      </w:r>
      <w:r w:rsidR="00D95396">
        <w:rPr>
          <w:rFonts w:ascii="Bookman Old Style" w:hAnsi="Bookman Old Style" w:cs="Arial"/>
        </w:rPr>
        <w:t>efectos regulatorios</w:t>
      </w:r>
      <w:r w:rsidR="00EF24A5">
        <w:rPr>
          <w:rFonts w:ascii="Bookman Old Style" w:hAnsi="Bookman Old Style" w:cs="Arial"/>
        </w:rPr>
        <w:t xml:space="preserve"> y a partir de la expedición de la presente resolución</w:t>
      </w:r>
      <w:r w:rsidR="000938C1">
        <w:rPr>
          <w:rFonts w:ascii="Bookman Old Style" w:hAnsi="Bookman Old Style" w:cs="Arial"/>
        </w:rPr>
        <w:t>,</w:t>
      </w:r>
      <w:r w:rsidR="00D95396">
        <w:rPr>
          <w:rFonts w:ascii="Bookman Old Style" w:hAnsi="Bookman Old Style" w:cs="Arial"/>
        </w:rPr>
        <w:t xml:space="preserve"> se seguirán los siguientes lineamientos </w:t>
      </w:r>
      <w:r w:rsidR="00D32D8A">
        <w:rPr>
          <w:rFonts w:ascii="Bookman Old Style" w:hAnsi="Bookman Old Style" w:cs="Arial"/>
        </w:rPr>
        <w:t>a fin de establecer</w:t>
      </w:r>
      <w:r w:rsidRPr="00F65F03">
        <w:rPr>
          <w:rFonts w:ascii="Bookman Old Style" w:hAnsi="Bookman Old Style" w:cs="Arial"/>
        </w:rPr>
        <w:t xml:space="preserve"> si </w:t>
      </w:r>
      <w:r w:rsidR="000938C1">
        <w:rPr>
          <w:rFonts w:ascii="Bookman Old Style" w:hAnsi="Bookman Old Style" w:cs="Arial"/>
        </w:rPr>
        <w:t xml:space="preserve">una infraestructura </w:t>
      </w:r>
      <w:r w:rsidRPr="00F65F03">
        <w:rPr>
          <w:rFonts w:ascii="Bookman Old Style" w:hAnsi="Bookman Old Style" w:cs="Arial"/>
        </w:rPr>
        <w:t>es una conexión de distribución o un gasoducto de transporte</w:t>
      </w:r>
      <w:r w:rsidR="000938C1">
        <w:rPr>
          <w:rFonts w:ascii="Bookman Old Style" w:hAnsi="Bookman Old Style" w:cs="Arial"/>
        </w:rPr>
        <w:t>:</w:t>
      </w:r>
    </w:p>
    <w:p w:rsidR="00F65F03" w:rsidRPr="00F65F03" w:rsidRDefault="00F65F03" w:rsidP="00F65F03">
      <w:pPr>
        <w:widowControl w:val="0"/>
        <w:adjustRightInd w:val="0"/>
        <w:ind w:left="720"/>
        <w:jc w:val="both"/>
        <w:textAlignment w:val="baseline"/>
        <w:rPr>
          <w:rFonts w:ascii="Bookman Old Style" w:hAnsi="Bookman Old Style" w:cs="Arial"/>
        </w:rPr>
      </w:pPr>
    </w:p>
    <w:p w:rsidR="00F65F03" w:rsidRDefault="00F65F03" w:rsidP="00F65F03">
      <w:pPr>
        <w:widowControl w:val="0"/>
        <w:numPr>
          <w:ilvl w:val="0"/>
          <w:numId w:val="29"/>
        </w:numPr>
        <w:adjustRightInd w:val="0"/>
        <w:jc w:val="both"/>
        <w:textAlignment w:val="baseline"/>
        <w:rPr>
          <w:rFonts w:ascii="Bookman Old Style" w:hAnsi="Bookman Old Style" w:cs="Arial"/>
        </w:rPr>
      </w:pPr>
      <w:r w:rsidRPr="00F65F03">
        <w:rPr>
          <w:rFonts w:ascii="Bookman Old Style" w:hAnsi="Bookman Old Style" w:cs="Arial"/>
        </w:rPr>
        <w:t>Será considerado como un gasoducto de transporte aquel</w:t>
      </w:r>
      <w:r w:rsidR="000938C1">
        <w:rPr>
          <w:rFonts w:ascii="Bookman Old Style" w:hAnsi="Bookman Old Style" w:cs="Arial"/>
        </w:rPr>
        <w:t>la infraestructura</w:t>
      </w:r>
      <w:r w:rsidRPr="00F65F03">
        <w:rPr>
          <w:rFonts w:ascii="Bookman Old Style" w:hAnsi="Bookman Old Style" w:cs="Arial"/>
        </w:rPr>
        <w:t xml:space="preserve"> que cumpla </w:t>
      </w:r>
      <w:r w:rsidR="00ED211B">
        <w:rPr>
          <w:rFonts w:ascii="Bookman Old Style" w:hAnsi="Bookman Old Style" w:cs="Arial"/>
        </w:rPr>
        <w:t xml:space="preserve">con </w:t>
      </w:r>
      <w:r w:rsidRPr="00F65F03">
        <w:rPr>
          <w:rFonts w:ascii="Bookman Old Style" w:hAnsi="Bookman Old Style" w:cs="Arial"/>
        </w:rPr>
        <w:t>al menos uno de los siguientes criterios:</w:t>
      </w:r>
    </w:p>
    <w:p w:rsidR="00F65F03" w:rsidRPr="00F65F03" w:rsidRDefault="00F65F03" w:rsidP="00F65F03">
      <w:pPr>
        <w:widowControl w:val="0"/>
        <w:adjustRightInd w:val="0"/>
        <w:ind w:left="720"/>
        <w:jc w:val="both"/>
        <w:textAlignment w:val="baseline"/>
        <w:rPr>
          <w:rFonts w:ascii="Bookman Old Style" w:hAnsi="Bookman Old Style" w:cs="Arial"/>
        </w:rPr>
      </w:pPr>
    </w:p>
    <w:p w:rsidR="00F65F03" w:rsidRPr="00F65F03" w:rsidRDefault="000A0068" w:rsidP="00F65F03">
      <w:pPr>
        <w:widowControl w:val="0"/>
        <w:numPr>
          <w:ilvl w:val="0"/>
          <w:numId w:val="31"/>
        </w:numPr>
        <w:adjustRightInd w:val="0"/>
        <w:ind w:hanging="229"/>
        <w:jc w:val="both"/>
        <w:textAlignment w:val="baseline"/>
        <w:rPr>
          <w:rFonts w:ascii="Bookman Old Style" w:hAnsi="Bookman Old Style" w:cs="Arial"/>
        </w:rPr>
      </w:pPr>
      <w:r>
        <w:rPr>
          <w:rFonts w:ascii="Bookman Old Style" w:hAnsi="Bookman Old Style" w:cs="Arial"/>
        </w:rPr>
        <w:t>Que el 70% del trazado del gasoducto se construya en</w:t>
      </w:r>
      <w:r w:rsidR="00F65F03" w:rsidRPr="00F65F03">
        <w:rPr>
          <w:rFonts w:ascii="Bookman Old Style" w:hAnsi="Bookman Old Style" w:cs="Arial"/>
        </w:rPr>
        <w:t xml:space="preserve"> áreas con Clase de </w:t>
      </w:r>
      <w:r w:rsidR="00F65F03">
        <w:rPr>
          <w:rFonts w:ascii="Bookman Old Style" w:hAnsi="Bookman Old Style" w:cs="Arial"/>
        </w:rPr>
        <w:t>localidad 1 o</w:t>
      </w:r>
      <w:r>
        <w:rPr>
          <w:rFonts w:ascii="Bookman Old Style" w:hAnsi="Bookman Old Style" w:cs="Arial"/>
        </w:rPr>
        <w:t xml:space="preserve"> clase de localidad 2.</w:t>
      </w:r>
    </w:p>
    <w:p w:rsidR="00F65F03" w:rsidRPr="00F65F03" w:rsidRDefault="00F65F03" w:rsidP="00F65F03">
      <w:pPr>
        <w:widowControl w:val="0"/>
        <w:numPr>
          <w:ilvl w:val="0"/>
          <w:numId w:val="31"/>
        </w:numPr>
        <w:adjustRightInd w:val="0"/>
        <w:ind w:hanging="229"/>
        <w:jc w:val="both"/>
        <w:textAlignment w:val="baseline"/>
        <w:rPr>
          <w:rFonts w:ascii="Bookman Old Style" w:hAnsi="Bookman Old Style" w:cs="Arial"/>
        </w:rPr>
      </w:pPr>
      <w:r w:rsidRPr="00F65F03">
        <w:rPr>
          <w:rFonts w:ascii="Bookman Old Style" w:hAnsi="Bookman Old Style" w:cs="Arial"/>
        </w:rPr>
        <w:t xml:space="preserve">Tenga un diámetro mayor a cuatro (4”) pulgadas para </w:t>
      </w:r>
      <w:r w:rsidR="00644974">
        <w:rPr>
          <w:rFonts w:ascii="Bookman Old Style" w:hAnsi="Bookman Old Style" w:cs="Arial"/>
        </w:rPr>
        <w:t>más d</w:t>
      </w:r>
      <w:r w:rsidRPr="00F65F03">
        <w:rPr>
          <w:rFonts w:ascii="Bookman Old Style" w:hAnsi="Bookman Old Style" w:cs="Arial"/>
        </w:rPr>
        <w:t xml:space="preserve">el </w:t>
      </w:r>
      <w:r w:rsidR="00644974">
        <w:rPr>
          <w:rFonts w:ascii="Bookman Old Style" w:hAnsi="Bookman Old Style" w:cs="Arial"/>
        </w:rPr>
        <w:t>7</w:t>
      </w:r>
      <w:r w:rsidRPr="00F65F03">
        <w:rPr>
          <w:rFonts w:ascii="Bookman Old Style" w:hAnsi="Bookman Old Style" w:cs="Arial"/>
        </w:rPr>
        <w:t xml:space="preserve">0% </w:t>
      </w:r>
      <w:r w:rsidR="00644974">
        <w:rPr>
          <w:rFonts w:ascii="Bookman Old Style" w:hAnsi="Bookman Old Style" w:cs="Arial"/>
        </w:rPr>
        <w:t xml:space="preserve">del </w:t>
      </w:r>
      <w:r w:rsidRPr="00F65F03">
        <w:rPr>
          <w:rFonts w:ascii="Bookman Old Style" w:hAnsi="Bookman Old Style" w:cs="Arial"/>
        </w:rPr>
        <w:t>trazado.</w:t>
      </w:r>
    </w:p>
    <w:p w:rsidR="00F65F03" w:rsidRPr="00F65F03" w:rsidRDefault="00F65F03" w:rsidP="00F65F03">
      <w:pPr>
        <w:widowControl w:val="0"/>
        <w:numPr>
          <w:ilvl w:val="0"/>
          <w:numId w:val="31"/>
        </w:numPr>
        <w:adjustRightInd w:val="0"/>
        <w:ind w:hanging="229"/>
        <w:jc w:val="both"/>
        <w:textAlignment w:val="baseline"/>
        <w:rPr>
          <w:rFonts w:ascii="Bookman Old Style" w:hAnsi="Bookman Old Style" w:cs="Arial"/>
        </w:rPr>
      </w:pPr>
      <w:r w:rsidRPr="00F65F03">
        <w:rPr>
          <w:rFonts w:ascii="Bookman Old Style" w:hAnsi="Bookman Old Style" w:cs="Arial"/>
        </w:rPr>
        <w:t>Cuente con una longitud mayor o igual a</w:t>
      </w:r>
      <w:r>
        <w:rPr>
          <w:rFonts w:ascii="Bookman Old Style" w:hAnsi="Bookman Old Style" w:cs="Arial"/>
        </w:rPr>
        <w:t xml:space="preserve"> 20 km</w:t>
      </w:r>
      <w:r w:rsidRPr="00F65F03">
        <w:rPr>
          <w:rFonts w:ascii="Bookman Old Style" w:hAnsi="Bookman Old Style" w:cs="Arial"/>
        </w:rPr>
        <w:t>.</w:t>
      </w:r>
    </w:p>
    <w:p w:rsidR="00F65F03" w:rsidRPr="00F65F03" w:rsidRDefault="00F65F03" w:rsidP="00F65F03">
      <w:pPr>
        <w:widowControl w:val="0"/>
        <w:adjustRightInd w:val="0"/>
        <w:ind w:left="1080"/>
        <w:jc w:val="both"/>
        <w:textAlignment w:val="baseline"/>
        <w:rPr>
          <w:rFonts w:ascii="Bookman Old Style" w:hAnsi="Bookman Old Style" w:cs="Arial"/>
        </w:rPr>
      </w:pPr>
    </w:p>
    <w:p w:rsidR="00EF24A5" w:rsidRDefault="00895E42" w:rsidP="00895E42">
      <w:pPr>
        <w:widowControl w:val="0"/>
        <w:numPr>
          <w:ilvl w:val="0"/>
          <w:numId w:val="29"/>
        </w:numPr>
        <w:adjustRightInd w:val="0"/>
        <w:jc w:val="both"/>
        <w:textAlignment w:val="baseline"/>
        <w:rPr>
          <w:rFonts w:ascii="Bookman Old Style" w:hAnsi="Bookman Old Style" w:cs="Arial"/>
        </w:rPr>
      </w:pPr>
      <w:r>
        <w:rPr>
          <w:rFonts w:ascii="Bookman Old Style" w:hAnsi="Bookman Old Style" w:cs="Arial"/>
        </w:rPr>
        <w:t xml:space="preserve">Los gasoductos que no cumplan la condición del numeral a) serán </w:t>
      </w:r>
      <w:r w:rsidR="00F65F03" w:rsidRPr="00F65F03">
        <w:rPr>
          <w:rFonts w:ascii="Bookman Old Style" w:hAnsi="Bookman Old Style" w:cs="Arial"/>
        </w:rPr>
        <w:t>considerada</w:t>
      </w:r>
      <w:r>
        <w:rPr>
          <w:rFonts w:ascii="Bookman Old Style" w:hAnsi="Bookman Old Style" w:cs="Arial"/>
        </w:rPr>
        <w:t>s</w:t>
      </w:r>
      <w:r w:rsidR="00F65F03" w:rsidRPr="00F65F03">
        <w:rPr>
          <w:rFonts w:ascii="Bookman Old Style" w:hAnsi="Bookman Old Style" w:cs="Arial"/>
        </w:rPr>
        <w:t xml:space="preserve"> </w:t>
      </w:r>
      <w:r w:rsidR="000938C1">
        <w:rPr>
          <w:rFonts w:ascii="Bookman Old Style" w:hAnsi="Bookman Old Style" w:cs="Arial"/>
        </w:rPr>
        <w:t xml:space="preserve">como </w:t>
      </w:r>
      <w:r w:rsidR="00F65F03" w:rsidRPr="00F65F03">
        <w:rPr>
          <w:rFonts w:ascii="Bookman Old Style" w:hAnsi="Bookman Old Style" w:cs="Arial"/>
        </w:rPr>
        <w:t>una conexión de</w:t>
      </w:r>
      <w:r w:rsidR="000938C1">
        <w:rPr>
          <w:rFonts w:ascii="Bookman Old Style" w:hAnsi="Bookman Old Style" w:cs="Arial"/>
        </w:rPr>
        <w:t>ntro de un sistema de</w:t>
      </w:r>
      <w:r w:rsidR="00F65F03" w:rsidRPr="00F65F03">
        <w:rPr>
          <w:rFonts w:ascii="Bookman Old Style" w:hAnsi="Bookman Old Style" w:cs="Arial"/>
        </w:rPr>
        <w:t xml:space="preserve"> distribución </w:t>
      </w:r>
      <w:r w:rsidR="00EF24A5">
        <w:rPr>
          <w:rFonts w:ascii="Bookman Old Style" w:hAnsi="Bookman Old Style" w:cs="Arial"/>
        </w:rPr>
        <w:t>Así mismo, se debe</w:t>
      </w:r>
      <w:r w:rsidR="00425884">
        <w:rPr>
          <w:rFonts w:ascii="Bookman Old Style" w:hAnsi="Bookman Old Style" w:cs="Arial"/>
        </w:rPr>
        <w:t>rá</w:t>
      </w:r>
      <w:r w:rsidR="00EF24A5">
        <w:rPr>
          <w:rFonts w:ascii="Bookman Old Style" w:hAnsi="Bookman Old Style" w:cs="Arial"/>
        </w:rPr>
        <w:t xml:space="preserve"> cumplir </w:t>
      </w:r>
      <w:r w:rsidR="00EF24A5" w:rsidRPr="00EF24A5">
        <w:rPr>
          <w:rFonts w:ascii="Bookman Old Style" w:hAnsi="Bookman Old Style" w:cs="Arial"/>
        </w:rPr>
        <w:t xml:space="preserve">con el procedimiento previsto en la metodología de </w:t>
      </w:r>
      <w:r w:rsidR="00EF24A5">
        <w:rPr>
          <w:rFonts w:ascii="Bookman Old Style" w:hAnsi="Bookman Old Style" w:cs="Arial"/>
        </w:rPr>
        <w:t xml:space="preserve">distribución de gas combustible de </w:t>
      </w:r>
      <w:r w:rsidR="00EF24A5" w:rsidRPr="00EF24A5">
        <w:rPr>
          <w:rFonts w:ascii="Bookman Old Style" w:hAnsi="Bookman Old Style" w:cs="Arial"/>
        </w:rPr>
        <w:t>la Resolución CREG 202 de 2013 o aquellas que la modifiquen, deroguen y sustituyan en relación con las reglas para la conformación de sistemas de distribución</w:t>
      </w:r>
      <w:r w:rsidR="00DF1FF3">
        <w:rPr>
          <w:rFonts w:ascii="Bookman Old Style" w:hAnsi="Bookman Old Style" w:cs="Arial"/>
        </w:rPr>
        <w:t xml:space="preserve"> previsto en el artículo 4 de dicho acto administrativo.</w:t>
      </w:r>
    </w:p>
    <w:p w:rsidR="00644974" w:rsidRDefault="00644974" w:rsidP="00644974">
      <w:pPr>
        <w:widowControl w:val="0"/>
        <w:adjustRightInd w:val="0"/>
        <w:ind w:left="0"/>
        <w:jc w:val="both"/>
        <w:textAlignment w:val="baseline"/>
        <w:rPr>
          <w:rFonts w:ascii="Bookman Old Style" w:hAnsi="Bookman Old Style" w:cs="Arial"/>
        </w:rPr>
      </w:pPr>
    </w:p>
    <w:p w:rsidR="00644974" w:rsidRDefault="00644974" w:rsidP="00644974">
      <w:pPr>
        <w:widowControl w:val="0"/>
        <w:adjustRightInd w:val="0"/>
        <w:ind w:left="0"/>
        <w:jc w:val="both"/>
        <w:textAlignment w:val="baseline"/>
        <w:rPr>
          <w:rFonts w:ascii="Bookman Old Style" w:hAnsi="Bookman Old Style" w:cs="Arial"/>
        </w:rPr>
      </w:pPr>
      <w:r w:rsidRPr="00644974">
        <w:rPr>
          <w:rFonts w:ascii="Bookman Old Style" w:hAnsi="Bookman Old Style" w:cs="Arial"/>
          <w:b/>
        </w:rPr>
        <w:t>Parágrafo</w:t>
      </w:r>
      <w:r>
        <w:rPr>
          <w:rFonts w:ascii="Bookman Old Style" w:hAnsi="Bookman Old Style" w:cs="Arial"/>
        </w:rPr>
        <w:t xml:space="preserve">. </w:t>
      </w:r>
      <w:r w:rsidR="00A1569C">
        <w:rPr>
          <w:rFonts w:ascii="Bookman Old Style" w:hAnsi="Bookman Old Style" w:cs="Arial"/>
        </w:rPr>
        <w:t xml:space="preserve">Los </w:t>
      </w:r>
      <w:r>
        <w:rPr>
          <w:rFonts w:ascii="Bookman Old Style" w:hAnsi="Bookman Old Style" w:cs="Arial"/>
        </w:rPr>
        <w:t xml:space="preserve"> activo</w:t>
      </w:r>
      <w:r w:rsidR="00A1569C">
        <w:rPr>
          <w:rFonts w:ascii="Bookman Old Style" w:hAnsi="Bookman Old Style" w:cs="Arial"/>
        </w:rPr>
        <w:t>s</w:t>
      </w:r>
      <w:r>
        <w:rPr>
          <w:rFonts w:ascii="Bookman Old Style" w:hAnsi="Bookman Old Style" w:cs="Arial"/>
        </w:rPr>
        <w:t xml:space="preserve"> de conexión existente</w:t>
      </w:r>
      <w:r w:rsidR="00A1569C">
        <w:rPr>
          <w:rFonts w:ascii="Bookman Old Style" w:hAnsi="Bookman Old Style" w:cs="Arial"/>
        </w:rPr>
        <w:t>s</w:t>
      </w:r>
      <w:r>
        <w:rPr>
          <w:rFonts w:ascii="Bookman Old Style" w:hAnsi="Bookman Old Style" w:cs="Arial"/>
        </w:rPr>
        <w:t>, es decir que a la fecha ya esté</w:t>
      </w:r>
      <w:r w:rsidR="00A1569C">
        <w:rPr>
          <w:rFonts w:ascii="Bookman Old Style" w:hAnsi="Bookman Old Style" w:cs="Arial"/>
        </w:rPr>
        <w:t>n</w:t>
      </w:r>
      <w:r>
        <w:rPr>
          <w:rFonts w:ascii="Bookman Old Style" w:hAnsi="Bookman Old Style" w:cs="Arial"/>
        </w:rPr>
        <w:t xml:space="preserve"> en operación, dentro de un sistema de distribución, </w:t>
      </w:r>
      <w:r w:rsidR="00A1569C">
        <w:rPr>
          <w:rFonts w:ascii="Bookman Old Style" w:hAnsi="Bookman Old Style" w:cs="Arial"/>
        </w:rPr>
        <w:t xml:space="preserve">mantendrán su condición actual, así </w:t>
      </w:r>
      <w:r>
        <w:rPr>
          <w:rFonts w:ascii="Bookman Old Style" w:hAnsi="Bookman Old Style" w:cs="Arial"/>
        </w:rPr>
        <w:t>no cumpliese</w:t>
      </w:r>
      <w:r w:rsidR="00A1569C">
        <w:rPr>
          <w:rFonts w:ascii="Bookman Old Style" w:hAnsi="Bookman Old Style" w:cs="Arial"/>
        </w:rPr>
        <w:t>n</w:t>
      </w:r>
      <w:r>
        <w:rPr>
          <w:rFonts w:ascii="Bookman Old Style" w:hAnsi="Bookman Old Style" w:cs="Arial"/>
        </w:rPr>
        <w:t xml:space="preserve"> los requisitos para ser clasificado como tal, sino como </w:t>
      </w:r>
      <w:r w:rsidR="00A1569C">
        <w:rPr>
          <w:rFonts w:ascii="Bookman Old Style" w:hAnsi="Bookman Old Style" w:cs="Arial"/>
        </w:rPr>
        <w:t>un gasoducto de transporte.</w:t>
      </w:r>
    </w:p>
    <w:p w:rsidR="00EF24A5" w:rsidRDefault="00EF24A5" w:rsidP="00F65F03">
      <w:pPr>
        <w:widowControl w:val="0"/>
        <w:adjustRightInd w:val="0"/>
        <w:ind w:left="0"/>
        <w:jc w:val="both"/>
        <w:textAlignment w:val="baseline"/>
        <w:rPr>
          <w:rFonts w:ascii="Bookman Old Style" w:hAnsi="Bookman Old Style" w:cs="Arial"/>
        </w:rPr>
      </w:pPr>
    </w:p>
    <w:p w:rsidR="00F65F03" w:rsidRDefault="00425884" w:rsidP="00F65F03">
      <w:pPr>
        <w:widowControl w:val="0"/>
        <w:adjustRightInd w:val="0"/>
        <w:ind w:left="0"/>
        <w:jc w:val="both"/>
        <w:textAlignment w:val="baseline"/>
        <w:rPr>
          <w:rFonts w:ascii="Bookman Old Style" w:hAnsi="Bookman Old Style" w:cs="Arial"/>
        </w:rPr>
      </w:pPr>
      <w:r>
        <w:rPr>
          <w:rFonts w:ascii="Bookman Old Style" w:hAnsi="Bookman Old Style" w:cs="Arial"/>
          <w:b/>
        </w:rPr>
        <w:t>Artículo 2o. V</w:t>
      </w:r>
      <w:r w:rsidRPr="00F65F03">
        <w:rPr>
          <w:rFonts w:ascii="Bookman Old Style" w:hAnsi="Bookman Old Style" w:cs="Arial"/>
          <w:b/>
        </w:rPr>
        <w:t>igencia</w:t>
      </w:r>
      <w:r>
        <w:rPr>
          <w:rFonts w:ascii="Bookman Old Style" w:hAnsi="Bookman Old Style" w:cs="Arial"/>
        </w:rPr>
        <w:t>.  La presente r</w:t>
      </w:r>
      <w:r w:rsidR="00F65F03" w:rsidRPr="00F65F03">
        <w:rPr>
          <w:rFonts w:ascii="Bookman Old Style" w:hAnsi="Bookman Old Style" w:cs="Arial"/>
        </w:rPr>
        <w:t xml:space="preserve">esolución rige a partir de la fecha de su publicación en el </w:t>
      </w:r>
      <w:r w:rsidR="00F65F03" w:rsidRPr="00F65F03">
        <w:rPr>
          <w:rFonts w:ascii="Bookman Old Style" w:hAnsi="Bookman Old Style" w:cs="Arial"/>
          <w:i/>
        </w:rPr>
        <w:t>Diario Oficial</w:t>
      </w:r>
      <w:r w:rsidR="00F65F03" w:rsidRPr="00F65F03">
        <w:rPr>
          <w:rFonts w:ascii="Bookman Old Style" w:hAnsi="Bookman Old Style" w:cs="Arial"/>
        </w:rPr>
        <w:t>.</w:t>
      </w:r>
      <w:r>
        <w:rPr>
          <w:rFonts w:ascii="Bookman Old Style" w:hAnsi="Bookman Old Style" w:cs="Arial"/>
        </w:rPr>
        <w:t xml:space="preserve"> </w:t>
      </w:r>
    </w:p>
    <w:p w:rsidR="00425884" w:rsidRPr="00F65F03" w:rsidRDefault="00425884" w:rsidP="00F65F03">
      <w:pPr>
        <w:widowControl w:val="0"/>
        <w:adjustRightInd w:val="0"/>
        <w:ind w:left="0"/>
        <w:jc w:val="both"/>
        <w:textAlignment w:val="baseline"/>
        <w:rPr>
          <w:rFonts w:ascii="Bookman Old Style" w:hAnsi="Bookman Old Style" w:cs="Arial"/>
        </w:rPr>
      </w:pPr>
    </w:p>
    <w:p w:rsidR="00F65F03" w:rsidRPr="00F65F03" w:rsidRDefault="00F65F03" w:rsidP="00F65F03">
      <w:pPr>
        <w:keepNext/>
        <w:widowControl w:val="0"/>
        <w:adjustRightInd w:val="0"/>
        <w:ind w:left="0"/>
        <w:jc w:val="both"/>
        <w:textAlignment w:val="baseline"/>
        <w:outlineLvl w:val="4"/>
        <w:rPr>
          <w:rFonts w:ascii="Bookman Old Style" w:hAnsi="Bookman Old Style" w:cs="Arial"/>
          <w:b/>
          <w:bCs/>
        </w:rPr>
      </w:pPr>
    </w:p>
    <w:p w:rsidR="00F65F03" w:rsidRPr="00F65F03" w:rsidRDefault="00F65F03" w:rsidP="00F65F03">
      <w:pPr>
        <w:widowControl w:val="0"/>
        <w:adjustRightInd w:val="0"/>
        <w:ind w:left="0"/>
        <w:jc w:val="center"/>
        <w:textAlignment w:val="baseline"/>
        <w:rPr>
          <w:rFonts w:ascii="Bookman Old Style" w:hAnsi="Bookman Old Style" w:cs="Arial"/>
          <w:b/>
          <w:bCs/>
          <w:color w:val="000000"/>
        </w:rPr>
      </w:pPr>
      <w:r w:rsidRPr="00F65F03">
        <w:rPr>
          <w:rFonts w:ascii="Bookman Old Style" w:hAnsi="Bookman Old Style" w:cs="Arial"/>
          <w:b/>
          <w:bCs/>
          <w:color w:val="000000"/>
        </w:rPr>
        <w:t>PUBLÍQUESE Y CÚMPLASE</w:t>
      </w:r>
    </w:p>
    <w:p w:rsidR="00F65F03" w:rsidRPr="00F65F03" w:rsidRDefault="00F65F03" w:rsidP="00F65F03">
      <w:pPr>
        <w:widowControl w:val="0"/>
        <w:adjustRightInd w:val="0"/>
        <w:ind w:left="0"/>
        <w:jc w:val="both"/>
        <w:textAlignment w:val="baseline"/>
        <w:rPr>
          <w:rFonts w:ascii="Bookman Old Style" w:hAnsi="Bookman Old Style" w:cs="Arial"/>
        </w:rPr>
      </w:pPr>
    </w:p>
    <w:p w:rsidR="00F65F03" w:rsidRPr="00F65F03" w:rsidRDefault="00F65F03" w:rsidP="00F65F03">
      <w:pPr>
        <w:widowControl w:val="0"/>
        <w:adjustRightInd w:val="0"/>
        <w:ind w:left="0"/>
        <w:jc w:val="both"/>
        <w:textAlignment w:val="baseline"/>
        <w:rPr>
          <w:rFonts w:ascii="Bookman Old Style" w:hAnsi="Bookman Old Style" w:cs="Arial"/>
        </w:rPr>
      </w:pPr>
      <w:r>
        <w:rPr>
          <w:rFonts w:ascii="Bookman Old Style" w:hAnsi="Bookman Old Style" w:cs="Arial"/>
        </w:rPr>
        <w:t>Firmas del proyecto,</w:t>
      </w:r>
    </w:p>
    <w:p w:rsidR="00F65F03" w:rsidRPr="00F65F03" w:rsidRDefault="00F65F03" w:rsidP="00F65F03">
      <w:pPr>
        <w:widowControl w:val="0"/>
        <w:adjustRightInd w:val="0"/>
        <w:ind w:left="0"/>
        <w:jc w:val="both"/>
        <w:textAlignment w:val="baseline"/>
        <w:rPr>
          <w:rFonts w:ascii="Bookman Old Style" w:hAnsi="Bookman Old Style" w:cs="Arial"/>
        </w:rPr>
      </w:pPr>
    </w:p>
    <w:p w:rsidR="00F65F03" w:rsidRPr="00F65F03" w:rsidRDefault="00F65F03" w:rsidP="00F65F03">
      <w:pPr>
        <w:widowControl w:val="0"/>
        <w:adjustRightInd w:val="0"/>
        <w:ind w:left="0"/>
        <w:jc w:val="both"/>
        <w:textAlignment w:val="baseline"/>
        <w:rPr>
          <w:rFonts w:ascii="Bookman Old Style" w:hAnsi="Bookman Old Style" w:cs="Arial"/>
        </w:rPr>
      </w:pPr>
    </w:p>
    <w:p w:rsidR="00F65F03" w:rsidRPr="00F65F03" w:rsidRDefault="00F65F03" w:rsidP="00F65F03">
      <w:pPr>
        <w:widowControl w:val="0"/>
        <w:adjustRightInd w:val="0"/>
        <w:ind w:left="0"/>
        <w:jc w:val="both"/>
        <w:textAlignment w:val="baseline"/>
        <w:rPr>
          <w:rFonts w:ascii="Bookman Old Style" w:hAnsi="Bookman Old Style" w:cs="Arial"/>
        </w:rPr>
      </w:pPr>
    </w:p>
    <w:p w:rsidR="00F65F03" w:rsidRPr="00F65F03" w:rsidRDefault="00F65F03" w:rsidP="00F65F03">
      <w:pPr>
        <w:widowControl w:val="0"/>
        <w:adjustRightInd w:val="0"/>
        <w:ind w:left="0"/>
        <w:jc w:val="both"/>
        <w:textAlignment w:val="baseline"/>
        <w:rPr>
          <w:rFonts w:ascii="Bookman Old Style" w:hAnsi="Bookman Old Style" w:cs="Arial"/>
        </w:rPr>
      </w:pPr>
    </w:p>
    <w:p w:rsidR="00F65F03" w:rsidRPr="00F65F03" w:rsidRDefault="00F65F03" w:rsidP="00F65F03">
      <w:pPr>
        <w:widowControl w:val="0"/>
        <w:adjustRightInd w:val="0"/>
        <w:ind w:left="0"/>
        <w:jc w:val="both"/>
        <w:textAlignment w:val="baseline"/>
        <w:rPr>
          <w:rFonts w:ascii="Bookman Old Style" w:hAnsi="Bookman Old Style" w:cs="Arial"/>
        </w:rPr>
      </w:pPr>
    </w:p>
    <w:tbl>
      <w:tblPr>
        <w:tblW w:w="9676" w:type="dxa"/>
        <w:jc w:val="center"/>
        <w:tblLayout w:type="fixed"/>
        <w:tblLook w:val="04A0" w:firstRow="1" w:lastRow="0" w:firstColumn="1" w:lastColumn="0" w:noHBand="0" w:noVBand="1"/>
      </w:tblPr>
      <w:tblGrid>
        <w:gridCol w:w="5097"/>
        <w:gridCol w:w="4579"/>
      </w:tblGrid>
      <w:tr w:rsidR="00F65F03" w:rsidRPr="00F65F03" w:rsidTr="0024550D">
        <w:trPr>
          <w:jc w:val="center"/>
        </w:trPr>
        <w:tc>
          <w:tcPr>
            <w:tcW w:w="5097" w:type="dxa"/>
            <w:vAlign w:val="center"/>
            <w:hideMark/>
          </w:tcPr>
          <w:p w:rsidR="00F65F03" w:rsidRPr="00F65F03" w:rsidRDefault="00F65F03" w:rsidP="00F65F03">
            <w:pPr>
              <w:widowControl w:val="0"/>
              <w:adjustRightInd w:val="0"/>
              <w:ind w:left="0"/>
              <w:jc w:val="center"/>
              <w:textAlignment w:val="baseline"/>
              <w:rPr>
                <w:rFonts w:ascii="Bookman Old Style" w:hAnsi="Bookman Old Style" w:cs="Arial"/>
                <w:bCs/>
                <w:lang w:val="es-CO"/>
              </w:rPr>
            </w:pPr>
            <w:r w:rsidRPr="00F65F03">
              <w:rPr>
                <w:rFonts w:ascii="Bookman Old Style" w:hAnsi="Bookman Old Style" w:cs="Arial"/>
                <w:b/>
              </w:rPr>
              <w:t>GERMÁN ARCE ZAPATA</w:t>
            </w:r>
            <w:r w:rsidRPr="00F65F03">
              <w:rPr>
                <w:rFonts w:ascii="Bookman Old Style" w:hAnsi="Bookman Old Style" w:cs="Arial"/>
                <w:bCs/>
                <w:lang w:val="es-CO"/>
              </w:rPr>
              <w:t xml:space="preserve"> </w:t>
            </w:r>
          </w:p>
          <w:p w:rsidR="00F65F03" w:rsidRPr="00F65F03" w:rsidRDefault="00F65F03" w:rsidP="00F65F03">
            <w:pPr>
              <w:widowControl w:val="0"/>
              <w:adjustRightInd w:val="0"/>
              <w:ind w:left="0"/>
              <w:jc w:val="center"/>
              <w:textAlignment w:val="baseline"/>
              <w:rPr>
                <w:rFonts w:ascii="Bookman Old Style" w:hAnsi="Bookman Old Style" w:cs="Arial"/>
                <w:bCs/>
                <w:lang w:val="es-CO"/>
              </w:rPr>
            </w:pPr>
            <w:r w:rsidRPr="00F65F03">
              <w:rPr>
                <w:rFonts w:ascii="Bookman Old Style" w:hAnsi="Bookman Old Style" w:cs="Arial"/>
                <w:bCs/>
                <w:lang w:val="es-CO"/>
              </w:rPr>
              <w:t>Ministro de Minas y Energía</w:t>
            </w:r>
          </w:p>
          <w:p w:rsidR="00F65F03" w:rsidRPr="00F65F03" w:rsidRDefault="00F65F03" w:rsidP="00F65F03">
            <w:pPr>
              <w:widowControl w:val="0"/>
              <w:adjustRightInd w:val="0"/>
              <w:ind w:left="0"/>
              <w:jc w:val="center"/>
              <w:textAlignment w:val="baseline"/>
              <w:rPr>
                <w:rFonts w:ascii="Bookman Old Style" w:hAnsi="Bookman Old Style" w:cs="Arial"/>
                <w:bCs/>
                <w:lang w:val="es-CO"/>
              </w:rPr>
            </w:pPr>
            <w:r w:rsidRPr="00F65F03">
              <w:rPr>
                <w:rFonts w:ascii="Bookman Old Style" w:hAnsi="Bookman Old Style" w:cs="Arial"/>
                <w:bCs/>
                <w:lang w:val="es-CO"/>
              </w:rPr>
              <w:t>Presidente</w:t>
            </w:r>
          </w:p>
        </w:tc>
        <w:tc>
          <w:tcPr>
            <w:tcW w:w="4579" w:type="dxa"/>
            <w:vAlign w:val="center"/>
            <w:hideMark/>
          </w:tcPr>
          <w:p w:rsidR="00F65F03" w:rsidRPr="00F65F03" w:rsidRDefault="00F65F03" w:rsidP="00F65F03">
            <w:pPr>
              <w:widowControl w:val="0"/>
              <w:adjustRightInd w:val="0"/>
              <w:ind w:left="0"/>
              <w:jc w:val="center"/>
              <w:textAlignment w:val="baseline"/>
              <w:rPr>
                <w:rFonts w:ascii="Bookman Old Style" w:hAnsi="Bookman Old Style" w:cs="Arial"/>
                <w:b/>
              </w:rPr>
            </w:pPr>
            <w:r w:rsidRPr="00F65F03">
              <w:rPr>
                <w:rFonts w:ascii="Bookman Old Style" w:hAnsi="Bookman Old Style" w:cs="Arial"/>
                <w:b/>
              </w:rPr>
              <w:t>JORGE PINTO NOLLA</w:t>
            </w:r>
          </w:p>
          <w:p w:rsidR="00F65F03" w:rsidRPr="00F65F03" w:rsidRDefault="00F65F03" w:rsidP="00F65F03">
            <w:pPr>
              <w:widowControl w:val="0"/>
              <w:adjustRightInd w:val="0"/>
              <w:ind w:left="0"/>
              <w:jc w:val="center"/>
              <w:textAlignment w:val="baseline"/>
              <w:rPr>
                <w:rFonts w:ascii="Bookman Old Style" w:hAnsi="Bookman Old Style" w:cs="Arial"/>
              </w:rPr>
            </w:pPr>
            <w:r w:rsidRPr="00F65F03">
              <w:rPr>
                <w:rFonts w:ascii="Bookman Old Style" w:hAnsi="Bookman Old Style" w:cs="Arial"/>
              </w:rPr>
              <w:t>Director Ejecutivo</w:t>
            </w:r>
          </w:p>
        </w:tc>
      </w:tr>
    </w:tbl>
    <w:p w:rsidR="00F65F03" w:rsidRPr="00F65F03" w:rsidRDefault="00F65F03" w:rsidP="00F65F03">
      <w:pPr>
        <w:widowControl w:val="0"/>
        <w:adjustRightInd w:val="0"/>
        <w:ind w:left="0"/>
        <w:jc w:val="both"/>
        <w:textAlignment w:val="baseline"/>
        <w:rPr>
          <w:rFonts w:ascii="Bookman Old Style" w:hAnsi="Bookman Old Style" w:cs="Arial"/>
        </w:rPr>
      </w:pPr>
    </w:p>
    <w:p w:rsidR="00F65F03" w:rsidRPr="00F65F03" w:rsidRDefault="00F65F03" w:rsidP="00F65F03">
      <w:pPr>
        <w:pStyle w:val="ARTICULOS"/>
        <w:numPr>
          <w:ilvl w:val="0"/>
          <w:numId w:val="0"/>
        </w:numPr>
        <w:rPr>
          <w:b/>
          <w:lang w:val="es-ES"/>
        </w:rPr>
      </w:pPr>
    </w:p>
    <w:sectPr w:rsidR="00F65F03" w:rsidRPr="00F65F03"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17" w:rsidRDefault="00996917">
      <w:r>
        <w:separator/>
      </w:r>
    </w:p>
  </w:endnote>
  <w:endnote w:type="continuationSeparator" w:id="0">
    <w:p w:rsidR="00996917" w:rsidRDefault="0099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17" w:rsidRDefault="00996917">
      <w:r>
        <w:separator/>
      </w:r>
    </w:p>
  </w:footnote>
  <w:footnote w:type="continuationSeparator" w:id="0">
    <w:p w:rsidR="00996917" w:rsidRDefault="00996917">
      <w:r>
        <w:continuationSeparator/>
      </w:r>
    </w:p>
  </w:footnote>
  <w:footnote w:id="1">
    <w:p w:rsidR="00EF24A5" w:rsidRPr="00425884" w:rsidRDefault="00EF24A5" w:rsidP="00425884">
      <w:pPr>
        <w:pStyle w:val="Textonotapie"/>
        <w:ind w:left="0"/>
        <w:jc w:val="both"/>
        <w:rPr>
          <w:rFonts w:ascii="Bookman Old Style" w:hAnsi="Bookman Old Style"/>
          <w:sz w:val="16"/>
          <w:szCs w:val="16"/>
        </w:rPr>
      </w:pPr>
      <w:r w:rsidRPr="00425884">
        <w:rPr>
          <w:rStyle w:val="Refdenotaalpie"/>
          <w:rFonts w:ascii="Bookman Old Style" w:hAnsi="Bookman Old Style"/>
          <w:sz w:val="16"/>
          <w:szCs w:val="16"/>
        </w:rPr>
        <w:footnoteRef/>
      </w:r>
      <w:r w:rsidRPr="00425884">
        <w:rPr>
          <w:rFonts w:ascii="Bookman Old Style" w:hAnsi="Bookman Old Style"/>
          <w:sz w:val="16"/>
          <w:szCs w:val="16"/>
        </w:rPr>
        <w:t xml:space="preserve"> Se debe precisar que estas disposiciones se encuentran recogidas actualmente en los numerales 2.2.13.1 y siguientes del Decreto 1078 de 2015.</w:t>
      </w:r>
    </w:p>
  </w:footnote>
  <w:footnote w:id="2">
    <w:p w:rsidR="00EF24A5" w:rsidRPr="00425884" w:rsidRDefault="00EF24A5" w:rsidP="00425884">
      <w:pPr>
        <w:pStyle w:val="Textonotapie"/>
        <w:ind w:left="0"/>
        <w:jc w:val="both"/>
        <w:rPr>
          <w:rFonts w:ascii="Bookman Old Style" w:hAnsi="Bookman Old Style"/>
          <w:sz w:val="16"/>
          <w:szCs w:val="16"/>
          <w:lang w:val="es-CO"/>
        </w:rPr>
      </w:pPr>
      <w:r w:rsidRPr="00425884">
        <w:rPr>
          <w:rStyle w:val="Refdenotaalpie"/>
          <w:rFonts w:ascii="Bookman Old Style" w:hAnsi="Bookman Old Style"/>
          <w:sz w:val="16"/>
          <w:szCs w:val="16"/>
        </w:rPr>
        <w:footnoteRef/>
      </w:r>
      <w:r w:rsidRPr="00425884">
        <w:rPr>
          <w:rFonts w:ascii="Bookman Old Style" w:hAnsi="Bookman Old Style"/>
          <w:sz w:val="16"/>
          <w:szCs w:val="16"/>
        </w:rPr>
        <w:t xml:space="preserve"> Se debe precisar que estas disposiciones se encuentran recogidas actualmente en los numerales 2.2.13.1 y siguientes del Decreto 1078 de 2015.</w:t>
      </w:r>
    </w:p>
  </w:footnote>
  <w:footnote w:id="3">
    <w:p w:rsidR="00EF24A5" w:rsidRPr="00425884" w:rsidRDefault="00EF24A5" w:rsidP="00425884">
      <w:pPr>
        <w:pStyle w:val="Textonotapie"/>
        <w:ind w:left="0"/>
        <w:jc w:val="both"/>
        <w:rPr>
          <w:rFonts w:ascii="Bookman Old Style" w:hAnsi="Bookman Old Style"/>
          <w:sz w:val="16"/>
          <w:szCs w:val="16"/>
        </w:rPr>
      </w:pPr>
      <w:r w:rsidRPr="00425884">
        <w:rPr>
          <w:rFonts w:ascii="Bookman Old Style" w:hAnsi="Bookman Old Style" w:cs="Arial"/>
          <w:sz w:val="16"/>
          <w:szCs w:val="16"/>
        </w:rPr>
        <w:footnoteRef/>
      </w:r>
      <w:r w:rsidRPr="00425884">
        <w:rPr>
          <w:rFonts w:ascii="Bookman Old Style" w:hAnsi="Bookman Old Style" w:cs="Arial"/>
          <w:sz w:val="16"/>
          <w:szCs w:val="16"/>
        </w:rPr>
        <w:t xml:space="preserve"> Corte Constitucional, Sentencia C- 075 de 2006.</w:t>
      </w:r>
    </w:p>
  </w:footnote>
  <w:footnote w:id="4">
    <w:p w:rsidR="00EF24A5" w:rsidRPr="00425884" w:rsidRDefault="00EF24A5" w:rsidP="00425884">
      <w:pPr>
        <w:pStyle w:val="Textonotapie"/>
        <w:ind w:left="0"/>
        <w:jc w:val="both"/>
        <w:rPr>
          <w:rFonts w:ascii="Bookman Old Style" w:hAnsi="Bookman Old Style"/>
          <w:sz w:val="16"/>
          <w:szCs w:val="16"/>
        </w:rPr>
      </w:pPr>
      <w:r w:rsidRPr="00425884">
        <w:rPr>
          <w:rStyle w:val="Refdenotaalpie"/>
          <w:rFonts w:ascii="Bookman Old Style" w:hAnsi="Bookman Old Style"/>
          <w:sz w:val="16"/>
          <w:szCs w:val="16"/>
          <w:vertAlign w:val="baseline"/>
        </w:rPr>
        <w:footnoteRef/>
      </w:r>
      <w:r w:rsidRPr="00425884">
        <w:rPr>
          <w:rFonts w:ascii="Bookman Old Style" w:hAnsi="Bookman Old Style"/>
          <w:sz w:val="16"/>
          <w:szCs w:val="16"/>
        </w:rPr>
        <w:t xml:space="preserve"> Corte Constitucional, Sentencia C-353 de 2006.</w:t>
      </w:r>
    </w:p>
  </w:footnote>
  <w:footnote w:id="5">
    <w:p w:rsidR="00EF24A5" w:rsidRPr="00425884" w:rsidRDefault="00EF24A5" w:rsidP="00425884">
      <w:pPr>
        <w:pStyle w:val="Textonotapie"/>
        <w:ind w:left="0"/>
        <w:jc w:val="both"/>
        <w:rPr>
          <w:rFonts w:ascii="Bookman Old Style" w:hAnsi="Bookman Old Style" w:cs="Arial"/>
          <w:sz w:val="16"/>
          <w:szCs w:val="16"/>
        </w:rPr>
      </w:pPr>
      <w:r w:rsidRPr="00425884">
        <w:rPr>
          <w:rFonts w:ascii="Bookman Old Style" w:hAnsi="Bookman Old Style" w:cs="Arial"/>
          <w:sz w:val="16"/>
          <w:szCs w:val="16"/>
        </w:rPr>
        <w:footnoteRef/>
      </w:r>
      <w:r w:rsidRPr="00425884">
        <w:rPr>
          <w:rFonts w:ascii="Bookman Old Style" w:hAnsi="Bookman Old Style" w:cs="Arial"/>
          <w:sz w:val="16"/>
          <w:szCs w:val="16"/>
        </w:rPr>
        <w:t xml:space="preserve"> Ver entre otras las sentencias de la H. Corte Constitucional C-150 de 2003, C-1162 de 2000, C-186 de 2011.</w:t>
      </w:r>
    </w:p>
  </w:footnote>
  <w:footnote w:id="6">
    <w:p w:rsidR="00EF24A5" w:rsidRPr="00425884" w:rsidRDefault="00EF24A5" w:rsidP="00425884">
      <w:pPr>
        <w:pStyle w:val="Textonotapie"/>
        <w:ind w:left="0"/>
        <w:jc w:val="both"/>
        <w:rPr>
          <w:rFonts w:ascii="Bookman Old Style" w:hAnsi="Bookman Old Style" w:cs="Arial"/>
          <w:sz w:val="16"/>
          <w:szCs w:val="16"/>
        </w:rPr>
      </w:pPr>
      <w:r w:rsidRPr="00425884">
        <w:rPr>
          <w:rFonts w:ascii="Bookman Old Style" w:hAnsi="Bookman Old Style" w:cs="Arial"/>
          <w:sz w:val="16"/>
          <w:szCs w:val="16"/>
        </w:rPr>
        <w:footnoteRef/>
      </w:r>
      <w:r w:rsidRPr="00425884">
        <w:rPr>
          <w:rFonts w:ascii="Bookman Old Style" w:hAnsi="Bookman Old Style" w:cs="Arial"/>
          <w:sz w:val="16"/>
          <w:szCs w:val="16"/>
        </w:rPr>
        <w:t xml:space="preserve"> Corte Constitucional, Sentencia C-075 de 2006.</w:t>
      </w:r>
    </w:p>
  </w:footnote>
  <w:footnote w:id="7">
    <w:p w:rsidR="00EF24A5" w:rsidRPr="00425884" w:rsidRDefault="00EF24A5" w:rsidP="00425884">
      <w:pPr>
        <w:pStyle w:val="Textonotapie"/>
        <w:ind w:left="0"/>
        <w:jc w:val="both"/>
        <w:rPr>
          <w:rFonts w:ascii="Bookman Old Style" w:hAnsi="Bookman Old Style" w:cs="Arial"/>
          <w:sz w:val="16"/>
          <w:szCs w:val="16"/>
        </w:rPr>
      </w:pPr>
      <w:r w:rsidRPr="00425884">
        <w:rPr>
          <w:rFonts w:ascii="Bookman Old Style" w:hAnsi="Bookman Old Style" w:cs="Arial"/>
          <w:sz w:val="16"/>
          <w:szCs w:val="16"/>
        </w:rPr>
        <w:footnoteRef/>
      </w:r>
      <w:r w:rsidRPr="00425884">
        <w:rPr>
          <w:rFonts w:ascii="Bookman Old Style" w:hAnsi="Bookman Old Style" w:cs="Arial"/>
          <w:sz w:val="16"/>
          <w:szCs w:val="16"/>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8">
    <w:p w:rsidR="00EF24A5" w:rsidRPr="00A51EFB" w:rsidRDefault="00EF24A5" w:rsidP="00425884">
      <w:pPr>
        <w:pStyle w:val="Textonotapie"/>
        <w:ind w:left="0"/>
        <w:jc w:val="both"/>
        <w:rPr>
          <w:rFonts w:cs="Arial"/>
          <w:sz w:val="16"/>
          <w:szCs w:val="16"/>
        </w:rPr>
      </w:pPr>
      <w:r w:rsidRPr="00425884">
        <w:rPr>
          <w:rFonts w:ascii="Bookman Old Style" w:hAnsi="Bookman Old Style" w:cs="Arial"/>
          <w:sz w:val="16"/>
          <w:szCs w:val="16"/>
        </w:rPr>
        <w:footnoteRef/>
      </w:r>
      <w:r w:rsidRPr="00425884">
        <w:rPr>
          <w:rFonts w:ascii="Bookman Old Style" w:hAnsi="Bookman Old Style" w:cs="Arial"/>
          <w:sz w:val="16"/>
          <w:szCs w:val="16"/>
        </w:rPr>
        <w:t xml:space="preserve"> Corte Constitucional, Sentencia C-150 de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A5" w:rsidRDefault="00EF24A5" w:rsidP="00951F79">
    <w:pPr>
      <w:pStyle w:val="Ttulo1"/>
      <w:ind w:right="6"/>
      <w:jc w:val="left"/>
      <w:rPr>
        <w:rFonts w:ascii="Bookman Old Style" w:hAnsi="Bookman Old Style" w:cs="Arial"/>
        <w:b w:val="0"/>
        <w:sz w:val="22"/>
        <w:szCs w:val="22"/>
      </w:rPr>
    </w:pPr>
  </w:p>
  <w:p w:rsidR="00EF24A5" w:rsidRPr="00951F79" w:rsidRDefault="00EF24A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0551B">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0551B">
      <w:fldChar w:fldCharType="begin"/>
    </w:r>
    <w:r w:rsidR="0020551B">
      <w:instrText xml:space="preserve"> NUMPAGES  \* MERGEFORMAT </w:instrText>
    </w:r>
    <w:r w:rsidR="0020551B">
      <w:fldChar w:fldCharType="separate"/>
    </w:r>
    <w:r w:rsidR="0020551B" w:rsidRPr="0020551B">
      <w:rPr>
        <w:rFonts w:ascii="Bookman Old Style" w:hAnsi="Bookman Old Style" w:cs="Arial"/>
        <w:b w:val="0"/>
        <w:noProof/>
        <w:sz w:val="22"/>
        <w:szCs w:val="22"/>
      </w:rPr>
      <w:t>8</w:t>
    </w:r>
    <w:r w:rsidR="0020551B">
      <w:rPr>
        <w:rFonts w:ascii="Bookman Old Style" w:hAnsi="Bookman Old Style" w:cs="Arial"/>
        <w:b w:val="0"/>
        <w:noProof/>
        <w:sz w:val="22"/>
        <w:szCs w:val="22"/>
      </w:rPr>
      <w:fldChar w:fldCharType="end"/>
    </w:r>
  </w:p>
  <w:p w:rsidR="00EF24A5" w:rsidRDefault="00EF24A5"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7216" behindDoc="0" locked="0" layoutInCell="1" allowOverlap="1" wp14:anchorId="5C29E792" wp14:editId="4EA5BEE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24812"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F24A5" w:rsidRDefault="00EF24A5" w:rsidP="001B1C5C">
    <w:pPr>
      <w:pBdr>
        <w:bottom w:val="single" w:sz="4" w:space="1" w:color="auto"/>
      </w:pBdr>
      <w:ind w:left="142" w:right="148"/>
      <w:jc w:val="both"/>
      <w:rPr>
        <w:rFonts w:ascii="Bookman Old Style" w:hAnsi="Bookman Old Style"/>
        <w:sz w:val="22"/>
        <w:szCs w:val="22"/>
      </w:rPr>
    </w:pPr>
    <w:r w:rsidRPr="00E10B3E">
      <w:rPr>
        <w:rFonts w:ascii="Bookman Old Style" w:hAnsi="Bookman Old Style"/>
        <w:sz w:val="22"/>
        <w:szCs w:val="22"/>
      </w:rPr>
      <w:t>Por la cual se ordena hacer público un proyecto de resolución “</w:t>
    </w:r>
    <w:r w:rsidRPr="003D41A8">
      <w:rPr>
        <w:rFonts w:ascii="Bookman Old Style" w:hAnsi="Bookman Old Style"/>
        <w:sz w:val="22"/>
        <w:szCs w:val="22"/>
      </w:rPr>
      <w:t>Por la cual se modifica y complementa el Reglamento Único de Transporte de Gas Na</w:t>
    </w:r>
    <w:r>
      <w:rPr>
        <w:rFonts w:ascii="Bookman Old Style" w:hAnsi="Bookman Old Style"/>
        <w:sz w:val="22"/>
        <w:szCs w:val="22"/>
      </w:rPr>
      <w:t>tural  - RUT”</w:t>
    </w:r>
  </w:p>
  <w:p w:rsidR="00EF24A5" w:rsidRPr="00421700" w:rsidRDefault="00EF24A5" w:rsidP="003D41A8">
    <w:pPr>
      <w:pBdr>
        <w:bottom w:val="single" w:sz="4" w:space="1" w:color="auto"/>
      </w:pBdr>
      <w:ind w:left="142" w:right="148"/>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A5" w:rsidRDefault="00EF24A5"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F24A5" w:rsidRDefault="00EF24A5">
    <w:pPr>
      <w:pStyle w:val="Encabezado"/>
      <w:jc w:val="center"/>
      <w:rPr>
        <w:rFonts w:ascii="Arial" w:hAnsi="Arial" w:cs="Arial"/>
        <w:spacing w:val="20"/>
        <w:sz w:val="20"/>
      </w:rPr>
    </w:pPr>
  </w:p>
  <w:p w:rsidR="00EF24A5" w:rsidRDefault="00EF24A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AD56C36" wp14:editId="68A55F48">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D5F0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1F2055"/>
    <w:multiLevelType w:val="hybridMultilevel"/>
    <w:tmpl w:val="37FADB66"/>
    <w:lvl w:ilvl="0" w:tplc="D8CEF304">
      <w:start w:val="1"/>
      <w:numFmt w:val="lowerLetter"/>
      <w:lvlText w:val="%1)"/>
      <w:lvlJc w:val="left"/>
      <w:pPr>
        <w:ind w:left="720" w:hanging="360"/>
      </w:pPr>
      <w:rPr>
        <w:sz w:val="24"/>
        <w:szCs w:val="24"/>
      </w:rPr>
    </w:lvl>
    <w:lvl w:ilvl="1" w:tplc="24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3759BB"/>
    <w:multiLevelType w:val="hybridMultilevel"/>
    <w:tmpl w:val="6B68F79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EA6155"/>
    <w:multiLevelType w:val="hybridMultilevel"/>
    <w:tmpl w:val="AC5021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4E5D7F"/>
    <w:multiLevelType w:val="hybridMultilevel"/>
    <w:tmpl w:val="4484F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9D375B"/>
    <w:multiLevelType w:val="hybridMultilevel"/>
    <w:tmpl w:val="AB8ED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592ADD"/>
    <w:multiLevelType w:val="hybridMultilevel"/>
    <w:tmpl w:val="289E8652"/>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C5E543E"/>
    <w:multiLevelType w:val="hybridMultilevel"/>
    <w:tmpl w:val="0EA4E588"/>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2E827BF4"/>
    <w:multiLevelType w:val="hybridMultilevel"/>
    <w:tmpl w:val="8BF495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BF1B26"/>
    <w:multiLevelType w:val="hybridMultilevel"/>
    <w:tmpl w:val="7FFA1BDA"/>
    <w:lvl w:ilvl="0" w:tplc="240A001B">
      <w:start w:val="1"/>
      <w:numFmt w:val="lowerRoman"/>
      <w:lvlText w:val="%1."/>
      <w:lvlJc w:val="right"/>
      <w:pPr>
        <w:ind w:left="1309" w:hanging="360"/>
      </w:pPr>
      <w:rPr>
        <w:rFonts w:hint="default"/>
      </w:rPr>
    </w:lvl>
    <w:lvl w:ilvl="1" w:tplc="240A0003" w:tentative="1">
      <w:start w:val="1"/>
      <w:numFmt w:val="bullet"/>
      <w:lvlText w:val="o"/>
      <w:lvlJc w:val="left"/>
      <w:pPr>
        <w:ind w:left="2029" w:hanging="360"/>
      </w:pPr>
      <w:rPr>
        <w:rFonts w:ascii="Courier New" w:hAnsi="Courier New" w:cs="Courier New" w:hint="default"/>
      </w:rPr>
    </w:lvl>
    <w:lvl w:ilvl="2" w:tplc="240A0005" w:tentative="1">
      <w:start w:val="1"/>
      <w:numFmt w:val="bullet"/>
      <w:lvlText w:val=""/>
      <w:lvlJc w:val="left"/>
      <w:pPr>
        <w:ind w:left="2749" w:hanging="360"/>
      </w:pPr>
      <w:rPr>
        <w:rFonts w:ascii="Wingdings" w:hAnsi="Wingdings" w:hint="default"/>
      </w:rPr>
    </w:lvl>
    <w:lvl w:ilvl="3" w:tplc="240A0001" w:tentative="1">
      <w:start w:val="1"/>
      <w:numFmt w:val="bullet"/>
      <w:lvlText w:val=""/>
      <w:lvlJc w:val="left"/>
      <w:pPr>
        <w:ind w:left="3469" w:hanging="360"/>
      </w:pPr>
      <w:rPr>
        <w:rFonts w:ascii="Symbol" w:hAnsi="Symbol" w:hint="default"/>
      </w:rPr>
    </w:lvl>
    <w:lvl w:ilvl="4" w:tplc="240A0003" w:tentative="1">
      <w:start w:val="1"/>
      <w:numFmt w:val="bullet"/>
      <w:lvlText w:val="o"/>
      <w:lvlJc w:val="left"/>
      <w:pPr>
        <w:ind w:left="4189" w:hanging="360"/>
      </w:pPr>
      <w:rPr>
        <w:rFonts w:ascii="Courier New" w:hAnsi="Courier New" w:cs="Courier New" w:hint="default"/>
      </w:rPr>
    </w:lvl>
    <w:lvl w:ilvl="5" w:tplc="240A0005" w:tentative="1">
      <w:start w:val="1"/>
      <w:numFmt w:val="bullet"/>
      <w:lvlText w:val=""/>
      <w:lvlJc w:val="left"/>
      <w:pPr>
        <w:ind w:left="4909" w:hanging="360"/>
      </w:pPr>
      <w:rPr>
        <w:rFonts w:ascii="Wingdings" w:hAnsi="Wingdings" w:hint="default"/>
      </w:rPr>
    </w:lvl>
    <w:lvl w:ilvl="6" w:tplc="240A0001" w:tentative="1">
      <w:start w:val="1"/>
      <w:numFmt w:val="bullet"/>
      <w:lvlText w:val=""/>
      <w:lvlJc w:val="left"/>
      <w:pPr>
        <w:ind w:left="5629" w:hanging="360"/>
      </w:pPr>
      <w:rPr>
        <w:rFonts w:ascii="Symbol" w:hAnsi="Symbol" w:hint="default"/>
      </w:rPr>
    </w:lvl>
    <w:lvl w:ilvl="7" w:tplc="240A0003" w:tentative="1">
      <w:start w:val="1"/>
      <w:numFmt w:val="bullet"/>
      <w:lvlText w:val="o"/>
      <w:lvlJc w:val="left"/>
      <w:pPr>
        <w:ind w:left="6349" w:hanging="360"/>
      </w:pPr>
      <w:rPr>
        <w:rFonts w:ascii="Courier New" w:hAnsi="Courier New" w:cs="Courier New" w:hint="default"/>
      </w:rPr>
    </w:lvl>
    <w:lvl w:ilvl="8" w:tplc="240A0005" w:tentative="1">
      <w:start w:val="1"/>
      <w:numFmt w:val="bullet"/>
      <w:lvlText w:val=""/>
      <w:lvlJc w:val="left"/>
      <w:pPr>
        <w:ind w:left="7069" w:hanging="360"/>
      </w:pPr>
      <w:rPr>
        <w:rFonts w:ascii="Wingdings" w:hAnsi="Wingdings" w:hint="default"/>
      </w:rPr>
    </w:lvl>
  </w:abstractNum>
  <w:abstractNum w:abstractNumId="11" w15:restartNumberingAfterBreak="0">
    <w:nsid w:val="32FF1CFA"/>
    <w:multiLevelType w:val="hybridMultilevel"/>
    <w:tmpl w:val="CD5A92F8"/>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15:restartNumberingAfterBreak="0">
    <w:nsid w:val="3AB60E50"/>
    <w:multiLevelType w:val="hybridMultilevel"/>
    <w:tmpl w:val="A2869EC0"/>
    <w:lvl w:ilvl="0" w:tplc="240A0013">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 w15:restartNumberingAfterBreak="0">
    <w:nsid w:val="3B765EEB"/>
    <w:multiLevelType w:val="hybridMultilevel"/>
    <w:tmpl w:val="6A188C7C"/>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15:restartNumberingAfterBreak="0">
    <w:nsid w:val="3BDF07F4"/>
    <w:multiLevelType w:val="hybridMultilevel"/>
    <w:tmpl w:val="AC6C1D48"/>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41BA47B5"/>
    <w:multiLevelType w:val="hybridMultilevel"/>
    <w:tmpl w:val="C7E29F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FF4891"/>
    <w:multiLevelType w:val="hybridMultilevel"/>
    <w:tmpl w:val="2BE68B98"/>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15:restartNumberingAfterBreak="0">
    <w:nsid w:val="4FCD21AC"/>
    <w:multiLevelType w:val="hybridMultilevel"/>
    <w:tmpl w:val="F250734A"/>
    <w:lvl w:ilvl="0" w:tplc="240A0017">
      <w:start w:val="1"/>
      <w:numFmt w:val="lowerLetter"/>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18" w15:restartNumberingAfterBreak="0">
    <w:nsid w:val="510A3E19"/>
    <w:multiLevelType w:val="hybridMultilevel"/>
    <w:tmpl w:val="F29A8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10E3D25"/>
    <w:multiLevelType w:val="hybridMultilevel"/>
    <w:tmpl w:val="DB68E08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8F75F2"/>
    <w:multiLevelType w:val="hybridMultilevel"/>
    <w:tmpl w:val="2B68798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CC0F48"/>
    <w:multiLevelType w:val="hybridMultilevel"/>
    <w:tmpl w:val="BEBCABDA"/>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2" w15:restartNumberingAfterBreak="0">
    <w:nsid w:val="5C6E4242"/>
    <w:multiLevelType w:val="hybridMultilevel"/>
    <w:tmpl w:val="216C8EFE"/>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3" w15:restartNumberingAfterBreak="0">
    <w:nsid w:val="60F3236C"/>
    <w:multiLevelType w:val="hybridMultilevel"/>
    <w:tmpl w:val="28F0C4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78D57CE"/>
    <w:multiLevelType w:val="hybridMultilevel"/>
    <w:tmpl w:val="958E0BCE"/>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67CB28B1"/>
    <w:multiLevelType w:val="hybridMultilevel"/>
    <w:tmpl w:val="992A6BF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A7061D"/>
    <w:multiLevelType w:val="hybridMultilevel"/>
    <w:tmpl w:val="911A092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432BD8"/>
    <w:multiLevelType w:val="hybridMultilevel"/>
    <w:tmpl w:val="1F3E190C"/>
    <w:lvl w:ilvl="0" w:tplc="68D4F308">
      <w:start w:val="1"/>
      <w:numFmt w:val="decimal"/>
      <w:pStyle w:val="ARTICULOS"/>
      <w:lvlText w:val="Artículo %1."/>
      <w:lvlJc w:val="left"/>
      <w:pPr>
        <w:ind w:left="1353"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8" w15:restartNumberingAfterBreak="0">
    <w:nsid w:val="76A02DED"/>
    <w:multiLevelType w:val="hybridMultilevel"/>
    <w:tmpl w:val="52FAB42A"/>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9" w15:restartNumberingAfterBreak="0">
    <w:nsid w:val="77A83D20"/>
    <w:multiLevelType w:val="hybridMultilevel"/>
    <w:tmpl w:val="4E8EF908"/>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79F56F33"/>
    <w:multiLevelType w:val="hybridMultilevel"/>
    <w:tmpl w:val="4888FA8E"/>
    <w:lvl w:ilvl="0" w:tplc="D8CEF304">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7"/>
  </w:num>
  <w:num w:numId="3">
    <w:abstractNumId w:val="15"/>
  </w:num>
  <w:num w:numId="4">
    <w:abstractNumId w:val="30"/>
  </w:num>
  <w:num w:numId="5">
    <w:abstractNumId w:val="25"/>
  </w:num>
  <w:num w:numId="6">
    <w:abstractNumId w:val="26"/>
  </w:num>
  <w:num w:numId="7">
    <w:abstractNumId w:val="27"/>
    <w:lvlOverride w:ilvl="0">
      <w:startOverride w:val="1"/>
    </w:lvlOverride>
  </w:num>
  <w:num w:numId="8">
    <w:abstractNumId w:val="21"/>
  </w:num>
  <w:num w:numId="9">
    <w:abstractNumId w:val="4"/>
  </w:num>
  <w:num w:numId="10">
    <w:abstractNumId w:val="14"/>
  </w:num>
  <w:num w:numId="11">
    <w:abstractNumId w:val="23"/>
  </w:num>
  <w:num w:numId="12">
    <w:abstractNumId w:val="16"/>
  </w:num>
  <w:num w:numId="13">
    <w:abstractNumId w:val="7"/>
  </w:num>
  <w:num w:numId="14">
    <w:abstractNumId w:val="8"/>
  </w:num>
  <w:num w:numId="15">
    <w:abstractNumId w:val="2"/>
  </w:num>
  <w:num w:numId="16">
    <w:abstractNumId w:val="12"/>
  </w:num>
  <w:num w:numId="17">
    <w:abstractNumId w:val="13"/>
  </w:num>
  <w:num w:numId="18">
    <w:abstractNumId w:val="3"/>
  </w:num>
  <w:num w:numId="19">
    <w:abstractNumId w:val="5"/>
  </w:num>
  <w:num w:numId="20">
    <w:abstractNumId w:val="20"/>
  </w:num>
  <w:num w:numId="21">
    <w:abstractNumId w:val="22"/>
  </w:num>
  <w:num w:numId="22">
    <w:abstractNumId w:val="11"/>
  </w:num>
  <w:num w:numId="23">
    <w:abstractNumId w:val="17"/>
  </w:num>
  <w:num w:numId="24">
    <w:abstractNumId w:val="28"/>
  </w:num>
  <w:num w:numId="25">
    <w:abstractNumId w:val="24"/>
  </w:num>
  <w:num w:numId="26">
    <w:abstractNumId w:val="18"/>
  </w:num>
  <w:num w:numId="27">
    <w:abstractNumId w:val="19"/>
  </w:num>
  <w:num w:numId="28">
    <w:abstractNumId w:val="6"/>
  </w:num>
  <w:num w:numId="29">
    <w:abstractNumId w:val="9"/>
  </w:num>
  <w:num w:numId="30">
    <w:abstractNumId w:val="29"/>
  </w:num>
  <w:num w:numId="3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503E"/>
    <w:rsid w:val="00006AE2"/>
    <w:rsid w:val="000071F6"/>
    <w:rsid w:val="000076A1"/>
    <w:rsid w:val="00012259"/>
    <w:rsid w:val="00013272"/>
    <w:rsid w:val="000160AD"/>
    <w:rsid w:val="000212FD"/>
    <w:rsid w:val="000231D5"/>
    <w:rsid w:val="00025383"/>
    <w:rsid w:val="000264C8"/>
    <w:rsid w:val="0003070A"/>
    <w:rsid w:val="00040F7D"/>
    <w:rsid w:val="00042250"/>
    <w:rsid w:val="00042D02"/>
    <w:rsid w:val="00045D3D"/>
    <w:rsid w:val="00060B0C"/>
    <w:rsid w:val="00062C6F"/>
    <w:rsid w:val="00063657"/>
    <w:rsid w:val="000643E9"/>
    <w:rsid w:val="00070155"/>
    <w:rsid w:val="00070799"/>
    <w:rsid w:val="000711E4"/>
    <w:rsid w:val="000716FC"/>
    <w:rsid w:val="000721AB"/>
    <w:rsid w:val="00076680"/>
    <w:rsid w:val="00076A1D"/>
    <w:rsid w:val="0008073E"/>
    <w:rsid w:val="00081739"/>
    <w:rsid w:val="000831E9"/>
    <w:rsid w:val="00083BD1"/>
    <w:rsid w:val="00087996"/>
    <w:rsid w:val="00091CDB"/>
    <w:rsid w:val="0009364F"/>
    <w:rsid w:val="000938C1"/>
    <w:rsid w:val="000A0068"/>
    <w:rsid w:val="000A190C"/>
    <w:rsid w:val="000A19AC"/>
    <w:rsid w:val="000A5655"/>
    <w:rsid w:val="000A780F"/>
    <w:rsid w:val="000A789B"/>
    <w:rsid w:val="000B1F9B"/>
    <w:rsid w:val="000B2EC9"/>
    <w:rsid w:val="000B5BB2"/>
    <w:rsid w:val="000C137E"/>
    <w:rsid w:val="000C5161"/>
    <w:rsid w:val="000C5738"/>
    <w:rsid w:val="000C7728"/>
    <w:rsid w:val="000D26F8"/>
    <w:rsid w:val="000D2D08"/>
    <w:rsid w:val="000E0E85"/>
    <w:rsid w:val="000F165C"/>
    <w:rsid w:val="000F4917"/>
    <w:rsid w:val="000F5513"/>
    <w:rsid w:val="00104043"/>
    <w:rsid w:val="001055AF"/>
    <w:rsid w:val="00106654"/>
    <w:rsid w:val="001151E1"/>
    <w:rsid w:val="00115313"/>
    <w:rsid w:val="00117256"/>
    <w:rsid w:val="00126DD6"/>
    <w:rsid w:val="00127757"/>
    <w:rsid w:val="0013465A"/>
    <w:rsid w:val="0013521E"/>
    <w:rsid w:val="0013526C"/>
    <w:rsid w:val="001405C6"/>
    <w:rsid w:val="00141013"/>
    <w:rsid w:val="00141CB4"/>
    <w:rsid w:val="00145423"/>
    <w:rsid w:val="00147DF1"/>
    <w:rsid w:val="0015508D"/>
    <w:rsid w:val="001553D6"/>
    <w:rsid w:val="00155A7B"/>
    <w:rsid w:val="00155DF3"/>
    <w:rsid w:val="00160123"/>
    <w:rsid w:val="001651AE"/>
    <w:rsid w:val="00170282"/>
    <w:rsid w:val="001737C5"/>
    <w:rsid w:val="0017438C"/>
    <w:rsid w:val="00177D9F"/>
    <w:rsid w:val="00180CBC"/>
    <w:rsid w:val="00181A77"/>
    <w:rsid w:val="00181B6F"/>
    <w:rsid w:val="001828E3"/>
    <w:rsid w:val="001829CA"/>
    <w:rsid w:val="0018400C"/>
    <w:rsid w:val="00190ECF"/>
    <w:rsid w:val="00192CBF"/>
    <w:rsid w:val="00192FF1"/>
    <w:rsid w:val="0019374F"/>
    <w:rsid w:val="00197336"/>
    <w:rsid w:val="001A17C2"/>
    <w:rsid w:val="001A18F4"/>
    <w:rsid w:val="001A5F1B"/>
    <w:rsid w:val="001A5F99"/>
    <w:rsid w:val="001B14BA"/>
    <w:rsid w:val="001B1C22"/>
    <w:rsid w:val="001B1C5C"/>
    <w:rsid w:val="001B316E"/>
    <w:rsid w:val="001B34C6"/>
    <w:rsid w:val="001B4A40"/>
    <w:rsid w:val="001B6907"/>
    <w:rsid w:val="001C0C2E"/>
    <w:rsid w:val="001C5645"/>
    <w:rsid w:val="001D631B"/>
    <w:rsid w:val="001D645A"/>
    <w:rsid w:val="001D7832"/>
    <w:rsid w:val="001E0A71"/>
    <w:rsid w:val="001E0ADC"/>
    <w:rsid w:val="001E1616"/>
    <w:rsid w:val="001E1D2D"/>
    <w:rsid w:val="001E25FF"/>
    <w:rsid w:val="001E3A15"/>
    <w:rsid w:val="001E4411"/>
    <w:rsid w:val="001F01DF"/>
    <w:rsid w:val="001F04EC"/>
    <w:rsid w:val="001F336C"/>
    <w:rsid w:val="001F3F66"/>
    <w:rsid w:val="001F6046"/>
    <w:rsid w:val="001F64D3"/>
    <w:rsid w:val="00203510"/>
    <w:rsid w:val="002049E4"/>
    <w:rsid w:val="0020551B"/>
    <w:rsid w:val="00207679"/>
    <w:rsid w:val="00210DC1"/>
    <w:rsid w:val="00211D34"/>
    <w:rsid w:val="002122DA"/>
    <w:rsid w:val="00214F04"/>
    <w:rsid w:val="00215ECB"/>
    <w:rsid w:val="002173E6"/>
    <w:rsid w:val="00220BAE"/>
    <w:rsid w:val="002255C7"/>
    <w:rsid w:val="00225C74"/>
    <w:rsid w:val="0023102B"/>
    <w:rsid w:val="002331A2"/>
    <w:rsid w:val="002352B9"/>
    <w:rsid w:val="00241AB1"/>
    <w:rsid w:val="00242028"/>
    <w:rsid w:val="0024550D"/>
    <w:rsid w:val="00246A85"/>
    <w:rsid w:val="00251EB7"/>
    <w:rsid w:val="002540C9"/>
    <w:rsid w:val="00257023"/>
    <w:rsid w:val="002608D2"/>
    <w:rsid w:val="00266CD6"/>
    <w:rsid w:val="002673AC"/>
    <w:rsid w:val="00267860"/>
    <w:rsid w:val="002704CB"/>
    <w:rsid w:val="00272F8D"/>
    <w:rsid w:val="00273E8C"/>
    <w:rsid w:val="00275DAB"/>
    <w:rsid w:val="0028701A"/>
    <w:rsid w:val="002903C0"/>
    <w:rsid w:val="002926ED"/>
    <w:rsid w:val="002927E2"/>
    <w:rsid w:val="00292C93"/>
    <w:rsid w:val="002A23E6"/>
    <w:rsid w:val="002A2733"/>
    <w:rsid w:val="002A511E"/>
    <w:rsid w:val="002A5B32"/>
    <w:rsid w:val="002A782A"/>
    <w:rsid w:val="002A7E18"/>
    <w:rsid w:val="002B11E2"/>
    <w:rsid w:val="002B1F56"/>
    <w:rsid w:val="002B24B8"/>
    <w:rsid w:val="002C1B57"/>
    <w:rsid w:val="002C68F7"/>
    <w:rsid w:val="002C7D29"/>
    <w:rsid w:val="002D02AF"/>
    <w:rsid w:val="002D17C0"/>
    <w:rsid w:val="002D3AE9"/>
    <w:rsid w:val="002D4510"/>
    <w:rsid w:val="002D616A"/>
    <w:rsid w:val="002E71B2"/>
    <w:rsid w:val="002E74F2"/>
    <w:rsid w:val="002F0734"/>
    <w:rsid w:val="002F1442"/>
    <w:rsid w:val="002F3B58"/>
    <w:rsid w:val="002F46E7"/>
    <w:rsid w:val="00300CDE"/>
    <w:rsid w:val="00301D74"/>
    <w:rsid w:val="00304AE0"/>
    <w:rsid w:val="00305D7A"/>
    <w:rsid w:val="00306BD0"/>
    <w:rsid w:val="00307432"/>
    <w:rsid w:val="00307B41"/>
    <w:rsid w:val="00307EFB"/>
    <w:rsid w:val="003101DA"/>
    <w:rsid w:val="003111C3"/>
    <w:rsid w:val="003142BA"/>
    <w:rsid w:val="00314757"/>
    <w:rsid w:val="00314DB7"/>
    <w:rsid w:val="003157DF"/>
    <w:rsid w:val="00315BA7"/>
    <w:rsid w:val="003163BC"/>
    <w:rsid w:val="003208F5"/>
    <w:rsid w:val="003211CE"/>
    <w:rsid w:val="00323F4B"/>
    <w:rsid w:val="00334C69"/>
    <w:rsid w:val="00335684"/>
    <w:rsid w:val="00340973"/>
    <w:rsid w:val="00341C12"/>
    <w:rsid w:val="00342313"/>
    <w:rsid w:val="00352CBF"/>
    <w:rsid w:val="0035403A"/>
    <w:rsid w:val="0035423F"/>
    <w:rsid w:val="00355AD7"/>
    <w:rsid w:val="00356C05"/>
    <w:rsid w:val="00357EB2"/>
    <w:rsid w:val="00361694"/>
    <w:rsid w:val="0036394B"/>
    <w:rsid w:val="00363C55"/>
    <w:rsid w:val="00366DB6"/>
    <w:rsid w:val="0036796E"/>
    <w:rsid w:val="003709B5"/>
    <w:rsid w:val="003759C2"/>
    <w:rsid w:val="0037684D"/>
    <w:rsid w:val="00381CAD"/>
    <w:rsid w:val="0038316E"/>
    <w:rsid w:val="00383D3D"/>
    <w:rsid w:val="0038583C"/>
    <w:rsid w:val="00385A60"/>
    <w:rsid w:val="0038728B"/>
    <w:rsid w:val="00397365"/>
    <w:rsid w:val="003A31F6"/>
    <w:rsid w:val="003A3457"/>
    <w:rsid w:val="003A65C9"/>
    <w:rsid w:val="003B1CCF"/>
    <w:rsid w:val="003B7AB1"/>
    <w:rsid w:val="003B7EA4"/>
    <w:rsid w:val="003C2401"/>
    <w:rsid w:val="003C3447"/>
    <w:rsid w:val="003D076C"/>
    <w:rsid w:val="003D41A8"/>
    <w:rsid w:val="003D48F2"/>
    <w:rsid w:val="003E156B"/>
    <w:rsid w:val="003E78B5"/>
    <w:rsid w:val="003F5F1C"/>
    <w:rsid w:val="003F6B65"/>
    <w:rsid w:val="00403BC2"/>
    <w:rsid w:val="00411398"/>
    <w:rsid w:val="004119F6"/>
    <w:rsid w:val="00415BAB"/>
    <w:rsid w:val="00415ED2"/>
    <w:rsid w:val="0042068C"/>
    <w:rsid w:val="00421700"/>
    <w:rsid w:val="0042263B"/>
    <w:rsid w:val="00425884"/>
    <w:rsid w:val="004315AA"/>
    <w:rsid w:val="00440E69"/>
    <w:rsid w:val="00442316"/>
    <w:rsid w:val="00442C06"/>
    <w:rsid w:val="0044318E"/>
    <w:rsid w:val="00443B35"/>
    <w:rsid w:val="00443D6A"/>
    <w:rsid w:val="004458F6"/>
    <w:rsid w:val="00445E36"/>
    <w:rsid w:val="004544AE"/>
    <w:rsid w:val="004571A4"/>
    <w:rsid w:val="00460ADC"/>
    <w:rsid w:val="0046596C"/>
    <w:rsid w:val="0047122B"/>
    <w:rsid w:val="00472A4C"/>
    <w:rsid w:val="00473B7A"/>
    <w:rsid w:val="00473F39"/>
    <w:rsid w:val="00484A7D"/>
    <w:rsid w:val="004857B2"/>
    <w:rsid w:val="00490832"/>
    <w:rsid w:val="004960E9"/>
    <w:rsid w:val="004A2E88"/>
    <w:rsid w:val="004A5182"/>
    <w:rsid w:val="004A52FE"/>
    <w:rsid w:val="004A5305"/>
    <w:rsid w:val="004C0288"/>
    <w:rsid w:val="004C4C34"/>
    <w:rsid w:val="004C5BE0"/>
    <w:rsid w:val="004D407C"/>
    <w:rsid w:val="004D7634"/>
    <w:rsid w:val="004D7696"/>
    <w:rsid w:val="004E0D42"/>
    <w:rsid w:val="004E37B4"/>
    <w:rsid w:val="004E410D"/>
    <w:rsid w:val="004E4F4A"/>
    <w:rsid w:val="004E611A"/>
    <w:rsid w:val="004F0204"/>
    <w:rsid w:val="004F1EB2"/>
    <w:rsid w:val="004F6460"/>
    <w:rsid w:val="00503764"/>
    <w:rsid w:val="00505692"/>
    <w:rsid w:val="00513775"/>
    <w:rsid w:val="00523D2F"/>
    <w:rsid w:val="00524E78"/>
    <w:rsid w:val="005300D3"/>
    <w:rsid w:val="00531A78"/>
    <w:rsid w:val="005354E4"/>
    <w:rsid w:val="0053673F"/>
    <w:rsid w:val="00542351"/>
    <w:rsid w:val="00542A10"/>
    <w:rsid w:val="00544F70"/>
    <w:rsid w:val="00544F82"/>
    <w:rsid w:val="005459C9"/>
    <w:rsid w:val="00547D77"/>
    <w:rsid w:val="005509D2"/>
    <w:rsid w:val="00555D4B"/>
    <w:rsid w:val="00561ECE"/>
    <w:rsid w:val="0056289C"/>
    <w:rsid w:val="00564259"/>
    <w:rsid w:val="00565A32"/>
    <w:rsid w:val="00574A3A"/>
    <w:rsid w:val="00575F93"/>
    <w:rsid w:val="00581DC0"/>
    <w:rsid w:val="00583700"/>
    <w:rsid w:val="0058608B"/>
    <w:rsid w:val="005919D2"/>
    <w:rsid w:val="00593C4F"/>
    <w:rsid w:val="005946A8"/>
    <w:rsid w:val="005A03B9"/>
    <w:rsid w:val="005A0CE2"/>
    <w:rsid w:val="005A16D9"/>
    <w:rsid w:val="005A4407"/>
    <w:rsid w:val="005A59EF"/>
    <w:rsid w:val="005A70AD"/>
    <w:rsid w:val="005B1AED"/>
    <w:rsid w:val="005B1C7E"/>
    <w:rsid w:val="005B390F"/>
    <w:rsid w:val="005B4C18"/>
    <w:rsid w:val="005C1712"/>
    <w:rsid w:val="005C553B"/>
    <w:rsid w:val="005C6976"/>
    <w:rsid w:val="005C6C19"/>
    <w:rsid w:val="005C6E73"/>
    <w:rsid w:val="005D08A3"/>
    <w:rsid w:val="005D12FD"/>
    <w:rsid w:val="005D200B"/>
    <w:rsid w:val="005E0CFA"/>
    <w:rsid w:val="005E46BF"/>
    <w:rsid w:val="005F08C5"/>
    <w:rsid w:val="005F14D0"/>
    <w:rsid w:val="005F524D"/>
    <w:rsid w:val="005F5558"/>
    <w:rsid w:val="005F6E30"/>
    <w:rsid w:val="005F6F41"/>
    <w:rsid w:val="00601D99"/>
    <w:rsid w:val="0060563F"/>
    <w:rsid w:val="0061052C"/>
    <w:rsid w:val="006106FA"/>
    <w:rsid w:val="006257AA"/>
    <w:rsid w:val="00625DC6"/>
    <w:rsid w:val="00627B63"/>
    <w:rsid w:val="00630022"/>
    <w:rsid w:val="006301B1"/>
    <w:rsid w:val="00634116"/>
    <w:rsid w:val="0064273A"/>
    <w:rsid w:val="0064273C"/>
    <w:rsid w:val="006428D2"/>
    <w:rsid w:val="0064391D"/>
    <w:rsid w:val="00644974"/>
    <w:rsid w:val="0064719D"/>
    <w:rsid w:val="00651821"/>
    <w:rsid w:val="006522CA"/>
    <w:rsid w:val="006525B3"/>
    <w:rsid w:val="00654384"/>
    <w:rsid w:val="00660DB0"/>
    <w:rsid w:val="00661DF3"/>
    <w:rsid w:val="006650AB"/>
    <w:rsid w:val="00666AA8"/>
    <w:rsid w:val="006675CD"/>
    <w:rsid w:val="00676E8D"/>
    <w:rsid w:val="006818AB"/>
    <w:rsid w:val="006822BE"/>
    <w:rsid w:val="00683C2A"/>
    <w:rsid w:val="00683F16"/>
    <w:rsid w:val="00684D9B"/>
    <w:rsid w:val="0068510A"/>
    <w:rsid w:val="006875B4"/>
    <w:rsid w:val="0069112D"/>
    <w:rsid w:val="006926D9"/>
    <w:rsid w:val="0069281E"/>
    <w:rsid w:val="00693B71"/>
    <w:rsid w:val="006972FD"/>
    <w:rsid w:val="00697556"/>
    <w:rsid w:val="006A1FC0"/>
    <w:rsid w:val="006A2790"/>
    <w:rsid w:val="006A55F6"/>
    <w:rsid w:val="006A5709"/>
    <w:rsid w:val="006B0E5F"/>
    <w:rsid w:val="006B0FF2"/>
    <w:rsid w:val="006B12FB"/>
    <w:rsid w:val="006B3D69"/>
    <w:rsid w:val="006B4114"/>
    <w:rsid w:val="006B4647"/>
    <w:rsid w:val="006B4C2B"/>
    <w:rsid w:val="006B4DC0"/>
    <w:rsid w:val="006B5833"/>
    <w:rsid w:val="006B6194"/>
    <w:rsid w:val="006B6D47"/>
    <w:rsid w:val="006C548A"/>
    <w:rsid w:val="006C5AFE"/>
    <w:rsid w:val="006D5B22"/>
    <w:rsid w:val="006D7530"/>
    <w:rsid w:val="006E07A6"/>
    <w:rsid w:val="006E2B3C"/>
    <w:rsid w:val="006E4C67"/>
    <w:rsid w:val="006E6CE7"/>
    <w:rsid w:val="006F0143"/>
    <w:rsid w:val="006F2EC8"/>
    <w:rsid w:val="006F4941"/>
    <w:rsid w:val="006F5E4C"/>
    <w:rsid w:val="006F669D"/>
    <w:rsid w:val="006F6D95"/>
    <w:rsid w:val="006F6F53"/>
    <w:rsid w:val="007009F8"/>
    <w:rsid w:val="00706F13"/>
    <w:rsid w:val="007072E8"/>
    <w:rsid w:val="00710C91"/>
    <w:rsid w:val="0071618D"/>
    <w:rsid w:val="00720721"/>
    <w:rsid w:val="00722B20"/>
    <w:rsid w:val="00724002"/>
    <w:rsid w:val="0072440E"/>
    <w:rsid w:val="00725FA4"/>
    <w:rsid w:val="00727227"/>
    <w:rsid w:val="00730F03"/>
    <w:rsid w:val="00731266"/>
    <w:rsid w:val="00733FA4"/>
    <w:rsid w:val="0073688E"/>
    <w:rsid w:val="00740446"/>
    <w:rsid w:val="0074256A"/>
    <w:rsid w:val="00742A96"/>
    <w:rsid w:val="007438A9"/>
    <w:rsid w:val="00744840"/>
    <w:rsid w:val="0074491E"/>
    <w:rsid w:val="00745568"/>
    <w:rsid w:val="007510D0"/>
    <w:rsid w:val="00756C28"/>
    <w:rsid w:val="00760CBC"/>
    <w:rsid w:val="00760FFF"/>
    <w:rsid w:val="0076247A"/>
    <w:rsid w:val="00766064"/>
    <w:rsid w:val="00766843"/>
    <w:rsid w:val="0076698B"/>
    <w:rsid w:val="00775964"/>
    <w:rsid w:val="007765FE"/>
    <w:rsid w:val="00780826"/>
    <w:rsid w:val="00783769"/>
    <w:rsid w:val="00784EF6"/>
    <w:rsid w:val="00785B74"/>
    <w:rsid w:val="00793B84"/>
    <w:rsid w:val="00794BEE"/>
    <w:rsid w:val="00794E2E"/>
    <w:rsid w:val="00795BFB"/>
    <w:rsid w:val="007A0C27"/>
    <w:rsid w:val="007A19A9"/>
    <w:rsid w:val="007B09AC"/>
    <w:rsid w:val="007B24E1"/>
    <w:rsid w:val="007B2760"/>
    <w:rsid w:val="007B5838"/>
    <w:rsid w:val="007C26C7"/>
    <w:rsid w:val="007C7343"/>
    <w:rsid w:val="007D60EF"/>
    <w:rsid w:val="007E572C"/>
    <w:rsid w:val="007F0040"/>
    <w:rsid w:val="007F1069"/>
    <w:rsid w:val="007F2B2C"/>
    <w:rsid w:val="007F428A"/>
    <w:rsid w:val="007F4FC4"/>
    <w:rsid w:val="00806713"/>
    <w:rsid w:val="00806C01"/>
    <w:rsid w:val="00810436"/>
    <w:rsid w:val="00810B35"/>
    <w:rsid w:val="008148CC"/>
    <w:rsid w:val="0081672D"/>
    <w:rsid w:val="00820408"/>
    <w:rsid w:val="008211A4"/>
    <w:rsid w:val="008238A7"/>
    <w:rsid w:val="00827041"/>
    <w:rsid w:val="0083410E"/>
    <w:rsid w:val="00836D44"/>
    <w:rsid w:val="00837ECA"/>
    <w:rsid w:val="00843B8C"/>
    <w:rsid w:val="00844822"/>
    <w:rsid w:val="0084693A"/>
    <w:rsid w:val="00846C96"/>
    <w:rsid w:val="00847A32"/>
    <w:rsid w:val="00851E26"/>
    <w:rsid w:val="00856940"/>
    <w:rsid w:val="00856CF9"/>
    <w:rsid w:val="00860FB7"/>
    <w:rsid w:val="00860FD3"/>
    <w:rsid w:val="00863E90"/>
    <w:rsid w:val="008706CA"/>
    <w:rsid w:val="00873150"/>
    <w:rsid w:val="0087657D"/>
    <w:rsid w:val="008807D5"/>
    <w:rsid w:val="00880832"/>
    <w:rsid w:val="008822F5"/>
    <w:rsid w:val="008823D8"/>
    <w:rsid w:val="00886EE1"/>
    <w:rsid w:val="0088727D"/>
    <w:rsid w:val="008874A7"/>
    <w:rsid w:val="008875B6"/>
    <w:rsid w:val="00890088"/>
    <w:rsid w:val="00893CAD"/>
    <w:rsid w:val="00895E42"/>
    <w:rsid w:val="00897A7E"/>
    <w:rsid w:val="00897C75"/>
    <w:rsid w:val="008B7183"/>
    <w:rsid w:val="008C0C6E"/>
    <w:rsid w:val="008C1130"/>
    <w:rsid w:val="008C2771"/>
    <w:rsid w:val="008C2854"/>
    <w:rsid w:val="008C2E13"/>
    <w:rsid w:val="008C7C1F"/>
    <w:rsid w:val="008C7FA8"/>
    <w:rsid w:val="008D18E6"/>
    <w:rsid w:val="008D18ED"/>
    <w:rsid w:val="008D3D83"/>
    <w:rsid w:val="008D6334"/>
    <w:rsid w:val="008D7A9B"/>
    <w:rsid w:val="008E0060"/>
    <w:rsid w:val="008E0D5D"/>
    <w:rsid w:val="008E69D3"/>
    <w:rsid w:val="008E7091"/>
    <w:rsid w:val="008E76AC"/>
    <w:rsid w:val="008F1B97"/>
    <w:rsid w:val="008F21F6"/>
    <w:rsid w:val="008F50C4"/>
    <w:rsid w:val="008F6963"/>
    <w:rsid w:val="0090179B"/>
    <w:rsid w:val="00901B09"/>
    <w:rsid w:val="00904686"/>
    <w:rsid w:val="0091022A"/>
    <w:rsid w:val="00911563"/>
    <w:rsid w:val="00912847"/>
    <w:rsid w:val="009140FD"/>
    <w:rsid w:val="009242CC"/>
    <w:rsid w:val="0092558F"/>
    <w:rsid w:val="009267D7"/>
    <w:rsid w:val="00932DB9"/>
    <w:rsid w:val="009351FA"/>
    <w:rsid w:val="00935483"/>
    <w:rsid w:val="009417DF"/>
    <w:rsid w:val="00947F40"/>
    <w:rsid w:val="00951F79"/>
    <w:rsid w:val="009538AC"/>
    <w:rsid w:val="00954306"/>
    <w:rsid w:val="00955B3F"/>
    <w:rsid w:val="00957328"/>
    <w:rsid w:val="0096075B"/>
    <w:rsid w:val="00963AA9"/>
    <w:rsid w:val="009728CD"/>
    <w:rsid w:val="00972BB7"/>
    <w:rsid w:val="00974AB5"/>
    <w:rsid w:val="0098706D"/>
    <w:rsid w:val="00991C5E"/>
    <w:rsid w:val="0099331D"/>
    <w:rsid w:val="009935FB"/>
    <w:rsid w:val="00994B98"/>
    <w:rsid w:val="00996123"/>
    <w:rsid w:val="00996917"/>
    <w:rsid w:val="009A07A3"/>
    <w:rsid w:val="009A0826"/>
    <w:rsid w:val="009A2320"/>
    <w:rsid w:val="009A6006"/>
    <w:rsid w:val="009A7527"/>
    <w:rsid w:val="009B5CC5"/>
    <w:rsid w:val="009B5D0B"/>
    <w:rsid w:val="009B5DAE"/>
    <w:rsid w:val="009C122B"/>
    <w:rsid w:val="009C4E55"/>
    <w:rsid w:val="009C75DC"/>
    <w:rsid w:val="009C7DCB"/>
    <w:rsid w:val="009D03C0"/>
    <w:rsid w:val="009D1053"/>
    <w:rsid w:val="009D5680"/>
    <w:rsid w:val="009D6790"/>
    <w:rsid w:val="009E78F8"/>
    <w:rsid w:val="009F20A9"/>
    <w:rsid w:val="009F4A54"/>
    <w:rsid w:val="009F4BEC"/>
    <w:rsid w:val="009F5874"/>
    <w:rsid w:val="009F6992"/>
    <w:rsid w:val="009F7B20"/>
    <w:rsid w:val="00A00D24"/>
    <w:rsid w:val="00A03159"/>
    <w:rsid w:val="00A103DB"/>
    <w:rsid w:val="00A1378A"/>
    <w:rsid w:val="00A1569C"/>
    <w:rsid w:val="00A156F8"/>
    <w:rsid w:val="00A17DBC"/>
    <w:rsid w:val="00A21E76"/>
    <w:rsid w:val="00A22D41"/>
    <w:rsid w:val="00A25FD7"/>
    <w:rsid w:val="00A33668"/>
    <w:rsid w:val="00A42277"/>
    <w:rsid w:val="00A4318A"/>
    <w:rsid w:val="00A431B1"/>
    <w:rsid w:val="00A43AFF"/>
    <w:rsid w:val="00A44651"/>
    <w:rsid w:val="00A47F3E"/>
    <w:rsid w:val="00A47F61"/>
    <w:rsid w:val="00A51EFB"/>
    <w:rsid w:val="00A541FE"/>
    <w:rsid w:val="00A5465E"/>
    <w:rsid w:val="00A546C6"/>
    <w:rsid w:val="00A548BC"/>
    <w:rsid w:val="00A54C10"/>
    <w:rsid w:val="00A55E22"/>
    <w:rsid w:val="00A57AC1"/>
    <w:rsid w:val="00A60D6B"/>
    <w:rsid w:val="00A61C6B"/>
    <w:rsid w:val="00A62293"/>
    <w:rsid w:val="00A640EA"/>
    <w:rsid w:val="00A71269"/>
    <w:rsid w:val="00A7793A"/>
    <w:rsid w:val="00A8199F"/>
    <w:rsid w:val="00A9361D"/>
    <w:rsid w:val="00A96879"/>
    <w:rsid w:val="00AA044C"/>
    <w:rsid w:val="00AA4CC7"/>
    <w:rsid w:val="00AA5E8E"/>
    <w:rsid w:val="00AB29CB"/>
    <w:rsid w:val="00AB2BAD"/>
    <w:rsid w:val="00AB32B3"/>
    <w:rsid w:val="00AB38BB"/>
    <w:rsid w:val="00AB454B"/>
    <w:rsid w:val="00AB5828"/>
    <w:rsid w:val="00AB620C"/>
    <w:rsid w:val="00AB6CA7"/>
    <w:rsid w:val="00AB757C"/>
    <w:rsid w:val="00AC0149"/>
    <w:rsid w:val="00AC18A8"/>
    <w:rsid w:val="00AC47A9"/>
    <w:rsid w:val="00AC5F99"/>
    <w:rsid w:val="00AC78CC"/>
    <w:rsid w:val="00AD01E4"/>
    <w:rsid w:val="00AD0858"/>
    <w:rsid w:val="00AD39D5"/>
    <w:rsid w:val="00AD45EB"/>
    <w:rsid w:val="00AE02E3"/>
    <w:rsid w:val="00AE08B3"/>
    <w:rsid w:val="00AE54B4"/>
    <w:rsid w:val="00AE7340"/>
    <w:rsid w:val="00AF1BBD"/>
    <w:rsid w:val="00AF1D2B"/>
    <w:rsid w:val="00AF3448"/>
    <w:rsid w:val="00AF46A1"/>
    <w:rsid w:val="00AF66B3"/>
    <w:rsid w:val="00AF765E"/>
    <w:rsid w:val="00AF7A4A"/>
    <w:rsid w:val="00B0044D"/>
    <w:rsid w:val="00B004FA"/>
    <w:rsid w:val="00B00A68"/>
    <w:rsid w:val="00B00F67"/>
    <w:rsid w:val="00B10207"/>
    <w:rsid w:val="00B141E7"/>
    <w:rsid w:val="00B351B4"/>
    <w:rsid w:val="00B35A55"/>
    <w:rsid w:val="00B37316"/>
    <w:rsid w:val="00B40C76"/>
    <w:rsid w:val="00B41391"/>
    <w:rsid w:val="00B42663"/>
    <w:rsid w:val="00B426AE"/>
    <w:rsid w:val="00B46BCA"/>
    <w:rsid w:val="00B478AA"/>
    <w:rsid w:val="00B5168F"/>
    <w:rsid w:val="00B53899"/>
    <w:rsid w:val="00B555CC"/>
    <w:rsid w:val="00B576AE"/>
    <w:rsid w:val="00B613A9"/>
    <w:rsid w:val="00B62FDD"/>
    <w:rsid w:val="00B64016"/>
    <w:rsid w:val="00B65278"/>
    <w:rsid w:val="00B67A6F"/>
    <w:rsid w:val="00B8124D"/>
    <w:rsid w:val="00B81932"/>
    <w:rsid w:val="00B8286D"/>
    <w:rsid w:val="00B87806"/>
    <w:rsid w:val="00B87EC9"/>
    <w:rsid w:val="00B91747"/>
    <w:rsid w:val="00B955CC"/>
    <w:rsid w:val="00BA0475"/>
    <w:rsid w:val="00BA0C70"/>
    <w:rsid w:val="00BA18AB"/>
    <w:rsid w:val="00BA223D"/>
    <w:rsid w:val="00BB1136"/>
    <w:rsid w:val="00BB131F"/>
    <w:rsid w:val="00BB73A6"/>
    <w:rsid w:val="00BC21D3"/>
    <w:rsid w:val="00BC38FD"/>
    <w:rsid w:val="00BC6EB9"/>
    <w:rsid w:val="00BD3985"/>
    <w:rsid w:val="00BD7733"/>
    <w:rsid w:val="00BE1AC3"/>
    <w:rsid w:val="00BE3D35"/>
    <w:rsid w:val="00BE3E32"/>
    <w:rsid w:val="00BE61A1"/>
    <w:rsid w:val="00BF202C"/>
    <w:rsid w:val="00BF29B2"/>
    <w:rsid w:val="00BF34AA"/>
    <w:rsid w:val="00C00C5C"/>
    <w:rsid w:val="00C01069"/>
    <w:rsid w:val="00C030DB"/>
    <w:rsid w:val="00C034CB"/>
    <w:rsid w:val="00C051A8"/>
    <w:rsid w:val="00C054BC"/>
    <w:rsid w:val="00C06E2A"/>
    <w:rsid w:val="00C07899"/>
    <w:rsid w:val="00C167D6"/>
    <w:rsid w:val="00C17897"/>
    <w:rsid w:val="00C20CD0"/>
    <w:rsid w:val="00C27D36"/>
    <w:rsid w:val="00C313C6"/>
    <w:rsid w:val="00C32CEA"/>
    <w:rsid w:val="00C3464F"/>
    <w:rsid w:val="00C35D2A"/>
    <w:rsid w:val="00C36124"/>
    <w:rsid w:val="00C409D5"/>
    <w:rsid w:val="00C41343"/>
    <w:rsid w:val="00C42D39"/>
    <w:rsid w:val="00C43597"/>
    <w:rsid w:val="00C435C3"/>
    <w:rsid w:val="00C44E5F"/>
    <w:rsid w:val="00C51B7C"/>
    <w:rsid w:val="00C55F46"/>
    <w:rsid w:val="00C566A6"/>
    <w:rsid w:val="00C6234B"/>
    <w:rsid w:val="00C63EAE"/>
    <w:rsid w:val="00C64A32"/>
    <w:rsid w:val="00C723C8"/>
    <w:rsid w:val="00C73260"/>
    <w:rsid w:val="00C74602"/>
    <w:rsid w:val="00C75AB4"/>
    <w:rsid w:val="00C761B5"/>
    <w:rsid w:val="00C7629F"/>
    <w:rsid w:val="00C8169A"/>
    <w:rsid w:val="00C842F6"/>
    <w:rsid w:val="00C84430"/>
    <w:rsid w:val="00C8661B"/>
    <w:rsid w:val="00C878FA"/>
    <w:rsid w:val="00C91BC0"/>
    <w:rsid w:val="00C931EF"/>
    <w:rsid w:val="00C97D73"/>
    <w:rsid w:val="00CA03C8"/>
    <w:rsid w:val="00CA11D5"/>
    <w:rsid w:val="00CA139A"/>
    <w:rsid w:val="00CA1A2A"/>
    <w:rsid w:val="00CA2899"/>
    <w:rsid w:val="00CA2D04"/>
    <w:rsid w:val="00CA3A3D"/>
    <w:rsid w:val="00CA3AA6"/>
    <w:rsid w:val="00CA63FA"/>
    <w:rsid w:val="00CA77FB"/>
    <w:rsid w:val="00CB0582"/>
    <w:rsid w:val="00CB379B"/>
    <w:rsid w:val="00CB4B28"/>
    <w:rsid w:val="00CB5402"/>
    <w:rsid w:val="00CB5DD0"/>
    <w:rsid w:val="00CB768E"/>
    <w:rsid w:val="00CB7711"/>
    <w:rsid w:val="00CC05BF"/>
    <w:rsid w:val="00CC40F5"/>
    <w:rsid w:val="00CC51D4"/>
    <w:rsid w:val="00CC65DA"/>
    <w:rsid w:val="00CD0DE2"/>
    <w:rsid w:val="00CD5428"/>
    <w:rsid w:val="00CE1FFF"/>
    <w:rsid w:val="00CE23A1"/>
    <w:rsid w:val="00CE7B91"/>
    <w:rsid w:val="00CF1894"/>
    <w:rsid w:val="00CF21B9"/>
    <w:rsid w:val="00CF339C"/>
    <w:rsid w:val="00CF4152"/>
    <w:rsid w:val="00CF6BF9"/>
    <w:rsid w:val="00D03800"/>
    <w:rsid w:val="00D065D3"/>
    <w:rsid w:val="00D11513"/>
    <w:rsid w:val="00D14B7D"/>
    <w:rsid w:val="00D14C94"/>
    <w:rsid w:val="00D1589E"/>
    <w:rsid w:val="00D2123D"/>
    <w:rsid w:val="00D261A2"/>
    <w:rsid w:val="00D26339"/>
    <w:rsid w:val="00D27586"/>
    <w:rsid w:val="00D31DCF"/>
    <w:rsid w:val="00D32D8A"/>
    <w:rsid w:val="00D3390C"/>
    <w:rsid w:val="00D342A6"/>
    <w:rsid w:val="00D359AE"/>
    <w:rsid w:val="00D4012E"/>
    <w:rsid w:val="00D45CA6"/>
    <w:rsid w:val="00D464BF"/>
    <w:rsid w:val="00D507DC"/>
    <w:rsid w:val="00D51CE2"/>
    <w:rsid w:val="00D53E26"/>
    <w:rsid w:val="00D54E02"/>
    <w:rsid w:val="00D62D50"/>
    <w:rsid w:val="00D66628"/>
    <w:rsid w:val="00D712C3"/>
    <w:rsid w:val="00D74F26"/>
    <w:rsid w:val="00D875B7"/>
    <w:rsid w:val="00D928CE"/>
    <w:rsid w:val="00D95396"/>
    <w:rsid w:val="00D979FB"/>
    <w:rsid w:val="00DA64E7"/>
    <w:rsid w:val="00DA69BD"/>
    <w:rsid w:val="00DB1524"/>
    <w:rsid w:val="00DB182C"/>
    <w:rsid w:val="00DC2BA8"/>
    <w:rsid w:val="00DC2D7A"/>
    <w:rsid w:val="00DC3454"/>
    <w:rsid w:val="00DC47AC"/>
    <w:rsid w:val="00DD198D"/>
    <w:rsid w:val="00DD3999"/>
    <w:rsid w:val="00DD4F0E"/>
    <w:rsid w:val="00DD4FB1"/>
    <w:rsid w:val="00DE2D6C"/>
    <w:rsid w:val="00DE77C7"/>
    <w:rsid w:val="00DF0BF0"/>
    <w:rsid w:val="00DF1FF3"/>
    <w:rsid w:val="00DF3CA2"/>
    <w:rsid w:val="00DF5572"/>
    <w:rsid w:val="00DF62F6"/>
    <w:rsid w:val="00DF7094"/>
    <w:rsid w:val="00DF753C"/>
    <w:rsid w:val="00E01463"/>
    <w:rsid w:val="00E033F2"/>
    <w:rsid w:val="00E036D8"/>
    <w:rsid w:val="00E05E0A"/>
    <w:rsid w:val="00E060BE"/>
    <w:rsid w:val="00E070DF"/>
    <w:rsid w:val="00E106CE"/>
    <w:rsid w:val="00E10B3E"/>
    <w:rsid w:val="00E136C8"/>
    <w:rsid w:val="00E22660"/>
    <w:rsid w:val="00E22FB3"/>
    <w:rsid w:val="00E24DDF"/>
    <w:rsid w:val="00E25771"/>
    <w:rsid w:val="00E2694A"/>
    <w:rsid w:val="00E27469"/>
    <w:rsid w:val="00E27D16"/>
    <w:rsid w:val="00E3059A"/>
    <w:rsid w:val="00E31912"/>
    <w:rsid w:val="00E36A4B"/>
    <w:rsid w:val="00E41A4A"/>
    <w:rsid w:val="00E41B40"/>
    <w:rsid w:val="00E4553D"/>
    <w:rsid w:val="00E455D7"/>
    <w:rsid w:val="00E50A35"/>
    <w:rsid w:val="00E51342"/>
    <w:rsid w:val="00E534CF"/>
    <w:rsid w:val="00E53AB4"/>
    <w:rsid w:val="00E54677"/>
    <w:rsid w:val="00E551A5"/>
    <w:rsid w:val="00E562A9"/>
    <w:rsid w:val="00E56772"/>
    <w:rsid w:val="00E62E87"/>
    <w:rsid w:val="00E71FA9"/>
    <w:rsid w:val="00E72CA9"/>
    <w:rsid w:val="00E80648"/>
    <w:rsid w:val="00E81CB4"/>
    <w:rsid w:val="00E8585B"/>
    <w:rsid w:val="00E87E3A"/>
    <w:rsid w:val="00E87F41"/>
    <w:rsid w:val="00E91FD9"/>
    <w:rsid w:val="00E920E0"/>
    <w:rsid w:val="00EA0237"/>
    <w:rsid w:val="00EA34DD"/>
    <w:rsid w:val="00EA3F15"/>
    <w:rsid w:val="00EA6CD0"/>
    <w:rsid w:val="00EA7847"/>
    <w:rsid w:val="00EB29EB"/>
    <w:rsid w:val="00EB36EA"/>
    <w:rsid w:val="00EB4C2F"/>
    <w:rsid w:val="00EB6027"/>
    <w:rsid w:val="00EC12D6"/>
    <w:rsid w:val="00EC13BC"/>
    <w:rsid w:val="00EC185B"/>
    <w:rsid w:val="00EC3F9F"/>
    <w:rsid w:val="00ED211B"/>
    <w:rsid w:val="00ED4CAB"/>
    <w:rsid w:val="00ED55CE"/>
    <w:rsid w:val="00ED72E3"/>
    <w:rsid w:val="00EE2CB5"/>
    <w:rsid w:val="00EE2E6E"/>
    <w:rsid w:val="00EE6A92"/>
    <w:rsid w:val="00EE75F0"/>
    <w:rsid w:val="00EF1DFF"/>
    <w:rsid w:val="00EF24A5"/>
    <w:rsid w:val="00EF3D0A"/>
    <w:rsid w:val="00EF4206"/>
    <w:rsid w:val="00F00C07"/>
    <w:rsid w:val="00F034D3"/>
    <w:rsid w:val="00F0367E"/>
    <w:rsid w:val="00F0759E"/>
    <w:rsid w:val="00F10044"/>
    <w:rsid w:val="00F151D9"/>
    <w:rsid w:val="00F16A43"/>
    <w:rsid w:val="00F16E2B"/>
    <w:rsid w:val="00F2495F"/>
    <w:rsid w:val="00F26A68"/>
    <w:rsid w:val="00F3003F"/>
    <w:rsid w:val="00F36D4A"/>
    <w:rsid w:val="00F426C2"/>
    <w:rsid w:val="00F43FC4"/>
    <w:rsid w:val="00F46780"/>
    <w:rsid w:val="00F526B2"/>
    <w:rsid w:val="00F5275B"/>
    <w:rsid w:val="00F529AA"/>
    <w:rsid w:val="00F61411"/>
    <w:rsid w:val="00F65F03"/>
    <w:rsid w:val="00F72D53"/>
    <w:rsid w:val="00F73B93"/>
    <w:rsid w:val="00F7538B"/>
    <w:rsid w:val="00F769CD"/>
    <w:rsid w:val="00F77159"/>
    <w:rsid w:val="00F77D2D"/>
    <w:rsid w:val="00F808B0"/>
    <w:rsid w:val="00F81605"/>
    <w:rsid w:val="00F821A3"/>
    <w:rsid w:val="00F83849"/>
    <w:rsid w:val="00F871A0"/>
    <w:rsid w:val="00F8760A"/>
    <w:rsid w:val="00F92F07"/>
    <w:rsid w:val="00F92FBA"/>
    <w:rsid w:val="00F9314A"/>
    <w:rsid w:val="00F940AC"/>
    <w:rsid w:val="00F940B2"/>
    <w:rsid w:val="00F958F4"/>
    <w:rsid w:val="00FA61B6"/>
    <w:rsid w:val="00FB58B9"/>
    <w:rsid w:val="00FC58EF"/>
    <w:rsid w:val="00FC6EE1"/>
    <w:rsid w:val="00FD0E34"/>
    <w:rsid w:val="00FD231B"/>
    <w:rsid w:val="00FD33DF"/>
    <w:rsid w:val="00FD4E0E"/>
    <w:rsid w:val="00FD554F"/>
    <w:rsid w:val="00FE062D"/>
    <w:rsid w:val="00FE0B42"/>
    <w:rsid w:val="00FE39D7"/>
    <w:rsid w:val="00FF3FA1"/>
    <w:rsid w:val="00FF40DA"/>
    <w:rsid w:val="00FF640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C385212-2919-402F-A164-8DCA58A0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5354E4"/>
    <w:pPr>
      <w:ind w:left="708"/>
    </w:pPr>
    <w:rPr>
      <w:rFonts w:ascii="Bookman Old Style" w:hAnsi="Bookman Old Style"/>
      <w:szCs w:val="20"/>
      <w:lang w:val="es-CO"/>
    </w:rPr>
  </w:style>
  <w:style w:type="character" w:customStyle="1" w:styleId="PrrafodelistaCar">
    <w:name w:val="Párrafo de lista Car"/>
    <w:link w:val="Prrafodelista"/>
    <w:uiPriority w:val="34"/>
    <w:rsid w:val="005354E4"/>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styleId="Hipervnculo">
    <w:name w:val="Hyperlink"/>
    <w:basedOn w:val="Fuentedeprrafopredeter"/>
    <w:uiPriority w:val="99"/>
    <w:unhideWhenUsed/>
    <w:rsid w:val="0090179B"/>
    <w:rPr>
      <w:color w:val="0000FF" w:themeColor="hyperlink"/>
      <w:u w:val="single"/>
    </w:rPr>
  </w:style>
  <w:style w:type="character" w:styleId="Hipervnculovisitado">
    <w:name w:val="FollowedHyperlink"/>
    <w:basedOn w:val="Fuentedeprrafopredeter"/>
    <w:uiPriority w:val="99"/>
    <w:semiHidden/>
    <w:unhideWhenUsed/>
    <w:rsid w:val="00856CF9"/>
    <w:rPr>
      <w:color w:val="800080" w:themeColor="followedHyperlink"/>
      <w:u w:val="single"/>
    </w:rPr>
  </w:style>
  <w:style w:type="paragraph" w:customStyle="1" w:styleId="Estilo3">
    <w:name w:val="Estilo3"/>
    <w:basedOn w:val="Puesto"/>
    <w:qFormat/>
    <w:rsid w:val="00F00C07"/>
    <w:pPr>
      <w:widowControl/>
      <w:adjustRightInd/>
      <w:spacing w:line="240" w:lineRule="auto"/>
      <w:ind w:left="0"/>
      <w:jc w:val="left"/>
      <w:textAlignment w:val="auto"/>
    </w:pPr>
    <w:rPr>
      <w:rFonts w:cs="Times New Roman"/>
      <w:b w:val="0"/>
      <w:bCs w:val="0"/>
      <w:sz w:val="22"/>
      <w:szCs w:val="2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6487">
      <w:bodyDiv w:val="1"/>
      <w:marLeft w:val="0"/>
      <w:marRight w:val="0"/>
      <w:marTop w:val="0"/>
      <w:marBottom w:val="0"/>
      <w:divBdr>
        <w:top w:val="none" w:sz="0" w:space="0" w:color="auto"/>
        <w:left w:val="none" w:sz="0" w:space="0" w:color="auto"/>
        <w:bottom w:val="none" w:sz="0" w:space="0" w:color="auto"/>
        <w:right w:val="none" w:sz="0" w:space="0" w:color="auto"/>
      </w:divBdr>
      <w:divsChild>
        <w:div w:id="1280650917">
          <w:marLeft w:val="547"/>
          <w:marRight w:val="0"/>
          <w:marTop w:val="0"/>
          <w:marBottom w:val="0"/>
          <w:divBdr>
            <w:top w:val="none" w:sz="0" w:space="0" w:color="auto"/>
            <w:left w:val="none" w:sz="0" w:space="0" w:color="auto"/>
            <w:bottom w:val="none" w:sz="0" w:space="0" w:color="auto"/>
            <w:right w:val="none" w:sz="0" w:space="0" w:color="auto"/>
          </w:divBdr>
        </w:div>
      </w:divsChild>
    </w:div>
    <w:div w:id="1987318399">
      <w:bodyDiv w:val="1"/>
      <w:marLeft w:val="0"/>
      <w:marRight w:val="0"/>
      <w:marTop w:val="0"/>
      <w:marBottom w:val="0"/>
      <w:divBdr>
        <w:top w:val="none" w:sz="0" w:space="0" w:color="auto"/>
        <w:left w:val="none" w:sz="0" w:space="0" w:color="auto"/>
        <w:bottom w:val="none" w:sz="0" w:space="0" w:color="auto"/>
        <w:right w:val="none" w:sz="0" w:space="0" w:color="auto"/>
      </w:divBdr>
      <w:divsChild>
        <w:div w:id="920069490">
          <w:marLeft w:val="446"/>
          <w:marRight w:val="0"/>
          <w:marTop w:val="0"/>
          <w:marBottom w:val="0"/>
          <w:divBdr>
            <w:top w:val="none" w:sz="0" w:space="0" w:color="auto"/>
            <w:left w:val="none" w:sz="0" w:space="0" w:color="auto"/>
            <w:bottom w:val="none" w:sz="0" w:space="0" w:color="auto"/>
            <w:right w:val="none" w:sz="0" w:space="0" w:color="auto"/>
          </w:divBdr>
        </w:div>
        <w:div w:id="934901837">
          <w:marLeft w:val="446"/>
          <w:marRight w:val="0"/>
          <w:marTop w:val="0"/>
          <w:marBottom w:val="0"/>
          <w:divBdr>
            <w:top w:val="none" w:sz="0" w:space="0" w:color="auto"/>
            <w:left w:val="none" w:sz="0" w:space="0" w:color="auto"/>
            <w:bottom w:val="none" w:sz="0" w:space="0" w:color="auto"/>
            <w:right w:val="none" w:sz="0" w:space="0" w:color="auto"/>
          </w:divBdr>
        </w:div>
        <w:div w:id="1038552438">
          <w:marLeft w:val="446"/>
          <w:marRight w:val="0"/>
          <w:marTop w:val="0"/>
          <w:marBottom w:val="0"/>
          <w:divBdr>
            <w:top w:val="none" w:sz="0" w:space="0" w:color="auto"/>
            <w:left w:val="none" w:sz="0" w:space="0" w:color="auto"/>
            <w:bottom w:val="none" w:sz="0" w:space="0" w:color="auto"/>
            <w:right w:val="none" w:sz="0" w:space="0" w:color="auto"/>
          </w:divBdr>
        </w:div>
        <w:div w:id="1320380481">
          <w:marLeft w:val="446"/>
          <w:marRight w:val="0"/>
          <w:marTop w:val="0"/>
          <w:marBottom w:val="0"/>
          <w:divBdr>
            <w:top w:val="none" w:sz="0" w:space="0" w:color="auto"/>
            <w:left w:val="none" w:sz="0" w:space="0" w:color="auto"/>
            <w:bottom w:val="none" w:sz="0" w:space="0" w:color="auto"/>
            <w:right w:val="none" w:sz="0" w:space="0" w:color="auto"/>
          </w:divBdr>
        </w:div>
        <w:div w:id="207554616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z:\CREG\docs\Nueva%20carpeta\LEY\ley_0142_1994.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4912-6973-4DC2-B852-FA43F974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2890</Words>
  <Characters>15897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Plaza</dc:creator>
  <cp:lastModifiedBy>Luz Stella Rojas Macias</cp:lastModifiedBy>
  <cp:revision>2</cp:revision>
  <cp:lastPrinted>2016-08-02T19:22:00Z</cp:lastPrinted>
  <dcterms:created xsi:type="dcterms:W3CDTF">2016-08-26T16:56:00Z</dcterms:created>
  <dcterms:modified xsi:type="dcterms:W3CDTF">2016-08-26T16:56:00Z</dcterms:modified>
</cp:coreProperties>
</file>