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D67A57" w14:textId="6C665CB3" w:rsidR="000776BE" w:rsidRPr="000C48DA" w:rsidRDefault="004205F4" w:rsidP="006A4116">
      <w:pPr>
        <w:pStyle w:val="Encabezado"/>
        <w:tabs>
          <w:tab w:val="clear" w:pos="8504"/>
        </w:tabs>
        <w:ind w:left="0"/>
        <w:jc w:val="both"/>
        <w:rPr>
          <w:rFonts w:ascii="Bookman Old Style" w:hAnsi="Bookman Old Style"/>
        </w:rPr>
      </w:pPr>
      <w:r>
        <w:rPr>
          <w:rFonts w:ascii="Bookman Old Style" w:hAnsi="Bookman Old Style"/>
          <w:noProof/>
          <w:szCs w:val="24"/>
        </w:rPr>
        <w:object w:dxaOrig="1440" w:dyaOrig="1440" w14:anchorId="0612AA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202.4pt;margin-top:-53.35pt;width:52.5pt;height:48.75pt;z-index:251658240" fillcolor="#0c9">
            <v:imagedata r:id="rId11" o:title=""/>
          </v:shape>
          <o:OLEObject Type="Embed" ProgID="PBrush" ShapeID="_x0000_s1029" DrawAspect="Content" ObjectID="_1687670095" r:id="rId12"/>
        </w:object>
      </w:r>
    </w:p>
    <w:p w14:paraId="1E205EBB" w14:textId="77777777" w:rsidR="000776BE" w:rsidRPr="000C48DA" w:rsidRDefault="000776BE" w:rsidP="004214F7">
      <w:pPr>
        <w:ind w:left="0"/>
        <w:jc w:val="center"/>
        <w:rPr>
          <w:rFonts w:ascii="Bookman Old Style" w:hAnsi="Bookman Old Style"/>
          <w:b/>
          <w:noProof/>
        </w:rPr>
      </w:pPr>
      <w:r w:rsidRPr="000C48DA">
        <w:rPr>
          <w:rFonts w:ascii="Bookman Old Style" w:hAnsi="Bookman Old Style"/>
        </w:rPr>
        <w:t>Ministerio de Minas y Energía</w:t>
      </w:r>
    </w:p>
    <w:p w14:paraId="4E134733" w14:textId="77777777" w:rsidR="00F512CB" w:rsidRPr="000C48DA" w:rsidRDefault="00F512CB" w:rsidP="1CF7EFF7">
      <w:pPr>
        <w:jc w:val="center"/>
        <w:rPr>
          <w:rFonts w:ascii="Bookman Old Style" w:eastAsia="Bookman Old Style" w:hAnsi="Bookman Old Style" w:cs="Bookman Old Style"/>
          <w:lang w:val="es"/>
        </w:rPr>
      </w:pPr>
    </w:p>
    <w:p w14:paraId="12BCB04F" w14:textId="77777777" w:rsidR="00F512CB" w:rsidRPr="000C48DA" w:rsidRDefault="00F512CB" w:rsidP="004C6E70">
      <w:pPr>
        <w:ind w:left="0"/>
        <w:jc w:val="center"/>
        <w:rPr>
          <w:rFonts w:ascii="Bookman Old Style" w:eastAsia="Bookman Old Style" w:hAnsi="Bookman Old Style" w:cs="Bookman Old Style"/>
          <w:b/>
          <w:bCs/>
          <w:lang w:val="es"/>
        </w:rPr>
      </w:pPr>
      <w:r w:rsidRPr="000C48DA">
        <w:rPr>
          <w:rFonts w:ascii="Bookman Old Style" w:eastAsia="Bookman Old Style" w:hAnsi="Bookman Old Style" w:cs="Bookman Old Style"/>
          <w:b/>
          <w:bCs/>
          <w:lang w:val="es"/>
        </w:rPr>
        <w:t>COMISIÓN DE REGULACIÓN DE ENERGÍA Y GAS</w:t>
      </w:r>
    </w:p>
    <w:p w14:paraId="6BC48736" w14:textId="77777777" w:rsidR="00F512CB" w:rsidRPr="000C48DA" w:rsidRDefault="00F512CB" w:rsidP="00F512CB">
      <w:pPr>
        <w:jc w:val="center"/>
        <w:rPr>
          <w:rFonts w:ascii="Bookman Old Style" w:eastAsia="Bookman Old Style" w:hAnsi="Bookman Old Style" w:cs="Bookman Old Style"/>
          <w:b/>
          <w:bCs/>
          <w:lang w:val="es"/>
        </w:rPr>
      </w:pPr>
    </w:p>
    <w:p w14:paraId="7DBAAC2E" w14:textId="21988670" w:rsidR="00F512CB" w:rsidRPr="000C48DA" w:rsidRDefault="00F512CB" w:rsidP="00055C8A">
      <w:pPr>
        <w:ind w:left="0"/>
        <w:jc w:val="center"/>
        <w:rPr>
          <w:rFonts w:ascii="Bookman Old Style" w:eastAsia="Bookman Old Style" w:hAnsi="Bookman Old Style" w:cs="Bookman Old Style"/>
          <w:b/>
          <w:bCs/>
          <w:lang w:val="es"/>
        </w:rPr>
      </w:pPr>
      <w:r w:rsidRPr="000C48DA">
        <w:rPr>
          <w:rFonts w:ascii="Bookman Old Style" w:eastAsia="Bookman Old Style" w:hAnsi="Bookman Old Style" w:cs="Bookman Old Style"/>
          <w:b/>
          <w:bCs/>
          <w:lang w:val="es"/>
        </w:rPr>
        <w:t>RESOLUCIÓN No.</w:t>
      </w:r>
      <w:r w:rsidR="005D2116" w:rsidRPr="000C48DA">
        <w:rPr>
          <w:rFonts w:ascii="Bookman Old Style" w:eastAsia="Bookman Old Style" w:hAnsi="Bookman Old Style" w:cs="Bookman Old Style"/>
          <w:b/>
          <w:bCs/>
          <w:lang w:val="es"/>
        </w:rPr>
        <w:t xml:space="preserve"> </w:t>
      </w:r>
      <w:r w:rsidR="005047AF" w:rsidRPr="000C48DA">
        <w:rPr>
          <w:rFonts w:ascii="Bookman Old Style" w:eastAsia="Bookman Old Style" w:hAnsi="Bookman Old Style" w:cs="Bookman Old Style"/>
          <w:b/>
          <w:bCs/>
          <w:sz w:val="32"/>
          <w:szCs w:val="32"/>
          <w:lang w:val="es"/>
        </w:rPr>
        <w:t>0</w:t>
      </w:r>
      <w:r w:rsidR="006F7F9E">
        <w:rPr>
          <w:rFonts w:ascii="Bookman Old Style" w:eastAsia="Bookman Old Style" w:hAnsi="Bookman Old Style" w:cs="Bookman Old Style"/>
          <w:b/>
          <w:bCs/>
          <w:sz w:val="32"/>
          <w:szCs w:val="32"/>
          <w:lang w:val="es"/>
        </w:rPr>
        <w:t xml:space="preserve">73  </w:t>
      </w:r>
      <w:r w:rsidRPr="000C48DA">
        <w:rPr>
          <w:rFonts w:ascii="Bookman Old Style" w:eastAsia="Bookman Old Style" w:hAnsi="Bookman Old Style" w:cs="Bookman Old Style"/>
          <w:b/>
          <w:bCs/>
          <w:lang w:val="es"/>
        </w:rPr>
        <w:t xml:space="preserve">  DE 202</w:t>
      </w:r>
      <w:r w:rsidR="005D2116" w:rsidRPr="000C48DA">
        <w:rPr>
          <w:rFonts w:ascii="Bookman Old Style" w:eastAsia="Bookman Old Style" w:hAnsi="Bookman Old Style" w:cs="Bookman Old Style"/>
          <w:b/>
          <w:bCs/>
          <w:lang w:val="es"/>
        </w:rPr>
        <w:t>1</w:t>
      </w:r>
    </w:p>
    <w:p w14:paraId="7D6C49D5" w14:textId="77777777" w:rsidR="00F512CB" w:rsidRPr="000C48DA" w:rsidRDefault="00F512CB" w:rsidP="00F512CB">
      <w:pPr>
        <w:jc w:val="center"/>
        <w:rPr>
          <w:rFonts w:ascii="Bookman Old Style" w:eastAsia="Bookman Old Style" w:hAnsi="Bookman Old Style" w:cs="Bookman Old Style"/>
          <w:b/>
          <w:bCs/>
          <w:lang w:val="es"/>
        </w:rPr>
      </w:pPr>
    </w:p>
    <w:p w14:paraId="01270649" w14:textId="1B529DBC" w:rsidR="00F512CB" w:rsidRPr="000C48DA" w:rsidRDefault="00F512CB" w:rsidP="004C6E70">
      <w:pPr>
        <w:ind w:left="0"/>
        <w:jc w:val="center"/>
        <w:rPr>
          <w:rFonts w:ascii="Bookman Old Style" w:eastAsia="Bookman Old Style" w:hAnsi="Bookman Old Style" w:cs="Bookman Old Style"/>
          <w:b/>
          <w:bCs/>
          <w:lang w:val="es"/>
        </w:rPr>
      </w:pPr>
      <w:r w:rsidRPr="000C48DA">
        <w:rPr>
          <w:rFonts w:ascii="Bookman Old Style" w:eastAsia="Bookman Old Style" w:hAnsi="Bookman Old Style" w:cs="Bookman Old Style"/>
          <w:b/>
          <w:bCs/>
          <w:lang w:val="es"/>
        </w:rPr>
        <w:t xml:space="preserve">(  </w:t>
      </w:r>
      <w:r w:rsidRPr="000C48DA">
        <w:rPr>
          <w:rFonts w:ascii="Bookman Old Style" w:eastAsia="Bookman Old Style" w:hAnsi="Bookman Old Style" w:cs="Bookman Old Style"/>
          <w:b/>
          <w:bCs/>
          <w:sz w:val="32"/>
          <w:szCs w:val="32"/>
          <w:lang w:val="es"/>
        </w:rPr>
        <w:t xml:space="preserve"> </w:t>
      </w:r>
      <w:r w:rsidR="006F7F9E">
        <w:rPr>
          <w:rFonts w:ascii="Bookman Old Style" w:eastAsia="Bookman Old Style" w:hAnsi="Bookman Old Style" w:cs="Bookman Old Style"/>
          <w:b/>
          <w:bCs/>
          <w:sz w:val="32"/>
          <w:szCs w:val="32"/>
          <w:lang w:val="es"/>
        </w:rPr>
        <w:t>16</w:t>
      </w:r>
      <w:r w:rsidR="007849C7" w:rsidRPr="000C48DA">
        <w:rPr>
          <w:rFonts w:ascii="Bookman Old Style" w:eastAsia="Bookman Old Style" w:hAnsi="Bookman Old Style" w:cs="Bookman Old Style"/>
          <w:b/>
          <w:bCs/>
          <w:sz w:val="32"/>
          <w:szCs w:val="32"/>
          <w:lang w:val="es"/>
        </w:rPr>
        <w:t xml:space="preserve"> </w:t>
      </w:r>
      <w:r w:rsidR="008C5722" w:rsidRPr="000C48DA">
        <w:rPr>
          <w:rFonts w:ascii="Bookman Old Style" w:eastAsia="Bookman Old Style" w:hAnsi="Bookman Old Style" w:cs="Bookman Old Style"/>
          <w:b/>
          <w:bCs/>
          <w:sz w:val="32"/>
          <w:szCs w:val="32"/>
          <w:lang w:val="es"/>
        </w:rPr>
        <w:t>JUN</w:t>
      </w:r>
      <w:r w:rsidR="007849C7" w:rsidRPr="000C48DA">
        <w:rPr>
          <w:rFonts w:ascii="Bookman Old Style" w:eastAsia="Bookman Old Style" w:hAnsi="Bookman Old Style" w:cs="Bookman Old Style"/>
          <w:b/>
          <w:bCs/>
          <w:sz w:val="32"/>
          <w:szCs w:val="32"/>
          <w:lang w:val="es"/>
        </w:rPr>
        <w:t>. 202</w:t>
      </w:r>
      <w:r w:rsidR="005D2116" w:rsidRPr="000C48DA">
        <w:rPr>
          <w:rFonts w:ascii="Bookman Old Style" w:eastAsia="Bookman Old Style" w:hAnsi="Bookman Old Style" w:cs="Bookman Old Style"/>
          <w:b/>
          <w:bCs/>
          <w:sz w:val="32"/>
          <w:szCs w:val="32"/>
          <w:lang w:val="es"/>
        </w:rPr>
        <w:t>1</w:t>
      </w:r>
      <w:r w:rsidRPr="000C48DA">
        <w:rPr>
          <w:rFonts w:ascii="Bookman Old Style" w:eastAsia="Bookman Old Style" w:hAnsi="Bookman Old Style" w:cs="Bookman Old Style"/>
          <w:b/>
          <w:bCs/>
          <w:sz w:val="32"/>
          <w:szCs w:val="32"/>
          <w:lang w:val="es"/>
        </w:rPr>
        <w:t xml:space="preserve">   </w:t>
      </w:r>
      <w:r w:rsidRPr="000C48DA">
        <w:rPr>
          <w:rFonts w:ascii="Bookman Old Style" w:eastAsia="Bookman Old Style" w:hAnsi="Bookman Old Style" w:cs="Bookman Old Style"/>
          <w:b/>
          <w:bCs/>
          <w:lang w:val="es"/>
        </w:rPr>
        <w:t>)</w:t>
      </w:r>
    </w:p>
    <w:p w14:paraId="25EA76DD" w14:textId="13D0D303" w:rsidR="00F512CB" w:rsidRPr="000C48DA" w:rsidRDefault="00F512CB" w:rsidP="1CF7EFF7">
      <w:pPr>
        <w:jc w:val="center"/>
        <w:rPr>
          <w:rFonts w:ascii="Bookman Old Style" w:eastAsia="Bookman Old Style" w:hAnsi="Bookman Old Style" w:cs="Bookman Old Style"/>
          <w:lang w:val="es"/>
        </w:rPr>
      </w:pPr>
    </w:p>
    <w:p w14:paraId="4D3BC998" w14:textId="77777777" w:rsidR="005047AF" w:rsidRPr="000C48DA" w:rsidRDefault="005047AF" w:rsidP="1CF7EFF7">
      <w:pPr>
        <w:jc w:val="center"/>
        <w:rPr>
          <w:rFonts w:ascii="Bookman Old Style" w:eastAsia="Bookman Old Style" w:hAnsi="Bookman Old Style" w:cs="Bookman Old Style"/>
          <w:lang w:val="es"/>
        </w:rPr>
      </w:pPr>
    </w:p>
    <w:p w14:paraId="1F81213B" w14:textId="6511CA3E" w:rsidR="000776BE" w:rsidRPr="000C48DA" w:rsidRDefault="0A93618F" w:rsidP="4A18DC85">
      <w:pPr>
        <w:ind w:left="0" w:right="51"/>
        <w:jc w:val="center"/>
        <w:rPr>
          <w:rFonts w:ascii="Bookman Old Style" w:hAnsi="Bookman Old Style"/>
          <w:b/>
        </w:rPr>
      </w:pPr>
      <w:r w:rsidRPr="000C48DA">
        <w:rPr>
          <w:rFonts w:ascii="Bookman Old Style" w:eastAsia="Bookman Old Style" w:hAnsi="Bookman Old Style" w:cs="Arial"/>
        </w:rPr>
        <w:t xml:space="preserve">Por la cual se </w:t>
      </w:r>
      <w:r w:rsidR="005D2116" w:rsidRPr="000C48DA">
        <w:rPr>
          <w:rFonts w:ascii="Bookman Old Style" w:eastAsia="Bookman Old Style" w:hAnsi="Bookman Old Style" w:cs="Arial"/>
        </w:rPr>
        <w:t>modifica la Resolución CREG 00</w:t>
      </w:r>
      <w:r w:rsidR="00EE550C" w:rsidRPr="000C48DA">
        <w:rPr>
          <w:rFonts w:ascii="Bookman Old Style" w:eastAsia="Bookman Old Style" w:hAnsi="Bookman Old Style" w:cs="Arial"/>
        </w:rPr>
        <w:t>4 de 2021</w:t>
      </w:r>
    </w:p>
    <w:p w14:paraId="4072F98B" w14:textId="1F304A5A" w:rsidR="000776BE" w:rsidRPr="000C48DA" w:rsidRDefault="000776BE" w:rsidP="1CF7EFF7">
      <w:pPr>
        <w:jc w:val="center"/>
        <w:rPr>
          <w:rFonts w:ascii="Bookman Old Style" w:hAnsi="Bookman Old Style"/>
        </w:rPr>
      </w:pPr>
    </w:p>
    <w:p w14:paraId="111739A4" w14:textId="661FBD24" w:rsidR="000776BE" w:rsidRPr="000C48DA" w:rsidRDefault="000776BE" w:rsidP="1CF7EFF7">
      <w:pPr>
        <w:jc w:val="center"/>
        <w:rPr>
          <w:rFonts w:ascii="Bookman Old Style" w:hAnsi="Bookman Old Style"/>
        </w:rPr>
      </w:pPr>
    </w:p>
    <w:p w14:paraId="5E712D73" w14:textId="77777777" w:rsidR="00006C1C" w:rsidRPr="000C48DA" w:rsidRDefault="00006C1C" w:rsidP="000776BE">
      <w:pPr>
        <w:ind w:left="0"/>
        <w:jc w:val="both"/>
        <w:rPr>
          <w:rFonts w:ascii="Bookman Old Style" w:hAnsi="Bookman Old Style"/>
          <w:highlight w:val="yellow"/>
        </w:rPr>
      </w:pPr>
    </w:p>
    <w:p w14:paraId="32F39B7B" w14:textId="77777777" w:rsidR="000776BE" w:rsidRPr="000C48DA" w:rsidRDefault="000776BE" w:rsidP="000776BE">
      <w:pPr>
        <w:ind w:left="0"/>
        <w:jc w:val="center"/>
        <w:rPr>
          <w:rFonts w:ascii="Bookman Old Style" w:hAnsi="Bookman Old Style"/>
          <w:b/>
        </w:rPr>
      </w:pPr>
      <w:r w:rsidRPr="000C48DA">
        <w:rPr>
          <w:rFonts w:ascii="Bookman Old Style" w:hAnsi="Bookman Old Style"/>
          <w:b/>
        </w:rPr>
        <w:t>LA COMISIÓN DE REGULACIÓN DE ENERGÍA Y GAS</w:t>
      </w:r>
    </w:p>
    <w:p w14:paraId="46A09773" w14:textId="77777777" w:rsidR="000776BE" w:rsidRPr="000C48DA" w:rsidRDefault="000776BE" w:rsidP="000776BE">
      <w:pPr>
        <w:ind w:left="0"/>
        <w:rPr>
          <w:rFonts w:ascii="Bookman Old Style" w:hAnsi="Bookman Old Style"/>
          <w:highlight w:val="yellow"/>
        </w:rPr>
      </w:pPr>
    </w:p>
    <w:p w14:paraId="19DEE17C" w14:textId="04BA8115" w:rsidR="000776BE" w:rsidRPr="000C48DA" w:rsidRDefault="000776BE" w:rsidP="000776BE">
      <w:pPr>
        <w:ind w:left="0"/>
        <w:rPr>
          <w:rFonts w:ascii="Bookman Old Style" w:hAnsi="Bookman Old Style"/>
          <w:highlight w:val="yellow"/>
        </w:rPr>
      </w:pPr>
    </w:p>
    <w:p w14:paraId="01F6B1EA" w14:textId="258EEDDA" w:rsidR="00F512CB" w:rsidRPr="000C48DA" w:rsidRDefault="00F512CB" w:rsidP="00D56D7E">
      <w:pPr>
        <w:ind w:left="0"/>
        <w:jc w:val="center"/>
        <w:rPr>
          <w:rFonts w:ascii="Bookman Old Style" w:hAnsi="Bookman Old Style"/>
          <w:highlight w:val="yellow"/>
        </w:rPr>
      </w:pPr>
      <w:r w:rsidRPr="000C48DA">
        <w:rPr>
          <w:rFonts w:ascii="Bookman Old Style" w:hAnsi="Bookman Old Style"/>
        </w:rPr>
        <w:t>En ejercicio de sus atribuciones legales, en especial las conferidas por las leyes 142 y 143 de 1994, y en desarrollo de los Decretos 1524, 2253 de 1994 y 1260 de 2013.</w:t>
      </w:r>
    </w:p>
    <w:p w14:paraId="238615BB" w14:textId="77777777" w:rsidR="000776BE" w:rsidRPr="000C48DA" w:rsidRDefault="000776BE" w:rsidP="00852B5F">
      <w:pPr>
        <w:ind w:left="0" w:right="51"/>
        <w:rPr>
          <w:rFonts w:ascii="Bookman Old Style" w:hAnsi="Bookman Old Style"/>
        </w:rPr>
      </w:pPr>
    </w:p>
    <w:p w14:paraId="49B3BA73" w14:textId="77777777" w:rsidR="00852B5F" w:rsidRPr="000C48DA" w:rsidRDefault="00852B5F" w:rsidP="00852B5F">
      <w:pPr>
        <w:ind w:left="0" w:right="51"/>
        <w:rPr>
          <w:rFonts w:ascii="Bookman Old Style" w:hAnsi="Bookman Old Style"/>
        </w:rPr>
      </w:pPr>
    </w:p>
    <w:p w14:paraId="69FC6127" w14:textId="7595D10B" w:rsidR="000776BE" w:rsidRPr="000C48DA" w:rsidRDefault="000776BE" w:rsidP="007B7FB7">
      <w:pPr>
        <w:ind w:left="0" w:right="51"/>
        <w:jc w:val="center"/>
        <w:rPr>
          <w:rFonts w:ascii="Bookman Old Style" w:hAnsi="Bookman Old Style"/>
          <w:b/>
        </w:rPr>
      </w:pPr>
      <w:r w:rsidRPr="000C48DA">
        <w:rPr>
          <w:rFonts w:ascii="Bookman Old Style" w:hAnsi="Bookman Old Style"/>
          <w:b/>
        </w:rPr>
        <w:t xml:space="preserve">C O N S I D E R A N D O </w:t>
      </w:r>
      <w:r w:rsidR="003248C5" w:rsidRPr="000C48DA">
        <w:rPr>
          <w:rFonts w:ascii="Bookman Old Style" w:hAnsi="Bookman Old Style"/>
          <w:b/>
        </w:rPr>
        <w:t xml:space="preserve"> </w:t>
      </w:r>
      <w:r w:rsidRPr="000C48DA">
        <w:rPr>
          <w:rFonts w:ascii="Bookman Old Style" w:hAnsi="Bookman Old Style"/>
          <w:b/>
        </w:rPr>
        <w:t xml:space="preserve"> Q U E:</w:t>
      </w:r>
    </w:p>
    <w:p w14:paraId="1227F42E" w14:textId="77777777" w:rsidR="000776BE" w:rsidRPr="000C48DA" w:rsidRDefault="000776BE" w:rsidP="000776BE">
      <w:pPr>
        <w:ind w:left="0"/>
        <w:jc w:val="both"/>
        <w:rPr>
          <w:rFonts w:ascii="Bookman Old Style" w:hAnsi="Bookman Old Style"/>
          <w:highlight w:val="yellow"/>
        </w:rPr>
      </w:pPr>
    </w:p>
    <w:p w14:paraId="21CF487A" w14:textId="77777777" w:rsidR="000776BE" w:rsidRPr="000C48DA" w:rsidRDefault="000776BE" w:rsidP="000776BE">
      <w:pPr>
        <w:ind w:left="0"/>
        <w:jc w:val="both"/>
        <w:rPr>
          <w:rFonts w:ascii="Bookman Old Style" w:hAnsi="Bookman Old Style"/>
          <w:highlight w:val="yellow"/>
        </w:rPr>
      </w:pPr>
    </w:p>
    <w:p w14:paraId="281C39E7" w14:textId="6BD8759A" w:rsidR="000776BE" w:rsidRPr="000C48DA" w:rsidRDefault="000776BE" w:rsidP="000776BE">
      <w:pPr>
        <w:ind w:left="0"/>
        <w:jc w:val="both"/>
        <w:rPr>
          <w:rFonts w:ascii="Bookman Old Style" w:hAnsi="Bookman Old Style" w:cs="Arial"/>
          <w:spacing w:val="-3"/>
        </w:rPr>
      </w:pPr>
      <w:r w:rsidRPr="000C48DA">
        <w:rPr>
          <w:rFonts w:ascii="Bookman Old Style" w:hAnsi="Bookman Old Style" w:cs="Arial"/>
        </w:rPr>
        <w:t>Según el</w:t>
      </w:r>
      <w:r w:rsidRPr="000C48DA">
        <w:rPr>
          <w:rFonts w:ascii="Bookman Old Style" w:hAnsi="Bookman Old Style" w:cs="Arial"/>
          <w:lang w:val="pt-BR"/>
        </w:rPr>
        <w:t xml:space="preserve"> </w:t>
      </w:r>
      <w:r w:rsidRPr="000C48DA">
        <w:rPr>
          <w:rFonts w:ascii="Bookman Old Style" w:hAnsi="Bookman Old Style" w:cs="Arial"/>
        </w:rPr>
        <w:t>artículo 74</w:t>
      </w:r>
      <w:r w:rsidR="5B8CC2FE" w:rsidRPr="000C48DA">
        <w:rPr>
          <w:rFonts w:ascii="Bookman Old Style" w:hAnsi="Bookman Old Style" w:cs="Arial"/>
        </w:rPr>
        <w:t xml:space="preserve"> numeral </w:t>
      </w:r>
      <w:r w:rsidRPr="000C48DA">
        <w:rPr>
          <w:rFonts w:ascii="Bookman Old Style" w:hAnsi="Bookman Old Style" w:cs="Arial"/>
        </w:rPr>
        <w:t>1 de la Ley 142 de 1994</w:t>
      </w:r>
      <w:r w:rsidR="00043803" w:rsidRPr="000C48DA">
        <w:rPr>
          <w:rFonts w:ascii="Bookman Old Style" w:hAnsi="Bookman Old Style" w:cs="Arial"/>
        </w:rPr>
        <w:t>,</w:t>
      </w:r>
      <w:r w:rsidRPr="000C48DA">
        <w:rPr>
          <w:rFonts w:ascii="Bookman Old Style" w:hAnsi="Bookman Old Style" w:cs="Arial"/>
        </w:rPr>
        <w:t xml:space="preserve"> la Comisión de Regulación de Energía y Gas</w:t>
      </w:r>
      <w:r w:rsidR="00F71DDD" w:rsidRPr="000C48DA">
        <w:rPr>
          <w:rFonts w:ascii="Bookman Old Style" w:hAnsi="Bookman Old Style" w:cs="Arial"/>
        </w:rPr>
        <w:t xml:space="preserve">, </w:t>
      </w:r>
      <w:r w:rsidR="00FF792C" w:rsidRPr="000C48DA">
        <w:rPr>
          <w:rFonts w:ascii="Bookman Old Style" w:hAnsi="Bookman Old Style" w:cs="Arial"/>
        </w:rPr>
        <w:t>CREG</w:t>
      </w:r>
      <w:r w:rsidR="00F71DDD" w:rsidRPr="000C48DA">
        <w:rPr>
          <w:rFonts w:ascii="Bookman Old Style" w:hAnsi="Bookman Old Style" w:cs="Arial"/>
        </w:rPr>
        <w:t>,</w:t>
      </w:r>
      <w:r w:rsidR="00FF792C" w:rsidRPr="000C48DA">
        <w:rPr>
          <w:rFonts w:ascii="Bookman Old Style" w:hAnsi="Bookman Old Style" w:cs="Arial"/>
        </w:rPr>
        <w:t xml:space="preserve"> </w:t>
      </w:r>
      <w:r w:rsidRPr="000C48DA">
        <w:rPr>
          <w:rFonts w:ascii="Bookman Old Style" w:hAnsi="Bookman Old Style" w:cs="Arial"/>
        </w:rPr>
        <w:t xml:space="preserve">es competente para </w:t>
      </w:r>
      <w:r w:rsidRPr="000C48DA">
        <w:rPr>
          <w:rFonts w:ascii="Bookman Old Style" w:hAnsi="Bookman Old Style" w:cs="Arial"/>
          <w:spacing w:val="-3"/>
        </w:rPr>
        <w:t>regular el ejercicio de las actividades de los sectores de energía eléctrica y gas combustible.</w:t>
      </w:r>
    </w:p>
    <w:p w14:paraId="5DE614A1" w14:textId="77777777" w:rsidR="000776BE" w:rsidRPr="000C48DA" w:rsidRDefault="000776BE" w:rsidP="000776BE">
      <w:pPr>
        <w:ind w:left="0"/>
        <w:jc w:val="both"/>
        <w:rPr>
          <w:rFonts w:ascii="Bookman Old Style" w:hAnsi="Bookman Old Style" w:cs="Arial"/>
          <w:highlight w:val="yellow"/>
        </w:rPr>
      </w:pPr>
    </w:p>
    <w:p w14:paraId="5EB249CA" w14:textId="2219EF81" w:rsidR="000776BE" w:rsidRPr="000C48DA" w:rsidRDefault="000776BE" w:rsidP="000776BE">
      <w:pPr>
        <w:ind w:left="0"/>
        <w:jc w:val="both"/>
        <w:rPr>
          <w:rFonts w:ascii="Bookman Old Style" w:hAnsi="Bookman Old Style" w:cs="Arial"/>
        </w:rPr>
      </w:pPr>
      <w:r w:rsidRPr="000C48DA">
        <w:rPr>
          <w:rFonts w:ascii="Bookman Old Style" w:hAnsi="Bookman Old Style" w:cs="Arial"/>
        </w:rPr>
        <w:t>La Comisión de Regulación de Energía y Gas tiene la función de regular los monopolios en la prestación del servicio público domiciliario de energía eléctrica y gas combustible cuando la competencia no sea, de hecho, posible; y en los demás casos, la de promover la competencia entre quienes presten servicios públicos, para que las operaciones de los monopolistas o de los competidores sean económicamente eficientes, no impliquen abuso de la posición dominante y produzcan servicios de calidad</w:t>
      </w:r>
      <w:r w:rsidRPr="000C48DA">
        <w:rPr>
          <w:rFonts w:ascii="Bookman Old Style" w:hAnsi="Bookman Old Style" w:cs="Arial"/>
          <w:spacing w:val="-3"/>
        </w:rPr>
        <w:t>.</w:t>
      </w:r>
    </w:p>
    <w:p w14:paraId="78C5BA66" w14:textId="77777777" w:rsidR="000776BE" w:rsidRPr="000C48DA" w:rsidRDefault="000776BE" w:rsidP="000776BE">
      <w:pPr>
        <w:ind w:left="0"/>
        <w:rPr>
          <w:rFonts w:ascii="Bookman Old Style" w:hAnsi="Bookman Old Style"/>
          <w:highlight w:val="yellow"/>
        </w:rPr>
      </w:pPr>
    </w:p>
    <w:p w14:paraId="548CCA19" w14:textId="3623904B" w:rsidR="00275215" w:rsidRPr="000C48DA" w:rsidRDefault="000776BE" w:rsidP="00275215">
      <w:pPr>
        <w:ind w:left="0"/>
        <w:jc w:val="both"/>
        <w:rPr>
          <w:rFonts w:ascii="Bookman Old Style" w:hAnsi="Bookman Old Style" w:cs="Arial"/>
        </w:rPr>
      </w:pPr>
      <w:r w:rsidRPr="000C48DA">
        <w:rPr>
          <w:rFonts w:ascii="Bookman Old Style" w:hAnsi="Bookman Old Style" w:cs="Arial"/>
        </w:rPr>
        <w:t>Según el criterio de suficiencia financiera definido por el artículo 8</w:t>
      </w:r>
      <w:r w:rsidR="00F05E64">
        <w:rPr>
          <w:rFonts w:ascii="Bookman Old Style" w:hAnsi="Bookman Old Style" w:cs="Arial"/>
        </w:rPr>
        <w:t>7</w:t>
      </w:r>
      <w:r w:rsidR="67945250" w:rsidRPr="000C48DA">
        <w:rPr>
          <w:rFonts w:ascii="Bookman Old Style" w:hAnsi="Bookman Old Style" w:cs="Arial"/>
        </w:rPr>
        <w:t xml:space="preserve"> numeral</w:t>
      </w:r>
      <w:r w:rsidR="00CC782B" w:rsidRPr="000C48DA">
        <w:rPr>
          <w:rFonts w:ascii="Bookman Old Style" w:hAnsi="Bookman Old Style" w:cs="Arial"/>
        </w:rPr>
        <w:t xml:space="preserve"> </w:t>
      </w:r>
      <w:r w:rsidRPr="000C48DA">
        <w:rPr>
          <w:rFonts w:ascii="Bookman Old Style" w:hAnsi="Bookman Old Style" w:cs="Arial"/>
        </w:rPr>
        <w:t>4 de la Ley 142 de 1994, las fórmulas tarifarias que establezca la CREG deben permitir remunerar el patrimonio de los accionistas en la misma forma en la que lo habría remunerado una empresa eficiente en un sector de riesgo comparable.</w:t>
      </w:r>
    </w:p>
    <w:p w14:paraId="70575397" w14:textId="24539B8F" w:rsidR="07F704A8" w:rsidRPr="000C48DA" w:rsidRDefault="07F704A8" w:rsidP="07F704A8">
      <w:pPr>
        <w:ind w:left="0"/>
        <w:jc w:val="both"/>
        <w:rPr>
          <w:rFonts w:ascii="Bookman Old Style" w:hAnsi="Bookman Old Style" w:cs="Arial"/>
        </w:rPr>
      </w:pPr>
    </w:p>
    <w:p w14:paraId="20074C60" w14:textId="7BA038E5" w:rsidR="07F704A8" w:rsidRPr="000C48DA" w:rsidRDefault="605A31D6" w:rsidP="07F704A8">
      <w:pPr>
        <w:ind w:left="0"/>
        <w:jc w:val="both"/>
        <w:rPr>
          <w:rFonts w:ascii="Bookman Old Style" w:hAnsi="Bookman Old Style" w:cs="Arial"/>
        </w:rPr>
      </w:pPr>
      <w:r w:rsidRPr="000C48DA">
        <w:rPr>
          <w:rFonts w:ascii="Bookman Old Style" w:hAnsi="Bookman Old Style" w:cs="Arial"/>
        </w:rPr>
        <w:t>Conforme al artículo 4 literal b</w:t>
      </w:r>
      <w:r w:rsidR="00CD2C4B" w:rsidRPr="000C48DA">
        <w:rPr>
          <w:rFonts w:ascii="Bookman Old Style" w:hAnsi="Bookman Old Style" w:cs="Arial"/>
        </w:rPr>
        <w:t xml:space="preserve"> numeral 3</w:t>
      </w:r>
      <w:r w:rsidRPr="000C48DA">
        <w:rPr>
          <w:rFonts w:ascii="Bookman Old Style" w:hAnsi="Bookman Old Style" w:cs="Arial"/>
        </w:rPr>
        <w:t xml:space="preserve"> del Decreto </w:t>
      </w:r>
      <w:r w:rsidR="00CD2C4B" w:rsidRPr="000C48DA">
        <w:rPr>
          <w:rFonts w:ascii="Bookman Old Style" w:hAnsi="Bookman Old Style" w:cs="Arial"/>
        </w:rPr>
        <w:t>12</w:t>
      </w:r>
      <w:r w:rsidRPr="000C48DA">
        <w:rPr>
          <w:rFonts w:ascii="Bookman Old Style" w:hAnsi="Bookman Old Style" w:cs="Arial"/>
        </w:rPr>
        <w:t>60 de 2013, le corresponde a la CREG</w:t>
      </w:r>
      <w:r w:rsidR="005770DC">
        <w:rPr>
          <w:rFonts w:ascii="Bookman Old Style" w:hAnsi="Bookman Old Style" w:cs="Arial"/>
        </w:rPr>
        <w:t>,</w:t>
      </w:r>
      <w:r w:rsidRPr="000C48DA">
        <w:rPr>
          <w:rFonts w:ascii="Bookman Old Style" w:hAnsi="Bookman Old Style" w:cs="Arial"/>
        </w:rPr>
        <w:t xml:space="preserve"> con relación a</w:t>
      </w:r>
      <w:r w:rsidR="27CFD5A4" w:rsidRPr="000C48DA">
        <w:rPr>
          <w:rFonts w:ascii="Bookman Old Style" w:hAnsi="Bookman Old Style" w:cs="Arial"/>
        </w:rPr>
        <w:t xml:space="preserve">l sector de combustibles líquidos y derivados del </w:t>
      </w:r>
      <w:r w:rsidR="18B6B3E5" w:rsidRPr="000C48DA">
        <w:rPr>
          <w:rFonts w:ascii="Bookman Old Style" w:hAnsi="Bookman Old Style" w:cs="Arial"/>
        </w:rPr>
        <w:t>petróleo</w:t>
      </w:r>
      <w:r w:rsidR="27CFD5A4" w:rsidRPr="000C48DA">
        <w:rPr>
          <w:rFonts w:ascii="Bookman Old Style" w:hAnsi="Bookman Old Style" w:cs="Arial"/>
        </w:rPr>
        <w:t>,</w:t>
      </w:r>
      <w:r w:rsidR="71401185" w:rsidRPr="000C48DA">
        <w:rPr>
          <w:rFonts w:ascii="Bookman Old Style" w:hAnsi="Bookman Old Style" w:cs="Arial"/>
        </w:rPr>
        <w:t xml:space="preserve"> determinar la metodología para remunerar los activos que garanticen el abastecimiento estratégico de combustibles</w:t>
      </w:r>
      <w:r w:rsidR="00CC782B" w:rsidRPr="000C48DA">
        <w:rPr>
          <w:rFonts w:ascii="Bookman Old Style" w:hAnsi="Bookman Old Style" w:cs="Arial"/>
        </w:rPr>
        <w:t>.</w:t>
      </w:r>
    </w:p>
    <w:p w14:paraId="13B7DB7C" w14:textId="77777777" w:rsidR="000717F7" w:rsidRPr="000C48DA" w:rsidRDefault="000717F7" w:rsidP="000717F7">
      <w:pPr>
        <w:ind w:left="0"/>
        <w:jc w:val="both"/>
        <w:rPr>
          <w:rFonts w:ascii="Bookman Old Style" w:hAnsi="Bookman Old Style" w:cs="Arial"/>
          <w:highlight w:val="yellow"/>
        </w:rPr>
      </w:pPr>
    </w:p>
    <w:p w14:paraId="157E2615" w14:textId="4CB3A8B8" w:rsidR="000776BE" w:rsidRPr="000C48DA" w:rsidRDefault="00E06423" w:rsidP="007667A2">
      <w:pPr>
        <w:ind w:left="0"/>
        <w:jc w:val="both"/>
        <w:rPr>
          <w:rFonts w:ascii="Bookman Old Style" w:hAnsi="Bookman Old Style" w:cs="Arial"/>
        </w:rPr>
      </w:pPr>
      <w:r w:rsidRPr="000C48DA">
        <w:rPr>
          <w:rFonts w:ascii="Bookman Old Style" w:hAnsi="Bookman Old Style" w:cs="Arial"/>
        </w:rPr>
        <w:t>Median</w:t>
      </w:r>
      <w:r w:rsidR="00277BBC" w:rsidRPr="000C48DA">
        <w:rPr>
          <w:rFonts w:ascii="Bookman Old Style" w:hAnsi="Bookman Old Style" w:cs="Arial"/>
        </w:rPr>
        <w:t>te la Resolución CREG 004 de 2021</w:t>
      </w:r>
      <w:r w:rsidR="005770DC">
        <w:rPr>
          <w:rFonts w:ascii="Bookman Old Style" w:hAnsi="Bookman Old Style" w:cs="Arial"/>
        </w:rPr>
        <w:t>,</w:t>
      </w:r>
      <w:r w:rsidR="00277BBC" w:rsidRPr="000C48DA">
        <w:rPr>
          <w:rFonts w:ascii="Bookman Old Style" w:hAnsi="Bookman Old Style" w:cs="Arial"/>
        </w:rPr>
        <w:t xml:space="preserve"> </w:t>
      </w:r>
      <w:r w:rsidR="007667A2" w:rsidRPr="000C48DA">
        <w:rPr>
          <w:rFonts w:ascii="Bookman Old Style" w:hAnsi="Bookman Old Style" w:cs="Arial"/>
        </w:rPr>
        <w:t xml:space="preserve">la CREG definió </w:t>
      </w:r>
      <w:r w:rsidR="005130A1" w:rsidRPr="000C48DA">
        <w:rPr>
          <w:rFonts w:ascii="Bookman Old Style" w:hAnsi="Bookman Old Style" w:cs="Arial"/>
        </w:rPr>
        <w:t>el procedimiento para el cálculo de la tasa de descuento aplicable en las metodologías tarifarias que expide la Comisión de Regulación de Energía y Gas</w:t>
      </w:r>
      <w:r w:rsidR="00866CE1" w:rsidRPr="000C48DA">
        <w:rPr>
          <w:rFonts w:ascii="Bookman Old Style" w:hAnsi="Bookman Old Style" w:cs="Arial"/>
        </w:rPr>
        <w:t>.</w:t>
      </w:r>
    </w:p>
    <w:p w14:paraId="4F9B046E" w14:textId="65A9F46C" w:rsidR="008A0C0E" w:rsidRPr="000C48DA" w:rsidRDefault="00390C61" w:rsidP="00410609">
      <w:pPr>
        <w:ind w:left="0"/>
        <w:jc w:val="both"/>
        <w:rPr>
          <w:rFonts w:ascii="Bookman Old Style" w:hAnsi="Bookman Old Style" w:cs="Tahoma"/>
        </w:rPr>
      </w:pPr>
      <w:r w:rsidRPr="000C48DA">
        <w:rPr>
          <w:rFonts w:ascii="Bookman Old Style" w:hAnsi="Bookman Old Style" w:cs="Tahoma"/>
        </w:rPr>
        <w:lastRenderedPageBreak/>
        <w:t xml:space="preserve">Mediante la Resolución CREG 038 de 2021 la Comisión sometió a consulta </w:t>
      </w:r>
      <w:r w:rsidR="00B52004" w:rsidRPr="000C48DA">
        <w:rPr>
          <w:rFonts w:ascii="Bookman Old Style" w:hAnsi="Bookman Old Style" w:cs="Tahoma"/>
        </w:rPr>
        <w:t>el ajuste a la Resolución CREG 004 de 2021.</w:t>
      </w:r>
    </w:p>
    <w:p w14:paraId="4412C1D4" w14:textId="1EA2BFC1" w:rsidR="00B136E2" w:rsidRPr="000C48DA" w:rsidRDefault="00B136E2" w:rsidP="00410609">
      <w:pPr>
        <w:ind w:left="0"/>
        <w:jc w:val="both"/>
        <w:rPr>
          <w:rFonts w:ascii="Bookman Old Style" w:hAnsi="Bookman Old Style" w:cs="Tahoma"/>
        </w:rPr>
      </w:pPr>
    </w:p>
    <w:p w14:paraId="64A30B81" w14:textId="0B282081" w:rsidR="00B136E2" w:rsidRPr="000C48DA" w:rsidRDefault="00B136E2" w:rsidP="00410609">
      <w:pPr>
        <w:ind w:left="0"/>
        <w:jc w:val="both"/>
        <w:rPr>
          <w:rFonts w:ascii="Bookman Old Style" w:hAnsi="Bookman Old Style" w:cs="Tahoma"/>
        </w:rPr>
      </w:pPr>
      <w:r w:rsidRPr="000C48DA">
        <w:rPr>
          <w:rFonts w:ascii="Bookman Old Style" w:hAnsi="Bookman Old Style" w:cs="Tahoma"/>
        </w:rPr>
        <w:t>Las siguientes empresas hicieron comentarios:</w:t>
      </w:r>
    </w:p>
    <w:p w14:paraId="1D73A5A5" w14:textId="78A667EE" w:rsidR="00B136E2" w:rsidRPr="000C48DA" w:rsidRDefault="00B136E2" w:rsidP="00410609">
      <w:pPr>
        <w:ind w:left="0"/>
        <w:jc w:val="both"/>
        <w:rPr>
          <w:rFonts w:ascii="Bookman Old Style" w:hAnsi="Bookman Old Style" w:cs="Tahoma"/>
        </w:rPr>
      </w:pPr>
    </w:p>
    <w:tbl>
      <w:tblPr>
        <w:tblW w:w="5098" w:type="dxa"/>
        <w:jc w:val="center"/>
        <w:tblCellMar>
          <w:left w:w="70" w:type="dxa"/>
          <w:right w:w="70" w:type="dxa"/>
        </w:tblCellMar>
        <w:tblLook w:val="04A0" w:firstRow="1" w:lastRow="0" w:firstColumn="1" w:lastColumn="0" w:noHBand="0" w:noVBand="1"/>
      </w:tblPr>
      <w:tblGrid>
        <w:gridCol w:w="2263"/>
        <w:gridCol w:w="2835"/>
      </w:tblGrid>
      <w:tr w:rsidR="00E2388A" w:rsidRPr="000C48DA" w14:paraId="1565FDF9" w14:textId="77777777" w:rsidTr="00E2388A">
        <w:trPr>
          <w:trHeight w:val="300"/>
          <w:tblHeader/>
          <w:jc w:val="center"/>
        </w:trPr>
        <w:tc>
          <w:tcPr>
            <w:tcW w:w="226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704FE9" w14:textId="77777777" w:rsidR="00E2388A" w:rsidRPr="000C48DA" w:rsidRDefault="00E2388A" w:rsidP="00182C32">
            <w:pPr>
              <w:jc w:val="center"/>
              <w:rPr>
                <w:rFonts w:ascii="Bookman Old Style" w:hAnsi="Bookman Old Style" w:cs="Arial"/>
                <w:b/>
                <w:bCs/>
                <w:color w:val="000000"/>
                <w:sz w:val="20"/>
              </w:rPr>
            </w:pPr>
            <w:r w:rsidRPr="000C48DA">
              <w:rPr>
                <w:rFonts w:ascii="Bookman Old Style" w:hAnsi="Bookman Old Style" w:cs="Arial"/>
                <w:b/>
                <w:bCs/>
                <w:color w:val="000000"/>
                <w:sz w:val="20"/>
              </w:rPr>
              <w:t>Radicado</w:t>
            </w:r>
          </w:p>
        </w:tc>
        <w:tc>
          <w:tcPr>
            <w:tcW w:w="2835" w:type="dxa"/>
            <w:tcBorders>
              <w:top w:val="single" w:sz="4" w:space="0" w:color="auto"/>
              <w:left w:val="nil"/>
              <w:bottom w:val="single" w:sz="4" w:space="0" w:color="auto"/>
              <w:right w:val="single" w:sz="4" w:space="0" w:color="auto"/>
            </w:tcBorders>
            <w:shd w:val="clear" w:color="auto" w:fill="auto"/>
            <w:noWrap/>
            <w:vAlign w:val="center"/>
            <w:hideMark/>
          </w:tcPr>
          <w:p w14:paraId="0AB679A9" w14:textId="77777777" w:rsidR="00E2388A" w:rsidRPr="000C48DA" w:rsidRDefault="00E2388A" w:rsidP="00182C32">
            <w:pPr>
              <w:jc w:val="center"/>
              <w:rPr>
                <w:rFonts w:ascii="Bookman Old Style" w:hAnsi="Bookman Old Style" w:cs="Arial"/>
                <w:b/>
                <w:bCs/>
                <w:color w:val="000000"/>
                <w:sz w:val="20"/>
              </w:rPr>
            </w:pPr>
            <w:r w:rsidRPr="000C48DA">
              <w:rPr>
                <w:rFonts w:ascii="Bookman Old Style" w:hAnsi="Bookman Old Style" w:cs="Arial"/>
                <w:b/>
                <w:bCs/>
                <w:color w:val="000000"/>
                <w:sz w:val="20"/>
              </w:rPr>
              <w:t>Empresa</w:t>
            </w:r>
          </w:p>
        </w:tc>
      </w:tr>
      <w:tr w:rsidR="00E2388A" w:rsidRPr="000C48DA" w14:paraId="571724A2" w14:textId="77777777" w:rsidTr="00E2388A">
        <w:trPr>
          <w:trHeight w:val="300"/>
          <w:jc w:val="center"/>
        </w:trPr>
        <w:tc>
          <w:tcPr>
            <w:tcW w:w="2263" w:type="dxa"/>
            <w:tcBorders>
              <w:top w:val="nil"/>
              <w:left w:val="single" w:sz="4" w:space="0" w:color="auto"/>
              <w:bottom w:val="single" w:sz="4" w:space="0" w:color="auto"/>
              <w:right w:val="single" w:sz="4" w:space="0" w:color="auto"/>
            </w:tcBorders>
            <w:shd w:val="clear" w:color="000000" w:fill="FFFFFF"/>
            <w:noWrap/>
            <w:vAlign w:val="center"/>
            <w:hideMark/>
          </w:tcPr>
          <w:p w14:paraId="04CCE811"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E-2021-006027</w:t>
            </w:r>
          </w:p>
        </w:tc>
        <w:tc>
          <w:tcPr>
            <w:tcW w:w="2835" w:type="dxa"/>
            <w:tcBorders>
              <w:top w:val="nil"/>
              <w:left w:val="nil"/>
              <w:bottom w:val="single" w:sz="4" w:space="0" w:color="auto"/>
              <w:right w:val="single" w:sz="4" w:space="0" w:color="auto"/>
            </w:tcBorders>
            <w:shd w:val="clear" w:color="000000" w:fill="FFFFFF"/>
            <w:noWrap/>
            <w:vAlign w:val="center"/>
            <w:hideMark/>
          </w:tcPr>
          <w:p w14:paraId="43EF86E7"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Promigas</w:t>
            </w:r>
          </w:p>
        </w:tc>
      </w:tr>
      <w:tr w:rsidR="00E2388A" w:rsidRPr="000C48DA" w14:paraId="248DD55A" w14:textId="77777777" w:rsidTr="00E2388A">
        <w:trPr>
          <w:trHeight w:val="300"/>
          <w:jc w:val="center"/>
        </w:trPr>
        <w:tc>
          <w:tcPr>
            <w:tcW w:w="2263" w:type="dxa"/>
            <w:tcBorders>
              <w:top w:val="nil"/>
              <w:left w:val="single" w:sz="4" w:space="0" w:color="auto"/>
              <w:bottom w:val="single" w:sz="4" w:space="0" w:color="auto"/>
              <w:right w:val="single" w:sz="4" w:space="0" w:color="auto"/>
            </w:tcBorders>
            <w:shd w:val="clear" w:color="000000" w:fill="FFFFFF"/>
            <w:noWrap/>
            <w:vAlign w:val="center"/>
            <w:hideMark/>
          </w:tcPr>
          <w:p w14:paraId="2DE53717"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E-2021-006030</w:t>
            </w:r>
          </w:p>
        </w:tc>
        <w:tc>
          <w:tcPr>
            <w:tcW w:w="2835" w:type="dxa"/>
            <w:tcBorders>
              <w:top w:val="nil"/>
              <w:left w:val="nil"/>
              <w:bottom w:val="single" w:sz="4" w:space="0" w:color="auto"/>
              <w:right w:val="single" w:sz="4" w:space="0" w:color="auto"/>
            </w:tcBorders>
            <w:shd w:val="clear" w:color="000000" w:fill="FFFFFF"/>
            <w:noWrap/>
            <w:vAlign w:val="center"/>
            <w:hideMark/>
          </w:tcPr>
          <w:p w14:paraId="4D7F37D5" w14:textId="02DA1375" w:rsidR="00E2388A" w:rsidRPr="000C48DA" w:rsidRDefault="009C07B7" w:rsidP="00182C32">
            <w:pPr>
              <w:rPr>
                <w:rFonts w:ascii="Bookman Old Style" w:hAnsi="Bookman Old Style" w:cs="Arial"/>
                <w:color w:val="000000"/>
                <w:sz w:val="20"/>
              </w:rPr>
            </w:pPr>
            <w:r>
              <w:rPr>
                <w:rFonts w:ascii="Bookman Old Style" w:hAnsi="Bookman Old Style" w:cs="Arial"/>
                <w:color w:val="000000"/>
                <w:sz w:val="20"/>
              </w:rPr>
              <w:t xml:space="preserve">Grupo Energía Bogotá - </w:t>
            </w:r>
            <w:r w:rsidR="00E2388A" w:rsidRPr="000C48DA">
              <w:rPr>
                <w:rFonts w:ascii="Bookman Old Style" w:hAnsi="Bookman Old Style" w:cs="Arial"/>
                <w:color w:val="000000"/>
                <w:sz w:val="20"/>
              </w:rPr>
              <w:t>GEB</w:t>
            </w:r>
          </w:p>
        </w:tc>
      </w:tr>
      <w:tr w:rsidR="00E2388A" w:rsidRPr="000C48DA" w14:paraId="7B5615F2" w14:textId="77777777" w:rsidTr="00E2388A">
        <w:trPr>
          <w:trHeight w:val="300"/>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703E918B"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E-2021-006031</w:t>
            </w:r>
          </w:p>
        </w:tc>
        <w:tc>
          <w:tcPr>
            <w:tcW w:w="2835" w:type="dxa"/>
            <w:tcBorders>
              <w:top w:val="nil"/>
              <w:left w:val="nil"/>
              <w:bottom w:val="single" w:sz="4" w:space="0" w:color="auto"/>
              <w:right w:val="single" w:sz="4" w:space="0" w:color="auto"/>
            </w:tcBorders>
            <w:shd w:val="clear" w:color="auto" w:fill="auto"/>
            <w:noWrap/>
            <w:vAlign w:val="center"/>
            <w:hideMark/>
          </w:tcPr>
          <w:p w14:paraId="2B627603"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TGI</w:t>
            </w:r>
          </w:p>
        </w:tc>
      </w:tr>
      <w:tr w:rsidR="00E2388A" w:rsidRPr="000C48DA" w14:paraId="7F1E0936" w14:textId="77777777" w:rsidTr="00E2388A">
        <w:trPr>
          <w:trHeight w:val="300"/>
          <w:jc w:val="center"/>
        </w:trPr>
        <w:tc>
          <w:tcPr>
            <w:tcW w:w="2263" w:type="dxa"/>
            <w:tcBorders>
              <w:top w:val="nil"/>
              <w:left w:val="single" w:sz="4" w:space="0" w:color="auto"/>
              <w:bottom w:val="single" w:sz="4" w:space="0" w:color="auto"/>
              <w:right w:val="single" w:sz="4" w:space="0" w:color="auto"/>
            </w:tcBorders>
            <w:shd w:val="clear" w:color="000000" w:fill="FFFFFF"/>
            <w:noWrap/>
            <w:vAlign w:val="center"/>
            <w:hideMark/>
          </w:tcPr>
          <w:p w14:paraId="3094E258"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E-2021-006074</w:t>
            </w:r>
          </w:p>
        </w:tc>
        <w:tc>
          <w:tcPr>
            <w:tcW w:w="2835" w:type="dxa"/>
            <w:tcBorders>
              <w:top w:val="nil"/>
              <w:left w:val="nil"/>
              <w:bottom w:val="single" w:sz="4" w:space="0" w:color="auto"/>
              <w:right w:val="single" w:sz="4" w:space="0" w:color="auto"/>
            </w:tcBorders>
            <w:shd w:val="clear" w:color="000000" w:fill="FFFFFF"/>
            <w:noWrap/>
            <w:vAlign w:val="center"/>
            <w:hideMark/>
          </w:tcPr>
          <w:p w14:paraId="5ABC2681"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Codensa</w:t>
            </w:r>
          </w:p>
        </w:tc>
      </w:tr>
      <w:tr w:rsidR="00E2388A" w:rsidRPr="000C48DA" w14:paraId="1E56FCDA" w14:textId="77777777" w:rsidTr="00E2388A">
        <w:trPr>
          <w:trHeight w:val="300"/>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14:paraId="3E546177"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E-2021-006083</w:t>
            </w:r>
          </w:p>
        </w:tc>
        <w:tc>
          <w:tcPr>
            <w:tcW w:w="2835" w:type="dxa"/>
            <w:tcBorders>
              <w:top w:val="nil"/>
              <w:left w:val="nil"/>
              <w:bottom w:val="single" w:sz="4" w:space="0" w:color="auto"/>
              <w:right w:val="single" w:sz="4" w:space="0" w:color="auto"/>
            </w:tcBorders>
            <w:shd w:val="clear" w:color="auto" w:fill="auto"/>
            <w:noWrap/>
            <w:vAlign w:val="center"/>
          </w:tcPr>
          <w:p w14:paraId="462BEE04"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Ecopetrol</w:t>
            </w:r>
          </w:p>
        </w:tc>
      </w:tr>
      <w:tr w:rsidR="00E2388A" w:rsidRPr="000C48DA" w14:paraId="7DC126FC" w14:textId="77777777" w:rsidTr="00E2388A">
        <w:trPr>
          <w:trHeight w:val="300"/>
          <w:jc w:val="center"/>
        </w:trPr>
        <w:tc>
          <w:tcPr>
            <w:tcW w:w="2263" w:type="dxa"/>
            <w:tcBorders>
              <w:top w:val="nil"/>
              <w:left w:val="single" w:sz="4" w:space="0" w:color="auto"/>
              <w:bottom w:val="single" w:sz="4" w:space="0" w:color="auto"/>
              <w:right w:val="single" w:sz="4" w:space="0" w:color="auto"/>
            </w:tcBorders>
            <w:shd w:val="clear" w:color="auto" w:fill="auto"/>
            <w:noWrap/>
            <w:hideMark/>
          </w:tcPr>
          <w:p w14:paraId="0A2EF22B"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E-2021-006090</w:t>
            </w:r>
          </w:p>
        </w:tc>
        <w:tc>
          <w:tcPr>
            <w:tcW w:w="2835" w:type="dxa"/>
            <w:tcBorders>
              <w:top w:val="nil"/>
              <w:left w:val="nil"/>
              <w:bottom w:val="single" w:sz="4" w:space="0" w:color="auto"/>
              <w:right w:val="single" w:sz="4" w:space="0" w:color="auto"/>
            </w:tcBorders>
            <w:shd w:val="clear" w:color="auto" w:fill="auto"/>
            <w:noWrap/>
            <w:vAlign w:val="center"/>
          </w:tcPr>
          <w:p w14:paraId="460D0D39"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Cenit</w:t>
            </w:r>
          </w:p>
        </w:tc>
      </w:tr>
      <w:tr w:rsidR="00E2388A" w:rsidRPr="000C48DA" w14:paraId="33FBA8F6" w14:textId="77777777" w:rsidTr="00E2388A">
        <w:trPr>
          <w:trHeight w:val="300"/>
          <w:jc w:val="center"/>
        </w:trPr>
        <w:tc>
          <w:tcPr>
            <w:tcW w:w="2263" w:type="dxa"/>
            <w:tcBorders>
              <w:top w:val="nil"/>
              <w:left w:val="single" w:sz="4" w:space="0" w:color="auto"/>
              <w:bottom w:val="single" w:sz="4" w:space="0" w:color="auto"/>
              <w:right w:val="single" w:sz="4" w:space="0" w:color="auto"/>
            </w:tcBorders>
            <w:shd w:val="clear" w:color="auto" w:fill="auto"/>
            <w:noWrap/>
            <w:hideMark/>
          </w:tcPr>
          <w:p w14:paraId="7601853C"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E-2021-006092</w:t>
            </w:r>
          </w:p>
        </w:tc>
        <w:tc>
          <w:tcPr>
            <w:tcW w:w="2835" w:type="dxa"/>
            <w:tcBorders>
              <w:top w:val="nil"/>
              <w:left w:val="nil"/>
              <w:bottom w:val="single" w:sz="4" w:space="0" w:color="auto"/>
              <w:right w:val="single" w:sz="4" w:space="0" w:color="auto"/>
            </w:tcBorders>
            <w:shd w:val="clear" w:color="auto" w:fill="auto"/>
            <w:noWrap/>
            <w:vAlign w:val="center"/>
          </w:tcPr>
          <w:p w14:paraId="33613A05" w14:textId="77777777" w:rsidR="00E2388A" w:rsidRPr="000C48DA" w:rsidRDefault="00E2388A" w:rsidP="00182C32">
            <w:pPr>
              <w:rPr>
                <w:rFonts w:ascii="Bookman Old Style" w:hAnsi="Bookman Old Style" w:cs="Arial"/>
                <w:color w:val="000000"/>
                <w:sz w:val="20"/>
              </w:rPr>
            </w:pPr>
            <w:r w:rsidRPr="000C48DA">
              <w:rPr>
                <w:rFonts w:ascii="Bookman Old Style" w:hAnsi="Bookman Old Style" w:cs="Arial"/>
                <w:color w:val="000000"/>
                <w:sz w:val="20"/>
              </w:rPr>
              <w:t>Andesco</w:t>
            </w:r>
          </w:p>
        </w:tc>
      </w:tr>
    </w:tbl>
    <w:p w14:paraId="22EE101F" w14:textId="77777777" w:rsidR="00B136E2" w:rsidRPr="000C48DA" w:rsidRDefault="00B136E2" w:rsidP="00410609">
      <w:pPr>
        <w:ind w:left="0"/>
        <w:jc w:val="both"/>
        <w:rPr>
          <w:rFonts w:ascii="Bookman Old Style" w:hAnsi="Bookman Old Style" w:cs="Tahoma"/>
        </w:rPr>
      </w:pPr>
    </w:p>
    <w:p w14:paraId="7EA26E13" w14:textId="6FD37A51" w:rsidR="007C494C" w:rsidRDefault="007C494C" w:rsidP="00713508">
      <w:pPr>
        <w:ind w:left="0"/>
        <w:contextualSpacing/>
        <w:jc w:val="both"/>
        <w:rPr>
          <w:rFonts w:ascii="Bookman Old Style" w:hAnsi="Bookman Old Style"/>
          <w:lang w:val="es-CO"/>
        </w:rPr>
      </w:pPr>
      <w:r>
        <w:rPr>
          <w:rFonts w:ascii="Bookman Old Style" w:hAnsi="Bookman Old Style"/>
          <w:lang w:val="es-CO"/>
        </w:rPr>
        <w:t xml:space="preserve">En el documento soporte </w:t>
      </w:r>
      <w:r w:rsidR="006F7F9E">
        <w:rPr>
          <w:rFonts w:ascii="Bookman Old Style" w:hAnsi="Bookman Old Style"/>
          <w:lang w:val="es-CO"/>
        </w:rPr>
        <w:t>061</w:t>
      </w:r>
      <w:r>
        <w:rPr>
          <w:rFonts w:ascii="Bookman Old Style" w:hAnsi="Bookman Old Style"/>
          <w:lang w:val="es-CO"/>
        </w:rPr>
        <w:t xml:space="preserve"> 2021 están los análisis a cada uno de los comentarios que se recibieron en el proceso de consulta.</w:t>
      </w:r>
    </w:p>
    <w:p w14:paraId="32432D87" w14:textId="77777777" w:rsidR="007C494C" w:rsidRDefault="007C494C" w:rsidP="00713508">
      <w:pPr>
        <w:ind w:left="0"/>
        <w:contextualSpacing/>
        <w:jc w:val="both"/>
        <w:rPr>
          <w:rFonts w:ascii="Bookman Old Style" w:hAnsi="Bookman Old Style"/>
          <w:lang w:val="es-CO"/>
        </w:rPr>
      </w:pPr>
    </w:p>
    <w:p w14:paraId="5D07F699" w14:textId="19654817" w:rsidR="00713508" w:rsidRPr="000C48DA" w:rsidRDefault="00713508" w:rsidP="00713508">
      <w:pPr>
        <w:ind w:left="0"/>
        <w:contextualSpacing/>
        <w:jc w:val="both"/>
        <w:rPr>
          <w:rFonts w:ascii="Bookman Old Style" w:hAnsi="Bookman Old Style"/>
          <w:lang w:val="es-CO"/>
        </w:rPr>
      </w:pPr>
      <w:r w:rsidRPr="000C48DA">
        <w:rPr>
          <w:rFonts w:ascii="Bookman Old Style" w:hAnsi="Bookman Old Style"/>
          <w:lang w:val="es-CO"/>
        </w:rPr>
        <w:t xml:space="preserve">Con base en lo establecido en el artículo 4 del Decreto 2897 de 2010, compilado en el Decreto 1074 de 2015, reglamentario de la Ley 1340 de 2009, se respondió el cuestionario establecido por la Superintendencia de Industria y Comercio </w:t>
      </w:r>
      <w:r w:rsidR="005770DC">
        <w:rPr>
          <w:rFonts w:ascii="Bookman Old Style" w:hAnsi="Bookman Old Style"/>
          <w:lang w:val="es-CO"/>
        </w:rPr>
        <w:t>a</w:t>
      </w:r>
      <w:r w:rsidRPr="000C48DA">
        <w:rPr>
          <w:rFonts w:ascii="Bookman Old Style" w:hAnsi="Bookman Old Style"/>
          <w:lang w:val="es-CO"/>
        </w:rPr>
        <w:t xml:space="preserve"> efectos de evaluar la incidencia sobre la libre competencia de los mercados, donde, aplicando las reglas allí previstas, la respuesta al conjunto de preguntas fue negativa, en la medida en que no plantea ninguna restricción indebida a la libre competencia.</w:t>
      </w:r>
    </w:p>
    <w:p w14:paraId="158C238D" w14:textId="77777777" w:rsidR="00713508" w:rsidRPr="000C48DA" w:rsidRDefault="00713508" w:rsidP="00713508">
      <w:pPr>
        <w:ind w:left="0"/>
        <w:contextualSpacing/>
        <w:jc w:val="both"/>
        <w:rPr>
          <w:rFonts w:ascii="Bookman Old Style" w:hAnsi="Bookman Old Style"/>
          <w:lang w:val="es-CO"/>
        </w:rPr>
      </w:pPr>
    </w:p>
    <w:p w14:paraId="3C3C9524" w14:textId="3DAD9B67" w:rsidR="00713508" w:rsidRPr="000C48DA" w:rsidRDefault="00713508" w:rsidP="00713508">
      <w:pPr>
        <w:ind w:left="0"/>
        <w:contextualSpacing/>
        <w:jc w:val="both"/>
        <w:rPr>
          <w:rFonts w:ascii="Bookman Old Style" w:hAnsi="Bookman Old Style"/>
          <w:lang w:val="es-CO"/>
        </w:rPr>
      </w:pPr>
      <w:r w:rsidRPr="000C48DA">
        <w:rPr>
          <w:rFonts w:ascii="Bookman Old Style" w:hAnsi="Bookman Old Style"/>
          <w:lang w:val="es-CO"/>
        </w:rPr>
        <w:t>Que la Comisión de Regulación de Energía y Gas, en sesión 10</w:t>
      </w:r>
      <w:r w:rsidR="00821189">
        <w:rPr>
          <w:rFonts w:ascii="Bookman Old Style" w:hAnsi="Bookman Old Style"/>
          <w:lang w:val="es-CO"/>
        </w:rPr>
        <w:t>97</w:t>
      </w:r>
      <w:r w:rsidRPr="000C48DA">
        <w:rPr>
          <w:rFonts w:ascii="Bookman Old Style" w:hAnsi="Bookman Old Style"/>
          <w:lang w:val="es-CO"/>
        </w:rPr>
        <w:t xml:space="preserve"> del </w:t>
      </w:r>
      <w:r w:rsidR="00821189">
        <w:rPr>
          <w:rFonts w:ascii="Bookman Old Style" w:hAnsi="Bookman Old Style"/>
          <w:lang w:val="es-CO"/>
        </w:rPr>
        <w:t>16</w:t>
      </w:r>
      <w:r w:rsidRPr="000C48DA">
        <w:rPr>
          <w:rFonts w:ascii="Bookman Old Style" w:hAnsi="Bookman Old Style"/>
          <w:lang w:val="es-CO"/>
        </w:rPr>
        <w:t xml:space="preserve"> de </w:t>
      </w:r>
      <w:r w:rsidR="00AD6236">
        <w:rPr>
          <w:rFonts w:ascii="Bookman Old Style" w:hAnsi="Bookman Old Style"/>
          <w:lang w:val="es-CO"/>
        </w:rPr>
        <w:t>junio</w:t>
      </w:r>
      <w:r w:rsidRPr="000C48DA">
        <w:rPr>
          <w:rFonts w:ascii="Bookman Old Style" w:hAnsi="Bookman Old Style"/>
          <w:lang w:val="es-CO"/>
        </w:rPr>
        <w:t xml:space="preserve"> de 2021, decidió aprobar la presente resolución. En consecuencia, </w:t>
      </w:r>
    </w:p>
    <w:p w14:paraId="024E4591" w14:textId="77777777" w:rsidR="00713508" w:rsidRPr="000C48DA" w:rsidRDefault="00713508" w:rsidP="00410609">
      <w:pPr>
        <w:ind w:left="0"/>
        <w:jc w:val="both"/>
        <w:rPr>
          <w:rFonts w:ascii="Bookman Old Style" w:hAnsi="Bookman Old Style" w:cs="Tahoma"/>
        </w:rPr>
      </w:pPr>
    </w:p>
    <w:p w14:paraId="07918AC6" w14:textId="77777777" w:rsidR="000776BE" w:rsidRPr="000C48DA" w:rsidRDefault="000776BE" w:rsidP="000776BE">
      <w:pPr>
        <w:suppressAutoHyphens/>
        <w:ind w:left="0"/>
        <w:jc w:val="center"/>
        <w:rPr>
          <w:rFonts w:ascii="Bookman Old Style" w:hAnsi="Bookman Old Style"/>
          <w:spacing w:val="-3"/>
        </w:rPr>
      </w:pPr>
      <w:r w:rsidRPr="000C48DA">
        <w:rPr>
          <w:rFonts w:ascii="Bookman Old Style" w:hAnsi="Bookman Old Style"/>
          <w:b/>
          <w:spacing w:val="-3"/>
        </w:rPr>
        <w:t>R E S U E L V E:</w:t>
      </w:r>
    </w:p>
    <w:p w14:paraId="75858D77" w14:textId="77777777" w:rsidR="0018073E" w:rsidRPr="000C48DA" w:rsidRDefault="0018073E" w:rsidP="00A51256">
      <w:pPr>
        <w:pStyle w:val="Textosinformato"/>
        <w:spacing w:line="240" w:lineRule="auto"/>
        <w:rPr>
          <w:rFonts w:ascii="Bookman Old Style" w:hAnsi="Bookman Old Style" w:cs="Tahoma"/>
          <w:sz w:val="24"/>
          <w:szCs w:val="24"/>
          <w:highlight w:val="yellow"/>
        </w:rPr>
      </w:pPr>
      <w:bookmarkStart w:id="0" w:name="_Ref164237694"/>
    </w:p>
    <w:p w14:paraId="40466827" w14:textId="5B38D711" w:rsidR="00F127D6" w:rsidRPr="000C48DA" w:rsidRDefault="000776BE" w:rsidP="004214F7">
      <w:pPr>
        <w:pStyle w:val="Textodebloque"/>
        <w:widowControl w:val="0"/>
        <w:tabs>
          <w:tab w:val="left" w:pos="8789"/>
        </w:tabs>
        <w:suppressAutoHyphens w:val="0"/>
        <w:adjustRightInd w:val="0"/>
        <w:spacing w:after="0"/>
        <w:ind w:left="0" w:right="51"/>
        <w:textAlignment w:val="baseline"/>
        <w:outlineLvl w:val="0"/>
        <w:rPr>
          <w:rFonts w:ascii="Bookman Old Style" w:hAnsi="Bookman Old Style" w:cs="Arial"/>
          <w:szCs w:val="24"/>
        </w:rPr>
      </w:pPr>
      <w:r w:rsidRPr="000C48DA">
        <w:rPr>
          <w:rFonts w:ascii="Bookman Old Style" w:hAnsi="Bookman Old Style" w:cs="Arial"/>
          <w:b/>
          <w:szCs w:val="24"/>
        </w:rPr>
        <w:t>ARTÍCULO 1</w:t>
      </w:r>
      <w:r w:rsidRPr="000C48DA">
        <w:rPr>
          <w:rFonts w:ascii="Bookman Old Style" w:hAnsi="Bookman Old Style" w:cs="Arial"/>
          <w:szCs w:val="24"/>
        </w:rPr>
        <w:t>.</w:t>
      </w:r>
      <w:r w:rsidR="007527FA" w:rsidRPr="000C48DA">
        <w:rPr>
          <w:rFonts w:ascii="Bookman Old Style" w:hAnsi="Bookman Old Style" w:cs="Arial"/>
          <w:szCs w:val="24"/>
        </w:rPr>
        <w:t xml:space="preserve"> </w:t>
      </w:r>
      <w:r w:rsidR="007527FA" w:rsidRPr="000C48DA">
        <w:rPr>
          <w:rFonts w:ascii="Bookman Old Style" w:hAnsi="Bookman Old Style" w:cs="Arial"/>
          <w:b/>
          <w:bCs/>
          <w:szCs w:val="24"/>
        </w:rPr>
        <w:t>Objeto.</w:t>
      </w:r>
      <w:r w:rsidRPr="000C48DA">
        <w:rPr>
          <w:rFonts w:ascii="Bookman Old Style" w:hAnsi="Bookman Old Style" w:cs="Arial"/>
          <w:szCs w:val="24"/>
        </w:rPr>
        <w:t xml:space="preserve"> La presente resolución </w:t>
      </w:r>
      <w:bookmarkEnd w:id="0"/>
      <w:r w:rsidR="00B07482" w:rsidRPr="000C48DA">
        <w:rPr>
          <w:rFonts w:ascii="Bookman Old Style" w:hAnsi="Bookman Old Style" w:cs="Arial"/>
          <w:szCs w:val="24"/>
        </w:rPr>
        <w:t>modifica</w:t>
      </w:r>
      <w:r w:rsidR="00B91D31" w:rsidRPr="000C48DA">
        <w:rPr>
          <w:rFonts w:ascii="Bookman Old Style" w:hAnsi="Bookman Old Style" w:cs="Arial"/>
          <w:szCs w:val="24"/>
        </w:rPr>
        <w:t xml:space="preserve"> la Resolución CREG 004 de 2021</w:t>
      </w:r>
      <w:r w:rsidR="006528C8" w:rsidRPr="000C48DA">
        <w:rPr>
          <w:rFonts w:ascii="Bookman Old Style" w:hAnsi="Bookman Old Style" w:cs="Arial"/>
          <w:szCs w:val="24"/>
        </w:rPr>
        <w:t xml:space="preserve"> </w:t>
      </w:r>
      <w:r w:rsidR="00B07482" w:rsidRPr="000C48DA">
        <w:rPr>
          <w:rFonts w:ascii="Bookman Old Style" w:hAnsi="Bookman Old Style" w:cs="Arial"/>
          <w:szCs w:val="24"/>
        </w:rPr>
        <w:t>para</w:t>
      </w:r>
      <w:r w:rsidR="006528C8" w:rsidRPr="000C48DA">
        <w:rPr>
          <w:rFonts w:ascii="Bookman Old Style" w:hAnsi="Bookman Old Style" w:cs="Arial"/>
          <w:szCs w:val="24"/>
        </w:rPr>
        <w:t xml:space="preserve"> precisar</w:t>
      </w:r>
      <w:r w:rsidR="00B07482" w:rsidRPr="000C48DA">
        <w:rPr>
          <w:rFonts w:ascii="Bookman Old Style" w:hAnsi="Bookman Old Style" w:cs="Arial"/>
          <w:szCs w:val="24"/>
        </w:rPr>
        <w:t xml:space="preserve"> su objeto y </w:t>
      </w:r>
      <w:r w:rsidR="00E11AE5" w:rsidRPr="000C48DA">
        <w:rPr>
          <w:rFonts w:ascii="Bookman Old Style" w:hAnsi="Bookman Old Style" w:cs="Arial"/>
          <w:szCs w:val="24"/>
        </w:rPr>
        <w:t xml:space="preserve">realizar </w:t>
      </w:r>
      <w:r w:rsidR="00B07482" w:rsidRPr="000C48DA">
        <w:rPr>
          <w:rFonts w:ascii="Bookman Old Style" w:hAnsi="Bookman Old Style" w:cs="Arial"/>
          <w:szCs w:val="24"/>
        </w:rPr>
        <w:t>u</w:t>
      </w:r>
      <w:r w:rsidR="001C65A8" w:rsidRPr="000C48DA">
        <w:rPr>
          <w:rFonts w:ascii="Bookman Old Style" w:hAnsi="Bookman Old Style" w:cs="Arial"/>
          <w:szCs w:val="24"/>
        </w:rPr>
        <w:t>n ajuste de</w:t>
      </w:r>
      <w:r w:rsidR="00E11AE5" w:rsidRPr="000C48DA">
        <w:rPr>
          <w:rFonts w:ascii="Bookman Old Style" w:hAnsi="Bookman Old Style" w:cs="Arial"/>
          <w:szCs w:val="24"/>
        </w:rPr>
        <w:t xml:space="preserve"> algunos </w:t>
      </w:r>
      <w:r w:rsidR="001C65A8" w:rsidRPr="000C48DA">
        <w:rPr>
          <w:rFonts w:ascii="Bookman Old Style" w:hAnsi="Bookman Old Style" w:cs="Arial"/>
          <w:szCs w:val="24"/>
        </w:rPr>
        <w:t xml:space="preserve">indicadores </w:t>
      </w:r>
      <w:r w:rsidR="003F051B" w:rsidRPr="000C48DA">
        <w:rPr>
          <w:rFonts w:ascii="Bookman Old Style" w:hAnsi="Bookman Old Style" w:cs="Arial"/>
          <w:szCs w:val="24"/>
        </w:rPr>
        <w:t>que allí se utiliza</w:t>
      </w:r>
      <w:r w:rsidR="00E11AE5" w:rsidRPr="000C48DA">
        <w:rPr>
          <w:rFonts w:ascii="Bookman Old Style" w:hAnsi="Bookman Old Style" w:cs="Arial"/>
          <w:szCs w:val="24"/>
        </w:rPr>
        <w:t>n</w:t>
      </w:r>
      <w:r w:rsidR="003F051B" w:rsidRPr="000C48DA">
        <w:rPr>
          <w:rFonts w:ascii="Bookman Old Style" w:hAnsi="Bookman Old Style" w:cs="Arial"/>
          <w:szCs w:val="24"/>
        </w:rPr>
        <w:t>.</w:t>
      </w:r>
    </w:p>
    <w:p w14:paraId="6EAD6C9A" w14:textId="77777777" w:rsidR="007C0308" w:rsidRPr="000C48DA" w:rsidRDefault="007C0308" w:rsidP="000776BE">
      <w:pPr>
        <w:ind w:left="0"/>
        <w:jc w:val="both"/>
        <w:rPr>
          <w:rFonts w:ascii="Bookman Old Style" w:hAnsi="Bookman Old Style" w:cs="Arial"/>
        </w:rPr>
      </w:pPr>
      <w:bookmarkStart w:id="1" w:name="_Ref30434909"/>
    </w:p>
    <w:p w14:paraId="432D80E6" w14:textId="1D09F735" w:rsidR="00B50F0F" w:rsidRPr="000C48DA" w:rsidRDefault="00B50F0F" w:rsidP="000776BE">
      <w:pPr>
        <w:ind w:left="0"/>
        <w:jc w:val="both"/>
        <w:rPr>
          <w:rFonts w:ascii="Bookman Old Style" w:hAnsi="Bookman Old Style" w:cs="Arial"/>
        </w:rPr>
      </w:pPr>
      <w:r w:rsidRPr="000C48DA">
        <w:rPr>
          <w:rFonts w:ascii="Bookman Old Style" w:hAnsi="Bookman Old Style" w:cs="Arial"/>
          <w:b/>
          <w:bCs/>
        </w:rPr>
        <w:t>ARTÍCULO 2.</w:t>
      </w:r>
      <w:r w:rsidRPr="000C48DA">
        <w:rPr>
          <w:rFonts w:ascii="Bookman Old Style" w:hAnsi="Bookman Old Style" w:cs="Arial"/>
        </w:rPr>
        <w:t xml:space="preserve"> </w:t>
      </w:r>
      <w:r w:rsidRPr="000C48DA">
        <w:rPr>
          <w:rFonts w:ascii="Bookman Old Style" w:hAnsi="Bookman Old Style" w:cs="Arial"/>
          <w:bCs/>
        </w:rPr>
        <w:t>Modifíquese el artículo 1 de la Resolución CREG 004 de 2021 así:</w:t>
      </w:r>
    </w:p>
    <w:p w14:paraId="6F4EEFCD" w14:textId="4252780B" w:rsidR="00B50F0F" w:rsidRPr="000C48DA" w:rsidRDefault="00B50F0F" w:rsidP="000776BE">
      <w:pPr>
        <w:ind w:left="0"/>
        <w:jc w:val="both"/>
        <w:rPr>
          <w:rFonts w:ascii="Bookman Old Style" w:hAnsi="Bookman Old Style" w:cs="Arial"/>
        </w:rPr>
      </w:pPr>
    </w:p>
    <w:p w14:paraId="14C8713A" w14:textId="0DB3386F" w:rsidR="00B50F0F" w:rsidRPr="002E2722" w:rsidRDefault="00B50F0F" w:rsidP="003A26C0">
      <w:pPr>
        <w:pStyle w:val="Ttulo1"/>
        <w:ind w:left="284"/>
        <w:jc w:val="both"/>
        <w:rPr>
          <w:rFonts w:ascii="Bookman Old Style" w:hAnsi="Bookman Old Style" w:cs="Arial"/>
          <w:b w:val="0"/>
          <w:bCs/>
          <w:i/>
          <w:iCs/>
          <w:sz w:val="22"/>
          <w:szCs w:val="22"/>
        </w:rPr>
      </w:pPr>
      <w:r w:rsidRPr="002E2722">
        <w:rPr>
          <w:rFonts w:ascii="Bookman Old Style" w:hAnsi="Bookman Old Style" w:cs="Arial"/>
          <w:i/>
          <w:iCs/>
          <w:sz w:val="22"/>
          <w:szCs w:val="22"/>
        </w:rPr>
        <w:t>ARTÍCULO 1</w:t>
      </w:r>
      <w:r w:rsidRPr="002E2722">
        <w:rPr>
          <w:rFonts w:ascii="Bookman Old Style" w:hAnsi="Bookman Old Style" w:cs="Arial"/>
          <w:b w:val="0"/>
          <w:bCs/>
          <w:i/>
          <w:iCs/>
          <w:sz w:val="22"/>
          <w:szCs w:val="22"/>
        </w:rPr>
        <w:t>. Objeto. La presente resolución tiene como objeto establecer el procedimiento de cálculo de la tasa de descuento</w:t>
      </w:r>
      <w:r w:rsidR="0013746B" w:rsidRPr="002E2722">
        <w:rPr>
          <w:rFonts w:ascii="Bookman Old Style" w:hAnsi="Bookman Old Style" w:cs="Arial"/>
          <w:b w:val="0"/>
          <w:bCs/>
          <w:i/>
          <w:iCs/>
          <w:sz w:val="22"/>
          <w:szCs w:val="22"/>
        </w:rPr>
        <w:t xml:space="preserve"> o de rentabilidad</w:t>
      </w:r>
      <w:r w:rsidRPr="002E2722">
        <w:rPr>
          <w:rFonts w:ascii="Bookman Old Style" w:hAnsi="Bookman Old Style" w:cs="Arial"/>
          <w:b w:val="0"/>
          <w:bCs/>
          <w:i/>
          <w:iCs/>
          <w:sz w:val="22"/>
          <w:szCs w:val="22"/>
        </w:rPr>
        <w:t xml:space="preserve"> aplicable en las metodologías tarifarias que expide la Comisión de Regulación de Energía y Gas para las actividades que regula.</w:t>
      </w:r>
    </w:p>
    <w:p w14:paraId="7C851663" w14:textId="072C184A" w:rsidR="00B50F0F" w:rsidRPr="002E2722" w:rsidRDefault="00B50F0F" w:rsidP="000776BE">
      <w:pPr>
        <w:ind w:left="0"/>
        <w:jc w:val="both"/>
        <w:rPr>
          <w:rFonts w:ascii="Bookman Old Style" w:hAnsi="Bookman Old Style" w:cs="Arial"/>
          <w:sz w:val="28"/>
          <w:szCs w:val="28"/>
        </w:rPr>
      </w:pPr>
    </w:p>
    <w:p w14:paraId="14E354A3" w14:textId="5D8B6788" w:rsidR="00847699" w:rsidRPr="000C48DA" w:rsidRDefault="00847699" w:rsidP="00847699">
      <w:pPr>
        <w:pStyle w:val="Ttulo1"/>
        <w:ind w:left="0"/>
        <w:jc w:val="both"/>
        <w:rPr>
          <w:rFonts w:ascii="Bookman Old Style" w:hAnsi="Bookman Old Style" w:cs="Arial"/>
          <w:b w:val="0"/>
          <w:bCs/>
        </w:rPr>
      </w:pPr>
      <w:r w:rsidRPr="000C48DA">
        <w:rPr>
          <w:rFonts w:ascii="Bookman Old Style" w:hAnsi="Bookman Old Style" w:cs="Arial"/>
        </w:rPr>
        <w:t xml:space="preserve">ARTÍCULO 3. </w:t>
      </w:r>
      <w:r w:rsidRPr="000C48DA">
        <w:rPr>
          <w:rFonts w:ascii="Bookman Old Style" w:hAnsi="Bookman Old Style" w:cs="Arial"/>
          <w:b w:val="0"/>
          <w:bCs/>
        </w:rPr>
        <w:t xml:space="preserve">Modifíquese el parágrafo </w:t>
      </w:r>
      <w:r w:rsidR="00CA0B31" w:rsidRPr="000C48DA">
        <w:rPr>
          <w:rFonts w:ascii="Bookman Old Style" w:hAnsi="Bookman Old Style" w:cs="Arial"/>
          <w:b w:val="0"/>
          <w:bCs/>
        </w:rPr>
        <w:t>1</w:t>
      </w:r>
      <w:r w:rsidRPr="000C48DA">
        <w:rPr>
          <w:rFonts w:ascii="Bookman Old Style" w:hAnsi="Bookman Old Style" w:cs="Arial"/>
          <w:b w:val="0"/>
          <w:bCs/>
        </w:rPr>
        <w:t xml:space="preserve"> del artículo 2 de la Resolución CREG 004 de 2021</w:t>
      </w:r>
      <w:r w:rsidR="005770DC">
        <w:rPr>
          <w:rFonts w:ascii="Bookman Old Style" w:hAnsi="Bookman Old Style" w:cs="Arial"/>
          <w:b w:val="0"/>
          <w:bCs/>
        </w:rPr>
        <w:t>,</w:t>
      </w:r>
      <w:r w:rsidRPr="000C48DA">
        <w:rPr>
          <w:rFonts w:ascii="Bookman Old Style" w:hAnsi="Bookman Old Style" w:cs="Arial"/>
          <w:b w:val="0"/>
          <w:bCs/>
        </w:rPr>
        <w:t xml:space="preserve"> así:</w:t>
      </w:r>
    </w:p>
    <w:p w14:paraId="7032A5A9" w14:textId="77777777" w:rsidR="00847699" w:rsidRPr="000C48DA" w:rsidRDefault="00847699" w:rsidP="00847699">
      <w:pPr>
        <w:ind w:left="0"/>
        <w:jc w:val="both"/>
        <w:rPr>
          <w:rFonts w:ascii="Bookman Old Style" w:hAnsi="Bookman Old Style" w:cs="Arial"/>
          <w:lang w:val="es-CO"/>
        </w:rPr>
      </w:pPr>
    </w:p>
    <w:p w14:paraId="620A4A4A" w14:textId="306DE5EF" w:rsidR="00847699" w:rsidRPr="002E2722" w:rsidRDefault="00847699" w:rsidP="00847699">
      <w:pPr>
        <w:pStyle w:val="Ttulo2"/>
        <w:numPr>
          <w:ilvl w:val="0"/>
          <w:numId w:val="0"/>
        </w:numPr>
        <w:spacing w:line="240" w:lineRule="auto"/>
        <w:rPr>
          <w:rFonts w:ascii="Bookman Old Style" w:hAnsi="Bookman Old Style" w:cs="Arial"/>
          <w:b w:val="0"/>
          <w:i/>
          <w:iCs/>
          <w:sz w:val="22"/>
          <w:szCs w:val="22"/>
        </w:rPr>
      </w:pPr>
      <w:r w:rsidRPr="002E2722">
        <w:rPr>
          <w:rFonts w:ascii="Bookman Old Style" w:hAnsi="Bookman Old Style" w:cs="Arial"/>
          <w:i/>
          <w:iCs/>
          <w:sz w:val="22"/>
          <w:szCs w:val="22"/>
        </w:rPr>
        <w:t xml:space="preserve">Parágrafo 1. </w:t>
      </w:r>
      <w:r w:rsidRPr="002E2722">
        <w:rPr>
          <w:rFonts w:ascii="Bookman Old Style" w:hAnsi="Bookman Old Style" w:cs="Arial"/>
          <w:b w:val="0"/>
          <w:i/>
          <w:iCs/>
          <w:sz w:val="22"/>
          <w:szCs w:val="22"/>
        </w:rPr>
        <w:t xml:space="preserve">El costo promedio ponderado de capital en pesos corrientes y antes de impuestos (ai) para la actividad </w:t>
      </w:r>
      <m:oMath>
        <m:r>
          <m:rPr>
            <m:sty m:val="bi"/>
          </m:rPr>
          <w:rPr>
            <w:rFonts w:ascii="Cambria Math" w:hAnsi="Cambria Math" w:cs="Arial"/>
            <w:sz w:val="22"/>
            <w:szCs w:val="22"/>
          </w:rPr>
          <m:t>a</m:t>
        </m:r>
      </m:oMath>
      <w:r w:rsidRPr="002E2722">
        <w:rPr>
          <w:rFonts w:ascii="Bookman Old Style" w:hAnsi="Bookman Old Style" w:cs="Arial"/>
          <w:b w:val="0"/>
          <w:i/>
          <w:iCs/>
          <w:sz w:val="22"/>
          <w:szCs w:val="22"/>
        </w:rPr>
        <w:t xml:space="preserve">, en el momento </w:t>
      </w:r>
      <m:oMath>
        <m:r>
          <m:rPr>
            <m:sty m:val="bi"/>
          </m:rPr>
          <w:rPr>
            <w:rFonts w:ascii="Cambria Math" w:hAnsi="Cambria Math" w:cs="Arial"/>
            <w:sz w:val="22"/>
            <w:szCs w:val="22"/>
          </w:rPr>
          <m:t>τ</m:t>
        </m:r>
      </m:oMath>
      <w:r w:rsidRPr="002E2722">
        <w:rPr>
          <w:rFonts w:ascii="Bookman Old Style" w:hAnsi="Bookman Old Style" w:cs="Arial"/>
          <w:b w:val="0"/>
          <w:i/>
          <w:iCs/>
          <w:sz w:val="22"/>
          <w:szCs w:val="22"/>
        </w:rPr>
        <w:t>, está dado por la siguiente expresión:</w:t>
      </w:r>
    </w:p>
    <w:p w14:paraId="3FD0E980" w14:textId="77777777" w:rsidR="00847699" w:rsidRPr="000C48DA" w:rsidRDefault="00847699" w:rsidP="00847699">
      <w:pPr>
        <w:ind w:left="0"/>
        <w:contextualSpacing/>
        <w:jc w:val="both"/>
        <w:rPr>
          <w:rFonts w:ascii="Bookman Old Style" w:hAnsi="Bookman Old Style" w:cs="Arial"/>
          <w:i/>
          <w:iCs/>
          <w:sz w:val="20"/>
          <w:szCs w:val="20"/>
        </w:rPr>
      </w:pPr>
    </w:p>
    <w:p w14:paraId="4C9AAD90" w14:textId="79A7CFD5" w:rsidR="00847699" w:rsidRPr="002E2722" w:rsidRDefault="004205F4" w:rsidP="00847699">
      <w:pPr>
        <w:ind w:left="0"/>
        <w:contextualSpacing/>
        <w:jc w:val="both"/>
        <w:rPr>
          <w:rFonts w:ascii="Bookman Old Style" w:hAnsi="Bookman Old Style" w:cs="Arial"/>
          <w:i/>
          <w:iCs/>
          <w:sz w:val="22"/>
          <w:szCs w:val="22"/>
        </w:rPr>
      </w:pPr>
      <m:oMathPara>
        <m:oMath>
          <m:sSubSup>
            <m:sSubSupPr>
              <m:ctrlPr>
                <w:rPr>
                  <w:rFonts w:ascii="Cambria Math" w:hAnsi="Cambria Math" w:cs="Arial"/>
                  <w:i/>
                  <w:iCs/>
                  <w:color w:val="000000" w:themeColor="text1"/>
                  <w:kern w:val="24"/>
                  <w:sz w:val="22"/>
                  <w:szCs w:val="22"/>
                </w:rPr>
              </m:ctrlPr>
            </m:sSubSupPr>
            <m:e>
              <m:r>
                <w:rPr>
                  <w:rFonts w:ascii="Cambria Math" w:hAnsi="Cambria Math" w:cs="Arial"/>
                  <w:color w:val="000000" w:themeColor="text1"/>
                  <w:kern w:val="24"/>
                  <w:sz w:val="22"/>
                  <w:szCs w:val="22"/>
                </w:rPr>
                <m:t>WACC_cop</m:t>
              </m:r>
            </m:e>
            <m:sub>
              <m:r>
                <w:rPr>
                  <w:rFonts w:ascii="Cambria Math" w:hAnsi="Cambria Math" w:cs="Arial"/>
                  <w:color w:val="000000" w:themeColor="text1"/>
                  <w:kern w:val="24"/>
                  <w:sz w:val="22"/>
                  <w:szCs w:val="22"/>
                </w:rPr>
                <m:t>a,τ,ai</m:t>
              </m:r>
            </m:sub>
            <m:sup>
              <m:r>
                <w:rPr>
                  <w:rFonts w:ascii="Cambria Math" w:hAnsi="Cambria Math" w:cs="Arial"/>
                  <w:color w:val="000000" w:themeColor="text1"/>
                  <w:kern w:val="24"/>
                  <w:sz w:val="22"/>
                  <w:szCs w:val="22"/>
                </w:rPr>
                <m:t xml:space="preserve"> </m:t>
              </m:r>
            </m:sup>
          </m:sSubSup>
          <m:r>
            <w:rPr>
              <w:rFonts w:ascii="Cambria Math" w:hAnsi="Cambria Math" w:cs="Arial"/>
              <w:color w:val="000000" w:themeColor="text1"/>
              <w:kern w:val="24"/>
              <w:sz w:val="22"/>
              <w:szCs w:val="22"/>
            </w:rPr>
            <m:t>=</m:t>
          </m:r>
          <m:sSub>
            <m:sSubPr>
              <m:ctrlPr>
                <w:rPr>
                  <w:rFonts w:ascii="Cambria Math" w:eastAsia="Cambria Math" w:hAnsi="Cambria Math" w:cs="Arial"/>
                  <w:i/>
                  <w:iCs/>
                  <w:color w:val="000000" w:themeColor="text1"/>
                  <w:kern w:val="24"/>
                  <w:sz w:val="22"/>
                  <w:szCs w:val="22"/>
                </w:rPr>
              </m:ctrlPr>
            </m:sSubPr>
            <m:e>
              <m:r>
                <w:rPr>
                  <w:rFonts w:ascii="Cambria Math" w:eastAsia="Cambria Math" w:hAnsi="Cambria Math" w:cs="Arial"/>
                  <w:color w:val="000000" w:themeColor="text1"/>
                  <w:kern w:val="24"/>
                  <w:sz w:val="22"/>
                  <w:szCs w:val="22"/>
                </w:rPr>
                <m:t>Wd</m:t>
              </m:r>
            </m:e>
            <m:sub>
              <m:r>
                <w:rPr>
                  <w:rFonts w:ascii="Cambria Math" w:eastAsia="Cambria Math" w:hAnsi="Cambria Math" w:cs="Arial"/>
                  <w:color w:val="000000" w:themeColor="text1"/>
                  <w:kern w:val="24"/>
                  <w:sz w:val="22"/>
                  <w:szCs w:val="22"/>
                </w:rPr>
                <m:t xml:space="preserve"> a,τ</m:t>
              </m:r>
            </m:sub>
          </m:sSub>
          <m:r>
            <w:rPr>
              <w:rFonts w:ascii="Cambria Math" w:eastAsia="Cambria Math" w:hAnsi="Cambria Math" w:cs="Arial"/>
              <w:color w:val="000000" w:themeColor="text1"/>
              <w:kern w:val="24"/>
              <w:sz w:val="22"/>
              <w:szCs w:val="22"/>
            </w:rPr>
            <m:t>∙</m:t>
          </m:r>
          <m:sSub>
            <m:sSubPr>
              <m:ctrlPr>
                <w:rPr>
                  <w:rFonts w:ascii="Cambria Math" w:eastAsia="Cambria Math" w:hAnsi="Cambria Math" w:cs="Arial"/>
                  <w:i/>
                  <w:iCs/>
                  <w:color w:val="000000" w:themeColor="text1"/>
                  <w:kern w:val="24"/>
                  <w:sz w:val="22"/>
                  <w:szCs w:val="22"/>
                </w:rPr>
              </m:ctrlPr>
            </m:sSubPr>
            <m:e>
              <m:r>
                <w:rPr>
                  <w:rFonts w:ascii="Cambria Math" w:eastAsia="Cambria Math" w:hAnsi="Cambria Math" w:cs="Arial"/>
                  <w:color w:val="000000" w:themeColor="text1"/>
                  <w:kern w:val="24"/>
                  <w:sz w:val="22"/>
                  <w:szCs w:val="22"/>
                </w:rPr>
                <m:t>Kd_cop</m:t>
              </m:r>
            </m:e>
            <m:sub>
              <m:r>
                <w:rPr>
                  <w:rFonts w:ascii="Cambria Math" w:eastAsia="Cambria Math" w:hAnsi="Cambria Math" w:cs="Arial"/>
                  <w:color w:val="000000" w:themeColor="text1"/>
                  <w:kern w:val="24"/>
                  <w:sz w:val="22"/>
                  <w:szCs w:val="22"/>
                </w:rPr>
                <m:t>τ</m:t>
              </m:r>
            </m:sub>
          </m:sSub>
          <m:r>
            <w:rPr>
              <w:rFonts w:ascii="Cambria Math" w:eastAsia="Cambria Math" w:hAnsi="Cambria Math" w:cs="Arial"/>
              <w:color w:val="000000" w:themeColor="text1"/>
              <w:kern w:val="24"/>
              <w:sz w:val="22"/>
              <w:szCs w:val="22"/>
            </w:rPr>
            <m:t>+</m:t>
          </m:r>
          <m:sSub>
            <m:sSubPr>
              <m:ctrlPr>
                <w:rPr>
                  <w:rFonts w:ascii="Cambria Math" w:eastAsia="Cambria Math" w:hAnsi="Cambria Math" w:cs="Arial"/>
                  <w:i/>
                  <w:iCs/>
                  <w:color w:val="000000" w:themeColor="text1"/>
                  <w:kern w:val="24"/>
                  <w:sz w:val="22"/>
                  <w:szCs w:val="22"/>
                </w:rPr>
              </m:ctrlPr>
            </m:sSubPr>
            <m:e>
              <m:r>
                <w:rPr>
                  <w:rFonts w:ascii="Cambria Math" w:eastAsia="Cambria Math" w:hAnsi="Cambria Math" w:cs="Arial"/>
                  <w:color w:val="000000" w:themeColor="text1"/>
                  <w:kern w:val="24"/>
                  <w:sz w:val="22"/>
                  <w:szCs w:val="22"/>
                </w:rPr>
                <m:t>We</m:t>
              </m:r>
            </m:e>
            <m:sub>
              <m:r>
                <w:rPr>
                  <w:rFonts w:ascii="Cambria Math" w:eastAsia="Cambria Math" w:hAnsi="Cambria Math" w:cs="Arial"/>
                  <w:color w:val="000000" w:themeColor="text1"/>
                  <w:kern w:val="24"/>
                  <w:sz w:val="22"/>
                  <w:szCs w:val="22"/>
                </w:rPr>
                <m:t>a,τ</m:t>
              </m:r>
            </m:sub>
          </m:sSub>
          <m:r>
            <w:rPr>
              <w:rFonts w:ascii="Cambria Math" w:eastAsia="Cambria Math" w:hAnsi="Cambria Math" w:cs="Arial"/>
              <w:color w:val="000000" w:themeColor="text1"/>
              <w:kern w:val="24"/>
              <w:sz w:val="22"/>
              <w:szCs w:val="22"/>
            </w:rPr>
            <m:t>∙</m:t>
          </m:r>
          <m:f>
            <m:fPr>
              <m:ctrlPr>
                <w:rPr>
                  <w:rFonts w:ascii="Cambria Math" w:eastAsia="Cambria Math" w:hAnsi="Cambria Math" w:cs="Arial"/>
                  <w:i/>
                  <w:iCs/>
                  <w:color w:val="000000" w:themeColor="text1"/>
                  <w:kern w:val="24"/>
                  <w:sz w:val="22"/>
                  <w:szCs w:val="22"/>
                </w:rPr>
              </m:ctrlPr>
            </m:fPr>
            <m:num>
              <m:sSub>
                <m:sSubPr>
                  <m:ctrlPr>
                    <w:rPr>
                      <w:rFonts w:ascii="Cambria Math" w:eastAsia="Cambria Math" w:hAnsi="Cambria Math" w:cs="Arial"/>
                      <w:i/>
                      <w:iCs/>
                      <w:color w:val="000000" w:themeColor="text1"/>
                      <w:kern w:val="24"/>
                      <w:sz w:val="22"/>
                      <w:szCs w:val="22"/>
                    </w:rPr>
                  </m:ctrlPr>
                </m:sSubPr>
                <m:e>
                  <m:r>
                    <w:rPr>
                      <w:rFonts w:ascii="Cambria Math" w:eastAsia="Cambria Math" w:hAnsi="Cambria Math" w:cs="Arial"/>
                      <w:color w:val="000000" w:themeColor="text1"/>
                      <w:kern w:val="24"/>
                      <w:sz w:val="22"/>
                      <w:szCs w:val="22"/>
                    </w:rPr>
                    <m:t xml:space="preserve">Ke_cop </m:t>
                  </m:r>
                </m:e>
                <m:sub>
                  <m:r>
                    <w:rPr>
                      <w:rFonts w:ascii="Cambria Math" w:eastAsia="Cambria Math" w:hAnsi="Cambria Math" w:cs="Arial"/>
                      <w:color w:val="000000" w:themeColor="text1"/>
                      <w:kern w:val="24"/>
                      <w:sz w:val="22"/>
                      <w:szCs w:val="22"/>
                    </w:rPr>
                    <m:t>a,τ</m:t>
                  </m:r>
                </m:sub>
              </m:sSub>
            </m:num>
            <m:den>
              <m:r>
                <w:rPr>
                  <w:rFonts w:ascii="Cambria Math" w:eastAsia="Cambria Math" w:hAnsi="Cambria Math" w:cs="Arial"/>
                  <w:color w:val="000000" w:themeColor="text1"/>
                  <w:kern w:val="24"/>
                  <w:sz w:val="22"/>
                  <w:szCs w:val="22"/>
                </w:rPr>
                <m:t>1-Tx</m:t>
              </m:r>
            </m:den>
          </m:f>
        </m:oMath>
      </m:oMathPara>
    </w:p>
    <w:p w14:paraId="650153E3" w14:textId="77777777" w:rsidR="00847699" w:rsidRPr="000C48DA" w:rsidRDefault="00847699" w:rsidP="00847699">
      <w:pPr>
        <w:ind w:left="0"/>
        <w:contextualSpacing/>
        <w:jc w:val="both"/>
        <w:rPr>
          <w:rFonts w:ascii="Bookman Old Style" w:hAnsi="Bookman Old Style" w:cs="Arial"/>
          <w:i/>
          <w:iCs/>
          <w:sz w:val="20"/>
          <w:szCs w:val="20"/>
        </w:rPr>
      </w:pPr>
    </w:p>
    <w:p w14:paraId="7EFC1EDA" w14:textId="77777777" w:rsidR="00847699" w:rsidRPr="002E2722" w:rsidRDefault="00847699" w:rsidP="00847699">
      <w:pPr>
        <w:ind w:left="0"/>
        <w:contextualSpacing/>
        <w:jc w:val="both"/>
        <w:rPr>
          <w:rFonts w:ascii="Bookman Old Style" w:hAnsi="Bookman Old Style" w:cs="Arial"/>
          <w:i/>
          <w:iCs/>
          <w:sz w:val="22"/>
          <w:szCs w:val="22"/>
        </w:rPr>
      </w:pPr>
      <w:r w:rsidRPr="002E2722">
        <w:rPr>
          <w:rFonts w:ascii="Bookman Old Style" w:hAnsi="Bookman Old Style" w:cs="Arial"/>
          <w:i/>
          <w:iCs/>
          <w:sz w:val="22"/>
          <w:szCs w:val="22"/>
        </w:rPr>
        <w:lastRenderedPageBreak/>
        <w:t>donde,</w:t>
      </w:r>
    </w:p>
    <w:p w14:paraId="293886E9" w14:textId="77777777" w:rsidR="00847699" w:rsidRPr="002E2722" w:rsidRDefault="00847699" w:rsidP="00847699">
      <w:pPr>
        <w:ind w:left="0"/>
        <w:contextualSpacing/>
        <w:jc w:val="both"/>
        <w:rPr>
          <w:rFonts w:ascii="Bookman Old Style" w:hAnsi="Bookman Old Style" w:cs="Arial"/>
          <w:i/>
          <w:iCs/>
          <w:sz w:val="22"/>
          <w:szCs w:val="22"/>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5"/>
        <w:gridCol w:w="298"/>
        <w:gridCol w:w="7981"/>
      </w:tblGrid>
      <w:tr w:rsidR="00847699" w:rsidRPr="002E2722" w14:paraId="16168CB0" w14:textId="77777777" w:rsidTr="00CA65AC">
        <w:tc>
          <w:tcPr>
            <w:tcW w:w="1101" w:type="dxa"/>
          </w:tcPr>
          <w:p w14:paraId="789C59E7" w14:textId="7A016FAC" w:rsidR="00847699" w:rsidRPr="002E2722" w:rsidRDefault="004205F4" w:rsidP="00CA65AC">
            <w:pPr>
              <w:ind w:left="0"/>
              <w:rPr>
                <w:rFonts w:ascii="Bookman Old Style" w:hAnsi="Bookman Old Style"/>
                <w:b/>
                <w:i/>
                <w:iCs/>
                <w:sz w:val="22"/>
                <w:szCs w:val="22"/>
                <w:lang w:val="es-ES_tradnl"/>
              </w:rPr>
            </w:pPr>
            <m:oMathPara>
              <m:oMathParaPr>
                <m:jc m:val="left"/>
              </m:oMathParaPr>
              <m:oMath>
                <m:sSub>
                  <m:sSubPr>
                    <m:ctrlPr>
                      <w:rPr>
                        <w:rFonts w:ascii="Cambria Math" w:eastAsia="Cambria Math" w:hAnsi="Cambria Math" w:cstheme="minorBidi"/>
                        <w:b/>
                        <w:i/>
                        <w:iCs/>
                        <w:color w:val="000000" w:themeColor="text1"/>
                        <w:kern w:val="24"/>
                        <w:sz w:val="22"/>
                        <w:szCs w:val="22"/>
                      </w:rPr>
                    </m:ctrlPr>
                  </m:sSubPr>
                  <m:e>
                    <m:r>
                      <m:rPr>
                        <m:sty m:val="bi"/>
                      </m:rPr>
                      <w:rPr>
                        <w:rFonts w:ascii="Cambria Math" w:eastAsia="Cambria Math" w:hAnsi="Cambria Math" w:cstheme="minorBidi"/>
                        <w:color w:val="000000" w:themeColor="text1"/>
                        <w:kern w:val="24"/>
                        <w:sz w:val="22"/>
                        <w:szCs w:val="22"/>
                      </w:rPr>
                      <m:t>Wd</m:t>
                    </m:r>
                  </m:e>
                  <m:sub>
                    <m:r>
                      <m:rPr>
                        <m:sty m:val="bi"/>
                      </m:rPr>
                      <w:rPr>
                        <w:rFonts w:ascii="Cambria Math" w:eastAsia="Cambria Math" w:hAnsi="Cambria Math" w:cstheme="minorBidi"/>
                        <w:color w:val="000000" w:themeColor="text1"/>
                        <w:kern w:val="24"/>
                        <w:sz w:val="22"/>
                        <w:szCs w:val="22"/>
                      </w:rPr>
                      <m:t>a,τ</m:t>
                    </m:r>
                  </m:sub>
                </m:sSub>
              </m:oMath>
            </m:oMathPara>
          </w:p>
        </w:tc>
        <w:tc>
          <w:tcPr>
            <w:tcW w:w="298" w:type="dxa"/>
          </w:tcPr>
          <w:p w14:paraId="2131FB24" w14:textId="77777777" w:rsidR="00847699" w:rsidRPr="002E2722" w:rsidRDefault="00847699" w:rsidP="00CA65AC">
            <w:pPr>
              <w:ind w:left="0"/>
              <w:rPr>
                <w:rFonts w:ascii="Bookman Old Style" w:hAnsi="Bookman Old Style" w:cs="Arial"/>
                <w:b/>
                <w:i/>
                <w:iCs/>
                <w:sz w:val="22"/>
                <w:szCs w:val="22"/>
              </w:rPr>
            </w:pPr>
            <w:r w:rsidRPr="002E2722">
              <w:rPr>
                <w:rFonts w:ascii="Bookman Old Style" w:hAnsi="Bookman Old Style" w:cs="Arial"/>
                <w:b/>
                <w:i/>
                <w:iCs/>
                <w:sz w:val="22"/>
                <w:szCs w:val="22"/>
              </w:rPr>
              <w:t>:</w:t>
            </w:r>
          </w:p>
        </w:tc>
        <w:tc>
          <w:tcPr>
            <w:tcW w:w="8065" w:type="dxa"/>
            <w:vAlign w:val="center"/>
          </w:tcPr>
          <w:p w14:paraId="157C5040" w14:textId="662CD5D1" w:rsidR="00847699" w:rsidRPr="002E2722" w:rsidRDefault="00847699" w:rsidP="00CA65AC">
            <w:pPr>
              <w:ind w:left="0"/>
              <w:jc w:val="both"/>
              <w:rPr>
                <w:rFonts w:ascii="Bookman Old Style" w:hAnsi="Bookman Old Style" w:cs="Arial"/>
                <w:i/>
                <w:iCs/>
                <w:sz w:val="22"/>
                <w:szCs w:val="22"/>
              </w:rPr>
            </w:pPr>
            <w:r w:rsidRPr="002E2722">
              <w:rPr>
                <w:rFonts w:ascii="Bookman Old Style" w:hAnsi="Bookman Old Style" w:cs="Arial"/>
                <w:i/>
                <w:iCs/>
                <w:sz w:val="22"/>
                <w:szCs w:val="22"/>
              </w:rPr>
              <w:t xml:space="preserve">Ponderador para el costo de la deuda de la actividad a, expresado como la relación de la deuda sobre el capital total, en el momento </w:t>
            </w:r>
            <m:oMath>
              <m:r>
                <w:rPr>
                  <w:rFonts w:ascii="Cambria Math" w:eastAsia="Cambria Math" w:hAnsi="Cambria Math" w:cstheme="minorBidi"/>
                  <w:color w:val="000000" w:themeColor="text1"/>
                  <w:kern w:val="24"/>
                  <w:sz w:val="22"/>
                  <w:szCs w:val="22"/>
                </w:rPr>
                <m:t>τ</m:t>
              </m:r>
            </m:oMath>
            <w:r w:rsidRPr="002E2722">
              <w:rPr>
                <w:rFonts w:ascii="Bookman Old Style" w:hAnsi="Bookman Old Style" w:cs="Arial"/>
                <w:bCs/>
                <w:i/>
                <w:iCs/>
                <w:color w:val="000000" w:themeColor="text1"/>
                <w:kern w:val="24"/>
                <w:sz w:val="22"/>
                <w:szCs w:val="22"/>
              </w:rPr>
              <w:t xml:space="preserve">. </w:t>
            </w:r>
            <w:r w:rsidRPr="002E2722">
              <w:rPr>
                <w:rFonts w:ascii="Bookman Old Style" w:hAnsi="Bookman Old Style" w:cs="Arial"/>
                <w:i/>
                <w:iCs/>
                <w:sz w:val="22"/>
                <w:szCs w:val="22"/>
              </w:rPr>
              <w:t>El valor corresponderá al del último trimestre disponible en la fecha de cálculo, publicado por Duff &amp; Phelps en sus servicios de información, que considera la mediana</w:t>
            </w:r>
            <w:r w:rsidRPr="002E2722">
              <w:rPr>
                <w:rFonts w:ascii="Bookman Old Style" w:hAnsi="Bookman Old Style"/>
                <w:i/>
                <w:iCs/>
                <w:sz w:val="22"/>
                <w:szCs w:val="22"/>
              </w:rPr>
              <w:t xml:space="preserve"> </w:t>
            </w:r>
            <w:r w:rsidRPr="002E2722">
              <w:rPr>
                <w:rFonts w:ascii="Bookman Old Style" w:hAnsi="Bookman Old Style" w:cs="Arial"/>
                <w:i/>
                <w:iCs/>
                <w:sz w:val="22"/>
                <w:szCs w:val="22"/>
              </w:rPr>
              <w:t>del promedio de 5 años, para el código industrial de referencia (Global Industry Classification Standard - GICS Code</w:t>
            </w:r>
            <w:r w:rsidR="00B500AE" w:rsidRPr="002E2722">
              <w:rPr>
                <w:rFonts w:ascii="Bookman Old Style" w:hAnsi="Bookman Old Style" w:cs="Arial"/>
                <w:i/>
                <w:iCs/>
                <w:sz w:val="22"/>
                <w:szCs w:val="22"/>
              </w:rPr>
              <w:t xml:space="preserve"> o el que lo sustituya</w:t>
            </w:r>
            <w:r w:rsidRPr="002E2722">
              <w:rPr>
                <w:rFonts w:ascii="Bookman Old Style" w:hAnsi="Bookman Old Style" w:cs="Arial"/>
                <w:i/>
                <w:iCs/>
                <w:sz w:val="22"/>
                <w:szCs w:val="22"/>
              </w:rPr>
              <w:t>) correspondiente a la actividad a, el cual establecerá la Comisión en resolución aparte.</w:t>
            </w:r>
          </w:p>
          <w:p w14:paraId="5D1F5541" w14:textId="77777777" w:rsidR="00847699" w:rsidRPr="002E2722" w:rsidRDefault="00847699" w:rsidP="00CA65AC">
            <w:pPr>
              <w:ind w:left="0"/>
              <w:jc w:val="both"/>
              <w:rPr>
                <w:rFonts w:ascii="Bookman Old Style" w:hAnsi="Bookman Old Style"/>
                <w:i/>
                <w:iCs/>
                <w:sz w:val="22"/>
                <w:szCs w:val="22"/>
              </w:rPr>
            </w:pPr>
          </w:p>
        </w:tc>
      </w:tr>
      <w:tr w:rsidR="00847699" w:rsidRPr="002E2722" w14:paraId="6D97A306" w14:textId="77777777" w:rsidTr="00CA65AC">
        <w:tc>
          <w:tcPr>
            <w:tcW w:w="1101" w:type="dxa"/>
          </w:tcPr>
          <w:p w14:paraId="7A1FE8E4" w14:textId="10091DC5" w:rsidR="00847699" w:rsidRPr="002E2722" w:rsidRDefault="004205F4" w:rsidP="00CA65AC">
            <w:pPr>
              <w:ind w:left="0"/>
              <w:rPr>
                <w:rFonts w:ascii="Bookman Old Style" w:hAnsi="Bookman Old Style"/>
                <w:b/>
                <w:i/>
                <w:iCs/>
                <w:sz w:val="22"/>
                <w:szCs w:val="22"/>
                <w:lang w:val="es-ES_tradnl"/>
              </w:rPr>
            </w:pPr>
            <m:oMathPara>
              <m:oMathParaPr>
                <m:jc m:val="left"/>
              </m:oMathParaPr>
              <m:oMath>
                <m:sSub>
                  <m:sSubPr>
                    <m:ctrlPr>
                      <w:rPr>
                        <w:rFonts w:ascii="Cambria Math" w:eastAsia="Cambria Math" w:hAnsi="Cambria Math" w:cstheme="minorBidi"/>
                        <w:b/>
                        <w:i/>
                        <w:iCs/>
                        <w:color w:val="000000" w:themeColor="text1"/>
                        <w:kern w:val="24"/>
                        <w:sz w:val="22"/>
                        <w:szCs w:val="22"/>
                      </w:rPr>
                    </m:ctrlPr>
                  </m:sSubPr>
                  <m:e>
                    <m:r>
                      <m:rPr>
                        <m:sty m:val="bi"/>
                      </m:rPr>
                      <w:rPr>
                        <w:rFonts w:ascii="Cambria Math" w:eastAsia="Cambria Math" w:hAnsi="Cambria Math" w:cstheme="minorBidi"/>
                        <w:color w:val="000000" w:themeColor="text1"/>
                        <w:kern w:val="24"/>
                        <w:sz w:val="22"/>
                        <w:szCs w:val="22"/>
                      </w:rPr>
                      <m:t>We</m:t>
                    </m:r>
                  </m:e>
                  <m:sub>
                    <m:r>
                      <m:rPr>
                        <m:sty m:val="bi"/>
                      </m:rPr>
                      <w:rPr>
                        <w:rFonts w:ascii="Cambria Math" w:eastAsia="Cambria Math" w:hAnsi="Cambria Math" w:cstheme="minorBidi"/>
                        <w:color w:val="000000" w:themeColor="text1"/>
                        <w:kern w:val="24"/>
                        <w:sz w:val="22"/>
                        <w:szCs w:val="22"/>
                      </w:rPr>
                      <m:t>a,τ</m:t>
                    </m:r>
                  </m:sub>
                </m:sSub>
              </m:oMath>
            </m:oMathPara>
          </w:p>
        </w:tc>
        <w:tc>
          <w:tcPr>
            <w:tcW w:w="298" w:type="dxa"/>
          </w:tcPr>
          <w:p w14:paraId="3536726F" w14:textId="77777777" w:rsidR="00847699" w:rsidRPr="002E2722" w:rsidRDefault="00847699" w:rsidP="00CA65AC">
            <w:pPr>
              <w:ind w:left="0"/>
              <w:rPr>
                <w:rFonts w:ascii="Bookman Old Style" w:hAnsi="Bookman Old Style" w:cs="Arial"/>
                <w:b/>
                <w:i/>
                <w:iCs/>
                <w:sz w:val="22"/>
                <w:szCs w:val="22"/>
              </w:rPr>
            </w:pPr>
            <w:r w:rsidRPr="002E2722">
              <w:rPr>
                <w:rFonts w:ascii="Bookman Old Style" w:hAnsi="Bookman Old Style" w:cs="Arial"/>
                <w:b/>
                <w:i/>
                <w:iCs/>
                <w:sz w:val="22"/>
                <w:szCs w:val="22"/>
              </w:rPr>
              <w:t>:</w:t>
            </w:r>
          </w:p>
        </w:tc>
        <w:tc>
          <w:tcPr>
            <w:tcW w:w="8065" w:type="dxa"/>
            <w:vAlign w:val="center"/>
          </w:tcPr>
          <w:p w14:paraId="04D0CCB1" w14:textId="103BD307" w:rsidR="00847699" w:rsidRPr="002E2722" w:rsidRDefault="00847699" w:rsidP="00CA65AC">
            <w:pPr>
              <w:ind w:left="0"/>
              <w:jc w:val="both"/>
              <w:rPr>
                <w:rFonts w:ascii="Bookman Old Style" w:hAnsi="Bookman Old Style" w:cs="Arial"/>
                <w:i/>
                <w:iCs/>
                <w:color w:val="000000" w:themeColor="text1"/>
                <w:kern w:val="24"/>
                <w:sz w:val="22"/>
                <w:szCs w:val="22"/>
              </w:rPr>
            </w:pPr>
            <w:r w:rsidRPr="002E2722">
              <w:rPr>
                <w:rFonts w:ascii="Bookman Old Style" w:hAnsi="Bookman Old Style" w:cs="Arial"/>
                <w:i/>
                <w:iCs/>
                <w:sz w:val="22"/>
                <w:szCs w:val="22"/>
              </w:rPr>
              <w:t>Ponderador para el costo del capital propio (equity) de la actividad a, en el momento</w:t>
            </w:r>
            <m:oMath>
              <m:r>
                <w:rPr>
                  <w:rFonts w:ascii="Cambria Math" w:eastAsia="Cambria Math" w:hAnsi="Cambria Math" w:cstheme="minorBidi"/>
                  <w:color w:val="000000" w:themeColor="text1"/>
                  <w:kern w:val="24"/>
                  <w:sz w:val="22"/>
                  <w:szCs w:val="22"/>
                </w:rPr>
                <m:t xml:space="preserve"> τ</m:t>
              </m:r>
            </m:oMath>
            <w:r w:rsidRPr="002E2722">
              <w:rPr>
                <w:rFonts w:ascii="Bookman Old Style" w:hAnsi="Bookman Old Style" w:cs="Arial"/>
                <w:bCs/>
                <w:i/>
                <w:iCs/>
                <w:color w:val="000000" w:themeColor="text1"/>
                <w:kern w:val="24"/>
                <w:sz w:val="22"/>
                <w:szCs w:val="22"/>
              </w:rPr>
              <w:t>.</w:t>
            </w:r>
            <w:r w:rsidRPr="002E2722">
              <w:rPr>
                <w:rFonts w:ascii="Bookman Old Style" w:hAnsi="Bookman Old Style" w:cs="Arial"/>
                <w:i/>
                <w:iCs/>
                <w:sz w:val="22"/>
                <w:szCs w:val="22"/>
              </w:rPr>
              <w:t xml:space="preserve"> El valor aplicable resulta de utilizar la siguiente expresión: </w:t>
            </w:r>
            <m:oMath>
              <m:sSub>
                <m:sSubPr>
                  <m:ctrlPr>
                    <w:rPr>
                      <w:rFonts w:ascii="Cambria Math" w:eastAsia="Cambria Math" w:hAnsi="Cambria Math" w:cstheme="minorBidi"/>
                      <w:i/>
                      <w:iCs/>
                      <w:color w:val="000000" w:themeColor="text1"/>
                      <w:kern w:val="24"/>
                      <w:sz w:val="22"/>
                      <w:szCs w:val="22"/>
                    </w:rPr>
                  </m:ctrlPr>
                </m:sSubPr>
                <m:e>
                  <m:r>
                    <w:rPr>
                      <w:rFonts w:ascii="Cambria Math" w:eastAsia="Cambria Math" w:hAnsi="Cambria Math" w:cstheme="minorBidi"/>
                      <w:color w:val="000000" w:themeColor="text1"/>
                      <w:kern w:val="24"/>
                      <w:sz w:val="22"/>
                      <w:szCs w:val="22"/>
                    </w:rPr>
                    <m:t>We</m:t>
                  </m:r>
                </m:e>
                <m:sub>
                  <m:r>
                    <w:rPr>
                      <w:rFonts w:ascii="Cambria Math" w:eastAsia="Cambria Math" w:hAnsi="Cambria Math" w:cstheme="minorBidi"/>
                      <w:color w:val="000000" w:themeColor="text1"/>
                      <w:kern w:val="24"/>
                      <w:sz w:val="22"/>
                      <w:szCs w:val="22"/>
                    </w:rPr>
                    <m:t>a,τ</m:t>
                  </m:r>
                </m:sub>
              </m:sSub>
              <m:r>
                <w:rPr>
                  <w:rFonts w:ascii="Cambria Math" w:hAnsi="Cambria Math" w:cs="Arial"/>
                  <w:sz w:val="22"/>
                  <w:szCs w:val="22"/>
                </w:rPr>
                <m:t>=</m:t>
              </m:r>
              <m:r>
                <w:rPr>
                  <w:rFonts w:ascii="Cambria Math" w:eastAsiaTheme="minorEastAsia" w:hAnsi="Cambria Math"/>
                  <w:color w:val="000000" w:themeColor="text1"/>
                  <w:kern w:val="24"/>
                  <w:sz w:val="22"/>
                  <w:szCs w:val="22"/>
                </w:rPr>
                <m:t>1-</m:t>
              </m:r>
              <m:sSub>
                <m:sSubPr>
                  <m:ctrlPr>
                    <w:rPr>
                      <w:rFonts w:ascii="Cambria Math" w:eastAsia="Cambria Math" w:hAnsi="Cambria Math" w:cstheme="minorBidi"/>
                      <w:i/>
                      <w:iCs/>
                      <w:color w:val="000000" w:themeColor="text1"/>
                      <w:kern w:val="24"/>
                      <w:sz w:val="22"/>
                      <w:szCs w:val="22"/>
                    </w:rPr>
                  </m:ctrlPr>
                </m:sSubPr>
                <m:e>
                  <m:r>
                    <w:rPr>
                      <w:rFonts w:ascii="Cambria Math" w:eastAsia="Cambria Math" w:hAnsi="Cambria Math" w:cstheme="minorBidi"/>
                      <w:color w:val="000000" w:themeColor="text1"/>
                      <w:kern w:val="24"/>
                      <w:sz w:val="22"/>
                      <w:szCs w:val="22"/>
                    </w:rPr>
                    <m:t>Wd</m:t>
                  </m:r>
                </m:e>
                <m:sub>
                  <m:r>
                    <w:rPr>
                      <w:rFonts w:ascii="Cambria Math" w:eastAsia="Cambria Math" w:hAnsi="Cambria Math" w:cstheme="minorBidi"/>
                      <w:color w:val="000000" w:themeColor="text1"/>
                      <w:kern w:val="24"/>
                      <w:sz w:val="22"/>
                      <w:szCs w:val="22"/>
                    </w:rPr>
                    <m:t xml:space="preserve"> a,τ</m:t>
                  </m:r>
                </m:sub>
              </m:sSub>
            </m:oMath>
            <w:r w:rsidRPr="002E2722">
              <w:rPr>
                <w:rFonts w:ascii="Bookman Old Style" w:hAnsi="Bookman Old Style" w:cs="Arial"/>
                <w:i/>
                <w:iCs/>
                <w:color w:val="000000" w:themeColor="text1"/>
                <w:kern w:val="24"/>
                <w:sz w:val="22"/>
                <w:szCs w:val="22"/>
              </w:rPr>
              <w:t>.</w:t>
            </w:r>
          </w:p>
          <w:p w14:paraId="594956E6" w14:textId="77777777" w:rsidR="00847699" w:rsidRPr="002E2722" w:rsidRDefault="00847699" w:rsidP="00CA65AC">
            <w:pPr>
              <w:ind w:left="0"/>
              <w:jc w:val="both"/>
              <w:rPr>
                <w:rFonts w:ascii="Bookman Old Style" w:hAnsi="Bookman Old Style"/>
                <w:i/>
                <w:iCs/>
                <w:sz w:val="22"/>
                <w:szCs w:val="22"/>
                <w:lang w:val="es-ES_tradnl"/>
              </w:rPr>
            </w:pPr>
          </w:p>
        </w:tc>
      </w:tr>
      <w:tr w:rsidR="00847699" w:rsidRPr="002E2722" w14:paraId="7AD65D84" w14:textId="77777777" w:rsidTr="00CA65AC">
        <w:tc>
          <w:tcPr>
            <w:tcW w:w="1101" w:type="dxa"/>
          </w:tcPr>
          <w:p w14:paraId="6D56057A" w14:textId="7EF05C61" w:rsidR="00847699" w:rsidRPr="002E2722" w:rsidRDefault="004205F4" w:rsidP="00CA65AC">
            <w:pPr>
              <w:ind w:left="0"/>
              <w:rPr>
                <w:rFonts w:ascii="Bookman Old Style" w:hAnsi="Bookman Old Style"/>
                <w:b/>
                <w:i/>
                <w:iCs/>
                <w:sz w:val="22"/>
                <w:szCs w:val="22"/>
                <w:lang w:val="es-ES_tradnl"/>
              </w:rPr>
            </w:pPr>
            <m:oMathPara>
              <m:oMathParaPr>
                <m:jc m:val="left"/>
              </m:oMathParaPr>
              <m:oMath>
                <m:sSub>
                  <m:sSubPr>
                    <m:ctrlPr>
                      <w:rPr>
                        <w:rFonts w:ascii="Cambria Math" w:eastAsia="Cambria Math" w:hAnsi="Cambria Math" w:cs="Arial"/>
                        <w:b/>
                        <w:i/>
                        <w:iCs/>
                        <w:color w:val="000000" w:themeColor="text1"/>
                        <w:kern w:val="24"/>
                        <w:sz w:val="22"/>
                        <w:szCs w:val="22"/>
                      </w:rPr>
                    </m:ctrlPr>
                  </m:sSubPr>
                  <m:e>
                    <m:r>
                      <m:rPr>
                        <m:sty m:val="bi"/>
                      </m:rPr>
                      <w:rPr>
                        <w:rFonts w:ascii="Cambria Math" w:eastAsia="Cambria Math" w:hAnsi="Cambria Math" w:cs="Arial"/>
                        <w:color w:val="000000" w:themeColor="text1"/>
                        <w:kern w:val="24"/>
                        <w:sz w:val="22"/>
                        <w:szCs w:val="22"/>
                      </w:rPr>
                      <m:t>Kd_cop</m:t>
                    </m:r>
                  </m:e>
                  <m:sub>
                    <m:r>
                      <m:rPr>
                        <m:sty m:val="bi"/>
                      </m:rPr>
                      <w:rPr>
                        <w:rFonts w:ascii="Cambria Math" w:eastAsia="Cambria Math" w:hAnsi="Cambria Math" w:cs="Arial"/>
                        <w:color w:val="000000" w:themeColor="text1"/>
                        <w:kern w:val="24"/>
                        <w:sz w:val="22"/>
                        <w:szCs w:val="22"/>
                      </w:rPr>
                      <m:t>τ</m:t>
                    </m:r>
                  </m:sub>
                </m:sSub>
              </m:oMath>
            </m:oMathPara>
          </w:p>
        </w:tc>
        <w:tc>
          <w:tcPr>
            <w:tcW w:w="298" w:type="dxa"/>
          </w:tcPr>
          <w:p w14:paraId="181D1388" w14:textId="77777777" w:rsidR="00847699" w:rsidRPr="002E2722" w:rsidRDefault="00847699" w:rsidP="00CA65AC">
            <w:pPr>
              <w:ind w:left="0"/>
              <w:rPr>
                <w:rFonts w:ascii="Bookman Old Style" w:hAnsi="Bookman Old Style" w:cs="Arial"/>
                <w:b/>
                <w:i/>
                <w:iCs/>
                <w:sz w:val="22"/>
                <w:szCs w:val="22"/>
              </w:rPr>
            </w:pPr>
            <w:r w:rsidRPr="002E2722">
              <w:rPr>
                <w:rFonts w:ascii="Bookman Old Style" w:hAnsi="Bookman Old Style" w:cs="Arial"/>
                <w:b/>
                <w:i/>
                <w:iCs/>
                <w:sz w:val="22"/>
                <w:szCs w:val="22"/>
              </w:rPr>
              <w:t>:</w:t>
            </w:r>
          </w:p>
        </w:tc>
        <w:tc>
          <w:tcPr>
            <w:tcW w:w="8065" w:type="dxa"/>
            <w:vAlign w:val="center"/>
          </w:tcPr>
          <w:p w14:paraId="2E8305C6" w14:textId="4BC5910F" w:rsidR="00847699" w:rsidRPr="002E2722" w:rsidRDefault="00847699" w:rsidP="00CA65AC">
            <w:pPr>
              <w:ind w:left="0"/>
              <w:jc w:val="both"/>
              <w:rPr>
                <w:rFonts w:ascii="Bookman Old Style" w:hAnsi="Bookman Old Style" w:cs="Arial"/>
                <w:i/>
                <w:iCs/>
                <w:sz w:val="22"/>
                <w:szCs w:val="22"/>
              </w:rPr>
            </w:pPr>
            <w:r w:rsidRPr="002E2722">
              <w:rPr>
                <w:rFonts w:ascii="Bookman Old Style" w:hAnsi="Bookman Old Style" w:cs="Arial"/>
                <w:i/>
                <w:iCs/>
                <w:sz w:val="22"/>
                <w:szCs w:val="22"/>
              </w:rPr>
              <w:t xml:space="preserve">Costo de la deuda en pesos corrientes en el momento </w:t>
            </w:r>
            <m:oMath>
              <m:r>
                <w:rPr>
                  <w:rFonts w:ascii="Cambria Math" w:hAnsi="Cambria Math" w:cs="Arial"/>
                  <w:sz w:val="22"/>
                  <w:szCs w:val="22"/>
                </w:rPr>
                <m:t>τ</m:t>
              </m:r>
            </m:oMath>
            <w:r w:rsidRPr="002E2722">
              <w:rPr>
                <w:rFonts w:ascii="Bookman Old Style" w:hAnsi="Bookman Old Style" w:cs="Arial"/>
                <w:i/>
                <w:iCs/>
                <w:sz w:val="22"/>
                <w:szCs w:val="22"/>
              </w:rPr>
              <w:t>. Corresponde al promedio, ponderado por monto de colocación y conforme al método de suma de dígitos, de las tasas de colocación de créditos comerciales (preferencial o corporativo), a más de 1825 días, del total de establecimientos (no incluye las tasas de las entidades financieras especiales excepto el Fondo Nacional de Ahorro), de los sesenta (60) meses anteriores. La información para efectuar el cálculo es publicada por el Banco de la República con base en la información del formato 088 de la Superintendencia Financiera de Colombia.</w:t>
            </w:r>
          </w:p>
          <w:p w14:paraId="73814DB3" w14:textId="77777777" w:rsidR="00847699" w:rsidRPr="002E2722" w:rsidRDefault="00847699" w:rsidP="00CA65AC">
            <w:pPr>
              <w:ind w:left="0"/>
              <w:contextualSpacing/>
              <w:jc w:val="both"/>
              <w:rPr>
                <w:rFonts w:ascii="Bookman Old Style" w:hAnsi="Bookman Old Style"/>
                <w:i/>
                <w:iCs/>
                <w:sz w:val="22"/>
                <w:szCs w:val="22"/>
                <w:lang w:val="es-ES_tradnl"/>
              </w:rPr>
            </w:pPr>
          </w:p>
          <w:p w14:paraId="428EC4E3" w14:textId="6E510AE5" w:rsidR="00847699" w:rsidRPr="002E2722" w:rsidRDefault="00847699" w:rsidP="00CA65AC">
            <w:pPr>
              <w:ind w:left="0"/>
              <w:contextualSpacing/>
              <w:jc w:val="both"/>
              <w:rPr>
                <w:rFonts w:ascii="Bookman Old Style" w:hAnsi="Bookman Old Style"/>
                <w:i/>
                <w:iCs/>
                <w:sz w:val="22"/>
                <w:szCs w:val="22"/>
                <w:lang w:val="es-ES_tradnl"/>
              </w:rPr>
            </w:pPr>
            <w:r w:rsidRPr="002E2722">
              <w:rPr>
                <w:rFonts w:ascii="Bookman Old Style" w:hAnsi="Bookman Old Style"/>
                <w:i/>
                <w:iCs/>
                <w:sz w:val="22"/>
                <w:szCs w:val="22"/>
                <w:lang w:val="es-ES_tradnl"/>
              </w:rPr>
              <w:t xml:space="preserve">El valor correspondiente a </w:t>
            </w:r>
            <m:oMath>
              <m:sSub>
                <m:sSubPr>
                  <m:ctrlPr>
                    <w:rPr>
                      <w:rFonts w:ascii="Cambria Math" w:eastAsia="Cambria Math" w:hAnsi="Cambria Math" w:cs="Arial"/>
                      <w:bCs/>
                      <w:i/>
                      <w:iCs/>
                      <w:color w:val="000000" w:themeColor="text1"/>
                      <w:kern w:val="24"/>
                      <w:sz w:val="22"/>
                      <w:szCs w:val="22"/>
                    </w:rPr>
                  </m:ctrlPr>
                </m:sSubPr>
                <m:e>
                  <m:r>
                    <w:rPr>
                      <w:rFonts w:ascii="Cambria Math" w:eastAsia="Cambria Math" w:hAnsi="Cambria Math" w:cs="Arial"/>
                      <w:color w:val="000000" w:themeColor="text1"/>
                      <w:kern w:val="24"/>
                      <w:sz w:val="22"/>
                      <w:szCs w:val="22"/>
                    </w:rPr>
                    <m:t>Kd_cop</m:t>
                  </m:r>
                </m:e>
                <m:sub>
                  <m:r>
                    <w:rPr>
                      <w:rFonts w:ascii="Cambria Math" w:eastAsia="Cambria Math" w:hAnsi="Cambria Math" w:cs="Arial"/>
                      <w:color w:val="000000" w:themeColor="text1"/>
                      <w:kern w:val="24"/>
                      <w:sz w:val="22"/>
                      <w:szCs w:val="22"/>
                    </w:rPr>
                    <m:t>τ</m:t>
                  </m:r>
                </m:sub>
              </m:sSub>
            </m:oMath>
            <w:r w:rsidRPr="002E2722">
              <w:rPr>
                <w:rFonts w:ascii="Bookman Old Style" w:hAnsi="Bookman Old Style"/>
                <w:i/>
                <w:iCs/>
                <w:sz w:val="22"/>
                <w:szCs w:val="22"/>
                <w:lang w:val="es-ES_tradnl"/>
              </w:rPr>
              <w:t xml:space="preserve"> se obtiene mediante la siguiente expresión:</w:t>
            </w:r>
          </w:p>
          <w:p w14:paraId="7A2411DA" w14:textId="77777777" w:rsidR="00847699" w:rsidRPr="002E2722" w:rsidRDefault="00847699" w:rsidP="00CA65AC">
            <w:pPr>
              <w:ind w:left="0"/>
              <w:jc w:val="both"/>
              <w:rPr>
                <w:rFonts w:ascii="Bookman Old Style" w:hAnsi="Bookman Old Style" w:cs="Arial"/>
                <w:i/>
                <w:iCs/>
                <w:sz w:val="22"/>
                <w:szCs w:val="22"/>
              </w:rPr>
            </w:pPr>
          </w:p>
          <w:p w14:paraId="54CDCCC8" w14:textId="03C69322" w:rsidR="00847699" w:rsidRPr="002E2722" w:rsidRDefault="004205F4" w:rsidP="00CA65AC">
            <w:pPr>
              <w:ind w:left="0"/>
              <w:jc w:val="both"/>
              <w:rPr>
                <w:rFonts w:ascii="Bookman Old Style" w:hAnsi="Bookman Old Style" w:cs="Arial"/>
                <w:i/>
                <w:iCs/>
                <w:sz w:val="22"/>
                <w:szCs w:val="22"/>
              </w:rPr>
            </w:pPr>
            <m:oMathPara>
              <m:oMath>
                <m:sSub>
                  <m:sSubPr>
                    <m:ctrlPr>
                      <w:rPr>
                        <w:rFonts w:ascii="Cambria Math" w:hAnsi="Cambria Math"/>
                        <w:i/>
                        <w:iCs/>
                        <w:sz w:val="22"/>
                        <w:szCs w:val="22"/>
                        <w:lang w:val="es-ES_tradnl"/>
                      </w:rPr>
                    </m:ctrlPr>
                  </m:sSubPr>
                  <m:e>
                    <m:r>
                      <w:rPr>
                        <w:rFonts w:ascii="Cambria Math" w:hAnsi="Cambria Math"/>
                        <w:sz w:val="22"/>
                        <w:szCs w:val="22"/>
                        <w:lang w:val="es-ES_tradnl"/>
                      </w:rPr>
                      <m:t>Kd_cop</m:t>
                    </m:r>
                  </m:e>
                  <m:sub>
                    <m:r>
                      <w:rPr>
                        <w:rFonts w:ascii="Cambria Math" w:hAnsi="Cambria Math"/>
                        <w:sz w:val="22"/>
                        <w:szCs w:val="22"/>
                        <w:lang w:val="es-ES_tradnl"/>
                      </w:rPr>
                      <m:t>τ</m:t>
                    </m:r>
                  </m:sub>
                </m:sSub>
                <m:r>
                  <w:rPr>
                    <w:rFonts w:ascii="Cambria Math" w:hAnsi="Cambria Math" w:cs="Arial"/>
                    <w:sz w:val="22"/>
                    <w:szCs w:val="22"/>
                  </w:rPr>
                  <m:t>=</m:t>
                </m:r>
                <m:nary>
                  <m:naryPr>
                    <m:chr m:val="∑"/>
                    <m:limLoc m:val="undOvr"/>
                    <m:ctrlPr>
                      <w:rPr>
                        <w:rFonts w:ascii="Cambria Math" w:hAnsi="Cambria Math" w:cs="Arial"/>
                        <w:i/>
                        <w:iCs/>
                        <w:sz w:val="22"/>
                        <w:szCs w:val="22"/>
                      </w:rPr>
                    </m:ctrlPr>
                  </m:naryPr>
                  <m:sub>
                    <m:r>
                      <w:rPr>
                        <w:rFonts w:ascii="Cambria Math" w:hAnsi="Cambria Math" w:cs="Arial"/>
                        <w:sz w:val="22"/>
                        <w:szCs w:val="22"/>
                      </w:rPr>
                      <m:t>i=-n</m:t>
                    </m:r>
                  </m:sub>
                  <m:sup>
                    <m:r>
                      <w:rPr>
                        <w:rFonts w:ascii="Cambria Math" w:hAnsi="Cambria Math" w:cs="Arial"/>
                        <w:sz w:val="22"/>
                        <w:szCs w:val="22"/>
                      </w:rPr>
                      <m:t>-1</m:t>
                    </m:r>
                  </m:sup>
                  <m:e>
                    <m:d>
                      <m:dPr>
                        <m:begChr m:val="["/>
                        <m:endChr m:val="]"/>
                        <m:ctrlPr>
                          <w:rPr>
                            <w:rFonts w:ascii="Cambria Math" w:hAnsi="Cambria Math" w:cs="Arial"/>
                            <w:i/>
                            <w:iCs/>
                            <w:sz w:val="22"/>
                            <w:szCs w:val="22"/>
                          </w:rPr>
                        </m:ctrlPr>
                      </m:dPr>
                      <m:e>
                        <m:d>
                          <m:dPr>
                            <m:ctrlPr>
                              <w:rPr>
                                <w:rFonts w:ascii="Cambria Math" w:hAnsi="Cambria Math" w:cs="Arial"/>
                                <w:i/>
                                <w:iCs/>
                                <w:sz w:val="22"/>
                                <w:szCs w:val="22"/>
                              </w:rPr>
                            </m:ctrlPr>
                          </m:dPr>
                          <m:e>
                            <m:f>
                              <m:fPr>
                                <m:ctrlPr>
                                  <w:rPr>
                                    <w:rFonts w:ascii="Cambria Math" w:hAnsi="Cambria Math" w:cs="Arial"/>
                                    <w:i/>
                                    <w:iCs/>
                                    <w:sz w:val="22"/>
                                    <w:szCs w:val="22"/>
                                  </w:rPr>
                                </m:ctrlPr>
                              </m:fPr>
                              <m:num>
                                <m:r>
                                  <w:rPr>
                                    <w:rFonts w:ascii="Cambria Math" w:hAnsi="Cambria Math" w:cs="Arial"/>
                                    <w:sz w:val="22"/>
                                    <w:szCs w:val="22"/>
                                  </w:rPr>
                                  <m:t>(n+1)+i</m:t>
                                </m:r>
                              </m:num>
                              <m:den>
                                <m:f>
                                  <m:fPr>
                                    <m:type m:val="lin"/>
                                    <m:ctrlPr>
                                      <w:rPr>
                                        <w:rFonts w:ascii="Cambria Math" w:hAnsi="Cambria Math" w:cs="Arial"/>
                                        <w:i/>
                                        <w:iCs/>
                                        <w:sz w:val="22"/>
                                        <w:szCs w:val="22"/>
                                      </w:rPr>
                                    </m:ctrlPr>
                                  </m:fPr>
                                  <m:num>
                                    <m:r>
                                      <w:rPr>
                                        <w:rFonts w:ascii="Cambria Math" w:hAnsi="Cambria Math" w:cs="Arial"/>
                                        <w:sz w:val="22"/>
                                        <w:szCs w:val="22"/>
                                      </w:rPr>
                                      <m:t>n</m:t>
                                    </m:r>
                                    <m:d>
                                      <m:dPr>
                                        <m:ctrlPr>
                                          <w:rPr>
                                            <w:rFonts w:ascii="Cambria Math" w:hAnsi="Cambria Math" w:cs="Arial"/>
                                            <w:i/>
                                            <w:iCs/>
                                            <w:sz w:val="22"/>
                                            <w:szCs w:val="22"/>
                                          </w:rPr>
                                        </m:ctrlPr>
                                      </m:dPr>
                                      <m:e>
                                        <m:r>
                                          <w:rPr>
                                            <w:rFonts w:ascii="Cambria Math" w:hAnsi="Cambria Math" w:cs="Arial"/>
                                            <w:sz w:val="22"/>
                                            <w:szCs w:val="22"/>
                                          </w:rPr>
                                          <m:t>n+1</m:t>
                                        </m:r>
                                      </m:e>
                                    </m:d>
                                  </m:num>
                                  <m:den>
                                    <m:r>
                                      <w:rPr>
                                        <w:rFonts w:ascii="Cambria Math" w:hAnsi="Cambria Math" w:cs="Arial"/>
                                        <w:sz w:val="22"/>
                                        <w:szCs w:val="22"/>
                                      </w:rPr>
                                      <m:t>2</m:t>
                                    </m:r>
                                  </m:den>
                                </m:f>
                              </m:den>
                            </m:f>
                            <m:r>
                              <w:rPr>
                                <w:rFonts w:ascii="Cambria Math" w:hAnsi="Cambria Math" w:cs="Arial"/>
                                <w:sz w:val="22"/>
                                <w:szCs w:val="22"/>
                              </w:rPr>
                              <m:t>+</m:t>
                            </m:r>
                            <m:f>
                              <m:fPr>
                                <m:ctrlPr>
                                  <w:rPr>
                                    <w:rFonts w:ascii="Cambria Math" w:hAnsi="Cambria Math" w:cs="Arial"/>
                                    <w:i/>
                                    <w:iCs/>
                                    <w:sz w:val="22"/>
                                    <w:szCs w:val="22"/>
                                  </w:rPr>
                                </m:ctrlPr>
                              </m:fPr>
                              <m:num>
                                <m:r>
                                  <w:rPr>
                                    <w:rFonts w:ascii="Cambria Math" w:hAnsi="Cambria Math" w:cs="Arial"/>
                                    <w:sz w:val="22"/>
                                    <w:szCs w:val="22"/>
                                  </w:rPr>
                                  <m:t>Mont</m:t>
                                </m:r>
                                <m:sSub>
                                  <m:sSubPr>
                                    <m:ctrlPr>
                                      <w:rPr>
                                        <w:rFonts w:ascii="Cambria Math" w:hAnsi="Cambria Math" w:cs="Arial"/>
                                        <w:i/>
                                        <w:iCs/>
                                        <w:sz w:val="22"/>
                                        <w:szCs w:val="22"/>
                                      </w:rPr>
                                    </m:ctrlPr>
                                  </m:sSubPr>
                                  <m:e>
                                    <m:r>
                                      <w:rPr>
                                        <w:rFonts w:ascii="Cambria Math" w:hAnsi="Cambria Math" w:cs="Arial"/>
                                        <w:sz w:val="22"/>
                                        <w:szCs w:val="22"/>
                                      </w:rPr>
                                      <m:t>o</m:t>
                                    </m:r>
                                  </m:e>
                                  <m:sub>
                                    <m:r>
                                      <w:rPr>
                                        <w:rFonts w:ascii="Cambria Math" w:hAnsi="Cambria Math" w:cs="Arial"/>
                                        <w:sz w:val="22"/>
                                        <w:szCs w:val="22"/>
                                      </w:rPr>
                                      <m:t>i</m:t>
                                    </m:r>
                                  </m:sub>
                                </m:sSub>
                              </m:num>
                              <m:den>
                                <m:r>
                                  <w:rPr>
                                    <w:rFonts w:ascii="Cambria Math" w:hAnsi="Cambria Math" w:cs="Arial"/>
                                    <w:sz w:val="22"/>
                                    <w:szCs w:val="22"/>
                                  </w:rPr>
                                  <m:t>Monto_Total</m:t>
                                </m:r>
                              </m:den>
                            </m:f>
                          </m:e>
                        </m:d>
                        <m:r>
                          <w:rPr>
                            <w:rFonts w:ascii="Cambria Math" w:hAnsi="Cambria Math" w:cs="Arial"/>
                            <w:sz w:val="22"/>
                            <w:szCs w:val="22"/>
                          </w:rPr>
                          <m:t>∙</m:t>
                        </m:r>
                        <m:f>
                          <m:fPr>
                            <m:ctrlPr>
                              <w:rPr>
                                <w:rFonts w:ascii="Cambria Math" w:hAnsi="Cambria Math"/>
                                <w:i/>
                                <w:iCs/>
                                <w:sz w:val="22"/>
                                <w:szCs w:val="22"/>
                                <w:lang w:val="es-ES_tradnl"/>
                              </w:rPr>
                            </m:ctrlPr>
                          </m:fPr>
                          <m:num>
                            <m:sSub>
                              <m:sSubPr>
                                <m:ctrlPr>
                                  <w:rPr>
                                    <w:rFonts w:ascii="Cambria Math" w:hAnsi="Cambria Math"/>
                                    <w:i/>
                                    <w:iCs/>
                                    <w:sz w:val="22"/>
                                    <w:szCs w:val="22"/>
                                    <w:lang w:val="es-ES_tradnl"/>
                                  </w:rPr>
                                </m:ctrlPr>
                              </m:sSubPr>
                              <m:e>
                                <m:r>
                                  <w:rPr>
                                    <w:rFonts w:ascii="Cambria Math" w:hAnsi="Cambria Math"/>
                                    <w:sz w:val="22"/>
                                    <w:szCs w:val="22"/>
                                    <w:lang w:val="es-ES_tradnl"/>
                                  </w:rPr>
                                  <m:t>Kd_cop</m:t>
                                </m:r>
                              </m:e>
                              <m:sub>
                                <m:r>
                                  <w:rPr>
                                    <w:rFonts w:ascii="Cambria Math" w:hAnsi="Cambria Math"/>
                                    <w:sz w:val="22"/>
                                    <w:szCs w:val="22"/>
                                    <w:lang w:val="es-ES_tradnl"/>
                                  </w:rPr>
                                  <m:t>i</m:t>
                                </m:r>
                              </m:sub>
                            </m:sSub>
                          </m:num>
                          <m:den>
                            <m:r>
                              <w:rPr>
                                <w:rFonts w:ascii="Cambria Math" w:hAnsi="Cambria Math"/>
                                <w:sz w:val="22"/>
                                <w:szCs w:val="22"/>
                                <w:lang w:val="es-ES_tradnl"/>
                              </w:rPr>
                              <m:t>2</m:t>
                            </m:r>
                          </m:den>
                        </m:f>
                      </m:e>
                    </m:d>
                  </m:e>
                </m:nary>
              </m:oMath>
            </m:oMathPara>
          </w:p>
          <w:p w14:paraId="763606C5" w14:textId="77777777" w:rsidR="00847699" w:rsidRPr="002E2722" w:rsidRDefault="00847699" w:rsidP="00CA65AC">
            <w:pPr>
              <w:ind w:left="0"/>
              <w:jc w:val="both"/>
              <w:rPr>
                <w:rFonts w:ascii="Bookman Old Style" w:hAnsi="Bookman Old Style" w:cs="Arial"/>
                <w:i/>
                <w:iCs/>
                <w:sz w:val="22"/>
                <w:szCs w:val="22"/>
              </w:rPr>
            </w:pPr>
          </w:p>
          <w:p w14:paraId="11AEA5E9" w14:textId="524E8ED9" w:rsidR="00847699" w:rsidRPr="002E2722" w:rsidRDefault="00847699" w:rsidP="00CA65AC">
            <w:pPr>
              <w:ind w:left="0"/>
              <w:contextualSpacing/>
              <w:jc w:val="both"/>
              <w:rPr>
                <w:rFonts w:ascii="Bookman Old Style" w:hAnsi="Bookman Old Style" w:cs="Arial"/>
                <w:i/>
                <w:iCs/>
                <w:sz w:val="22"/>
                <w:szCs w:val="22"/>
              </w:rPr>
            </w:pPr>
            <w:r w:rsidRPr="002E2722">
              <w:rPr>
                <w:rFonts w:ascii="Bookman Old Style" w:hAnsi="Bookman Old Style" w:cs="Arial"/>
                <w:i/>
                <w:iCs/>
                <w:sz w:val="22"/>
                <w:szCs w:val="22"/>
              </w:rPr>
              <w:t xml:space="preserve">En donde </w:t>
            </w:r>
            <w:r w:rsidRPr="002E2722">
              <w:rPr>
                <w:rFonts w:ascii="Bookman Old Style" w:hAnsi="Bookman Old Style"/>
                <w:i/>
                <w:iCs/>
                <w:sz w:val="22"/>
                <w:szCs w:val="22"/>
                <w:lang w:val="es-ES_tradnl"/>
              </w:rPr>
              <w:t xml:space="preserve">i es cada uno de los meses para los que existe información, </w:t>
            </w:r>
            <m:oMath>
              <m:sSub>
                <m:sSubPr>
                  <m:ctrlPr>
                    <w:rPr>
                      <w:rFonts w:ascii="Cambria Math" w:hAnsi="Cambria Math"/>
                      <w:i/>
                      <w:iCs/>
                      <w:sz w:val="22"/>
                      <w:szCs w:val="22"/>
                      <w:lang w:val="es-ES_tradnl"/>
                    </w:rPr>
                  </m:ctrlPr>
                </m:sSubPr>
                <m:e>
                  <m:r>
                    <w:rPr>
                      <w:rFonts w:ascii="Cambria Math" w:hAnsi="Cambria Math"/>
                      <w:sz w:val="22"/>
                      <w:szCs w:val="22"/>
                      <w:lang w:val="es-ES_tradnl"/>
                    </w:rPr>
                    <m:t>Kd_cop</m:t>
                  </m:r>
                </m:e>
                <m:sub>
                  <m:r>
                    <w:rPr>
                      <w:rFonts w:ascii="Cambria Math" w:hAnsi="Cambria Math"/>
                      <w:sz w:val="22"/>
                      <w:szCs w:val="22"/>
                      <w:lang w:val="es-ES_tradnl"/>
                    </w:rPr>
                    <m:t>i</m:t>
                  </m:r>
                </m:sub>
              </m:sSub>
            </m:oMath>
            <w:r w:rsidRPr="002E2722">
              <w:rPr>
                <w:rFonts w:ascii="Bookman Old Style" w:hAnsi="Bookman Old Style"/>
                <w:i/>
                <w:iCs/>
                <w:sz w:val="22"/>
                <w:szCs w:val="22"/>
                <w:lang w:val="es-ES_tradnl"/>
              </w:rPr>
              <w:t xml:space="preserve"> es la tasa de colocación del mes i, </w:t>
            </w:r>
            <w:r w:rsidRPr="002E2722">
              <w:rPr>
                <w:rFonts w:ascii="Bookman Old Style" w:hAnsi="Bookman Old Style" w:cs="Arial"/>
                <w:i/>
                <w:iCs/>
                <w:sz w:val="22"/>
                <w:szCs w:val="22"/>
              </w:rPr>
              <w:t xml:space="preserve">n es el número de meses para los que existe información disponible, </w:t>
            </w:r>
            <m:oMath>
              <m:r>
                <w:rPr>
                  <w:rFonts w:ascii="Cambria Math" w:hAnsi="Cambria Math" w:cs="Arial"/>
                  <w:sz w:val="22"/>
                  <w:szCs w:val="22"/>
                </w:rPr>
                <m:t>Mont</m:t>
              </m:r>
              <m:sSub>
                <m:sSubPr>
                  <m:ctrlPr>
                    <w:rPr>
                      <w:rFonts w:ascii="Cambria Math" w:hAnsi="Cambria Math" w:cs="Arial"/>
                      <w:i/>
                      <w:iCs/>
                      <w:sz w:val="22"/>
                      <w:szCs w:val="22"/>
                    </w:rPr>
                  </m:ctrlPr>
                </m:sSubPr>
                <m:e>
                  <m:r>
                    <w:rPr>
                      <w:rFonts w:ascii="Cambria Math" w:hAnsi="Cambria Math" w:cs="Arial"/>
                      <w:sz w:val="22"/>
                      <w:szCs w:val="22"/>
                    </w:rPr>
                    <m:t>o</m:t>
                  </m:r>
                </m:e>
                <m:sub>
                  <m:r>
                    <w:rPr>
                      <w:rFonts w:ascii="Cambria Math" w:hAnsi="Cambria Math" w:cs="Arial"/>
                      <w:sz w:val="22"/>
                      <w:szCs w:val="22"/>
                    </w:rPr>
                    <m:t>i</m:t>
                  </m:r>
                </m:sub>
              </m:sSub>
            </m:oMath>
            <w:r w:rsidRPr="002E2722">
              <w:rPr>
                <w:rFonts w:ascii="Bookman Old Style" w:hAnsi="Bookman Old Style" w:cs="Arial"/>
                <w:i/>
                <w:iCs/>
                <w:sz w:val="22"/>
                <w:szCs w:val="22"/>
              </w:rPr>
              <w:t xml:space="preserve"> es el valor de los desembolsos del mes i, </w:t>
            </w:r>
            <m:oMath>
              <m:r>
                <w:rPr>
                  <w:rFonts w:ascii="Cambria Math" w:hAnsi="Cambria Math" w:cs="Arial"/>
                  <w:sz w:val="22"/>
                  <w:szCs w:val="22"/>
                </w:rPr>
                <m:t>Monto_Total</m:t>
              </m:r>
            </m:oMath>
            <w:r w:rsidRPr="002E2722">
              <w:rPr>
                <w:rFonts w:ascii="Bookman Old Style" w:hAnsi="Bookman Old Style" w:cs="Arial"/>
                <w:i/>
                <w:iCs/>
                <w:sz w:val="22"/>
                <w:szCs w:val="22"/>
              </w:rPr>
              <w:t xml:space="preserve"> es el valor de la suma de los desembolsos de todos los meses para los que existe información e i = </w:t>
            </w:r>
            <w:r w:rsidRPr="002E2722">
              <w:rPr>
                <w:rFonts w:ascii="Bookman Old Style" w:hAnsi="Bookman Old Style" w:cs="Arial"/>
                <w:b/>
                <w:bCs/>
                <w:i/>
                <w:iCs/>
                <w:sz w:val="22"/>
                <w:szCs w:val="22"/>
              </w:rPr>
              <w:t>-</w:t>
            </w:r>
            <w:r w:rsidRPr="002E2722">
              <w:rPr>
                <w:rFonts w:ascii="Bookman Old Style" w:hAnsi="Bookman Old Style" w:cs="Arial"/>
                <w:i/>
                <w:iCs/>
                <w:sz w:val="22"/>
                <w:szCs w:val="22"/>
              </w:rPr>
              <w:t>1 es el dato más reciente.</w:t>
            </w:r>
          </w:p>
          <w:p w14:paraId="741F964F" w14:textId="77777777" w:rsidR="00847699" w:rsidRPr="002E2722" w:rsidRDefault="00847699" w:rsidP="00CA65AC">
            <w:pPr>
              <w:ind w:left="0"/>
              <w:jc w:val="both"/>
              <w:rPr>
                <w:rFonts w:ascii="Bookman Old Style" w:hAnsi="Bookman Old Style"/>
                <w:i/>
                <w:iCs/>
                <w:sz w:val="20"/>
                <w:szCs w:val="22"/>
                <w:lang w:val="es-ES_tradnl"/>
              </w:rPr>
            </w:pPr>
          </w:p>
        </w:tc>
      </w:tr>
      <w:tr w:rsidR="00847699" w:rsidRPr="002E2722" w14:paraId="6EA2400A" w14:textId="77777777" w:rsidTr="00CA65AC">
        <w:tc>
          <w:tcPr>
            <w:tcW w:w="1101" w:type="dxa"/>
          </w:tcPr>
          <w:p w14:paraId="0CCE84DF" w14:textId="20F5669F" w:rsidR="00847699" w:rsidRPr="002E2722" w:rsidRDefault="004205F4" w:rsidP="00CA65AC">
            <w:pPr>
              <w:ind w:left="0"/>
              <w:rPr>
                <w:rFonts w:ascii="Bookman Old Style" w:hAnsi="Bookman Old Style"/>
                <w:b/>
                <w:i/>
                <w:iCs/>
                <w:sz w:val="22"/>
                <w:szCs w:val="22"/>
                <w:lang w:val="es-ES_tradnl"/>
              </w:rPr>
            </w:pPr>
            <m:oMathPara>
              <m:oMathParaPr>
                <m:jc m:val="left"/>
              </m:oMathParaPr>
              <m:oMath>
                <m:sSub>
                  <m:sSubPr>
                    <m:ctrlPr>
                      <w:rPr>
                        <w:rFonts w:ascii="Cambria Math" w:eastAsia="Cambria Math" w:hAnsi="Cambria Math" w:cs="Arial"/>
                        <w:b/>
                        <w:i/>
                        <w:iCs/>
                        <w:color w:val="000000" w:themeColor="text1"/>
                        <w:kern w:val="24"/>
                        <w:sz w:val="22"/>
                        <w:szCs w:val="22"/>
                      </w:rPr>
                    </m:ctrlPr>
                  </m:sSubPr>
                  <m:e>
                    <m:r>
                      <m:rPr>
                        <m:sty m:val="bi"/>
                      </m:rPr>
                      <w:rPr>
                        <w:rFonts w:ascii="Cambria Math" w:eastAsia="Cambria Math" w:hAnsi="Cambria Math" w:cs="Arial"/>
                        <w:color w:val="000000" w:themeColor="text1"/>
                        <w:kern w:val="24"/>
                        <w:sz w:val="22"/>
                        <w:szCs w:val="22"/>
                      </w:rPr>
                      <m:t>Ke_cop</m:t>
                    </m:r>
                  </m:e>
                  <m:sub>
                    <m:r>
                      <m:rPr>
                        <m:sty m:val="bi"/>
                      </m:rPr>
                      <w:rPr>
                        <w:rFonts w:ascii="Cambria Math" w:eastAsia="Cambria Math" w:hAnsi="Cambria Math" w:cs="Arial"/>
                        <w:color w:val="000000" w:themeColor="text1"/>
                        <w:kern w:val="24"/>
                        <w:sz w:val="22"/>
                        <w:szCs w:val="22"/>
                      </w:rPr>
                      <m:t>a,τ</m:t>
                    </m:r>
                  </m:sub>
                </m:sSub>
              </m:oMath>
            </m:oMathPara>
          </w:p>
        </w:tc>
        <w:tc>
          <w:tcPr>
            <w:tcW w:w="298" w:type="dxa"/>
          </w:tcPr>
          <w:p w14:paraId="69CC127C" w14:textId="77777777" w:rsidR="00847699" w:rsidRPr="002E2722" w:rsidRDefault="00847699" w:rsidP="00CA65AC">
            <w:pPr>
              <w:ind w:left="0"/>
              <w:rPr>
                <w:rFonts w:ascii="Bookman Old Style" w:hAnsi="Bookman Old Style" w:cs="Arial"/>
                <w:b/>
                <w:i/>
                <w:iCs/>
                <w:sz w:val="22"/>
                <w:szCs w:val="22"/>
              </w:rPr>
            </w:pPr>
            <w:r w:rsidRPr="002E2722">
              <w:rPr>
                <w:rFonts w:ascii="Bookman Old Style" w:hAnsi="Bookman Old Style" w:cs="Arial"/>
                <w:b/>
                <w:i/>
                <w:iCs/>
                <w:sz w:val="22"/>
                <w:szCs w:val="22"/>
              </w:rPr>
              <w:t>:</w:t>
            </w:r>
          </w:p>
        </w:tc>
        <w:tc>
          <w:tcPr>
            <w:tcW w:w="8065" w:type="dxa"/>
            <w:vAlign w:val="center"/>
          </w:tcPr>
          <w:p w14:paraId="54EE1715" w14:textId="3E991A2E" w:rsidR="00847699" w:rsidRPr="002E2722" w:rsidRDefault="00847699" w:rsidP="00CA65AC">
            <w:pPr>
              <w:ind w:left="0"/>
              <w:jc w:val="both"/>
              <w:rPr>
                <w:rFonts w:ascii="Bookman Old Style" w:hAnsi="Bookman Old Style" w:cs="Arial"/>
                <w:i/>
                <w:iCs/>
                <w:sz w:val="22"/>
                <w:szCs w:val="22"/>
              </w:rPr>
            </w:pPr>
            <w:r w:rsidRPr="002E2722">
              <w:rPr>
                <w:rFonts w:ascii="Bookman Old Style" w:hAnsi="Bookman Old Style" w:cs="Arial"/>
                <w:i/>
                <w:iCs/>
                <w:sz w:val="22"/>
                <w:szCs w:val="22"/>
              </w:rPr>
              <w:t xml:space="preserve">Costo del capital propio en pesos corrientes, equivalente al costo del capital propio en dólares corrientes, para la actividad </w:t>
            </w:r>
            <m:oMath>
              <m:r>
                <w:rPr>
                  <w:rFonts w:ascii="Cambria Math" w:hAnsi="Cambria Math" w:cs="Arial"/>
                  <w:sz w:val="22"/>
                  <w:szCs w:val="22"/>
                </w:rPr>
                <m:t>a</m:t>
              </m:r>
            </m:oMath>
            <w:r w:rsidRPr="002E2722">
              <w:rPr>
                <w:rFonts w:ascii="Bookman Old Style" w:hAnsi="Bookman Old Style" w:cs="Arial"/>
                <w:i/>
                <w:iCs/>
                <w:sz w:val="22"/>
                <w:szCs w:val="22"/>
              </w:rPr>
              <w:t xml:space="preserve">, en el momento </w:t>
            </w:r>
            <m:oMath>
              <m:r>
                <w:rPr>
                  <w:rFonts w:ascii="Cambria Math" w:hAnsi="Cambria Math" w:cs="Arial"/>
                  <w:sz w:val="22"/>
                  <w:szCs w:val="22"/>
                </w:rPr>
                <m:t>τ</m:t>
              </m:r>
            </m:oMath>
            <w:r w:rsidRPr="002E2722">
              <w:rPr>
                <w:rFonts w:ascii="Bookman Old Style" w:hAnsi="Bookman Old Style" w:cs="Arial"/>
                <w:i/>
                <w:iCs/>
                <w:sz w:val="22"/>
                <w:szCs w:val="22"/>
              </w:rPr>
              <w:t>.</w:t>
            </w:r>
          </w:p>
          <w:p w14:paraId="4CF85A05" w14:textId="77777777" w:rsidR="00847699" w:rsidRPr="002E2722" w:rsidRDefault="00847699" w:rsidP="00CA65AC">
            <w:pPr>
              <w:ind w:left="0"/>
              <w:jc w:val="both"/>
              <w:rPr>
                <w:rFonts w:ascii="Bookman Old Style" w:hAnsi="Bookman Old Style"/>
                <w:i/>
                <w:iCs/>
                <w:sz w:val="20"/>
                <w:szCs w:val="22"/>
                <w:lang w:val="es-ES_tradnl"/>
              </w:rPr>
            </w:pPr>
          </w:p>
        </w:tc>
      </w:tr>
      <w:tr w:rsidR="00847699" w:rsidRPr="002E2722" w14:paraId="3AC2ECFB" w14:textId="77777777" w:rsidTr="00CA65AC">
        <w:tc>
          <w:tcPr>
            <w:tcW w:w="1101" w:type="dxa"/>
          </w:tcPr>
          <w:p w14:paraId="617FB1BF" w14:textId="71D87AB0" w:rsidR="00847699" w:rsidRPr="002E2722" w:rsidRDefault="003A26C0" w:rsidP="00CA65AC">
            <w:pPr>
              <w:ind w:left="0"/>
              <w:rPr>
                <w:rFonts w:ascii="Bookman Old Style" w:hAnsi="Bookman Old Style"/>
                <w:b/>
                <w:i/>
                <w:iCs/>
                <w:color w:val="000000" w:themeColor="text1"/>
                <w:kern w:val="24"/>
                <w:sz w:val="22"/>
                <w:szCs w:val="22"/>
              </w:rPr>
            </w:pPr>
            <m:oMathPara>
              <m:oMathParaPr>
                <m:jc m:val="left"/>
              </m:oMathParaPr>
              <m:oMath>
                <m:r>
                  <m:rPr>
                    <m:sty m:val="bi"/>
                  </m:rPr>
                  <w:rPr>
                    <w:rFonts w:ascii="Cambria Math" w:eastAsia="Cambria Math" w:hAnsi="Cambria Math" w:cs="Arial"/>
                    <w:color w:val="000000" w:themeColor="text1"/>
                    <w:kern w:val="24"/>
                    <w:sz w:val="22"/>
                    <w:szCs w:val="22"/>
                  </w:rPr>
                  <m:t>Tx</m:t>
                </m:r>
              </m:oMath>
            </m:oMathPara>
          </w:p>
        </w:tc>
        <w:tc>
          <w:tcPr>
            <w:tcW w:w="298" w:type="dxa"/>
          </w:tcPr>
          <w:p w14:paraId="7AD2DECD" w14:textId="77777777" w:rsidR="00847699" w:rsidRPr="002E2722" w:rsidRDefault="00847699" w:rsidP="00CA65AC">
            <w:pPr>
              <w:ind w:left="0"/>
              <w:rPr>
                <w:rFonts w:ascii="Bookman Old Style" w:hAnsi="Bookman Old Style" w:cs="Arial"/>
                <w:b/>
                <w:i/>
                <w:iCs/>
                <w:sz w:val="22"/>
                <w:szCs w:val="22"/>
              </w:rPr>
            </w:pPr>
            <w:r w:rsidRPr="002E2722">
              <w:rPr>
                <w:rFonts w:ascii="Bookman Old Style" w:hAnsi="Bookman Old Style" w:cs="Arial"/>
                <w:b/>
                <w:i/>
                <w:iCs/>
                <w:sz w:val="22"/>
                <w:szCs w:val="22"/>
              </w:rPr>
              <w:t>:</w:t>
            </w:r>
          </w:p>
        </w:tc>
        <w:tc>
          <w:tcPr>
            <w:tcW w:w="8065" w:type="dxa"/>
            <w:vAlign w:val="center"/>
          </w:tcPr>
          <w:p w14:paraId="06BA4654" w14:textId="0A3FB120" w:rsidR="00847699" w:rsidRPr="002E2722" w:rsidRDefault="00847699" w:rsidP="00CA65AC">
            <w:pPr>
              <w:ind w:left="0"/>
              <w:jc w:val="both"/>
              <w:rPr>
                <w:rFonts w:ascii="Bookman Old Style" w:hAnsi="Bookman Old Style" w:cs="Arial"/>
                <w:i/>
                <w:iCs/>
                <w:sz w:val="22"/>
                <w:szCs w:val="22"/>
              </w:rPr>
            </w:pPr>
            <w:r w:rsidRPr="002E2722">
              <w:rPr>
                <w:rFonts w:ascii="Bookman Old Style" w:hAnsi="Bookman Old Style" w:cs="Arial"/>
                <w:i/>
                <w:iCs/>
                <w:sz w:val="22"/>
                <w:szCs w:val="22"/>
              </w:rPr>
              <w:t xml:space="preserve">Tarifa general del impuesto sobre la renta de las personas jurídicas, vigente al momento </w:t>
            </w:r>
            <m:oMath>
              <m:r>
                <w:rPr>
                  <w:rFonts w:ascii="Cambria Math" w:eastAsia="Cambria Math" w:hAnsi="Cambria Math" w:cstheme="minorBidi"/>
                  <w:color w:val="000000" w:themeColor="text1"/>
                  <w:kern w:val="24"/>
                  <w:sz w:val="22"/>
                  <w:szCs w:val="22"/>
                </w:rPr>
                <m:t>τ</m:t>
              </m:r>
            </m:oMath>
            <w:r w:rsidRPr="002E2722" w:rsidDel="00FC1120">
              <w:rPr>
                <w:rFonts w:ascii="Bookman Old Style" w:hAnsi="Bookman Old Style" w:cs="Arial"/>
                <w:i/>
                <w:iCs/>
                <w:sz w:val="22"/>
                <w:szCs w:val="22"/>
              </w:rPr>
              <w:t>.</w:t>
            </w:r>
          </w:p>
          <w:p w14:paraId="3328AEB4" w14:textId="77777777" w:rsidR="00847699" w:rsidRPr="002E2722" w:rsidRDefault="00847699" w:rsidP="00CA65AC">
            <w:pPr>
              <w:ind w:left="0"/>
              <w:jc w:val="both"/>
              <w:rPr>
                <w:rFonts w:ascii="Bookman Old Style" w:hAnsi="Bookman Old Style" w:cs="Arial"/>
                <w:i/>
                <w:iCs/>
                <w:sz w:val="22"/>
                <w:szCs w:val="22"/>
              </w:rPr>
            </w:pPr>
          </w:p>
        </w:tc>
      </w:tr>
    </w:tbl>
    <w:p w14:paraId="3DFBFD2A" w14:textId="77777777" w:rsidR="00847699" w:rsidRPr="000C48DA" w:rsidRDefault="00847699" w:rsidP="000776BE">
      <w:pPr>
        <w:ind w:left="0"/>
        <w:jc w:val="both"/>
        <w:rPr>
          <w:rFonts w:ascii="Bookman Old Style" w:hAnsi="Bookman Old Style" w:cs="Arial"/>
        </w:rPr>
      </w:pPr>
    </w:p>
    <w:p w14:paraId="1CC8BCD7" w14:textId="480FA9B1" w:rsidR="000776BE" w:rsidRPr="000C48DA" w:rsidRDefault="000776BE" w:rsidP="00AC4426">
      <w:pPr>
        <w:pStyle w:val="Ttulo1"/>
        <w:ind w:left="0"/>
        <w:jc w:val="both"/>
        <w:rPr>
          <w:rFonts w:ascii="Bookman Old Style" w:hAnsi="Bookman Old Style" w:cs="Arial"/>
          <w:b w:val="0"/>
          <w:bCs/>
        </w:rPr>
      </w:pPr>
      <w:r w:rsidRPr="000C48DA">
        <w:rPr>
          <w:rFonts w:ascii="Bookman Old Style" w:hAnsi="Bookman Old Style" w:cs="Arial"/>
        </w:rPr>
        <w:t xml:space="preserve">ARTÍCULO </w:t>
      </w:r>
      <w:r w:rsidR="00847699" w:rsidRPr="000C48DA">
        <w:rPr>
          <w:rFonts w:ascii="Bookman Old Style" w:hAnsi="Bookman Old Style" w:cs="Arial"/>
        </w:rPr>
        <w:t>4</w:t>
      </w:r>
      <w:r w:rsidRPr="000C48DA">
        <w:rPr>
          <w:rFonts w:ascii="Bookman Old Style" w:hAnsi="Bookman Old Style" w:cs="Arial"/>
        </w:rPr>
        <w:t xml:space="preserve">. </w:t>
      </w:r>
      <w:r w:rsidR="00AC4426" w:rsidRPr="000C48DA">
        <w:rPr>
          <w:rFonts w:ascii="Bookman Old Style" w:hAnsi="Bookman Old Style" w:cs="Arial"/>
          <w:b w:val="0"/>
          <w:bCs/>
        </w:rPr>
        <w:t xml:space="preserve">Modifíquese el parágrafo 3 del artículo </w:t>
      </w:r>
      <w:r w:rsidR="00E935AB" w:rsidRPr="000C48DA">
        <w:rPr>
          <w:rFonts w:ascii="Bookman Old Style" w:hAnsi="Bookman Old Style" w:cs="Arial"/>
          <w:b w:val="0"/>
          <w:bCs/>
        </w:rPr>
        <w:t>2</w:t>
      </w:r>
      <w:r w:rsidR="00AC4426" w:rsidRPr="000C48DA">
        <w:rPr>
          <w:rFonts w:ascii="Bookman Old Style" w:hAnsi="Bookman Old Style" w:cs="Arial"/>
          <w:b w:val="0"/>
          <w:bCs/>
        </w:rPr>
        <w:t xml:space="preserve"> de la Resolución CREG 004 de 2021</w:t>
      </w:r>
      <w:r w:rsidR="005770DC">
        <w:rPr>
          <w:rFonts w:ascii="Bookman Old Style" w:hAnsi="Bookman Old Style" w:cs="Arial"/>
          <w:b w:val="0"/>
          <w:bCs/>
        </w:rPr>
        <w:t>,</w:t>
      </w:r>
      <w:r w:rsidR="00AC4426" w:rsidRPr="000C48DA">
        <w:rPr>
          <w:rFonts w:ascii="Bookman Old Style" w:hAnsi="Bookman Old Style" w:cs="Arial"/>
          <w:b w:val="0"/>
          <w:bCs/>
        </w:rPr>
        <w:t xml:space="preserve"> así:</w:t>
      </w:r>
    </w:p>
    <w:p w14:paraId="7116654D" w14:textId="3D7FDB26" w:rsidR="00AC4426" w:rsidRPr="000C48DA" w:rsidRDefault="00AC4426" w:rsidP="00AC4426">
      <w:pPr>
        <w:rPr>
          <w:rFonts w:ascii="Bookman Old Style" w:hAnsi="Bookman Old Style"/>
          <w:lang w:val="es-CO"/>
        </w:rPr>
      </w:pPr>
    </w:p>
    <w:p w14:paraId="2CAE0C70" w14:textId="6EF21AD3" w:rsidR="00472CCA" w:rsidRPr="002E2722" w:rsidRDefault="00472CCA" w:rsidP="00472CCA">
      <w:pPr>
        <w:pStyle w:val="Ttulo2"/>
        <w:numPr>
          <w:ilvl w:val="0"/>
          <w:numId w:val="0"/>
        </w:numPr>
        <w:spacing w:line="240" w:lineRule="auto"/>
        <w:rPr>
          <w:rFonts w:ascii="Bookman Old Style" w:hAnsi="Bookman Old Style" w:cs="Arial"/>
          <w:i/>
          <w:iCs/>
          <w:sz w:val="22"/>
          <w:szCs w:val="22"/>
        </w:rPr>
      </w:pPr>
      <w:r w:rsidRPr="002E2722">
        <w:rPr>
          <w:rFonts w:ascii="Bookman Old Style" w:hAnsi="Bookman Old Style" w:cs="Arial"/>
          <w:i/>
          <w:iCs/>
          <w:sz w:val="22"/>
          <w:szCs w:val="22"/>
        </w:rPr>
        <w:t xml:space="preserve">Parágrafo 3. </w:t>
      </w:r>
      <w:r w:rsidRPr="002E2722">
        <w:rPr>
          <w:rFonts w:ascii="Bookman Old Style" w:hAnsi="Bookman Old Style" w:cs="Arial"/>
          <w:b w:val="0"/>
          <w:i/>
          <w:iCs/>
          <w:sz w:val="22"/>
          <w:szCs w:val="22"/>
        </w:rPr>
        <w:t xml:space="preserve">El costo del capital propio calculado en dólares corrientes para la actividad </w:t>
      </w:r>
      <m:oMath>
        <m:r>
          <m:rPr>
            <m:sty m:val="bi"/>
          </m:rPr>
          <w:rPr>
            <w:rFonts w:ascii="Cambria Math" w:hAnsi="Cambria Math" w:cs="Arial"/>
            <w:sz w:val="22"/>
            <w:szCs w:val="22"/>
          </w:rPr>
          <m:t>a</m:t>
        </m:r>
      </m:oMath>
      <w:r w:rsidRPr="002E2722">
        <w:rPr>
          <w:rFonts w:ascii="Bookman Old Style" w:hAnsi="Bookman Old Style" w:cs="Arial"/>
          <w:b w:val="0"/>
          <w:i/>
          <w:iCs/>
          <w:sz w:val="22"/>
          <w:szCs w:val="22"/>
        </w:rPr>
        <w:t xml:space="preserve">, en el momento </w:t>
      </w:r>
      <m:oMath>
        <m:r>
          <m:rPr>
            <m:sty m:val="bi"/>
          </m:rPr>
          <w:rPr>
            <w:rFonts w:ascii="Cambria Math" w:hAnsi="Cambria Math" w:cs="Arial"/>
            <w:sz w:val="22"/>
            <w:szCs w:val="22"/>
          </w:rPr>
          <m:t>τ</m:t>
        </m:r>
      </m:oMath>
      <w:r w:rsidRPr="002E2722">
        <w:rPr>
          <w:rFonts w:ascii="Bookman Old Style" w:hAnsi="Bookman Old Style" w:cs="Arial"/>
          <w:b w:val="0"/>
          <w:i/>
          <w:iCs/>
          <w:sz w:val="22"/>
          <w:szCs w:val="22"/>
        </w:rPr>
        <w:t>, está dado por la siguiente expresión:</w:t>
      </w:r>
    </w:p>
    <w:p w14:paraId="2C1FF2C4" w14:textId="77777777" w:rsidR="00472CCA" w:rsidRPr="002E2722" w:rsidRDefault="00472CCA" w:rsidP="00472CCA">
      <w:pPr>
        <w:ind w:left="0"/>
        <w:contextualSpacing/>
        <w:jc w:val="both"/>
        <w:rPr>
          <w:rFonts w:ascii="Bookman Old Style" w:hAnsi="Bookman Old Style" w:cs="Arial"/>
          <w:i/>
          <w:iCs/>
          <w:sz w:val="22"/>
          <w:szCs w:val="22"/>
          <w:lang w:val="es-ES_tradnl"/>
        </w:rPr>
      </w:pPr>
    </w:p>
    <w:p w14:paraId="60B10704" w14:textId="55F54DEB" w:rsidR="00472CCA" w:rsidRPr="002E2722" w:rsidRDefault="004205F4" w:rsidP="00472CCA">
      <w:pPr>
        <w:ind w:left="0"/>
        <w:contextualSpacing/>
        <w:jc w:val="both"/>
        <w:rPr>
          <w:rFonts w:ascii="Bookman Old Style" w:hAnsi="Bookman Old Style" w:cs="Arial"/>
          <w:i/>
          <w:iCs/>
          <w:sz w:val="22"/>
          <w:szCs w:val="22"/>
          <w:lang w:val="es-ES_tradnl"/>
        </w:rPr>
      </w:pPr>
      <m:oMathPara>
        <m:oMath>
          <m:sSub>
            <m:sSubPr>
              <m:ctrlPr>
                <w:rPr>
                  <w:rFonts w:ascii="Cambria Math" w:eastAsiaTheme="minorEastAsia" w:hAnsi="Cambria Math" w:cstheme="minorBidi"/>
                  <w:i/>
                  <w:iCs/>
                  <w:color w:val="000000" w:themeColor="text1"/>
                  <w:kern w:val="24"/>
                  <w:sz w:val="22"/>
                  <w:szCs w:val="22"/>
                </w:rPr>
              </m:ctrlPr>
            </m:sSubPr>
            <m:e>
              <m:r>
                <w:rPr>
                  <w:rFonts w:ascii="Cambria Math" w:hAnsi="Cambria Math" w:cstheme="minorBidi"/>
                  <w:color w:val="000000" w:themeColor="text1"/>
                  <w:kern w:val="24"/>
                  <w:sz w:val="22"/>
                  <w:szCs w:val="22"/>
                </w:rPr>
                <m:t>Ke_usd</m:t>
              </m:r>
            </m:e>
            <m:sub>
              <m:r>
                <w:rPr>
                  <w:rFonts w:ascii="Cambria Math" w:hAnsi="Cambria Math" w:cstheme="minorBidi"/>
                  <w:color w:val="000000" w:themeColor="text1"/>
                  <w:kern w:val="24"/>
                  <w:sz w:val="22"/>
                  <w:szCs w:val="22"/>
                </w:rPr>
                <m:t>a,τ</m:t>
              </m:r>
            </m:sub>
          </m:sSub>
          <m:r>
            <w:rPr>
              <w:rFonts w:ascii="Cambria Math" w:eastAsia="Cambria Math" w:hAnsi="Cambria Math" w:cstheme="minorBidi"/>
              <w:color w:val="000000" w:themeColor="text1"/>
              <w:kern w:val="24"/>
              <w:sz w:val="22"/>
              <w:szCs w:val="22"/>
            </w:rPr>
            <m:t>=</m:t>
          </m:r>
          <m:sSub>
            <m:sSubPr>
              <m:ctrlPr>
                <w:rPr>
                  <w:rFonts w:ascii="Cambria Math" w:eastAsia="Cambria Math" w:hAnsi="Cambria Math" w:cstheme="minorBidi"/>
                  <w:i/>
                  <w:iCs/>
                  <w:color w:val="000000" w:themeColor="text1"/>
                  <w:kern w:val="24"/>
                  <w:sz w:val="22"/>
                  <w:szCs w:val="22"/>
                </w:rPr>
              </m:ctrlPr>
            </m:sSubPr>
            <m:e>
              <m:r>
                <w:rPr>
                  <w:rFonts w:ascii="Cambria Math" w:eastAsia="Cambria Math" w:hAnsi="Cambria Math" w:cstheme="minorBidi"/>
                  <w:color w:val="000000" w:themeColor="text1"/>
                  <w:kern w:val="24"/>
                  <w:sz w:val="22"/>
                  <w:szCs w:val="22"/>
                </w:rPr>
                <m:t>Rf_cop_usd</m:t>
              </m:r>
            </m:e>
            <m:sub>
              <m:r>
                <w:rPr>
                  <w:rFonts w:ascii="Cambria Math" w:eastAsia="Cambria Math" w:hAnsi="Cambria Math" w:cstheme="minorBidi"/>
                  <w:color w:val="000000" w:themeColor="text1"/>
                  <w:kern w:val="24"/>
                  <w:sz w:val="22"/>
                  <w:szCs w:val="22"/>
                </w:rPr>
                <m:t>τ</m:t>
              </m:r>
            </m:sub>
          </m:sSub>
          <m:r>
            <w:rPr>
              <w:rFonts w:ascii="Cambria Math" w:eastAsia="Cambria Math" w:hAnsi="Cambria Math" w:cstheme="minorBidi"/>
              <w:color w:val="000000" w:themeColor="text1"/>
              <w:kern w:val="24"/>
              <w:sz w:val="22"/>
              <w:szCs w:val="22"/>
            </w:rPr>
            <m:t>+</m:t>
          </m:r>
          <m:d>
            <m:dPr>
              <m:ctrlPr>
                <w:rPr>
                  <w:rFonts w:ascii="Cambria Math" w:eastAsia="Cambria Math" w:hAnsi="Cambria Math" w:cstheme="minorBidi"/>
                  <w:i/>
                  <w:iCs/>
                  <w:color w:val="000000" w:themeColor="text1"/>
                  <w:kern w:val="24"/>
                  <w:sz w:val="22"/>
                  <w:szCs w:val="22"/>
                </w:rPr>
              </m:ctrlPr>
            </m:dPr>
            <m:e>
              <m:sSub>
                <m:sSubPr>
                  <m:ctrlPr>
                    <w:rPr>
                      <w:rFonts w:ascii="Cambria Math" w:eastAsia="Cambria Math" w:hAnsi="Cambria Math" w:cstheme="minorBidi"/>
                      <w:i/>
                      <w:iCs/>
                      <w:color w:val="000000" w:themeColor="text1"/>
                      <w:kern w:val="24"/>
                      <w:sz w:val="22"/>
                      <w:szCs w:val="22"/>
                    </w:rPr>
                  </m:ctrlPr>
                </m:sSubPr>
                <m:e>
                  <m:sSub>
                    <m:sSubPr>
                      <m:ctrlPr>
                        <w:rPr>
                          <w:rFonts w:ascii="Cambria Math" w:eastAsia="Cambria Math" w:hAnsi="Cambria Math" w:cstheme="minorBidi"/>
                          <w:i/>
                          <w:iCs/>
                          <w:color w:val="000000" w:themeColor="text1"/>
                          <w:kern w:val="24"/>
                          <w:sz w:val="22"/>
                          <w:szCs w:val="22"/>
                        </w:rPr>
                      </m:ctrlPr>
                    </m:sSubPr>
                    <m:e>
                      <m:r>
                        <w:rPr>
                          <w:rFonts w:ascii="Cambria Math" w:eastAsia="Cambria Math" w:hAnsi="Cambria Math" w:cstheme="minorBidi"/>
                          <w:color w:val="000000" w:themeColor="text1"/>
                          <w:kern w:val="24"/>
                          <w:sz w:val="22"/>
                          <w:szCs w:val="22"/>
                        </w:rPr>
                        <m:t>βL</m:t>
                      </m:r>
                    </m:e>
                    <m:sub>
                      <m:r>
                        <w:rPr>
                          <w:rFonts w:ascii="Cambria Math" w:eastAsia="Cambria Math" w:hAnsi="Cambria Math" w:cstheme="minorBidi"/>
                          <w:color w:val="000000" w:themeColor="text1"/>
                          <w:kern w:val="24"/>
                          <w:sz w:val="22"/>
                          <w:szCs w:val="22"/>
                        </w:rPr>
                        <m:t>a,τ</m:t>
                      </m:r>
                    </m:sub>
                  </m:sSub>
                  <m:r>
                    <w:rPr>
                      <w:rFonts w:ascii="Cambria Math" w:eastAsia="Cambria Math" w:hAnsi="Cambria Math" w:cstheme="minorBidi"/>
                      <w:color w:val="000000" w:themeColor="text1"/>
                      <w:kern w:val="24"/>
                      <w:sz w:val="22"/>
                      <w:szCs w:val="22"/>
                    </w:rPr>
                    <m:t>∙PRM</m:t>
                  </m:r>
                </m:e>
                <m:sub>
                  <m:r>
                    <w:rPr>
                      <w:rFonts w:ascii="Cambria Math" w:eastAsia="Cambria Math" w:hAnsi="Cambria Math" w:cstheme="minorBidi"/>
                      <w:color w:val="000000" w:themeColor="text1"/>
                      <w:kern w:val="24"/>
                      <w:sz w:val="22"/>
                      <w:szCs w:val="22"/>
                    </w:rPr>
                    <m:t>τ</m:t>
                  </m:r>
                </m:sub>
              </m:sSub>
            </m:e>
          </m:d>
        </m:oMath>
      </m:oMathPara>
    </w:p>
    <w:p w14:paraId="491E7C67" w14:textId="4807C581" w:rsidR="00472CCA" w:rsidRPr="002E2722" w:rsidRDefault="00A103B9" w:rsidP="00472CCA">
      <w:pPr>
        <w:ind w:left="0"/>
        <w:contextualSpacing/>
        <w:jc w:val="both"/>
        <w:rPr>
          <w:rFonts w:ascii="Bookman Old Style" w:hAnsi="Bookman Old Style" w:cs="Arial"/>
          <w:i/>
          <w:iCs/>
          <w:sz w:val="22"/>
          <w:szCs w:val="22"/>
          <w:lang w:val="es-ES_tradnl"/>
        </w:rPr>
      </w:pPr>
      <w:r w:rsidRPr="002E2722">
        <w:rPr>
          <w:rFonts w:ascii="Bookman Old Style" w:hAnsi="Bookman Old Style" w:cs="Arial"/>
          <w:i/>
          <w:iCs/>
          <w:sz w:val="22"/>
          <w:szCs w:val="22"/>
          <w:lang w:val="es-ES_tradnl"/>
        </w:rPr>
        <w:t>d</w:t>
      </w:r>
      <w:r w:rsidR="00472CCA" w:rsidRPr="002E2722">
        <w:rPr>
          <w:rFonts w:ascii="Bookman Old Style" w:hAnsi="Bookman Old Style" w:cs="Arial"/>
          <w:i/>
          <w:iCs/>
          <w:sz w:val="22"/>
          <w:szCs w:val="22"/>
          <w:lang w:val="es-ES_tradnl"/>
        </w:rPr>
        <w:t>onde,</w:t>
      </w:r>
    </w:p>
    <w:p w14:paraId="319756FC" w14:textId="77777777" w:rsidR="00472CCA" w:rsidRPr="002E2722" w:rsidRDefault="00472CCA" w:rsidP="00472CCA">
      <w:pPr>
        <w:ind w:left="0"/>
        <w:contextualSpacing/>
        <w:jc w:val="both"/>
        <w:rPr>
          <w:rFonts w:ascii="Bookman Old Style" w:hAnsi="Bookman Old Style" w:cs="Arial"/>
          <w:i/>
          <w:iCs/>
          <w:sz w:val="22"/>
          <w:szCs w:val="22"/>
          <w:lang w:val="es-ES_tradn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284"/>
        <w:gridCol w:w="7796"/>
      </w:tblGrid>
      <w:tr w:rsidR="00472CCA" w:rsidRPr="002E2722" w14:paraId="756C60E7" w14:textId="77777777" w:rsidTr="008058CC">
        <w:tc>
          <w:tcPr>
            <w:tcW w:w="1384" w:type="dxa"/>
          </w:tcPr>
          <w:p w14:paraId="15F0CAAE" w14:textId="2133E947" w:rsidR="00472CCA" w:rsidRPr="002E2722" w:rsidRDefault="004205F4" w:rsidP="008058CC">
            <w:pPr>
              <w:ind w:left="0"/>
              <w:rPr>
                <w:rFonts w:ascii="Bookman Old Style" w:hAnsi="Bookman Old Style"/>
                <w:b/>
                <w:i/>
                <w:iCs/>
                <w:sz w:val="22"/>
                <w:szCs w:val="22"/>
                <w:lang w:val="es-ES_tradnl"/>
              </w:rPr>
            </w:pPr>
            <m:oMath>
              <m:sSub>
                <m:sSubPr>
                  <m:ctrlPr>
                    <w:rPr>
                      <w:rFonts w:ascii="Cambria Math" w:eastAsia="Cambria Math" w:hAnsi="Cambria Math" w:cstheme="minorBidi"/>
                      <w:b/>
                      <w:i/>
                      <w:iCs/>
                      <w:color w:val="000000" w:themeColor="text1"/>
                      <w:kern w:val="24"/>
                      <w:sz w:val="22"/>
                      <w:szCs w:val="22"/>
                    </w:rPr>
                  </m:ctrlPr>
                </m:sSubPr>
                <m:e>
                  <m:r>
                    <m:rPr>
                      <m:sty m:val="bi"/>
                    </m:rPr>
                    <w:rPr>
                      <w:rFonts w:ascii="Cambria Math" w:eastAsia="Cambria Math" w:hAnsi="Cambria Math" w:cstheme="minorBidi"/>
                      <w:color w:val="000000" w:themeColor="text1"/>
                      <w:kern w:val="24"/>
                      <w:sz w:val="22"/>
                      <w:szCs w:val="22"/>
                    </w:rPr>
                    <m:t>Rf_cop_usd</m:t>
                  </m:r>
                </m:e>
                <m:sub>
                  <m:r>
                    <m:rPr>
                      <m:sty m:val="bi"/>
                    </m:rPr>
                    <w:rPr>
                      <w:rFonts w:ascii="Cambria Math" w:eastAsia="Cambria Math" w:hAnsi="Cambria Math" w:cstheme="minorBidi"/>
                      <w:color w:val="000000" w:themeColor="text1"/>
                      <w:kern w:val="24"/>
                      <w:sz w:val="22"/>
                      <w:szCs w:val="22"/>
                    </w:rPr>
                    <m:t>τ</m:t>
                  </m:r>
                </m:sub>
              </m:sSub>
            </m:oMath>
            <w:r w:rsidR="00472CCA" w:rsidRPr="002E2722">
              <w:rPr>
                <w:rFonts w:ascii="Bookman Old Style" w:hAnsi="Bookman Old Style"/>
                <w:b/>
                <w:i/>
                <w:iCs/>
                <w:color w:val="000000" w:themeColor="text1"/>
                <w:kern w:val="24"/>
                <w:sz w:val="22"/>
                <w:szCs w:val="22"/>
              </w:rPr>
              <w:t xml:space="preserve"> </w:t>
            </w:r>
          </w:p>
        </w:tc>
        <w:tc>
          <w:tcPr>
            <w:tcW w:w="284" w:type="dxa"/>
          </w:tcPr>
          <w:p w14:paraId="519C337A" w14:textId="77777777" w:rsidR="00472CCA" w:rsidRPr="002E2722" w:rsidRDefault="00472CCA" w:rsidP="008058CC">
            <w:pPr>
              <w:ind w:left="0"/>
              <w:rPr>
                <w:rFonts w:ascii="Bookman Old Style" w:hAnsi="Bookman Old Style" w:cs="Arial"/>
                <w:b/>
                <w:i/>
                <w:iCs/>
                <w:color w:val="000000" w:themeColor="text1"/>
                <w:kern w:val="24"/>
                <w:sz w:val="22"/>
                <w:szCs w:val="22"/>
              </w:rPr>
            </w:pPr>
            <w:r w:rsidRPr="002E2722">
              <w:rPr>
                <w:rFonts w:ascii="Bookman Old Style" w:hAnsi="Bookman Old Style" w:cs="Arial"/>
                <w:b/>
                <w:i/>
                <w:iCs/>
                <w:color w:val="000000" w:themeColor="text1"/>
                <w:kern w:val="24"/>
                <w:sz w:val="22"/>
                <w:szCs w:val="22"/>
              </w:rPr>
              <w:t>:</w:t>
            </w:r>
          </w:p>
        </w:tc>
        <w:tc>
          <w:tcPr>
            <w:tcW w:w="7796" w:type="dxa"/>
            <w:vAlign w:val="center"/>
          </w:tcPr>
          <w:p w14:paraId="4CD43601" w14:textId="2EDB4D98" w:rsidR="006067E9" w:rsidRPr="002E2722" w:rsidRDefault="006067E9" w:rsidP="006067E9">
            <w:pPr>
              <w:ind w:left="0"/>
              <w:jc w:val="both"/>
              <w:rPr>
                <w:rFonts w:ascii="Bookman Old Style" w:hAnsi="Bookman Old Style" w:cs="Arial"/>
                <w:i/>
                <w:iCs/>
                <w:sz w:val="22"/>
                <w:szCs w:val="22"/>
              </w:rPr>
            </w:pPr>
            <w:r w:rsidRPr="002E2722">
              <w:rPr>
                <w:rFonts w:ascii="Bookman Old Style" w:hAnsi="Bookman Old Style" w:cs="Arial"/>
                <w:i/>
                <w:iCs/>
                <w:sz w:val="22"/>
                <w:szCs w:val="22"/>
              </w:rPr>
              <w:t>Costo en dólares de Estados Unidos de América (USD) del endeudamiento del gobierno de Colombia en el exterior, calculado como el promedio de las tasas efectivas</w:t>
            </w:r>
            <w:r w:rsidR="00297D01" w:rsidRPr="002E2722">
              <w:rPr>
                <w:rFonts w:ascii="Bookman Old Style" w:hAnsi="Bookman Old Style" w:cs="Arial"/>
                <w:i/>
                <w:iCs/>
                <w:sz w:val="22"/>
                <w:szCs w:val="22"/>
              </w:rPr>
              <w:t xml:space="preserve"> </w:t>
            </w:r>
            <w:r w:rsidR="0020353D" w:rsidRPr="002E2722">
              <w:rPr>
                <w:rFonts w:ascii="Bookman Old Style" w:hAnsi="Bookman Old Style" w:cs="Arial"/>
                <w:i/>
                <w:iCs/>
                <w:sz w:val="22"/>
                <w:szCs w:val="22"/>
              </w:rPr>
              <w:t>anuales</w:t>
            </w:r>
            <w:r w:rsidRPr="002E2722">
              <w:rPr>
                <w:rFonts w:ascii="Bookman Old Style" w:hAnsi="Bookman Old Style" w:cs="Arial"/>
                <w:i/>
                <w:iCs/>
                <w:sz w:val="22"/>
                <w:szCs w:val="22"/>
              </w:rPr>
              <w:t xml:space="preserve">, </w:t>
            </w:r>
            <w:r w:rsidRPr="002E2722">
              <w:rPr>
                <w:rFonts w:ascii="Bookman Old Style" w:hAnsi="Bookman Old Style" w:cs="Arial"/>
                <w:i/>
                <w:iCs/>
                <w:color w:val="000000" w:themeColor="text1"/>
                <w:kern w:val="24"/>
                <w:sz w:val="22"/>
                <w:szCs w:val="22"/>
              </w:rPr>
              <w:t xml:space="preserve">de la curva cero cupón Colombia en USD </w:t>
            </w:r>
            <w:r w:rsidR="0020353D" w:rsidRPr="002E2722">
              <w:rPr>
                <w:rFonts w:ascii="Bookman Old Style" w:hAnsi="Bookman Old Style" w:cs="Arial"/>
                <w:i/>
                <w:iCs/>
                <w:color w:val="000000" w:themeColor="text1"/>
                <w:kern w:val="24"/>
                <w:sz w:val="22"/>
                <w:szCs w:val="22"/>
              </w:rPr>
              <w:t xml:space="preserve">del </w:t>
            </w:r>
            <w:r w:rsidRPr="002E2722">
              <w:rPr>
                <w:rFonts w:ascii="Bookman Old Style" w:hAnsi="Bookman Old Style" w:cs="Arial"/>
                <w:i/>
                <w:iCs/>
                <w:color w:val="000000" w:themeColor="text1"/>
                <w:kern w:val="24"/>
                <w:sz w:val="22"/>
                <w:szCs w:val="22"/>
              </w:rPr>
              <w:t xml:space="preserve">plazo de </w:t>
            </w:r>
            <w:r w:rsidR="00A41137" w:rsidRPr="002E2722">
              <w:rPr>
                <w:rFonts w:ascii="Bookman Old Style" w:hAnsi="Bookman Old Style" w:cs="Arial"/>
                <w:i/>
                <w:iCs/>
                <w:color w:val="000000" w:themeColor="text1"/>
                <w:kern w:val="24"/>
                <w:sz w:val="22"/>
                <w:szCs w:val="22"/>
              </w:rPr>
              <w:t>10 años</w:t>
            </w:r>
            <w:r w:rsidRPr="002E2722">
              <w:rPr>
                <w:rFonts w:ascii="Bookman Old Style" w:hAnsi="Bookman Old Style" w:cs="Arial"/>
                <w:i/>
                <w:iCs/>
                <w:color w:val="000000" w:themeColor="text1"/>
                <w:kern w:val="24"/>
                <w:sz w:val="22"/>
                <w:szCs w:val="22"/>
              </w:rPr>
              <w:t xml:space="preserve"> que se obtienen de </w:t>
            </w:r>
            <w:r w:rsidR="00A41137" w:rsidRPr="002E2722">
              <w:rPr>
                <w:rFonts w:ascii="Bookman Old Style" w:hAnsi="Bookman Old Style" w:cs="Arial"/>
                <w:i/>
                <w:iCs/>
                <w:color w:val="000000" w:themeColor="text1"/>
                <w:kern w:val="24"/>
                <w:sz w:val="22"/>
                <w:szCs w:val="22"/>
              </w:rPr>
              <w:t xml:space="preserve">los datos diarios publicados </w:t>
            </w:r>
            <w:r w:rsidRPr="002E2722">
              <w:rPr>
                <w:rFonts w:ascii="Bookman Old Style" w:hAnsi="Bookman Old Style" w:cs="Arial"/>
                <w:i/>
                <w:iCs/>
                <w:color w:val="000000" w:themeColor="text1"/>
                <w:kern w:val="24"/>
                <w:sz w:val="22"/>
                <w:szCs w:val="22"/>
              </w:rPr>
              <w:t xml:space="preserve">por Precia PPV S.A., </w:t>
            </w:r>
            <w:r w:rsidRPr="002E2722">
              <w:rPr>
                <w:rFonts w:ascii="Bookman Old Style" w:hAnsi="Bookman Old Style" w:cs="Arial"/>
                <w:i/>
                <w:iCs/>
                <w:sz w:val="22"/>
                <w:szCs w:val="22"/>
              </w:rPr>
              <w:t>de los sesenta (60) meses anteriores, ponderadas mediante el método de suma de dígitos.</w:t>
            </w:r>
          </w:p>
          <w:p w14:paraId="6359E28C" w14:textId="253C84BF" w:rsidR="00783E85" w:rsidRPr="002E2722" w:rsidRDefault="00783E85" w:rsidP="006067E9">
            <w:pPr>
              <w:ind w:left="0"/>
              <w:jc w:val="both"/>
              <w:rPr>
                <w:rFonts w:ascii="Bookman Old Style" w:hAnsi="Bookman Old Style" w:cs="Arial"/>
                <w:i/>
                <w:iCs/>
                <w:sz w:val="22"/>
                <w:szCs w:val="22"/>
              </w:rPr>
            </w:pPr>
          </w:p>
          <w:p w14:paraId="3DAC5B64" w14:textId="4127D2B1" w:rsidR="00472CCA" w:rsidRPr="002E2722" w:rsidRDefault="004205F4" w:rsidP="008058CC">
            <w:pPr>
              <w:ind w:left="0"/>
              <w:jc w:val="both"/>
              <w:rPr>
                <w:rFonts w:ascii="Bookman Old Style" w:hAnsi="Bookman Old Style" w:cs="Arial"/>
                <w:i/>
                <w:iCs/>
                <w:sz w:val="22"/>
                <w:szCs w:val="22"/>
              </w:rPr>
            </w:pPr>
            <m:oMathPara>
              <m:oMath>
                <m:sSub>
                  <m:sSubPr>
                    <m:ctrlPr>
                      <w:rPr>
                        <w:rFonts w:ascii="Cambria Math" w:hAnsi="Cambria Math"/>
                        <w:i/>
                        <w:iCs/>
                        <w:sz w:val="22"/>
                        <w:szCs w:val="22"/>
                        <w:lang w:val="es-ES_tradnl"/>
                      </w:rPr>
                    </m:ctrlPr>
                  </m:sSubPr>
                  <m:e>
                    <m:r>
                      <w:rPr>
                        <w:rFonts w:ascii="Cambria Math" w:hAnsi="Cambria Math"/>
                        <w:sz w:val="22"/>
                        <w:szCs w:val="22"/>
                        <w:lang w:val="es-ES_tradnl"/>
                      </w:rPr>
                      <m:t>Rf_cop_usd</m:t>
                    </m:r>
                  </m:e>
                  <m:sub>
                    <m:r>
                      <w:rPr>
                        <w:rFonts w:ascii="Cambria Math" w:hAnsi="Cambria Math"/>
                        <w:sz w:val="22"/>
                        <w:szCs w:val="22"/>
                        <w:lang w:val="es-ES_tradnl"/>
                      </w:rPr>
                      <m:t>τ</m:t>
                    </m:r>
                  </m:sub>
                </m:sSub>
                <m:r>
                  <w:rPr>
                    <w:rFonts w:ascii="Cambria Math" w:hAnsi="Cambria Math" w:cs="Arial"/>
                    <w:sz w:val="22"/>
                    <w:szCs w:val="22"/>
                  </w:rPr>
                  <m:t>=</m:t>
                </m:r>
                <m:nary>
                  <m:naryPr>
                    <m:chr m:val="∑"/>
                    <m:limLoc m:val="undOvr"/>
                    <m:ctrlPr>
                      <w:rPr>
                        <w:rFonts w:ascii="Cambria Math" w:hAnsi="Cambria Math" w:cs="Arial"/>
                        <w:i/>
                        <w:iCs/>
                        <w:sz w:val="22"/>
                        <w:szCs w:val="22"/>
                      </w:rPr>
                    </m:ctrlPr>
                  </m:naryPr>
                  <m:sub>
                    <m:r>
                      <w:rPr>
                        <w:rFonts w:ascii="Cambria Math" w:hAnsi="Cambria Math" w:cs="Arial"/>
                        <w:sz w:val="22"/>
                        <w:szCs w:val="22"/>
                      </w:rPr>
                      <m:t>i=-n</m:t>
                    </m:r>
                  </m:sub>
                  <m:sup>
                    <m:r>
                      <w:rPr>
                        <w:rFonts w:ascii="Cambria Math" w:hAnsi="Cambria Math" w:cs="Arial"/>
                        <w:sz w:val="22"/>
                        <w:szCs w:val="22"/>
                      </w:rPr>
                      <m:t>-1</m:t>
                    </m:r>
                  </m:sup>
                  <m:e>
                    <m:f>
                      <m:fPr>
                        <m:ctrlPr>
                          <w:rPr>
                            <w:rFonts w:ascii="Cambria Math" w:hAnsi="Cambria Math" w:cs="Arial"/>
                            <w:i/>
                            <w:iCs/>
                            <w:sz w:val="22"/>
                            <w:szCs w:val="22"/>
                          </w:rPr>
                        </m:ctrlPr>
                      </m:fPr>
                      <m:num>
                        <m:r>
                          <w:rPr>
                            <w:rFonts w:ascii="Cambria Math" w:hAnsi="Cambria Math" w:cs="Arial"/>
                            <w:sz w:val="22"/>
                            <w:szCs w:val="22"/>
                          </w:rPr>
                          <m:t>(n+1)+i</m:t>
                        </m:r>
                      </m:num>
                      <m:den>
                        <m:f>
                          <m:fPr>
                            <m:type m:val="lin"/>
                            <m:ctrlPr>
                              <w:rPr>
                                <w:rFonts w:ascii="Cambria Math" w:hAnsi="Cambria Math" w:cs="Arial"/>
                                <w:i/>
                                <w:iCs/>
                                <w:sz w:val="22"/>
                                <w:szCs w:val="22"/>
                              </w:rPr>
                            </m:ctrlPr>
                          </m:fPr>
                          <m:num>
                            <m:r>
                              <w:rPr>
                                <w:rFonts w:ascii="Cambria Math" w:hAnsi="Cambria Math" w:cs="Arial"/>
                                <w:sz w:val="22"/>
                                <w:szCs w:val="22"/>
                              </w:rPr>
                              <m:t>n(n+1)</m:t>
                            </m:r>
                          </m:num>
                          <m:den>
                            <m:r>
                              <w:rPr>
                                <w:rFonts w:ascii="Cambria Math" w:hAnsi="Cambria Math" w:cs="Arial"/>
                                <w:sz w:val="22"/>
                                <w:szCs w:val="22"/>
                              </w:rPr>
                              <m:t>2</m:t>
                            </m:r>
                          </m:den>
                        </m:f>
                      </m:den>
                    </m:f>
                    <m:r>
                      <w:rPr>
                        <w:rFonts w:ascii="Cambria Math" w:hAnsi="Cambria Math" w:cs="Arial"/>
                        <w:sz w:val="22"/>
                        <w:szCs w:val="22"/>
                      </w:rPr>
                      <m:t>∙</m:t>
                    </m:r>
                    <m:sSub>
                      <m:sSubPr>
                        <m:ctrlPr>
                          <w:rPr>
                            <w:rFonts w:ascii="Cambria Math" w:hAnsi="Cambria Math"/>
                            <w:i/>
                            <w:iCs/>
                            <w:sz w:val="22"/>
                            <w:szCs w:val="22"/>
                            <w:lang w:val="es-ES_tradnl"/>
                          </w:rPr>
                        </m:ctrlPr>
                      </m:sSubPr>
                      <m:e>
                        <m:r>
                          <w:rPr>
                            <w:rFonts w:ascii="Cambria Math" w:hAnsi="Cambria Math"/>
                            <w:sz w:val="22"/>
                            <w:szCs w:val="22"/>
                            <w:lang w:val="es-ES_tradnl"/>
                          </w:rPr>
                          <m:t>Rf_cop_usd</m:t>
                        </m:r>
                      </m:e>
                      <m:sub>
                        <m:r>
                          <w:rPr>
                            <w:rFonts w:ascii="Cambria Math" w:hAnsi="Cambria Math"/>
                            <w:sz w:val="22"/>
                            <w:szCs w:val="22"/>
                            <w:lang w:val="es-ES_tradnl"/>
                          </w:rPr>
                          <m:t>i</m:t>
                        </m:r>
                      </m:sub>
                    </m:sSub>
                  </m:e>
                </m:nary>
              </m:oMath>
            </m:oMathPara>
          </w:p>
          <w:p w14:paraId="183AEC5D" w14:textId="77777777" w:rsidR="00472CCA" w:rsidRPr="002E2722" w:rsidRDefault="00472CCA" w:rsidP="008058CC">
            <w:pPr>
              <w:ind w:left="0"/>
              <w:jc w:val="both"/>
              <w:rPr>
                <w:rFonts w:ascii="Bookman Old Style" w:hAnsi="Bookman Old Style" w:cs="Arial"/>
                <w:i/>
                <w:iCs/>
                <w:sz w:val="22"/>
                <w:szCs w:val="22"/>
              </w:rPr>
            </w:pPr>
          </w:p>
          <w:p w14:paraId="278A67E1" w14:textId="77BDFCEB" w:rsidR="00472CCA" w:rsidRPr="002E2722" w:rsidRDefault="00472CCA" w:rsidP="008058CC">
            <w:pPr>
              <w:ind w:left="0"/>
              <w:jc w:val="both"/>
              <w:rPr>
                <w:rFonts w:ascii="Bookman Old Style" w:hAnsi="Bookman Old Style" w:cs="Arial"/>
                <w:i/>
                <w:iCs/>
                <w:sz w:val="22"/>
                <w:szCs w:val="22"/>
              </w:rPr>
            </w:pPr>
            <w:r w:rsidRPr="002E2722">
              <w:rPr>
                <w:rFonts w:ascii="Bookman Old Style" w:hAnsi="Bookman Old Style" w:cs="Arial"/>
                <w:i/>
                <w:iCs/>
                <w:sz w:val="22"/>
                <w:szCs w:val="22"/>
              </w:rPr>
              <w:t xml:space="preserve">En donde </w:t>
            </w:r>
            <w:r w:rsidRPr="002E2722">
              <w:rPr>
                <w:rFonts w:ascii="Bookman Old Style" w:hAnsi="Bookman Old Style"/>
                <w:i/>
                <w:iCs/>
                <w:sz w:val="22"/>
                <w:szCs w:val="22"/>
                <w:lang w:val="es-ES_tradnl"/>
              </w:rPr>
              <w:t xml:space="preserve">i es cada una de las fechas para las que existe información, </w:t>
            </w:r>
            <m:oMath>
              <m:sSub>
                <m:sSubPr>
                  <m:ctrlPr>
                    <w:rPr>
                      <w:rFonts w:ascii="Cambria Math" w:hAnsi="Cambria Math"/>
                      <w:i/>
                      <w:iCs/>
                      <w:sz w:val="22"/>
                      <w:szCs w:val="22"/>
                      <w:lang w:val="es-ES_tradnl"/>
                    </w:rPr>
                  </m:ctrlPr>
                </m:sSubPr>
                <m:e>
                  <m:r>
                    <w:rPr>
                      <w:rFonts w:ascii="Cambria Math" w:hAnsi="Cambria Math"/>
                      <w:sz w:val="22"/>
                      <w:szCs w:val="22"/>
                      <w:lang w:val="es-ES_tradnl"/>
                    </w:rPr>
                    <m:t>Rf_cop_usd</m:t>
                  </m:r>
                </m:e>
                <m:sub>
                  <m:r>
                    <w:rPr>
                      <w:rFonts w:ascii="Cambria Math" w:hAnsi="Cambria Math"/>
                      <w:sz w:val="22"/>
                      <w:szCs w:val="22"/>
                      <w:lang w:val="es-ES_tradnl"/>
                    </w:rPr>
                    <m:t>i</m:t>
                  </m:r>
                </m:sub>
              </m:sSub>
            </m:oMath>
            <w:r w:rsidRPr="002E2722">
              <w:rPr>
                <w:rFonts w:ascii="Bookman Old Style" w:hAnsi="Bookman Old Style"/>
                <w:i/>
                <w:iCs/>
                <w:sz w:val="22"/>
                <w:szCs w:val="22"/>
                <w:lang w:val="es-ES_tradnl"/>
              </w:rPr>
              <w:t xml:space="preserve"> es la tasa de </w:t>
            </w:r>
            <w:r w:rsidRPr="002E2722">
              <w:rPr>
                <w:rFonts w:ascii="Bookman Old Style" w:hAnsi="Bookman Old Style" w:cs="Arial"/>
                <w:i/>
                <w:iCs/>
                <w:color w:val="000000" w:themeColor="text1"/>
                <w:kern w:val="24"/>
                <w:sz w:val="22"/>
                <w:szCs w:val="22"/>
              </w:rPr>
              <w:t xml:space="preserve">la curva cero cupón </w:t>
            </w:r>
            <w:r w:rsidRPr="002E2722">
              <w:rPr>
                <w:rFonts w:ascii="Bookman Old Style" w:hAnsi="Bookman Old Style"/>
                <w:i/>
                <w:iCs/>
                <w:sz w:val="22"/>
                <w:szCs w:val="22"/>
                <w:lang w:val="es-ES_tradnl"/>
              </w:rPr>
              <w:t xml:space="preserve">de la fecha i, </w:t>
            </w:r>
            <w:r w:rsidRPr="002E2722">
              <w:rPr>
                <w:rFonts w:ascii="Bookman Old Style" w:hAnsi="Bookman Old Style" w:cs="Arial"/>
                <w:i/>
                <w:iCs/>
                <w:sz w:val="22"/>
                <w:szCs w:val="22"/>
              </w:rPr>
              <w:t xml:space="preserve">n es el número de datos disponibles e i = </w:t>
            </w:r>
            <w:r w:rsidRPr="002E2722">
              <w:rPr>
                <w:rFonts w:ascii="Bookman Old Style" w:hAnsi="Bookman Old Style" w:cs="Arial"/>
                <w:b/>
                <w:bCs/>
                <w:i/>
                <w:iCs/>
                <w:sz w:val="22"/>
                <w:szCs w:val="22"/>
              </w:rPr>
              <w:t>-</w:t>
            </w:r>
            <w:r w:rsidRPr="002E2722">
              <w:rPr>
                <w:rFonts w:ascii="Bookman Old Style" w:hAnsi="Bookman Old Style" w:cs="Arial"/>
                <w:i/>
                <w:iCs/>
                <w:sz w:val="22"/>
                <w:szCs w:val="22"/>
              </w:rPr>
              <w:t>1 es el dato más reciente.</w:t>
            </w:r>
          </w:p>
          <w:p w14:paraId="03BFF025" w14:textId="77777777" w:rsidR="00472CCA" w:rsidRPr="002E2722" w:rsidRDefault="00472CCA" w:rsidP="008058CC">
            <w:pPr>
              <w:ind w:left="0"/>
              <w:jc w:val="both"/>
              <w:rPr>
                <w:rFonts w:ascii="Bookman Old Style" w:hAnsi="Bookman Old Style"/>
                <w:i/>
                <w:iCs/>
                <w:sz w:val="22"/>
                <w:szCs w:val="22"/>
                <w:lang w:val="es-ES_tradnl"/>
              </w:rPr>
            </w:pPr>
          </w:p>
        </w:tc>
      </w:tr>
      <w:tr w:rsidR="00472CCA" w:rsidRPr="002E2722" w14:paraId="6386A942" w14:textId="77777777" w:rsidTr="008058CC">
        <w:tc>
          <w:tcPr>
            <w:tcW w:w="1384" w:type="dxa"/>
          </w:tcPr>
          <w:p w14:paraId="59CE773A" w14:textId="5818E68F" w:rsidR="00472CCA" w:rsidRPr="002E2722" w:rsidRDefault="003A26C0" w:rsidP="008058CC">
            <w:pPr>
              <w:ind w:left="0"/>
              <w:rPr>
                <w:rFonts w:ascii="Bookman Old Style" w:hAnsi="Bookman Old Style" w:cs="Arial"/>
                <w:b/>
                <w:i/>
                <w:iCs/>
                <w:color w:val="000000" w:themeColor="text1"/>
                <w:kern w:val="24"/>
                <w:sz w:val="22"/>
                <w:szCs w:val="22"/>
              </w:rPr>
            </w:pPr>
            <m:oMathPara>
              <m:oMathParaPr>
                <m:jc m:val="left"/>
              </m:oMathParaPr>
              <m:oMath>
                <m:r>
                  <m:rPr>
                    <m:sty m:val="bi"/>
                  </m:rPr>
                  <w:rPr>
                    <w:rFonts w:ascii="Cambria Math" w:hAnsi="Cambria Math"/>
                    <w:sz w:val="22"/>
                    <w:szCs w:val="22"/>
                    <w:lang w:val="es-ES_tradnl"/>
                  </w:rPr>
                  <m:t xml:space="preserve"> </m:t>
                </m:r>
                <m:sSub>
                  <m:sSubPr>
                    <m:ctrlPr>
                      <w:rPr>
                        <w:rFonts w:ascii="Cambria Math" w:hAnsi="Cambria Math"/>
                        <w:b/>
                        <w:i/>
                        <w:iCs/>
                        <w:sz w:val="22"/>
                        <w:szCs w:val="22"/>
                        <w:lang w:val="es-ES_tradnl"/>
                      </w:rPr>
                    </m:ctrlPr>
                  </m:sSubPr>
                  <m:e>
                    <m:r>
                      <m:rPr>
                        <m:sty m:val="bi"/>
                      </m:rPr>
                      <w:rPr>
                        <w:rFonts w:ascii="Cambria Math" w:hAnsi="Cambria Math"/>
                        <w:sz w:val="22"/>
                        <w:szCs w:val="22"/>
                      </w:rPr>
                      <m:t>PRM</m:t>
                    </m:r>
                  </m:e>
                  <m:sub>
                    <m:r>
                      <m:rPr>
                        <m:sty m:val="bi"/>
                      </m:rPr>
                      <w:rPr>
                        <w:rFonts w:ascii="Cambria Math" w:hAnsi="Cambria Math"/>
                        <w:sz w:val="22"/>
                        <w:szCs w:val="22"/>
                      </w:rPr>
                      <m:t>τ</m:t>
                    </m:r>
                  </m:sub>
                </m:sSub>
              </m:oMath>
            </m:oMathPara>
          </w:p>
        </w:tc>
        <w:tc>
          <w:tcPr>
            <w:tcW w:w="284" w:type="dxa"/>
          </w:tcPr>
          <w:p w14:paraId="60C0C8E8" w14:textId="77777777" w:rsidR="00472CCA" w:rsidRPr="002E2722" w:rsidRDefault="00472CCA" w:rsidP="008058CC">
            <w:pPr>
              <w:ind w:left="0"/>
              <w:rPr>
                <w:rFonts w:ascii="Bookman Old Style" w:hAnsi="Bookman Old Style" w:cs="Arial"/>
                <w:b/>
                <w:i/>
                <w:iCs/>
                <w:color w:val="000000" w:themeColor="text1"/>
                <w:kern w:val="24"/>
                <w:sz w:val="22"/>
                <w:szCs w:val="22"/>
              </w:rPr>
            </w:pPr>
            <w:r w:rsidRPr="002E2722">
              <w:rPr>
                <w:rFonts w:ascii="Bookman Old Style" w:hAnsi="Bookman Old Style" w:cs="Arial"/>
                <w:b/>
                <w:i/>
                <w:iCs/>
                <w:sz w:val="22"/>
                <w:szCs w:val="22"/>
              </w:rPr>
              <w:t>:</w:t>
            </w:r>
          </w:p>
        </w:tc>
        <w:tc>
          <w:tcPr>
            <w:tcW w:w="7796" w:type="dxa"/>
            <w:vAlign w:val="center"/>
          </w:tcPr>
          <w:p w14:paraId="5EE84824" w14:textId="38C8F3BC" w:rsidR="00472CCA" w:rsidRPr="002E2722" w:rsidRDefault="00472CCA" w:rsidP="008058CC">
            <w:pPr>
              <w:ind w:left="0"/>
              <w:jc w:val="both"/>
              <w:rPr>
                <w:rFonts w:ascii="Bookman Old Style" w:hAnsi="Bookman Old Style" w:cs="Arial"/>
                <w:i/>
                <w:iCs/>
                <w:sz w:val="22"/>
                <w:szCs w:val="22"/>
                <w:lang w:val="es-CO"/>
              </w:rPr>
            </w:pPr>
            <w:r w:rsidRPr="002E2722">
              <w:rPr>
                <w:rFonts w:ascii="Bookman Old Style" w:hAnsi="Bookman Old Style" w:cs="Arial"/>
                <w:i/>
                <w:iCs/>
                <w:sz w:val="22"/>
                <w:szCs w:val="22"/>
              </w:rPr>
              <w:t>Promedio aritmético de las p</w:t>
            </w:r>
            <w:r w:rsidRPr="002E2722">
              <w:rPr>
                <w:rFonts w:ascii="Bookman Old Style" w:hAnsi="Bookman Old Style" w:cs="Arial"/>
                <w:i/>
                <w:iCs/>
                <w:sz w:val="22"/>
                <w:szCs w:val="22"/>
                <w:lang w:val="es-ES_tradnl"/>
              </w:rPr>
              <w:t xml:space="preserve">rimas de mercado anuales en el país de referencia, en el momento </w:t>
            </w:r>
            <m:oMath>
              <m:r>
                <w:rPr>
                  <w:rFonts w:ascii="Cambria Math" w:hAnsi="Cambria Math"/>
                  <w:sz w:val="22"/>
                  <w:szCs w:val="22"/>
                </w:rPr>
                <m:t>τ</m:t>
              </m:r>
            </m:oMath>
            <w:r w:rsidRPr="002E2722">
              <w:rPr>
                <w:rFonts w:ascii="Bookman Old Style" w:hAnsi="Bookman Old Style" w:cs="Arial"/>
                <w:i/>
                <w:iCs/>
                <w:sz w:val="22"/>
                <w:szCs w:val="22"/>
              </w:rPr>
              <w:t xml:space="preserve">. Corresponde a la diferencia entre las rentabilidades anuales del mercado en Estados Unidos de América, estimada a partir del índice Standard &amp; Poor’s 500, y de los bonos del tesoro de los Estados Unidos de América con plazo de emisión a 10 años, desde 1926 hasta el momento </w:t>
            </w:r>
            <m:oMath>
              <m:r>
                <w:rPr>
                  <w:rFonts w:ascii="Cambria Math" w:hAnsi="Cambria Math"/>
                  <w:sz w:val="22"/>
                  <w:szCs w:val="22"/>
                </w:rPr>
                <m:t>τ</m:t>
              </m:r>
            </m:oMath>
            <w:r w:rsidRPr="002E2722">
              <w:rPr>
                <w:rFonts w:ascii="Bookman Old Style" w:hAnsi="Bookman Old Style" w:cs="Arial"/>
                <w:i/>
                <w:iCs/>
                <w:sz w:val="22"/>
                <w:szCs w:val="22"/>
              </w:rPr>
              <w:t>, según</w:t>
            </w:r>
            <w:r w:rsidRPr="002E2722">
              <w:rPr>
                <w:rFonts w:ascii="Bookman Old Style" w:hAnsi="Bookman Old Style" w:cs="Arial"/>
                <w:i/>
                <w:iCs/>
                <w:sz w:val="22"/>
                <w:szCs w:val="22"/>
                <w:lang w:val="es-CO"/>
              </w:rPr>
              <w:t xml:space="preserve"> información publicada por Duff &amp; Phelps en sus servicios de información.</w:t>
            </w:r>
          </w:p>
          <w:p w14:paraId="10248172" w14:textId="77777777" w:rsidR="00472CCA" w:rsidRPr="002E2722" w:rsidRDefault="00472CCA" w:rsidP="008058CC">
            <w:pPr>
              <w:ind w:left="0"/>
              <w:jc w:val="both"/>
              <w:rPr>
                <w:rFonts w:ascii="Bookman Old Style" w:hAnsi="Bookman Old Style" w:cs="Arial"/>
                <w:i/>
                <w:iCs/>
                <w:sz w:val="22"/>
                <w:szCs w:val="22"/>
              </w:rPr>
            </w:pPr>
          </w:p>
        </w:tc>
      </w:tr>
      <w:tr w:rsidR="00472CCA" w:rsidRPr="002E2722" w14:paraId="25D2C0AD" w14:textId="77777777" w:rsidTr="008058CC">
        <w:tc>
          <w:tcPr>
            <w:tcW w:w="1384" w:type="dxa"/>
          </w:tcPr>
          <w:p w14:paraId="401847AE" w14:textId="78ADAD0B" w:rsidR="00472CCA" w:rsidRPr="002E2722" w:rsidRDefault="004205F4" w:rsidP="008058CC">
            <w:pPr>
              <w:ind w:left="0"/>
              <w:rPr>
                <w:rFonts w:ascii="Bookman Old Style" w:hAnsi="Bookman Old Style"/>
                <w:b/>
                <w:i/>
                <w:iCs/>
                <w:sz w:val="22"/>
                <w:szCs w:val="22"/>
                <w:lang w:val="es-ES_tradnl"/>
              </w:rPr>
            </w:pPr>
            <m:oMathPara>
              <m:oMathParaPr>
                <m:jc m:val="left"/>
              </m:oMathParaPr>
              <m:oMath>
                <m:sSub>
                  <m:sSubPr>
                    <m:ctrlPr>
                      <w:rPr>
                        <w:rFonts w:ascii="Cambria Math" w:eastAsia="Cambria Math" w:hAnsi="Cambria Math" w:cstheme="minorBidi"/>
                        <w:b/>
                        <w:i/>
                        <w:iCs/>
                        <w:color w:val="000000" w:themeColor="text1"/>
                        <w:kern w:val="24"/>
                        <w:sz w:val="22"/>
                        <w:szCs w:val="22"/>
                      </w:rPr>
                    </m:ctrlPr>
                  </m:sSubPr>
                  <m:e>
                    <m:r>
                      <m:rPr>
                        <m:sty m:val="bi"/>
                      </m:rPr>
                      <w:rPr>
                        <w:rFonts w:ascii="Cambria Math" w:eastAsia="Cambria Math" w:hAnsi="Cambria Math" w:cstheme="minorBidi"/>
                        <w:color w:val="000000" w:themeColor="text1"/>
                        <w:kern w:val="24"/>
                        <w:sz w:val="22"/>
                        <w:szCs w:val="22"/>
                      </w:rPr>
                      <m:t>βL</m:t>
                    </m:r>
                  </m:e>
                  <m:sub>
                    <m:r>
                      <m:rPr>
                        <m:sty m:val="bi"/>
                      </m:rPr>
                      <w:rPr>
                        <w:rFonts w:ascii="Cambria Math" w:eastAsia="Cambria Math" w:hAnsi="Cambria Math" w:cstheme="minorBidi"/>
                        <w:color w:val="000000" w:themeColor="text1"/>
                        <w:kern w:val="24"/>
                        <w:sz w:val="22"/>
                        <w:szCs w:val="22"/>
                      </w:rPr>
                      <m:t>a,τ</m:t>
                    </m:r>
                  </m:sub>
                </m:sSub>
              </m:oMath>
            </m:oMathPara>
          </w:p>
        </w:tc>
        <w:tc>
          <w:tcPr>
            <w:tcW w:w="284" w:type="dxa"/>
          </w:tcPr>
          <w:p w14:paraId="7E82BDF7" w14:textId="77777777" w:rsidR="00472CCA" w:rsidRPr="002E2722" w:rsidRDefault="00472CCA" w:rsidP="008058CC">
            <w:pPr>
              <w:ind w:left="0"/>
              <w:rPr>
                <w:rFonts w:ascii="Bookman Old Style" w:hAnsi="Bookman Old Style" w:cs="Arial"/>
                <w:b/>
                <w:i/>
                <w:iCs/>
                <w:sz w:val="22"/>
                <w:szCs w:val="22"/>
              </w:rPr>
            </w:pPr>
            <w:r w:rsidRPr="002E2722">
              <w:rPr>
                <w:rFonts w:ascii="Bookman Old Style" w:hAnsi="Bookman Old Style" w:cs="Arial"/>
                <w:b/>
                <w:i/>
                <w:iCs/>
                <w:sz w:val="22"/>
                <w:szCs w:val="22"/>
              </w:rPr>
              <w:t>:</w:t>
            </w:r>
          </w:p>
        </w:tc>
        <w:tc>
          <w:tcPr>
            <w:tcW w:w="7796" w:type="dxa"/>
            <w:vAlign w:val="center"/>
          </w:tcPr>
          <w:p w14:paraId="78BEB22D" w14:textId="28B052CF" w:rsidR="00472CCA" w:rsidRPr="002E2722" w:rsidRDefault="00472CCA" w:rsidP="008058CC">
            <w:pPr>
              <w:ind w:left="0"/>
              <w:jc w:val="both"/>
              <w:rPr>
                <w:rFonts w:ascii="Bookman Old Style" w:hAnsi="Bookman Old Style" w:cs="Arial"/>
                <w:i/>
                <w:iCs/>
                <w:sz w:val="22"/>
                <w:szCs w:val="22"/>
              </w:rPr>
            </w:pPr>
            <w:r w:rsidRPr="002E2722">
              <w:rPr>
                <w:rFonts w:ascii="Bookman Old Style" w:hAnsi="Bookman Old Style" w:cs="Arial"/>
                <w:i/>
                <w:iCs/>
                <w:sz w:val="22"/>
                <w:szCs w:val="22"/>
              </w:rPr>
              <w:t xml:space="preserve">Beta apalancado para la actividad a, en el momento </w:t>
            </w:r>
            <m:oMath>
              <m:r>
                <w:rPr>
                  <w:rFonts w:ascii="Cambria Math" w:hAnsi="Cambria Math" w:cs="Arial"/>
                  <w:sz w:val="22"/>
                  <w:szCs w:val="22"/>
                </w:rPr>
                <m:t>τ</m:t>
              </m:r>
            </m:oMath>
            <w:r w:rsidRPr="002E2722">
              <w:rPr>
                <w:rFonts w:ascii="Bookman Old Style" w:hAnsi="Bookman Old Style" w:cs="Arial"/>
                <w:i/>
                <w:iCs/>
                <w:sz w:val="22"/>
                <w:szCs w:val="22"/>
              </w:rPr>
              <w:t xml:space="preserve">, que </w:t>
            </w:r>
            <w:r w:rsidRPr="002E2722">
              <w:rPr>
                <w:rFonts w:ascii="Bookman Old Style" w:hAnsi="Bookman Old Style"/>
                <w:i/>
                <w:iCs/>
                <w:sz w:val="22"/>
                <w:szCs w:val="22"/>
                <w:lang w:val="es-ES_tradnl"/>
              </w:rPr>
              <w:t>se obtiene mediante la siguiente expresión</w:t>
            </w:r>
            <w:r w:rsidRPr="002E2722">
              <w:rPr>
                <w:rFonts w:ascii="Bookman Old Style" w:hAnsi="Bookman Old Style" w:cs="Arial"/>
                <w:i/>
                <w:iCs/>
                <w:sz w:val="22"/>
                <w:szCs w:val="22"/>
              </w:rPr>
              <w:t>:</w:t>
            </w:r>
          </w:p>
          <w:p w14:paraId="46C65585" w14:textId="77777777" w:rsidR="00472CCA" w:rsidRPr="002E2722" w:rsidRDefault="00472CCA" w:rsidP="008058CC">
            <w:pPr>
              <w:ind w:left="0"/>
              <w:jc w:val="both"/>
              <w:rPr>
                <w:rFonts w:ascii="Bookman Old Style" w:hAnsi="Bookman Old Style" w:cs="Arial"/>
                <w:i/>
                <w:iCs/>
                <w:sz w:val="22"/>
                <w:szCs w:val="22"/>
              </w:rPr>
            </w:pPr>
          </w:p>
          <w:p w14:paraId="41CB9BD2" w14:textId="465D1854" w:rsidR="00472CCA" w:rsidRPr="002E2722" w:rsidRDefault="004205F4" w:rsidP="008058CC">
            <w:pPr>
              <w:ind w:left="0"/>
              <w:jc w:val="both"/>
              <w:rPr>
                <w:rFonts w:ascii="Bookman Old Style" w:hAnsi="Bookman Old Style" w:cs="Arial"/>
                <w:i/>
                <w:iCs/>
                <w:sz w:val="22"/>
                <w:szCs w:val="22"/>
              </w:rPr>
            </w:pPr>
            <m:oMathPara>
              <m:oMath>
                <m:sSub>
                  <m:sSubPr>
                    <m:ctrlPr>
                      <w:rPr>
                        <w:rFonts w:ascii="Cambria Math" w:eastAsia="Cambria Math" w:hAnsi="Cambria Math" w:cstheme="minorBidi"/>
                        <w:i/>
                        <w:iCs/>
                        <w:kern w:val="24"/>
                        <w:sz w:val="22"/>
                        <w:szCs w:val="22"/>
                      </w:rPr>
                    </m:ctrlPr>
                  </m:sSubPr>
                  <m:e>
                    <m:r>
                      <w:rPr>
                        <w:rFonts w:ascii="Cambria Math" w:eastAsia="Cambria Math" w:hAnsi="Cambria Math" w:cstheme="minorBidi"/>
                        <w:kern w:val="24"/>
                        <w:sz w:val="22"/>
                        <w:szCs w:val="22"/>
                      </w:rPr>
                      <m:t>βL</m:t>
                    </m:r>
                  </m:e>
                  <m:sub>
                    <m:r>
                      <w:rPr>
                        <w:rFonts w:ascii="Cambria Math" w:eastAsia="Cambria Math" w:hAnsi="Cambria Math" w:cstheme="minorBidi"/>
                        <w:kern w:val="24"/>
                        <w:sz w:val="22"/>
                        <w:szCs w:val="22"/>
                      </w:rPr>
                      <m:t>a,τ</m:t>
                    </m:r>
                  </m:sub>
                </m:sSub>
                <m:r>
                  <w:rPr>
                    <w:rFonts w:ascii="Cambria Math" w:eastAsia="Cambria Math" w:hAnsi="Cambria Math" w:cstheme="minorBidi"/>
                    <w:kern w:val="24"/>
                    <w:sz w:val="22"/>
                    <w:szCs w:val="22"/>
                  </w:rPr>
                  <m:t>=</m:t>
                </m:r>
                <m:d>
                  <m:dPr>
                    <m:ctrlPr>
                      <w:rPr>
                        <w:rFonts w:ascii="Cambria Math" w:eastAsia="Cambria Math" w:hAnsi="Cambria Math" w:cstheme="minorBidi"/>
                        <w:i/>
                        <w:iCs/>
                        <w:kern w:val="24"/>
                        <w:sz w:val="22"/>
                        <w:szCs w:val="22"/>
                      </w:rPr>
                    </m:ctrlPr>
                  </m:dPr>
                  <m:e>
                    <m:sSub>
                      <m:sSubPr>
                        <m:ctrlPr>
                          <w:rPr>
                            <w:rFonts w:ascii="Cambria Math" w:eastAsia="Cambria Math" w:hAnsi="Cambria Math" w:cstheme="minorBidi"/>
                            <w:i/>
                            <w:iCs/>
                            <w:kern w:val="24"/>
                            <w:sz w:val="22"/>
                            <w:szCs w:val="22"/>
                          </w:rPr>
                        </m:ctrlPr>
                      </m:sSubPr>
                      <m:e>
                        <m:r>
                          <w:rPr>
                            <w:rFonts w:ascii="Cambria Math" w:eastAsia="Cambria Math" w:hAnsi="Cambria Math" w:cstheme="minorBidi"/>
                            <w:kern w:val="24"/>
                            <w:sz w:val="22"/>
                            <w:szCs w:val="22"/>
                          </w:rPr>
                          <m:t>βU</m:t>
                        </m:r>
                      </m:e>
                      <m:sub>
                        <m:r>
                          <w:rPr>
                            <w:rFonts w:ascii="Cambria Math" w:eastAsia="Cambria Math" w:hAnsi="Cambria Math" w:cstheme="minorBidi"/>
                            <w:kern w:val="24"/>
                            <w:sz w:val="22"/>
                            <w:szCs w:val="22"/>
                          </w:rPr>
                          <m:t>a,τ</m:t>
                        </m:r>
                      </m:sub>
                    </m:sSub>
                    <m:r>
                      <w:rPr>
                        <w:rFonts w:ascii="Cambria Math" w:eastAsia="Cambria Math" w:hAnsi="Cambria Math" w:cstheme="minorBidi"/>
                        <w:kern w:val="24"/>
                        <w:sz w:val="22"/>
                        <w:szCs w:val="22"/>
                      </w:rPr>
                      <m:t>+Δ</m:t>
                    </m:r>
                    <m:sSub>
                      <m:sSubPr>
                        <m:ctrlPr>
                          <w:rPr>
                            <w:rFonts w:ascii="Cambria Math" w:eastAsia="Cambria Math" w:hAnsi="Cambria Math" w:cstheme="minorBidi"/>
                            <w:i/>
                            <w:iCs/>
                            <w:kern w:val="24"/>
                            <w:sz w:val="22"/>
                            <w:szCs w:val="22"/>
                          </w:rPr>
                        </m:ctrlPr>
                      </m:sSubPr>
                      <m:e>
                        <m:r>
                          <w:rPr>
                            <w:rFonts w:ascii="Cambria Math" w:eastAsia="Cambria Math" w:hAnsi="Cambria Math" w:cstheme="minorBidi"/>
                            <w:kern w:val="24"/>
                            <w:sz w:val="22"/>
                            <w:szCs w:val="22"/>
                          </w:rPr>
                          <m:t>β</m:t>
                        </m:r>
                      </m:e>
                      <m:sub>
                        <m:r>
                          <w:rPr>
                            <w:rFonts w:ascii="Cambria Math" w:eastAsia="Cambria Math" w:hAnsi="Cambria Math" w:cstheme="minorBidi"/>
                            <w:kern w:val="24"/>
                            <w:sz w:val="22"/>
                            <w:szCs w:val="22"/>
                          </w:rPr>
                          <m:t>a</m:t>
                        </m:r>
                      </m:sub>
                    </m:sSub>
                  </m:e>
                </m:d>
                <m:r>
                  <w:rPr>
                    <w:rFonts w:ascii="Cambria Math" w:eastAsia="Cambria Math" w:hAnsi="Cambria Math" w:cstheme="minorBidi"/>
                    <w:kern w:val="24"/>
                    <w:sz w:val="22"/>
                    <w:szCs w:val="22"/>
                  </w:rPr>
                  <m:t>∙</m:t>
                </m:r>
                <m:d>
                  <m:dPr>
                    <m:ctrlPr>
                      <w:rPr>
                        <w:rFonts w:ascii="Cambria Math" w:eastAsia="Cambria Math" w:hAnsi="Cambria Math" w:cstheme="minorBidi"/>
                        <w:i/>
                        <w:iCs/>
                        <w:kern w:val="24"/>
                        <w:sz w:val="22"/>
                        <w:szCs w:val="22"/>
                      </w:rPr>
                    </m:ctrlPr>
                  </m:dPr>
                  <m:e>
                    <m:r>
                      <w:rPr>
                        <w:rFonts w:ascii="Cambria Math" w:eastAsia="Cambria Math" w:hAnsi="Cambria Math" w:cstheme="minorBidi"/>
                        <w:kern w:val="24"/>
                        <w:sz w:val="22"/>
                        <w:szCs w:val="22"/>
                      </w:rPr>
                      <m:t>1+</m:t>
                    </m:r>
                    <m:d>
                      <m:dPr>
                        <m:ctrlPr>
                          <w:rPr>
                            <w:rFonts w:ascii="Cambria Math" w:eastAsia="Cambria Math" w:hAnsi="Cambria Math" w:cstheme="minorBidi"/>
                            <w:i/>
                            <w:iCs/>
                            <w:kern w:val="24"/>
                            <w:sz w:val="22"/>
                            <w:szCs w:val="22"/>
                          </w:rPr>
                        </m:ctrlPr>
                      </m:dPr>
                      <m:e>
                        <m:r>
                          <w:rPr>
                            <w:rFonts w:ascii="Cambria Math" w:eastAsia="Cambria Math" w:hAnsi="Cambria Math" w:cstheme="minorBidi"/>
                            <w:kern w:val="24"/>
                            <w:sz w:val="22"/>
                            <w:szCs w:val="22"/>
                          </w:rPr>
                          <m:t>1-Tx</m:t>
                        </m:r>
                      </m:e>
                    </m:d>
                    <m:r>
                      <w:rPr>
                        <w:rFonts w:ascii="Cambria Math" w:eastAsia="Cambria Math" w:hAnsi="Cambria Math" w:cstheme="minorBidi"/>
                        <w:kern w:val="24"/>
                        <w:sz w:val="22"/>
                        <w:szCs w:val="22"/>
                      </w:rPr>
                      <m:t>∙</m:t>
                    </m:r>
                    <m:f>
                      <m:fPr>
                        <m:ctrlPr>
                          <w:rPr>
                            <w:rFonts w:ascii="Cambria Math" w:eastAsia="Cambria Math" w:hAnsi="Cambria Math" w:cstheme="minorBidi"/>
                            <w:i/>
                            <w:iCs/>
                            <w:kern w:val="24"/>
                            <w:sz w:val="22"/>
                            <w:szCs w:val="22"/>
                          </w:rPr>
                        </m:ctrlPr>
                      </m:fPr>
                      <m:num>
                        <m:sSub>
                          <m:sSubPr>
                            <m:ctrlPr>
                              <w:rPr>
                                <w:rFonts w:ascii="Cambria Math" w:eastAsia="Cambria Math" w:hAnsi="Cambria Math" w:cstheme="minorBidi"/>
                                <w:i/>
                                <w:iCs/>
                                <w:kern w:val="24"/>
                                <w:sz w:val="22"/>
                                <w:szCs w:val="22"/>
                              </w:rPr>
                            </m:ctrlPr>
                          </m:sSubPr>
                          <m:e>
                            <m:r>
                              <w:rPr>
                                <w:rFonts w:ascii="Cambria Math" w:eastAsia="Cambria Math" w:hAnsi="Cambria Math" w:cstheme="minorBidi"/>
                                <w:kern w:val="24"/>
                                <w:sz w:val="22"/>
                                <w:szCs w:val="22"/>
                              </w:rPr>
                              <m:t>Wd</m:t>
                            </m:r>
                          </m:e>
                          <m:sub>
                            <m:r>
                              <w:rPr>
                                <w:rFonts w:ascii="Cambria Math" w:eastAsia="Cambria Math" w:hAnsi="Cambria Math" w:cstheme="minorBidi"/>
                                <w:kern w:val="24"/>
                                <w:sz w:val="22"/>
                                <w:szCs w:val="22"/>
                              </w:rPr>
                              <m:t>a,τ</m:t>
                            </m:r>
                          </m:sub>
                        </m:sSub>
                      </m:num>
                      <m:den>
                        <m:sSub>
                          <m:sSubPr>
                            <m:ctrlPr>
                              <w:rPr>
                                <w:rFonts w:ascii="Cambria Math" w:eastAsia="Cambria Math" w:hAnsi="Cambria Math" w:cstheme="minorBidi"/>
                                <w:i/>
                                <w:iCs/>
                                <w:kern w:val="24"/>
                                <w:sz w:val="22"/>
                                <w:szCs w:val="22"/>
                              </w:rPr>
                            </m:ctrlPr>
                          </m:sSubPr>
                          <m:e>
                            <m:r>
                              <w:rPr>
                                <w:rFonts w:ascii="Cambria Math" w:eastAsia="Cambria Math" w:hAnsi="Cambria Math" w:cstheme="minorBidi"/>
                                <w:kern w:val="24"/>
                                <w:sz w:val="22"/>
                                <w:szCs w:val="22"/>
                              </w:rPr>
                              <m:t>We</m:t>
                            </m:r>
                          </m:e>
                          <m:sub>
                            <m:r>
                              <w:rPr>
                                <w:rFonts w:ascii="Cambria Math" w:eastAsia="Cambria Math" w:hAnsi="Cambria Math" w:cstheme="minorBidi"/>
                                <w:kern w:val="24"/>
                                <w:sz w:val="22"/>
                                <w:szCs w:val="22"/>
                              </w:rPr>
                              <m:t>a,τ</m:t>
                            </m:r>
                          </m:sub>
                        </m:sSub>
                      </m:den>
                    </m:f>
                  </m:e>
                </m:d>
              </m:oMath>
            </m:oMathPara>
          </w:p>
          <w:p w14:paraId="3B258C39" w14:textId="77777777" w:rsidR="00472CCA" w:rsidRPr="002E2722" w:rsidRDefault="00472CCA" w:rsidP="008058CC">
            <w:pPr>
              <w:ind w:left="0"/>
              <w:jc w:val="both"/>
              <w:rPr>
                <w:rFonts w:ascii="Bookman Old Style" w:hAnsi="Bookman Old Style"/>
                <w:i/>
                <w:iCs/>
                <w:sz w:val="22"/>
                <w:szCs w:val="22"/>
                <w:lang w:val="es-ES_tradnl"/>
              </w:rPr>
            </w:pPr>
          </w:p>
          <w:p w14:paraId="2A8144BE" w14:textId="77777777" w:rsidR="00472CCA" w:rsidRPr="002E2722" w:rsidRDefault="00472CCA" w:rsidP="008058CC">
            <w:pPr>
              <w:ind w:left="0"/>
              <w:jc w:val="both"/>
              <w:rPr>
                <w:rFonts w:ascii="Bookman Old Style" w:hAnsi="Bookman Old Style"/>
                <w:i/>
                <w:iCs/>
                <w:sz w:val="22"/>
                <w:szCs w:val="22"/>
                <w:lang w:val="es-ES_tradnl"/>
              </w:rPr>
            </w:pPr>
            <w:r w:rsidRPr="002E2722">
              <w:rPr>
                <w:rFonts w:ascii="Bookman Old Style" w:hAnsi="Bookman Old Style"/>
                <w:i/>
                <w:iCs/>
                <w:sz w:val="22"/>
                <w:szCs w:val="22"/>
                <w:lang w:val="es-ES_tradnl"/>
              </w:rPr>
              <w:t>Donde:</w:t>
            </w:r>
          </w:p>
          <w:p w14:paraId="3C37054A" w14:textId="77777777" w:rsidR="00472CCA" w:rsidRPr="002E2722" w:rsidRDefault="00472CCA" w:rsidP="008058CC">
            <w:pPr>
              <w:ind w:left="0"/>
              <w:jc w:val="both"/>
              <w:rPr>
                <w:rFonts w:ascii="Bookman Old Style" w:hAnsi="Bookman Old Style"/>
                <w:i/>
                <w:iCs/>
                <w:sz w:val="22"/>
                <w:szCs w:val="22"/>
                <w:lang w:val="es-ES_tradnl"/>
              </w:rPr>
            </w:pPr>
          </w:p>
        </w:tc>
      </w:tr>
      <w:tr w:rsidR="00472CCA" w:rsidRPr="002E2722" w14:paraId="56E38095" w14:textId="77777777" w:rsidTr="008058CC">
        <w:tc>
          <w:tcPr>
            <w:tcW w:w="1384" w:type="dxa"/>
          </w:tcPr>
          <w:p w14:paraId="213669B1" w14:textId="6EECB7DA" w:rsidR="00472CCA" w:rsidRPr="002E2722" w:rsidRDefault="004205F4" w:rsidP="008058CC">
            <w:pPr>
              <w:ind w:left="0"/>
              <w:rPr>
                <w:rFonts w:ascii="Bookman Old Style" w:hAnsi="Bookman Old Style"/>
                <w:b/>
                <w:bCs/>
                <w:i/>
                <w:iCs/>
                <w:color w:val="000000" w:themeColor="text1"/>
                <w:kern w:val="24"/>
                <w:sz w:val="22"/>
                <w:szCs w:val="22"/>
              </w:rPr>
            </w:pPr>
            <m:oMathPara>
              <m:oMathParaPr>
                <m:jc m:val="left"/>
              </m:oMathParaPr>
              <m:oMath>
                <m:sSub>
                  <m:sSubPr>
                    <m:ctrlPr>
                      <w:rPr>
                        <w:rFonts w:ascii="Cambria Math" w:eastAsia="Cambria Math" w:hAnsi="Cambria Math" w:cstheme="minorBidi"/>
                        <w:b/>
                        <w:bCs/>
                        <w:i/>
                        <w:iCs/>
                        <w:color w:val="000000" w:themeColor="text1"/>
                        <w:kern w:val="24"/>
                        <w:sz w:val="22"/>
                        <w:szCs w:val="22"/>
                      </w:rPr>
                    </m:ctrlPr>
                  </m:sSubPr>
                  <m:e>
                    <m:r>
                      <m:rPr>
                        <m:sty m:val="bi"/>
                      </m:rPr>
                      <w:rPr>
                        <w:rFonts w:ascii="Cambria Math" w:eastAsia="Cambria Math" w:hAnsi="Cambria Math" w:cstheme="minorBidi"/>
                        <w:color w:val="000000" w:themeColor="text1"/>
                        <w:kern w:val="24"/>
                        <w:sz w:val="22"/>
                        <w:szCs w:val="22"/>
                      </w:rPr>
                      <m:t>βU</m:t>
                    </m:r>
                  </m:e>
                  <m:sub>
                    <m:r>
                      <m:rPr>
                        <m:sty m:val="bi"/>
                      </m:rPr>
                      <w:rPr>
                        <w:rFonts w:ascii="Cambria Math" w:eastAsia="Cambria Math" w:hAnsi="Cambria Math" w:cstheme="minorBidi"/>
                        <w:color w:val="000000" w:themeColor="text1"/>
                        <w:kern w:val="24"/>
                        <w:sz w:val="22"/>
                        <w:szCs w:val="22"/>
                      </w:rPr>
                      <m:t>a,τ</m:t>
                    </m:r>
                  </m:sub>
                </m:sSub>
              </m:oMath>
            </m:oMathPara>
          </w:p>
        </w:tc>
        <w:tc>
          <w:tcPr>
            <w:tcW w:w="284" w:type="dxa"/>
          </w:tcPr>
          <w:p w14:paraId="3F8171A9" w14:textId="77777777" w:rsidR="00472CCA" w:rsidRPr="002E2722" w:rsidRDefault="00472CCA" w:rsidP="008058CC">
            <w:pPr>
              <w:ind w:left="0"/>
              <w:rPr>
                <w:rFonts w:ascii="Bookman Old Style" w:hAnsi="Bookman Old Style" w:cs="Arial"/>
                <w:b/>
                <w:i/>
                <w:iCs/>
                <w:sz w:val="22"/>
                <w:szCs w:val="22"/>
              </w:rPr>
            </w:pPr>
            <w:r w:rsidRPr="002E2722">
              <w:rPr>
                <w:rFonts w:ascii="Bookman Old Style" w:hAnsi="Bookman Old Style" w:cs="Arial"/>
                <w:b/>
                <w:i/>
                <w:iCs/>
                <w:sz w:val="22"/>
                <w:szCs w:val="22"/>
              </w:rPr>
              <w:t>:</w:t>
            </w:r>
          </w:p>
        </w:tc>
        <w:tc>
          <w:tcPr>
            <w:tcW w:w="7796" w:type="dxa"/>
            <w:vAlign w:val="center"/>
          </w:tcPr>
          <w:p w14:paraId="63F2295F" w14:textId="24EC75BC" w:rsidR="00472CCA" w:rsidRPr="002E2722" w:rsidRDefault="00472CCA" w:rsidP="008058CC">
            <w:pPr>
              <w:ind w:left="0"/>
              <w:jc w:val="both"/>
              <w:rPr>
                <w:rFonts w:ascii="Bookman Old Style" w:hAnsi="Bookman Old Style" w:cs="Arial"/>
                <w:i/>
                <w:iCs/>
                <w:sz w:val="22"/>
                <w:szCs w:val="22"/>
              </w:rPr>
            </w:pPr>
            <w:r w:rsidRPr="002E2722">
              <w:rPr>
                <w:rFonts w:ascii="Bookman Old Style" w:hAnsi="Bookman Old Style" w:cs="Arial"/>
                <w:i/>
                <w:iCs/>
                <w:sz w:val="22"/>
                <w:szCs w:val="22"/>
              </w:rPr>
              <w:t xml:space="preserve">Beta desapalancado para la actividad a, en el momento </w:t>
            </w:r>
            <m:oMath>
              <m:r>
                <w:rPr>
                  <w:rFonts w:ascii="Cambria Math" w:hAnsi="Cambria Math" w:cs="Arial"/>
                  <w:sz w:val="22"/>
                  <w:szCs w:val="22"/>
                </w:rPr>
                <m:t>τ</m:t>
              </m:r>
            </m:oMath>
            <w:r w:rsidRPr="002E2722">
              <w:rPr>
                <w:rFonts w:ascii="Bookman Old Style" w:hAnsi="Bookman Old Style" w:cs="Arial"/>
                <w:i/>
                <w:iCs/>
                <w:sz w:val="22"/>
                <w:szCs w:val="22"/>
              </w:rPr>
              <w:t>. El valor corresponderá a la mediana del “Beta Unlevered Raw (OLS)”, del último trimestre disponible en la fecha de cálculo, publicado por Duff &amp; Phelps en sus servicios de información, para el código industrial de referencia</w:t>
            </w:r>
            <w:r w:rsidR="00E01EDD" w:rsidRPr="002E2722">
              <w:rPr>
                <w:rFonts w:ascii="Bookman Old Style" w:hAnsi="Bookman Old Style" w:cs="Arial"/>
                <w:i/>
                <w:iCs/>
                <w:sz w:val="22"/>
                <w:szCs w:val="22"/>
              </w:rPr>
              <w:t xml:space="preserve"> (</w:t>
            </w:r>
            <w:r w:rsidR="00782AD8" w:rsidRPr="002E2722">
              <w:rPr>
                <w:rFonts w:ascii="Bookman Old Style" w:hAnsi="Bookman Old Style" w:cs="Arial"/>
                <w:i/>
                <w:iCs/>
                <w:sz w:val="22"/>
                <w:szCs w:val="22"/>
              </w:rPr>
              <w:t>G</w:t>
            </w:r>
            <w:r w:rsidR="00E01EDD" w:rsidRPr="002E2722">
              <w:rPr>
                <w:rFonts w:ascii="Bookman Old Style" w:hAnsi="Bookman Old Style" w:cs="Arial"/>
                <w:i/>
                <w:iCs/>
                <w:sz w:val="22"/>
                <w:szCs w:val="22"/>
              </w:rPr>
              <w:t xml:space="preserve">lobal </w:t>
            </w:r>
            <w:r w:rsidR="00782AD8" w:rsidRPr="002E2722">
              <w:rPr>
                <w:rFonts w:ascii="Bookman Old Style" w:hAnsi="Bookman Old Style" w:cs="Arial"/>
                <w:i/>
                <w:iCs/>
                <w:sz w:val="22"/>
                <w:szCs w:val="22"/>
              </w:rPr>
              <w:t>I</w:t>
            </w:r>
            <w:r w:rsidR="00E01EDD" w:rsidRPr="002E2722">
              <w:rPr>
                <w:rFonts w:ascii="Bookman Old Style" w:hAnsi="Bookman Old Style" w:cs="Arial"/>
                <w:i/>
                <w:iCs/>
                <w:sz w:val="22"/>
                <w:szCs w:val="22"/>
              </w:rPr>
              <w:t xml:space="preserve">ndustry </w:t>
            </w:r>
            <w:r w:rsidR="00782AD8" w:rsidRPr="002E2722">
              <w:rPr>
                <w:rFonts w:ascii="Bookman Old Style" w:hAnsi="Bookman Old Style" w:cs="Arial"/>
                <w:i/>
                <w:iCs/>
                <w:sz w:val="22"/>
                <w:szCs w:val="22"/>
              </w:rPr>
              <w:t>C</w:t>
            </w:r>
            <w:r w:rsidR="00162DA5" w:rsidRPr="002E2722">
              <w:rPr>
                <w:rFonts w:ascii="Bookman Old Style" w:hAnsi="Bookman Old Style" w:cs="Arial"/>
                <w:i/>
                <w:iCs/>
                <w:sz w:val="22"/>
                <w:szCs w:val="22"/>
              </w:rPr>
              <w:t>lassi</w:t>
            </w:r>
            <w:r w:rsidR="00E153FB" w:rsidRPr="002E2722">
              <w:rPr>
                <w:rFonts w:ascii="Bookman Old Style" w:hAnsi="Bookman Old Style" w:cs="Arial"/>
                <w:i/>
                <w:iCs/>
                <w:sz w:val="22"/>
                <w:szCs w:val="22"/>
              </w:rPr>
              <w:t xml:space="preserve">fication </w:t>
            </w:r>
            <w:r w:rsidR="00782AD8" w:rsidRPr="002E2722">
              <w:rPr>
                <w:rFonts w:ascii="Bookman Old Style" w:hAnsi="Bookman Old Style" w:cs="Arial"/>
                <w:i/>
                <w:iCs/>
                <w:sz w:val="22"/>
                <w:szCs w:val="22"/>
              </w:rPr>
              <w:t>S</w:t>
            </w:r>
            <w:r w:rsidR="00E01EDD" w:rsidRPr="002E2722">
              <w:rPr>
                <w:rFonts w:ascii="Bookman Old Style" w:hAnsi="Bookman Old Style" w:cs="Arial"/>
                <w:i/>
                <w:iCs/>
                <w:sz w:val="22"/>
                <w:szCs w:val="22"/>
              </w:rPr>
              <w:t>tandard - GIC</w:t>
            </w:r>
            <w:r w:rsidR="00C60BCD" w:rsidRPr="002E2722">
              <w:rPr>
                <w:rFonts w:ascii="Bookman Old Style" w:hAnsi="Bookman Old Style" w:cs="Arial"/>
                <w:i/>
                <w:iCs/>
                <w:sz w:val="22"/>
                <w:szCs w:val="22"/>
              </w:rPr>
              <w:t>S</w:t>
            </w:r>
            <w:r w:rsidR="00E01EDD" w:rsidRPr="002E2722">
              <w:rPr>
                <w:rFonts w:ascii="Bookman Old Style" w:hAnsi="Bookman Old Style" w:cs="Arial"/>
                <w:i/>
                <w:iCs/>
                <w:sz w:val="22"/>
                <w:szCs w:val="22"/>
              </w:rPr>
              <w:t xml:space="preserve"> Code</w:t>
            </w:r>
            <w:r w:rsidR="008C7E43" w:rsidRPr="002E2722">
              <w:rPr>
                <w:rFonts w:ascii="Bookman Old Style" w:hAnsi="Bookman Old Style" w:cs="Arial"/>
                <w:i/>
                <w:iCs/>
                <w:sz w:val="22"/>
                <w:szCs w:val="22"/>
              </w:rPr>
              <w:t xml:space="preserve"> o el que lo sustituya</w:t>
            </w:r>
            <w:r w:rsidR="00E01EDD" w:rsidRPr="002E2722">
              <w:rPr>
                <w:rFonts w:ascii="Bookman Old Style" w:hAnsi="Bookman Old Style" w:cs="Arial"/>
                <w:i/>
                <w:iCs/>
                <w:sz w:val="22"/>
                <w:szCs w:val="22"/>
              </w:rPr>
              <w:t>)</w:t>
            </w:r>
            <w:r w:rsidRPr="002E2722">
              <w:rPr>
                <w:rFonts w:ascii="Bookman Old Style" w:hAnsi="Bookman Old Style" w:cs="Arial"/>
                <w:i/>
                <w:iCs/>
                <w:sz w:val="22"/>
                <w:szCs w:val="22"/>
              </w:rPr>
              <w:t>, correspondiente a la actividad a, el cual establecerá la Comisión en resolución aparte.</w:t>
            </w:r>
          </w:p>
          <w:p w14:paraId="078F9C25" w14:textId="77777777" w:rsidR="00472CCA" w:rsidRPr="002E2722" w:rsidRDefault="00472CCA" w:rsidP="008058CC">
            <w:pPr>
              <w:ind w:left="0"/>
              <w:jc w:val="both"/>
              <w:rPr>
                <w:rFonts w:ascii="Bookman Old Style" w:hAnsi="Bookman Old Style" w:cs="Arial"/>
                <w:i/>
                <w:iCs/>
                <w:sz w:val="22"/>
                <w:szCs w:val="22"/>
              </w:rPr>
            </w:pPr>
          </w:p>
          <w:p w14:paraId="00C9A159" w14:textId="77777777" w:rsidR="005047AF" w:rsidRPr="002E2722" w:rsidRDefault="005047AF" w:rsidP="008058CC">
            <w:pPr>
              <w:ind w:left="0"/>
              <w:jc w:val="both"/>
              <w:rPr>
                <w:rFonts w:ascii="Bookman Old Style" w:hAnsi="Bookman Old Style" w:cs="Arial"/>
                <w:i/>
                <w:iCs/>
                <w:sz w:val="22"/>
                <w:szCs w:val="22"/>
              </w:rPr>
            </w:pPr>
          </w:p>
          <w:p w14:paraId="5C2A1E91" w14:textId="2B65F08A" w:rsidR="005047AF" w:rsidRPr="002E2722" w:rsidRDefault="005047AF" w:rsidP="008058CC">
            <w:pPr>
              <w:ind w:left="0"/>
              <w:jc w:val="both"/>
              <w:rPr>
                <w:rFonts w:ascii="Bookman Old Style" w:hAnsi="Bookman Old Style" w:cs="Arial"/>
                <w:i/>
                <w:iCs/>
                <w:sz w:val="22"/>
                <w:szCs w:val="22"/>
              </w:rPr>
            </w:pPr>
          </w:p>
        </w:tc>
      </w:tr>
      <w:tr w:rsidR="00472CCA" w:rsidRPr="002E2722" w14:paraId="4A586BCB" w14:textId="77777777" w:rsidTr="008058CC">
        <w:tc>
          <w:tcPr>
            <w:tcW w:w="1384" w:type="dxa"/>
          </w:tcPr>
          <w:p w14:paraId="70C8C126" w14:textId="7AD001C4" w:rsidR="00472CCA" w:rsidRPr="002E2722" w:rsidRDefault="003A26C0" w:rsidP="008058CC">
            <w:pPr>
              <w:ind w:left="0"/>
              <w:rPr>
                <w:rFonts w:ascii="Bookman Old Style" w:hAnsi="Bookman Old Style"/>
                <w:b/>
                <w:bCs/>
                <w:i/>
                <w:iCs/>
                <w:color w:val="000000" w:themeColor="text1"/>
                <w:kern w:val="24"/>
                <w:sz w:val="22"/>
                <w:szCs w:val="22"/>
              </w:rPr>
            </w:pPr>
            <m:oMathPara>
              <m:oMathParaPr>
                <m:jc m:val="left"/>
              </m:oMathParaPr>
              <m:oMath>
                <m:r>
                  <m:rPr>
                    <m:sty m:val="bi"/>
                  </m:rPr>
                  <w:rPr>
                    <w:rFonts w:ascii="Cambria Math" w:eastAsia="Cambria Math" w:hAnsi="Cambria Math" w:cstheme="minorBidi"/>
                    <w:kern w:val="24"/>
                    <w:sz w:val="22"/>
                    <w:szCs w:val="22"/>
                  </w:rPr>
                  <m:t>Δ</m:t>
                </m:r>
                <m:sSub>
                  <m:sSubPr>
                    <m:ctrlPr>
                      <w:rPr>
                        <w:rFonts w:ascii="Cambria Math" w:eastAsia="Cambria Math" w:hAnsi="Cambria Math" w:cstheme="minorBidi"/>
                        <w:b/>
                        <w:i/>
                        <w:iCs/>
                        <w:kern w:val="24"/>
                        <w:sz w:val="22"/>
                        <w:szCs w:val="22"/>
                      </w:rPr>
                    </m:ctrlPr>
                  </m:sSubPr>
                  <m:e>
                    <m:r>
                      <m:rPr>
                        <m:sty m:val="bi"/>
                      </m:rPr>
                      <w:rPr>
                        <w:rFonts w:ascii="Cambria Math" w:eastAsia="Cambria Math" w:hAnsi="Cambria Math" w:cstheme="minorBidi"/>
                        <w:kern w:val="24"/>
                        <w:sz w:val="22"/>
                        <w:szCs w:val="22"/>
                      </w:rPr>
                      <m:t>β</m:t>
                    </m:r>
                  </m:e>
                  <m:sub>
                    <m:r>
                      <m:rPr>
                        <m:sty m:val="bi"/>
                      </m:rPr>
                      <w:rPr>
                        <w:rFonts w:ascii="Cambria Math" w:eastAsia="Cambria Math" w:hAnsi="Cambria Math" w:cstheme="minorBidi"/>
                        <w:kern w:val="24"/>
                        <w:sz w:val="22"/>
                        <w:szCs w:val="22"/>
                      </w:rPr>
                      <m:t>a</m:t>
                    </m:r>
                  </m:sub>
                </m:sSub>
              </m:oMath>
            </m:oMathPara>
          </w:p>
        </w:tc>
        <w:tc>
          <w:tcPr>
            <w:tcW w:w="284" w:type="dxa"/>
          </w:tcPr>
          <w:p w14:paraId="60A6B3A8" w14:textId="77777777" w:rsidR="00472CCA" w:rsidRPr="002E2722" w:rsidRDefault="00472CCA" w:rsidP="008058CC">
            <w:pPr>
              <w:ind w:left="0"/>
              <w:rPr>
                <w:rFonts w:ascii="Bookman Old Style" w:hAnsi="Bookman Old Style" w:cs="Arial"/>
                <w:b/>
                <w:i/>
                <w:iCs/>
                <w:sz w:val="22"/>
                <w:szCs w:val="22"/>
              </w:rPr>
            </w:pPr>
            <w:r w:rsidRPr="002E2722">
              <w:rPr>
                <w:rFonts w:ascii="Bookman Old Style" w:hAnsi="Bookman Old Style" w:cs="Arial"/>
                <w:b/>
                <w:i/>
                <w:iCs/>
                <w:sz w:val="22"/>
                <w:szCs w:val="22"/>
              </w:rPr>
              <w:t>:</w:t>
            </w:r>
          </w:p>
        </w:tc>
        <w:tc>
          <w:tcPr>
            <w:tcW w:w="7796" w:type="dxa"/>
            <w:vAlign w:val="center"/>
          </w:tcPr>
          <w:p w14:paraId="764720C0" w14:textId="78D61011" w:rsidR="00472CCA" w:rsidRPr="002E2722" w:rsidRDefault="00472CCA" w:rsidP="008058CC">
            <w:pPr>
              <w:ind w:left="0"/>
              <w:jc w:val="both"/>
              <w:rPr>
                <w:rFonts w:ascii="Bookman Old Style" w:hAnsi="Bookman Old Style" w:cs="Arial"/>
                <w:i/>
                <w:iCs/>
                <w:sz w:val="22"/>
                <w:szCs w:val="22"/>
              </w:rPr>
            </w:pPr>
            <w:r w:rsidRPr="002E2722">
              <w:rPr>
                <w:rFonts w:ascii="Bookman Old Style" w:hAnsi="Bookman Old Style" w:cs="Arial"/>
                <w:i/>
                <w:iCs/>
                <w:sz w:val="22"/>
                <w:szCs w:val="22"/>
              </w:rPr>
              <w:t>Ajuste al beta desapalancado de la actividad a, por diferencias en el esquema de remuneración con el país del mercado de referencia, aplicable solo para la actividades que hacen parte del servicio público de energía eléctrica o del servicio público de gas combustible.</w:t>
            </w:r>
          </w:p>
          <w:p w14:paraId="21C05518" w14:textId="77777777" w:rsidR="00472CCA" w:rsidRPr="002E2722" w:rsidRDefault="00472CCA" w:rsidP="008058CC">
            <w:pPr>
              <w:ind w:left="0"/>
              <w:jc w:val="both"/>
              <w:rPr>
                <w:rFonts w:ascii="Bookman Old Style" w:hAnsi="Bookman Old Style" w:cs="Arial"/>
                <w:i/>
                <w:iCs/>
                <w:sz w:val="22"/>
                <w:szCs w:val="22"/>
              </w:rPr>
            </w:pPr>
          </w:p>
          <w:p w14:paraId="6A8D508F" w14:textId="33D0323A" w:rsidR="00472CCA" w:rsidRPr="002E2722" w:rsidRDefault="00472CCA" w:rsidP="008058CC">
            <w:pPr>
              <w:ind w:left="0"/>
              <w:jc w:val="both"/>
              <w:rPr>
                <w:rFonts w:ascii="Bookman Old Style" w:hAnsi="Bookman Old Style" w:cs="Arial"/>
                <w:i/>
                <w:iCs/>
                <w:sz w:val="22"/>
                <w:szCs w:val="22"/>
              </w:rPr>
            </w:pPr>
            <w:r w:rsidRPr="002E2722">
              <w:rPr>
                <w:rFonts w:ascii="Bookman Old Style" w:hAnsi="Bookman Old Style" w:cs="Arial"/>
                <w:i/>
                <w:iCs/>
                <w:sz w:val="22"/>
                <w:szCs w:val="22"/>
              </w:rPr>
              <w:t xml:space="preserve">Se calcula como la diferencia entre las medianas de los “Unlevered Beta Raw (OLS)”, de la clasificación </w:t>
            </w:r>
            <w:r w:rsidR="00A41767" w:rsidRPr="002E2722">
              <w:rPr>
                <w:rFonts w:ascii="Bookman Old Style" w:hAnsi="Bookman Old Style" w:cs="Arial"/>
                <w:i/>
                <w:iCs/>
                <w:sz w:val="22"/>
                <w:szCs w:val="22"/>
              </w:rPr>
              <w:t>G</w:t>
            </w:r>
            <w:r w:rsidR="009B6F02" w:rsidRPr="002E2722">
              <w:rPr>
                <w:rFonts w:ascii="Bookman Old Style" w:hAnsi="Bookman Old Style" w:cs="Arial"/>
                <w:i/>
                <w:iCs/>
                <w:sz w:val="22"/>
                <w:szCs w:val="22"/>
              </w:rPr>
              <w:t>I</w:t>
            </w:r>
            <w:r w:rsidR="00A41767" w:rsidRPr="002E2722">
              <w:rPr>
                <w:rFonts w:ascii="Bookman Old Style" w:hAnsi="Bookman Old Style" w:cs="Arial"/>
                <w:i/>
                <w:iCs/>
                <w:sz w:val="22"/>
                <w:szCs w:val="22"/>
              </w:rPr>
              <w:t xml:space="preserve">CS </w:t>
            </w:r>
            <w:r w:rsidRPr="002E2722">
              <w:rPr>
                <w:rFonts w:ascii="Bookman Old Style" w:hAnsi="Bookman Old Style" w:cs="Arial"/>
                <w:i/>
                <w:iCs/>
                <w:sz w:val="22"/>
                <w:szCs w:val="22"/>
              </w:rPr>
              <w:t xml:space="preserve">55 (“Utilities”) de Reino Unido (UK) y de la clasificación </w:t>
            </w:r>
            <w:r w:rsidR="00A41767" w:rsidRPr="002E2722">
              <w:rPr>
                <w:rFonts w:ascii="Bookman Old Style" w:hAnsi="Bookman Old Style" w:cs="Arial"/>
                <w:i/>
                <w:iCs/>
                <w:sz w:val="22"/>
                <w:szCs w:val="22"/>
              </w:rPr>
              <w:t>G</w:t>
            </w:r>
            <w:r w:rsidR="009B6F02" w:rsidRPr="002E2722">
              <w:rPr>
                <w:rFonts w:ascii="Bookman Old Style" w:hAnsi="Bookman Old Style" w:cs="Arial"/>
                <w:i/>
                <w:iCs/>
                <w:sz w:val="22"/>
                <w:szCs w:val="22"/>
              </w:rPr>
              <w:t>I</w:t>
            </w:r>
            <w:r w:rsidR="00A41767" w:rsidRPr="002E2722">
              <w:rPr>
                <w:rFonts w:ascii="Bookman Old Style" w:hAnsi="Bookman Old Style" w:cs="Arial"/>
                <w:i/>
                <w:iCs/>
                <w:sz w:val="22"/>
                <w:szCs w:val="22"/>
              </w:rPr>
              <w:t xml:space="preserve">CS </w:t>
            </w:r>
            <w:r w:rsidR="008E0017" w:rsidRPr="002E2722">
              <w:rPr>
                <w:rFonts w:ascii="Bookman Old Style" w:hAnsi="Bookman Old Style" w:cs="Arial"/>
                <w:i/>
                <w:iCs/>
                <w:sz w:val="22"/>
                <w:szCs w:val="22"/>
              </w:rPr>
              <w:t>55</w:t>
            </w:r>
            <w:r w:rsidRPr="002E2722">
              <w:rPr>
                <w:rFonts w:ascii="Bookman Old Style" w:hAnsi="Bookman Old Style" w:cs="Arial"/>
                <w:i/>
                <w:iCs/>
                <w:sz w:val="22"/>
                <w:szCs w:val="22"/>
              </w:rPr>
              <w:t xml:space="preserve"> (“</w:t>
            </w:r>
            <w:r w:rsidR="00B34278" w:rsidRPr="002E2722">
              <w:rPr>
                <w:rFonts w:ascii="Bookman Old Style" w:hAnsi="Bookman Old Style" w:cs="Arial"/>
                <w:i/>
                <w:iCs/>
                <w:sz w:val="22"/>
                <w:szCs w:val="22"/>
              </w:rPr>
              <w:t>Utilities</w:t>
            </w:r>
            <w:r w:rsidRPr="002E2722">
              <w:rPr>
                <w:rFonts w:ascii="Bookman Old Style" w:hAnsi="Bookman Old Style" w:cs="Arial"/>
                <w:i/>
                <w:iCs/>
                <w:sz w:val="22"/>
                <w:szCs w:val="22"/>
              </w:rPr>
              <w:t>”) de Estados Unidos (USA), del último trimestre disponible</w:t>
            </w:r>
            <w:r w:rsidR="0028341A" w:rsidRPr="002E2722">
              <w:rPr>
                <w:rFonts w:ascii="Bookman Old Style" w:hAnsi="Bookman Old Style" w:cs="Arial"/>
                <w:i/>
                <w:iCs/>
                <w:sz w:val="22"/>
                <w:szCs w:val="22"/>
              </w:rPr>
              <w:t>,</w:t>
            </w:r>
            <w:r w:rsidRPr="002E2722">
              <w:rPr>
                <w:rFonts w:ascii="Bookman Old Style" w:hAnsi="Bookman Old Style" w:cs="Arial"/>
                <w:i/>
                <w:iCs/>
                <w:sz w:val="22"/>
                <w:szCs w:val="22"/>
              </w:rPr>
              <w:t xml:space="preserve"> </w:t>
            </w:r>
            <w:r w:rsidR="0028341A" w:rsidRPr="002E2722">
              <w:rPr>
                <w:rFonts w:ascii="Bookman Old Style" w:hAnsi="Bookman Old Style" w:cs="Arial"/>
                <w:i/>
                <w:iCs/>
                <w:sz w:val="22"/>
                <w:szCs w:val="22"/>
              </w:rPr>
              <w:t xml:space="preserve">coincidente para ambas referencias, </w:t>
            </w:r>
            <w:r w:rsidRPr="002E2722">
              <w:rPr>
                <w:rFonts w:ascii="Bookman Old Style" w:hAnsi="Bookman Old Style" w:cs="Arial"/>
                <w:i/>
                <w:iCs/>
                <w:sz w:val="22"/>
                <w:szCs w:val="22"/>
              </w:rPr>
              <w:t>en la fecha de cálculo, publicado por Duff &amp; Phelps en sus servicios de información.</w:t>
            </w:r>
          </w:p>
        </w:tc>
      </w:tr>
    </w:tbl>
    <w:p w14:paraId="36C0D52A" w14:textId="77777777" w:rsidR="000776BE" w:rsidRPr="002E2722" w:rsidRDefault="000776BE" w:rsidP="000776BE">
      <w:pPr>
        <w:ind w:left="0"/>
        <w:jc w:val="both"/>
        <w:rPr>
          <w:rFonts w:ascii="Bookman Old Style" w:hAnsi="Bookman Old Style" w:cs="Arial"/>
          <w:sz w:val="28"/>
          <w:szCs w:val="28"/>
        </w:rPr>
      </w:pPr>
    </w:p>
    <w:p w14:paraId="1EBE6C06" w14:textId="5CA8EFA6" w:rsidR="000776BE" w:rsidRPr="000C48DA" w:rsidRDefault="000776BE" w:rsidP="00F74E0C">
      <w:pPr>
        <w:pStyle w:val="Ttulo1"/>
        <w:ind w:left="0"/>
        <w:jc w:val="both"/>
        <w:rPr>
          <w:rFonts w:ascii="Bookman Old Style" w:hAnsi="Bookman Old Style" w:cs="Arial"/>
          <w:b w:val="0"/>
        </w:rPr>
      </w:pPr>
      <w:r w:rsidRPr="000C48DA">
        <w:rPr>
          <w:rFonts w:ascii="Bookman Old Style" w:hAnsi="Bookman Old Style" w:cs="Arial"/>
        </w:rPr>
        <w:t xml:space="preserve">ARTÍCULO </w:t>
      </w:r>
      <w:r w:rsidR="00847699" w:rsidRPr="000C48DA">
        <w:rPr>
          <w:rFonts w:ascii="Bookman Old Style" w:hAnsi="Bookman Old Style" w:cs="Arial"/>
        </w:rPr>
        <w:t>5</w:t>
      </w:r>
      <w:r w:rsidRPr="000C48DA">
        <w:rPr>
          <w:rFonts w:ascii="Bookman Old Style" w:hAnsi="Bookman Old Style" w:cs="Arial"/>
        </w:rPr>
        <w:t xml:space="preserve">. Vigencia. </w:t>
      </w:r>
      <w:r w:rsidRPr="000C48DA">
        <w:rPr>
          <w:rFonts w:ascii="Bookman Old Style" w:hAnsi="Bookman Old Style" w:cs="Arial"/>
          <w:b w:val="0"/>
          <w:spacing w:val="-4"/>
        </w:rPr>
        <w:t xml:space="preserve">La presente resolución rige a partir de la fecha de su publicación en el </w:t>
      </w:r>
      <w:r w:rsidRPr="000C48DA">
        <w:rPr>
          <w:rFonts w:ascii="Bookman Old Style" w:hAnsi="Bookman Old Style" w:cs="Arial"/>
          <w:b w:val="0"/>
          <w:i/>
          <w:spacing w:val="-4"/>
        </w:rPr>
        <w:t>Diario Oficial</w:t>
      </w:r>
      <w:r w:rsidR="009D7745">
        <w:rPr>
          <w:rFonts w:ascii="Bookman Old Style" w:hAnsi="Bookman Old Style" w:cs="Arial"/>
          <w:b w:val="0"/>
          <w:i/>
          <w:spacing w:val="-4"/>
        </w:rPr>
        <w:t>,</w:t>
      </w:r>
      <w:r w:rsidR="005D4CE8">
        <w:rPr>
          <w:rFonts w:ascii="Bookman Old Style" w:hAnsi="Bookman Old Style" w:cs="Arial"/>
          <w:b w:val="0"/>
          <w:i/>
          <w:spacing w:val="-4"/>
        </w:rPr>
        <w:t xml:space="preserve"> </w:t>
      </w:r>
      <w:r w:rsidR="005D4CE8" w:rsidRPr="009D7745">
        <w:rPr>
          <w:rFonts w:ascii="Bookman Old Style" w:hAnsi="Bookman Old Style" w:cs="Arial"/>
          <w:b w:val="0"/>
          <w:iCs/>
          <w:spacing w:val="-4"/>
        </w:rPr>
        <w:t>modifica la Resolución</w:t>
      </w:r>
      <w:r w:rsidR="005D4CE8">
        <w:rPr>
          <w:rFonts w:ascii="Bookman Old Style" w:hAnsi="Bookman Old Style" w:cs="Arial"/>
          <w:b w:val="0"/>
          <w:iCs/>
          <w:spacing w:val="-4"/>
        </w:rPr>
        <w:t xml:space="preserve"> CREG 004 de 2021</w:t>
      </w:r>
      <w:r w:rsidRPr="000C48DA">
        <w:rPr>
          <w:rFonts w:ascii="Bookman Old Style" w:hAnsi="Bookman Old Style" w:cs="Arial"/>
          <w:b w:val="0"/>
          <w:spacing w:val="-4"/>
        </w:rPr>
        <w:t xml:space="preserve"> y deroga todas las disposiciones que le sean contrarias.</w:t>
      </w:r>
    </w:p>
    <w:bookmarkEnd w:id="1"/>
    <w:p w14:paraId="445B598D" w14:textId="77777777" w:rsidR="000776BE" w:rsidRPr="000C48DA" w:rsidRDefault="000776BE" w:rsidP="000776BE">
      <w:pPr>
        <w:jc w:val="center"/>
        <w:rPr>
          <w:rFonts w:ascii="Bookman Old Style" w:hAnsi="Bookman Old Style"/>
          <w:b/>
        </w:rPr>
      </w:pPr>
    </w:p>
    <w:p w14:paraId="7F875B86" w14:textId="77777777" w:rsidR="000776BE" w:rsidRPr="000C48DA" w:rsidRDefault="000776BE" w:rsidP="00874130">
      <w:pPr>
        <w:ind w:left="0"/>
        <w:jc w:val="center"/>
        <w:rPr>
          <w:rFonts w:ascii="Bookman Old Style" w:hAnsi="Bookman Old Style"/>
          <w:b/>
        </w:rPr>
      </w:pPr>
      <w:r w:rsidRPr="000C48DA">
        <w:rPr>
          <w:rFonts w:ascii="Bookman Old Style" w:hAnsi="Bookman Old Style"/>
          <w:b/>
        </w:rPr>
        <w:t>PUBLÍQUESE Y CÚMPLASE</w:t>
      </w:r>
    </w:p>
    <w:p w14:paraId="06CF13B4" w14:textId="77777777" w:rsidR="000776BE" w:rsidRPr="000C48DA" w:rsidRDefault="000776BE" w:rsidP="000776BE">
      <w:pPr>
        <w:ind w:left="0"/>
        <w:rPr>
          <w:rFonts w:ascii="Bookman Old Style" w:hAnsi="Bookman Old Style"/>
        </w:rPr>
      </w:pPr>
    </w:p>
    <w:p w14:paraId="2A9C689B" w14:textId="093C4403" w:rsidR="00C71FD6" w:rsidRPr="006F7F9E" w:rsidRDefault="006F7F9E" w:rsidP="000776BE">
      <w:pPr>
        <w:ind w:left="0"/>
        <w:rPr>
          <w:rFonts w:ascii="Bookman Old Style" w:hAnsi="Bookman Old Style"/>
          <w:b/>
          <w:bCs/>
        </w:rPr>
      </w:pPr>
      <w:r>
        <w:rPr>
          <w:rFonts w:ascii="Bookman Old Style" w:hAnsi="Bookman Old Style"/>
        </w:rPr>
        <w:t xml:space="preserve">Dada en Bogotá, D.C. a </w:t>
      </w:r>
      <w:r w:rsidRPr="006F7F9E">
        <w:rPr>
          <w:rFonts w:ascii="Bookman Old Style" w:hAnsi="Bookman Old Style"/>
          <w:b/>
          <w:bCs/>
        </w:rPr>
        <w:t>16 JUN. 2021</w:t>
      </w:r>
    </w:p>
    <w:p w14:paraId="71A26AC2" w14:textId="77777777" w:rsidR="005047AF" w:rsidRPr="000C48DA" w:rsidRDefault="005047AF" w:rsidP="000776BE">
      <w:pPr>
        <w:ind w:left="0"/>
        <w:rPr>
          <w:rFonts w:ascii="Bookman Old Style" w:hAnsi="Bookman Old Style"/>
        </w:rPr>
      </w:pPr>
    </w:p>
    <w:p w14:paraId="6BD90D77" w14:textId="649B4D07" w:rsidR="00C71FD6" w:rsidRDefault="00C71FD6" w:rsidP="000776BE">
      <w:pPr>
        <w:ind w:left="0"/>
        <w:rPr>
          <w:rFonts w:ascii="Bookman Old Style" w:hAnsi="Bookman Old Style"/>
        </w:rPr>
      </w:pPr>
    </w:p>
    <w:p w14:paraId="34E6EC0C" w14:textId="77777777" w:rsidR="006F7F9E" w:rsidRDefault="006F7F9E" w:rsidP="000776BE">
      <w:pPr>
        <w:ind w:left="0"/>
        <w:rPr>
          <w:rFonts w:ascii="Bookman Old Style" w:hAnsi="Bookman Old Style"/>
        </w:rPr>
      </w:pPr>
    </w:p>
    <w:p w14:paraId="5B805074" w14:textId="77777777" w:rsidR="006F7F9E" w:rsidRPr="000C48DA" w:rsidRDefault="006F7F9E" w:rsidP="000776BE">
      <w:pPr>
        <w:ind w:left="0"/>
        <w:rPr>
          <w:rFonts w:ascii="Bookman Old Style" w:hAnsi="Bookman Old Style"/>
        </w:rPr>
      </w:pPr>
    </w:p>
    <w:p w14:paraId="796F5FC9" w14:textId="77777777" w:rsidR="00C71FD6" w:rsidRPr="000C48DA" w:rsidRDefault="00C71FD6" w:rsidP="000776BE">
      <w:pPr>
        <w:ind w:left="0"/>
        <w:rPr>
          <w:rFonts w:ascii="Bookman Old Style" w:hAnsi="Bookman Old Style"/>
        </w:rPr>
      </w:pPr>
    </w:p>
    <w:tbl>
      <w:tblPr>
        <w:tblW w:w="9781" w:type="dxa"/>
        <w:jc w:val="center"/>
        <w:tblLayout w:type="fixed"/>
        <w:tblCellMar>
          <w:left w:w="70" w:type="dxa"/>
          <w:right w:w="70" w:type="dxa"/>
        </w:tblCellMar>
        <w:tblLook w:val="04A0" w:firstRow="1" w:lastRow="0" w:firstColumn="1" w:lastColumn="0" w:noHBand="0" w:noVBand="1"/>
      </w:tblPr>
      <w:tblGrid>
        <w:gridCol w:w="4962"/>
        <w:gridCol w:w="4819"/>
      </w:tblGrid>
      <w:tr w:rsidR="000776BE" w:rsidRPr="000C48DA" w14:paraId="783C3CEA" w14:textId="77777777" w:rsidTr="000A5729">
        <w:trPr>
          <w:jc w:val="center"/>
        </w:trPr>
        <w:tc>
          <w:tcPr>
            <w:tcW w:w="4962" w:type="dxa"/>
            <w:hideMark/>
          </w:tcPr>
          <w:p w14:paraId="1DDBB5DC" w14:textId="039C0117" w:rsidR="000776BE" w:rsidRPr="009D7745" w:rsidRDefault="004E113C" w:rsidP="000A5729">
            <w:pPr>
              <w:ind w:left="-142" w:firstLine="142"/>
              <w:jc w:val="center"/>
              <w:rPr>
                <w:rFonts w:ascii="Bookman Old Style" w:hAnsi="Bookman Old Style" w:cs="Arial"/>
                <w:b/>
                <w:spacing w:val="-3"/>
                <w:lang w:val="es-ES_tradnl"/>
              </w:rPr>
            </w:pPr>
            <w:r w:rsidRPr="009D7745">
              <w:rPr>
                <w:rFonts w:ascii="Bookman Old Style" w:hAnsi="Bookman Old Style" w:cs="Arial"/>
                <w:b/>
                <w:spacing w:val="-3"/>
              </w:rPr>
              <w:t>MIGUEL LOTERO ROBLEDO</w:t>
            </w:r>
          </w:p>
        </w:tc>
        <w:tc>
          <w:tcPr>
            <w:tcW w:w="4819" w:type="dxa"/>
            <w:hideMark/>
          </w:tcPr>
          <w:p w14:paraId="10DC8DE5" w14:textId="5CB710D7" w:rsidR="000776BE" w:rsidRPr="000C48DA" w:rsidRDefault="000776BE" w:rsidP="00F67EAC">
            <w:pPr>
              <w:ind w:left="19" w:right="-142"/>
              <w:jc w:val="center"/>
              <w:rPr>
                <w:rFonts w:ascii="Bookman Old Style" w:hAnsi="Bookman Old Style" w:cs="Arial"/>
                <w:b/>
                <w:spacing w:val="-3"/>
                <w:lang w:val="es-ES_tradnl"/>
              </w:rPr>
            </w:pPr>
            <w:r w:rsidRPr="000C48DA">
              <w:rPr>
                <w:rFonts w:ascii="Bookman Old Style" w:hAnsi="Bookman Old Style" w:cs="Arial"/>
                <w:b/>
                <w:spacing w:val="-3"/>
                <w:lang w:val="es-ES_tradnl"/>
              </w:rPr>
              <w:t xml:space="preserve">JORGE </w:t>
            </w:r>
            <w:r w:rsidR="000A5729" w:rsidRPr="000C48DA">
              <w:rPr>
                <w:rFonts w:ascii="Bookman Old Style" w:hAnsi="Bookman Old Style" w:cs="Arial"/>
                <w:b/>
                <w:spacing w:val="-3"/>
                <w:lang w:val="es-ES_tradnl"/>
              </w:rPr>
              <w:t>ALBERTO VALENCIA MARÍN</w:t>
            </w:r>
          </w:p>
        </w:tc>
      </w:tr>
      <w:tr w:rsidR="000776BE" w:rsidRPr="000C48DA" w14:paraId="56EA0A9D" w14:textId="77777777" w:rsidTr="000A5729">
        <w:trPr>
          <w:jc w:val="center"/>
        </w:trPr>
        <w:tc>
          <w:tcPr>
            <w:tcW w:w="4962" w:type="dxa"/>
            <w:hideMark/>
          </w:tcPr>
          <w:p w14:paraId="39F9DC16" w14:textId="1F4579B1" w:rsidR="000776BE" w:rsidRPr="009D7745" w:rsidRDefault="004E113C" w:rsidP="00F67EAC">
            <w:pPr>
              <w:ind w:left="0"/>
              <w:jc w:val="center"/>
              <w:rPr>
                <w:rFonts w:ascii="Bookman Old Style" w:hAnsi="Bookman Old Style" w:cs="Arial"/>
                <w:spacing w:val="-3"/>
                <w:lang w:val="es-ES_tradnl"/>
              </w:rPr>
            </w:pPr>
            <w:r w:rsidRPr="009D7745">
              <w:rPr>
                <w:rFonts w:ascii="Bookman Old Style" w:hAnsi="Bookman Old Style" w:cs="Arial"/>
                <w:spacing w:val="-3"/>
                <w:lang w:val="es-ES_tradnl"/>
              </w:rPr>
              <w:t>Vice</w:t>
            </w:r>
            <w:r w:rsidR="000B1133" w:rsidRPr="009D7745">
              <w:rPr>
                <w:rFonts w:ascii="Bookman Old Style" w:hAnsi="Bookman Old Style" w:cs="Arial"/>
                <w:spacing w:val="-3"/>
                <w:lang w:val="es-ES_tradnl"/>
              </w:rPr>
              <w:t>m</w:t>
            </w:r>
            <w:r w:rsidR="000776BE" w:rsidRPr="009D7745">
              <w:rPr>
                <w:rFonts w:ascii="Bookman Old Style" w:hAnsi="Bookman Old Style" w:cs="Arial"/>
                <w:spacing w:val="-3"/>
                <w:lang w:val="es-ES_tradnl"/>
              </w:rPr>
              <w:t>inistr</w:t>
            </w:r>
            <w:r w:rsidR="00560A2A" w:rsidRPr="009D7745">
              <w:rPr>
                <w:rFonts w:ascii="Bookman Old Style" w:hAnsi="Bookman Old Style" w:cs="Arial"/>
                <w:spacing w:val="-3"/>
                <w:lang w:val="es-ES_tradnl"/>
              </w:rPr>
              <w:t>o</w:t>
            </w:r>
            <w:r w:rsidR="000776BE" w:rsidRPr="009D7745">
              <w:rPr>
                <w:rFonts w:ascii="Bookman Old Style" w:hAnsi="Bookman Old Style" w:cs="Arial"/>
                <w:spacing w:val="-3"/>
                <w:lang w:val="es-ES_tradnl"/>
              </w:rPr>
              <w:t xml:space="preserve"> de</w:t>
            </w:r>
            <w:r w:rsidR="000B1133" w:rsidRPr="009D7745">
              <w:rPr>
                <w:rFonts w:ascii="Bookman Old Style" w:hAnsi="Bookman Old Style" w:cs="Arial"/>
                <w:spacing w:val="-3"/>
                <w:lang w:val="es-ES_tradnl"/>
              </w:rPr>
              <w:t xml:space="preserve"> Energía</w:t>
            </w:r>
            <w:r w:rsidR="00720C79">
              <w:rPr>
                <w:rFonts w:ascii="Bookman Old Style" w:hAnsi="Bookman Old Style" w:cs="Arial"/>
                <w:spacing w:val="-3"/>
                <w:lang w:val="es-ES_tradnl"/>
              </w:rPr>
              <w:t>, d</w:t>
            </w:r>
            <w:r w:rsidR="000B1133" w:rsidRPr="009D7745">
              <w:rPr>
                <w:rFonts w:ascii="Bookman Old Style" w:hAnsi="Bookman Old Style" w:cs="Arial"/>
                <w:spacing w:val="-3"/>
                <w:lang w:val="es-ES_tradnl"/>
              </w:rPr>
              <w:t>elegado del Ministro de</w:t>
            </w:r>
            <w:r w:rsidR="000776BE" w:rsidRPr="009D7745">
              <w:rPr>
                <w:rFonts w:ascii="Bookman Old Style" w:hAnsi="Bookman Old Style" w:cs="Arial"/>
                <w:spacing w:val="-3"/>
                <w:lang w:val="es-ES_tradnl"/>
              </w:rPr>
              <w:t xml:space="preserve"> Minas y Energía </w:t>
            </w:r>
          </w:p>
          <w:p w14:paraId="417D143B" w14:textId="77777777" w:rsidR="000776BE" w:rsidRPr="009D7745" w:rsidRDefault="000776BE" w:rsidP="00F67EAC">
            <w:pPr>
              <w:ind w:left="0"/>
              <w:jc w:val="center"/>
              <w:rPr>
                <w:rFonts w:ascii="Bookman Old Style" w:hAnsi="Bookman Old Style" w:cs="Arial"/>
                <w:spacing w:val="-3"/>
                <w:lang w:val="es-ES_tradnl"/>
              </w:rPr>
            </w:pPr>
            <w:r w:rsidRPr="009D7745">
              <w:rPr>
                <w:rFonts w:ascii="Bookman Old Style" w:hAnsi="Bookman Old Style" w:cs="Arial"/>
                <w:spacing w:val="-3"/>
              </w:rPr>
              <w:t>Presidente</w:t>
            </w:r>
            <w:r w:rsidRPr="009D7745" w:rsidDel="00F9100C">
              <w:rPr>
                <w:rFonts w:ascii="Bookman Old Style" w:hAnsi="Bookman Old Style" w:cs="Arial"/>
                <w:spacing w:val="-3"/>
                <w:lang w:val="es-ES_tradnl"/>
              </w:rPr>
              <w:t xml:space="preserve"> </w:t>
            </w:r>
          </w:p>
        </w:tc>
        <w:tc>
          <w:tcPr>
            <w:tcW w:w="4819" w:type="dxa"/>
            <w:hideMark/>
          </w:tcPr>
          <w:p w14:paraId="767DE5E9" w14:textId="77777777" w:rsidR="000776BE" w:rsidRPr="000C48DA" w:rsidRDefault="000776BE" w:rsidP="00F67EAC">
            <w:pPr>
              <w:jc w:val="center"/>
              <w:rPr>
                <w:rFonts w:ascii="Bookman Old Style" w:hAnsi="Bookman Old Style" w:cs="Arial"/>
                <w:spacing w:val="-3"/>
                <w:lang w:val="es-ES_tradnl"/>
              </w:rPr>
            </w:pPr>
            <w:r w:rsidRPr="000C48DA">
              <w:rPr>
                <w:rFonts w:ascii="Bookman Old Style" w:hAnsi="Bookman Old Style" w:cs="Arial"/>
                <w:spacing w:val="-3"/>
                <w:lang w:val="es-ES_tradnl"/>
              </w:rPr>
              <w:t>Director Ejecutivo</w:t>
            </w:r>
          </w:p>
        </w:tc>
      </w:tr>
    </w:tbl>
    <w:p w14:paraId="5ADA5C45" w14:textId="77777777" w:rsidR="00B103F1" w:rsidRPr="000C48DA" w:rsidRDefault="00B103F1" w:rsidP="00F03292">
      <w:pPr>
        <w:ind w:left="0"/>
        <w:rPr>
          <w:rFonts w:ascii="Bookman Old Style" w:hAnsi="Bookman Old Style"/>
        </w:rPr>
      </w:pPr>
    </w:p>
    <w:sectPr w:rsidR="00B103F1" w:rsidRPr="000C48DA" w:rsidSect="002301BC">
      <w:headerReference w:type="default" r:id="rId13"/>
      <w:headerReference w:type="first" r:id="rId14"/>
      <w:type w:val="continuous"/>
      <w:pgSz w:w="12242" w:h="18722" w:code="123"/>
      <w:pgMar w:top="2341" w:right="1185" w:bottom="1758" w:left="184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20AC69" w14:textId="77777777" w:rsidR="00477E96" w:rsidRDefault="00477E96">
      <w:r>
        <w:separator/>
      </w:r>
    </w:p>
  </w:endnote>
  <w:endnote w:type="continuationSeparator" w:id="0">
    <w:p w14:paraId="21185FE0" w14:textId="77777777" w:rsidR="00477E96" w:rsidRDefault="00477E96">
      <w:r>
        <w:continuationSeparator/>
      </w:r>
    </w:p>
  </w:endnote>
  <w:endnote w:type="continuationNotice" w:id="1">
    <w:p w14:paraId="396A2D8B" w14:textId="77777777" w:rsidR="00477E96" w:rsidRDefault="00477E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alatino">
    <w:altName w:val="Book Antiqua"/>
    <w:panose1 w:val="00000000000000000000"/>
    <w:charset w:val="4D"/>
    <w:family w:val="auto"/>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1C95D8" w14:textId="77777777" w:rsidR="00477E96" w:rsidRDefault="00477E96">
      <w:r>
        <w:separator/>
      </w:r>
    </w:p>
  </w:footnote>
  <w:footnote w:type="continuationSeparator" w:id="0">
    <w:p w14:paraId="6359EAA3" w14:textId="77777777" w:rsidR="00477E96" w:rsidRDefault="00477E96">
      <w:r>
        <w:continuationSeparator/>
      </w:r>
    </w:p>
  </w:footnote>
  <w:footnote w:type="continuationNotice" w:id="1">
    <w:p w14:paraId="7A926357" w14:textId="77777777" w:rsidR="00477E96" w:rsidRDefault="00477E9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A6D717" w14:textId="77777777" w:rsidR="003D60DE" w:rsidRDefault="003D60DE" w:rsidP="00951F79">
    <w:pPr>
      <w:pStyle w:val="Ttulo1"/>
      <w:ind w:right="6"/>
      <w:jc w:val="left"/>
      <w:rPr>
        <w:rFonts w:ascii="Bookman Old Style" w:hAnsi="Bookman Old Style" w:cs="Arial"/>
        <w:b w:val="0"/>
        <w:sz w:val="22"/>
        <w:szCs w:val="22"/>
      </w:rPr>
    </w:pPr>
  </w:p>
  <w:p w14:paraId="4C96798D" w14:textId="4C7EF3D2" w:rsidR="003D60DE" w:rsidRPr="00951F79" w:rsidRDefault="003D60DE"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w:t>
    </w:r>
    <w:r>
      <w:rPr>
        <w:rFonts w:ascii="Bookman Old Style" w:hAnsi="Bookman Old Style" w:cs="Arial"/>
        <w:b w:val="0"/>
        <w:sz w:val="22"/>
        <w:szCs w:val="22"/>
        <w:u w:val="single"/>
      </w:rPr>
      <w:t xml:space="preserve">     </w:t>
    </w:r>
    <w:r w:rsidR="005047AF" w:rsidRPr="005047AF">
      <w:rPr>
        <w:rFonts w:ascii="Bookman Old Style" w:hAnsi="Bookman Old Style" w:cs="Arial"/>
        <w:bCs/>
        <w:szCs w:val="24"/>
        <w:u w:val="single"/>
      </w:rPr>
      <w:t>0</w:t>
    </w:r>
    <w:r w:rsidR="006F7F9E">
      <w:rPr>
        <w:rFonts w:ascii="Bookman Old Style" w:hAnsi="Bookman Old Style" w:cs="Arial"/>
        <w:bCs/>
        <w:szCs w:val="24"/>
        <w:u w:val="single"/>
      </w:rPr>
      <w:t>73</w:t>
    </w:r>
    <w:r>
      <w:rPr>
        <w:rFonts w:ascii="Bookman Old Style" w:hAnsi="Bookman Old Style" w:cs="Arial"/>
        <w:b w:val="0"/>
        <w:sz w:val="22"/>
        <w:szCs w:val="22"/>
        <w:u w:val="single"/>
      </w:rPr>
      <w:t xml:space="preserve">      </w:t>
    </w:r>
    <w:r>
      <w:rPr>
        <w:rFonts w:ascii="Bookman Old Style" w:hAnsi="Bookman Old Style" w:cs="Arial"/>
        <w:b w:val="0"/>
        <w:sz w:val="22"/>
        <w:szCs w:val="22"/>
      </w:rPr>
      <w:t xml:space="preserve">DE </w:t>
    </w:r>
    <w:r>
      <w:rPr>
        <w:rFonts w:ascii="Bookman Old Style" w:hAnsi="Bookman Old Style" w:cs="Arial"/>
        <w:b w:val="0"/>
        <w:sz w:val="22"/>
        <w:szCs w:val="22"/>
        <w:u w:val="single"/>
      </w:rPr>
      <w:t xml:space="preserve">      </w:t>
    </w:r>
    <w:r w:rsidR="006F7F9E">
      <w:rPr>
        <w:rFonts w:ascii="Bookman Old Style" w:hAnsi="Bookman Old Style" w:cs="Arial"/>
        <w:bCs/>
        <w:szCs w:val="24"/>
        <w:u w:val="single"/>
      </w:rPr>
      <w:t>16</w:t>
    </w:r>
    <w:r w:rsidRPr="005047AF">
      <w:rPr>
        <w:rFonts w:ascii="Bookman Old Style" w:hAnsi="Bookman Old Style" w:cs="Arial"/>
        <w:bCs/>
        <w:szCs w:val="24"/>
        <w:u w:val="single"/>
      </w:rPr>
      <w:t xml:space="preserve"> </w:t>
    </w:r>
    <w:r w:rsidR="005047AF">
      <w:rPr>
        <w:rFonts w:ascii="Bookman Old Style" w:hAnsi="Bookman Old Style" w:cs="Arial"/>
        <w:bCs/>
        <w:szCs w:val="24"/>
        <w:u w:val="single"/>
      </w:rPr>
      <w:t xml:space="preserve"> </w:t>
    </w:r>
    <w:r w:rsidR="00F32FD1">
      <w:rPr>
        <w:rFonts w:ascii="Bookman Old Style" w:hAnsi="Bookman Old Style" w:cs="Arial"/>
        <w:bCs/>
        <w:szCs w:val="24"/>
        <w:u w:val="single"/>
      </w:rPr>
      <w:t>JUN</w:t>
    </w:r>
    <w:r w:rsidR="005047AF">
      <w:rPr>
        <w:rFonts w:ascii="Bookman Old Style" w:hAnsi="Bookman Old Style" w:cs="Arial"/>
        <w:bCs/>
        <w:szCs w:val="24"/>
        <w:u w:val="single"/>
      </w:rPr>
      <w:t>. 2021</w:t>
    </w:r>
    <w:r>
      <w:rPr>
        <w:rFonts w:ascii="Bookman Old Style" w:hAnsi="Bookman Old Style" w:cs="Arial"/>
        <w:b w:val="0"/>
        <w:sz w:val="22"/>
        <w:szCs w:val="22"/>
        <w:u w:val="single"/>
      </w:rPr>
      <w:t xml:space="preserve">        </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44087E">
      <w:rPr>
        <w:rFonts w:ascii="Bookman Old Style" w:hAnsi="Bookman Old Style" w:cs="Arial"/>
        <w:b w:val="0"/>
        <w:noProof/>
        <w:sz w:val="22"/>
        <w:szCs w:val="22"/>
      </w:rPr>
      <w:t>6</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NUMPAGES  \* MERGEFORMAT">
      <w:r w:rsidR="0044087E" w:rsidRPr="0044087E">
        <w:rPr>
          <w:rFonts w:ascii="Bookman Old Style" w:hAnsi="Bookman Old Style" w:cs="Arial"/>
          <w:b w:val="0"/>
          <w:noProof/>
          <w:sz w:val="22"/>
          <w:szCs w:val="22"/>
        </w:rPr>
        <w:t>6</w:t>
      </w:r>
    </w:fldSimple>
  </w:p>
  <w:p w14:paraId="43C1FB27" w14:textId="77777777" w:rsidR="003D60DE" w:rsidRDefault="003D60DE"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60800" behindDoc="0" locked="0" layoutInCell="1" allowOverlap="1" wp14:anchorId="28D51891" wp14:editId="057818A4">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rect w14:anchorId="49446954" id="Rectangle 1" o:spid="_x0000_s1026" style="position:absolute;margin-left:-13.8pt;margin-top:10.95pt;width:493.5pt;height:779.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HonGwIAABUEAAAOAAAAZHJzL2Uyb0RvYy54bWysU1Fv0zAQfkfiP1h+p0mrrlujptPUMYQ0&#10;YGLwA1zHSSxsnzm7Tcev5+y0pcAbIg+WL3f33XffnVe3B2vYXmHQ4Go+nZScKSeh0a6r+dcvD29u&#10;OAtRuEYYcKrmLyrw2/XrV6vBV2oGPZhGISMQF6rB17yP0VdFEWSvrAgT8MqRswW0IpKJXdGgGAjd&#10;mmJWlotiAGw8glQh0N/70cnXGb9tlYyf2jaoyEzNiVvMJ+Zzm85ivRJVh8L3Wh5piH9gYYV2VPQM&#10;dS+iYDvUf0FZLRECtHEiwRbQtlqq3AN1My3/6Oa5F17lXkic4M8yhf8HKz/un5DppuYzzpywNKLP&#10;JJpwnVFsmuQZfKgo6tk/YWow+EeQ3wJzsOkpSt0hwtAr0RCpHF/8lpCMQKlsO3yAhtDFLkJW6tCi&#10;TYCkATvkgbycB6IOkUn6uZgtrudXNDdJvuWyLJezPLJCVKd0jyG+U2BZutQciXyGF/vHEIk+hZ5C&#10;UjUHD9qYPHXj2ECclyUVyJ2B0U3yZgO77cYg24u0OPlLYhBauAyzOtL6Gm1rfnMOElXS461rcpko&#10;tBnvlGwcYZw0GbXdQvNC+iCMu0lviS494A/OBtrLmofvO4GKM/PekcbL6XyeFjkb86trEoThpWd7&#10;6RFOElTNI2fjdRPH5d951F1Plaa5dwd3NJdWZ8USv5HVkSztXm79+E7Scl/aOerXa17/BAAA//8D&#10;AFBLAwQUAAYACAAAACEAVxZBWOMAAAALAQAADwAAAGRycy9kb3ducmV2LnhtbEyPQUvDQBCF74L/&#10;YRnBi7SbhDZNYjalCJ4UpNFCe9vujkkwuxuz2zb9944nPQ7v471vyvVkenbG0XfOCojnETC0yunO&#10;NgI+3p9nGTAfpNWydxYFXNHDurq9KWWh3cVu8VyHhlGJ9YUU0IYwFJx71aKRfu4GtJR9utHIQOfY&#10;cD3KC5WbnidRlHIjO0sLrRzwqUX1VZ+MgIdFavRu/30dD/XLfveWqc2rV0Lc302bR2ABp/AHw68+&#10;qUNFTkd3stqzXsAsWaWECkjiHBgB+TJfADsSucziGHhV8v8/VD8AAAD//wMAUEsBAi0AFAAGAAgA&#10;AAAhALaDOJL+AAAA4QEAABMAAAAAAAAAAAAAAAAAAAAAAFtDb250ZW50X1R5cGVzXS54bWxQSwEC&#10;LQAUAAYACAAAACEAOP0h/9YAAACUAQAACwAAAAAAAAAAAAAAAAAvAQAAX3JlbHMvLnJlbHNQSwEC&#10;LQAUAAYACAAAACEAbkR6JxsCAAAVBAAADgAAAAAAAAAAAAAAAAAuAgAAZHJzL2Uyb0RvYy54bWxQ&#10;SwECLQAUAAYACAAAACEAVxZBWOMAAAALAQAADwAAAAAAAAAAAAAAAAB1BAAAZHJzL2Rvd25yZXYu&#10;eG1sUEsFBgAAAAAEAAQA8wAAAIUFAAAAAA==&#10;" filled="f" strokeweight="1.5pt"/>
          </w:pict>
        </mc:Fallback>
      </mc:AlternateContent>
    </w:r>
  </w:p>
  <w:p w14:paraId="03CCD459" w14:textId="57FE8C05" w:rsidR="003D60DE" w:rsidRPr="005047AF" w:rsidRDefault="00CE7CB0" w:rsidP="00D949ED">
    <w:pPr>
      <w:pBdr>
        <w:bottom w:val="single" w:sz="4" w:space="1" w:color="auto"/>
      </w:pBdr>
      <w:ind w:left="0" w:right="148"/>
      <w:jc w:val="both"/>
      <w:rPr>
        <w:b/>
      </w:rPr>
    </w:pPr>
    <w:r>
      <w:rPr>
        <w:rFonts w:ascii="Bookman Old Style" w:hAnsi="Bookman Old Style" w:cs="Arial"/>
      </w:rPr>
      <w:t xml:space="preserve">Por la cual se </w:t>
    </w:r>
    <w:r w:rsidR="0096098E">
      <w:rPr>
        <w:rFonts w:ascii="Bookman Old Style" w:hAnsi="Bookman Old Style" w:cs="Arial"/>
      </w:rPr>
      <w:t>modifica</w:t>
    </w:r>
    <w:r>
      <w:rPr>
        <w:rFonts w:ascii="Bookman Old Style" w:hAnsi="Bookman Old Style" w:cs="Arial"/>
      </w:rPr>
      <w:t xml:space="preserve"> la Resolución CREG 004 de 2021</w:t>
    </w:r>
    <w:r w:rsidR="003D60DE" w:rsidRPr="005047AF">
      <w:rPr>
        <w:rFonts w:ascii="Bookman Old Style" w:hAnsi="Bookman Old Style" w:cs="Arial"/>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D1C9EC" w14:textId="77777777" w:rsidR="003D60DE" w:rsidRDefault="003D60DE"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583C3E5F" w14:textId="77777777" w:rsidR="003D60DE" w:rsidRDefault="003D60DE">
    <w:pPr>
      <w:pStyle w:val="Encabezado"/>
      <w:jc w:val="center"/>
      <w:rPr>
        <w:rFonts w:ascii="Arial" w:hAnsi="Arial" w:cs="Arial"/>
        <w:spacing w:val="20"/>
        <w:sz w:val="20"/>
      </w:rPr>
    </w:pPr>
  </w:p>
  <w:p w14:paraId="1A31A1F9" w14:textId="77777777" w:rsidR="003D60DE" w:rsidRDefault="003D60DE"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613D664E" wp14:editId="0B8AB89F">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w:pict>
            <v:rect w14:anchorId="19B23C2B" id="Rectangle 2" o:spid="_x0000_s1026"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XWGgIAABUEAAAOAAAAZHJzL2Uyb0RvYy54bWysU9uOEzEMfUfiH6K80+mddtTpatVlEdIC&#10;KxY+IM1kOhFJHJy00/L162S6pcAbYh4ie+wcHx87q5ujNeygMGhwFR8NhpwpJ6HWblfxb1/v3yw4&#10;C1G4WhhwquInFfjN+vWrVedLNYYWTK2QEYgLZecr3sboy6IIslVWhAF45SjYAFoRycVdUaPoCN2a&#10;YjwczosOsPYIUoVAf+/6IF9n/KZRMn5umqAiMxUnbjGfmM9tOov1SpQ7FL7V8kxD/AMLK7Sjoheo&#10;OxEF26P+C8pqiRCgiQMJtoCm0VLlHqib0fCPbp5a4VXuhcQJ/iJT+H+w8tPhEZmuaXacOWFpRF9I&#10;NOF2RrFxkqfzoaSsJ/+IqcHgH0B+D8zBpqUsdYsIXatETaRGKb/47UJyAl1l2+4j1IQu9hGyUscG&#10;bQIkDdgxD+R0GYg6Ribp53wyncxnNDdJseVispyMZ7mGKF+uewzxvQLLklFxJPIZXhweQkx0RPmS&#10;kqo5uNfG5KkbxzrivBxSgdwZGF2naHZwt90YZAeRFid/58LhOs3qSOtrtK344pIkyqTHO1fnMlFo&#10;09tExbizQEmTXtst1CfSB6HfTXpLZLSAPznraC8rHn7sBSrOzAdHGi9H02la5OxMZ2/H5OB1ZHsd&#10;EU4SVMUjZ725if3y7z3qXUuVRrl3B7c0l0ZnxdLMelZnsrR7WcjzO0nLfe3nrF+vef0MAAD//wMA&#10;UEsDBBQABgAIAAAAIQCocJCu4gAAAAsBAAAPAAAAZHJzL2Rvd25yZXYueG1sTI/BTsMwDIbvSLxD&#10;ZCQuaEthW9SWptOExAkkRGHSuGVJaCsapyTZ1r095gQ3W/70+/ur9eQGdrQh9h4l3M4zYBa1Nz22&#10;Et7fHmc5sJgUGjV4tBLONsK6vryoVGn8CV/tsUktoxCMpZLQpTSWnEfdWafi3I8W6fbpg1OJ1tBy&#10;E9SJwt3A77JMcKd6pA+dGu1DZ/VXc3ASbpbCme3u+xw+mqfd9iXXm+eopby+mjb3wJKd0h8Mv/qk&#10;DjU57f0BTWSDhNliIQiVsCqWwAgoxIqGPZEiywvgdcX/d6h/AAAA//8DAFBLAQItABQABgAIAAAA&#10;IQC2gziS/gAAAOEBAAATAAAAAAAAAAAAAAAAAAAAAABbQ29udGVudF9UeXBlc10ueG1sUEsBAi0A&#10;FAAGAAgAAAAhADj9If/WAAAAlAEAAAsAAAAAAAAAAAAAAAAALwEAAF9yZWxzLy5yZWxzUEsBAi0A&#10;FAAGAAgAAAAhAAFNddYaAgAAFQQAAA4AAAAAAAAAAAAAAAAALgIAAGRycy9lMm9Eb2MueG1sUEsB&#10;Ai0AFAAGAAgAAAAhAKhwkK7iAAAACwEAAA8AAAAAAAAAAAAAAAAAdAQAAGRycy9kb3ducmV2Lnht&#10;bFBLBQYAAAAABAAEAPMAAACDBQA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2"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8794D7A"/>
    <w:multiLevelType w:val="multilevel"/>
    <w:tmpl w:val="3F9A4DFE"/>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5" w15:restartNumberingAfterBreak="0">
    <w:nsid w:val="0DD8419B"/>
    <w:multiLevelType w:val="multilevel"/>
    <w:tmpl w:val="03E4A9A8"/>
    <w:lvl w:ilvl="0">
      <w:start w:val="1"/>
      <w:numFmt w:val="decimal"/>
      <w:lvlText w:val="Artículo %1."/>
      <w:lvlJc w:val="right"/>
      <w:pPr>
        <w:tabs>
          <w:tab w:val="num" w:pos="1524"/>
        </w:tabs>
        <w:ind w:left="-197" w:firstLine="1474"/>
      </w:pPr>
      <w:rPr>
        <w:rFonts w:ascii="Bookman Old Style" w:hAnsi="Bookman Old Style" w:hint="default"/>
        <w:b/>
        <w:i w:val="0"/>
        <w:color w:val="auto"/>
        <w:sz w:val="24"/>
      </w:rPr>
    </w:lvl>
    <w:lvl w:ilvl="1">
      <w:start w:val="1"/>
      <w:numFmt w:val="decimal"/>
      <w:lvlText w:val="%1.%2"/>
      <w:lvlJc w:val="left"/>
      <w:pPr>
        <w:tabs>
          <w:tab w:val="num" w:pos="437"/>
        </w:tabs>
        <w:ind w:left="-283" w:firstLine="0"/>
      </w:pPr>
      <w:rPr>
        <w:rFonts w:hint="default"/>
      </w:rPr>
    </w:lvl>
    <w:lvl w:ilvl="2">
      <w:start w:val="1"/>
      <w:numFmt w:val="decimal"/>
      <w:lvlText w:val="%3."/>
      <w:lvlJc w:val="left"/>
      <w:pPr>
        <w:tabs>
          <w:tab w:val="num" w:pos="437"/>
        </w:tabs>
        <w:ind w:left="-283" w:firstLine="0"/>
      </w:pPr>
      <w:rPr>
        <w:rFonts w:hint="default"/>
      </w:rPr>
    </w:lvl>
    <w:lvl w:ilvl="3">
      <w:start w:val="1"/>
      <w:numFmt w:val="decimal"/>
      <w:lvlText w:val="%1.%2.%3.%4"/>
      <w:lvlJc w:val="right"/>
      <w:pPr>
        <w:tabs>
          <w:tab w:val="num" w:pos="77"/>
        </w:tabs>
        <w:ind w:left="-283" w:firstLine="0"/>
      </w:pPr>
      <w:rPr>
        <w:rFonts w:hint="default"/>
      </w:rPr>
    </w:lvl>
    <w:lvl w:ilvl="4">
      <w:start w:val="1"/>
      <w:numFmt w:val="lowerLetter"/>
      <w:lvlText w:val="%5)"/>
      <w:lvlJc w:val="left"/>
      <w:pPr>
        <w:tabs>
          <w:tab w:val="num" w:pos="77"/>
        </w:tabs>
        <w:ind w:left="-283" w:firstLine="0"/>
      </w:pPr>
      <w:rPr>
        <w:rFonts w:hint="default"/>
        <w:b/>
      </w:rPr>
    </w:lvl>
    <w:lvl w:ilvl="5">
      <w:start w:val="1"/>
      <w:numFmt w:val="lowerRoman"/>
      <w:lvlText w:val="%6)"/>
      <w:lvlJc w:val="left"/>
      <w:pPr>
        <w:tabs>
          <w:tab w:val="num" w:pos="437"/>
        </w:tabs>
        <w:ind w:left="-283" w:firstLine="0"/>
      </w:pPr>
      <w:rPr>
        <w:rFonts w:hint="default"/>
      </w:rPr>
    </w:lvl>
    <w:lvl w:ilvl="6">
      <w:start w:val="1"/>
      <w:numFmt w:val="lowerRoman"/>
      <w:lvlText w:val="%7)"/>
      <w:lvlJc w:val="right"/>
      <w:pPr>
        <w:tabs>
          <w:tab w:val="num" w:pos="77"/>
        </w:tabs>
        <w:ind w:left="-283" w:firstLine="0"/>
      </w:pPr>
      <w:rPr>
        <w:rFonts w:hint="default"/>
      </w:rPr>
    </w:lvl>
    <w:lvl w:ilvl="7">
      <w:start w:val="1"/>
      <w:numFmt w:val="lowerLetter"/>
      <w:lvlText w:val="%7.%8."/>
      <w:lvlJc w:val="left"/>
      <w:pPr>
        <w:tabs>
          <w:tab w:val="num" w:pos="437"/>
        </w:tabs>
        <w:ind w:left="-283" w:firstLine="0"/>
      </w:pPr>
      <w:rPr>
        <w:rFonts w:hint="default"/>
      </w:rPr>
    </w:lvl>
    <w:lvl w:ilvl="8">
      <w:start w:val="1"/>
      <w:numFmt w:val="lowerRoman"/>
      <w:lvlText w:val="%9."/>
      <w:lvlJc w:val="right"/>
      <w:pPr>
        <w:tabs>
          <w:tab w:val="num" w:pos="77"/>
        </w:tabs>
        <w:ind w:left="-283" w:firstLine="0"/>
      </w:pPr>
      <w:rPr>
        <w:rFonts w:hint="default"/>
      </w:rPr>
    </w:lvl>
  </w:abstractNum>
  <w:abstractNum w:abstractNumId="6" w15:restartNumberingAfterBreak="0">
    <w:nsid w:val="0DF36714"/>
    <w:multiLevelType w:val="hybridMultilevel"/>
    <w:tmpl w:val="0F70A1FA"/>
    <w:lvl w:ilvl="0" w:tplc="0C0A000F">
      <w:start w:val="1"/>
      <w:numFmt w:val="decimal"/>
      <w:pStyle w:val="VietaLetra0"/>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F9E48D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8" w15:restartNumberingAfterBreak="0">
    <w:nsid w:val="11DA002F"/>
    <w:multiLevelType w:val="singleLevel"/>
    <w:tmpl w:val="BA1E8352"/>
    <w:lvl w:ilvl="0">
      <w:start w:val="1"/>
      <w:numFmt w:val="lowerLetter"/>
      <w:lvlText w:val="%1)"/>
      <w:legacy w:legacy="1" w:legacySpace="0" w:legacyIndent="283"/>
      <w:lvlJc w:val="left"/>
      <w:pPr>
        <w:ind w:left="283" w:hanging="283"/>
      </w:pPr>
    </w:lvl>
  </w:abstractNum>
  <w:abstractNum w:abstractNumId="9" w15:restartNumberingAfterBreak="0">
    <w:nsid w:val="1D296148"/>
    <w:multiLevelType w:val="multilevel"/>
    <w:tmpl w:val="3F9A4DFE"/>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0" w15:restartNumberingAfterBreak="0">
    <w:nsid w:val="25FD1A9C"/>
    <w:multiLevelType w:val="hybridMultilevel"/>
    <w:tmpl w:val="1638A23C"/>
    <w:lvl w:ilvl="0" w:tplc="24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7162351"/>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2" w15:restartNumberingAfterBreak="0">
    <w:nsid w:val="2A0B158F"/>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3" w15:restartNumberingAfterBreak="0">
    <w:nsid w:val="2DE72191"/>
    <w:multiLevelType w:val="multilevel"/>
    <w:tmpl w:val="03E4A9A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4" w15:restartNumberingAfterBreak="0">
    <w:nsid w:val="3C071598"/>
    <w:multiLevelType w:val="multilevel"/>
    <w:tmpl w:val="84E26B96"/>
    <w:lvl w:ilvl="0">
      <w:start w:val="1"/>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5" w15:restartNumberingAfterBreak="0">
    <w:nsid w:val="3CB81FEB"/>
    <w:multiLevelType w:val="hybridMultilevel"/>
    <w:tmpl w:val="9EC0B1CE"/>
    <w:lvl w:ilvl="0" w:tplc="FFFFFFFF">
      <w:start w:val="1"/>
      <w:numFmt w:val="upperLetter"/>
      <w:pStyle w:val="Ttulo2"/>
      <w:lvlText w:val="%1."/>
      <w:lvlJc w:val="left"/>
      <w:pPr>
        <w:tabs>
          <w:tab w:val="num" w:pos="502"/>
        </w:tabs>
        <w:ind w:left="502" w:hanging="360"/>
      </w:pPr>
      <w:rPr>
        <w:rFonts w:hint="default"/>
        <w:b/>
      </w:rPr>
    </w:lvl>
    <w:lvl w:ilvl="1" w:tplc="FFFFFFFF" w:tentative="1">
      <w:start w:val="1"/>
      <w:numFmt w:val="lowerLetter"/>
      <w:lvlText w:val="%2."/>
      <w:lvlJc w:val="left"/>
      <w:pPr>
        <w:tabs>
          <w:tab w:val="num" w:pos="1222"/>
        </w:tabs>
        <w:ind w:left="1222" w:hanging="360"/>
      </w:pPr>
    </w:lvl>
    <w:lvl w:ilvl="2" w:tplc="FFFFFFFF" w:tentative="1">
      <w:start w:val="1"/>
      <w:numFmt w:val="lowerRoman"/>
      <w:lvlText w:val="%3."/>
      <w:lvlJc w:val="right"/>
      <w:pPr>
        <w:tabs>
          <w:tab w:val="num" w:pos="1942"/>
        </w:tabs>
        <w:ind w:left="1942" w:hanging="180"/>
      </w:pPr>
    </w:lvl>
    <w:lvl w:ilvl="3" w:tplc="FFFFFFFF" w:tentative="1">
      <w:start w:val="1"/>
      <w:numFmt w:val="decimal"/>
      <w:lvlText w:val="%4."/>
      <w:lvlJc w:val="left"/>
      <w:pPr>
        <w:tabs>
          <w:tab w:val="num" w:pos="2662"/>
        </w:tabs>
        <w:ind w:left="2662" w:hanging="360"/>
      </w:pPr>
    </w:lvl>
    <w:lvl w:ilvl="4" w:tplc="FFFFFFFF" w:tentative="1">
      <w:start w:val="1"/>
      <w:numFmt w:val="lowerLetter"/>
      <w:lvlText w:val="%5."/>
      <w:lvlJc w:val="left"/>
      <w:pPr>
        <w:tabs>
          <w:tab w:val="num" w:pos="3382"/>
        </w:tabs>
        <w:ind w:left="3382" w:hanging="360"/>
      </w:pPr>
    </w:lvl>
    <w:lvl w:ilvl="5" w:tplc="FFFFFFFF" w:tentative="1">
      <w:start w:val="1"/>
      <w:numFmt w:val="lowerRoman"/>
      <w:lvlText w:val="%6."/>
      <w:lvlJc w:val="right"/>
      <w:pPr>
        <w:tabs>
          <w:tab w:val="num" w:pos="4102"/>
        </w:tabs>
        <w:ind w:left="4102" w:hanging="180"/>
      </w:pPr>
    </w:lvl>
    <w:lvl w:ilvl="6" w:tplc="FFFFFFFF" w:tentative="1">
      <w:start w:val="1"/>
      <w:numFmt w:val="decimal"/>
      <w:lvlText w:val="%7."/>
      <w:lvlJc w:val="left"/>
      <w:pPr>
        <w:tabs>
          <w:tab w:val="num" w:pos="4822"/>
        </w:tabs>
        <w:ind w:left="4822" w:hanging="360"/>
      </w:pPr>
    </w:lvl>
    <w:lvl w:ilvl="7" w:tplc="FFFFFFFF" w:tentative="1">
      <w:start w:val="1"/>
      <w:numFmt w:val="lowerLetter"/>
      <w:lvlText w:val="%8."/>
      <w:lvlJc w:val="left"/>
      <w:pPr>
        <w:tabs>
          <w:tab w:val="num" w:pos="5542"/>
        </w:tabs>
        <w:ind w:left="5542" w:hanging="360"/>
      </w:pPr>
    </w:lvl>
    <w:lvl w:ilvl="8" w:tplc="FFFFFFFF" w:tentative="1">
      <w:start w:val="1"/>
      <w:numFmt w:val="lowerRoman"/>
      <w:lvlText w:val="%9."/>
      <w:lvlJc w:val="right"/>
      <w:pPr>
        <w:tabs>
          <w:tab w:val="num" w:pos="6262"/>
        </w:tabs>
        <w:ind w:left="6262" w:hanging="180"/>
      </w:pPr>
    </w:lvl>
  </w:abstractNum>
  <w:abstractNum w:abstractNumId="16" w15:restartNumberingAfterBreak="0">
    <w:nsid w:val="407A5C89"/>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7" w15:restartNumberingAfterBreak="0">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45D53516"/>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9" w15:restartNumberingAfterBreak="0">
    <w:nsid w:val="47FD66D2"/>
    <w:multiLevelType w:val="hybridMultilevel"/>
    <w:tmpl w:val="BAE805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B8A3246"/>
    <w:multiLevelType w:val="multilevel"/>
    <w:tmpl w:val="80AE207E"/>
    <w:name w:val="WW8Num6423"/>
    <w:lvl w:ilvl="0">
      <w:start w:val="20"/>
      <w:numFmt w:val="decimal"/>
      <w:lvlText w:val="Artículo %1."/>
      <w:lvlJc w:val="right"/>
      <w:pPr>
        <w:tabs>
          <w:tab w:val="num" w:pos="1834"/>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lowerLetter"/>
      <w:lvlText w:val="(%3)"/>
      <w:lvlJc w:val="left"/>
      <w:pPr>
        <w:tabs>
          <w:tab w:val="num" w:pos="360"/>
        </w:tabs>
        <w:ind w:left="0" w:firstLine="0"/>
      </w:pPr>
      <w:rPr>
        <w:rFonts w:hint="default"/>
      </w:rPr>
    </w:lvl>
    <w:lvl w:ilvl="3">
      <w:start w:val="1"/>
      <w:numFmt w:val="lowerRoman"/>
      <w:lvlText w:val="(%4)"/>
      <w:lvlJc w:val="right"/>
      <w:pPr>
        <w:tabs>
          <w:tab w:val="num" w:pos="360"/>
        </w:tabs>
        <w:ind w:left="0" w:firstLine="0"/>
      </w:pPr>
      <w:rPr>
        <w:rFonts w:hint="default"/>
      </w:rPr>
    </w:lvl>
    <w:lvl w:ilvl="4">
      <w:start w:val="1"/>
      <w:numFmt w:val="decimal"/>
      <w:lvlText w:val="%5)"/>
      <w:lvlJc w:val="left"/>
      <w:pPr>
        <w:tabs>
          <w:tab w:val="num" w:pos="360"/>
        </w:tabs>
        <w:ind w:left="0" w:firstLine="0"/>
      </w:pPr>
      <w:rPr>
        <w:rFonts w:hint="default"/>
      </w:rPr>
    </w:lvl>
    <w:lvl w:ilvl="5">
      <w:start w:val="1"/>
      <w:numFmt w:val="lowerLetter"/>
      <w:lvlText w:val="%6)"/>
      <w:lvlJc w:val="left"/>
      <w:pPr>
        <w:tabs>
          <w:tab w:val="num" w:pos="36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1" w15:restartNumberingAfterBreak="0">
    <w:nsid w:val="4E0D017C"/>
    <w:multiLevelType w:val="hybridMultilevel"/>
    <w:tmpl w:val="6226BC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0FC163B"/>
    <w:multiLevelType w:val="multilevel"/>
    <w:tmpl w:val="03E4A9A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3" w15:restartNumberingAfterBreak="0">
    <w:nsid w:val="543C3C22"/>
    <w:multiLevelType w:val="hybridMultilevel"/>
    <w:tmpl w:val="5026343E"/>
    <w:lvl w:ilvl="0" w:tplc="240A0017">
      <w:start w:val="1"/>
      <w:numFmt w:val="lowerLetter"/>
      <w:lvlText w:val="%1)"/>
      <w:lvlJc w:val="left"/>
      <w:pPr>
        <w:tabs>
          <w:tab w:val="num" w:pos="720"/>
        </w:tabs>
        <w:ind w:left="720" w:hanging="360"/>
      </w:pPr>
      <w:rPr>
        <w:rFont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86D0904"/>
    <w:multiLevelType w:val="hybridMultilevel"/>
    <w:tmpl w:val="27822F88"/>
    <w:name w:val="SECCION22"/>
    <w:lvl w:ilvl="0" w:tplc="FFFFFFFF">
      <w:start w:val="1"/>
      <w:numFmt w:val="lowerLetter"/>
      <w:lvlText w:val="%1)"/>
      <w:lvlJc w:val="left"/>
      <w:pPr>
        <w:ind w:left="360" w:hanging="360"/>
      </w:pPr>
    </w:lvl>
    <w:lvl w:ilvl="1" w:tplc="FFFFFFFF" w:tentative="1">
      <w:start w:val="1"/>
      <w:numFmt w:val="lowerLetter"/>
      <w:lvlText w:val="%2."/>
      <w:lvlJc w:val="left"/>
      <w:pPr>
        <w:ind w:left="2924" w:hanging="360"/>
      </w:pPr>
    </w:lvl>
    <w:lvl w:ilvl="2" w:tplc="FFFFFFFF" w:tentative="1">
      <w:start w:val="1"/>
      <w:numFmt w:val="lowerRoman"/>
      <w:lvlText w:val="%3."/>
      <w:lvlJc w:val="right"/>
      <w:pPr>
        <w:ind w:left="3644" w:hanging="180"/>
      </w:pPr>
    </w:lvl>
    <w:lvl w:ilvl="3" w:tplc="FFFFFFFF" w:tentative="1">
      <w:start w:val="1"/>
      <w:numFmt w:val="decimal"/>
      <w:lvlText w:val="%4."/>
      <w:lvlJc w:val="left"/>
      <w:pPr>
        <w:ind w:left="4364" w:hanging="360"/>
      </w:pPr>
    </w:lvl>
    <w:lvl w:ilvl="4" w:tplc="FFFFFFFF" w:tentative="1">
      <w:start w:val="1"/>
      <w:numFmt w:val="lowerLetter"/>
      <w:lvlText w:val="%5."/>
      <w:lvlJc w:val="left"/>
      <w:pPr>
        <w:ind w:left="5084" w:hanging="360"/>
      </w:pPr>
    </w:lvl>
    <w:lvl w:ilvl="5" w:tplc="FFFFFFFF" w:tentative="1">
      <w:start w:val="1"/>
      <w:numFmt w:val="lowerRoman"/>
      <w:lvlText w:val="%6."/>
      <w:lvlJc w:val="right"/>
      <w:pPr>
        <w:ind w:left="5804" w:hanging="180"/>
      </w:pPr>
    </w:lvl>
    <w:lvl w:ilvl="6" w:tplc="FFFFFFFF" w:tentative="1">
      <w:start w:val="1"/>
      <w:numFmt w:val="decimal"/>
      <w:lvlText w:val="%7."/>
      <w:lvlJc w:val="left"/>
      <w:pPr>
        <w:ind w:left="6524" w:hanging="360"/>
      </w:pPr>
    </w:lvl>
    <w:lvl w:ilvl="7" w:tplc="FFFFFFFF" w:tentative="1">
      <w:start w:val="1"/>
      <w:numFmt w:val="lowerLetter"/>
      <w:lvlText w:val="%8."/>
      <w:lvlJc w:val="left"/>
      <w:pPr>
        <w:ind w:left="7244" w:hanging="360"/>
      </w:pPr>
    </w:lvl>
    <w:lvl w:ilvl="8" w:tplc="FFFFFFFF" w:tentative="1">
      <w:start w:val="1"/>
      <w:numFmt w:val="lowerRoman"/>
      <w:lvlText w:val="%9."/>
      <w:lvlJc w:val="right"/>
      <w:pPr>
        <w:ind w:left="7964" w:hanging="180"/>
      </w:pPr>
    </w:lvl>
  </w:abstractNum>
  <w:abstractNum w:abstractNumId="25" w15:restartNumberingAfterBreak="0">
    <w:nsid w:val="62760887"/>
    <w:multiLevelType w:val="hybridMultilevel"/>
    <w:tmpl w:val="A3AA2F7C"/>
    <w:name w:val="SECCION222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2C2700"/>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7" w15:restartNumberingAfterBreak="0">
    <w:nsid w:val="680D101A"/>
    <w:multiLevelType w:val="hybridMultilevel"/>
    <w:tmpl w:val="A22C1F46"/>
    <w:name w:val="SECCION2"/>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6C944330"/>
    <w:multiLevelType w:val="hybridMultilevel"/>
    <w:tmpl w:val="A3E0751C"/>
    <w:lvl w:ilvl="0" w:tplc="B04AB476">
      <w:start w:val="1"/>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75440854"/>
    <w:multiLevelType w:val="hybridMultilevel"/>
    <w:tmpl w:val="543A8534"/>
    <w:name w:val="WW8Num6422"/>
    <w:lvl w:ilvl="0" w:tplc="FFFFFFFF">
      <w:start w:val="1"/>
      <w:numFmt w:val="lowerRoman"/>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7B1045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num w:numId="1">
    <w:abstractNumId w:val="6"/>
  </w:num>
  <w:num w:numId="2">
    <w:abstractNumId w:val="2"/>
  </w:num>
  <w:num w:numId="3">
    <w:abstractNumId w:val="15"/>
  </w:num>
  <w:num w:numId="4">
    <w:abstractNumId w:val="17"/>
  </w:num>
  <w:num w:numId="5">
    <w:abstractNumId w:val="0"/>
  </w:num>
  <w:num w:numId="6">
    <w:abstractNumId w:val="5"/>
  </w:num>
  <w:num w:numId="7">
    <w:abstractNumId w:val="8"/>
    <w:lvlOverride w:ilvl="0">
      <w:startOverride w:val="1"/>
    </w:lvlOverride>
  </w:num>
  <w:num w:numId="8">
    <w:abstractNumId w:val="4"/>
  </w:num>
  <w:num w:numId="9">
    <w:abstractNumId w:val="14"/>
  </w:num>
  <w:num w:numId="10">
    <w:abstractNumId w:val="30"/>
  </w:num>
  <w:num w:numId="11">
    <w:abstractNumId w:val="7"/>
  </w:num>
  <w:num w:numId="12">
    <w:abstractNumId w:val="26"/>
  </w:num>
  <w:num w:numId="13">
    <w:abstractNumId w:val="16"/>
  </w:num>
  <w:num w:numId="14">
    <w:abstractNumId w:val="27"/>
  </w:num>
  <w:num w:numId="15">
    <w:abstractNumId w:val="11"/>
  </w:num>
  <w:num w:numId="16">
    <w:abstractNumId w:val="23"/>
  </w:num>
  <w:num w:numId="17">
    <w:abstractNumId w:val="12"/>
  </w:num>
  <w:num w:numId="18">
    <w:abstractNumId w:val="25"/>
  </w:num>
  <w:num w:numId="19">
    <w:abstractNumId w:val="19"/>
  </w:num>
  <w:num w:numId="20">
    <w:abstractNumId w:val="21"/>
  </w:num>
  <w:num w:numId="21">
    <w:abstractNumId w:val="10"/>
  </w:num>
  <w:num w:numId="22">
    <w:abstractNumId w:val="18"/>
  </w:num>
  <w:num w:numId="23">
    <w:abstractNumId w:val="9"/>
  </w:num>
  <w:num w:numId="24">
    <w:abstractNumId w:val="22"/>
  </w:num>
  <w:num w:numId="25">
    <w:abstractNumId w:val="13"/>
  </w:num>
  <w:num w:numId="26">
    <w:abstractNumId w:val="28"/>
  </w:num>
  <w:num w:numId="27">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42E"/>
    <w:rsid w:val="00002027"/>
    <w:rsid w:val="000035BA"/>
    <w:rsid w:val="0000378C"/>
    <w:rsid w:val="00003C0B"/>
    <w:rsid w:val="00004749"/>
    <w:rsid w:val="000053E3"/>
    <w:rsid w:val="000060D2"/>
    <w:rsid w:val="000067CA"/>
    <w:rsid w:val="00006AE2"/>
    <w:rsid w:val="00006C1C"/>
    <w:rsid w:val="000076A1"/>
    <w:rsid w:val="000079F7"/>
    <w:rsid w:val="00010596"/>
    <w:rsid w:val="00010D1C"/>
    <w:rsid w:val="00012259"/>
    <w:rsid w:val="00012342"/>
    <w:rsid w:val="000130AB"/>
    <w:rsid w:val="000131A1"/>
    <w:rsid w:val="000151EE"/>
    <w:rsid w:val="00015C2B"/>
    <w:rsid w:val="00016471"/>
    <w:rsid w:val="000167F6"/>
    <w:rsid w:val="0002310D"/>
    <w:rsid w:val="00023D67"/>
    <w:rsid w:val="000248FE"/>
    <w:rsid w:val="00025383"/>
    <w:rsid w:val="00026E30"/>
    <w:rsid w:val="00027638"/>
    <w:rsid w:val="000307F9"/>
    <w:rsid w:val="000319A0"/>
    <w:rsid w:val="000319FE"/>
    <w:rsid w:val="00031F38"/>
    <w:rsid w:val="0003214B"/>
    <w:rsid w:val="00032838"/>
    <w:rsid w:val="00032861"/>
    <w:rsid w:val="00032A5E"/>
    <w:rsid w:val="00032AE0"/>
    <w:rsid w:val="00032C64"/>
    <w:rsid w:val="00035BAC"/>
    <w:rsid w:val="00036B2A"/>
    <w:rsid w:val="00037353"/>
    <w:rsid w:val="00037BAC"/>
    <w:rsid w:val="0004101E"/>
    <w:rsid w:val="00043803"/>
    <w:rsid w:val="00043B9D"/>
    <w:rsid w:val="00044816"/>
    <w:rsid w:val="00044D74"/>
    <w:rsid w:val="000451DE"/>
    <w:rsid w:val="00045D3D"/>
    <w:rsid w:val="00046205"/>
    <w:rsid w:val="000471D3"/>
    <w:rsid w:val="0004770C"/>
    <w:rsid w:val="000532EB"/>
    <w:rsid w:val="000546C6"/>
    <w:rsid w:val="00055C8A"/>
    <w:rsid w:val="000562B0"/>
    <w:rsid w:val="00057168"/>
    <w:rsid w:val="00057317"/>
    <w:rsid w:val="00057EB7"/>
    <w:rsid w:val="000612F5"/>
    <w:rsid w:val="000622D7"/>
    <w:rsid w:val="00062A61"/>
    <w:rsid w:val="00063478"/>
    <w:rsid w:val="00063657"/>
    <w:rsid w:val="00063C4E"/>
    <w:rsid w:val="000650B5"/>
    <w:rsid w:val="00065763"/>
    <w:rsid w:val="0006733E"/>
    <w:rsid w:val="000717F7"/>
    <w:rsid w:val="000738F2"/>
    <w:rsid w:val="00074B17"/>
    <w:rsid w:val="00074C13"/>
    <w:rsid w:val="00076680"/>
    <w:rsid w:val="00076A1D"/>
    <w:rsid w:val="000776BE"/>
    <w:rsid w:val="00077A7C"/>
    <w:rsid w:val="0008073E"/>
    <w:rsid w:val="00081BFA"/>
    <w:rsid w:val="00081C12"/>
    <w:rsid w:val="00082023"/>
    <w:rsid w:val="000840AB"/>
    <w:rsid w:val="00084546"/>
    <w:rsid w:val="0008464E"/>
    <w:rsid w:val="00084933"/>
    <w:rsid w:val="0008510B"/>
    <w:rsid w:val="0008532D"/>
    <w:rsid w:val="0008579D"/>
    <w:rsid w:val="000861DF"/>
    <w:rsid w:val="0008671D"/>
    <w:rsid w:val="00090CCD"/>
    <w:rsid w:val="000910C8"/>
    <w:rsid w:val="00091CDB"/>
    <w:rsid w:val="00092B2B"/>
    <w:rsid w:val="000931A3"/>
    <w:rsid w:val="000938B0"/>
    <w:rsid w:val="0009477F"/>
    <w:rsid w:val="00095053"/>
    <w:rsid w:val="000A106F"/>
    <w:rsid w:val="000A1727"/>
    <w:rsid w:val="000A19AC"/>
    <w:rsid w:val="000A1DC5"/>
    <w:rsid w:val="000A4082"/>
    <w:rsid w:val="000A4B28"/>
    <w:rsid w:val="000A5729"/>
    <w:rsid w:val="000A59FA"/>
    <w:rsid w:val="000A5DCA"/>
    <w:rsid w:val="000A67DB"/>
    <w:rsid w:val="000A6882"/>
    <w:rsid w:val="000B1133"/>
    <w:rsid w:val="000B2646"/>
    <w:rsid w:val="000B2D6B"/>
    <w:rsid w:val="000B2EC9"/>
    <w:rsid w:val="000B3A44"/>
    <w:rsid w:val="000B7A3D"/>
    <w:rsid w:val="000C063D"/>
    <w:rsid w:val="000C1725"/>
    <w:rsid w:val="000C244D"/>
    <w:rsid w:val="000C2611"/>
    <w:rsid w:val="000C2F14"/>
    <w:rsid w:val="000C3105"/>
    <w:rsid w:val="000C3F2B"/>
    <w:rsid w:val="000C4641"/>
    <w:rsid w:val="000C48DA"/>
    <w:rsid w:val="000C4C64"/>
    <w:rsid w:val="000C5381"/>
    <w:rsid w:val="000C57D7"/>
    <w:rsid w:val="000C5B4B"/>
    <w:rsid w:val="000C704C"/>
    <w:rsid w:val="000D26F8"/>
    <w:rsid w:val="000D2741"/>
    <w:rsid w:val="000D2F16"/>
    <w:rsid w:val="000D3338"/>
    <w:rsid w:val="000D358B"/>
    <w:rsid w:val="000D3CF4"/>
    <w:rsid w:val="000D4382"/>
    <w:rsid w:val="000D4681"/>
    <w:rsid w:val="000D5AF8"/>
    <w:rsid w:val="000D6688"/>
    <w:rsid w:val="000D6CC5"/>
    <w:rsid w:val="000D7E69"/>
    <w:rsid w:val="000E0508"/>
    <w:rsid w:val="000E0C8A"/>
    <w:rsid w:val="000E40AD"/>
    <w:rsid w:val="000E4BE9"/>
    <w:rsid w:val="000E5BB6"/>
    <w:rsid w:val="000E722B"/>
    <w:rsid w:val="000E7538"/>
    <w:rsid w:val="000E7550"/>
    <w:rsid w:val="000E7742"/>
    <w:rsid w:val="000E792F"/>
    <w:rsid w:val="000E7EF1"/>
    <w:rsid w:val="000F02ED"/>
    <w:rsid w:val="000F0EDA"/>
    <w:rsid w:val="000F160C"/>
    <w:rsid w:val="000F244C"/>
    <w:rsid w:val="000F265D"/>
    <w:rsid w:val="000F28B4"/>
    <w:rsid w:val="000F30EC"/>
    <w:rsid w:val="000F3B75"/>
    <w:rsid w:val="000F43F0"/>
    <w:rsid w:val="000F7B62"/>
    <w:rsid w:val="00100B50"/>
    <w:rsid w:val="0010227B"/>
    <w:rsid w:val="00102C9C"/>
    <w:rsid w:val="00107E93"/>
    <w:rsid w:val="00110904"/>
    <w:rsid w:val="00111DBE"/>
    <w:rsid w:val="00112DE5"/>
    <w:rsid w:val="00113846"/>
    <w:rsid w:val="00113B81"/>
    <w:rsid w:val="00116BE0"/>
    <w:rsid w:val="00117FFD"/>
    <w:rsid w:val="00121C01"/>
    <w:rsid w:val="00122975"/>
    <w:rsid w:val="00123579"/>
    <w:rsid w:val="00124650"/>
    <w:rsid w:val="00124E88"/>
    <w:rsid w:val="0012515F"/>
    <w:rsid w:val="00126899"/>
    <w:rsid w:val="00133537"/>
    <w:rsid w:val="00134389"/>
    <w:rsid w:val="0013526C"/>
    <w:rsid w:val="00135432"/>
    <w:rsid w:val="00136692"/>
    <w:rsid w:val="0013746B"/>
    <w:rsid w:val="001405C6"/>
    <w:rsid w:val="00141013"/>
    <w:rsid w:val="00142119"/>
    <w:rsid w:val="00142B3D"/>
    <w:rsid w:val="00143885"/>
    <w:rsid w:val="001457E5"/>
    <w:rsid w:val="00147B21"/>
    <w:rsid w:val="0015022D"/>
    <w:rsid w:val="00150B1C"/>
    <w:rsid w:val="001518D7"/>
    <w:rsid w:val="001522C4"/>
    <w:rsid w:val="00152393"/>
    <w:rsid w:val="0015291A"/>
    <w:rsid w:val="00152E91"/>
    <w:rsid w:val="00153E8D"/>
    <w:rsid w:val="001550F1"/>
    <w:rsid w:val="00155138"/>
    <w:rsid w:val="00155218"/>
    <w:rsid w:val="00155596"/>
    <w:rsid w:val="0015769B"/>
    <w:rsid w:val="001605EA"/>
    <w:rsid w:val="0016135F"/>
    <w:rsid w:val="0016290D"/>
    <w:rsid w:val="00162DA5"/>
    <w:rsid w:val="001632BB"/>
    <w:rsid w:val="00164779"/>
    <w:rsid w:val="00164A54"/>
    <w:rsid w:val="00164C71"/>
    <w:rsid w:val="00164FDA"/>
    <w:rsid w:val="001660DC"/>
    <w:rsid w:val="001667FA"/>
    <w:rsid w:val="00167807"/>
    <w:rsid w:val="00167AA6"/>
    <w:rsid w:val="00167DDF"/>
    <w:rsid w:val="00171691"/>
    <w:rsid w:val="0017476B"/>
    <w:rsid w:val="0017533D"/>
    <w:rsid w:val="00176886"/>
    <w:rsid w:val="0018073E"/>
    <w:rsid w:val="00180ACD"/>
    <w:rsid w:val="00182888"/>
    <w:rsid w:val="00183625"/>
    <w:rsid w:val="001845A8"/>
    <w:rsid w:val="0018573D"/>
    <w:rsid w:val="00186449"/>
    <w:rsid w:val="001864E9"/>
    <w:rsid w:val="00186864"/>
    <w:rsid w:val="00187B35"/>
    <w:rsid w:val="00190C4B"/>
    <w:rsid w:val="00192C6C"/>
    <w:rsid w:val="00192CBF"/>
    <w:rsid w:val="00192FF1"/>
    <w:rsid w:val="00196912"/>
    <w:rsid w:val="00197478"/>
    <w:rsid w:val="001979F2"/>
    <w:rsid w:val="001A057F"/>
    <w:rsid w:val="001A2CF8"/>
    <w:rsid w:val="001A500F"/>
    <w:rsid w:val="001A5F1B"/>
    <w:rsid w:val="001A73AB"/>
    <w:rsid w:val="001B1756"/>
    <w:rsid w:val="001B1C22"/>
    <w:rsid w:val="001B3455"/>
    <w:rsid w:val="001B34C6"/>
    <w:rsid w:val="001B4D9D"/>
    <w:rsid w:val="001B5683"/>
    <w:rsid w:val="001B6221"/>
    <w:rsid w:val="001B63EC"/>
    <w:rsid w:val="001B6B42"/>
    <w:rsid w:val="001C15D5"/>
    <w:rsid w:val="001C301C"/>
    <w:rsid w:val="001C3F62"/>
    <w:rsid w:val="001C4128"/>
    <w:rsid w:val="001C52D4"/>
    <w:rsid w:val="001C5B0A"/>
    <w:rsid w:val="001C65A8"/>
    <w:rsid w:val="001C67BB"/>
    <w:rsid w:val="001C7CA0"/>
    <w:rsid w:val="001D0971"/>
    <w:rsid w:val="001D0E43"/>
    <w:rsid w:val="001D1211"/>
    <w:rsid w:val="001D2C26"/>
    <w:rsid w:val="001D4287"/>
    <w:rsid w:val="001D51F0"/>
    <w:rsid w:val="001D5F3F"/>
    <w:rsid w:val="001D62D6"/>
    <w:rsid w:val="001D6352"/>
    <w:rsid w:val="001D72E8"/>
    <w:rsid w:val="001D7832"/>
    <w:rsid w:val="001D797E"/>
    <w:rsid w:val="001D7B47"/>
    <w:rsid w:val="001E0F40"/>
    <w:rsid w:val="001E1870"/>
    <w:rsid w:val="001E1970"/>
    <w:rsid w:val="001E200A"/>
    <w:rsid w:val="001E37C1"/>
    <w:rsid w:val="001E3E4D"/>
    <w:rsid w:val="001E474F"/>
    <w:rsid w:val="001E4AC4"/>
    <w:rsid w:val="001E4C32"/>
    <w:rsid w:val="001E4F36"/>
    <w:rsid w:val="001E54E0"/>
    <w:rsid w:val="001E7F82"/>
    <w:rsid w:val="001F07B0"/>
    <w:rsid w:val="001F11AB"/>
    <w:rsid w:val="001F4992"/>
    <w:rsid w:val="001F4A23"/>
    <w:rsid w:val="001F55D1"/>
    <w:rsid w:val="00200289"/>
    <w:rsid w:val="00200BC4"/>
    <w:rsid w:val="0020144A"/>
    <w:rsid w:val="00201B57"/>
    <w:rsid w:val="00202300"/>
    <w:rsid w:val="00202960"/>
    <w:rsid w:val="00202CCF"/>
    <w:rsid w:val="0020353D"/>
    <w:rsid w:val="0020412E"/>
    <w:rsid w:val="0020432A"/>
    <w:rsid w:val="002046BF"/>
    <w:rsid w:val="00210DC1"/>
    <w:rsid w:val="00211139"/>
    <w:rsid w:val="0021136B"/>
    <w:rsid w:val="00211B94"/>
    <w:rsid w:val="00211C80"/>
    <w:rsid w:val="00211CE2"/>
    <w:rsid w:val="00211D34"/>
    <w:rsid w:val="0021287A"/>
    <w:rsid w:val="00212CA8"/>
    <w:rsid w:val="002132F8"/>
    <w:rsid w:val="002147D8"/>
    <w:rsid w:val="00214F04"/>
    <w:rsid w:val="00216922"/>
    <w:rsid w:val="002171AE"/>
    <w:rsid w:val="0021723C"/>
    <w:rsid w:val="00217893"/>
    <w:rsid w:val="00220722"/>
    <w:rsid w:val="00220B81"/>
    <w:rsid w:val="00221D3F"/>
    <w:rsid w:val="00223C3A"/>
    <w:rsid w:val="00223E05"/>
    <w:rsid w:val="00224184"/>
    <w:rsid w:val="002247C8"/>
    <w:rsid w:val="00225A29"/>
    <w:rsid w:val="00226540"/>
    <w:rsid w:val="0022753E"/>
    <w:rsid w:val="002275C4"/>
    <w:rsid w:val="002301BC"/>
    <w:rsid w:val="00231CC5"/>
    <w:rsid w:val="00232BB9"/>
    <w:rsid w:val="00232CAB"/>
    <w:rsid w:val="00233810"/>
    <w:rsid w:val="00233F0A"/>
    <w:rsid w:val="00235823"/>
    <w:rsid w:val="00235FB7"/>
    <w:rsid w:val="00237A03"/>
    <w:rsid w:val="0024086B"/>
    <w:rsid w:val="00240A96"/>
    <w:rsid w:val="00242BA6"/>
    <w:rsid w:val="00243C23"/>
    <w:rsid w:val="00243FE7"/>
    <w:rsid w:val="002446D1"/>
    <w:rsid w:val="00245EF3"/>
    <w:rsid w:val="00246AA4"/>
    <w:rsid w:val="0024732F"/>
    <w:rsid w:val="00251EE7"/>
    <w:rsid w:val="002520B5"/>
    <w:rsid w:val="00253361"/>
    <w:rsid w:val="0025369E"/>
    <w:rsid w:val="00253CE1"/>
    <w:rsid w:val="00253EC7"/>
    <w:rsid w:val="0025530B"/>
    <w:rsid w:val="00257A57"/>
    <w:rsid w:val="002615C0"/>
    <w:rsid w:val="00261A8F"/>
    <w:rsid w:val="0026685F"/>
    <w:rsid w:val="00266CD6"/>
    <w:rsid w:val="0026729A"/>
    <w:rsid w:val="00267600"/>
    <w:rsid w:val="00270880"/>
    <w:rsid w:val="002710D1"/>
    <w:rsid w:val="00274993"/>
    <w:rsid w:val="002750FB"/>
    <w:rsid w:val="00275215"/>
    <w:rsid w:val="00275DAB"/>
    <w:rsid w:val="00275E5C"/>
    <w:rsid w:val="00275F96"/>
    <w:rsid w:val="002768F8"/>
    <w:rsid w:val="00276F91"/>
    <w:rsid w:val="00277813"/>
    <w:rsid w:val="00277BBC"/>
    <w:rsid w:val="002804E8"/>
    <w:rsid w:val="00282522"/>
    <w:rsid w:val="00283300"/>
    <w:rsid w:val="0028341A"/>
    <w:rsid w:val="00284CBA"/>
    <w:rsid w:val="00284FF8"/>
    <w:rsid w:val="00285702"/>
    <w:rsid w:val="00285C55"/>
    <w:rsid w:val="002864C0"/>
    <w:rsid w:val="002923B9"/>
    <w:rsid w:val="0029609F"/>
    <w:rsid w:val="002961E9"/>
    <w:rsid w:val="00296B45"/>
    <w:rsid w:val="00297BC6"/>
    <w:rsid w:val="00297BDE"/>
    <w:rsid w:val="00297D01"/>
    <w:rsid w:val="002A0283"/>
    <w:rsid w:val="002A0BF6"/>
    <w:rsid w:val="002A28B9"/>
    <w:rsid w:val="002A2A03"/>
    <w:rsid w:val="002A782A"/>
    <w:rsid w:val="002B00D5"/>
    <w:rsid w:val="002B0EA7"/>
    <w:rsid w:val="002B11E2"/>
    <w:rsid w:val="002B1E70"/>
    <w:rsid w:val="002B24B8"/>
    <w:rsid w:val="002B43D7"/>
    <w:rsid w:val="002B46ED"/>
    <w:rsid w:val="002B57CC"/>
    <w:rsid w:val="002B5983"/>
    <w:rsid w:val="002C12E5"/>
    <w:rsid w:val="002C306F"/>
    <w:rsid w:val="002C4B0B"/>
    <w:rsid w:val="002C4F1B"/>
    <w:rsid w:val="002C5890"/>
    <w:rsid w:val="002C59AF"/>
    <w:rsid w:val="002C710D"/>
    <w:rsid w:val="002D140B"/>
    <w:rsid w:val="002D3156"/>
    <w:rsid w:val="002D356F"/>
    <w:rsid w:val="002D3AE9"/>
    <w:rsid w:val="002D3DC4"/>
    <w:rsid w:val="002D4510"/>
    <w:rsid w:val="002D5C44"/>
    <w:rsid w:val="002D6CB3"/>
    <w:rsid w:val="002D7CE0"/>
    <w:rsid w:val="002E033F"/>
    <w:rsid w:val="002E089B"/>
    <w:rsid w:val="002E14DC"/>
    <w:rsid w:val="002E1881"/>
    <w:rsid w:val="002E2212"/>
    <w:rsid w:val="002E2722"/>
    <w:rsid w:val="002E2A06"/>
    <w:rsid w:val="002E40B9"/>
    <w:rsid w:val="002E5087"/>
    <w:rsid w:val="002E6264"/>
    <w:rsid w:val="002E6526"/>
    <w:rsid w:val="002E74DC"/>
    <w:rsid w:val="002F0734"/>
    <w:rsid w:val="002F139A"/>
    <w:rsid w:val="002F3DA9"/>
    <w:rsid w:val="002F41D0"/>
    <w:rsid w:val="002F46E7"/>
    <w:rsid w:val="002F4789"/>
    <w:rsid w:val="002F4ACF"/>
    <w:rsid w:val="002F64A7"/>
    <w:rsid w:val="002F6E46"/>
    <w:rsid w:val="00300543"/>
    <w:rsid w:val="00300553"/>
    <w:rsid w:val="00303955"/>
    <w:rsid w:val="00306439"/>
    <w:rsid w:val="00306FAE"/>
    <w:rsid w:val="003101DA"/>
    <w:rsid w:val="00311832"/>
    <w:rsid w:val="00312A45"/>
    <w:rsid w:val="003134ED"/>
    <w:rsid w:val="0031400F"/>
    <w:rsid w:val="00314757"/>
    <w:rsid w:val="003163BC"/>
    <w:rsid w:val="00316BF6"/>
    <w:rsid w:val="00317FBA"/>
    <w:rsid w:val="0032044F"/>
    <w:rsid w:val="003211CE"/>
    <w:rsid w:val="003229FF"/>
    <w:rsid w:val="00322F62"/>
    <w:rsid w:val="003239A4"/>
    <w:rsid w:val="00323D67"/>
    <w:rsid w:val="003248C5"/>
    <w:rsid w:val="00324B20"/>
    <w:rsid w:val="00324B47"/>
    <w:rsid w:val="0032679A"/>
    <w:rsid w:val="0032698B"/>
    <w:rsid w:val="003301B7"/>
    <w:rsid w:val="00330B9B"/>
    <w:rsid w:val="0033162C"/>
    <w:rsid w:val="0033205B"/>
    <w:rsid w:val="0033223A"/>
    <w:rsid w:val="003347B1"/>
    <w:rsid w:val="00336DE6"/>
    <w:rsid w:val="003372D2"/>
    <w:rsid w:val="0034019F"/>
    <w:rsid w:val="003426D3"/>
    <w:rsid w:val="00343124"/>
    <w:rsid w:val="0034322F"/>
    <w:rsid w:val="00343661"/>
    <w:rsid w:val="00345381"/>
    <w:rsid w:val="00350ADE"/>
    <w:rsid w:val="0035403A"/>
    <w:rsid w:val="003541B6"/>
    <w:rsid w:val="00354E59"/>
    <w:rsid w:val="003550A9"/>
    <w:rsid w:val="00355519"/>
    <w:rsid w:val="00355910"/>
    <w:rsid w:val="00360BC3"/>
    <w:rsid w:val="00361A4D"/>
    <w:rsid w:val="00362A66"/>
    <w:rsid w:val="0036394B"/>
    <w:rsid w:val="0036414D"/>
    <w:rsid w:val="00364269"/>
    <w:rsid w:val="00364375"/>
    <w:rsid w:val="003645D5"/>
    <w:rsid w:val="003647F4"/>
    <w:rsid w:val="0036677A"/>
    <w:rsid w:val="00366DB6"/>
    <w:rsid w:val="003709B5"/>
    <w:rsid w:val="003723DA"/>
    <w:rsid w:val="0037331A"/>
    <w:rsid w:val="00374957"/>
    <w:rsid w:val="00374F22"/>
    <w:rsid w:val="003759C2"/>
    <w:rsid w:val="00375B37"/>
    <w:rsid w:val="00376B52"/>
    <w:rsid w:val="00385A02"/>
    <w:rsid w:val="00385C1C"/>
    <w:rsid w:val="00387095"/>
    <w:rsid w:val="00387231"/>
    <w:rsid w:val="00390C61"/>
    <w:rsid w:val="00394052"/>
    <w:rsid w:val="00395495"/>
    <w:rsid w:val="00395D05"/>
    <w:rsid w:val="0039720E"/>
    <w:rsid w:val="00397365"/>
    <w:rsid w:val="003A0E77"/>
    <w:rsid w:val="003A217A"/>
    <w:rsid w:val="003A26C0"/>
    <w:rsid w:val="003A2D69"/>
    <w:rsid w:val="003A3116"/>
    <w:rsid w:val="003A31F6"/>
    <w:rsid w:val="003A3772"/>
    <w:rsid w:val="003A4743"/>
    <w:rsid w:val="003A4783"/>
    <w:rsid w:val="003A4819"/>
    <w:rsid w:val="003A4B74"/>
    <w:rsid w:val="003A5B21"/>
    <w:rsid w:val="003A6AFC"/>
    <w:rsid w:val="003A6C52"/>
    <w:rsid w:val="003B01D4"/>
    <w:rsid w:val="003B2174"/>
    <w:rsid w:val="003B2469"/>
    <w:rsid w:val="003B24D5"/>
    <w:rsid w:val="003B789E"/>
    <w:rsid w:val="003C0FA2"/>
    <w:rsid w:val="003C16E1"/>
    <w:rsid w:val="003C3447"/>
    <w:rsid w:val="003C3F31"/>
    <w:rsid w:val="003C5A8F"/>
    <w:rsid w:val="003C5D8B"/>
    <w:rsid w:val="003C635E"/>
    <w:rsid w:val="003C63D7"/>
    <w:rsid w:val="003D076C"/>
    <w:rsid w:val="003D0CA7"/>
    <w:rsid w:val="003D0E62"/>
    <w:rsid w:val="003D16AC"/>
    <w:rsid w:val="003D2BC2"/>
    <w:rsid w:val="003D3ABB"/>
    <w:rsid w:val="003D4261"/>
    <w:rsid w:val="003D43FA"/>
    <w:rsid w:val="003D5B62"/>
    <w:rsid w:val="003D60DE"/>
    <w:rsid w:val="003D68D4"/>
    <w:rsid w:val="003E113A"/>
    <w:rsid w:val="003E3419"/>
    <w:rsid w:val="003E3CD6"/>
    <w:rsid w:val="003E6876"/>
    <w:rsid w:val="003E6924"/>
    <w:rsid w:val="003E6D5C"/>
    <w:rsid w:val="003E70D1"/>
    <w:rsid w:val="003E74DD"/>
    <w:rsid w:val="003E7625"/>
    <w:rsid w:val="003E78B5"/>
    <w:rsid w:val="003E7E4C"/>
    <w:rsid w:val="003F051B"/>
    <w:rsid w:val="003F074A"/>
    <w:rsid w:val="003F09C3"/>
    <w:rsid w:val="003F17B4"/>
    <w:rsid w:val="003F1F3D"/>
    <w:rsid w:val="003F232A"/>
    <w:rsid w:val="003F50D9"/>
    <w:rsid w:val="003F51A8"/>
    <w:rsid w:val="003F557E"/>
    <w:rsid w:val="003F5BC3"/>
    <w:rsid w:val="003F62C6"/>
    <w:rsid w:val="003F6899"/>
    <w:rsid w:val="003F79C1"/>
    <w:rsid w:val="004016B3"/>
    <w:rsid w:val="004034E8"/>
    <w:rsid w:val="00404FCC"/>
    <w:rsid w:val="004055E7"/>
    <w:rsid w:val="00405C0D"/>
    <w:rsid w:val="00406C42"/>
    <w:rsid w:val="004102AE"/>
    <w:rsid w:val="00410609"/>
    <w:rsid w:val="004109E9"/>
    <w:rsid w:val="004151D1"/>
    <w:rsid w:val="00415BAB"/>
    <w:rsid w:val="00415ED2"/>
    <w:rsid w:val="004161AE"/>
    <w:rsid w:val="00416BC7"/>
    <w:rsid w:val="00417E6B"/>
    <w:rsid w:val="004205F4"/>
    <w:rsid w:val="0042068C"/>
    <w:rsid w:val="004214F7"/>
    <w:rsid w:val="00421929"/>
    <w:rsid w:val="00422ADE"/>
    <w:rsid w:val="00423A9D"/>
    <w:rsid w:val="00423EA4"/>
    <w:rsid w:val="00424098"/>
    <w:rsid w:val="0042558E"/>
    <w:rsid w:val="00426BDB"/>
    <w:rsid w:val="00426F86"/>
    <w:rsid w:val="00427A91"/>
    <w:rsid w:val="00427B66"/>
    <w:rsid w:val="004309BE"/>
    <w:rsid w:val="004315A6"/>
    <w:rsid w:val="0043280A"/>
    <w:rsid w:val="004338CB"/>
    <w:rsid w:val="00434E1F"/>
    <w:rsid w:val="00437F71"/>
    <w:rsid w:val="0044087E"/>
    <w:rsid w:val="00442203"/>
    <w:rsid w:val="00442475"/>
    <w:rsid w:val="00443001"/>
    <w:rsid w:val="0044318E"/>
    <w:rsid w:val="00444034"/>
    <w:rsid w:val="00444E55"/>
    <w:rsid w:val="00444EA7"/>
    <w:rsid w:val="0044557A"/>
    <w:rsid w:val="00445924"/>
    <w:rsid w:val="004475F0"/>
    <w:rsid w:val="00450409"/>
    <w:rsid w:val="004514EA"/>
    <w:rsid w:val="00451CD9"/>
    <w:rsid w:val="00451E7C"/>
    <w:rsid w:val="00452003"/>
    <w:rsid w:val="004528BD"/>
    <w:rsid w:val="0045505C"/>
    <w:rsid w:val="004601B9"/>
    <w:rsid w:val="00460CB8"/>
    <w:rsid w:val="004632D2"/>
    <w:rsid w:val="00465019"/>
    <w:rsid w:val="00465BC9"/>
    <w:rsid w:val="00467840"/>
    <w:rsid w:val="004678B0"/>
    <w:rsid w:val="0047122B"/>
    <w:rsid w:val="00472CCA"/>
    <w:rsid w:val="0047352F"/>
    <w:rsid w:val="004736B7"/>
    <w:rsid w:val="00473B7A"/>
    <w:rsid w:val="00474230"/>
    <w:rsid w:val="00474F0B"/>
    <w:rsid w:val="004757EE"/>
    <w:rsid w:val="00476107"/>
    <w:rsid w:val="00477E96"/>
    <w:rsid w:val="0048144E"/>
    <w:rsid w:val="00482741"/>
    <w:rsid w:val="00482B54"/>
    <w:rsid w:val="0048335B"/>
    <w:rsid w:val="00483996"/>
    <w:rsid w:val="00485027"/>
    <w:rsid w:val="00485647"/>
    <w:rsid w:val="00486E70"/>
    <w:rsid w:val="00486F75"/>
    <w:rsid w:val="00491679"/>
    <w:rsid w:val="00492850"/>
    <w:rsid w:val="00493101"/>
    <w:rsid w:val="00494A58"/>
    <w:rsid w:val="00496083"/>
    <w:rsid w:val="004960E9"/>
    <w:rsid w:val="004A030F"/>
    <w:rsid w:val="004A054C"/>
    <w:rsid w:val="004A0C0D"/>
    <w:rsid w:val="004A0E95"/>
    <w:rsid w:val="004A1C63"/>
    <w:rsid w:val="004A24EC"/>
    <w:rsid w:val="004A2E88"/>
    <w:rsid w:val="004A317A"/>
    <w:rsid w:val="004A36E2"/>
    <w:rsid w:val="004A3A0C"/>
    <w:rsid w:val="004A405C"/>
    <w:rsid w:val="004A429E"/>
    <w:rsid w:val="004A4BBC"/>
    <w:rsid w:val="004A515E"/>
    <w:rsid w:val="004A5305"/>
    <w:rsid w:val="004A667B"/>
    <w:rsid w:val="004A6A50"/>
    <w:rsid w:val="004B234D"/>
    <w:rsid w:val="004B25B5"/>
    <w:rsid w:val="004B33B4"/>
    <w:rsid w:val="004B38FD"/>
    <w:rsid w:val="004B4069"/>
    <w:rsid w:val="004B44F3"/>
    <w:rsid w:val="004B4EF4"/>
    <w:rsid w:val="004B501B"/>
    <w:rsid w:val="004B6F1F"/>
    <w:rsid w:val="004B7B4C"/>
    <w:rsid w:val="004C003D"/>
    <w:rsid w:val="004C03B6"/>
    <w:rsid w:val="004C06B8"/>
    <w:rsid w:val="004C25C9"/>
    <w:rsid w:val="004C5D17"/>
    <w:rsid w:val="004C5DF0"/>
    <w:rsid w:val="004C645A"/>
    <w:rsid w:val="004C65AA"/>
    <w:rsid w:val="004C6E70"/>
    <w:rsid w:val="004D20DD"/>
    <w:rsid w:val="004D2855"/>
    <w:rsid w:val="004D299D"/>
    <w:rsid w:val="004D2A8B"/>
    <w:rsid w:val="004D2BE8"/>
    <w:rsid w:val="004D44FC"/>
    <w:rsid w:val="004D72FF"/>
    <w:rsid w:val="004D7634"/>
    <w:rsid w:val="004E113C"/>
    <w:rsid w:val="004E1595"/>
    <w:rsid w:val="004E1F1E"/>
    <w:rsid w:val="004E2397"/>
    <w:rsid w:val="004E298F"/>
    <w:rsid w:val="004E2A17"/>
    <w:rsid w:val="004E5324"/>
    <w:rsid w:val="004E5523"/>
    <w:rsid w:val="004E611A"/>
    <w:rsid w:val="004E61EB"/>
    <w:rsid w:val="004E7925"/>
    <w:rsid w:val="004F045B"/>
    <w:rsid w:val="004F2A6B"/>
    <w:rsid w:val="004F6EC9"/>
    <w:rsid w:val="004F75AB"/>
    <w:rsid w:val="00501550"/>
    <w:rsid w:val="00501C65"/>
    <w:rsid w:val="005024D8"/>
    <w:rsid w:val="005047AF"/>
    <w:rsid w:val="00504D8E"/>
    <w:rsid w:val="00506E23"/>
    <w:rsid w:val="0050764A"/>
    <w:rsid w:val="00507C90"/>
    <w:rsid w:val="00507CB7"/>
    <w:rsid w:val="005104A4"/>
    <w:rsid w:val="00511A77"/>
    <w:rsid w:val="00511B08"/>
    <w:rsid w:val="005123EE"/>
    <w:rsid w:val="005130A1"/>
    <w:rsid w:val="0051651C"/>
    <w:rsid w:val="00516CE7"/>
    <w:rsid w:val="0051741E"/>
    <w:rsid w:val="00517843"/>
    <w:rsid w:val="00521CFB"/>
    <w:rsid w:val="005221C4"/>
    <w:rsid w:val="00522517"/>
    <w:rsid w:val="00524E81"/>
    <w:rsid w:val="00526404"/>
    <w:rsid w:val="00526B30"/>
    <w:rsid w:val="00527320"/>
    <w:rsid w:val="00527AB8"/>
    <w:rsid w:val="005300D3"/>
    <w:rsid w:val="00530329"/>
    <w:rsid w:val="005328BB"/>
    <w:rsid w:val="00533887"/>
    <w:rsid w:val="0053517E"/>
    <w:rsid w:val="005351AA"/>
    <w:rsid w:val="00535305"/>
    <w:rsid w:val="005358DC"/>
    <w:rsid w:val="00535C07"/>
    <w:rsid w:val="00537B0A"/>
    <w:rsid w:val="00540120"/>
    <w:rsid w:val="00540C48"/>
    <w:rsid w:val="00541403"/>
    <w:rsid w:val="00541EAE"/>
    <w:rsid w:val="00544C47"/>
    <w:rsid w:val="00544F1F"/>
    <w:rsid w:val="00544F82"/>
    <w:rsid w:val="00545579"/>
    <w:rsid w:val="00545704"/>
    <w:rsid w:val="0054740F"/>
    <w:rsid w:val="00550093"/>
    <w:rsid w:val="0055018E"/>
    <w:rsid w:val="005509D2"/>
    <w:rsid w:val="00550CAF"/>
    <w:rsid w:val="005515FC"/>
    <w:rsid w:val="005516CD"/>
    <w:rsid w:val="005538E0"/>
    <w:rsid w:val="00554A6D"/>
    <w:rsid w:val="00554FC4"/>
    <w:rsid w:val="005563D3"/>
    <w:rsid w:val="00560A2A"/>
    <w:rsid w:val="00561929"/>
    <w:rsid w:val="00564D15"/>
    <w:rsid w:val="00570794"/>
    <w:rsid w:val="00570DA8"/>
    <w:rsid w:val="005715A2"/>
    <w:rsid w:val="005721F1"/>
    <w:rsid w:val="005726B8"/>
    <w:rsid w:val="005727EC"/>
    <w:rsid w:val="00573027"/>
    <w:rsid w:val="0057392D"/>
    <w:rsid w:val="00573F5F"/>
    <w:rsid w:val="005744BB"/>
    <w:rsid w:val="005770DC"/>
    <w:rsid w:val="0057713D"/>
    <w:rsid w:val="00577E51"/>
    <w:rsid w:val="00584439"/>
    <w:rsid w:val="00584631"/>
    <w:rsid w:val="005858E8"/>
    <w:rsid w:val="0058683D"/>
    <w:rsid w:val="00586D62"/>
    <w:rsid w:val="00591D8A"/>
    <w:rsid w:val="00591E35"/>
    <w:rsid w:val="00593617"/>
    <w:rsid w:val="0059376D"/>
    <w:rsid w:val="00593C4F"/>
    <w:rsid w:val="00594202"/>
    <w:rsid w:val="00594223"/>
    <w:rsid w:val="005946A8"/>
    <w:rsid w:val="00595259"/>
    <w:rsid w:val="00595332"/>
    <w:rsid w:val="005961CC"/>
    <w:rsid w:val="0059636D"/>
    <w:rsid w:val="0059659F"/>
    <w:rsid w:val="00596632"/>
    <w:rsid w:val="00597A07"/>
    <w:rsid w:val="00597C25"/>
    <w:rsid w:val="005A25CF"/>
    <w:rsid w:val="005A4407"/>
    <w:rsid w:val="005A59EF"/>
    <w:rsid w:val="005A5E31"/>
    <w:rsid w:val="005A7179"/>
    <w:rsid w:val="005A721A"/>
    <w:rsid w:val="005A74EA"/>
    <w:rsid w:val="005B1B0D"/>
    <w:rsid w:val="005B1C7E"/>
    <w:rsid w:val="005B50FE"/>
    <w:rsid w:val="005B7B0F"/>
    <w:rsid w:val="005B7C37"/>
    <w:rsid w:val="005C1759"/>
    <w:rsid w:val="005C2CDE"/>
    <w:rsid w:val="005C4B9F"/>
    <w:rsid w:val="005C4EEC"/>
    <w:rsid w:val="005C5751"/>
    <w:rsid w:val="005C6976"/>
    <w:rsid w:val="005D2116"/>
    <w:rsid w:val="005D286E"/>
    <w:rsid w:val="005D3415"/>
    <w:rsid w:val="005D37D8"/>
    <w:rsid w:val="005D3ECF"/>
    <w:rsid w:val="005D4CE8"/>
    <w:rsid w:val="005D5051"/>
    <w:rsid w:val="005D56D7"/>
    <w:rsid w:val="005D5A8F"/>
    <w:rsid w:val="005D6284"/>
    <w:rsid w:val="005D75B3"/>
    <w:rsid w:val="005E1CDE"/>
    <w:rsid w:val="005E3BD9"/>
    <w:rsid w:val="005E44E2"/>
    <w:rsid w:val="005E6323"/>
    <w:rsid w:val="005E7CAF"/>
    <w:rsid w:val="005F1176"/>
    <w:rsid w:val="005F1620"/>
    <w:rsid w:val="005F4788"/>
    <w:rsid w:val="005F5232"/>
    <w:rsid w:val="005F611D"/>
    <w:rsid w:val="005F6522"/>
    <w:rsid w:val="005F6B6B"/>
    <w:rsid w:val="005F6F41"/>
    <w:rsid w:val="005F773B"/>
    <w:rsid w:val="005F7C5C"/>
    <w:rsid w:val="006017D0"/>
    <w:rsid w:val="00601B06"/>
    <w:rsid w:val="00602DB9"/>
    <w:rsid w:val="00603107"/>
    <w:rsid w:val="006031E7"/>
    <w:rsid w:val="00603CE3"/>
    <w:rsid w:val="006067E9"/>
    <w:rsid w:val="00606DA8"/>
    <w:rsid w:val="00610746"/>
    <w:rsid w:val="00610A50"/>
    <w:rsid w:val="00610FD5"/>
    <w:rsid w:val="00612F3A"/>
    <w:rsid w:val="006135E6"/>
    <w:rsid w:val="006142AC"/>
    <w:rsid w:val="00615E9D"/>
    <w:rsid w:val="00617673"/>
    <w:rsid w:val="006200F2"/>
    <w:rsid w:val="00622928"/>
    <w:rsid w:val="00624F5A"/>
    <w:rsid w:val="006259E4"/>
    <w:rsid w:val="00625DC6"/>
    <w:rsid w:val="00630AEB"/>
    <w:rsid w:val="0063182C"/>
    <w:rsid w:val="00631C12"/>
    <w:rsid w:val="00632B03"/>
    <w:rsid w:val="00632C72"/>
    <w:rsid w:val="00632F0A"/>
    <w:rsid w:val="00633CFA"/>
    <w:rsid w:val="00633D58"/>
    <w:rsid w:val="00634722"/>
    <w:rsid w:val="00636261"/>
    <w:rsid w:val="00636C6D"/>
    <w:rsid w:val="00637E55"/>
    <w:rsid w:val="006406C8"/>
    <w:rsid w:val="006411C9"/>
    <w:rsid w:val="006413AB"/>
    <w:rsid w:val="00642984"/>
    <w:rsid w:val="00642ADE"/>
    <w:rsid w:val="006434CA"/>
    <w:rsid w:val="00643643"/>
    <w:rsid w:val="0064391D"/>
    <w:rsid w:val="00643C62"/>
    <w:rsid w:val="00645CB0"/>
    <w:rsid w:val="00646032"/>
    <w:rsid w:val="00647193"/>
    <w:rsid w:val="00650471"/>
    <w:rsid w:val="0065057D"/>
    <w:rsid w:val="00651821"/>
    <w:rsid w:val="00651F2D"/>
    <w:rsid w:val="006527C4"/>
    <w:rsid w:val="006528C8"/>
    <w:rsid w:val="0065298A"/>
    <w:rsid w:val="00653253"/>
    <w:rsid w:val="00654384"/>
    <w:rsid w:val="006565D2"/>
    <w:rsid w:val="00656BAB"/>
    <w:rsid w:val="00657398"/>
    <w:rsid w:val="006575D6"/>
    <w:rsid w:val="006610C8"/>
    <w:rsid w:val="0066163F"/>
    <w:rsid w:val="00662A2C"/>
    <w:rsid w:val="00662BF0"/>
    <w:rsid w:val="00662CC0"/>
    <w:rsid w:val="00662E41"/>
    <w:rsid w:val="00662EDC"/>
    <w:rsid w:val="00665428"/>
    <w:rsid w:val="0066686B"/>
    <w:rsid w:val="006675CD"/>
    <w:rsid w:val="00667775"/>
    <w:rsid w:val="00667C8C"/>
    <w:rsid w:val="0067006C"/>
    <w:rsid w:val="00670AA8"/>
    <w:rsid w:val="00670F3C"/>
    <w:rsid w:val="00672781"/>
    <w:rsid w:val="00672EAF"/>
    <w:rsid w:val="006801D9"/>
    <w:rsid w:val="00681BFD"/>
    <w:rsid w:val="00682264"/>
    <w:rsid w:val="006837A5"/>
    <w:rsid w:val="00684D9B"/>
    <w:rsid w:val="00685586"/>
    <w:rsid w:val="00685C01"/>
    <w:rsid w:val="006878D4"/>
    <w:rsid w:val="0068798E"/>
    <w:rsid w:val="00691B6D"/>
    <w:rsid w:val="00693432"/>
    <w:rsid w:val="00694090"/>
    <w:rsid w:val="00696F88"/>
    <w:rsid w:val="00697556"/>
    <w:rsid w:val="006A01AB"/>
    <w:rsid w:val="006A1A58"/>
    <w:rsid w:val="006A1C84"/>
    <w:rsid w:val="006A2358"/>
    <w:rsid w:val="006A2F3F"/>
    <w:rsid w:val="006A348D"/>
    <w:rsid w:val="006A3A02"/>
    <w:rsid w:val="006A4116"/>
    <w:rsid w:val="006A41DD"/>
    <w:rsid w:val="006A5348"/>
    <w:rsid w:val="006A5EA2"/>
    <w:rsid w:val="006A7356"/>
    <w:rsid w:val="006A7F47"/>
    <w:rsid w:val="006B05D4"/>
    <w:rsid w:val="006B1195"/>
    <w:rsid w:val="006B319D"/>
    <w:rsid w:val="006B395F"/>
    <w:rsid w:val="006B44FC"/>
    <w:rsid w:val="006B4647"/>
    <w:rsid w:val="006B4C2B"/>
    <w:rsid w:val="006B5E53"/>
    <w:rsid w:val="006B6194"/>
    <w:rsid w:val="006B6D47"/>
    <w:rsid w:val="006B7430"/>
    <w:rsid w:val="006B745B"/>
    <w:rsid w:val="006C1885"/>
    <w:rsid w:val="006C2EA8"/>
    <w:rsid w:val="006C3C2B"/>
    <w:rsid w:val="006C4041"/>
    <w:rsid w:val="006C5AFE"/>
    <w:rsid w:val="006C61CF"/>
    <w:rsid w:val="006C7287"/>
    <w:rsid w:val="006C7C3E"/>
    <w:rsid w:val="006D3BE1"/>
    <w:rsid w:val="006D419D"/>
    <w:rsid w:val="006D4430"/>
    <w:rsid w:val="006D457D"/>
    <w:rsid w:val="006D55BF"/>
    <w:rsid w:val="006D5CC2"/>
    <w:rsid w:val="006D7CC5"/>
    <w:rsid w:val="006E0048"/>
    <w:rsid w:val="006E0774"/>
    <w:rsid w:val="006E085E"/>
    <w:rsid w:val="006E10A8"/>
    <w:rsid w:val="006E2894"/>
    <w:rsid w:val="006E613F"/>
    <w:rsid w:val="006E61BD"/>
    <w:rsid w:val="006E634F"/>
    <w:rsid w:val="006E6D98"/>
    <w:rsid w:val="006E6DE5"/>
    <w:rsid w:val="006E7869"/>
    <w:rsid w:val="006F18D5"/>
    <w:rsid w:val="006F1A9A"/>
    <w:rsid w:val="006F4880"/>
    <w:rsid w:val="006F5CA4"/>
    <w:rsid w:val="006F667E"/>
    <w:rsid w:val="006F6D95"/>
    <w:rsid w:val="006F7F9E"/>
    <w:rsid w:val="00700660"/>
    <w:rsid w:val="007034B9"/>
    <w:rsid w:val="007055CF"/>
    <w:rsid w:val="00706F13"/>
    <w:rsid w:val="007072E8"/>
    <w:rsid w:val="0070759A"/>
    <w:rsid w:val="00711044"/>
    <w:rsid w:val="0071155A"/>
    <w:rsid w:val="00712D59"/>
    <w:rsid w:val="00713508"/>
    <w:rsid w:val="00713D8A"/>
    <w:rsid w:val="0071618D"/>
    <w:rsid w:val="007168E7"/>
    <w:rsid w:val="00716D38"/>
    <w:rsid w:val="00717211"/>
    <w:rsid w:val="00720C79"/>
    <w:rsid w:val="007233FA"/>
    <w:rsid w:val="007234E8"/>
    <w:rsid w:val="00723D0C"/>
    <w:rsid w:val="0072452B"/>
    <w:rsid w:val="00724DAE"/>
    <w:rsid w:val="00725FA4"/>
    <w:rsid w:val="0072668F"/>
    <w:rsid w:val="00726CDB"/>
    <w:rsid w:val="00727F27"/>
    <w:rsid w:val="00731B56"/>
    <w:rsid w:val="0073241F"/>
    <w:rsid w:val="007339AE"/>
    <w:rsid w:val="007340B6"/>
    <w:rsid w:val="00734E7E"/>
    <w:rsid w:val="007350A7"/>
    <w:rsid w:val="007362D2"/>
    <w:rsid w:val="0073671C"/>
    <w:rsid w:val="00740446"/>
    <w:rsid w:val="00741E93"/>
    <w:rsid w:val="007422A8"/>
    <w:rsid w:val="007438A9"/>
    <w:rsid w:val="0074491E"/>
    <w:rsid w:val="00744C92"/>
    <w:rsid w:val="0074567B"/>
    <w:rsid w:val="007514F6"/>
    <w:rsid w:val="00751556"/>
    <w:rsid w:val="007527FA"/>
    <w:rsid w:val="00752DE3"/>
    <w:rsid w:val="00752E80"/>
    <w:rsid w:val="007530CA"/>
    <w:rsid w:val="00755C52"/>
    <w:rsid w:val="00756902"/>
    <w:rsid w:val="00757307"/>
    <w:rsid w:val="007609DA"/>
    <w:rsid w:val="00760F2F"/>
    <w:rsid w:val="00761392"/>
    <w:rsid w:val="007613DD"/>
    <w:rsid w:val="0076247A"/>
    <w:rsid w:val="00764240"/>
    <w:rsid w:val="007645C9"/>
    <w:rsid w:val="00764E12"/>
    <w:rsid w:val="00765E48"/>
    <w:rsid w:val="00765F81"/>
    <w:rsid w:val="007661FD"/>
    <w:rsid w:val="007662A5"/>
    <w:rsid w:val="007667A2"/>
    <w:rsid w:val="0076687A"/>
    <w:rsid w:val="00766F8B"/>
    <w:rsid w:val="00767539"/>
    <w:rsid w:val="00771253"/>
    <w:rsid w:val="007717EF"/>
    <w:rsid w:val="00772023"/>
    <w:rsid w:val="00772C28"/>
    <w:rsid w:val="00774D6A"/>
    <w:rsid w:val="00775964"/>
    <w:rsid w:val="007765FE"/>
    <w:rsid w:val="00776F37"/>
    <w:rsid w:val="00777BAC"/>
    <w:rsid w:val="00780C18"/>
    <w:rsid w:val="00781503"/>
    <w:rsid w:val="00782882"/>
    <w:rsid w:val="00782AD8"/>
    <w:rsid w:val="00783E85"/>
    <w:rsid w:val="00784113"/>
    <w:rsid w:val="0078418D"/>
    <w:rsid w:val="00784896"/>
    <w:rsid w:val="007849C7"/>
    <w:rsid w:val="00791A5A"/>
    <w:rsid w:val="00792B0A"/>
    <w:rsid w:val="00794E2E"/>
    <w:rsid w:val="00795BFB"/>
    <w:rsid w:val="00797134"/>
    <w:rsid w:val="00797574"/>
    <w:rsid w:val="007A02B4"/>
    <w:rsid w:val="007A065E"/>
    <w:rsid w:val="007A0792"/>
    <w:rsid w:val="007A0905"/>
    <w:rsid w:val="007A0FB1"/>
    <w:rsid w:val="007A4D7B"/>
    <w:rsid w:val="007A61E3"/>
    <w:rsid w:val="007A64D1"/>
    <w:rsid w:val="007B02BD"/>
    <w:rsid w:val="007B0FB8"/>
    <w:rsid w:val="007B1158"/>
    <w:rsid w:val="007B1E10"/>
    <w:rsid w:val="007B2760"/>
    <w:rsid w:val="007B30CA"/>
    <w:rsid w:val="007B351A"/>
    <w:rsid w:val="007B3D62"/>
    <w:rsid w:val="007B5547"/>
    <w:rsid w:val="007B5F0B"/>
    <w:rsid w:val="007B7FB7"/>
    <w:rsid w:val="007C0308"/>
    <w:rsid w:val="007C0CC4"/>
    <w:rsid w:val="007C371D"/>
    <w:rsid w:val="007C40FC"/>
    <w:rsid w:val="007C4475"/>
    <w:rsid w:val="007C494C"/>
    <w:rsid w:val="007D0649"/>
    <w:rsid w:val="007D1B98"/>
    <w:rsid w:val="007D31BB"/>
    <w:rsid w:val="007D38B8"/>
    <w:rsid w:val="007D38C6"/>
    <w:rsid w:val="007D3AD4"/>
    <w:rsid w:val="007D3B47"/>
    <w:rsid w:val="007D3CB1"/>
    <w:rsid w:val="007D4E16"/>
    <w:rsid w:val="007D6B8C"/>
    <w:rsid w:val="007D7EF4"/>
    <w:rsid w:val="007E05B3"/>
    <w:rsid w:val="007E162B"/>
    <w:rsid w:val="007E6FBA"/>
    <w:rsid w:val="007F028C"/>
    <w:rsid w:val="007F0DA1"/>
    <w:rsid w:val="007F1C98"/>
    <w:rsid w:val="007F29E8"/>
    <w:rsid w:val="007F2BF8"/>
    <w:rsid w:val="007F3832"/>
    <w:rsid w:val="007F6594"/>
    <w:rsid w:val="007F7C90"/>
    <w:rsid w:val="008004DA"/>
    <w:rsid w:val="00801561"/>
    <w:rsid w:val="00801D50"/>
    <w:rsid w:val="00802017"/>
    <w:rsid w:val="008020D8"/>
    <w:rsid w:val="00802FC5"/>
    <w:rsid w:val="00804228"/>
    <w:rsid w:val="00804CC2"/>
    <w:rsid w:val="008060F0"/>
    <w:rsid w:val="008061C1"/>
    <w:rsid w:val="008063A6"/>
    <w:rsid w:val="00806C01"/>
    <w:rsid w:val="00810EFE"/>
    <w:rsid w:val="00812285"/>
    <w:rsid w:val="00812292"/>
    <w:rsid w:val="00813845"/>
    <w:rsid w:val="00813F74"/>
    <w:rsid w:val="00814139"/>
    <w:rsid w:val="008148CC"/>
    <w:rsid w:val="008148DE"/>
    <w:rsid w:val="00814EC0"/>
    <w:rsid w:val="00814F4F"/>
    <w:rsid w:val="0081647B"/>
    <w:rsid w:val="00817261"/>
    <w:rsid w:val="00821189"/>
    <w:rsid w:val="008211A4"/>
    <w:rsid w:val="008232A6"/>
    <w:rsid w:val="00824561"/>
    <w:rsid w:val="00830AB1"/>
    <w:rsid w:val="00830CFE"/>
    <w:rsid w:val="00831EE7"/>
    <w:rsid w:val="00833F41"/>
    <w:rsid w:val="008343B9"/>
    <w:rsid w:val="0083511D"/>
    <w:rsid w:val="00835A42"/>
    <w:rsid w:val="00836E6B"/>
    <w:rsid w:val="008405E9"/>
    <w:rsid w:val="00840A0D"/>
    <w:rsid w:val="0084125B"/>
    <w:rsid w:val="008451A8"/>
    <w:rsid w:val="00847430"/>
    <w:rsid w:val="00847699"/>
    <w:rsid w:val="00847A2B"/>
    <w:rsid w:val="008500D3"/>
    <w:rsid w:val="008501B9"/>
    <w:rsid w:val="00850BB7"/>
    <w:rsid w:val="00850CEA"/>
    <w:rsid w:val="00851C61"/>
    <w:rsid w:val="00852B5F"/>
    <w:rsid w:val="008531B3"/>
    <w:rsid w:val="00855117"/>
    <w:rsid w:val="0085561F"/>
    <w:rsid w:val="00855C2F"/>
    <w:rsid w:val="00856F11"/>
    <w:rsid w:val="00857486"/>
    <w:rsid w:val="00860942"/>
    <w:rsid w:val="008613AB"/>
    <w:rsid w:val="0086197D"/>
    <w:rsid w:val="00862399"/>
    <w:rsid w:val="00862A20"/>
    <w:rsid w:val="00862C64"/>
    <w:rsid w:val="00863512"/>
    <w:rsid w:val="00863683"/>
    <w:rsid w:val="00864758"/>
    <w:rsid w:val="00864B3F"/>
    <w:rsid w:val="008662F3"/>
    <w:rsid w:val="00866A6F"/>
    <w:rsid w:val="00866CE1"/>
    <w:rsid w:val="00866FF7"/>
    <w:rsid w:val="0086770C"/>
    <w:rsid w:val="00867EF2"/>
    <w:rsid w:val="00870072"/>
    <w:rsid w:val="008726EB"/>
    <w:rsid w:val="00873150"/>
    <w:rsid w:val="0087355E"/>
    <w:rsid w:val="0087392B"/>
    <w:rsid w:val="00874130"/>
    <w:rsid w:val="00874E8F"/>
    <w:rsid w:val="00875FC1"/>
    <w:rsid w:val="0087657D"/>
    <w:rsid w:val="00877600"/>
    <w:rsid w:val="00877865"/>
    <w:rsid w:val="008807D5"/>
    <w:rsid w:val="00880832"/>
    <w:rsid w:val="00881048"/>
    <w:rsid w:val="00881E32"/>
    <w:rsid w:val="00883004"/>
    <w:rsid w:val="00884337"/>
    <w:rsid w:val="00885608"/>
    <w:rsid w:val="008857D8"/>
    <w:rsid w:val="008861B2"/>
    <w:rsid w:val="00886EE1"/>
    <w:rsid w:val="0088727D"/>
    <w:rsid w:val="008877B4"/>
    <w:rsid w:val="0089033A"/>
    <w:rsid w:val="00890C1F"/>
    <w:rsid w:val="00890E75"/>
    <w:rsid w:val="00893459"/>
    <w:rsid w:val="00893BD0"/>
    <w:rsid w:val="008956FC"/>
    <w:rsid w:val="008963F9"/>
    <w:rsid w:val="00896422"/>
    <w:rsid w:val="00896474"/>
    <w:rsid w:val="00897060"/>
    <w:rsid w:val="008973B9"/>
    <w:rsid w:val="00897487"/>
    <w:rsid w:val="008976A4"/>
    <w:rsid w:val="00897BEB"/>
    <w:rsid w:val="00897C72"/>
    <w:rsid w:val="00897C75"/>
    <w:rsid w:val="008A0C0E"/>
    <w:rsid w:val="008A0D29"/>
    <w:rsid w:val="008A3E72"/>
    <w:rsid w:val="008A7BFF"/>
    <w:rsid w:val="008B1501"/>
    <w:rsid w:val="008B1585"/>
    <w:rsid w:val="008B2476"/>
    <w:rsid w:val="008B397A"/>
    <w:rsid w:val="008B3B11"/>
    <w:rsid w:val="008B3FC1"/>
    <w:rsid w:val="008B4FC6"/>
    <w:rsid w:val="008B6720"/>
    <w:rsid w:val="008B7E03"/>
    <w:rsid w:val="008C05E3"/>
    <w:rsid w:val="008C0EA4"/>
    <w:rsid w:val="008C1130"/>
    <w:rsid w:val="008C1862"/>
    <w:rsid w:val="008C2703"/>
    <w:rsid w:val="008C417A"/>
    <w:rsid w:val="008C5722"/>
    <w:rsid w:val="008C5F73"/>
    <w:rsid w:val="008C6287"/>
    <w:rsid w:val="008C7CB3"/>
    <w:rsid w:val="008C7E43"/>
    <w:rsid w:val="008D0DDB"/>
    <w:rsid w:val="008D18E6"/>
    <w:rsid w:val="008D1A98"/>
    <w:rsid w:val="008D1B8F"/>
    <w:rsid w:val="008D21F8"/>
    <w:rsid w:val="008D237F"/>
    <w:rsid w:val="008D2686"/>
    <w:rsid w:val="008D2AEA"/>
    <w:rsid w:val="008D4A8F"/>
    <w:rsid w:val="008D6FAD"/>
    <w:rsid w:val="008D73BE"/>
    <w:rsid w:val="008D7A9B"/>
    <w:rsid w:val="008E0017"/>
    <w:rsid w:val="008E0060"/>
    <w:rsid w:val="008E39AB"/>
    <w:rsid w:val="008E4C0B"/>
    <w:rsid w:val="008E552F"/>
    <w:rsid w:val="008E6128"/>
    <w:rsid w:val="008E76AC"/>
    <w:rsid w:val="008F075A"/>
    <w:rsid w:val="008F115A"/>
    <w:rsid w:val="008F21F6"/>
    <w:rsid w:val="008F63FA"/>
    <w:rsid w:val="008F6745"/>
    <w:rsid w:val="008F7737"/>
    <w:rsid w:val="008F78DA"/>
    <w:rsid w:val="009001E3"/>
    <w:rsid w:val="0090103A"/>
    <w:rsid w:val="009014FC"/>
    <w:rsid w:val="00902D68"/>
    <w:rsid w:val="0090431D"/>
    <w:rsid w:val="00907609"/>
    <w:rsid w:val="00910B87"/>
    <w:rsid w:val="00911ADC"/>
    <w:rsid w:val="0091215F"/>
    <w:rsid w:val="00912B73"/>
    <w:rsid w:val="00913183"/>
    <w:rsid w:val="009138A6"/>
    <w:rsid w:val="009143EC"/>
    <w:rsid w:val="009153AF"/>
    <w:rsid w:val="0091686E"/>
    <w:rsid w:val="00917A96"/>
    <w:rsid w:val="00917DE3"/>
    <w:rsid w:val="009203C2"/>
    <w:rsid w:val="00920A72"/>
    <w:rsid w:val="00920B34"/>
    <w:rsid w:val="00922766"/>
    <w:rsid w:val="00925934"/>
    <w:rsid w:val="00926080"/>
    <w:rsid w:val="00930EAF"/>
    <w:rsid w:val="009319DF"/>
    <w:rsid w:val="00931B63"/>
    <w:rsid w:val="00934449"/>
    <w:rsid w:val="00934A2D"/>
    <w:rsid w:val="00934B45"/>
    <w:rsid w:val="0093590C"/>
    <w:rsid w:val="009367C8"/>
    <w:rsid w:val="00937767"/>
    <w:rsid w:val="009377D3"/>
    <w:rsid w:val="00940069"/>
    <w:rsid w:val="00941D72"/>
    <w:rsid w:val="00943B49"/>
    <w:rsid w:val="00944BA5"/>
    <w:rsid w:val="00950454"/>
    <w:rsid w:val="009505CD"/>
    <w:rsid w:val="00951F79"/>
    <w:rsid w:val="00952E63"/>
    <w:rsid w:val="00955A03"/>
    <w:rsid w:val="009604DA"/>
    <w:rsid w:val="00960763"/>
    <w:rsid w:val="0096098E"/>
    <w:rsid w:val="00960E74"/>
    <w:rsid w:val="00960EE4"/>
    <w:rsid w:val="00961980"/>
    <w:rsid w:val="0096223E"/>
    <w:rsid w:val="009623CE"/>
    <w:rsid w:val="009624DC"/>
    <w:rsid w:val="00962554"/>
    <w:rsid w:val="00962AB6"/>
    <w:rsid w:val="00962F72"/>
    <w:rsid w:val="0096487A"/>
    <w:rsid w:val="0096542D"/>
    <w:rsid w:val="009666A0"/>
    <w:rsid w:val="00966D58"/>
    <w:rsid w:val="009701B5"/>
    <w:rsid w:val="00971712"/>
    <w:rsid w:val="00971C5C"/>
    <w:rsid w:val="00973413"/>
    <w:rsid w:val="00973F3D"/>
    <w:rsid w:val="00973FEF"/>
    <w:rsid w:val="00974198"/>
    <w:rsid w:val="00974AB5"/>
    <w:rsid w:val="00975AC2"/>
    <w:rsid w:val="00977B6A"/>
    <w:rsid w:val="00977F7B"/>
    <w:rsid w:val="00983BEB"/>
    <w:rsid w:val="00984F02"/>
    <w:rsid w:val="00985360"/>
    <w:rsid w:val="00985D72"/>
    <w:rsid w:val="0098706D"/>
    <w:rsid w:val="0098797F"/>
    <w:rsid w:val="00987D53"/>
    <w:rsid w:val="009909DB"/>
    <w:rsid w:val="009919FD"/>
    <w:rsid w:val="00991BB4"/>
    <w:rsid w:val="009922C1"/>
    <w:rsid w:val="00992444"/>
    <w:rsid w:val="009935FB"/>
    <w:rsid w:val="00993C0E"/>
    <w:rsid w:val="00996E2F"/>
    <w:rsid w:val="00996F79"/>
    <w:rsid w:val="009A0310"/>
    <w:rsid w:val="009A2F2A"/>
    <w:rsid w:val="009A48D1"/>
    <w:rsid w:val="009A5E17"/>
    <w:rsid w:val="009A7CF3"/>
    <w:rsid w:val="009B4E9F"/>
    <w:rsid w:val="009B5058"/>
    <w:rsid w:val="009B51B5"/>
    <w:rsid w:val="009B5853"/>
    <w:rsid w:val="009B632D"/>
    <w:rsid w:val="009B6AA7"/>
    <w:rsid w:val="009B6F02"/>
    <w:rsid w:val="009B7EDA"/>
    <w:rsid w:val="009C07B7"/>
    <w:rsid w:val="009C188E"/>
    <w:rsid w:val="009C1FA5"/>
    <w:rsid w:val="009C56D4"/>
    <w:rsid w:val="009D1F65"/>
    <w:rsid w:val="009D2772"/>
    <w:rsid w:val="009D2860"/>
    <w:rsid w:val="009D34B3"/>
    <w:rsid w:val="009D3577"/>
    <w:rsid w:val="009D59DB"/>
    <w:rsid w:val="009D7745"/>
    <w:rsid w:val="009E015A"/>
    <w:rsid w:val="009E0223"/>
    <w:rsid w:val="009E0513"/>
    <w:rsid w:val="009E07DA"/>
    <w:rsid w:val="009E0824"/>
    <w:rsid w:val="009E0EB1"/>
    <w:rsid w:val="009E1962"/>
    <w:rsid w:val="009E1B02"/>
    <w:rsid w:val="009E28AE"/>
    <w:rsid w:val="009E3E0F"/>
    <w:rsid w:val="009E5C86"/>
    <w:rsid w:val="009E5DEF"/>
    <w:rsid w:val="009E7626"/>
    <w:rsid w:val="009F197E"/>
    <w:rsid w:val="009F1AF5"/>
    <w:rsid w:val="009F2A11"/>
    <w:rsid w:val="009F3471"/>
    <w:rsid w:val="009F4473"/>
    <w:rsid w:val="009F49C1"/>
    <w:rsid w:val="009F4A54"/>
    <w:rsid w:val="009F4BEC"/>
    <w:rsid w:val="009F5874"/>
    <w:rsid w:val="009F61BF"/>
    <w:rsid w:val="009F6DE5"/>
    <w:rsid w:val="009F7D26"/>
    <w:rsid w:val="00A008F1"/>
    <w:rsid w:val="00A01B5E"/>
    <w:rsid w:val="00A06085"/>
    <w:rsid w:val="00A062F3"/>
    <w:rsid w:val="00A07E25"/>
    <w:rsid w:val="00A103B9"/>
    <w:rsid w:val="00A116A8"/>
    <w:rsid w:val="00A124FF"/>
    <w:rsid w:val="00A1252F"/>
    <w:rsid w:val="00A1405F"/>
    <w:rsid w:val="00A14E3D"/>
    <w:rsid w:val="00A157E7"/>
    <w:rsid w:val="00A15F66"/>
    <w:rsid w:val="00A17096"/>
    <w:rsid w:val="00A245F0"/>
    <w:rsid w:val="00A24B96"/>
    <w:rsid w:val="00A25377"/>
    <w:rsid w:val="00A25FD7"/>
    <w:rsid w:val="00A27146"/>
    <w:rsid w:val="00A27237"/>
    <w:rsid w:val="00A304C5"/>
    <w:rsid w:val="00A33915"/>
    <w:rsid w:val="00A353D9"/>
    <w:rsid w:val="00A35B40"/>
    <w:rsid w:val="00A41137"/>
    <w:rsid w:val="00A41767"/>
    <w:rsid w:val="00A41C62"/>
    <w:rsid w:val="00A43AFF"/>
    <w:rsid w:val="00A43B2B"/>
    <w:rsid w:val="00A4422F"/>
    <w:rsid w:val="00A442D4"/>
    <w:rsid w:val="00A4493F"/>
    <w:rsid w:val="00A455CA"/>
    <w:rsid w:val="00A45826"/>
    <w:rsid w:val="00A51256"/>
    <w:rsid w:val="00A51769"/>
    <w:rsid w:val="00A51F9D"/>
    <w:rsid w:val="00A524D7"/>
    <w:rsid w:val="00A54153"/>
    <w:rsid w:val="00A54451"/>
    <w:rsid w:val="00A54D5B"/>
    <w:rsid w:val="00A55A4A"/>
    <w:rsid w:val="00A57FB8"/>
    <w:rsid w:val="00A60666"/>
    <w:rsid w:val="00A62427"/>
    <w:rsid w:val="00A62519"/>
    <w:rsid w:val="00A63208"/>
    <w:rsid w:val="00A6407B"/>
    <w:rsid w:val="00A65A41"/>
    <w:rsid w:val="00A666BE"/>
    <w:rsid w:val="00A70FF9"/>
    <w:rsid w:val="00A71D6E"/>
    <w:rsid w:val="00A72370"/>
    <w:rsid w:val="00A72705"/>
    <w:rsid w:val="00A73D00"/>
    <w:rsid w:val="00A75A61"/>
    <w:rsid w:val="00A76598"/>
    <w:rsid w:val="00A76E84"/>
    <w:rsid w:val="00A7793A"/>
    <w:rsid w:val="00A779CF"/>
    <w:rsid w:val="00A77C04"/>
    <w:rsid w:val="00A8151D"/>
    <w:rsid w:val="00A81EA7"/>
    <w:rsid w:val="00A8453F"/>
    <w:rsid w:val="00A866AE"/>
    <w:rsid w:val="00A8698A"/>
    <w:rsid w:val="00A87322"/>
    <w:rsid w:val="00A87D07"/>
    <w:rsid w:val="00A87E1C"/>
    <w:rsid w:val="00A90443"/>
    <w:rsid w:val="00A907EA"/>
    <w:rsid w:val="00A91C61"/>
    <w:rsid w:val="00A935D5"/>
    <w:rsid w:val="00A93873"/>
    <w:rsid w:val="00A93E93"/>
    <w:rsid w:val="00A94001"/>
    <w:rsid w:val="00A94013"/>
    <w:rsid w:val="00A954D7"/>
    <w:rsid w:val="00A95D85"/>
    <w:rsid w:val="00AA0857"/>
    <w:rsid w:val="00AA316D"/>
    <w:rsid w:val="00AA3388"/>
    <w:rsid w:val="00AA33CE"/>
    <w:rsid w:val="00AA4388"/>
    <w:rsid w:val="00AA4B34"/>
    <w:rsid w:val="00AA4CC7"/>
    <w:rsid w:val="00AA5E8E"/>
    <w:rsid w:val="00AA71C2"/>
    <w:rsid w:val="00AB0506"/>
    <w:rsid w:val="00AB1172"/>
    <w:rsid w:val="00AB189A"/>
    <w:rsid w:val="00AB2287"/>
    <w:rsid w:val="00AB23BA"/>
    <w:rsid w:val="00AB3538"/>
    <w:rsid w:val="00AB3CF3"/>
    <w:rsid w:val="00AB4315"/>
    <w:rsid w:val="00AB5128"/>
    <w:rsid w:val="00AB5970"/>
    <w:rsid w:val="00AB6CA7"/>
    <w:rsid w:val="00AB7D86"/>
    <w:rsid w:val="00AC0469"/>
    <w:rsid w:val="00AC09D5"/>
    <w:rsid w:val="00AC13CC"/>
    <w:rsid w:val="00AC2DEB"/>
    <w:rsid w:val="00AC4426"/>
    <w:rsid w:val="00AC50E7"/>
    <w:rsid w:val="00AC71A7"/>
    <w:rsid w:val="00AC71BF"/>
    <w:rsid w:val="00AD01E4"/>
    <w:rsid w:val="00AD0858"/>
    <w:rsid w:val="00AD0BAB"/>
    <w:rsid w:val="00AD1122"/>
    <w:rsid w:val="00AD1883"/>
    <w:rsid w:val="00AD2E14"/>
    <w:rsid w:val="00AD2FBD"/>
    <w:rsid w:val="00AD43BA"/>
    <w:rsid w:val="00AD4B0E"/>
    <w:rsid w:val="00AD5090"/>
    <w:rsid w:val="00AD6236"/>
    <w:rsid w:val="00AD669C"/>
    <w:rsid w:val="00AD7999"/>
    <w:rsid w:val="00AE01FF"/>
    <w:rsid w:val="00AE041A"/>
    <w:rsid w:val="00AE06D5"/>
    <w:rsid w:val="00AE0CC5"/>
    <w:rsid w:val="00AE0DF2"/>
    <w:rsid w:val="00AE1E16"/>
    <w:rsid w:val="00AE3E43"/>
    <w:rsid w:val="00AE523F"/>
    <w:rsid w:val="00AE52B2"/>
    <w:rsid w:val="00AE53F7"/>
    <w:rsid w:val="00AE7340"/>
    <w:rsid w:val="00AE79AB"/>
    <w:rsid w:val="00AF0958"/>
    <w:rsid w:val="00AF0CF0"/>
    <w:rsid w:val="00AF1BBD"/>
    <w:rsid w:val="00AF1CF4"/>
    <w:rsid w:val="00AF1E5E"/>
    <w:rsid w:val="00AF230B"/>
    <w:rsid w:val="00AF23C5"/>
    <w:rsid w:val="00AF35EA"/>
    <w:rsid w:val="00AF6348"/>
    <w:rsid w:val="00B00275"/>
    <w:rsid w:val="00B01744"/>
    <w:rsid w:val="00B01E79"/>
    <w:rsid w:val="00B021D1"/>
    <w:rsid w:val="00B05F3E"/>
    <w:rsid w:val="00B07482"/>
    <w:rsid w:val="00B10207"/>
    <w:rsid w:val="00B103F1"/>
    <w:rsid w:val="00B10A2E"/>
    <w:rsid w:val="00B10BD1"/>
    <w:rsid w:val="00B111D9"/>
    <w:rsid w:val="00B11E99"/>
    <w:rsid w:val="00B13487"/>
    <w:rsid w:val="00B136E2"/>
    <w:rsid w:val="00B141E7"/>
    <w:rsid w:val="00B15D33"/>
    <w:rsid w:val="00B15DBE"/>
    <w:rsid w:val="00B1726F"/>
    <w:rsid w:val="00B200CA"/>
    <w:rsid w:val="00B21077"/>
    <w:rsid w:val="00B22DFB"/>
    <w:rsid w:val="00B24738"/>
    <w:rsid w:val="00B26D98"/>
    <w:rsid w:val="00B2789C"/>
    <w:rsid w:val="00B27DA4"/>
    <w:rsid w:val="00B30AFC"/>
    <w:rsid w:val="00B31C15"/>
    <w:rsid w:val="00B31F3D"/>
    <w:rsid w:val="00B33BA8"/>
    <w:rsid w:val="00B34278"/>
    <w:rsid w:val="00B34DF9"/>
    <w:rsid w:val="00B351B4"/>
    <w:rsid w:val="00B35C7A"/>
    <w:rsid w:val="00B35EB7"/>
    <w:rsid w:val="00B37BB6"/>
    <w:rsid w:val="00B409BB"/>
    <w:rsid w:val="00B42230"/>
    <w:rsid w:val="00B42BA5"/>
    <w:rsid w:val="00B42F44"/>
    <w:rsid w:val="00B43A07"/>
    <w:rsid w:val="00B44705"/>
    <w:rsid w:val="00B4522E"/>
    <w:rsid w:val="00B4585A"/>
    <w:rsid w:val="00B45B5C"/>
    <w:rsid w:val="00B45F35"/>
    <w:rsid w:val="00B46BCA"/>
    <w:rsid w:val="00B476B7"/>
    <w:rsid w:val="00B478AA"/>
    <w:rsid w:val="00B500AE"/>
    <w:rsid w:val="00B500BF"/>
    <w:rsid w:val="00B5084C"/>
    <w:rsid w:val="00B50D4C"/>
    <w:rsid w:val="00B50F0F"/>
    <w:rsid w:val="00B51350"/>
    <w:rsid w:val="00B51BF4"/>
    <w:rsid w:val="00B52004"/>
    <w:rsid w:val="00B53500"/>
    <w:rsid w:val="00B535E6"/>
    <w:rsid w:val="00B5513F"/>
    <w:rsid w:val="00B5766B"/>
    <w:rsid w:val="00B57894"/>
    <w:rsid w:val="00B57C5C"/>
    <w:rsid w:val="00B601C5"/>
    <w:rsid w:val="00B6210B"/>
    <w:rsid w:val="00B62126"/>
    <w:rsid w:val="00B637F4"/>
    <w:rsid w:val="00B64CB2"/>
    <w:rsid w:val="00B657AB"/>
    <w:rsid w:val="00B65EF9"/>
    <w:rsid w:val="00B6670F"/>
    <w:rsid w:val="00B66A2D"/>
    <w:rsid w:val="00B66C52"/>
    <w:rsid w:val="00B7176F"/>
    <w:rsid w:val="00B72198"/>
    <w:rsid w:val="00B7306B"/>
    <w:rsid w:val="00B736D5"/>
    <w:rsid w:val="00B73D39"/>
    <w:rsid w:val="00B7537F"/>
    <w:rsid w:val="00B755A6"/>
    <w:rsid w:val="00B75F9F"/>
    <w:rsid w:val="00B775CF"/>
    <w:rsid w:val="00B81607"/>
    <w:rsid w:val="00B81C07"/>
    <w:rsid w:val="00B8231E"/>
    <w:rsid w:val="00B82445"/>
    <w:rsid w:val="00B83202"/>
    <w:rsid w:val="00B83A54"/>
    <w:rsid w:val="00B84011"/>
    <w:rsid w:val="00B844E8"/>
    <w:rsid w:val="00B84C11"/>
    <w:rsid w:val="00B85C2B"/>
    <w:rsid w:val="00B867E8"/>
    <w:rsid w:val="00B87073"/>
    <w:rsid w:val="00B87806"/>
    <w:rsid w:val="00B87EC9"/>
    <w:rsid w:val="00B90FAB"/>
    <w:rsid w:val="00B91D31"/>
    <w:rsid w:val="00B920E4"/>
    <w:rsid w:val="00B92219"/>
    <w:rsid w:val="00B92286"/>
    <w:rsid w:val="00B94A2E"/>
    <w:rsid w:val="00B97FCE"/>
    <w:rsid w:val="00B97FD3"/>
    <w:rsid w:val="00BA08E7"/>
    <w:rsid w:val="00BA1210"/>
    <w:rsid w:val="00BA3FD9"/>
    <w:rsid w:val="00BA6B70"/>
    <w:rsid w:val="00BA6EE6"/>
    <w:rsid w:val="00BA7187"/>
    <w:rsid w:val="00BB10FD"/>
    <w:rsid w:val="00BB11BF"/>
    <w:rsid w:val="00BB1298"/>
    <w:rsid w:val="00BB4A34"/>
    <w:rsid w:val="00BB599F"/>
    <w:rsid w:val="00BB6692"/>
    <w:rsid w:val="00BB713C"/>
    <w:rsid w:val="00BB78A8"/>
    <w:rsid w:val="00BB7D2A"/>
    <w:rsid w:val="00BC0A99"/>
    <w:rsid w:val="00BC189F"/>
    <w:rsid w:val="00BC38FD"/>
    <w:rsid w:val="00BC39E5"/>
    <w:rsid w:val="00BC4BFB"/>
    <w:rsid w:val="00BC4D77"/>
    <w:rsid w:val="00BC5B9B"/>
    <w:rsid w:val="00BC66C8"/>
    <w:rsid w:val="00BC70C4"/>
    <w:rsid w:val="00BC7AD8"/>
    <w:rsid w:val="00BD11C9"/>
    <w:rsid w:val="00BD1460"/>
    <w:rsid w:val="00BD1A6D"/>
    <w:rsid w:val="00BD30B2"/>
    <w:rsid w:val="00BD5AF9"/>
    <w:rsid w:val="00BD6AE6"/>
    <w:rsid w:val="00BE4B8B"/>
    <w:rsid w:val="00BE602C"/>
    <w:rsid w:val="00BE7EF5"/>
    <w:rsid w:val="00BF0FDC"/>
    <w:rsid w:val="00BF347F"/>
    <w:rsid w:val="00BF3DAD"/>
    <w:rsid w:val="00BF5043"/>
    <w:rsid w:val="00BF5CAD"/>
    <w:rsid w:val="00C003E9"/>
    <w:rsid w:val="00C034CB"/>
    <w:rsid w:val="00C038FB"/>
    <w:rsid w:val="00C04E1A"/>
    <w:rsid w:val="00C051A8"/>
    <w:rsid w:val="00C054BC"/>
    <w:rsid w:val="00C05D37"/>
    <w:rsid w:val="00C07237"/>
    <w:rsid w:val="00C121E1"/>
    <w:rsid w:val="00C13DFD"/>
    <w:rsid w:val="00C1433A"/>
    <w:rsid w:val="00C14777"/>
    <w:rsid w:val="00C15B77"/>
    <w:rsid w:val="00C15CD6"/>
    <w:rsid w:val="00C17897"/>
    <w:rsid w:val="00C21639"/>
    <w:rsid w:val="00C2457D"/>
    <w:rsid w:val="00C253B6"/>
    <w:rsid w:val="00C261B1"/>
    <w:rsid w:val="00C2691E"/>
    <w:rsid w:val="00C307BC"/>
    <w:rsid w:val="00C30C05"/>
    <w:rsid w:val="00C30D70"/>
    <w:rsid w:val="00C30ECE"/>
    <w:rsid w:val="00C31050"/>
    <w:rsid w:val="00C31FFA"/>
    <w:rsid w:val="00C32833"/>
    <w:rsid w:val="00C32839"/>
    <w:rsid w:val="00C32C13"/>
    <w:rsid w:val="00C3310E"/>
    <w:rsid w:val="00C33251"/>
    <w:rsid w:val="00C33CD0"/>
    <w:rsid w:val="00C3488A"/>
    <w:rsid w:val="00C3649F"/>
    <w:rsid w:val="00C36AE6"/>
    <w:rsid w:val="00C36DC9"/>
    <w:rsid w:val="00C36FF9"/>
    <w:rsid w:val="00C409D5"/>
    <w:rsid w:val="00C413BE"/>
    <w:rsid w:val="00C42753"/>
    <w:rsid w:val="00C435C3"/>
    <w:rsid w:val="00C447F8"/>
    <w:rsid w:val="00C45B31"/>
    <w:rsid w:val="00C465AF"/>
    <w:rsid w:val="00C47F9A"/>
    <w:rsid w:val="00C50319"/>
    <w:rsid w:val="00C51E97"/>
    <w:rsid w:val="00C520CE"/>
    <w:rsid w:val="00C5239D"/>
    <w:rsid w:val="00C526D8"/>
    <w:rsid w:val="00C53029"/>
    <w:rsid w:val="00C5371A"/>
    <w:rsid w:val="00C54A43"/>
    <w:rsid w:val="00C5737E"/>
    <w:rsid w:val="00C60BCD"/>
    <w:rsid w:val="00C61790"/>
    <w:rsid w:val="00C6234B"/>
    <w:rsid w:val="00C62424"/>
    <w:rsid w:val="00C63D49"/>
    <w:rsid w:val="00C63EAE"/>
    <w:rsid w:val="00C64DB7"/>
    <w:rsid w:val="00C660AB"/>
    <w:rsid w:val="00C671FD"/>
    <w:rsid w:val="00C7087C"/>
    <w:rsid w:val="00C70E18"/>
    <w:rsid w:val="00C7126B"/>
    <w:rsid w:val="00C71FD6"/>
    <w:rsid w:val="00C721BE"/>
    <w:rsid w:val="00C736BA"/>
    <w:rsid w:val="00C737B4"/>
    <w:rsid w:val="00C74749"/>
    <w:rsid w:val="00C7629F"/>
    <w:rsid w:val="00C76609"/>
    <w:rsid w:val="00C76778"/>
    <w:rsid w:val="00C76B0E"/>
    <w:rsid w:val="00C77971"/>
    <w:rsid w:val="00C80518"/>
    <w:rsid w:val="00C80C99"/>
    <w:rsid w:val="00C81B59"/>
    <w:rsid w:val="00C82EE2"/>
    <w:rsid w:val="00C8331F"/>
    <w:rsid w:val="00C8350B"/>
    <w:rsid w:val="00C85095"/>
    <w:rsid w:val="00C8661B"/>
    <w:rsid w:val="00C92824"/>
    <w:rsid w:val="00C9350E"/>
    <w:rsid w:val="00C946A2"/>
    <w:rsid w:val="00C94803"/>
    <w:rsid w:val="00C96085"/>
    <w:rsid w:val="00C9681E"/>
    <w:rsid w:val="00C972E8"/>
    <w:rsid w:val="00CA0148"/>
    <w:rsid w:val="00CA0B31"/>
    <w:rsid w:val="00CA139A"/>
    <w:rsid w:val="00CA1D0F"/>
    <w:rsid w:val="00CA2899"/>
    <w:rsid w:val="00CA29FD"/>
    <w:rsid w:val="00CA33FB"/>
    <w:rsid w:val="00CA3A3D"/>
    <w:rsid w:val="00CA437E"/>
    <w:rsid w:val="00CA4FCB"/>
    <w:rsid w:val="00CA6640"/>
    <w:rsid w:val="00CA77FB"/>
    <w:rsid w:val="00CB00D1"/>
    <w:rsid w:val="00CB1DB6"/>
    <w:rsid w:val="00CB1F26"/>
    <w:rsid w:val="00CB368B"/>
    <w:rsid w:val="00CB379B"/>
    <w:rsid w:val="00CB3973"/>
    <w:rsid w:val="00CB3F4D"/>
    <w:rsid w:val="00CB4338"/>
    <w:rsid w:val="00CB4C82"/>
    <w:rsid w:val="00CB53E6"/>
    <w:rsid w:val="00CB5440"/>
    <w:rsid w:val="00CB5B40"/>
    <w:rsid w:val="00CB5DD0"/>
    <w:rsid w:val="00CB6364"/>
    <w:rsid w:val="00CB6742"/>
    <w:rsid w:val="00CC2588"/>
    <w:rsid w:val="00CC392C"/>
    <w:rsid w:val="00CC51D4"/>
    <w:rsid w:val="00CC5BEA"/>
    <w:rsid w:val="00CC65DA"/>
    <w:rsid w:val="00CC6FA7"/>
    <w:rsid w:val="00CC782B"/>
    <w:rsid w:val="00CD0E00"/>
    <w:rsid w:val="00CD116A"/>
    <w:rsid w:val="00CD2C4B"/>
    <w:rsid w:val="00CD3568"/>
    <w:rsid w:val="00CD49DA"/>
    <w:rsid w:val="00CD4C78"/>
    <w:rsid w:val="00CD5016"/>
    <w:rsid w:val="00CD63D6"/>
    <w:rsid w:val="00CD6780"/>
    <w:rsid w:val="00CD6CF1"/>
    <w:rsid w:val="00CD74CE"/>
    <w:rsid w:val="00CE3766"/>
    <w:rsid w:val="00CE3DF2"/>
    <w:rsid w:val="00CE53AA"/>
    <w:rsid w:val="00CE61F1"/>
    <w:rsid w:val="00CE6602"/>
    <w:rsid w:val="00CE6B2F"/>
    <w:rsid w:val="00CE7CB0"/>
    <w:rsid w:val="00CF21B9"/>
    <w:rsid w:val="00CF2BA9"/>
    <w:rsid w:val="00CF2EF8"/>
    <w:rsid w:val="00CF3130"/>
    <w:rsid w:val="00CF4048"/>
    <w:rsid w:val="00CF5D34"/>
    <w:rsid w:val="00CF5DFB"/>
    <w:rsid w:val="00CF6835"/>
    <w:rsid w:val="00CF6BF9"/>
    <w:rsid w:val="00CF7B08"/>
    <w:rsid w:val="00D00065"/>
    <w:rsid w:val="00D03800"/>
    <w:rsid w:val="00D0501A"/>
    <w:rsid w:val="00D0603A"/>
    <w:rsid w:val="00D065D3"/>
    <w:rsid w:val="00D069F1"/>
    <w:rsid w:val="00D0702A"/>
    <w:rsid w:val="00D073E1"/>
    <w:rsid w:val="00D10701"/>
    <w:rsid w:val="00D12C39"/>
    <w:rsid w:val="00D12E35"/>
    <w:rsid w:val="00D1452A"/>
    <w:rsid w:val="00D14C94"/>
    <w:rsid w:val="00D14EB0"/>
    <w:rsid w:val="00D16B95"/>
    <w:rsid w:val="00D21074"/>
    <w:rsid w:val="00D2399B"/>
    <w:rsid w:val="00D242F2"/>
    <w:rsid w:val="00D24994"/>
    <w:rsid w:val="00D260F2"/>
    <w:rsid w:val="00D26799"/>
    <w:rsid w:val="00D268BC"/>
    <w:rsid w:val="00D3157F"/>
    <w:rsid w:val="00D315E9"/>
    <w:rsid w:val="00D32881"/>
    <w:rsid w:val="00D32A0E"/>
    <w:rsid w:val="00D33085"/>
    <w:rsid w:val="00D342A6"/>
    <w:rsid w:val="00D35BB6"/>
    <w:rsid w:val="00D369CD"/>
    <w:rsid w:val="00D36B99"/>
    <w:rsid w:val="00D409B3"/>
    <w:rsid w:val="00D4165A"/>
    <w:rsid w:val="00D427CE"/>
    <w:rsid w:val="00D429C7"/>
    <w:rsid w:val="00D42E1B"/>
    <w:rsid w:val="00D438C1"/>
    <w:rsid w:val="00D448A8"/>
    <w:rsid w:val="00D448C5"/>
    <w:rsid w:val="00D449A9"/>
    <w:rsid w:val="00D452E4"/>
    <w:rsid w:val="00D45C87"/>
    <w:rsid w:val="00D45CA6"/>
    <w:rsid w:val="00D46244"/>
    <w:rsid w:val="00D464BF"/>
    <w:rsid w:val="00D47A78"/>
    <w:rsid w:val="00D50080"/>
    <w:rsid w:val="00D5103C"/>
    <w:rsid w:val="00D51494"/>
    <w:rsid w:val="00D52B87"/>
    <w:rsid w:val="00D53E26"/>
    <w:rsid w:val="00D559D1"/>
    <w:rsid w:val="00D565A5"/>
    <w:rsid w:val="00D56D7E"/>
    <w:rsid w:val="00D610A1"/>
    <w:rsid w:val="00D6164E"/>
    <w:rsid w:val="00D617E0"/>
    <w:rsid w:val="00D6242C"/>
    <w:rsid w:val="00D634B1"/>
    <w:rsid w:val="00D64595"/>
    <w:rsid w:val="00D65C80"/>
    <w:rsid w:val="00D66545"/>
    <w:rsid w:val="00D66A51"/>
    <w:rsid w:val="00D67669"/>
    <w:rsid w:val="00D7219D"/>
    <w:rsid w:val="00D7276A"/>
    <w:rsid w:val="00D729E7"/>
    <w:rsid w:val="00D730E5"/>
    <w:rsid w:val="00D73EA9"/>
    <w:rsid w:val="00D7492C"/>
    <w:rsid w:val="00D76292"/>
    <w:rsid w:val="00D7664A"/>
    <w:rsid w:val="00D76D2C"/>
    <w:rsid w:val="00D80193"/>
    <w:rsid w:val="00D83292"/>
    <w:rsid w:val="00D8367A"/>
    <w:rsid w:val="00D83B7A"/>
    <w:rsid w:val="00D854A9"/>
    <w:rsid w:val="00D86079"/>
    <w:rsid w:val="00D86882"/>
    <w:rsid w:val="00D8696C"/>
    <w:rsid w:val="00D9039F"/>
    <w:rsid w:val="00D915F0"/>
    <w:rsid w:val="00D93180"/>
    <w:rsid w:val="00D9423D"/>
    <w:rsid w:val="00D949ED"/>
    <w:rsid w:val="00D94C7A"/>
    <w:rsid w:val="00D9554E"/>
    <w:rsid w:val="00D957B5"/>
    <w:rsid w:val="00DA1B4B"/>
    <w:rsid w:val="00DA1F31"/>
    <w:rsid w:val="00DA37D8"/>
    <w:rsid w:val="00DA4094"/>
    <w:rsid w:val="00DA5306"/>
    <w:rsid w:val="00DA6E0C"/>
    <w:rsid w:val="00DA7D5A"/>
    <w:rsid w:val="00DB0DF4"/>
    <w:rsid w:val="00DB16A1"/>
    <w:rsid w:val="00DB1970"/>
    <w:rsid w:val="00DB3DCF"/>
    <w:rsid w:val="00DB41AB"/>
    <w:rsid w:val="00DB4C09"/>
    <w:rsid w:val="00DB51EA"/>
    <w:rsid w:val="00DB5BB3"/>
    <w:rsid w:val="00DB5D48"/>
    <w:rsid w:val="00DB6E4F"/>
    <w:rsid w:val="00DB799F"/>
    <w:rsid w:val="00DB7A23"/>
    <w:rsid w:val="00DC00A6"/>
    <w:rsid w:val="00DC0F9B"/>
    <w:rsid w:val="00DC1E86"/>
    <w:rsid w:val="00DC2ACF"/>
    <w:rsid w:val="00DC33C8"/>
    <w:rsid w:val="00DC3F2D"/>
    <w:rsid w:val="00DC4B74"/>
    <w:rsid w:val="00DC5658"/>
    <w:rsid w:val="00DC74CB"/>
    <w:rsid w:val="00DD0533"/>
    <w:rsid w:val="00DD25E2"/>
    <w:rsid w:val="00DD4F0E"/>
    <w:rsid w:val="00DD7A93"/>
    <w:rsid w:val="00DE163E"/>
    <w:rsid w:val="00DE2686"/>
    <w:rsid w:val="00DE4A99"/>
    <w:rsid w:val="00DE51C9"/>
    <w:rsid w:val="00DE642E"/>
    <w:rsid w:val="00DF0034"/>
    <w:rsid w:val="00DF00B0"/>
    <w:rsid w:val="00DF0355"/>
    <w:rsid w:val="00DF0BF0"/>
    <w:rsid w:val="00DF1448"/>
    <w:rsid w:val="00DF1BDC"/>
    <w:rsid w:val="00DF2A63"/>
    <w:rsid w:val="00DF3CA2"/>
    <w:rsid w:val="00DF7A8C"/>
    <w:rsid w:val="00E00347"/>
    <w:rsid w:val="00E0038E"/>
    <w:rsid w:val="00E01463"/>
    <w:rsid w:val="00E014EF"/>
    <w:rsid w:val="00E0151F"/>
    <w:rsid w:val="00E01EDD"/>
    <w:rsid w:val="00E05E0A"/>
    <w:rsid w:val="00E060BE"/>
    <w:rsid w:val="00E06423"/>
    <w:rsid w:val="00E06B2B"/>
    <w:rsid w:val="00E11AE5"/>
    <w:rsid w:val="00E11EF8"/>
    <w:rsid w:val="00E138E0"/>
    <w:rsid w:val="00E153FB"/>
    <w:rsid w:val="00E20CD9"/>
    <w:rsid w:val="00E22369"/>
    <w:rsid w:val="00E2388A"/>
    <w:rsid w:val="00E23AA3"/>
    <w:rsid w:val="00E23DF3"/>
    <w:rsid w:val="00E23F99"/>
    <w:rsid w:val="00E2463D"/>
    <w:rsid w:val="00E25C5D"/>
    <w:rsid w:val="00E319B2"/>
    <w:rsid w:val="00E331D6"/>
    <w:rsid w:val="00E3389B"/>
    <w:rsid w:val="00E33954"/>
    <w:rsid w:val="00E35446"/>
    <w:rsid w:val="00E365E9"/>
    <w:rsid w:val="00E374DB"/>
    <w:rsid w:val="00E401E6"/>
    <w:rsid w:val="00E4072F"/>
    <w:rsid w:val="00E415EE"/>
    <w:rsid w:val="00E417BB"/>
    <w:rsid w:val="00E41C3A"/>
    <w:rsid w:val="00E4377E"/>
    <w:rsid w:val="00E445CE"/>
    <w:rsid w:val="00E44FE8"/>
    <w:rsid w:val="00E4502B"/>
    <w:rsid w:val="00E45540"/>
    <w:rsid w:val="00E462AA"/>
    <w:rsid w:val="00E4644F"/>
    <w:rsid w:val="00E46CA8"/>
    <w:rsid w:val="00E4738B"/>
    <w:rsid w:val="00E474BC"/>
    <w:rsid w:val="00E51FB3"/>
    <w:rsid w:val="00E532EE"/>
    <w:rsid w:val="00E534CF"/>
    <w:rsid w:val="00E53741"/>
    <w:rsid w:val="00E54CA2"/>
    <w:rsid w:val="00E57F9F"/>
    <w:rsid w:val="00E6077B"/>
    <w:rsid w:val="00E6120D"/>
    <w:rsid w:val="00E62398"/>
    <w:rsid w:val="00E623B4"/>
    <w:rsid w:val="00E628FA"/>
    <w:rsid w:val="00E71A17"/>
    <w:rsid w:val="00E71B83"/>
    <w:rsid w:val="00E72C29"/>
    <w:rsid w:val="00E744D6"/>
    <w:rsid w:val="00E7480B"/>
    <w:rsid w:val="00E76C14"/>
    <w:rsid w:val="00E7713E"/>
    <w:rsid w:val="00E77C59"/>
    <w:rsid w:val="00E81CB4"/>
    <w:rsid w:val="00E82D99"/>
    <w:rsid w:val="00E84CE6"/>
    <w:rsid w:val="00E8585B"/>
    <w:rsid w:val="00E8644D"/>
    <w:rsid w:val="00E86B56"/>
    <w:rsid w:val="00E86C6D"/>
    <w:rsid w:val="00E87993"/>
    <w:rsid w:val="00E901F4"/>
    <w:rsid w:val="00E90410"/>
    <w:rsid w:val="00E9309D"/>
    <w:rsid w:val="00E935AB"/>
    <w:rsid w:val="00E93A87"/>
    <w:rsid w:val="00E948D6"/>
    <w:rsid w:val="00E97B43"/>
    <w:rsid w:val="00EA0C2C"/>
    <w:rsid w:val="00EA0D88"/>
    <w:rsid w:val="00EA1E87"/>
    <w:rsid w:val="00EA335B"/>
    <w:rsid w:val="00EA3814"/>
    <w:rsid w:val="00EA3F15"/>
    <w:rsid w:val="00EA479C"/>
    <w:rsid w:val="00EA60AB"/>
    <w:rsid w:val="00EA6E9D"/>
    <w:rsid w:val="00EA6EAA"/>
    <w:rsid w:val="00EA723B"/>
    <w:rsid w:val="00EA7847"/>
    <w:rsid w:val="00EB0C5A"/>
    <w:rsid w:val="00EB1C37"/>
    <w:rsid w:val="00EB1CBB"/>
    <w:rsid w:val="00EB4C2F"/>
    <w:rsid w:val="00EB6FBB"/>
    <w:rsid w:val="00EB7257"/>
    <w:rsid w:val="00EB753E"/>
    <w:rsid w:val="00EB75C8"/>
    <w:rsid w:val="00EB7A9D"/>
    <w:rsid w:val="00EC126D"/>
    <w:rsid w:val="00EC165F"/>
    <w:rsid w:val="00EC20D9"/>
    <w:rsid w:val="00EC3BE8"/>
    <w:rsid w:val="00EC4128"/>
    <w:rsid w:val="00EC5A2C"/>
    <w:rsid w:val="00EC5D3C"/>
    <w:rsid w:val="00EC6986"/>
    <w:rsid w:val="00ED06D2"/>
    <w:rsid w:val="00ED13CD"/>
    <w:rsid w:val="00ED1A04"/>
    <w:rsid w:val="00ED1C94"/>
    <w:rsid w:val="00ED4740"/>
    <w:rsid w:val="00EE14B4"/>
    <w:rsid w:val="00EE2A5E"/>
    <w:rsid w:val="00EE2E1C"/>
    <w:rsid w:val="00EE2E6E"/>
    <w:rsid w:val="00EE4697"/>
    <w:rsid w:val="00EE550C"/>
    <w:rsid w:val="00EE5534"/>
    <w:rsid w:val="00EE57D7"/>
    <w:rsid w:val="00EE6C0F"/>
    <w:rsid w:val="00EE6E1E"/>
    <w:rsid w:val="00EE7209"/>
    <w:rsid w:val="00EF0C94"/>
    <w:rsid w:val="00EF2802"/>
    <w:rsid w:val="00EF3558"/>
    <w:rsid w:val="00EF47B6"/>
    <w:rsid w:val="00EF49B7"/>
    <w:rsid w:val="00EF5899"/>
    <w:rsid w:val="00EF5ADC"/>
    <w:rsid w:val="00EF63A9"/>
    <w:rsid w:val="00EF69A5"/>
    <w:rsid w:val="00EF6AC7"/>
    <w:rsid w:val="00EF7236"/>
    <w:rsid w:val="00F006D8"/>
    <w:rsid w:val="00F02FC9"/>
    <w:rsid w:val="00F03292"/>
    <w:rsid w:val="00F032E5"/>
    <w:rsid w:val="00F04EA6"/>
    <w:rsid w:val="00F05E64"/>
    <w:rsid w:val="00F0759E"/>
    <w:rsid w:val="00F11EFB"/>
    <w:rsid w:val="00F12593"/>
    <w:rsid w:val="00F125EF"/>
    <w:rsid w:val="00F127D6"/>
    <w:rsid w:val="00F13667"/>
    <w:rsid w:val="00F13CD6"/>
    <w:rsid w:val="00F14C46"/>
    <w:rsid w:val="00F16A43"/>
    <w:rsid w:val="00F1721A"/>
    <w:rsid w:val="00F1785B"/>
    <w:rsid w:val="00F17ECE"/>
    <w:rsid w:val="00F2003E"/>
    <w:rsid w:val="00F22247"/>
    <w:rsid w:val="00F233A2"/>
    <w:rsid w:val="00F23A1F"/>
    <w:rsid w:val="00F274BE"/>
    <w:rsid w:val="00F2799E"/>
    <w:rsid w:val="00F27F10"/>
    <w:rsid w:val="00F30839"/>
    <w:rsid w:val="00F32FD1"/>
    <w:rsid w:val="00F33E4C"/>
    <w:rsid w:val="00F340A2"/>
    <w:rsid w:val="00F3489E"/>
    <w:rsid w:val="00F3511A"/>
    <w:rsid w:val="00F37317"/>
    <w:rsid w:val="00F3793F"/>
    <w:rsid w:val="00F407A9"/>
    <w:rsid w:val="00F4269D"/>
    <w:rsid w:val="00F439EB"/>
    <w:rsid w:val="00F44218"/>
    <w:rsid w:val="00F45384"/>
    <w:rsid w:val="00F4576D"/>
    <w:rsid w:val="00F459B2"/>
    <w:rsid w:val="00F4668C"/>
    <w:rsid w:val="00F46780"/>
    <w:rsid w:val="00F47548"/>
    <w:rsid w:val="00F47A79"/>
    <w:rsid w:val="00F47AB6"/>
    <w:rsid w:val="00F512CB"/>
    <w:rsid w:val="00F5162D"/>
    <w:rsid w:val="00F5196F"/>
    <w:rsid w:val="00F52CAB"/>
    <w:rsid w:val="00F5339D"/>
    <w:rsid w:val="00F54622"/>
    <w:rsid w:val="00F57562"/>
    <w:rsid w:val="00F6142D"/>
    <w:rsid w:val="00F614C2"/>
    <w:rsid w:val="00F63916"/>
    <w:rsid w:val="00F63985"/>
    <w:rsid w:val="00F6480D"/>
    <w:rsid w:val="00F64E51"/>
    <w:rsid w:val="00F65119"/>
    <w:rsid w:val="00F65B00"/>
    <w:rsid w:val="00F66361"/>
    <w:rsid w:val="00F66C72"/>
    <w:rsid w:val="00F67EAC"/>
    <w:rsid w:val="00F71DDD"/>
    <w:rsid w:val="00F74E0C"/>
    <w:rsid w:val="00F751BD"/>
    <w:rsid w:val="00F76EE0"/>
    <w:rsid w:val="00F76FDC"/>
    <w:rsid w:val="00F7722E"/>
    <w:rsid w:val="00F77F9A"/>
    <w:rsid w:val="00F821A3"/>
    <w:rsid w:val="00F855F9"/>
    <w:rsid w:val="00F873D4"/>
    <w:rsid w:val="00F87878"/>
    <w:rsid w:val="00F90559"/>
    <w:rsid w:val="00F90D59"/>
    <w:rsid w:val="00F9105A"/>
    <w:rsid w:val="00F92BD9"/>
    <w:rsid w:val="00F9314A"/>
    <w:rsid w:val="00F93BFB"/>
    <w:rsid w:val="00F940B2"/>
    <w:rsid w:val="00F94BB8"/>
    <w:rsid w:val="00F953E1"/>
    <w:rsid w:val="00F95475"/>
    <w:rsid w:val="00F9646F"/>
    <w:rsid w:val="00F9799D"/>
    <w:rsid w:val="00FA0172"/>
    <w:rsid w:val="00FA29BD"/>
    <w:rsid w:val="00FA2A25"/>
    <w:rsid w:val="00FA2C71"/>
    <w:rsid w:val="00FA48D3"/>
    <w:rsid w:val="00FA4BA6"/>
    <w:rsid w:val="00FA569A"/>
    <w:rsid w:val="00FA605C"/>
    <w:rsid w:val="00FA62A6"/>
    <w:rsid w:val="00FA6CC9"/>
    <w:rsid w:val="00FA774A"/>
    <w:rsid w:val="00FB0298"/>
    <w:rsid w:val="00FB0E50"/>
    <w:rsid w:val="00FB1585"/>
    <w:rsid w:val="00FB1800"/>
    <w:rsid w:val="00FB24C0"/>
    <w:rsid w:val="00FB3A96"/>
    <w:rsid w:val="00FB435C"/>
    <w:rsid w:val="00FB4424"/>
    <w:rsid w:val="00FB631E"/>
    <w:rsid w:val="00FB65E7"/>
    <w:rsid w:val="00FB7C3B"/>
    <w:rsid w:val="00FC1120"/>
    <w:rsid w:val="00FC2BC3"/>
    <w:rsid w:val="00FC3BBB"/>
    <w:rsid w:val="00FC4506"/>
    <w:rsid w:val="00FC4577"/>
    <w:rsid w:val="00FC4A47"/>
    <w:rsid w:val="00FC531E"/>
    <w:rsid w:val="00FC58EF"/>
    <w:rsid w:val="00FC5BD8"/>
    <w:rsid w:val="00FC645C"/>
    <w:rsid w:val="00FC7E22"/>
    <w:rsid w:val="00FD0A4F"/>
    <w:rsid w:val="00FD33DF"/>
    <w:rsid w:val="00FD58B1"/>
    <w:rsid w:val="00FD6D83"/>
    <w:rsid w:val="00FE0861"/>
    <w:rsid w:val="00FE39D7"/>
    <w:rsid w:val="00FE3B37"/>
    <w:rsid w:val="00FE49D2"/>
    <w:rsid w:val="00FE4E8D"/>
    <w:rsid w:val="00FE53B8"/>
    <w:rsid w:val="00FE7026"/>
    <w:rsid w:val="00FF12A2"/>
    <w:rsid w:val="00FF19BF"/>
    <w:rsid w:val="00FF364D"/>
    <w:rsid w:val="00FF37D3"/>
    <w:rsid w:val="00FF44C0"/>
    <w:rsid w:val="00FF4D1B"/>
    <w:rsid w:val="00FF4F85"/>
    <w:rsid w:val="00FF72B2"/>
    <w:rsid w:val="00FF77B7"/>
    <w:rsid w:val="00FF792C"/>
    <w:rsid w:val="01DD8646"/>
    <w:rsid w:val="020A773E"/>
    <w:rsid w:val="02FBCA85"/>
    <w:rsid w:val="0616757F"/>
    <w:rsid w:val="06E66D5F"/>
    <w:rsid w:val="07F704A8"/>
    <w:rsid w:val="087454D6"/>
    <w:rsid w:val="092000C3"/>
    <w:rsid w:val="0A93618F"/>
    <w:rsid w:val="0B588CD1"/>
    <w:rsid w:val="0CBED115"/>
    <w:rsid w:val="1090A192"/>
    <w:rsid w:val="10F3454E"/>
    <w:rsid w:val="1137439F"/>
    <w:rsid w:val="115DE82D"/>
    <w:rsid w:val="130FEC0E"/>
    <w:rsid w:val="13B515B7"/>
    <w:rsid w:val="13EEABC8"/>
    <w:rsid w:val="146DEA71"/>
    <w:rsid w:val="16C3780D"/>
    <w:rsid w:val="175A229A"/>
    <w:rsid w:val="18B6B3E5"/>
    <w:rsid w:val="195A3235"/>
    <w:rsid w:val="1A44D50A"/>
    <w:rsid w:val="1AD3F820"/>
    <w:rsid w:val="1B7611E0"/>
    <w:rsid w:val="1CAAC357"/>
    <w:rsid w:val="1CF7EFF7"/>
    <w:rsid w:val="1E723003"/>
    <w:rsid w:val="1E7C4947"/>
    <w:rsid w:val="1EFE3FE9"/>
    <w:rsid w:val="212DD505"/>
    <w:rsid w:val="241C6B78"/>
    <w:rsid w:val="24A082D5"/>
    <w:rsid w:val="263B88ED"/>
    <w:rsid w:val="2680B251"/>
    <w:rsid w:val="27CFD5A4"/>
    <w:rsid w:val="2AF68D5B"/>
    <w:rsid w:val="2B1627E5"/>
    <w:rsid w:val="2BFCD34E"/>
    <w:rsid w:val="2D0C7592"/>
    <w:rsid w:val="30E42B7A"/>
    <w:rsid w:val="30FB38A2"/>
    <w:rsid w:val="324C0CF2"/>
    <w:rsid w:val="32532269"/>
    <w:rsid w:val="32D6AB93"/>
    <w:rsid w:val="3334D281"/>
    <w:rsid w:val="345097CE"/>
    <w:rsid w:val="35ECE0C8"/>
    <w:rsid w:val="363582A9"/>
    <w:rsid w:val="36477D5E"/>
    <w:rsid w:val="366B2F23"/>
    <w:rsid w:val="366E3F56"/>
    <w:rsid w:val="381C9F2E"/>
    <w:rsid w:val="3885D8AE"/>
    <w:rsid w:val="38B23840"/>
    <w:rsid w:val="3A28A4B2"/>
    <w:rsid w:val="3A30E775"/>
    <w:rsid w:val="3ABBEE87"/>
    <w:rsid w:val="3AD3BD04"/>
    <w:rsid w:val="3BCBBF8E"/>
    <w:rsid w:val="3C39AC8F"/>
    <w:rsid w:val="3C3B0EBA"/>
    <w:rsid w:val="3D0CA364"/>
    <w:rsid w:val="3D3F3B80"/>
    <w:rsid w:val="3DF1ED68"/>
    <w:rsid w:val="3E6651E4"/>
    <w:rsid w:val="3ED4DA2B"/>
    <w:rsid w:val="3F099262"/>
    <w:rsid w:val="3F3B6B99"/>
    <w:rsid w:val="4049DEC0"/>
    <w:rsid w:val="42C7DD9E"/>
    <w:rsid w:val="43B94241"/>
    <w:rsid w:val="444A0378"/>
    <w:rsid w:val="44BE02A2"/>
    <w:rsid w:val="4585265D"/>
    <w:rsid w:val="45F91119"/>
    <w:rsid w:val="462EF91A"/>
    <w:rsid w:val="4635892E"/>
    <w:rsid w:val="49AB11DC"/>
    <w:rsid w:val="4A18DC85"/>
    <w:rsid w:val="4BC5CDC4"/>
    <w:rsid w:val="4D9537CD"/>
    <w:rsid w:val="4E715E98"/>
    <w:rsid w:val="4EE9DA98"/>
    <w:rsid w:val="4F50CED5"/>
    <w:rsid w:val="4FD22B28"/>
    <w:rsid w:val="4FE8CDEA"/>
    <w:rsid w:val="526C1302"/>
    <w:rsid w:val="5316D0E9"/>
    <w:rsid w:val="56E40ABA"/>
    <w:rsid w:val="56F45A10"/>
    <w:rsid w:val="57232371"/>
    <w:rsid w:val="5730B1BA"/>
    <w:rsid w:val="58DF285C"/>
    <w:rsid w:val="5904C8F7"/>
    <w:rsid w:val="59A197AF"/>
    <w:rsid w:val="5B8CC2FE"/>
    <w:rsid w:val="5CEB65DE"/>
    <w:rsid w:val="5F08077D"/>
    <w:rsid w:val="5F170CC3"/>
    <w:rsid w:val="5F35762C"/>
    <w:rsid w:val="605A31D6"/>
    <w:rsid w:val="60AB4FD5"/>
    <w:rsid w:val="612E67E2"/>
    <w:rsid w:val="619DE2C9"/>
    <w:rsid w:val="645C0E70"/>
    <w:rsid w:val="64FA1CD1"/>
    <w:rsid w:val="66E74EAA"/>
    <w:rsid w:val="67945250"/>
    <w:rsid w:val="6897233D"/>
    <w:rsid w:val="6903AF08"/>
    <w:rsid w:val="6A415259"/>
    <w:rsid w:val="6AD4CE31"/>
    <w:rsid w:val="6AE52439"/>
    <w:rsid w:val="6C2C4AD8"/>
    <w:rsid w:val="6C38E224"/>
    <w:rsid w:val="6D4C7F68"/>
    <w:rsid w:val="6E4DB716"/>
    <w:rsid w:val="6E6C7538"/>
    <w:rsid w:val="6FC40744"/>
    <w:rsid w:val="70B711F9"/>
    <w:rsid w:val="711ADF64"/>
    <w:rsid w:val="71401185"/>
    <w:rsid w:val="7206E4D4"/>
    <w:rsid w:val="73183FFF"/>
    <w:rsid w:val="73223666"/>
    <w:rsid w:val="75C68159"/>
    <w:rsid w:val="77F84828"/>
    <w:rsid w:val="78CB0C99"/>
    <w:rsid w:val="7ABADD25"/>
    <w:rsid w:val="7B6B6B74"/>
    <w:rsid w:val="7D2A678D"/>
    <w:rsid w:val="7F15D9A5"/>
    <w:rsid w:val="7F2C8104"/>
    <w:rsid w:val="7F7BD9D3"/>
    <w:rsid w:val="7FC3F809"/>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17A7786"/>
  <w15:docId w15:val="{DCE6F5D3-2C01-40CA-9638-ADC9612B8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aliases w:val="Neg"/>
    <w:basedOn w:val="Normal"/>
    <w:next w:val="Normal"/>
    <w:link w:val="Ttulo2Car"/>
    <w:qFormat/>
    <w:rsid w:val="00545704"/>
    <w:pPr>
      <w:keepNext/>
      <w:widowControl w:val="0"/>
      <w:numPr>
        <w:numId w:val="3"/>
      </w:numPr>
      <w:adjustRightInd w:val="0"/>
      <w:spacing w:line="360" w:lineRule="auto"/>
      <w:jc w:val="both"/>
      <w:textAlignment w:val="baseline"/>
      <w:outlineLvl w:val="1"/>
    </w:pPr>
    <w:rPr>
      <w:b/>
      <w:bCs/>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nhideWhenUsed/>
    <w:qFormat/>
    <w:rsid w:val="006B4647"/>
    <w:pPr>
      <w:spacing w:before="240" w:after="60"/>
      <w:outlineLvl w:val="6"/>
    </w:pPr>
    <w:rPr>
      <w:rFonts w:ascii="Calibri" w:hAnsi="Calibri"/>
    </w:rPr>
  </w:style>
  <w:style w:type="paragraph" w:styleId="Ttulo8">
    <w:name w:val="heading 8"/>
    <w:basedOn w:val="Normal"/>
    <w:next w:val="Normal"/>
    <w:link w:val="Ttulo8Car"/>
    <w:qFormat/>
    <w:rsid w:val="00545704"/>
    <w:pPr>
      <w:keepNext/>
      <w:widowControl w:val="0"/>
      <w:adjustRightInd w:val="0"/>
      <w:spacing w:line="360" w:lineRule="atLeast"/>
      <w:ind w:left="0"/>
      <w:jc w:val="both"/>
      <w:textAlignment w:val="baseline"/>
      <w:outlineLvl w:val="7"/>
    </w:pPr>
    <w:rPr>
      <w:rFonts w:ascii="Arial" w:hAnsi="Arial" w:cs="Arial"/>
      <w:b/>
      <w:sz w:val="44"/>
    </w:rPr>
  </w:style>
  <w:style w:type="paragraph" w:styleId="Ttulo9">
    <w:name w:val="heading 9"/>
    <w:basedOn w:val="Normal"/>
    <w:next w:val="Normal"/>
    <w:link w:val="Ttulo9Car"/>
    <w:qFormat/>
    <w:rsid w:val="00545704"/>
    <w:pPr>
      <w:widowControl w:val="0"/>
      <w:adjustRightInd w:val="0"/>
      <w:spacing w:before="120" w:after="120" w:line="360" w:lineRule="atLeast"/>
      <w:ind w:left="0"/>
      <w:jc w:val="center"/>
      <w:textAlignment w:val="baseline"/>
      <w:outlineLvl w:val="8"/>
    </w:pPr>
    <w:rPr>
      <w:rFonts w:ascii="Arial" w:hAnsi="Arial"/>
      <w:b/>
      <w:i/>
      <w:sz w:val="2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rsid w:val="003101DA"/>
    <w:pPr>
      <w:jc w:val="center"/>
      <w:outlineLvl w:val="0"/>
    </w:pPr>
    <w:rPr>
      <w:rFonts w:ascii="Arial" w:hAnsi="Arial" w:cs="Arial"/>
      <w:b/>
      <w:bCs/>
      <w:spacing w:val="-3"/>
    </w:rPr>
  </w:style>
  <w:style w:type="paragraph" w:styleId="Textodeglobo">
    <w:name w:val="Balloon Text"/>
    <w:basedOn w:val="Normal"/>
    <w:link w:val="TextodegloboCar"/>
    <w:unhideWhenUsed/>
    <w:rsid w:val="00725FA4"/>
    <w:rPr>
      <w:rFonts w:ascii="Tahoma" w:hAnsi="Tahoma" w:cs="Tahoma"/>
      <w:sz w:val="16"/>
      <w:szCs w:val="16"/>
    </w:rPr>
  </w:style>
  <w:style w:type="character" w:customStyle="1" w:styleId="TextodegloboCar">
    <w:name w:val="Texto de globo Car"/>
    <w:link w:val="Textodeglobo"/>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styleId="Descripcin">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2"/>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customStyle="1" w:styleId="Ttulo2Car">
    <w:name w:val="Título 2 Car"/>
    <w:aliases w:val="Neg Car"/>
    <w:link w:val="Ttulo2"/>
    <w:rsid w:val="00545704"/>
    <w:rPr>
      <w:b/>
      <w:bCs/>
      <w:sz w:val="24"/>
      <w:szCs w:val="24"/>
      <w:lang w:val="es-ES" w:eastAsia="es-ES"/>
    </w:rPr>
  </w:style>
  <w:style w:type="character" w:customStyle="1" w:styleId="Ttulo8Car">
    <w:name w:val="Título 8 Car"/>
    <w:link w:val="Ttulo8"/>
    <w:rsid w:val="00545704"/>
    <w:rPr>
      <w:rFonts w:ascii="Arial" w:hAnsi="Arial" w:cs="Arial"/>
      <w:b/>
      <w:sz w:val="44"/>
      <w:szCs w:val="24"/>
      <w:lang w:val="es-ES" w:eastAsia="es-ES"/>
    </w:rPr>
  </w:style>
  <w:style w:type="character" w:customStyle="1" w:styleId="Ttulo9Car">
    <w:name w:val="Título 9 Car"/>
    <w:link w:val="Ttulo9"/>
    <w:rsid w:val="00545704"/>
    <w:rPr>
      <w:rFonts w:ascii="Arial" w:hAnsi="Arial"/>
      <w:b/>
      <w:i/>
      <w:sz w:val="28"/>
      <w:lang w:val="es-ES_tradnl" w:eastAsia="es-ES"/>
    </w:rPr>
  </w:style>
  <w:style w:type="paragraph" w:customStyle="1" w:styleId="PliegoTitulo1">
    <w:name w:val="Pliego_Titulo1"/>
    <w:basedOn w:val="Pliego-Normal"/>
    <w:next w:val="Pliego-Normal"/>
    <w:rsid w:val="00545704"/>
    <w:pPr>
      <w:numPr>
        <w:numId w:val="4"/>
      </w:numPr>
      <w:jc w:val="center"/>
    </w:pPr>
    <w:rPr>
      <w:b/>
    </w:rPr>
  </w:style>
  <w:style w:type="paragraph" w:customStyle="1" w:styleId="Pliego-Normal">
    <w:name w:val="Pliego-Normal"/>
    <w:basedOn w:val="Normal"/>
    <w:rsid w:val="00545704"/>
    <w:pPr>
      <w:widowControl w:val="0"/>
      <w:adjustRightInd w:val="0"/>
      <w:spacing w:line="360" w:lineRule="atLeast"/>
      <w:ind w:left="0"/>
      <w:jc w:val="both"/>
      <w:textAlignment w:val="baseline"/>
    </w:pPr>
    <w:rPr>
      <w:rFonts w:ascii="Garamond" w:hAnsi="Garamond"/>
      <w:bCs/>
      <w:sz w:val="22"/>
      <w:szCs w:val="20"/>
      <w:lang w:val="es-ES_tradnl"/>
    </w:rPr>
  </w:style>
  <w:style w:type="paragraph" w:customStyle="1" w:styleId="PliegoTitulo2">
    <w:name w:val="Pliego_Titulo2"/>
    <w:basedOn w:val="Pliego-Normal"/>
    <w:next w:val="Pliego-Normal"/>
    <w:rsid w:val="00545704"/>
    <w:pPr>
      <w:numPr>
        <w:ilvl w:val="2"/>
        <w:numId w:val="4"/>
      </w:numPr>
      <w:tabs>
        <w:tab w:val="clear" w:pos="720"/>
        <w:tab w:val="num" w:pos="576"/>
      </w:tabs>
      <w:ind w:left="576" w:hanging="576"/>
    </w:pPr>
    <w:rPr>
      <w:b/>
    </w:rPr>
  </w:style>
  <w:style w:type="paragraph" w:customStyle="1" w:styleId="PliegoTitulo3">
    <w:name w:val="Pliego_Titulo3"/>
    <w:basedOn w:val="Pliego-Normal"/>
    <w:next w:val="Pliego-Normal"/>
    <w:autoRedefine/>
    <w:rsid w:val="00545704"/>
    <w:pPr>
      <w:numPr>
        <w:ilvl w:val="3"/>
        <w:numId w:val="4"/>
      </w:numPr>
      <w:tabs>
        <w:tab w:val="clear" w:pos="864"/>
        <w:tab w:val="num" w:pos="720"/>
      </w:tabs>
      <w:ind w:left="720" w:hanging="720"/>
    </w:pPr>
    <w:rPr>
      <w:b/>
      <w:i/>
    </w:rPr>
  </w:style>
  <w:style w:type="paragraph" w:customStyle="1" w:styleId="PliegoTitulo4">
    <w:name w:val="Pliego_Titulo4"/>
    <w:basedOn w:val="Pliego-Normal"/>
    <w:next w:val="Pliego-Normal"/>
    <w:rsid w:val="00545704"/>
    <w:pPr>
      <w:numPr>
        <w:ilvl w:val="4"/>
        <w:numId w:val="4"/>
      </w:numPr>
      <w:tabs>
        <w:tab w:val="clear" w:pos="1440"/>
        <w:tab w:val="num" w:pos="864"/>
      </w:tabs>
      <w:ind w:left="864" w:hanging="864"/>
    </w:pPr>
    <w:rPr>
      <w:i/>
    </w:rPr>
  </w:style>
  <w:style w:type="paragraph" w:customStyle="1" w:styleId="p0">
    <w:name w:val="p0"/>
    <w:basedOn w:val="Normal"/>
    <w:rsid w:val="00545704"/>
    <w:pPr>
      <w:widowControl w:val="0"/>
      <w:tabs>
        <w:tab w:val="left" w:pos="720"/>
      </w:tabs>
      <w:adjustRightInd w:val="0"/>
      <w:spacing w:line="240" w:lineRule="atLeast"/>
      <w:ind w:left="0"/>
      <w:jc w:val="both"/>
      <w:textAlignment w:val="baseline"/>
    </w:pPr>
    <w:rPr>
      <w:rFonts w:ascii="Arial" w:hAnsi="Arial"/>
      <w:snapToGrid w:val="0"/>
      <w:szCs w:val="20"/>
    </w:rPr>
  </w:style>
  <w:style w:type="character" w:styleId="Hipervnculo">
    <w:name w:val="Hyperlink"/>
    <w:uiPriority w:val="99"/>
    <w:rsid w:val="00545704"/>
    <w:rPr>
      <w:color w:val="0000FF"/>
      <w:u w:val="single"/>
    </w:rPr>
  </w:style>
  <w:style w:type="paragraph" w:styleId="TDC2">
    <w:name w:val="toc 2"/>
    <w:basedOn w:val="Normal"/>
    <w:next w:val="Normal"/>
    <w:autoRedefine/>
    <w:rsid w:val="00545704"/>
    <w:pPr>
      <w:widowControl w:val="0"/>
      <w:adjustRightInd w:val="0"/>
      <w:spacing w:before="240" w:line="360" w:lineRule="atLeast"/>
      <w:ind w:left="0"/>
      <w:textAlignment w:val="baseline"/>
    </w:pPr>
    <w:rPr>
      <w:b/>
      <w:bCs/>
    </w:rPr>
  </w:style>
  <w:style w:type="character" w:styleId="Refdenotaalpie">
    <w:name w:val="footnote reference"/>
    <w:semiHidden/>
    <w:rsid w:val="00545704"/>
    <w:rPr>
      <w:vertAlign w:val="superscript"/>
    </w:rPr>
  </w:style>
  <w:style w:type="paragraph" w:customStyle="1" w:styleId="Textoindependiente31">
    <w:name w:val="Texto independiente 31"/>
    <w:basedOn w:val="Normal"/>
    <w:rsid w:val="00545704"/>
    <w:pPr>
      <w:widowControl w:val="0"/>
      <w:adjustRightInd w:val="0"/>
      <w:spacing w:before="120" w:after="120" w:line="360" w:lineRule="atLeast"/>
      <w:ind w:left="0"/>
      <w:jc w:val="both"/>
      <w:textAlignment w:val="baseline"/>
    </w:pPr>
    <w:rPr>
      <w:rFonts w:ascii="Arial" w:hAnsi="Arial"/>
      <w:sz w:val="22"/>
      <w:szCs w:val="20"/>
    </w:rPr>
  </w:style>
  <w:style w:type="paragraph" w:styleId="NormalWeb">
    <w:name w:val="Normal (Web)"/>
    <w:basedOn w:val="Normal"/>
    <w:uiPriority w:val="99"/>
    <w:rsid w:val="00545704"/>
    <w:pPr>
      <w:widowControl w:val="0"/>
      <w:adjustRightInd w:val="0"/>
      <w:spacing w:before="100" w:beforeAutospacing="1" w:after="100" w:afterAutospacing="1" w:line="360" w:lineRule="atLeast"/>
      <w:ind w:left="0"/>
      <w:jc w:val="both"/>
      <w:textAlignment w:val="baseline"/>
    </w:pPr>
  </w:style>
  <w:style w:type="paragraph" w:customStyle="1" w:styleId="xl30">
    <w:name w:val="xl30"/>
    <w:basedOn w:val="Normal"/>
    <w:rsid w:val="00545704"/>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ind w:left="0"/>
      <w:jc w:val="both"/>
      <w:textAlignment w:val="center"/>
    </w:pPr>
    <w:rPr>
      <w:rFonts w:ascii="Arial" w:eastAsia="Arial Unicode MS" w:hAnsi="Arial" w:cs="Arial"/>
      <w:sz w:val="22"/>
      <w:szCs w:val="22"/>
    </w:rPr>
  </w:style>
  <w:style w:type="paragraph" w:customStyle="1" w:styleId="xl29">
    <w:name w:val="xl29"/>
    <w:basedOn w:val="Normal"/>
    <w:rsid w:val="00545704"/>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ind w:left="0"/>
      <w:jc w:val="center"/>
      <w:textAlignment w:val="center"/>
    </w:pPr>
    <w:rPr>
      <w:rFonts w:ascii="Arial" w:eastAsia="Arial Unicode MS" w:hAnsi="Arial" w:cs="Arial"/>
      <w:sz w:val="22"/>
      <w:szCs w:val="22"/>
    </w:rPr>
  </w:style>
  <w:style w:type="paragraph" w:styleId="ndice1">
    <w:name w:val="index 1"/>
    <w:basedOn w:val="Normal"/>
    <w:next w:val="Normal"/>
    <w:autoRedefine/>
    <w:semiHidden/>
    <w:rsid w:val="00545704"/>
    <w:pPr>
      <w:widowControl w:val="0"/>
      <w:adjustRightInd w:val="0"/>
      <w:spacing w:line="360" w:lineRule="atLeast"/>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545704"/>
    <w:pPr>
      <w:widowControl w:val="0"/>
      <w:pBdr>
        <w:top w:val="single" w:sz="6" w:space="1" w:color="auto"/>
      </w:pBdr>
      <w:adjustRightInd w:val="0"/>
      <w:spacing w:line="360" w:lineRule="atLeast"/>
      <w:ind w:left="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545704"/>
    <w:rPr>
      <w:rFonts w:ascii="Arial" w:hAnsi="Arial" w:cs="Arial"/>
      <w:vanish/>
      <w:color w:val="000000"/>
      <w:sz w:val="16"/>
      <w:szCs w:val="16"/>
      <w:lang w:val="es-ES" w:eastAsia="es-ES"/>
    </w:rPr>
  </w:style>
  <w:style w:type="paragraph" w:customStyle="1" w:styleId="tabelltekst">
    <w:name w:val="tabelltekst"/>
    <w:basedOn w:val="Normal"/>
    <w:rsid w:val="00545704"/>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ind w:left="0"/>
      <w:jc w:val="both"/>
      <w:textAlignment w:val="baseline"/>
    </w:pPr>
    <w:rPr>
      <w:sz w:val="22"/>
      <w:szCs w:val="20"/>
      <w:lang w:val="nb-NO" w:eastAsia="en-US"/>
    </w:rPr>
  </w:style>
  <w:style w:type="paragraph" w:styleId="Textonotapie">
    <w:name w:val="footnote text"/>
    <w:basedOn w:val="Normal"/>
    <w:link w:val="TextonotapieCar"/>
    <w:semiHidden/>
    <w:rsid w:val="00545704"/>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semiHidden/>
    <w:rsid w:val="00545704"/>
    <w:rPr>
      <w:lang w:val="es-ES" w:eastAsia="es-ES"/>
    </w:rPr>
  </w:style>
  <w:style w:type="paragraph" w:styleId="TDC3">
    <w:name w:val="toc 3"/>
    <w:basedOn w:val="Normal"/>
    <w:next w:val="Normal"/>
    <w:autoRedefine/>
    <w:rsid w:val="00545704"/>
    <w:pPr>
      <w:widowControl w:val="0"/>
      <w:adjustRightInd w:val="0"/>
      <w:spacing w:line="360" w:lineRule="atLeast"/>
      <w:ind w:left="240"/>
      <w:textAlignment w:val="baseline"/>
    </w:pPr>
  </w:style>
  <w:style w:type="paragraph" w:customStyle="1" w:styleId="NormalTesis">
    <w:name w:val="Normal Tesis"/>
    <w:basedOn w:val="Textoindependiente"/>
    <w:rsid w:val="00545704"/>
    <w:pPr>
      <w:widowControl w:val="0"/>
      <w:adjustRightInd w:val="0"/>
      <w:spacing w:line="360" w:lineRule="auto"/>
      <w:ind w:left="0"/>
      <w:jc w:val="both"/>
      <w:textAlignment w:val="baseline"/>
    </w:pPr>
    <w:rPr>
      <w:b w:val="0"/>
      <w:bCs w:val="0"/>
      <w:sz w:val="22"/>
    </w:rPr>
  </w:style>
  <w:style w:type="character" w:styleId="Refdecomentario">
    <w:name w:val="annotation reference"/>
    <w:semiHidden/>
    <w:rsid w:val="00545704"/>
    <w:rPr>
      <w:sz w:val="16"/>
      <w:szCs w:val="16"/>
    </w:rPr>
  </w:style>
  <w:style w:type="paragraph" w:styleId="Textocomentario">
    <w:name w:val="annotation text"/>
    <w:basedOn w:val="Normal"/>
    <w:link w:val="TextocomentarioCar"/>
    <w:semiHidden/>
    <w:rsid w:val="00545704"/>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semiHidden/>
    <w:rsid w:val="00545704"/>
    <w:rPr>
      <w:lang w:val="es-ES" w:eastAsia="es-ES"/>
    </w:rPr>
  </w:style>
  <w:style w:type="paragraph" w:styleId="TDC4">
    <w:name w:val="toc 4"/>
    <w:basedOn w:val="Normal"/>
    <w:next w:val="Normal"/>
    <w:autoRedefine/>
    <w:semiHidden/>
    <w:rsid w:val="00545704"/>
    <w:pPr>
      <w:widowControl w:val="0"/>
      <w:adjustRightInd w:val="0"/>
      <w:spacing w:line="360" w:lineRule="atLeast"/>
      <w:ind w:left="480"/>
      <w:textAlignment w:val="baseline"/>
    </w:pPr>
  </w:style>
  <w:style w:type="paragraph" w:styleId="TDC5">
    <w:name w:val="toc 5"/>
    <w:basedOn w:val="Normal"/>
    <w:next w:val="Normal"/>
    <w:autoRedefine/>
    <w:semiHidden/>
    <w:rsid w:val="00545704"/>
    <w:pPr>
      <w:widowControl w:val="0"/>
      <w:adjustRightInd w:val="0"/>
      <w:spacing w:line="360" w:lineRule="atLeast"/>
      <w:ind w:left="720"/>
      <w:textAlignment w:val="baseline"/>
    </w:pPr>
  </w:style>
  <w:style w:type="paragraph" w:styleId="TDC6">
    <w:name w:val="toc 6"/>
    <w:basedOn w:val="Normal"/>
    <w:next w:val="Normal"/>
    <w:autoRedefine/>
    <w:semiHidden/>
    <w:rsid w:val="00545704"/>
    <w:pPr>
      <w:widowControl w:val="0"/>
      <w:adjustRightInd w:val="0"/>
      <w:spacing w:line="360" w:lineRule="atLeast"/>
      <w:ind w:left="960"/>
      <w:textAlignment w:val="baseline"/>
    </w:pPr>
  </w:style>
  <w:style w:type="paragraph" w:styleId="TDC7">
    <w:name w:val="toc 7"/>
    <w:basedOn w:val="Normal"/>
    <w:next w:val="Normal"/>
    <w:autoRedefine/>
    <w:semiHidden/>
    <w:rsid w:val="00545704"/>
    <w:pPr>
      <w:widowControl w:val="0"/>
      <w:adjustRightInd w:val="0"/>
      <w:spacing w:line="360" w:lineRule="atLeast"/>
      <w:ind w:left="1200"/>
      <w:textAlignment w:val="baseline"/>
    </w:pPr>
  </w:style>
  <w:style w:type="paragraph" w:styleId="TDC8">
    <w:name w:val="toc 8"/>
    <w:basedOn w:val="Normal"/>
    <w:next w:val="Normal"/>
    <w:autoRedefine/>
    <w:semiHidden/>
    <w:rsid w:val="00545704"/>
    <w:pPr>
      <w:widowControl w:val="0"/>
      <w:adjustRightInd w:val="0"/>
      <w:spacing w:line="360" w:lineRule="atLeast"/>
      <w:ind w:left="1440"/>
      <w:textAlignment w:val="baseline"/>
    </w:pPr>
  </w:style>
  <w:style w:type="paragraph" w:styleId="TDC9">
    <w:name w:val="toc 9"/>
    <w:basedOn w:val="Normal"/>
    <w:next w:val="Normal"/>
    <w:autoRedefine/>
    <w:semiHidden/>
    <w:rsid w:val="00545704"/>
    <w:pPr>
      <w:widowControl w:val="0"/>
      <w:adjustRightInd w:val="0"/>
      <w:spacing w:line="360" w:lineRule="atLeast"/>
      <w:ind w:left="1680"/>
      <w:textAlignment w:val="baseline"/>
    </w:pPr>
  </w:style>
  <w:style w:type="character" w:styleId="Hipervnculovisitado">
    <w:name w:val="FollowedHyperlink"/>
    <w:rsid w:val="00545704"/>
    <w:rPr>
      <w:color w:val="800080"/>
      <w:u w:val="single"/>
    </w:rPr>
  </w:style>
  <w:style w:type="paragraph" w:styleId="Textosinformato">
    <w:name w:val="Plain Text"/>
    <w:basedOn w:val="Normal"/>
    <w:link w:val="TextosinformatoCar"/>
    <w:rsid w:val="00545704"/>
    <w:pPr>
      <w:widowControl w:val="0"/>
      <w:adjustRightInd w:val="0"/>
      <w:spacing w:line="360" w:lineRule="atLeast"/>
      <w:ind w:left="0"/>
      <w:jc w:val="both"/>
      <w:textAlignment w:val="baseline"/>
    </w:pPr>
    <w:rPr>
      <w:rFonts w:ascii="Courier New" w:hAnsi="Courier New" w:cs="Courier New"/>
      <w:sz w:val="20"/>
      <w:szCs w:val="20"/>
    </w:rPr>
  </w:style>
  <w:style w:type="character" w:customStyle="1" w:styleId="TextosinformatoCar">
    <w:name w:val="Texto sin formato Car"/>
    <w:link w:val="Textosinformato"/>
    <w:rsid w:val="00545704"/>
    <w:rPr>
      <w:rFonts w:ascii="Courier New" w:hAnsi="Courier New" w:cs="Courier New"/>
      <w:lang w:val="es-ES" w:eastAsia="es-ES"/>
    </w:rPr>
  </w:style>
  <w:style w:type="paragraph" w:styleId="Sangra3detindependiente">
    <w:name w:val="Body Text Indent 3"/>
    <w:basedOn w:val="Normal"/>
    <w:link w:val="Sangra3detindependienteCar"/>
    <w:rsid w:val="00545704"/>
    <w:pPr>
      <w:ind w:left="708" w:hanging="708"/>
      <w:jc w:val="both"/>
    </w:pPr>
    <w:rPr>
      <w:rFonts w:ascii="Arial" w:hAnsi="Arial"/>
      <w:sz w:val="22"/>
      <w:szCs w:val="20"/>
      <w:lang w:val="es-ES_tradnl"/>
    </w:rPr>
  </w:style>
  <w:style w:type="character" w:customStyle="1" w:styleId="Sangra3detindependienteCar">
    <w:name w:val="Sangría 3 de t. independiente Car"/>
    <w:link w:val="Sangra3detindependiente"/>
    <w:rsid w:val="00545704"/>
    <w:rPr>
      <w:rFonts w:ascii="Arial" w:hAnsi="Arial"/>
      <w:sz w:val="22"/>
      <w:lang w:val="es-ES_tradnl" w:eastAsia="es-ES"/>
    </w:rPr>
  </w:style>
  <w:style w:type="paragraph" w:customStyle="1" w:styleId="Citas">
    <w:name w:val="Citas"/>
    <w:basedOn w:val="Normal"/>
    <w:rsid w:val="00545704"/>
    <w:pPr>
      <w:ind w:left="708" w:right="618"/>
      <w:jc w:val="both"/>
    </w:pPr>
    <w:rPr>
      <w:rFonts w:ascii="Bookman Old Style" w:hAnsi="Bookman Old Style" w:cs="Arial"/>
      <w:i/>
      <w:iCs/>
      <w:szCs w:val="20"/>
    </w:rPr>
  </w:style>
  <w:style w:type="paragraph" w:customStyle="1" w:styleId="CUERPOTEXTO">
    <w:name w:val="CUERPO TEXTO"/>
    <w:rsid w:val="00545704"/>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rsid w:val="00545704"/>
  </w:style>
  <w:style w:type="paragraph" w:styleId="Asuntodelcomentario">
    <w:name w:val="annotation subject"/>
    <w:basedOn w:val="Textocomentario"/>
    <w:next w:val="Textocomentario"/>
    <w:link w:val="AsuntodelcomentarioCar"/>
    <w:semiHidden/>
    <w:rsid w:val="00545704"/>
    <w:rPr>
      <w:b/>
      <w:bCs/>
    </w:rPr>
  </w:style>
  <w:style w:type="character" w:customStyle="1" w:styleId="AsuntodelcomentarioCar">
    <w:name w:val="Asunto del comentario Car"/>
    <w:link w:val="Asuntodelcomentario"/>
    <w:semiHidden/>
    <w:rsid w:val="00545704"/>
    <w:rPr>
      <w:b/>
      <w:bCs/>
      <w:lang w:val="es-ES" w:eastAsia="es-ES"/>
    </w:rPr>
  </w:style>
  <w:style w:type="paragraph" w:styleId="Listaconvietas4">
    <w:name w:val="List Bullet 4"/>
    <w:basedOn w:val="Normal"/>
    <w:autoRedefine/>
    <w:rsid w:val="00545704"/>
    <w:pPr>
      <w:numPr>
        <w:numId w:val="5"/>
      </w:numPr>
    </w:pPr>
    <w:rPr>
      <w:rFonts w:ascii="CG Times" w:hAnsi="CG Times"/>
      <w:szCs w:val="20"/>
      <w:lang w:val="es-CO"/>
    </w:rPr>
  </w:style>
  <w:style w:type="character" w:customStyle="1" w:styleId="PiedepginaCar">
    <w:name w:val="Pie de página Car"/>
    <w:link w:val="Piedepgina"/>
    <w:rsid w:val="00545704"/>
    <w:rPr>
      <w:sz w:val="24"/>
      <w:szCs w:val="24"/>
      <w:lang w:val="es-ES" w:eastAsia="es-ES"/>
    </w:rPr>
  </w:style>
  <w:style w:type="paragraph" w:customStyle="1" w:styleId="xl27">
    <w:name w:val="xl27"/>
    <w:basedOn w:val="Normal"/>
    <w:rsid w:val="00545704"/>
    <w:pPr>
      <w:spacing w:before="100" w:beforeAutospacing="1" w:after="100" w:afterAutospacing="1"/>
      <w:ind w:left="0"/>
      <w:jc w:val="both"/>
    </w:pPr>
    <w:rPr>
      <w:rFonts w:ascii="Bookman Old Style" w:eastAsia="Arial Unicode MS" w:hAnsi="Bookman Old Style" w:cs="Arial"/>
    </w:rPr>
  </w:style>
  <w:style w:type="paragraph" w:customStyle="1" w:styleId="Textoindependiente21">
    <w:name w:val="Texto independiente 21"/>
    <w:basedOn w:val="Normal"/>
    <w:rsid w:val="00545704"/>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545704"/>
    <w:pPr>
      <w:widowControl w:val="0"/>
      <w:ind w:left="0"/>
      <w:jc w:val="both"/>
    </w:pPr>
    <w:rPr>
      <w:rFonts w:ascii="Courier New" w:hAnsi="Courier New"/>
      <w:sz w:val="20"/>
      <w:szCs w:val="20"/>
      <w:lang w:val="es-ES_tradnl"/>
    </w:rPr>
  </w:style>
  <w:style w:type="paragraph" w:styleId="Lista">
    <w:name w:val="List"/>
    <w:basedOn w:val="Textoindependiente"/>
    <w:rsid w:val="00545704"/>
    <w:pPr>
      <w:suppressAutoHyphens/>
      <w:spacing w:after="120"/>
      <w:ind w:left="0"/>
      <w:jc w:val="both"/>
    </w:pPr>
    <w:rPr>
      <w:rFonts w:cs="Tahoma"/>
      <w:b w:val="0"/>
      <w:bCs w:val="0"/>
      <w:sz w:val="22"/>
      <w:lang w:eastAsia="ar-SA"/>
    </w:rPr>
  </w:style>
  <w:style w:type="paragraph" w:customStyle="1" w:styleId="Textoindependiente310">
    <w:name w:val="Texto independiente 310"/>
    <w:basedOn w:val="Normal"/>
    <w:rsid w:val="00545704"/>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Predeterminado">
    <w:name w:val="Predeterminado"/>
    <w:rsid w:val="00545704"/>
    <w:pPr>
      <w:widowControl w:val="0"/>
      <w:autoSpaceDE w:val="0"/>
      <w:autoSpaceDN w:val="0"/>
      <w:adjustRightInd w:val="0"/>
    </w:pPr>
    <w:rPr>
      <w:sz w:val="24"/>
      <w:szCs w:val="24"/>
      <w:lang w:val="es-ES" w:eastAsia="es-ES"/>
    </w:rPr>
  </w:style>
  <w:style w:type="paragraph" w:customStyle="1" w:styleId="Basico">
    <w:name w:val="Basico"/>
    <w:basedOn w:val="Normal"/>
    <w:rsid w:val="00545704"/>
    <w:pPr>
      <w:spacing w:before="240" w:line="360" w:lineRule="atLeast"/>
      <w:ind w:left="0"/>
      <w:jc w:val="both"/>
    </w:pPr>
    <w:rPr>
      <w:rFonts w:ascii="Palatino" w:hAnsi="Palatino"/>
      <w:lang w:val="es-ES_tradnl"/>
    </w:rPr>
  </w:style>
  <w:style w:type="character" w:customStyle="1" w:styleId="Ttulo1Car">
    <w:name w:val="Título 1 Car"/>
    <w:link w:val="Ttulo1"/>
    <w:rsid w:val="00545704"/>
    <w:rPr>
      <w:rFonts w:ascii="CG Times" w:hAnsi="CG Times"/>
      <w:b/>
      <w:sz w:val="24"/>
      <w:lang w:eastAsia="es-ES"/>
    </w:rPr>
  </w:style>
  <w:style w:type="paragraph" w:customStyle="1" w:styleId="VietaLetra0">
    <w:name w:val="ViñetaLetra"/>
    <w:basedOn w:val="Vietaletra"/>
    <w:rsid w:val="00545704"/>
    <w:pPr>
      <w:numPr>
        <w:numId w:val="1"/>
      </w:numPr>
    </w:pPr>
  </w:style>
  <w:style w:type="paragraph" w:customStyle="1" w:styleId="CENTRAR">
    <w:name w:val="CENTRAR"/>
    <w:basedOn w:val="CUERPOTEXTO"/>
    <w:rsid w:val="00545704"/>
    <w:pPr>
      <w:widowControl/>
      <w:ind w:firstLine="0"/>
      <w:jc w:val="center"/>
    </w:pPr>
    <w:rPr>
      <w:rFonts w:ascii="Times" w:hAnsi="Times"/>
    </w:rPr>
  </w:style>
  <w:style w:type="paragraph" w:styleId="Revisin">
    <w:name w:val="Revision"/>
    <w:hidden/>
    <w:semiHidden/>
    <w:rsid w:val="00545704"/>
    <w:rPr>
      <w:sz w:val="24"/>
      <w:szCs w:val="24"/>
      <w:lang w:val="es-ES" w:eastAsia="es-ES"/>
    </w:rPr>
  </w:style>
  <w:style w:type="character" w:styleId="Textodelmarcadordeposicin">
    <w:name w:val="Placeholder Text"/>
    <w:basedOn w:val="Fuentedeprrafopredeter"/>
    <w:uiPriority w:val="99"/>
    <w:semiHidden/>
    <w:rsid w:val="00C21639"/>
    <w:rPr>
      <w:color w:val="808080"/>
    </w:rPr>
  </w:style>
  <w:style w:type="paragraph" w:customStyle="1" w:styleId="Textoindependiente3100">
    <w:name w:val="Texto independiente 3100"/>
    <w:basedOn w:val="Normal"/>
    <w:rsid w:val="00C671FD"/>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Default">
    <w:name w:val="Default"/>
    <w:rsid w:val="008C2703"/>
    <w:pPr>
      <w:autoSpaceDE w:val="0"/>
      <w:autoSpaceDN w:val="0"/>
      <w:adjustRightInd w:val="0"/>
    </w:pPr>
    <w:rPr>
      <w:rFonts w:ascii="Arial" w:hAnsi="Arial" w:cs="Arial"/>
      <w:color w:val="000000"/>
      <w:sz w:val="24"/>
      <w:szCs w:val="24"/>
      <w:lang w:val="es-ES"/>
    </w:rPr>
  </w:style>
  <w:style w:type="paragraph" w:styleId="HTMLconformatoprevio">
    <w:name w:val="HTML Preformatted"/>
    <w:basedOn w:val="Normal"/>
    <w:link w:val="HTMLconformatoprevioCar"/>
    <w:uiPriority w:val="99"/>
    <w:semiHidden/>
    <w:unhideWhenUsed/>
    <w:rsid w:val="009D1F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pPr>
    <w:rPr>
      <w:rFonts w:ascii="Courier New" w:hAnsi="Courier New" w:cs="Courier New"/>
      <w:sz w:val="20"/>
      <w:szCs w:val="20"/>
    </w:rPr>
  </w:style>
  <w:style w:type="character" w:customStyle="1" w:styleId="HTMLconformatoprevioCar">
    <w:name w:val="HTML con formato previo Car"/>
    <w:basedOn w:val="Fuentedeprrafopredeter"/>
    <w:link w:val="HTMLconformatoprevio"/>
    <w:uiPriority w:val="99"/>
    <w:semiHidden/>
    <w:rsid w:val="009D1F65"/>
    <w:rPr>
      <w:rFonts w:ascii="Courier New" w:hAnsi="Courier New" w:cs="Courier New"/>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2800945">
      <w:bodyDiv w:val="1"/>
      <w:marLeft w:val="0"/>
      <w:marRight w:val="0"/>
      <w:marTop w:val="0"/>
      <w:marBottom w:val="0"/>
      <w:divBdr>
        <w:top w:val="none" w:sz="0" w:space="0" w:color="auto"/>
        <w:left w:val="none" w:sz="0" w:space="0" w:color="auto"/>
        <w:bottom w:val="none" w:sz="0" w:space="0" w:color="auto"/>
        <w:right w:val="none" w:sz="0" w:space="0" w:color="auto"/>
      </w:divBdr>
    </w:div>
    <w:div w:id="713698401">
      <w:bodyDiv w:val="1"/>
      <w:marLeft w:val="0"/>
      <w:marRight w:val="0"/>
      <w:marTop w:val="0"/>
      <w:marBottom w:val="0"/>
      <w:divBdr>
        <w:top w:val="none" w:sz="0" w:space="0" w:color="auto"/>
        <w:left w:val="none" w:sz="0" w:space="0" w:color="auto"/>
        <w:bottom w:val="none" w:sz="0" w:space="0" w:color="auto"/>
        <w:right w:val="none" w:sz="0" w:space="0" w:color="auto"/>
      </w:divBdr>
      <w:divsChild>
        <w:div w:id="352267732">
          <w:marLeft w:val="0"/>
          <w:marRight w:val="0"/>
          <w:marTop w:val="0"/>
          <w:marBottom w:val="0"/>
          <w:divBdr>
            <w:top w:val="none" w:sz="0" w:space="0" w:color="auto"/>
            <w:left w:val="none" w:sz="0" w:space="0" w:color="auto"/>
            <w:bottom w:val="none" w:sz="0" w:space="0" w:color="auto"/>
            <w:right w:val="none" w:sz="0" w:space="0" w:color="auto"/>
          </w:divBdr>
          <w:divsChild>
            <w:div w:id="44141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867243">
      <w:bodyDiv w:val="1"/>
      <w:marLeft w:val="0"/>
      <w:marRight w:val="0"/>
      <w:marTop w:val="0"/>
      <w:marBottom w:val="0"/>
      <w:divBdr>
        <w:top w:val="none" w:sz="0" w:space="0" w:color="auto"/>
        <w:left w:val="none" w:sz="0" w:space="0" w:color="auto"/>
        <w:bottom w:val="none" w:sz="0" w:space="0" w:color="auto"/>
        <w:right w:val="none" w:sz="0" w:space="0" w:color="auto"/>
      </w:divBdr>
    </w:div>
    <w:div w:id="859398542">
      <w:bodyDiv w:val="1"/>
      <w:marLeft w:val="0"/>
      <w:marRight w:val="0"/>
      <w:marTop w:val="0"/>
      <w:marBottom w:val="0"/>
      <w:divBdr>
        <w:top w:val="none" w:sz="0" w:space="0" w:color="auto"/>
        <w:left w:val="none" w:sz="0" w:space="0" w:color="auto"/>
        <w:bottom w:val="none" w:sz="0" w:space="0" w:color="auto"/>
        <w:right w:val="none" w:sz="0" w:space="0" w:color="auto"/>
      </w:divBdr>
    </w:div>
    <w:div w:id="869296064">
      <w:bodyDiv w:val="1"/>
      <w:marLeft w:val="0"/>
      <w:marRight w:val="0"/>
      <w:marTop w:val="0"/>
      <w:marBottom w:val="0"/>
      <w:divBdr>
        <w:top w:val="none" w:sz="0" w:space="0" w:color="auto"/>
        <w:left w:val="none" w:sz="0" w:space="0" w:color="auto"/>
        <w:bottom w:val="none" w:sz="0" w:space="0" w:color="auto"/>
        <w:right w:val="none" w:sz="0" w:space="0" w:color="auto"/>
      </w:divBdr>
    </w:div>
    <w:div w:id="1088234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9008843DA1FEFC47A1DE4927CE931380" ma:contentTypeVersion="2" ma:contentTypeDescription="Crear nuevo documento." ma:contentTypeScope="" ma:versionID="6cd9afe5251636fab128a26d56a0a0f6">
  <xsd:schema xmlns:xsd="http://www.w3.org/2001/XMLSchema" xmlns:xs="http://www.w3.org/2001/XMLSchema" xmlns:p="http://schemas.microsoft.com/office/2006/metadata/properties" xmlns:ns2="9a6c2d20-416b-422a-aa79-bec6fc0092b6" targetNamespace="http://schemas.microsoft.com/office/2006/metadata/properties" ma:root="true" ma:fieldsID="b96ea24920ed9f7cf855d24cace5ee59" ns2:_="">
    <xsd:import namespace="9a6c2d20-416b-422a-aa79-bec6fc0092b6"/>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6c2d20-416b-422a-aa79-bec6fc0092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F55BDB1-6F3D-4FBB-9BEE-386D90E8A3E8}">
  <ds:schemaRefs>
    <ds:schemaRef ds:uri="http://schemas.openxmlformats.org/officeDocument/2006/bibliography"/>
  </ds:schemaRefs>
</ds:datastoreItem>
</file>

<file path=customXml/itemProps2.xml><?xml version="1.0" encoding="utf-8"?>
<ds:datastoreItem xmlns:ds="http://schemas.openxmlformats.org/officeDocument/2006/customXml" ds:itemID="{BAF4E630-312D-4570-855F-ADED849CC06C}">
  <ds:schemaRefs>
    <ds:schemaRef ds:uri="http://schemas.microsoft.com/sharepoint/v3/contenttype/forms"/>
  </ds:schemaRefs>
</ds:datastoreItem>
</file>

<file path=customXml/itemProps3.xml><?xml version="1.0" encoding="utf-8"?>
<ds:datastoreItem xmlns:ds="http://schemas.openxmlformats.org/officeDocument/2006/customXml" ds:itemID="{75495280-7D36-4F56-BCB9-62B27662A9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6c2d20-416b-422a-aa79-bec6fc0092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5C21035-8474-4E56-B425-4B84902ED08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3</Pages>
  <Words>1467</Words>
  <Characters>8072</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9520</CharactersWithSpaces>
  <SharedDoc>false</SharedDoc>
  <HLinks>
    <vt:vector size="6" baseType="variant">
      <vt:variant>
        <vt:i4>4390966</vt:i4>
      </vt:variant>
      <vt:variant>
        <vt:i4>0</vt:i4>
      </vt:variant>
      <vt:variant>
        <vt:i4>0</vt:i4>
      </vt:variant>
      <vt:variant>
        <vt:i4>5</vt:i4>
      </vt:variant>
      <vt:variant>
        <vt:lpwstr>mailto:creg@creg.gov.co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Ramos</dc:creator>
  <cp:keywords/>
  <cp:lastModifiedBy>Luz Stella Rojas Macias</cp:lastModifiedBy>
  <cp:revision>2</cp:revision>
  <cp:lastPrinted>2021-06-21T14:31:00Z</cp:lastPrinted>
  <dcterms:created xsi:type="dcterms:W3CDTF">2021-07-13T13:29:00Z</dcterms:created>
  <dcterms:modified xsi:type="dcterms:W3CDTF">2021-07-13T13:29:00Z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0x0101009008843DA1FEFC47A1DE4927CE931380</vt:lpwstr>
  </property>
</Properties>
</file>