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F60FC1"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466"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A00879">
        <w:rPr>
          <w:rFonts w:ascii="Bookman Old Style" w:hAnsi="Bookman Old Style"/>
          <w:bCs/>
          <w:lang w:val="es-CO"/>
        </w:rPr>
        <w:t xml:space="preserve">Gas </w:t>
      </w:r>
      <w:r w:rsidR="00720F3F">
        <w:rPr>
          <w:rFonts w:ascii="Bookman Old Style" w:hAnsi="Bookman Old Style"/>
          <w:bCs/>
          <w:lang w:val="es-CO"/>
        </w:rPr>
        <w:t>Neiva</w:t>
      </w:r>
      <w:r w:rsidR="007F278C">
        <w:rPr>
          <w:rFonts w:ascii="Bookman Old Style" w:hAnsi="Bookman Old Style"/>
          <w:bCs/>
          <w:lang w:val="es-CO"/>
        </w:rPr>
        <w:t xml:space="preserve"> </w:t>
      </w:r>
      <w:r w:rsidR="00A00879">
        <w:rPr>
          <w:rFonts w:ascii="Bookman Old Style" w:hAnsi="Bookman Old Style"/>
          <w:bCs/>
          <w:lang w:val="es-CO"/>
        </w:rPr>
        <w:t>S.A.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ED3C36" w:rsidRDefault="00ED3C36"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ED3C36"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F60FC1"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F60FC1"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F60FC1"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ED3C36"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ED3C36"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ED3C36" w:rsidRDefault="00F60FC1"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F60FC1"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F60FC1"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ED3C36"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ED3C36"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ED3C36" w:rsidRDefault="00ED3C36"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ED3C36"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ED3C36"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ED3C36" w:rsidRDefault="00ED3C36"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ED3C36" w:rsidRDefault="00ED3C36"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ED3C36"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ED3C36" w:rsidRDefault="00ED3C36"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ED3C36"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ED3C36"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ED3C36"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ED3C36"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ED3C36"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EA1547">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8A5D1E">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88" w:type="dxa"/>
        <w:jc w:val="center"/>
        <w:tblCellMar>
          <w:left w:w="70" w:type="dxa"/>
          <w:right w:w="70" w:type="dxa"/>
        </w:tblCellMar>
        <w:tblLook w:val="04A0" w:firstRow="1" w:lastRow="0" w:firstColumn="1" w:lastColumn="0" w:noHBand="0" w:noVBand="1"/>
      </w:tblPr>
      <w:tblGrid>
        <w:gridCol w:w="2268"/>
        <w:gridCol w:w="3591"/>
        <w:gridCol w:w="2929"/>
      </w:tblGrid>
      <w:tr w:rsidR="00EC3BB2" w:rsidRPr="00BD1622" w:rsidTr="00BA05D2">
        <w:trPr>
          <w:trHeight w:val="405"/>
          <w:tblHeader/>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3591"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29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720F3F" w:rsidRPr="00BA05D2" w:rsidTr="00A13D07">
        <w:trPr>
          <w:trHeight w:val="40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720F3F" w:rsidRPr="00720F3F" w:rsidRDefault="00720F3F" w:rsidP="00720F3F">
            <w:pPr>
              <w:rPr>
                <w:rFonts w:ascii="Bookman Old Style" w:hAnsi="Bookman Old Style"/>
                <w:sz w:val="22"/>
                <w:szCs w:val="22"/>
              </w:rPr>
            </w:pPr>
            <w:r w:rsidRPr="00720F3F">
              <w:rPr>
                <w:rFonts w:ascii="Bookman Old Style" w:hAnsi="Bookman Old Style"/>
                <w:sz w:val="22"/>
                <w:szCs w:val="22"/>
              </w:rPr>
              <w:t>1598</w:t>
            </w:r>
          </w:p>
        </w:tc>
        <w:tc>
          <w:tcPr>
            <w:tcW w:w="3591" w:type="dxa"/>
            <w:tcBorders>
              <w:top w:val="nil"/>
              <w:left w:val="nil"/>
              <w:bottom w:val="single" w:sz="4" w:space="0" w:color="auto"/>
              <w:right w:val="single" w:sz="4" w:space="0" w:color="auto"/>
            </w:tcBorders>
            <w:shd w:val="clear" w:color="auto" w:fill="auto"/>
            <w:noWrap/>
            <w:vAlign w:val="center"/>
            <w:hideMark/>
          </w:tcPr>
          <w:p w:rsidR="00720F3F" w:rsidRPr="00720F3F" w:rsidRDefault="00720F3F" w:rsidP="00720F3F">
            <w:pPr>
              <w:rPr>
                <w:rFonts w:ascii="Bookman Old Style" w:hAnsi="Bookman Old Style"/>
                <w:sz w:val="22"/>
                <w:szCs w:val="22"/>
              </w:rPr>
            </w:pPr>
            <w:r w:rsidRPr="00720F3F">
              <w:rPr>
                <w:rFonts w:ascii="Bookman Old Style" w:hAnsi="Bookman Old Style"/>
                <w:sz w:val="22"/>
                <w:szCs w:val="22"/>
              </w:rPr>
              <w:t>GAS NEIVA S.A. E.S.P</w:t>
            </w:r>
          </w:p>
        </w:tc>
        <w:tc>
          <w:tcPr>
            <w:tcW w:w="2929" w:type="dxa"/>
            <w:tcBorders>
              <w:top w:val="nil"/>
              <w:left w:val="nil"/>
              <w:bottom w:val="single" w:sz="4" w:space="0" w:color="auto"/>
              <w:right w:val="single" w:sz="4" w:space="0" w:color="auto"/>
            </w:tcBorders>
            <w:shd w:val="clear" w:color="auto" w:fill="auto"/>
            <w:noWrap/>
            <w:vAlign w:val="center"/>
            <w:hideMark/>
          </w:tcPr>
          <w:p w:rsidR="00720F3F" w:rsidRPr="00720F3F" w:rsidRDefault="00720F3F" w:rsidP="00720F3F">
            <w:pPr>
              <w:rPr>
                <w:rFonts w:ascii="Bookman Old Style" w:hAnsi="Bookman Old Style"/>
                <w:sz w:val="22"/>
                <w:szCs w:val="22"/>
              </w:rPr>
            </w:pPr>
            <w:r w:rsidRPr="00720F3F">
              <w:rPr>
                <w:rFonts w:ascii="Bookman Old Style" w:hAnsi="Bookman Old Style"/>
                <w:sz w:val="22"/>
                <w:szCs w:val="22"/>
              </w:rPr>
              <w:t>2.134.232</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720F3F">
        <w:rPr>
          <w:rFonts w:ascii="Bookman Old Style" w:hAnsi="Bookman Old Style" w:cs="Arial"/>
          <w:spacing w:val="-5"/>
          <w:lang w:val="es-CO" w:eastAsia="en-US"/>
        </w:rPr>
        <w:t>007251</w:t>
      </w:r>
      <w:r w:rsidRPr="00EC3BB2">
        <w:rPr>
          <w:rFonts w:ascii="Bookman Old Style" w:hAnsi="Bookman Old Style" w:cs="Arial"/>
          <w:spacing w:val="-5"/>
          <w:lang w:val="es-CO" w:eastAsia="en-US"/>
        </w:rPr>
        <w:t xml:space="preserve"> de </w:t>
      </w:r>
      <w:r w:rsidR="00B16D10">
        <w:rPr>
          <w:rFonts w:ascii="Bookman Old Style" w:hAnsi="Bookman Old Style" w:cs="Arial"/>
          <w:spacing w:val="-5"/>
          <w:lang w:val="es-CO" w:eastAsia="en-US"/>
        </w:rPr>
        <w:t>27</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BA05D2">
        <w:rPr>
          <w:rFonts w:ascii="Bookman Old Style" w:hAnsi="Bookman Old Style" w:cs="Arial"/>
          <w:spacing w:val="-5"/>
          <w:lang w:val="es-CO" w:eastAsia="en-US"/>
        </w:rPr>
        <w:t xml:space="preserve">Gas </w:t>
      </w:r>
      <w:r w:rsidR="00720F3F">
        <w:rPr>
          <w:rFonts w:ascii="Bookman Old Style" w:hAnsi="Bookman Old Style" w:cs="Arial"/>
          <w:spacing w:val="-5"/>
          <w:lang w:val="es-CO" w:eastAsia="en-US"/>
        </w:rPr>
        <w:t>Neiva</w:t>
      </w:r>
      <w:r w:rsidR="00B16D10">
        <w:rPr>
          <w:rFonts w:ascii="Bookman Old Style" w:hAnsi="Bookman Old Style" w:cs="Arial"/>
          <w:spacing w:val="-5"/>
          <w:lang w:val="es-CO" w:eastAsia="en-US"/>
        </w:rPr>
        <w:t xml:space="preserve"> S.A.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45042D" w:rsidRPr="0045042D" w:rsidRDefault="00B16D10" w:rsidP="00A8027B">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00DD192E" w:rsidRPr="00DD192E">
        <w:rPr>
          <w:rFonts w:ascii="Bookman Old Style" w:hAnsi="Bookman Old Style" w:cs="Arial"/>
          <w:i/>
          <w:spacing w:val="-5"/>
          <w:sz w:val="22"/>
          <w:szCs w:val="22"/>
          <w:lang w:val="es-CO" w:eastAsia="en-US"/>
        </w:rPr>
        <w:t>Solicito a la Comisión de Regulación de Energía y Gas, de la manera más respetuosa, la modificación de la Resolución CREG 075 de</w:t>
      </w:r>
      <w:r w:rsidR="00796804">
        <w:rPr>
          <w:rFonts w:ascii="Bookman Old Style" w:hAnsi="Bookman Old Style" w:cs="Arial"/>
          <w:i/>
          <w:spacing w:val="-5"/>
          <w:sz w:val="22"/>
          <w:szCs w:val="22"/>
          <w:lang w:val="es-CO" w:eastAsia="en-US"/>
        </w:rPr>
        <w:t xml:space="preserve"> 2016</w:t>
      </w:r>
      <w:r w:rsidR="00DD192E" w:rsidRPr="00DD192E">
        <w:rPr>
          <w:rFonts w:ascii="Bookman Old Style" w:hAnsi="Bookman Old Style" w:cs="Arial"/>
          <w:i/>
          <w:spacing w:val="-5"/>
          <w:sz w:val="22"/>
          <w:szCs w:val="22"/>
          <w:lang w:val="es-CO" w:eastAsia="en-US"/>
        </w:rPr>
        <w:t xml:space="preserve"> en el sentido de verificar la información suministrada por el SUI y corregir las cifras utilizadas en el cálculo de la capacidad de compra de la empresa GAS NEIVA S.A. E.S.P.</w:t>
      </w:r>
      <w:r w:rsidR="00A8027B">
        <w:rPr>
          <w:rFonts w:ascii="Bookman Old Style" w:hAnsi="Bookman Old Style" w:cs="Arial"/>
          <w:i/>
          <w:spacing w:val="-5"/>
          <w:sz w:val="22"/>
          <w:szCs w:val="22"/>
          <w:lang w:val="es-CO" w:eastAsia="en-US"/>
        </w:rPr>
        <w:t xml:space="preserve">” </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B16D10">
        <w:rPr>
          <w:rFonts w:ascii="Bookman Old Style" w:hAnsi="Bookman Old Style" w:cs="Arial"/>
          <w:spacing w:val="-5"/>
          <w:lang w:val="es-CO" w:eastAsia="en-US"/>
        </w:rPr>
        <w:t xml:space="preserve">Gas </w:t>
      </w:r>
      <w:r w:rsidR="00635B0A">
        <w:rPr>
          <w:rFonts w:ascii="Bookman Old Style" w:hAnsi="Bookman Old Style" w:cs="Arial"/>
          <w:spacing w:val="-5"/>
          <w:lang w:val="es-CO" w:eastAsia="en-US"/>
        </w:rPr>
        <w:t>Neiva</w:t>
      </w:r>
      <w:r w:rsidRPr="00BA05D2">
        <w:rPr>
          <w:rFonts w:ascii="Bookman Old Style" w:hAnsi="Bookman Old Style" w:cs="Arial"/>
          <w:spacing w:val="-5"/>
          <w:lang w:val="es-CO" w:eastAsia="en-US"/>
        </w:rPr>
        <w:t xml:space="preserve"> mediante notificación personal I-2016-</w:t>
      </w:r>
      <w:r w:rsidR="00DD192E">
        <w:rPr>
          <w:rFonts w:ascii="Bookman Old Style" w:hAnsi="Bookman Old Style" w:cs="Arial"/>
          <w:spacing w:val="-5"/>
          <w:lang w:val="es-CO" w:eastAsia="en-US"/>
        </w:rPr>
        <w:t>003138</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EE6670">
        <w:rPr>
          <w:rFonts w:ascii="Bookman Old Style" w:hAnsi="Bookman Old Style"/>
          <w:szCs w:val="27"/>
        </w:rPr>
        <w:t>Gas</w:t>
      </w:r>
      <w:r w:rsidR="00CB605B">
        <w:rPr>
          <w:rFonts w:ascii="Bookman Old Style" w:hAnsi="Bookman Old Style"/>
          <w:szCs w:val="27"/>
        </w:rPr>
        <w:t xml:space="preserve"> </w:t>
      </w:r>
      <w:r w:rsidR="00796804">
        <w:rPr>
          <w:rFonts w:ascii="Bookman Old Style" w:hAnsi="Bookman Old Style"/>
          <w:szCs w:val="27"/>
        </w:rPr>
        <w:t>Neiva</w:t>
      </w:r>
      <w:r w:rsidR="00CB605B">
        <w:rPr>
          <w:rFonts w:ascii="Bookman Old Style" w:hAnsi="Bookman Old Style"/>
          <w:szCs w:val="27"/>
        </w:rPr>
        <w:t xml:space="preserve">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B747A1" w:rsidRPr="00B747A1" w:rsidRDefault="0045042D" w:rsidP="00B747A1">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B747A1" w:rsidRPr="00B747A1">
        <w:rPr>
          <w:rFonts w:ascii="Bookman Old Style" w:hAnsi="Bookman Old Style" w:cs="Arial"/>
          <w:i/>
          <w:sz w:val="22"/>
          <w:szCs w:val="22"/>
        </w:rPr>
        <w:t>Según el artículo primero de la Resolución de la referencia, la "Capacidad de Compra’", que relaciona las capacidades de compra de las empresas Distribuidoras de GLP que reportan información al Sistema Único de Información -SUI- de la Superintendencia de Servicios Públicos Domiciliarios, la asignada a GAS NEIVA S.A. E.S.P. es de 2.134.232 kilos, debido</w:t>
      </w:r>
      <w:r w:rsidR="00B747A1" w:rsidRPr="00B747A1">
        <w:t xml:space="preserve"> </w:t>
      </w:r>
      <w:r w:rsidR="00B747A1" w:rsidRPr="00B747A1">
        <w:rPr>
          <w:rFonts w:ascii="Bookman Old Style" w:hAnsi="Bookman Old Style" w:cs="Arial"/>
          <w:i/>
          <w:sz w:val="22"/>
          <w:szCs w:val="22"/>
        </w:rPr>
        <w:t>a</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qu</w:t>
      </w:r>
      <w:r w:rsidR="00B747A1">
        <w:rPr>
          <w:rFonts w:ascii="Bookman Old Style" w:hAnsi="Bookman Old Style" w:cs="Arial"/>
          <w:i/>
          <w:sz w:val="22"/>
          <w:szCs w:val="22"/>
        </w:rPr>
        <w:t xml:space="preserve">e </w:t>
      </w:r>
      <w:r w:rsidR="00B747A1" w:rsidRPr="00B747A1">
        <w:rPr>
          <w:rFonts w:ascii="Bookman Old Style" w:hAnsi="Bookman Old Style" w:cs="Arial"/>
          <w:i/>
          <w:sz w:val="22"/>
          <w:szCs w:val="22"/>
        </w:rPr>
        <w:t>la</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información</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suministrada</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por</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el SUI no corresponde</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a</w:t>
      </w:r>
      <w:r w:rsidR="00B747A1">
        <w:rPr>
          <w:rFonts w:ascii="Bookman Old Style" w:hAnsi="Bookman Old Style" w:cs="Arial"/>
          <w:i/>
          <w:sz w:val="22"/>
          <w:szCs w:val="22"/>
        </w:rPr>
        <w:t xml:space="preserve"> </w:t>
      </w:r>
      <w:r w:rsidR="00B747A1" w:rsidRPr="00B747A1">
        <w:rPr>
          <w:rFonts w:ascii="Bookman Old Style" w:hAnsi="Bookman Old Style" w:cs="Arial"/>
          <w:i/>
          <w:sz w:val="22"/>
          <w:szCs w:val="22"/>
        </w:rPr>
        <w:t>las cantidades de cilindros comprados y adecuados, ni a los tanques estacionarios cargados a este sistema de información.</w:t>
      </w:r>
    </w:p>
    <w:p w:rsidR="00B747A1" w:rsidRDefault="00B747A1" w:rsidP="00B747A1">
      <w:pPr>
        <w:ind w:left="284" w:right="284"/>
        <w:jc w:val="both"/>
        <w:rPr>
          <w:rFonts w:ascii="Bookman Old Style" w:hAnsi="Bookman Old Style" w:cs="Arial"/>
          <w:i/>
          <w:sz w:val="22"/>
          <w:szCs w:val="22"/>
        </w:rPr>
      </w:pPr>
    </w:p>
    <w:p w:rsidR="00B747A1" w:rsidRDefault="00B747A1" w:rsidP="00B747A1">
      <w:pPr>
        <w:ind w:left="284" w:right="284"/>
        <w:jc w:val="both"/>
        <w:rPr>
          <w:rFonts w:ascii="Bookman Old Style" w:hAnsi="Bookman Old Style" w:cs="Arial"/>
          <w:i/>
          <w:sz w:val="22"/>
          <w:szCs w:val="22"/>
        </w:rPr>
      </w:pPr>
      <w:r w:rsidRPr="00B747A1">
        <w:rPr>
          <w:rFonts w:ascii="Bookman Old Style" w:hAnsi="Bookman Old Style" w:cs="Arial"/>
          <w:i/>
          <w:sz w:val="22"/>
          <w:szCs w:val="22"/>
        </w:rPr>
        <w:t>Al</w:t>
      </w:r>
      <w:r>
        <w:rPr>
          <w:rFonts w:ascii="Bookman Old Style" w:hAnsi="Bookman Old Style" w:cs="Arial"/>
          <w:i/>
          <w:sz w:val="22"/>
          <w:szCs w:val="22"/>
        </w:rPr>
        <w:t xml:space="preserve"> comparar la información del anexo de la Resolución CREG 075 </w:t>
      </w:r>
      <w:r w:rsidRPr="00B747A1">
        <w:rPr>
          <w:rFonts w:ascii="Bookman Old Style" w:hAnsi="Bookman Old Style" w:cs="Arial"/>
          <w:i/>
          <w:sz w:val="22"/>
          <w:szCs w:val="22"/>
        </w:rPr>
        <w:t>de</w:t>
      </w:r>
      <w:r>
        <w:rPr>
          <w:rFonts w:ascii="Bookman Old Style" w:hAnsi="Bookman Old Style" w:cs="Arial"/>
          <w:i/>
          <w:sz w:val="22"/>
          <w:szCs w:val="22"/>
        </w:rPr>
        <w:t xml:space="preserve"> </w:t>
      </w:r>
      <w:r w:rsidRPr="00B747A1">
        <w:rPr>
          <w:rFonts w:ascii="Bookman Old Style" w:hAnsi="Bookman Old Style" w:cs="Arial"/>
          <w:i/>
          <w:sz w:val="22"/>
          <w:szCs w:val="22"/>
        </w:rPr>
        <w:t>20l6, punto I. cilindros</w:t>
      </w:r>
      <w:r>
        <w:rPr>
          <w:rFonts w:ascii="Bookman Old Style" w:hAnsi="Bookman Old Style" w:cs="Arial"/>
          <w:i/>
          <w:sz w:val="22"/>
          <w:szCs w:val="22"/>
        </w:rPr>
        <w:t xml:space="preserve"> </w:t>
      </w:r>
      <w:r w:rsidRPr="00B747A1">
        <w:rPr>
          <w:rFonts w:ascii="Bookman Old Style" w:hAnsi="Bookman Old Style" w:cs="Arial"/>
          <w:i/>
          <w:sz w:val="22"/>
          <w:szCs w:val="22"/>
        </w:rPr>
        <w:t>cargados</w:t>
      </w:r>
      <w:r>
        <w:rPr>
          <w:rFonts w:ascii="Bookman Old Style" w:hAnsi="Bookman Old Style" w:cs="Arial"/>
          <w:i/>
          <w:sz w:val="22"/>
          <w:szCs w:val="22"/>
        </w:rPr>
        <w:t xml:space="preserve"> </w:t>
      </w:r>
      <w:r w:rsidRPr="00B747A1">
        <w:rPr>
          <w:rFonts w:ascii="Bookman Old Style" w:hAnsi="Bookman Old Style" w:cs="Arial"/>
          <w:i/>
          <w:sz w:val="22"/>
          <w:szCs w:val="22"/>
        </w:rPr>
        <w:t>al</w:t>
      </w:r>
      <w:r w:rsidR="008403F6">
        <w:rPr>
          <w:rFonts w:ascii="Bookman Old Style" w:hAnsi="Bookman Old Style" w:cs="Arial"/>
          <w:i/>
          <w:sz w:val="22"/>
          <w:szCs w:val="22"/>
        </w:rPr>
        <w:t xml:space="preserve"> SUI durante el periodo de 2008 a octubre de 2012 </w:t>
      </w:r>
      <w:r w:rsidRPr="00B747A1">
        <w:rPr>
          <w:rFonts w:ascii="Bookman Old Style" w:hAnsi="Bookman Old Style" w:cs="Arial"/>
          <w:i/>
          <w:sz w:val="22"/>
          <w:szCs w:val="22"/>
        </w:rPr>
        <w:t>con la información de la compañía, se encuentra la siguiente diferencia:</w:t>
      </w:r>
    </w:p>
    <w:p w:rsidR="00B747A1" w:rsidRDefault="00B747A1" w:rsidP="008403F6">
      <w:pPr>
        <w:ind w:left="0" w:right="284"/>
        <w:jc w:val="center"/>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757"/>
        <w:gridCol w:w="2362"/>
        <w:gridCol w:w="2285"/>
      </w:tblGrid>
      <w:tr w:rsidR="008403F6" w:rsidRPr="008403F6" w:rsidTr="008403F6">
        <w:trPr>
          <w:trHeight w:hRule="exact" w:val="1315"/>
          <w:jc w:val="center"/>
        </w:trPr>
        <w:tc>
          <w:tcPr>
            <w:tcW w:w="1757" w:type="dxa"/>
            <w:tcBorders>
              <w:top w:val="single" w:sz="4" w:space="0" w:color="auto"/>
              <w:left w:val="single" w:sz="4" w:space="0" w:color="auto"/>
              <w:bottom w:val="nil"/>
              <w:right w:val="nil"/>
            </w:tcBorders>
            <w:shd w:val="clear" w:color="auto" w:fill="FFFFFF"/>
            <w:vAlign w:val="center"/>
          </w:tcPr>
          <w:p w:rsidR="008403F6" w:rsidRPr="008403F6" w:rsidRDefault="008403F6" w:rsidP="008403F6">
            <w:pPr>
              <w:pStyle w:val="Style9"/>
              <w:shd w:val="clear" w:color="auto" w:fill="auto"/>
              <w:spacing w:after="120" w:line="200" w:lineRule="exact"/>
              <w:ind w:firstLine="0"/>
              <w:jc w:val="center"/>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Capacidad</w:t>
            </w:r>
          </w:p>
          <w:p w:rsidR="008403F6" w:rsidRPr="008403F6" w:rsidRDefault="008403F6" w:rsidP="008403F6">
            <w:pPr>
              <w:pStyle w:val="Style9"/>
              <w:shd w:val="clear" w:color="auto" w:fill="auto"/>
              <w:spacing w:before="120" w:line="200" w:lineRule="exact"/>
              <w:ind w:firstLine="0"/>
              <w:jc w:val="center"/>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cilindros</w:t>
            </w:r>
          </w:p>
        </w:tc>
        <w:tc>
          <w:tcPr>
            <w:tcW w:w="2362" w:type="dxa"/>
            <w:tcBorders>
              <w:top w:val="single" w:sz="4" w:space="0" w:color="auto"/>
              <w:left w:val="single" w:sz="4" w:space="0" w:color="auto"/>
              <w:bottom w:val="nil"/>
              <w:right w:val="nil"/>
            </w:tcBorders>
            <w:shd w:val="clear" w:color="auto" w:fill="FFFFFF"/>
            <w:vAlign w:val="center"/>
          </w:tcPr>
          <w:p w:rsidR="008403F6" w:rsidRPr="008403F6" w:rsidRDefault="008403F6" w:rsidP="008403F6">
            <w:pPr>
              <w:pStyle w:val="Style9"/>
              <w:shd w:val="clear" w:color="auto" w:fill="auto"/>
              <w:spacing w:line="326" w:lineRule="exact"/>
              <w:ind w:left="340" w:firstLine="240"/>
              <w:jc w:val="left"/>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Cantidad de cilindros (Anexo Res. 075 de 2016)</w:t>
            </w:r>
          </w:p>
        </w:tc>
        <w:tc>
          <w:tcPr>
            <w:tcW w:w="2285" w:type="dxa"/>
            <w:tcBorders>
              <w:top w:val="single" w:sz="4" w:space="0" w:color="auto"/>
              <w:left w:val="single" w:sz="4" w:space="0" w:color="auto"/>
              <w:bottom w:val="nil"/>
              <w:right w:val="single" w:sz="4" w:space="0" w:color="auto"/>
            </w:tcBorders>
            <w:shd w:val="clear" w:color="auto" w:fill="FFFFFF"/>
            <w:vAlign w:val="bottom"/>
          </w:tcPr>
          <w:p w:rsidR="008403F6" w:rsidRPr="008403F6" w:rsidRDefault="008403F6" w:rsidP="008403F6">
            <w:pPr>
              <w:pStyle w:val="Style9"/>
              <w:shd w:val="clear" w:color="auto" w:fill="auto"/>
              <w:spacing w:line="317" w:lineRule="exact"/>
              <w:ind w:firstLine="0"/>
              <w:jc w:val="center"/>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Cantidad de cilindros (Comprados por la empresa)</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201b</w:t>
            </w:r>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NR</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NR</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 xml:space="preserve">33 </w:t>
            </w:r>
            <w:proofErr w:type="spellStart"/>
            <w:r w:rsidRPr="008403F6">
              <w:rPr>
                <w:rStyle w:val="CharStyle24"/>
                <w:rFonts w:ascii="Bookman Old Style" w:hAnsi="Bookman Old Style" w:cs="Arial"/>
                <w:color w:val="000000"/>
                <w:sz w:val="16"/>
                <w:szCs w:val="16"/>
                <w:lang w:eastAsia="es-ES_tradnl"/>
              </w:rPr>
              <w:t>Ib</w:t>
            </w:r>
            <w:proofErr w:type="spellEnd"/>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51.273</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57.350</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 xml:space="preserve">40 </w:t>
            </w:r>
            <w:proofErr w:type="spellStart"/>
            <w:r w:rsidRPr="008403F6">
              <w:rPr>
                <w:rStyle w:val="CharStyle24"/>
                <w:rFonts w:ascii="Bookman Old Style" w:hAnsi="Bookman Old Style" w:cs="Arial"/>
                <w:color w:val="000000"/>
                <w:sz w:val="16"/>
                <w:szCs w:val="16"/>
                <w:lang w:eastAsia="es-ES_tradnl"/>
              </w:rPr>
              <w:t>Ib</w:t>
            </w:r>
            <w:proofErr w:type="spellEnd"/>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8.566</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8.640</w:t>
            </w:r>
          </w:p>
        </w:tc>
      </w:tr>
      <w:tr w:rsidR="008403F6" w:rsidRPr="008403F6" w:rsidTr="008403F6">
        <w:trPr>
          <w:trHeight w:hRule="exact" w:val="33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 xml:space="preserve">80 </w:t>
            </w:r>
            <w:proofErr w:type="spellStart"/>
            <w:r w:rsidRPr="008403F6">
              <w:rPr>
                <w:rStyle w:val="CharStyle24"/>
                <w:rFonts w:ascii="Bookman Old Style" w:hAnsi="Bookman Old Style" w:cs="Arial"/>
                <w:color w:val="000000"/>
                <w:sz w:val="16"/>
                <w:szCs w:val="16"/>
                <w:lang w:eastAsia="es-ES_tradnl"/>
              </w:rPr>
              <w:t>Ib</w:t>
            </w:r>
            <w:proofErr w:type="spellEnd"/>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5</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NR</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 xml:space="preserve">100 </w:t>
            </w:r>
            <w:proofErr w:type="spellStart"/>
            <w:r w:rsidRPr="008403F6">
              <w:rPr>
                <w:rStyle w:val="CharStyle24"/>
                <w:rFonts w:ascii="Bookman Old Style" w:hAnsi="Bookman Old Style" w:cs="Arial"/>
                <w:color w:val="000000"/>
                <w:sz w:val="16"/>
                <w:szCs w:val="16"/>
                <w:lang w:eastAsia="es-ES_tradnl"/>
              </w:rPr>
              <w:t>Ib</w:t>
            </w:r>
            <w:proofErr w:type="spellEnd"/>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2.299</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4"/>
                <w:rFonts w:ascii="Bookman Old Style" w:hAnsi="Bookman Old Style" w:cs="Arial"/>
                <w:color w:val="000000"/>
                <w:sz w:val="16"/>
                <w:szCs w:val="16"/>
                <w:lang w:eastAsia="es-ES_tradnl"/>
              </w:rPr>
              <w:t>2.690</w:t>
            </w:r>
          </w:p>
        </w:tc>
      </w:tr>
      <w:tr w:rsidR="008403F6" w:rsidRPr="008403F6" w:rsidTr="008403F6">
        <w:trPr>
          <w:trHeight w:hRule="exact" w:val="355"/>
          <w:jc w:val="center"/>
        </w:trPr>
        <w:tc>
          <w:tcPr>
            <w:tcW w:w="1757" w:type="dxa"/>
            <w:tcBorders>
              <w:top w:val="single" w:sz="4" w:space="0" w:color="auto"/>
              <w:left w:val="single" w:sz="4" w:space="0" w:color="auto"/>
              <w:bottom w:val="single" w:sz="4" w:space="0" w:color="auto"/>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Total</w:t>
            </w:r>
          </w:p>
        </w:tc>
        <w:tc>
          <w:tcPr>
            <w:tcW w:w="2362" w:type="dxa"/>
            <w:tcBorders>
              <w:top w:val="single" w:sz="4" w:space="0" w:color="auto"/>
              <w:left w:val="single" w:sz="4" w:space="0" w:color="auto"/>
              <w:bottom w:val="single" w:sz="4" w:space="0" w:color="auto"/>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62.143</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8403F6" w:rsidRPr="008403F6" w:rsidRDefault="008403F6" w:rsidP="008403F6">
            <w:pPr>
              <w:pStyle w:val="Style9"/>
              <w:shd w:val="clear" w:color="auto" w:fill="auto"/>
              <w:spacing w:line="200" w:lineRule="exact"/>
              <w:ind w:firstLine="0"/>
              <w:jc w:val="center"/>
              <w:rPr>
                <w:rFonts w:ascii="Bookman Old Style" w:hAnsi="Bookman Old Style" w:cs="Arial"/>
                <w:sz w:val="16"/>
                <w:szCs w:val="16"/>
              </w:rPr>
            </w:pPr>
            <w:r w:rsidRPr="008403F6">
              <w:rPr>
                <w:rStyle w:val="CharStyle23"/>
                <w:rFonts w:ascii="Bookman Old Style" w:hAnsi="Bookman Old Style" w:cs="Arial"/>
                <w:color w:val="000000"/>
                <w:sz w:val="16"/>
                <w:szCs w:val="16"/>
                <w:lang w:eastAsia="es-ES_tradnl"/>
              </w:rPr>
              <w:t>68.680</w:t>
            </w:r>
          </w:p>
        </w:tc>
      </w:tr>
    </w:tbl>
    <w:p w:rsidR="00B747A1" w:rsidRDefault="00B747A1" w:rsidP="00B747A1">
      <w:pPr>
        <w:ind w:left="284" w:right="284"/>
        <w:jc w:val="both"/>
        <w:rPr>
          <w:rFonts w:ascii="Bookman Old Style" w:hAnsi="Bookman Old Style" w:cs="Arial"/>
          <w:i/>
          <w:sz w:val="22"/>
          <w:szCs w:val="22"/>
        </w:rPr>
      </w:pPr>
    </w:p>
    <w:p w:rsidR="008403F6" w:rsidRDefault="008403F6" w:rsidP="008403F6">
      <w:pPr>
        <w:ind w:left="284" w:right="284"/>
        <w:jc w:val="both"/>
        <w:rPr>
          <w:rFonts w:ascii="Bookman Old Style" w:hAnsi="Bookman Old Style" w:cs="Arial"/>
          <w:i/>
          <w:sz w:val="22"/>
          <w:szCs w:val="22"/>
        </w:rPr>
      </w:pPr>
      <w:r w:rsidRPr="008403F6">
        <w:rPr>
          <w:rFonts w:ascii="Bookman Old Style" w:hAnsi="Bookman Old Style" w:cs="Arial"/>
          <w:i/>
          <w:sz w:val="22"/>
          <w:szCs w:val="22"/>
        </w:rPr>
        <w:t>Al respecto, recordamos que la información cargada durante este período corresponde</w:t>
      </w:r>
      <w:r>
        <w:rPr>
          <w:rFonts w:ascii="Bookman Old Style" w:hAnsi="Bookman Old Style" w:cs="Arial"/>
          <w:i/>
          <w:sz w:val="22"/>
          <w:szCs w:val="22"/>
        </w:rPr>
        <w:t xml:space="preserve"> </w:t>
      </w:r>
      <w:r w:rsidRPr="008403F6">
        <w:rPr>
          <w:rFonts w:ascii="Bookman Old Style" w:hAnsi="Bookman Old Style" w:cs="Arial"/>
          <w:i/>
          <w:sz w:val="22"/>
          <w:szCs w:val="22"/>
        </w:rPr>
        <w:t>a</w:t>
      </w:r>
      <w:r>
        <w:rPr>
          <w:rFonts w:ascii="Bookman Old Style" w:hAnsi="Bookman Old Style" w:cs="Arial"/>
          <w:i/>
          <w:sz w:val="22"/>
          <w:szCs w:val="22"/>
        </w:rPr>
        <w:t xml:space="preserve"> los registros realizados baj</w:t>
      </w:r>
      <w:r w:rsidRPr="008403F6">
        <w:rPr>
          <w:rFonts w:ascii="Bookman Old Style" w:hAnsi="Bookman Old Style" w:cs="Arial"/>
          <w:i/>
          <w:sz w:val="22"/>
          <w:szCs w:val="22"/>
        </w:rPr>
        <w:t>o el programa de sustitución de cilindros supervisado por la empresa ACI</w:t>
      </w:r>
      <w:r>
        <w:rPr>
          <w:rFonts w:ascii="Bookman Old Style" w:hAnsi="Bookman Old Style" w:cs="Arial"/>
          <w:i/>
          <w:sz w:val="22"/>
          <w:szCs w:val="22"/>
        </w:rPr>
        <w:t xml:space="preserve"> </w:t>
      </w:r>
      <w:r w:rsidRPr="008403F6">
        <w:rPr>
          <w:rFonts w:ascii="Bookman Old Style" w:hAnsi="Bookman Old Style" w:cs="Arial"/>
          <w:i/>
          <w:sz w:val="22"/>
          <w:szCs w:val="22"/>
        </w:rPr>
        <w:t>Proyectos</w:t>
      </w:r>
      <w:r>
        <w:rPr>
          <w:rFonts w:ascii="Bookman Old Style" w:hAnsi="Bookman Old Style" w:cs="Arial"/>
          <w:i/>
          <w:sz w:val="22"/>
          <w:szCs w:val="22"/>
        </w:rPr>
        <w:t xml:space="preserve"> </w:t>
      </w:r>
      <w:r w:rsidRPr="008403F6">
        <w:rPr>
          <w:rFonts w:ascii="Bookman Old Style" w:hAnsi="Bookman Old Style" w:cs="Arial"/>
          <w:i/>
          <w:sz w:val="22"/>
          <w:szCs w:val="22"/>
        </w:rPr>
        <w:t>y</w:t>
      </w:r>
      <w:r>
        <w:rPr>
          <w:rFonts w:ascii="Bookman Old Style" w:hAnsi="Bookman Old Style" w:cs="Arial"/>
          <w:i/>
          <w:sz w:val="22"/>
          <w:szCs w:val="22"/>
        </w:rPr>
        <w:t xml:space="preserve"> </w:t>
      </w:r>
      <w:r w:rsidRPr="008403F6">
        <w:rPr>
          <w:rFonts w:ascii="Bookman Old Style" w:hAnsi="Bookman Old Style" w:cs="Arial"/>
          <w:i/>
          <w:sz w:val="22"/>
          <w:szCs w:val="22"/>
        </w:rPr>
        <w:t>quienes se encargaban del manejo del SICMA.</w:t>
      </w:r>
    </w:p>
    <w:p w:rsidR="008403F6" w:rsidRPr="008403F6" w:rsidRDefault="008403F6" w:rsidP="008403F6">
      <w:pPr>
        <w:ind w:left="284" w:right="284"/>
        <w:jc w:val="both"/>
        <w:rPr>
          <w:rFonts w:ascii="Bookman Old Style" w:hAnsi="Bookman Old Style" w:cs="Arial"/>
          <w:i/>
          <w:sz w:val="22"/>
          <w:szCs w:val="22"/>
        </w:rPr>
      </w:pPr>
    </w:p>
    <w:p w:rsidR="008403F6" w:rsidRDefault="008403F6" w:rsidP="008403F6">
      <w:pPr>
        <w:ind w:left="284" w:right="284"/>
        <w:jc w:val="both"/>
        <w:rPr>
          <w:rFonts w:ascii="Bookman Old Style" w:hAnsi="Bookman Old Style" w:cs="Arial"/>
          <w:i/>
          <w:sz w:val="22"/>
          <w:szCs w:val="22"/>
        </w:rPr>
      </w:pPr>
      <w:r>
        <w:rPr>
          <w:rFonts w:ascii="Bookman Old Style" w:hAnsi="Bookman Old Style" w:cs="Arial"/>
          <w:i/>
          <w:sz w:val="22"/>
          <w:szCs w:val="22"/>
        </w:rPr>
        <w:t>Debido a que</w:t>
      </w:r>
      <w:r w:rsidRPr="008403F6">
        <w:rPr>
          <w:rFonts w:ascii="Bookman Old Style" w:hAnsi="Bookman Old Style" w:cs="Arial"/>
          <w:i/>
          <w:sz w:val="22"/>
          <w:szCs w:val="22"/>
        </w:rPr>
        <w:t xml:space="preserve"> actualmente, por situacion</w:t>
      </w:r>
      <w:r>
        <w:rPr>
          <w:rFonts w:ascii="Bookman Old Style" w:hAnsi="Bookman Old Style" w:cs="Arial"/>
          <w:i/>
          <w:sz w:val="22"/>
          <w:szCs w:val="22"/>
        </w:rPr>
        <w:t>es que desconocemos y que son aj</w:t>
      </w:r>
      <w:r w:rsidRPr="008403F6">
        <w:rPr>
          <w:rFonts w:ascii="Bookman Old Style" w:hAnsi="Bookman Old Style" w:cs="Arial"/>
          <w:i/>
          <w:sz w:val="22"/>
          <w:szCs w:val="22"/>
        </w:rPr>
        <w:t>enas a las empresas, no es posible consultar este aplicativo</w:t>
      </w:r>
      <w:r>
        <w:rPr>
          <w:rFonts w:ascii="Bookman Old Style" w:hAnsi="Bookman Old Style" w:cs="Arial"/>
          <w:i/>
          <w:sz w:val="22"/>
          <w:szCs w:val="22"/>
        </w:rPr>
        <w:t xml:space="preserve"> </w:t>
      </w:r>
      <w:r w:rsidRPr="008403F6">
        <w:rPr>
          <w:rFonts w:ascii="Bookman Old Style" w:hAnsi="Bookman Old Style" w:cs="Arial"/>
          <w:i/>
          <w:sz w:val="22"/>
          <w:szCs w:val="22"/>
        </w:rPr>
        <w:t xml:space="preserve">por la </w:t>
      </w:r>
      <w:r>
        <w:rPr>
          <w:rFonts w:ascii="Bookman Old Style" w:hAnsi="Bookman Old Style" w:cs="Arial"/>
          <w:i/>
          <w:sz w:val="22"/>
          <w:szCs w:val="22"/>
        </w:rPr>
        <w:t>página web</w:t>
      </w:r>
      <w:r w:rsidRPr="008403F6">
        <w:rPr>
          <w:rFonts w:ascii="Bookman Old Style" w:hAnsi="Bookman Old Style" w:cs="Arial"/>
          <w:i/>
          <w:sz w:val="22"/>
          <w:szCs w:val="22"/>
        </w:rPr>
        <w:t xml:space="preserve"> del</w:t>
      </w:r>
      <w:r>
        <w:rPr>
          <w:rFonts w:ascii="Bookman Old Style" w:hAnsi="Bookman Old Style" w:cs="Arial"/>
          <w:i/>
          <w:sz w:val="22"/>
          <w:szCs w:val="22"/>
        </w:rPr>
        <w:t xml:space="preserve"> SUI no podemos c</w:t>
      </w:r>
      <w:r w:rsidRPr="008403F6">
        <w:rPr>
          <w:rFonts w:ascii="Bookman Old Style" w:hAnsi="Bookman Old Style" w:cs="Arial"/>
          <w:i/>
          <w:sz w:val="22"/>
          <w:szCs w:val="22"/>
        </w:rPr>
        <w:t>onstatar</w:t>
      </w:r>
      <w:r>
        <w:rPr>
          <w:rFonts w:ascii="Bookman Old Style" w:hAnsi="Bookman Old Style" w:cs="Arial"/>
          <w:i/>
          <w:sz w:val="22"/>
          <w:szCs w:val="22"/>
        </w:rPr>
        <w:t xml:space="preserve"> </w:t>
      </w:r>
      <w:r w:rsidRPr="008403F6">
        <w:rPr>
          <w:rFonts w:ascii="Bookman Old Style" w:hAnsi="Bookman Old Style" w:cs="Arial"/>
          <w:i/>
          <w:sz w:val="22"/>
          <w:szCs w:val="22"/>
        </w:rPr>
        <w:t>que</w:t>
      </w:r>
      <w:r>
        <w:rPr>
          <w:rFonts w:ascii="Bookman Old Style" w:hAnsi="Bookman Old Style" w:cs="Arial"/>
          <w:i/>
          <w:sz w:val="22"/>
          <w:szCs w:val="22"/>
        </w:rPr>
        <w:t xml:space="preserve"> la </w:t>
      </w:r>
      <w:r w:rsidRPr="008403F6">
        <w:rPr>
          <w:rFonts w:ascii="Bookman Old Style" w:hAnsi="Bookman Old Style" w:cs="Arial"/>
          <w:i/>
          <w:sz w:val="22"/>
          <w:szCs w:val="22"/>
        </w:rPr>
        <w:t>información</w:t>
      </w:r>
      <w:r>
        <w:rPr>
          <w:rFonts w:ascii="Bookman Old Style" w:hAnsi="Bookman Old Style" w:cs="Arial"/>
          <w:i/>
          <w:sz w:val="22"/>
          <w:szCs w:val="22"/>
        </w:rPr>
        <w:t xml:space="preserve"> </w:t>
      </w:r>
      <w:r w:rsidRPr="008403F6">
        <w:rPr>
          <w:rFonts w:ascii="Bookman Old Style" w:hAnsi="Bookman Old Style" w:cs="Arial"/>
          <w:i/>
          <w:sz w:val="22"/>
          <w:szCs w:val="22"/>
        </w:rPr>
        <w:t>de</w:t>
      </w:r>
      <w:r>
        <w:rPr>
          <w:rFonts w:ascii="Bookman Old Style" w:hAnsi="Bookman Old Style" w:cs="Arial"/>
          <w:i/>
          <w:sz w:val="22"/>
          <w:szCs w:val="22"/>
        </w:rPr>
        <w:t xml:space="preserve"> </w:t>
      </w:r>
      <w:r w:rsidRPr="008403F6">
        <w:rPr>
          <w:rFonts w:ascii="Bookman Old Style" w:hAnsi="Bookman Old Style" w:cs="Arial"/>
          <w:i/>
          <w:sz w:val="22"/>
          <w:szCs w:val="22"/>
        </w:rPr>
        <w:t>la</w:t>
      </w:r>
      <w:r>
        <w:rPr>
          <w:rFonts w:ascii="Bookman Old Style" w:hAnsi="Bookman Old Style" w:cs="Arial"/>
          <w:i/>
          <w:sz w:val="22"/>
          <w:szCs w:val="22"/>
        </w:rPr>
        <w:t xml:space="preserve"> </w:t>
      </w:r>
      <w:r w:rsidRPr="008403F6">
        <w:rPr>
          <w:rFonts w:ascii="Bookman Old Style" w:hAnsi="Bookman Old Style" w:cs="Arial"/>
          <w:i/>
          <w:sz w:val="22"/>
          <w:szCs w:val="22"/>
        </w:rPr>
        <w:t>resolución</w:t>
      </w:r>
      <w:r>
        <w:rPr>
          <w:rFonts w:ascii="Bookman Old Style" w:hAnsi="Bookman Old Style" w:cs="Arial"/>
          <w:i/>
          <w:sz w:val="22"/>
          <w:szCs w:val="22"/>
        </w:rPr>
        <w:t xml:space="preserve"> </w:t>
      </w:r>
      <w:r w:rsidRPr="008403F6">
        <w:rPr>
          <w:rFonts w:ascii="Bookman Old Style" w:hAnsi="Bookman Old Style" w:cs="Arial"/>
          <w:i/>
          <w:sz w:val="22"/>
          <w:szCs w:val="22"/>
        </w:rPr>
        <w:t>corresponda</w:t>
      </w:r>
      <w:r>
        <w:rPr>
          <w:rFonts w:ascii="Bookman Old Style" w:hAnsi="Bookman Old Style" w:cs="Arial"/>
          <w:i/>
          <w:sz w:val="22"/>
          <w:szCs w:val="22"/>
        </w:rPr>
        <w:t xml:space="preserve"> efectivamente </w:t>
      </w:r>
      <w:r w:rsidRPr="008403F6">
        <w:rPr>
          <w:rFonts w:ascii="Bookman Old Style" w:hAnsi="Bookman Old Style" w:cs="Arial"/>
          <w:i/>
          <w:sz w:val="22"/>
          <w:szCs w:val="22"/>
        </w:rPr>
        <w:t>a</w:t>
      </w:r>
      <w:r>
        <w:rPr>
          <w:rFonts w:ascii="Bookman Old Style" w:hAnsi="Bookman Old Style" w:cs="Arial"/>
          <w:i/>
          <w:sz w:val="22"/>
          <w:szCs w:val="22"/>
        </w:rPr>
        <w:t xml:space="preserve"> </w:t>
      </w:r>
      <w:r w:rsidRPr="008403F6">
        <w:rPr>
          <w:rFonts w:ascii="Bookman Old Style" w:hAnsi="Bookman Old Style" w:cs="Arial"/>
          <w:i/>
          <w:sz w:val="22"/>
          <w:szCs w:val="22"/>
        </w:rPr>
        <w:t>la</w:t>
      </w:r>
      <w:r>
        <w:rPr>
          <w:rFonts w:ascii="Bookman Old Style" w:hAnsi="Bookman Old Style" w:cs="Arial"/>
          <w:i/>
          <w:sz w:val="22"/>
          <w:szCs w:val="22"/>
        </w:rPr>
        <w:t xml:space="preserve"> </w:t>
      </w:r>
      <w:r w:rsidRPr="008403F6">
        <w:rPr>
          <w:rFonts w:ascii="Bookman Old Style" w:hAnsi="Bookman Old Style" w:cs="Arial"/>
          <w:i/>
          <w:sz w:val="22"/>
          <w:szCs w:val="22"/>
        </w:rPr>
        <w:t>que</w:t>
      </w:r>
      <w:r>
        <w:rPr>
          <w:rFonts w:ascii="Bookman Old Style" w:hAnsi="Bookman Old Style" w:cs="Arial"/>
          <w:i/>
          <w:sz w:val="22"/>
          <w:szCs w:val="22"/>
        </w:rPr>
        <w:t xml:space="preserve"> </w:t>
      </w:r>
      <w:r w:rsidRPr="008403F6">
        <w:rPr>
          <w:rFonts w:ascii="Bookman Old Style" w:hAnsi="Bookman Old Style" w:cs="Arial"/>
          <w:i/>
          <w:sz w:val="22"/>
          <w:szCs w:val="22"/>
        </w:rPr>
        <w:t>allí se reportó. Sin embargo, dado que contamos con todas las facturas d</w:t>
      </w:r>
      <w:r>
        <w:rPr>
          <w:rFonts w:ascii="Bookman Old Style" w:hAnsi="Bookman Old Style" w:cs="Arial"/>
          <w:i/>
          <w:sz w:val="22"/>
          <w:szCs w:val="22"/>
        </w:rPr>
        <w:t xml:space="preserve">e compra que realizó la empresa </w:t>
      </w:r>
      <w:r w:rsidRPr="008403F6">
        <w:rPr>
          <w:rFonts w:ascii="Bookman Old Style" w:hAnsi="Bookman Old Style" w:cs="Arial"/>
          <w:i/>
          <w:sz w:val="22"/>
          <w:szCs w:val="22"/>
        </w:rPr>
        <w:t>sí podemos constatar que durante ese período la empresa GAS NEIVAS.A.E.S.R compró un total de 6868</w:t>
      </w:r>
      <w:r>
        <w:rPr>
          <w:rFonts w:ascii="Bookman Old Style" w:hAnsi="Bookman Old Style" w:cs="Arial"/>
          <w:i/>
          <w:sz w:val="22"/>
          <w:szCs w:val="22"/>
        </w:rPr>
        <w:t xml:space="preserve">0 </w:t>
      </w:r>
      <w:r w:rsidRPr="008403F6">
        <w:rPr>
          <w:rFonts w:ascii="Bookman Old Style" w:hAnsi="Bookman Old Style" w:cs="Arial"/>
          <w:i/>
          <w:sz w:val="22"/>
          <w:szCs w:val="22"/>
        </w:rPr>
        <w:t>cilindros</w:t>
      </w:r>
      <w:r>
        <w:rPr>
          <w:rFonts w:ascii="Bookman Old Style" w:hAnsi="Bookman Old Style" w:cs="Arial"/>
          <w:i/>
          <w:sz w:val="22"/>
          <w:szCs w:val="22"/>
        </w:rPr>
        <w:t xml:space="preserve"> </w:t>
      </w:r>
      <w:r w:rsidRPr="008403F6">
        <w:rPr>
          <w:rFonts w:ascii="Bookman Old Style" w:hAnsi="Bookman Old Style" w:cs="Arial"/>
          <w:i/>
          <w:sz w:val="22"/>
          <w:szCs w:val="22"/>
        </w:rPr>
        <w:t>y</w:t>
      </w:r>
      <w:r>
        <w:rPr>
          <w:rFonts w:ascii="Bookman Old Style" w:hAnsi="Bookman Old Style" w:cs="Arial"/>
          <w:i/>
          <w:sz w:val="22"/>
          <w:szCs w:val="22"/>
        </w:rPr>
        <w:t xml:space="preserve"> </w:t>
      </w:r>
      <w:r w:rsidRPr="008403F6">
        <w:rPr>
          <w:rFonts w:ascii="Bookman Old Style" w:hAnsi="Bookman Old Style" w:cs="Arial"/>
          <w:i/>
          <w:sz w:val="22"/>
          <w:szCs w:val="22"/>
        </w:rPr>
        <w:t>no de 62.143 como aparece en la Resoluc</w:t>
      </w:r>
      <w:r>
        <w:rPr>
          <w:rFonts w:ascii="Bookman Old Style" w:hAnsi="Bookman Old Style" w:cs="Arial"/>
          <w:i/>
          <w:sz w:val="22"/>
          <w:szCs w:val="22"/>
        </w:rPr>
        <w:t>ión objeto del presente recurso</w:t>
      </w:r>
      <w:r w:rsidR="0045042D" w:rsidRPr="006867EF">
        <w:rPr>
          <w:rFonts w:ascii="Bookman Old Style" w:hAnsi="Bookman Old Style" w:cs="Arial"/>
          <w:i/>
          <w:sz w:val="22"/>
          <w:szCs w:val="22"/>
        </w:rPr>
        <w:t>.</w:t>
      </w:r>
    </w:p>
    <w:p w:rsidR="008403F6" w:rsidRDefault="008403F6" w:rsidP="008403F6">
      <w:pPr>
        <w:ind w:left="284" w:right="284"/>
        <w:jc w:val="both"/>
        <w:rPr>
          <w:rFonts w:ascii="Bookman Old Style" w:hAnsi="Bookman Old Style" w:cs="Arial"/>
          <w:i/>
          <w:sz w:val="22"/>
          <w:szCs w:val="22"/>
        </w:rPr>
      </w:pPr>
    </w:p>
    <w:p w:rsidR="008403F6" w:rsidRDefault="008403F6" w:rsidP="008403F6">
      <w:pPr>
        <w:ind w:left="284" w:right="284"/>
        <w:jc w:val="both"/>
        <w:rPr>
          <w:rFonts w:ascii="Bookman Old Style" w:hAnsi="Bookman Old Style" w:cs="Arial"/>
          <w:i/>
          <w:sz w:val="22"/>
          <w:szCs w:val="22"/>
        </w:rPr>
      </w:pPr>
      <w:r w:rsidRPr="008403F6">
        <w:rPr>
          <w:rFonts w:ascii="Bookman Old Style" w:hAnsi="Bookman Old Style" w:cs="Arial"/>
          <w:i/>
          <w:sz w:val="22"/>
          <w:szCs w:val="22"/>
        </w:rPr>
        <w:t>Con el propósito de verificar esta información</w:t>
      </w:r>
      <w:r>
        <w:rPr>
          <w:rFonts w:ascii="Bookman Old Style" w:hAnsi="Bookman Old Style" w:cs="Arial"/>
          <w:i/>
          <w:sz w:val="22"/>
          <w:szCs w:val="22"/>
        </w:rPr>
        <w:t xml:space="preserve"> </w:t>
      </w:r>
      <w:r w:rsidRPr="008403F6">
        <w:rPr>
          <w:rFonts w:ascii="Bookman Old Style" w:hAnsi="Bookman Old Style" w:cs="Arial"/>
          <w:i/>
          <w:sz w:val="22"/>
          <w:szCs w:val="22"/>
        </w:rPr>
        <w:t>y</w:t>
      </w:r>
      <w:r>
        <w:rPr>
          <w:rFonts w:ascii="Bookman Old Style" w:hAnsi="Bookman Old Style" w:cs="Arial"/>
          <w:i/>
          <w:sz w:val="22"/>
          <w:szCs w:val="22"/>
        </w:rPr>
        <w:t xml:space="preserve"> </w:t>
      </w:r>
      <w:r w:rsidRPr="008403F6">
        <w:rPr>
          <w:rFonts w:ascii="Bookman Old Style" w:hAnsi="Bookman Old Style" w:cs="Arial"/>
          <w:i/>
          <w:sz w:val="22"/>
          <w:szCs w:val="22"/>
        </w:rPr>
        <w:t xml:space="preserve">lograr cifras exactas, </w:t>
      </w:r>
      <w:r>
        <w:rPr>
          <w:rFonts w:ascii="Bookman Old Style" w:hAnsi="Bookman Old Style" w:cs="Arial"/>
          <w:i/>
          <w:sz w:val="22"/>
          <w:szCs w:val="22"/>
        </w:rPr>
        <w:t xml:space="preserve">vemos </w:t>
      </w:r>
      <w:r w:rsidRPr="008403F6">
        <w:rPr>
          <w:rFonts w:ascii="Bookman Old Style" w:hAnsi="Bookman Old Style" w:cs="Arial"/>
          <w:i/>
          <w:sz w:val="22"/>
          <w:szCs w:val="22"/>
        </w:rPr>
        <w:t>solicitado</w:t>
      </w:r>
      <w:r>
        <w:rPr>
          <w:rFonts w:ascii="Bookman Old Style" w:hAnsi="Bookman Old Style" w:cs="Arial"/>
          <w:i/>
          <w:sz w:val="22"/>
          <w:szCs w:val="22"/>
        </w:rPr>
        <w:t xml:space="preserve"> </w:t>
      </w:r>
      <w:r w:rsidRPr="008403F6">
        <w:rPr>
          <w:rFonts w:ascii="Bookman Old Style" w:hAnsi="Bookman Old Style" w:cs="Arial"/>
          <w:i/>
          <w:sz w:val="22"/>
          <w:szCs w:val="22"/>
        </w:rPr>
        <w:t>a</w:t>
      </w:r>
      <w:r>
        <w:rPr>
          <w:rFonts w:ascii="Bookman Old Style" w:hAnsi="Bookman Old Style" w:cs="Arial"/>
          <w:i/>
          <w:sz w:val="22"/>
          <w:szCs w:val="22"/>
        </w:rPr>
        <w:t xml:space="preserve"> </w:t>
      </w:r>
      <w:r w:rsidRPr="008403F6">
        <w:rPr>
          <w:rFonts w:ascii="Bookman Old Style" w:hAnsi="Bookman Old Style" w:cs="Arial"/>
          <w:i/>
          <w:sz w:val="22"/>
          <w:szCs w:val="22"/>
        </w:rPr>
        <w:t xml:space="preserve">la </w:t>
      </w:r>
      <w:r>
        <w:rPr>
          <w:rFonts w:ascii="Bookman Old Style" w:hAnsi="Bookman Old Style" w:cs="Arial"/>
          <w:i/>
          <w:sz w:val="22"/>
          <w:szCs w:val="22"/>
        </w:rPr>
        <w:t>SSPD</w:t>
      </w:r>
      <w:r w:rsidRPr="008403F6">
        <w:rPr>
          <w:rFonts w:ascii="Bookman Old Style" w:hAnsi="Bookman Old Style" w:cs="Arial"/>
          <w:i/>
          <w:sz w:val="22"/>
          <w:szCs w:val="22"/>
        </w:rPr>
        <w:t xml:space="preserve"> la revisión</w:t>
      </w:r>
      <w:r>
        <w:rPr>
          <w:rFonts w:ascii="Bookman Old Style" w:hAnsi="Bookman Old Style" w:cs="Arial"/>
          <w:i/>
          <w:sz w:val="22"/>
          <w:szCs w:val="22"/>
        </w:rPr>
        <w:t xml:space="preserve"> </w:t>
      </w:r>
      <w:r w:rsidRPr="008403F6">
        <w:rPr>
          <w:rFonts w:ascii="Bookman Old Style" w:hAnsi="Bookman Old Style" w:cs="Arial"/>
          <w:i/>
          <w:sz w:val="22"/>
          <w:szCs w:val="22"/>
        </w:rPr>
        <w:t>y</w:t>
      </w:r>
      <w:r>
        <w:rPr>
          <w:rFonts w:ascii="Bookman Old Style" w:hAnsi="Bookman Old Style" w:cs="Arial"/>
          <w:i/>
          <w:sz w:val="22"/>
          <w:szCs w:val="22"/>
        </w:rPr>
        <w:t xml:space="preserve"> </w:t>
      </w:r>
      <w:r w:rsidRPr="008403F6">
        <w:rPr>
          <w:rFonts w:ascii="Bookman Old Style" w:hAnsi="Bookman Old Style" w:cs="Arial"/>
          <w:i/>
          <w:sz w:val="22"/>
          <w:szCs w:val="22"/>
        </w:rPr>
        <w:t>corrección de este apl</w:t>
      </w:r>
      <w:r>
        <w:rPr>
          <w:rFonts w:ascii="Bookman Old Style" w:hAnsi="Bookman Old Style" w:cs="Arial"/>
          <w:i/>
          <w:sz w:val="22"/>
          <w:szCs w:val="22"/>
        </w:rPr>
        <w:t>icativo. C</w:t>
      </w:r>
      <w:r w:rsidRPr="008403F6">
        <w:rPr>
          <w:rFonts w:ascii="Bookman Old Style" w:hAnsi="Bookman Old Style" w:cs="Arial"/>
          <w:i/>
          <w:sz w:val="22"/>
          <w:szCs w:val="22"/>
        </w:rPr>
        <w:t>omo se observa en el comunicado soporte que se adjunta</w:t>
      </w:r>
      <w:r>
        <w:rPr>
          <w:rFonts w:ascii="Bookman Old Style" w:hAnsi="Bookman Old Style" w:cs="Arial"/>
          <w:i/>
          <w:sz w:val="22"/>
          <w:szCs w:val="22"/>
        </w:rPr>
        <w:t xml:space="preserve"> p</w:t>
      </w:r>
      <w:r w:rsidRPr="008403F6">
        <w:rPr>
          <w:rFonts w:ascii="Bookman Old Style" w:hAnsi="Bookman Old Style" w:cs="Arial"/>
          <w:i/>
          <w:sz w:val="22"/>
          <w:szCs w:val="22"/>
        </w:rPr>
        <w:t xml:space="preserve">ero la corrección de las mismas depende del tiempo que tarde la </w:t>
      </w:r>
      <w:r>
        <w:rPr>
          <w:rFonts w:ascii="Bookman Old Style" w:hAnsi="Bookman Old Style" w:cs="Arial"/>
          <w:i/>
          <w:sz w:val="22"/>
          <w:szCs w:val="22"/>
        </w:rPr>
        <w:t>SSPD</w:t>
      </w:r>
      <w:r w:rsidRPr="008403F6">
        <w:rPr>
          <w:rFonts w:ascii="Bookman Old Style" w:hAnsi="Bookman Old Style" w:cs="Arial"/>
          <w:i/>
          <w:sz w:val="22"/>
          <w:szCs w:val="22"/>
        </w:rPr>
        <w:t xml:space="preserve"> en habilitar el aplicativo</w:t>
      </w:r>
      <w:r>
        <w:rPr>
          <w:rFonts w:ascii="Bookman Old Style" w:hAnsi="Bookman Old Style" w:cs="Arial"/>
          <w:i/>
          <w:sz w:val="22"/>
          <w:szCs w:val="22"/>
        </w:rPr>
        <w:t xml:space="preserve"> </w:t>
      </w:r>
      <w:r w:rsidRPr="008403F6">
        <w:rPr>
          <w:rFonts w:ascii="Bookman Old Style" w:hAnsi="Bookman Old Style" w:cs="Arial"/>
          <w:i/>
          <w:sz w:val="22"/>
          <w:szCs w:val="22"/>
        </w:rPr>
        <w:t>y</w:t>
      </w:r>
      <w:r>
        <w:rPr>
          <w:rFonts w:ascii="Bookman Old Style" w:hAnsi="Bookman Old Style" w:cs="Arial"/>
          <w:i/>
          <w:sz w:val="22"/>
          <w:szCs w:val="22"/>
        </w:rPr>
        <w:t xml:space="preserve"> aprobarla</w:t>
      </w:r>
      <w:r w:rsidRPr="008403F6">
        <w:rPr>
          <w:rFonts w:ascii="Bookman Old Style" w:hAnsi="Bookman Old Style" w:cs="Arial"/>
          <w:i/>
          <w:sz w:val="22"/>
          <w:szCs w:val="22"/>
        </w:rPr>
        <w:t xml:space="preserve"> por lo cual todavía no </w:t>
      </w:r>
      <w:r w:rsidRPr="008403F6">
        <w:rPr>
          <w:rFonts w:ascii="Bookman Old Style" w:hAnsi="Bookman Old Style" w:cs="Arial"/>
          <w:i/>
          <w:sz w:val="22"/>
          <w:szCs w:val="22"/>
        </w:rPr>
        <w:lastRenderedPageBreak/>
        <w:t xml:space="preserve">se verá refinado este ajuste en el </w:t>
      </w:r>
      <w:r>
        <w:rPr>
          <w:rFonts w:ascii="Bookman Old Style" w:hAnsi="Bookman Old Style" w:cs="Arial"/>
          <w:i/>
          <w:sz w:val="22"/>
          <w:szCs w:val="22"/>
        </w:rPr>
        <w:t>SUI</w:t>
      </w:r>
      <w:r w:rsidRPr="008403F6">
        <w:rPr>
          <w:rFonts w:ascii="Bookman Old Style" w:hAnsi="Bookman Old Style" w:cs="Arial"/>
          <w:i/>
          <w:sz w:val="22"/>
          <w:szCs w:val="22"/>
        </w:rPr>
        <w:t>. Entre tanto, adjuntamos las facturas de compra que corrob</w:t>
      </w:r>
      <w:r>
        <w:rPr>
          <w:rFonts w:ascii="Bookman Old Style" w:hAnsi="Bookman Old Style" w:cs="Arial"/>
          <w:i/>
          <w:sz w:val="22"/>
          <w:szCs w:val="22"/>
        </w:rPr>
        <w:t>oran las cifras presentadas por GAS NEIVA.</w:t>
      </w:r>
    </w:p>
    <w:p w:rsidR="008403F6" w:rsidRPr="008403F6" w:rsidRDefault="008403F6" w:rsidP="008403F6">
      <w:pPr>
        <w:ind w:left="284" w:right="284"/>
        <w:jc w:val="both"/>
        <w:rPr>
          <w:rFonts w:ascii="Bookman Old Style" w:hAnsi="Bookman Old Style" w:cs="Arial"/>
          <w:i/>
          <w:sz w:val="22"/>
          <w:szCs w:val="22"/>
        </w:rPr>
      </w:pPr>
    </w:p>
    <w:p w:rsidR="008403F6" w:rsidRDefault="008403F6" w:rsidP="008403F6">
      <w:pPr>
        <w:ind w:left="284" w:right="284"/>
        <w:jc w:val="both"/>
        <w:rPr>
          <w:rFonts w:ascii="Bookman Old Style" w:hAnsi="Bookman Old Style" w:cs="Arial"/>
          <w:i/>
          <w:sz w:val="22"/>
          <w:szCs w:val="22"/>
        </w:rPr>
      </w:pPr>
      <w:r w:rsidRPr="008403F6">
        <w:rPr>
          <w:rFonts w:ascii="Bookman Old Style" w:hAnsi="Bookman Old Style" w:cs="Arial"/>
          <w:i/>
          <w:sz w:val="22"/>
          <w:szCs w:val="22"/>
        </w:rPr>
        <w:t>En cuando</w:t>
      </w:r>
      <w:r>
        <w:rPr>
          <w:rFonts w:ascii="Bookman Old Style" w:hAnsi="Bookman Old Style" w:cs="Arial"/>
          <w:i/>
          <w:sz w:val="22"/>
          <w:szCs w:val="22"/>
        </w:rPr>
        <w:t xml:space="preserve"> </w:t>
      </w:r>
      <w:r w:rsidRPr="008403F6">
        <w:rPr>
          <w:rFonts w:ascii="Bookman Old Style" w:hAnsi="Bookman Old Style" w:cs="Arial"/>
          <w:i/>
          <w:sz w:val="22"/>
          <w:szCs w:val="22"/>
        </w:rPr>
        <w:t>a</w:t>
      </w:r>
      <w:r>
        <w:rPr>
          <w:rFonts w:ascii="Bookman Old Style" w:hAnsi="Bookman Old Style" w:cs="Arial"/>
          <w:i/>
          <w:sz w:val="22"/>
          <w:szCs w:val="22"/>
        </w:rPr>
        <w:t xml:space="preserve"> </w:t>
      </w:r>
      <w:r w:rsidRPr="008403F6">
        <w:rPr>
          <w:rFonts w:ascii="Bookman Old Style" w:hAnsi="Bookman Old Style" w:cs="Arial"/>
          <w:i/>
          <w:sz w:val="22"/>
          <w:szCs w:val="22"/>
        </w:rPr>
        <w:t>los cilindros regi</w:t>
      </w:r>
      <w:r>
        <w:rPr>
          <w:rFonts w:ascii="Bookman Old Style" w:hAnsi="Bookman Old Style" w:cs="Arial"/>
          <w:i/>
          <w:sz w:val="22"/>
          <w:szCs w:val="22"/>
        </w:rPr>
        <w:t>strados desde noviembre de 2012</w:t>
      </w:r>
      <w:r w:rsidRPr="008403F6">
        <w:rPr>
          <w:rFonts w:ascii="Bookman Old Style" w:hAnsi="Bookman Old Style" w:cs="Arial"/>
          <w:i/>
          <w:sz w:val="22"/>
          <w:szCs w:val="22"/>
        </w:rPr>
        <w:t xml:space="preserve"> es necesario señalar que el punto</w:t>
      </w:r>
      <w:r>
        <w:rPr>
          <w:rFonts w:ascii="Bookman Old Style" w:hAnsi="Bookman Old Style" w:cs="Arial"/>
          <w:i/>
          <w:sz w:val="22"/>
          <w:szCs w:val="22"/>
        </w:rPr>
        <w:t xml:space="preserve"> </w:t>
      </w:r>
      <w:r w:rsidRPr="008403F6">
        <w:rPr>
          <w:rFonts w:ascii="Bookman Old Style" w:hAnsi="Bookman Old Style" w:cs="Arial"/>
          <w:i/>
          <w:sz w:val="22"/>
          <w:szCs w:val="22"/>
        </w:rPr>
        <w:t>2</w:t>
      </w:r>
      <w:r>
        <w:rPr>
          <w:rFonts w:ascii="Bookman Old Style" w:hAnsi="Bookman Old Style" w:cs="Arial"/>
          <w:i/>
          <w:sz w:val="22"/>
          <w:szCs w:val="22"/>
        </w:rPr>
        <w:t xml:space="preserve"> </w:t>
      </w:r>
      <w:r w:rsidRPr="008403F6">
        <w:rPr>
          <w:rFonts w:ascii="Bookman Old Style" w:hAnsi="Bookman Old Style" w:cs="Arial"/>
          <w:i/>
          <w:sz w:val="22"/>
          <w:szCs w:val="22"/>
        </w:rPr>
        <w:t>del anexo de</w:t>
      </w:r>
      <w:r>
        <w:rPr>
          <w:rFonts w:ascii="Bookman Old Style" w:hAnsi="Bookman Old Style" w:cs="Arial"/>
          <w:i/>
          <w:sz w:val="22"/>
          <w:szCs w:val="22"/>
        </w:rPr>
        <w:t xml:space="preserve"> la Resolución CREG 075 de 2016</w:t>
      </w:r>
      <w:r w:rsidRPr="008403F6">
        <w:rPr>
          <w:rFonts w:ascii="Bookman Old Style" w:hAnsi="Bookman Old Style" w:cs="Arial"/>
          <w:i/>
          <w:sz w:val="22"/>
          <w:szCs w:val="22"/>
        </w:rPr>
        <w:t xml:space="preserve"> relaciona el cargue de 201</w:t>
      </w:r>
      <w:r>
        <w:rPr>
          <w:rFonts w:ascii="Bookman Old Style" w:hAnsi="Bookman Old Style" w:cs="Arial"/>
          <w:i/>
          <w:sz w:val="22"/>
          <w:szCs w:val="22"/>
        </w:rPr>
        <w:t xml:space="preserve"> </w:t>
      </w:r>
      <w:r w:rsidRPr="008403F6">
        <w:rPr>
          <w:rFonts w:ascii="Bookman Old Style" w:hAnsi="Bookman Old Style" w:cs="Arial"/>
          <w:i/>
          <w:sz w:val="22"/>
          <w:szCs w:val="22"/>
        </w:rPr>
        <w:t xml:space="preserve">cilindros de </w:t>
      </w:r>
      <w:r>
        <w:rPr>
          <w:rFonts w:ascii="Bookman Old Style" w:hAnsi="Bookman Old Style" w:cs="Arial"/>
          <w:i/>
          <w:sz w:val="22"/>
          <w:szCs w:val="22"/>
        </w:rPr>
        <w:t xml:space="preserve">100 </w:t>
      </w:r>
      <w:r w:rsidRPr="008403F6">
        <w:rPr>
          <w:rFonts w:ascii="Bookman Old Style" w:hAnsi="Bookman Old Style" w:cs="Arial"/>
          <w:i/>
          <w:sz w:val="22"/>
          <w:szCs w:val="22"/>
        </w:rPr>
        <w:t>kilogramos durante el</w:t>
      </w:r>
      <w:r>
        <w:rPr>
          <w:rFonts w:ascii="Bookman Old Style" w:hAnsi="Bookman Old Style" w:cs="Arial"/>
          <w:i/>
          <w:sz w:val="22"/>
          <w:szCs w:val="22"/>
        </w:rPr>
        <w:t xml:space="preserve"> </w:t>
      </w:r>
      <w:r w:rsidRPr="008403F6">
        <w:rPr>
          <w:rFonts w:ascii="Bookman Old Style" w:hAnsi="Bookman Old Style" w:cs="Arial"/>
          <w:i/>
          <w:sz w:val="22"/>
          <w:szCs w:val="22"/>
        </w:rPr>
        <w:t>periodo de noviembre de</w:t>
      </w:r>
      <w:r>
        <w:rPr>
          <w:rFonts w:ascii="Bookman Old Style" w:hAnsi="Bookman Old Style" w:cs="Arial"/>
          <w:i/>
          <w:sz w:val="22"/>
          <w:szCs w:val="22"/>
        </w:rPr>
        <w:t xml:space="preserve"> </w:t>
      </w:r>
      <w:r w:rsidRPr="008403F6">
        <w:rPr>
          <w:rFonts w:ascii="Bookman Old Style" w:hAnsi="Bookman Old Style" w:cs="Arial"/>
          <w:i/>
          <w:sz w:val="22"/>
          <w:szCs w:val="22"/>
        </w:rPr>
        <w:t>2012</w:t>
      </w:r>
      <w:r>
        <w:rPr>
          <w:rFonts w:ascii="Bookman Old Style" w:hAnsi="Bookman Old Style" w:cs="Arial"/>
          <w:i/>
          <w:sz w:val="22"/>
          <w:szCs w:val="22"/>
        </w:rPr>
        <w:t xml:space="preserve"> </w:t>
      </w:r>
      <w:r w:rsidRPr="008403F6">
        <w:rPr>
          <w:rFonts w:ascii="Bookman Old Style" w:hAnsi="Bookman Old Style" w:cs="Arial"/>
          <w:i/>
          <w:sz w:val="22"/>
          <w:szCs w:val="22"/>
        </w:rPr>
        <w:t>a</w:t>
      </w:r>
      <w:r>
        <w:rPr>
          <w:rFonts w:ascii="Bookman Old Style" w:hAnsi="Bookman Old Style" w:cs="Arial"/>
          <w:i/>
          <w:sz w:val="22"/>
          <w:szCs w:val="22"/>
        </w:rPr>
        <w:t xml:space="preserve"> </w:t>
      </w:r>
      <w:r w:rsidRPr="008403F6">
        <w:rPr>
          <w:rFonts w:ascii="Bookman Old Style" w:hAnsi="Bookman Old Style" w:cs="Arial"/>
          <w:i/>
          <w:sz w:val="22"/>
          <w:szCs w:val="22"/>
        </w:rPr>
        <w:t>mayo</w:t>
      </w:r>
      <w:r>
        <w:rPr>
          <w:rFonts w:ascii="Bookman Old Style" w:hAnsi="Bookman Old Style" w:cs="Arial"/>
          <w:i/>
          <w:sz w:val="22"/>
          <w:szCs w:val="22"/>
        </w:rPr>
        <w:t xml:space="preserve"> </w:t>
      </w:r>
      <w:r w:rsidRPr="008403F6">
        <w:rPr>
          <w:rFonts w:ascii="Bookman Old Style" w:hAnsi="Bookman Old Style" w:cs="Arial"/>
          <w:i/>
          <w:sz w:val="22"/>
          <w:szCs w:val="22"/>
        </w:rPr>
        <w:t>de</w:t>
      </w:r>
      <w:r>
        <w:rPr>
          <w:rFonts w:ascii="Bookman Old Style" w:hAnsi="Bookman Old Style" w:cs="Arial"/>
          <w:i/>
          <w:sz w:val="22"/>
          <w:szCs w:val="22"/>
        </w:rPr>
        <w:t xml:space="preserve"> 2016</w:t>
      </w:r>
      <w:r w:rsidRPr="008403F6">
        <w:rPr>
          <w:rFonts w:ascii="Bookman Old Style" w:hAnsi="Bookman Old Style" w:cs="Arial"/>
          <w:i/>
          <w:sz w:val="22"/>
          <w:szCs w:val="22"/>
        </w:rPr>
        <w:t xml:space="preserve"> habi</w:t>
      </w:r>
      <w:r>
        <w:rPr>
          <w:rFonts w:ascii="Bookman Old Style" w:hAnsi="Bookman Old Style" w:cs="Arial"/>
          <w:i/>
          <w:sz w:val="22"/>
          <w:szCs w:val="22"/>
        </w:rPr>
        <w:t>éndose registrado cargues al SUI durante este periodo así:</w:t>
      </w:r>
    </w:p>
    <w:p w:rsidR="008403F6" w:rsidRDefault="008403F6" w:rsidP="008403F6">
      <w:pPr>
        <w:ind w:left="284"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757"/>
        <w:gridCol w:w="2362"/>
        <w:gridCol w:w="2285"/>
      </w:tblGrid>
      <w:tr w:rsidR="008403F6" w:rsidRPr="008403F6" w:rsidTr="008403F6">
        <w:trPr>
          <w:trHeight w:hRule="exact" w:val="989"/>
          <w:jc w:val="center"/>
        </w:trPr>
        <w:tc>
          <w:tcPr>
            <w:tcW w:w="1757" w:type="dxa"/>
            <w:tcBorders>
              <w:top w:val="single" w:sz="4" w:space="0" w:color="auto"/>
              <w:left w:val="single" w:sz="4" w:space="0" w:color="auto"/>
              <w:bottom w:val="nil"/>
              <w:right w:val="nil"/>
            </w:tcBorders>
            <w:shd w:val="clear" w:color="auto" w:fill="FFFFFF"/>
            <w:vAlign w:val="center"/>
          </w:tcPr>
          <w:p w:rsidR="008403F6" w:rsidRPr="008403F6" w:rsidRDefault="008403F6" w:rsidP="008403F6">
            <w:pPr>
              <w:pStyle w:val="Style9"/>
              <w:shd w:val="clear" w:color="auto" w:fill="auto"/>
              <w:spacing w:after="120" w:line="200" w:lineRule="exact"/>
              <w:ind w:firstLine="0"/>
              <w:jc w:val="center"/>
              <w:rPr>
                <w:rFonts w:ascii="Bookman Old Style" w:hAnsi="Bookman Old Style"/>
                <w:sz w:val="18"/>
                <w:szCs w:val="18"/>
              </w:rPr>
            </w:pPr>
            <w:r w:rsidRPr="008403F6">
              <w:rPr>
                <w:rStyle w:val="CharStyle23"/>
                <w:rFonts w:ascii="Bookman Old Style" w:hAnsi="Bookman Old Style"/>
                <w:color w:val="000000"/>
                <w:sz w:val="18"/>
                <w:szCs w:val="18"/>
                <w:lang w:eastAsia="es-ES_tradnl"/>
              </w:rPr>
              <w:t>Capacidad</w:t>
            </w:r>
          </w:p>
          <w:p w:rsidR="008403F6" w:rsidRPr="008403F6" w:rsidRDefault="008403F6" w:rsidP="008403F6">
            <w:pPr>
              <w:pStyle w:val="Style9"/>
              <w:shd w:val="clear" w:color="auto" w:fill="auto"/>
              <w:spacing w:before="120" w:line="200" w:lineRule="exact"/>
              <w:ind w:firstLine="0"/>
              <w:jc w:val="center"/>
              <w:rPr>
                <w:rFonts w:ascii="Bookman Old Style" w:hAnsi="Bookman Old Style"/>
                <w:sz w:val="18"/>
                <w:szCs w:val="18"/>
              </w:rPr>
            </w:pPr>
            <w:r w:rsidRPr="008403F6">
              <w:rPr>
                <w:rStyle w:val="CharStyle23"/>
                <w:rFonts w:ascii="Bookman Old Style" w:hAnsi="Bookman Old Style"/>
                <w:color w:val="000000"/>
                <w:sz w:val="18"/>
                <w:szCs w:val="18"/>
                <w:lang w:eastAsia="es-ES_tradnl"/>
              </w:rPr>
              <w:t>cilindros</w:t>
            </w:r>
          </w:p>
        </w:tc>
        <w:tc>
          <w:tcPr>
            <w:tcW w:w="2362" w:type="dxa"/>
            <w:tcBorders>
              <w:top w:val="single" w:sz="4" w:space="0" w:color="auto"/>
              <w:left w:val="single" w:sz="4" w:space="0" w:color="auto"/>
              <w:bottom w:val="nil"/>
              <w:right w:val="nil"/>
            </w:tcBorders>
            <w:shd w:val="clear" w:color="auto" w:fill="FFFFFF"/>
            <w:vAlign w:val="bottom"/>
          </w:tcPr>
          <w:p w:rsidR="008403F6" w:rsidRPr="008403F6" w:rsidRDefault="008403F6" w:rsidP="008403F6">
            <w:pPr>
              <w:pStyle w:val="Style9"/>
              <w:shd w:val="clear" w:color="auto" w:fill="auto"/>
              <w:spacing w:line="317" w:lineRule="exact"/>
              <w:ind w:left="320" w:firstLine="240"/>
              <w:jc w:val="left"/>
              <w:rPr>
                <w:rFonts w:ascii="Bookman Old Style" w:hAnsi="Bookman Old Style"/>
                <w:sz w:val="18"/>
                <w:szCs w:val="18"/>
              </w:rPr>
            </w:pPr>
            <w:r w:rsidRPr="008403F6">
              <w:rPr>
                <w:rStyle w:val="CharStyle23"/>
                <w:rFonts w:ascii="Bookman Old Style" w:hAnsi="Bookman Old Style"/>
                <w:color w:val="000000"/>
                <w:sz w:val="18"/>
                <w:szCs w:val="18"/>
                <w:lang w:eastAsia="es-ES_tradnl"/>
              </w:rPr>
              <w:t>Cantidad de cilindros (Anexo Res. 075 de 2016)</w:t>
            </w:r>
          </w:p>
        </w:tc>
        <w:tc>
          <w:tcPr>
            <w:tcW w:w="2285" w:type="dxa"/>
            <w:tcBorders>
              <w:top w:val="single" w:sz="4" w:space="0" w:color="auto"/>
              <w:left w:val="single" w:sz="4" w:space="0" w:color="auto"/>
              <w:bottom w:val="nil"/>
              <w:right w:val="single" w:sz="4" w:space="0" w:color="auto"/>
            </w:tcBorders>
            <w:shd w:val="clear" w:color="auto" w:fill="FFFFFF"/>
            <w:vAlign w:val="bottom"/>
          </w:tcPr>
          <w:p w:rsidR="008403F6" w:rsidRPr="008403F6" w:rsidRDefault="008403F6" w:rsidP="008403F6">
            <w:pPr>
              <w:pStyle w:val="Style9"/>
              <w:shd w:val="clear" w:color="auto" w:fill="auto"/>
              <w:spacing w:line="326" w:lineRule="exact"/>
              <w:ind w:firstLine="0"/>
              <w:jc w:val="center"/>
              <w:rPr>
                <w:rFonts w:ascii="Bookman Old Style" w:hAnsi="Bookman Old Style"/>
                <w:sz w:val="18"/>
                <w:szCs w:val="18"/>
              </w:rPr>
            </w:pPr>
            <w:r w:rsidRPr="008403F6">
              <w:rPr>
                <w:rStyle w:val="CharStyle23"/>
                <w:rFonts w:ascii="Bookman Old Style" w:hAnsi="Bookman Old Style"/>
                <w:color w:val="000000"/>
                <w:sz w:val="18"/>
                <w:szCs w:val="18"/>
                <w:lang w:eastAsia="es-ES_tradnl"/>
              </w:rPr>
              <w:t xml:space="preserve">Cantidad de cilindros (Cargados al </w:t>
            </w:r>
            <w:r w:rsidRPr="008403F6">
              <w:rPr>
                <w:rStyle w:val="CharStyle24"/>
                <w:rFonts w:ascii="Bookman Old Style" w:hAnsi="Bookman Old Style"/>
                <w:color w:val="000000"/>
                <w:sz w:val="18"/>
                <w:szCs w:val="18"/>
                <w:lang w:eastAsia="es-ES_tradnl"/>
              </w:rPr>
              <w:t>SUI)</w:t>
            </w:r>
          </w:p>
        </w:tc>
      </w:tr>
      <w:tr w:rsidR="008403F6" w:rsidRPr="008403F6" w:rsidTr="008403F6">
        <w:trPr>
          <w:trHeight w:hRule="exact" w:val="33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sz w:val="18"/>
                <w:szCs w:val="18"/>
              </w:rPr>
            </w:pPr>
            <w:r w:rsidRPr="008403F6">
              <w:rPr>
                <w:rStyle w:val="CharStyle24"/>
                <w:rFonts w:ascii="Bookman Old Style" w:hAnsi="Bookman Old Style"/>
                <w:color w:val="000000"/>
                <w:sz w:val="18"/>
                <w:szCs w:val="18"/>
                <w:lang w:eastAsia="es-ES_tradnl"/>
              </w:rPr>
              <w:t>9 kg (201b)</w:t>
            </w:r>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NR</w:t>
            </w:r>
          </w:p>
        </w:tc>
        <w:tc>
          <w:tcPr>
            <w:tcW w:w="2285" w:type="dxa"/>
            <w:tcBorders>
              <w:top w:val="single" w:sz="4" w:space="0" w:color="auto"/>
              <w:left w:val="single" w:sz="4" w:space="0" w:color="auto"/>
              <w:bottom w:val="nil"/>
              <w:right w:val="single" w:sz="4" w:space="0" w:color="auto"/>
            </w:tcBorders>
            <w:shd w:val="clear" w:color="auto" w:fill="FFFFFF"/>
            <w:vAlign w:val="center"/>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602</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sz w:val="18"/>
                <w:szCs w:val="18"/>
              </w:rPr>
            </w:pPr>
            <w:r w:rsidRPr="008403F6">
              <w:rPr>
                <w:rStyle w:val="CharStyle24"/>
                <w:rFonts w:ascii="Bookman Old Style" w:hAnsi="Bookman Old Style"/>
                <w:color w:val="000000"/>
                <w:sz w:val="18"/>
                <w:szCs w:val="18"/>
                <w:lang w:eastAsia="es-ES_tradnl"/>
              </w:rPr>
              <w:t xml:space="preserve">15 kg (33 </w:t>
            </w:r>
            <w:proofErr w:type="spellStart"/>
            <w:r w:rsidRPr="008403F6">
              <w:rPr>
                <w:rStyle w:val="CharStyle24"/>
                <w:rFonts w:ascii="Bookman Old Style" w:hAnsi="Bookman Old Style"/>
                <w:color w:val="000000"/>
                <w:sz w:val="18"/>
                <w:szCs w:val="18"/>
                <w:lang w:eastAsia="es-ES_tradnl"/>
              </w:rPr>
              <w:t>Ib</w:t>
            </w:r>
            <w:proofErr w:type="spellEnd"/>
            <w:r w:rsidRPr="008403F6">
              <w:rPr>
                <w:rStyle w:val="CharStyle24"/>
                <w:rFonts w:ascii="Bookman Old Style" w:hAnsi="Bookman Old Style"/>
                <w:color w:val="000000"/>
                <w:sz w:val="18"/>
                <w:szCs w:val="18"/>
                <w:lang w:eastAsia="es-ES_tradnl"/>
              </w:rPr>
              <w:t>)</w:t>
            </w:r>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NR</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2.274</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sz w:val="18"/>
                <w:szCs w:val="18"/>
              </w:rPr>
            </w:pPr>
            <w:r w:rsidRPr="008403F6">
              <w:rPr>
                <w:rStyle w:val="CharStyle24"/>
                <w:rFonts w:ascii="Bookman Old Style" w:hAnsi="Bookman Old Style"/>
                <w:color w:val="000000"/>
                <w:sz w:val="18"/>
                <w:szCs w:val="18"/>
                <w:lang w:eastAsia="es-ES_tradnl"/>
              </w:rPr>
              <w:t xml:space="preserve">18 kg (40 </w:t>
            </w:r>
            <w:proofErr w:type="spellStart"/>
            <w:r w:rsidRPr="008403F6">
              <w:rPr>
                <w:rStyle w:val="CharStyle24"/>
                <w:rFonts w:ascii="Bookman Old Style" w:hAnsi="Bookman Old Style"/>
                <w:color w:val="000000"/>
                <w:sz w:val="18"/>
                <w:szCs w:val="18"/>
                <w:lang w:eastAsia="es-ES_tradnl"/>
              </w:rPr>
              <w:t>Ib</w:t>
            </w:r>
            <w:proofErr w:type="spellEnd"/>
            <w:r w:rsidRPr="008403F6">
              <w:rPr>
                <w:rStyle w:val="CharStyle24"/>
                <w:rFonts w:ascii="Bookman Old Style" w:hAnsi="Bookman Old Style"/>
                <w:color w:val="000000"/>
                <w:sz w:val="18"/>
                <w:szCs w:val="18"/>
                <w:lang w:eastAsia="es-ES_tradnl"/>
              </w:rPr>
              <w:t>)</w:t>
            </w:r>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NR</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7.664</w:t>
            </w:r>
          </w:p>
        </w:tc>
      </w:tr>
      <w:tr w:rsidR="008403F6" w:rsidRPr="008403F6" w:rsidTr="008403F6">
        <w:trPr>
          <w:trHeight w:hRule="exact" w:val="33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sz w:val="18"/>
                <w:szCs w:val="18"/>
              </w:rPr>
            </w:pPr>
            <w:r w:rsidRPr="008403F6">
              <w:rPr>
                <w:rStyle w:val="CharStyle24"/>
                <w:rFonts w:ascii="Bookman Old Style" w:hAnsi="Bookman Old Style"/>
                <w:color w:val="000000"/>
                <w:sz w:val="18"/>
                <w:szCs w:val="18"/>
                <w:lang w:eastAsia="es-ES_tradnl"/>
              </w:rPr>
              <w:t xml:space="preserve">45 kg (100 </w:t>
            </w:r>
            <w:proofErr w:type="spellStart"/>
            <w:r w:rsidRPr="008403F6">
              <w:rPr>
                <w:rStyle w:val="CharStyle24"/>
                <w:rFonts w:ascii="Bookman Old Style" w:hAnsi="Bookman Old Style"/>
                <w:color w:val="000000"/>
                <w:sz w:val="18"/>
                <w:szCs w:val="18"/>
                <w:lang w:eastAsia="es-ES_tradnl"/>
              </w:rPr>
              <w:t>Ib</w:t>
            </w:r>
            <w:proofErr w:type="spellEnd"/>
            <w:r w:rsidRPr="008403F6">
              <w:rPr>
                <w:rStyle w:val="CharStyle24"/>
                <w:rFonts w:ascii="Bookman Old Style" w:hAnsi="Bookman Old Style"/>
                <w:color w:val="000000"/>
                <w:sz w:val="18"/>
                <w:szCs w:val="18"/>
                <w:lang w:eastAsia="es-ES_tradnl"/>
              </w:rPr>
              <w:t>)</w:t>
            </w:r>
          </w:p>
        </w:tc>
        <w:tc>
          <w:tcPr>
            <w:tcW w:w="2362"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NR</w:t>
            </w:r>
          </w:p>
        </w:tc>
        <w:tc>
          <w:tcPr>
            <w:tcW w:w="2285" w:type="dxa"/>
            <w:tcBorders>
              <w:top w:val="single" w:sz="4" w:space="0" w:color="auto"/>
              <w:left w:val="single" w:sz="4" w:space="0" w:color="auto"/>
              <w:bottom w:val="nil"/>
              <w:right w:val="single" w:sz="4" w:space="0" w:color="auto"/>
            </w:tcBorders>
            <w:shd w:val="clear" w:color="auto" w:fill="FFFFFF"/>
            <w:vAlign w:val="center"/>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1.121</w:t>
            </w:r>
          </w:p>
        </w:tc>
      </w:tr>
      <w:tr w:rsidR="008403F6" w:rsidRPr="008403F6" w:rsidTr="008403F6">
        <w:trPr>
          <w:trHeight w:hRule="exact" w:val="326"/>
          <w:jc w:val="center"/>
        </w:trPr>
        <w:tc>
          <w:tcPr>
            <w:tcW w:w="1757" w:type="dxa"/>
            <w:tcBorders>
              <w:top w:val="single" w:sz="4" w:space="0" w:color="auto"/>
              <w:left w:val="single" w:sz="4" w:space="0" w:color="auto"/>
              <w:bottom w:val="nil"/>
              <w:right w:val="nil"/>
            </w:tcBorders>
            <w:shd w:val="clear" w:color="auto" w:fill="FFFFFF"/>
          </w:tcPr>
          <w:p w:rsidR="008403F6" w:rsidRPr="008403F6" w:rsidRDefault="008403F6" w:rsidP="008403F6">
            <w:pPr>
              <w:pStyle w:val="Style9"/>
              <w:shd w:val="clear" w:color="auto" w:fill="auto"/>
              <w:spacing w:line="200" w:lineRule="exact"/>
              <w:ind w:left="120" w:firstLine="0"/>
              <w:jc w:val="left"/>
              <w:rPr>
                <w:rFonts w:ascii="Bookman Old Style" w:hAnsi="Bookman Old Style"/>
                <w:sz w:val="18"/>
                <w:szCs w:val="18"/>
              </w:rPr>
            </w:pPr>
            <w:r w:rsidRPr="008403F6">
              <w:rPr>
                <w:rStyle w:val="CharStyle24"/>
                <w:rFonts w:ascii="Bookman Old Style" w:hAnsi="Bookman Old Style"/>
                <w:color w:val="000000"/>
                <w:sz w:val="18"/>
                <w:szCs w:val="18"/>
                <w:lang w:eastAsia="es-ES_tradnl"/>
              </w:rPr>
              <w:t>100 kg</w:t>
            </w:r>
          </w:p>
        </w:tc>
        <w:tc>
          <w:tcPr>
            <w:tcW w:w="2362" w:type="dxa"/>
            <w:tcBorders>
              <w:top w:val="single" w:sz="4" w:space="0" w:color="auto"/>
              <w:left w:val="single" w:sz="4" w:space="0" w:color="auto"/>
              <w:bottom w:val="nil"/>
              <w:right w:val="nil"/>
            </w:tcBorders>
            <w:shd w:val="clear" w:color="auto" w:fill="FFFFFF"/>
            <w:vAlign w:val="bottom"/>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201</w:t>
            </w:r>
          </w:p>
        </w:tc>
        <w:tc>
          <w:tcPr>
            <w:tcW w:w="2285" w:type="dxa"/>
            <w:tcBorders>
              <w:top w:val="single" w:sz="4" w:space="0" w:color="auto"/>
              <w:left w:val="single" w:sz="4" w:space="0" w:color="auto"/>
              <w:bottom w:val="nil"/>
              <w:right w:val="single" w:sz="4" w:space="0" w:color="auto"/>
            </w:tcBorders>
            <w:shd w:val="clear" w:color="auto" w:fill="FFFFFF"/>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4"/>
                <w:rFonts w:ascii="Bookman Old Style" w:hAnsi="Bookman Old Style"/>
                <w:color w:val="000000"/>
                <w:sz w:val="18"/>
                <w:szCs w:val="18"/>
                <w:lang w:eastAsia="es-ES_tradnl"/>
              </w:rPr>
              <w:t>No aplica</w:t>
            </w:r>
          </w:p>
        </w:tc>
      </w:tr>
      <w:tr w:rsidR="008403F6" w:rsidRPr="008403F6" w:rsidTr="008403F6">
        <w:trPr>
          <w:trHeight w:hRule="exact" w:val="346"/>
          <w:jc w:val="center"/>
        </w:trPr>
        <w:tc>
          <w:tcPr>
            <w:tcW w:w="1757" w:type="dxa"/>
            <w:tcBorders>
              <w:top w:val="single" w:sz="4" w:space="0" w:color="auto"/>
              <w:left w:val="single" w:sz="4" w:space="0" w:color="auto"/>
              <w:bottom w:val="single" w:sz="4" w:space="0" w:color="auto"/>
              <w:right w:val="nil"/>
            </w:tcBorders>
            <w:shd w:val="clear" w:color="auto" w:fill="FFFFFF"/>
            <w:vAlign w:val="center"/>
          </w:tcPr>
          <w:p w:rsidR="008403F6" w:rsidRPr="008403F6" w:rsidRDefault="008403F6" w:rsidP="008403F6">
            <w:pPr>
              <w:pStyle w:val="Style9"/>
              <w:shd w:val="clear" w:color="auto" w:fill="auto"/>
              <w:spacing w:line="200" w:lineRule="exact"/>
              <w:ind w:left="120" w:firstLine="0"/>
              <w:jc w:val="left"/>
              <w:rPr>
                <w:rFonts w:ascii="Bookman Old Style" w:hAnsi="Bookman Old Style"/>
                <w:sz w:val="18"/>
                <w:szCs w:val="18"/>
              </w:rPr>
            </w:pPr>
            <w:r w:rsidRPr="008403F6">
              <w:rPr>
                <w:rStyle w:val="CharStyle23"/>
                <w:rFonts w:ascii="Bookman Old Style" w:hAnsi="Bookman Old Style"/>
                <w:color w:val="000000"/>
                <w:sz w:val="18"/>
                <w:szCs w:val="18"/>
                <w:lang w:eastAsia="es-ES_tradnl"/>
              </w:rPr>
              <w:t>Total</w:t>
            </w:r>
          </w:p>
        </w:tc>
        <w:tc>
          <w:tcPr>
            <w:tcW w:w="2362" w:type="dxa"/>
            <w:tcBorders>
              <w:top w:val="single" w:sz="4" w:space="0" w:color="auto"/>
              <w:left w:val="single" w:sz="4" w:space="0" w:color="auto"/>
              <w:bottom w:val="single" w:sz="4" w:space="0" w:color="auto"/>
              <w:right w:val="nil"/>
            </w:tcBorders>
            <w:shd w:val="clear" w:color="auto" w:fill="FFFFFF"/>
            <w:vAlign w:val="bottom"/>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3"/>
                <w:rFonts w:ascii="Bookman Old Style" w:hAnsi="Bookman Old Style"/>
                <w:color w:val="000000"/>
                <w:sz w:val="18"/>
                <w:szCs w:val="18"/>
                <w:lang w:eastAsia="es-ES_tradnl"/>
              </w:rPr>
              <w:t>201</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8403F6" w:rsidRPr="008403F6" w:rsidRDefault="008403F6" w:rsidP="008403F6">
            <w:pPr>
              <w:pStyle w:val="Style9"/>
              <w:shd w:val="clear" w:color="auto" w:fill="auto"/>
              <w:spacing w:line="200" w:lineRule="exact"/>
              <w:ind w:firstLine="0"/>
              <w:jc w:val="center"/>
              <w:rPr>
                <w:rFonts w:ascii="Bookman Old Style" w:hAnsi="Bookman Old Style"/>
                <w:sz w:val="18"/>
                <w:szCs w:val="18"/>
              </w:rPr>
            </w:pPr>
            <w:r w:rsidRPr="008403F6">
              <w:rPr>
                <w:rStyle w:val="CharStyle23"/>
                <w:rFonts w:ascii="Bookman Old Style" w:hAnsi="Bookman Old Style"/>
                <w:color w:val="000000"/>
                <w:sz w:val="18"/>
                <w:szCs w:val="18"/>
                <w:lang w:eastAsia="es-ES_tradnl"/>
              </w:rPr>
              <w:t>11.661</w:t>
            </w:r>
          </w:p>
        </w:tc>
      </w:tr>
    </w:tbl>
    <w:p w:rsidR="008403F6" w:rsidRDefault="008403F6" w:rsidP="008403F6">
      <w:pPr>
        <w:ind w:left="284" w:right="284"/>
        <w:jc w:val="both"/>
        <w:rPr>
          <w:rFonts w:ascii="Bookman Old Style" w:hAnsi="Bookman Old Style" w:cs="Arial"/>
          <w:i/>
          <w:sz w:val="22"/>
          <w:szCs w:val="22"/>
        </w:rPr>
      </w:pPr>
    </w:p>
    <w:p w:rsidR="008403F6" w:rsidRPr="008403F6" w:rsidRDefault="008403F6" w:rsidP="008403F6">
      <w:pPr>
        <w:ind w:left="284" w:right="284"/>
        <w:jc w:val="both"/>
        <w:rPr>
          <w:rFonts w:ascii="Bookman Old Style" w:hAnsi="Bookman Old Style" w:cs="Arial"/>
          <w:i/>
          <w:sz w:val="22"/>
          <w:szCs w:val="22"/>
        </w:rPr>
      </w:pPr>
      <w:r w:rsidRPr="008403F6">
        <w:rPr>
          <w:rFonts w:ascii="Bookman Old Style" w:hAnsi="Bookman Old Style" w:cs="Arial"/>
          <w:i/>
          <w:sz w:val="22"/>
          <w:szCs w:val="22"/>
        </w:rPr>
        <w:t>De acuerdo con este anexo, la empresa</w:t>
      </w:r>
      <w:r>
        <w:rPr>
          <w:rFonts w:ascii="Bookman Old Style" w:hAnsi="Bookman Old Style" w:cs="Arial"/>
          <w:i/>
          <w:sz w:val="22"/>
          <w:szCs w:val="22"/>
        </w:rPr>
        <w:t xml:space="preserve"> </w:t>
      </w:r>
      <w:r w:rsidRPr="008403F6">
        <w:rPr>
          <w:rFonts w:ascii="Bookman Old Style" w:hAnsi="Bookman Old Style" w:cs="Arial"/>
          <w:i/>
          <w:sz w:val="22"/>
          <w:szCs w:val="22"/>
        </w:rPr>
        <w:t>reporta</w:t>
      </w:r>
      <w:r>
        <w:rPr>
          <w:rFonts w:ascii="Bookman Old Style" w:hAnsi="Bookman Old Style" w:cs="Arial"/>
          <w:i/>
          <w:sz w:val="22"/>
          <w:szCs w:val="22"/>
        </w:rPr>
        <w:t xml:space="preserve"> </w:t>
      </w:r>
      <w:r w:rsidRPr="008403F6">
        <w:rPr>
          <w:rFonts w:ascii="Bookman Old Style" w:hAnsi="Bookman Old Style" w:cs="Arial"/>
          <w:i/>
          <w:sz w:val="22"/>
          <w:szCs w:val="22"/>
        </w:rPr>
        <w:t>201 cilindros de</w:t>
      </w:r>
      <w:r>
        <w:rPr>
          <w:rFonts w:ascii="Bookman Old Style" w:hAnsi="Bookman Old Style" w:cs="Arial"/>
          <w:i/>
          <w:sz w:val="22"/>
          <w:szCs w:val="22"/>
        </w:rPr>
        <w:t xml:space="preserve"> 100 kg</w:t>
      </w:r>
      <w:r w:rsidRPr="008403F6">
        <w:rPr>
          <w:rFonts w:ascii="Bookman Old Style" w:hAnsi="Bookman Old Style" w:cs="Arial"/>
          <w:i/>
          <w:sz w:val="22"/>
          <w:szCs w:val="22"/>
        </w:rPr>
        <w:t xml:space="preserve"> lo cual resulta</w:t>
      </w:r>
      <w:r>
        <w:rPr>
          <w:rFonts w:ascii="Bookman Old Style" w:hAnsi="Bookman Old Style" w:cs="Arial"/>
          <w:i/>
          <w:sz w:val="22"/>
          <w:szCs w:val="22"/>
        </w:rPr>
        <w:t xml:space="preserve"> alejado</w:t>
      </w:r>
      <w:r w:rsidRPr="008403F6">
        <w:rPr>
          <w:rFonts w:ascii="Bookman Old Style" w:hAnsi="Bookman Old Style" w:cs="Arial"/>
          <w:i/>
          <w:sz w:val="22"/>
          <w:szCs w:val="22"/>
        </w:rPr>
        <w:t xml:space="preserve"> de la realidad en la medida en que no existen cilindros de esa presentación en el mercado</w:t>
      </w:r>
      <w:r>
        <w:rPr>
          <w:rFonts w:ascii="Bookman Old Style" w:hAnsi="Bookman Old Style" w:cs="Arial"/>
          <w:i/>
          <w:sz w:val="22"/>
          <w:szCs w:val="22"/>
        </w:rPr>
        <w:t xml:space="preserve"> </w:t>
      </w:r>
      <w:r w:rsidRPr="008403F6">
        <w:rPr>
          <w:rFonts w:ascii="Bookman Old Style" w:hAnsi="Bookman Old Style" w:cs="Arial"/>
          <w:i/>
          <w:sz w:val="22"/>
          <w:szCs w:val="22"/>
        </w:rPr>
        <w:t>y por</w:t>
      </w:r>
      <w:r>
        <w:rPr>
          <w:rFonts w:ascii="Bookman Old Style" w:hAnsi="Bookman Old Style" w:cs="Arial"/>
          <w:i/>
          <w:sz w:val="22"/>
          <w:szCs w:val="22"/>
        </w:rPr>
        <w:t xml:space="preserve"> </w:t>
      </w:r>
      <w:r w:rsidRPr="008403F6">
        <w:rPr>
          <w:rFonts w:ascii="Bookman Old Style" w:hAnsi="Bookman Old Style" w:cs="Arial"/>
          <w:i/>
          <w:sz w:val="22"/>
          <w:szCs w:val="22"/>
        </w:rPr>
        <w:t>tanto</w:t>
      </w:r>
      <w:r>
        <w:rPr>
          <w:rFonts w:ascii="Bookman Old Style" w:hAnsi="Bookman Old Style" w:cs="Arial"/>
          <w:i/>
          <w:sz w:val="22"/>
          <w:szCs w:val="22"/>
        </w:rPr>
        <w:t xml:space="preserve"> </w:t>
      </w:r>
      <w:r w:rsidRPr="008403F6">
        <w:rPr>
          <w:rFonts w:ascii="Bookman Old Style" w:hAnsi="Bookman Old Style" w:cs="Arial"/>
          <w:i/>
          <w:sz w:val="22"/>
          <w:szCs w:val="22"/>
        </w:rPr>
        <w:t>ninguna</w:t>
      </w:r>
      <w:r>
        <w:rPr>
          <w:rFonts w:ascii="Bookman Old Style" w:hAnsi="Bookman Old Style" w:cs="Arial"/>
          <w:i/>
          <w:sz w:val="22"/>
          <w:szCs w:val="22"/>
        </w:rPr>
        <w:t xml:space="preserve"> </w:t>
      </w:r>
      <w:r w:rsidRPr="008403F6">
        <w:rPr>
          <w:rFonts w:ascii="Bookman Old Style" w:hAnsi="Bookman Old Style" w:cs="Arial"/>
          <w:i/>
          <w:sz w:val="22"/>
          <w:szCs w:val="22"/>
        </w:rPr>
        <w:t>empresa</w:t>
      </w:r>
      <w:r>
        <w:rPr>
          <w:rFonts w:ascii="Bookman Old Style" w:hAnsi="Bookman Old Style" w:cs="Arial"/>
          <w:i/>
          <w:sz w:val="22"/>
          <w:szCs w:val="22"/>
        </w:rPr>
        <w:t xml:space="preserve"> </w:t>
      </w:r>
      <w:r w:rsidRPr="008403F6">
        <w:rPr>
          <w:rFonts w:ascii="Bookman Old Style" w:hAnsi="Bookman Old Style" w:cs="Arial"/>
          <w:i/>
          <w:sz w:val="22"/>
          <w:szCs w:val="22"/>
        </w:rPr>
        <w:t>debe tener cilindros</w:t>
      </w:r>
      <w:r>
        <w:rPr>
          <w:rFonts w:ascii="Bookman Old Style" w:hAnsi="Bookman Old Style" w:cs="Arial"/>
          <w:i/>
          <w:sz w:val="22"/>
          <w:szCs w:val="22"/>
        </w:rPr>
        <w:t xml:space="preserve"> </w:t>
      </w:r>
      <w:r w:rsidRPr="008403F6">
        <w:rPr>
          <w:rFonts w:ascii="Bookman Old Style" w:hAnsi="Bookman Old Style" w:cs="Arial"/>
          <w:i/>
          <w:sz w:val="22"/>
          <w:szCs w:val="22"/>
        </w:rPr>
        <w:t>de más de 45 kg</w:t>
      </w:r>
      <w:r>
        <w:rPr>
          <w:rFonts w:ascii="Bookman Old Style" w:hAnsi="Bookman Old Style" w:cs="Arial"/>
          <w:i/>
          <w:sz w:val="22"/>
          <w:szCs w:val="22"/>
        </w:rPr>
        <w:t xml:space="preserve"> </w:t>
      </w:r>
      <w:r w:rsidRPr="008403F6">
        <w:rPr>
          <w:rFonts w:ascii="Bookman Old Style" w:hAnsi="Bookman Old Style" w:cs="Arial"/>
          <w:i/>
          <w:sz w:val="22"/>
          <w:szCs w:val="22"/>
        </w:rPr>
        <w:t xml:space="preserve">(100 </w:t>
      </w:r>
      <w:proofErr w:type="spellStart"/>
      <w:r w:rsidRPr="008403F6">
        <w:rPr>
          <w:rFonts w:ascii="Bookman Old Style" w:hAnsi="Bookman Old Style" w:cs="Arial"/>
          <w:i/>
          <w:sz w:val="22"/>
          <w:szCs w:val="22"/>
        </w:rPr>
        <w:t>Ib</w:t>
      </w:r>
      <w:proofErr w:type="spellEnd"/>
      <w:r w:rsidRPr="008403F6">
        <w:rPr>
          <w:rFonts w:ascii="Bookman Old Style" w:hAnsi="Bookman Old Style" w:cs="Arial"/>
          <w:i/>
          <w:sz w:val="22"/>
          <w:szCs w:val="22"/>
        </w:rPr>
        <w:t>), por lo cual consideramos que debe haber una diferencia en la toma de la información.</w:t>
      </w:r>
    </w:p>
    <w:p w:rsidR="008403F6" w:rsidRDefault="008403F6" w:rsidP="008403F6">
      <w:pPr>
        <w:ind w:left="284" w:right="284"/>
        <w:jc w:val="both"/>
        <w:rPr>
          <w:rFonts w:ascii="Bookman Old Style" w:hAnsi="Bookman Old Style" w:cs="Arial"/>
          <w:i/>
          <w:sz w:val="22"/>
          <w:szCs w:val="22"/>
        </w:rPr>
      </w:pPr>
    </w:p>
    <w:p w:rsidR="008403F6" w:rsidRDefault="008403F6" w:rsidP="008403F6">
      <w:pPr>
        <w:ind w:left="284" w:right="284"/>
        <w:jc w:val="both"/>
        <w:rPr>
          <w:rFonts w:ascii="Bookman Old Style" w:hAnsi="Bookman Old Style" w:cs="Arial"/>
          <w:i/>
          <w:sz w:val="22"/>
          <w:szCs w:val="22"/>
        </w:rPr>
      </w:pPr>
      <w:r>
        <w:rPr>
          <w:rFonts w:ascii="Bookman Old Style" w:hAnsi="Bookman Old Style" w:cs="Arial"/>
          <w:i/>
          <w:sz w:val="22"/>
          <w:szCs w:val="22"/>
        </w:rPr>
        <w:t>C</w:t>
      </w:r>
      <w:r w:rsidRPr="008403F6">
        <w:rPr>
          <w:rFonts w:ascii="Bookman Old Style" w:hAnsi="Bookman Old Style" w:cs="Arial"/>
          <w:i/>
          <w:sz w:val="22"/>
          <w:szCs w:val="22"/>
        </w:rPr>
        <w:t>omo soporte de las cifras presentadas por la empresa, adjuntamos el pantallazo generado al realizar</w:t>
      </w:r>
      <w:r>
        <w:rPr>
          <w:rFonts w:ascii="Bookman Old Style" w:hAnsi="Bookman Old Style" w:cs="Arial"/>
          <w:i/>
          <w:sz w:val="22"/>
          <w:szCs w:val="22"/>
        </w:rPr>
        <w:t xml:space="preserve"> la consulta en el aplicativo SUI de la SSPD el día 22 de junio de 2016</w:t>
      </w:r>
      <w:r w:rsidRPr="008403F6">
        <w:rPr>
          <w:rFonts w:ascii="Bookman Old Style" w:hAnsi="Bookman Old Style" w:cs="Arial"/>
          <w:i/>
          <w:sz w:val="22"/>
          <w:szCs w:val="22"/>
        </w:rPr>
        <w:t>.</w:t>
      </w:r>
    </w:p>
    <w:p w:rsidR="008403F6" w:rsidRPr="008403F6" w:rsidRDefault="008403F6" w:rsidP="008403F6">
      <w:pPr>
        <w:ind w:left="284" w:right="284"/>
        <w:jc w:val="both"/>
        <w:rPr>
          <w:rFonts w:ascii="Bookman Old Style" w:hAnsi="Bookman Old Style" w:cs="Arial"/>
          <w:i/>
          <w:sz w:val="22"/>
          <w:szCs w:val="22"/>
        </w:rPr>
      </w:pPr>
    </w:p>
    <w:p w:rsidR="008403F6" w:rsidRDefault="008403F6" w:rsidP="008403F6">
      <w:pPr>
        <w:ind w:left="284" w:right="284"/>
        <w:jc w:val="both"/>
        <w:rPr>
          <w:rFonts w:ascii="Bookman Old Style" w:hAnsi="Bookman Old Style" w:cs="Arial"/>
          <w:i/>
          <w:sz w:val="22"/>
          <w:szCs w:val="22"/>
        </w:rPr>
      </w:pPr>
      <w:r>
        <w:rPr>
          <w:rFonts w:ascii="Bookman Old Style" w:hAnsi="Bookman Old Style" w:cs="Arial"/>
          <w:i/>
          <w:sz w:val="22"/>
          <w:szCs w:val="22"/>
        </w:rPr>
        <w:t>F</w:t>
      </w:r>
      <w:r w:rsidRPr="008403F6">
        <w:rPr>
          <w:rFonts w:ascii="Bookman Old Style" w:hAnsi="Bookman Old Style" w:cs="Arial"/>
          <w:i/>
          <w:sz w:val="22"/>
          <w:szCs w:val="22"/>
        </w:rPr>
        <w:t>inalme</w:t>
      </w:r>
      <w:r>
        <w:rPr>
          <w:rFonts w:ascii="Bookman Old Style" w:hAnsi="Bookman Old Style" w:cs="Arial"/>
          <w:i/>
          <w:sz w:val="22"/>
          <w:szCs w:val="22"/>
        </w:rPr>
        <w:t>nte,</w:t>
      </w:r>
      <w:r w:rsidRPr="008403F6">
        <w:rPr>
          <w:rFonts w:ascii="Bookman Old Style" w:hAnsi="Bookman Old Style" w:cs="Arial"/>
          <w:i/>
          <w:sz w:val="22"/>
          <w:szCs w:val="22"/>
        </w:rPr>
        <w:t xml:space="preserve"> respecto de los tanques estacionarios, en el punto</w:t>
      </w:r>
      <w:r>
        <w:rPr>
          <w:rFonts w:ascii="Bookman Old Style" w:hAnsi="Bookman Old Style" w:cs="Arial"/>
          <w:i/>
          <w:sz w:val="22"/>
          <w:szCs w:val="22"/>
        </w:rPr>
        <w:t xml:space="preserve"> </w:t>
      </w:r>
      <w:r w:rsidRPr="008403F6">
        <w:rPr>
          <w:rFonts w:ascii="Bookman Old Style" w:hAnsi="Bookman Old Style" w:cs="Arial"/>
          <w:i/>
          <w:sz w:val="22"/>
          <w:szCs w:val="22"/>
        </w:rPr>
        <w:t>4</w:t>
      </w:r>
      <w:r>
        <w:rPr>
          <w:rFonts w:ascii="Bookman Old Style" w:hAnsi="Bookman Old Style" w:cs="Arial"/>
          <w:i/>
          <w:sz w:val="22"/>
          <w:szCs w:val="22"/>
        </w:rPr>
        <w:t xml:space="preserve"> </w:t>
      </w:r>
      <w:r w:rsidRPr="008403F6">
        <w:rPr>
          <w:rFonts w:ascii="Bookman Old Style" w:hAnsi="Bookman Old Style" w:cs="Arial"/>
          <w:i/>
          <w:sz w:val="22"/>
          <w:szCs w:val="22"/>
        </w:rPr>
        <w:t>del anexo de la Resolución GREG 075</w:t>
      </w:r>
      <w:r>
        <w:rPr>
          <w:rFonts w:ascii="Bookman Old Style" w:hAnsi="Bookman Old Style" w:cs="Arial"/>
          <w:i/>
          <w:sz w:val="22"/>
          <w:szCs w:val="22"/>
        </w:rPr>
        <w:t xml:space="preserve"> </w:t>
      </w:r>
      <w:r w:rsidRPr="008403F6">
        <w:rPr>
          <w:rFonts w:ascii="Bookman Old Style" w:hAnsi="Bookman Old Style" w:cs="Arial"/>
          <w:i/>
          <w:sz w:val="22"/>
          <w:szCs w:val="22"/>
        </w:rPr>
        <w:t>de 2016</w:t>
      </w:r>
      <w:r>
        <w:rPr>
          <w:rFonts w:ascii="Bookman Old Style" w:hAnsi="Bookman Old Style" w:cs="Arial"/>
          <w:i/>
          <w:sz w:val="22"/>
          <w:szCs w:val="22"/>
        </w:rPr>
        <w:t xml:space="preserve"> </w:t>
      </w:r>
      <w:r w:rsidRPr="008403F6">
        <w:rPr>
          <w:rFonts w:ascii="Bookman Old Style" w:hAnsi="Bookman Old Style" w:cs="Arial"/>
          <w:i/>
          <w:sz w:val="22"/>
          <w:szCs w:val="22"/>
        </w:rPr>
        <w:t>se r</w:t>
      </w:r>
      <w:r>
        <w:rPr>
          <w:rFonts w:ascii="Bookman Old Style" w:hAnsi="Bookman Old Style" w:cs="Arial"/>
          <w:i/>
          <w:sz w:val="22"/>
          <w:szCs w:val="22"/>
        </w:rPr>
        <w:t>elacionan como reportados al SUI</w:t>
      </w:r>
      <w:r w:rsidRPr="008403F6">
        <w:rPr>
          <w:rFonts w:ascii="Bookman Old Style" w:hAnsi="Bookman Old Style" w:cs="Arial"/>
          <w:i/>
          <w:sz w:val="22"/>
          <w:szCs w:val="22"/>
        </w:rPr>
        <w:t xml:space="preserve"> 586 tanques estacionarios, cuando</w:t>
      </w:r>
      <w:r w:rsidRPr="008403F6">
        <w:t xml:space="preserve"> </w:t>
      </w:r>
      <w:r w:rsidRPr="008403F6">
        <w:rPr>
          <w:rFonts w:ascii="Bookman Old Style" w:hAnsi="Bookman Old Style" w:cs="Arial"/>
          <w:i/>
          <w:sz w:val="22"/>
          <w:szCs w:val="22"/>
        </w:rPr>
        <w:t>según información reportada a diciembre 31 de 2015, acorde con lo solicitado en la Circular SSPD-CREG 001 del 2 de agosto de 2003, se cargaron 633 tanques estacionarios así:</w:t>
      </w:r>
    </w:p>
    <w:p w:rsidR="008403F6" w:rsidRDefault="008403F6" w:rsidP="008403F6">
      <w:pPr>
        <w:ind w:left="284"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843"/>
        <w:gridCol w:w="2429"/>
      </w:tblGrid>
      <w:tr w:rsidR="008403F6" w:rsidRPr="0003034D" w:rsidTr="00A13D07">
        <w:trPr>
          <w:trHeight w:hRule="exact" w:val="662"/>
          <w:jc w:val="center"/>
        </w:trPr>
        <w:tc>
          <w:tcPr>
            <w:tcW w:w="1843" w:type="dxa"/>
            <w:tcBorders>
              <w:top w:val="single" w:sz="4" w:space="0" w:color="auto"/>
              <w:left w:val="single" w:sz="4" w:space="0" w:color="auto"/>
              <w:bottom w:val="single" w:sz="4" w:space="0" w:color="auto"/>
              <w:right w:val="nil"/>
            </w:tcBorders>
            <w:shd w:val="clear" w:color="auto" w:fill="FFFFFF"/>
            <w:vAlign w:val="bottom"/>
          </w:tcPr>
          <w:p w:rsidR="008403F6" w:rsidRPr="0003034D" w:rsidRDefault="008403F6" w:rsidP="008403F6">
            <w:pPr>
              <w:pStyle w:val="Style9"/>
              <w:shd w:val="clear" w:color="auto" w:fill="auto"/>
              <w:spacing w:after="120" w:line="200" w:lineRule="exact"/>
              <w:ind w:firstLine="0"/>
              <w:jc w:val="center"/>
              <w:rPr>
                <w:rFonts w:ascii="Bookman Old Style" w:hAnsi="Bookman Old Style"/>
                <w:sz w:val="18"/>
                <w:szCs w:val="18"/>
              </w:rPr>
            </w:pPr>
            <w:r w:rsidRPr="0003034D">
              <w:rPr>
                <w:rStyle w:val="CharStyle23"/>
                <w:rFonts w:ascii="Bookman Old Style" w:hAnsi="Bookman Old Style"/>
                <w:color w:val="000000"/>
                <w:sz w:val="18"/>
                <w:szCs w:val="18"/>
                <w:lang w:eastAsia="es-ES_tradnl"/>
              </w:rPr>
              <w:t>Capacidad</w:t>
            </w:r>
          </w:p>
          <w:p w:rsidR="008403F6" w:rsidRPr="0003034D" w:rsidRDefault="008403F6" w:rsidP="008403F6">
            <w:pPr>
              <w:pStyle w:val="Style9"/>
              <w:shd w:val="clear" w:color="auto" w:fill="auto"/>
              <w:spacing w:before="120" w:line="200" w:lineRule="exact"/>
              <w:ind w:firstLine="0"/>
              <w:jc w:val="center"/>
              <w:rPr>
                <w:rFonts w:ascii="Bookman Old Style" w:hAnsi="Bookman Old Style"/>
                <w:sz w:val="18"/>
                <w:szCs w:val="18"/>
              </w:rPr>
            </w:pPr>
            <w:r w:rsidRPr="0003034D">
              <w:rPr>
                <w:rStyle w:val="CharStyle23"/>
                <w:rFonts w:ascii="Bookman Old Style" w:hAnsi="Bookman Old Style"/>
                <w:color w:val="000000"/>
                <w:sz w:val="18"/>
                <w:szCs w:val="18"/>
                <w:lang w:eastAsia="es-ES_tradnl"/>
              </w:rPr>
              <w:t>(galones)</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bottom"/>
          </w:tcPr>
          <w:p w:rsidR="008403F6" w:rsidRPr="0003034D" w:rsidRDefault="008403F6" w:rsidP="008403F6">
            <w:pPr>
              <w:pStyle w:val="Style9"/>
              <w:shd w:val="clear" w:color="auto" w:fill="auto"/>
              <w:spacing w:line="317" w:lineRule="exact"/>
              <w:ind w:firstLine="0"/>
              <w:rPr>
                <w:rFonts w:ascii="Bookman Old Style" w:hAnsi="Bookman Old Style"/>
                <w:sz w:val="18"/>
                <w:szCs w:val="18"/>
              </w:rPr>
            </w:pPr>
            <w:r w:rsidRPr="0003034D">
              <w:rPr>
                <w:rStyle w:val="CharStyle23"/>
                <w:rFonts w:ascii="Bookman Old Style" w:hAnsi="Bookman Old Style"/>
                <w:color w:val="000000"/>
                <w:sz w:val="18"/>
                <w:szCs w:val="18"/>
                <w:lang w:eastAsia="es-ES_tradnl"/>
              </w:rPr>
              <w:t>Cantidad de tanques reportados en el SUI</w:t>
            </w:r>
          </w:p>
        </w:tc>
      </w:tr>
      <w:tr w:rsidR="008403F6" w:rsidRPr="0003034D" w:rsidTr="00A13D07">
        <w:trPr>
          <w:trHeight w:hRule="exact" w:val="346"/>
          <w:jc w:val="center"/>
        </w:trPr>
        <w:tc>
          <w:tcPr>
            <w:tcW w:w="1843" w:type="dxa"/>
            <w:tcBorders>
              <w:top w:val="single" w:sz="4" w:space="0" w:color="auto"/>
              <w:left w:val="single" w:sz="4" w:space="0" w:color="auto"/>
              <w:bottom w:val="single" w:sz="4" w:space="0" w:color="auto"/>
              <w:right w:val="nil"/>
            </w:tcBorders>
            <w:shd w:val="clear" w:color="auto" w:fill="FFFFFF"/>
          </w:tcPr>
          <w:p w:rsidR="008403F6" w:rsidRPr="0003034D" w:rsidRDefault="008403F6" w:rsidP="008403F6">
            <w:pPr>
              <w:pStyle w:val="Style9"/>
              <w:shd w:val="clear" w:color="auto" w:fill="auto"/>
              <w:spacing w:line="200" w:lineRule="exact"/>
              <w:ind w:left="140" w:firstLine="0"/>
              <w:jc w:val="left"/>
              <w:rPr>
                <w:rFonts w:ascii="Bookman Old Style" w:hAnsi="Bookman Old Style"/>
                <w:sz w:val="18"/>
                <w:szCs w:val="18"/>
              </w:rPr>
            </w:pPr>
            <w:r w:rsidRPr="0003034D">
              <w:rPr>
                <w:rStyle w:val="CharStyle23"/>
                <w:rFonts w:ascii="Bookman Old Style" w:hAnsi="Bookman Old Style"/>
                <w:color w:val="000000"/>
                <w:sz w:val="18"/>
                <w:szCs w:val="18"/>
                <w:lang w:eastAsia="es-ES_tradnl"/>
              </w:rPr>
              <w:t>Total</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403F6" w:rsidRPr="0003034D" w:rsidRDefault="008403F6" w:rsidP="008403F6">
            <w:pPr>
              <w:pStyle w:val="Style9"/>
              <w:shd w:val="clear" w:color="auto" w:fill="auto"/>
              <w:spacing w:line="200" w:lineRule="exact"/>
              <w:ind w:firstLine="0"/>
              <w:jc w:val="center"/>
              <w:rPr>
                <w:rFonts w:ascii="Bookman Old Style" w:hAnsi="Bookman Old Style"/>
                <w:sz w:val="18"/>
                <w:szCs w:val="18"/>
              </w:rPr>
            </w:pPr>
            <w:r w:rsidRPr="0003034D">
              <w:rPr>
                <w:rStyle w:val="CharStyle23"/>
                <w:rFonts w:ascii="Bookman Old Style" w:hAnsi="Bookman Old Style"/>
                <w:color w:val="000000"/>
                <w:sz w:val="18"/>
                <w:szCs w:val="18"/>
                <w:lang w:eastAsia="es-ES_tradnl"/>
              </w:rPr>
              <w:t>633</w:t>
            </w:r>
          </w:p>
        </w:tc>
      </w:tr>
    </w:tbl>
    <w:p w:rsidR="008403F6" w:rsidRDefault="008403F6" w:rsidP="008403F6">
      <w:pPr>
        <w:ind w:left="284" w:right="284"/>
        <w:jc w:val="both"/>
        <w:rPr>
          <w:rFonts w:ascii="Bookman Old Style" w:hAnsi="Bookman Old Style" w:cs="Arial"/>
          <w:i/>
          <w:sz w:val="22"/>
          <w:szCs w:val="22"/>
        </w:rPr>
      </w:pPr>
    </w:p>
    <w:p w:rsidR="0045042D" w:rsidRPr="00EC3BB2" w:rsidRDefault="0003034D" w:rsidP="0003034D">
      <w:pPr>
        <w:ind w:left="284" w:right="284"/>
        <w:jc w:val="both"/>
        <w:rPr>
          <w:rFonts w:ascii="Bookman Old Style" w:hAnsi="Bookman Old Style" w:cs="Arial"/>
          <w:i/>
          <w:sz w:val="22"/>
          <w:szCs w:val="22"/>
        </w:rPr>
      </w:pPr>
      <w:r w:rsidRPr="0003034D">
        <w:rPr>
          <w:rFonts w:ascii="Bookman Old Style" w:hAnsi="Bookman Old Style" w:cs="Arial"/>
          <w:i/>
          <w:sz w:val="22"/>
          <w:szCs w:val="22"/>
        </w:rPr>
        <w:t>Como soporte de esto, adjuntamos el pantallazo generado al realizar la consulta en el aplicativo SUI de la SSPD, el día 22 de junio de 2016.</w:t>
      </w:r>
      <w:r w:rsidR="0045042D" w:rsidRPr="00EC3BB2">
        <w:rPr>
          <w:rFonts w:ascii="Bookman Old Style" w:hAnsi="Bookman Old Style" w:cs="Arial"/>
          <w:i/>
          <w:sz w:val="22"/>
          <w:szCs w:val="22"/>
        </w:rPr>
        <w:t>”</w:t>
      </w:r>
    </w:p>
    <w:p w:rsidR="00B36712" w:rsidRPr="0045042D" w:rsidRDefault="00B36712" w:rsidP="0045042D">
      <w:pPr>
        <w:pStyle w:val="Textoindependiente2"/>
        <w:spacing w:after="0" w:line="240" w:lineRule="auto"/>
        <w:ind w:left="-142" w:right="-142"/>
        <w:jc w:val="both"/>
        <w:rPr>
          <w:rFonts w:ascii="Bookman Old Style" w:hAnsi="Bookman Old Style"/>
          <w:szCs w:val="27"/>
        </w:rPr>
      </w:pPr>
    </w:p>
    <w:p w:rsidR="00B16D10" w:rsidRPr="005A0D57" w:rsidRDefault="0045042D" w:rsidP="0003034D">
      <w:pPr>
        <w:pStyle w:val="Textoindependiente2"/>
        <w:spacing w:after="0" w:line="240" w:lineRule="auto"/>
        <w:ind w:left="-142" w:right="-142"/>
        <w:jc w:val="both"/>
        <w:rPr>
          <w:rFonts w:ascii="Bookman Old Style" w:hAnsi="Bookman Old Style"/>
          <w:i/>
          <w:sz w:val="22"/>
          <w:szCs w:val="22"/>
        </w:rPr>
      </w:pPr>
      <w:r>
        <w:rPr>
          <w:rFonts w:ascii="Bookman Old Style" w:hAnsi="Bookman Old Style"/>
          <w:szCs w:val="27"/>
        </w:rPr>
        <w:t xml:space="preserve">Adicionalmente </w:t>
      </w:r>
      <w:r w:rsidR="00B16D10">
        <w:rPr>
          <w:rFonts w:ascii="Bookman Old Style" w:hAnsi="Bookman Old Style"/>
          <w:szCs w:val="27"/>
        </w:rPr>
        <w:t xml:space="preserve">solicita que se tenga como prueba </w:t>
      </w:r>
      <w:r w:rsidR="0003034D">
        <w:rPr>
          <w:rFonts w:ascii="Bookman Old Style" w:hAnsi="Bookman Old Style"/>
          <w:szCs w:val="27"/>
        </w:rPr>
        <w:t xml:space="preserve">copia de facturas y soportes de reporte y cargue de información al Sistema Único de Información – SUI de la Superintendencia de Servicios Públicos Domiciliarios.  </w:t>
      </w:r>
    </w:p>
    <w:p w:rsidR="0045042D" w:rsidRPr="0045042D" w:rsidRDefault="0045042D" w:rsidP="00D126E3">
      <w:pPr>
        <w:widowControl w:val="0"/>
        <w:tabs>
          <w:tab w:val="right" w:pos="9498"/>
        </w:tabs>
        <w:adjustRightInd w:val="0"/>
        <w:ind w:left="0" w:right="-142"/>
        <w:jc w:val="both"/>
        <w:rPr>
          <w:rFonts w:ascii="Bookman Old Style" w:hAnsi="Bookman Old Style" w:cs="Arial"/>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de </w:t>
      </w:r>
      <w:r w:rsidR="0003034D">
        <w:rPr>
          <w:rFonts w:ascii="Bookman Old Style" w:hAnsi="Bookman Old Style"/>
          <w:szCs w:val="27"/>
        </w:rPr>
        <w:t xml:space="preserve">cilindros y </w:t>
      </w:r>
      <w:r w:rsidR="004D7892">
        <w:rPr>
          <w:rFonts w:ascii="Bookman Old Style" w:hAnsi="Bookman Old Style"/>
          <w:szCs w:val="27"/>
        </w:rPr>
        <w:t>tanques estacionarios</w:t>
      </w:r>
      <w:r w:rsidRPr="00EE6670">
        <w:rPr>
          <w:rFonts w:ascii="Bookman Old Style" w:hAnsi="Bookman Old Style"/>
          <w:szCs w:val="27"/>
        </w:rPr>
        <w:t xml:space="preserve"> efectivamente reportados por </w:t>
      </w:r>
      <w:r w:rsidR="00B13E0A">
        <w:rPr>
          <w:rFonts w:ascii="Bookman Old Style" w:hAnsi="Bookman Old Style"/>
          <w:szCs w:val="27"/>
        </w:rPr>
        <w:t xml:space="preserve">Gas </w:t>
      </w:r>
      <w:r w:rsidR="0003034D">
        <w:rPr>
          <w:rFonts w:ascii="Bookman Old Style" w:hAnsi="Bookman Old Style"/>
          <w:szCs w:val="27"/>
        </w:rPr>
        <w:t>Neiva</w:t>
      </w:r>
      <w:r w:rsidR="00B13E0A">
        <w:rPr>
          <w:rFonts w:ascii="Bookman Old Style" w:hAnsi="Bookman Old Style"/>
          <w:szCs w:val="27"/>
        </w:rPr>
        <w:t xml:space="preserve">, </w:t>
      </w:r>
      <w:r w:rsidR="004D7892">
        <w:rPr>
          <w:rFonts w:ascii="Bookman Old Style" w:hAnsi="Bookman Old Style"/>
          <w:szCs w:val="27"/>
        </w:rPr>
        <w:t>esta Comisión de acuerdo con las</w:t>
      </w:r>
      <w:r w:rsidRPr="00EE6670">
        <w:rPr>
          <w:rFonts w:ascii="Bookman Old Style" w:hAnsi="Bookman Old Style"/>
          <w:szCs w:val="27"/>
        </w:rPr>
        <w:t xml:space="preserve"> </w:t>
      </w:r>
      <w:r w:rsidRPr="00EE6670">
        <w:rPr>
          <w:rFonts w:ascii="Bookman Old Style" w:hAnsi="Bookman Old Style"/>
          <w:szCs w:val="27"/>
        </w:rPr>
        <w:lastRenderedPageBreak/>
        <w:t xml:space="preserve">facultades </w:t>
      </w:r>
      <w:r w:rsidR="004D7892">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w:t>
      </w:r>
      <w:r w:rsidRPr="00EE6670">
        <w:rPr>
          <w:rFonts w:ascii="Bookman Old Style" w:hAnsi="Bookman Old Style"/>
          <w:szCs w:val="27"/>
        </w:rPr>
        <w:lastRenderedPageBreak/>
        <w:t>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DF5273" w:rsidRDefault="00EE6670" w:rsidP="00DF5273">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w:t>
      </w:r>
      <w:proofErr w:type="gramStart"/>
      <w:r w:rsidRPr="00EE6670">
        <w:rPr>
          <w:rFonts w:ascii="Bookman Old Style" w:hAnsi="Bookman Old Style"/>
          <w:szCs w:val="27"/>
        </w:rPr>
        <w:t>previsto  informando</w:t>
      </w:r>
      <w:proofErr w:type="gramEnd"/>
      <w:r w:rsidRPr="00EE6670">
        <w:rPr>
          <w:rFonts w:ascii="Bookman Old Style" w:hAnsi="Bookman Old Style"/>
          <w:szCs w:val="27"/>
        </w:rPr>
        <w:t xml:space="preserve"> de esta situación a la Superintendencia de Servicios Públicos </w:t>
      </w:r>
      <w:r w:rsidR="00DF5273">
        <w:rPr>
          <w:rFonts w:ascii="Bookman Old Style" w:hAnsi="Bookman Old Style"/>
          <w:szCs w:val="27"/>
        </w:rPr>
        <w:t xml:space="preserve">Domiciliarios.  </w:t>
      </w:r>
    </w:p>
    <w:p w:rsidR="00DF5273" w:rsidRDefault="00DF5273" w:rsidP="00DF5273">
      <w:pPr>
        <w:pStyle w:val="Textoindependiente2"/>
        <w:spacing w:after="0" w:line="240" w:lineRule="auto"/>
        <w:ind w:left="-142" w:right="-142"/>
        <w:jc w:val="both"/>
        <w:rPr>
          <w:rFonts w:ascii="Bookman Old Style" w:hAnsi="Bookman Old Style"/>
          <w:szCs w:val="27"/>
        </w:rPr>
      </w:pPr>
    </w:p>
    <w:p w:rsidR="00EE6670" w:rsidRDefault="00DF5273" w:rsidP="00DF5273">
      <w:pPr>
        <w:pStyle w:val="Textoindependiente2"/>
        <w:spacing w:after="0" w:line="240" w:lineRule="auto"/>
        <w:ind w:left="-142" w:right="-142"/>
        <w:jc w:val="both"/>
        <w:rPr>
          <w:rFonts w:ascii="Bookman Old Style" w:hAnsi="Bookman Old Style"/>
          <w:szCs w:val="27"/>
        </w:rPr>
      </w:pPr>
      <w:r w:rsidRPr="00DF5273">
        <w:rPr>
          <w:rFonts w:ascii="Bookman Old Style" w:hAnsi="Bookman Old Style"/>
          <w:szCs w:val="27"/>
        </w:rPr>
        <w:t xml:space="preserve">Mediante oficio con radicado CREG E-2016-010390 de 23 de septiembre de 2016 la Superintendencia de Servicios Públicos </w:t>
      </w:r>
      <w:proofErr w:type="gramStart"/>
      <w:r w:rsidRPr="00DF5273">
        <w:rPr>
          <w:rFonts w:ascii="Bookman Old Style" w:hAnsi="Bookman Old Style"/>
          <w:szCs w:val="27"/>
        </w:rPr>
        <w:t>Domiciliarios  a</w:t>
      </w:r>
      <w:proofErr w:type="gramEnd"/>
      <w:r w:rsidRPr="00DF5273">
        <w:rPr>
          <w:rFonts w:ascii="Bookman Old Style" w:hAnsi="Bookman Old Style"/>
          <w:szCs w:val="27"/>
        </w:rPr>
        <w:t xml:space="preserve">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Gas </w:t>
      </w:r>
      <w:r w:rsidR="006D1E4D">
        <w:rPr>
          <w:rFonts w:ascii="Bookman Old Style" w:hAnsi="Bookman Old Style"/>
          <w:szCs w:val="27"/>
        </w:rPr>
        <w:t>Neiva</w:t>
      </w:r>
      <w:r w:rsidRPr="00DF5273">
        <w:rPr>
          <w:rFonts w:ascii="Bookman Old Style" w:hAnsi="Bookman Old Style"/>
          <w:szCs w:val="27"/>
        </w:rPr>
        <w:t xml:space="preserve"> en su recurso frente a la Resolución CREG 075 de 2016.</w:t>
      </w:r>
    </w:p>
    <w:p w:rsidR="00DF5273" w:rsidRPr="00DF5273" w:rsidRDefault="00DF5273" w:rsidP="00DF5273">
      <w:pPr>
        <w:pStyle w:val="Textoindependiente2"/>
        <w:spacing w:after="0" w:line="240" w:lineRule="auto"/>
        <w:ind w:left="-142" w:right="-142"/>
        <w:jc w:val="both"/>
        <w:rPr>
          <w:rFonts w:ascii="Bookman Old Style" w:hAnsi="Bookman Old Style"/>
          <w:szCs w:val="27"/>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521349" w:rsidRDefault="00380F4F" w:rsidP="00C7517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w:t>
      </w:r>
      <w:r w:rsidR="00521349">
        <w:rPr>
          <w:rFonts w:ascii="Bookman Old Style" w:hAnsi="Bookman Old Style"/>
          <w:szCs w:val="27"/>
        </w:rPr>
        <w:t>075</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4D7892">
        <w:rPr>
          <w:rFonts w:ascii="Bookman Old Style" w:hAnsi="Bookman Old Style"/>
          <w:szCs w:val="27"/>
        </w:rPr>
        <w:t xml:space="preserve">Gas </w:t>
      </w:r>
      <w:r w:rsidR="0003034D">
        <w:rPr>
          <w:rFonts w:ascii="Bookman Old Style" w:hAnsi="Bookman Old Style"/>
          <w:szCs w:val="27"/>
        </w:rPr>
        <w:t>Neiva</w:t>
      </w:r>
      <w:r>
        <w:rPr>
          <w:rFonts w:ascii="Bookman Old Style" w:hAnsi="Bookman Old Style"/>
          <w:szCs w:val="27"/>
        </w:rPr>
        <w:t xml:space="preserve">, </w:t>
      </w:r>
      <w:r w:rsidR="00521349">
        <w:rPr>
          <w:rFonts w:ascii="Bookman Old Style" w:hAnsi="Bookman Old Style"/>
          <w:szCs w:val="27"/>
        </w:rPr>
        <w:t>en la medida que esta empresa advierte una diferencia en la información reportada en el Sistema Único de Información – SUI, utilizada por esta Comisión para efectos de llevar a cabo la definición de la capacidad de compra</w:t>
      </w:r>
      <w:r w:rsidR="00C7517C">
        <w:rPr>
          <w:rFonts w:ascii="Bookman Old Style" w:hAnsi="Bookman Old Style"/>
          <w:szCs w:val="27"/>
        </w:rPr>
        <w:t xml:space="preserve">, </w:t>
      </w:r>
      <w:r w:rsidR="00C7517C" w:rsidRPr="00C7517C">
        <w:rPr>
          <w:rFonts w:ascii="Bookman Old Style" w:hAnsi="Bookman Old Style"/>
          <w:szCs w:val="27"/>
        </w:rPr>
        <w:t xml:space="preserve">en particular respecto </w:t>
      </w:r>
      <w:r w:rsidR="00B13E0A">
        <w:rPr>
          <w:rFonts w:ascii="Bookman Old Style" w:hAnsi="Bookman Old Style"/>
          <w:szCs w:val="27"/>
        </w:rPr>
        <w:t xml:space="preserve">del número de </w:t>
      </w:r>
      <w:r w:rsidR="0003034D">
        <w:rPr>
          <w:rFonts w:ascii="Bookman Old Style" w:hAnsi="Bookman Old Style"/>
          <w:szCs w:val="27"/>
        </w:rPr>
        <w:t xml:space="preserve">cilindros y </w:t>
      </w:r>
      <w:r w:rsidR="00B13E0A">
        <w:rPr>
          <w:rFonts w:ascii="Bookman Old Style" w:hAnsi="Bookman Old Style"/>
          <w:szCs w:val="27"/>
        </w:rPr>
        <w:t>tanques reportados al SUI</w:t>
      </w:r>
      <w:r w:rsidR="00521349">
        <w:rPr>
          <w:rFonts w:ascii="Bookman Old Style" w:hAnsi="Bookman Old Style"/>
          <w:szCs w:val="27"/>
        </w:rPr>
        <w:t>.</w:t>
      </w:r>
    </w:p>
    <w:p w:rsidR="00521349" w:rsidRDefault="00521349" w:rsidP="00090E52">
      <w:pPr>
        <w:pStyle w:val="Textoindependiente2"/>
        <w:spacing w:after="0" w:line="240" w:lineRule="auto"/>
        <w:ind w:left="-142" w:right="-142"/>
        <w:jc w:val="both"/>
        <w:rPr>
          <w:rFonts w:ascii="Bookman Old Style" w:hAnsi="Bookman Old Style"/>
          <w:szCs w:val="27"/>
        </w:rPr>
      </w:pPr>
    </w:p>
    <w:p w:rsidR="00AF57EF" w:rsidRPr="00AF57EF" w:rsidRDefault="00AF57EF" w:rsidP="00AF57EF">
      <w:pPr>
        <w:ind w:left="-142" w:right="-142"/>
        <w:jc w:val="both"/>
        <w:rPr>
          <w:rFonts w:ascii="Bookman Old Style" w:hAnsi="Bookman Old Style"/>
          <w:szCs w:val="27"/>
        </w:rPr>
      </w:pPr>
      <w:r w:rsidRPr="00AF57EF">
        <w:rPr>
          <w:rFonts w:ascii="Bookman Old Style" w:hAnsi="Bookman Old Style"/>
          <w:szCs w:val="27"/>
        </w:rPr>
        <w:t>Frente a la información remitida a esta Comisión en atención a los autos de prueba decretados, la Superintendencia de Servicios Públicos Domiciliarios informa lo siguiente</w:t>
      </w:r>
      <w:r w:rsidRPr="00AF57EF">
        <w:rPr>
          <w:rFonts w:ascii="Bookman Old Style" w:hAnsi="Bookman Old Style"/>
          <w:szCs w:val="27"/>
          <w:vertAlign w:val="superscript"/>
        </w:rPr>
        <w:footnoteReference w:id="5"/>
      </w:r>
      <w:r w:rsidRPr="00AF57EF">
        <w:rPr>
          <w:rFonts w:ascii="Bookman Old Style" w:hAnsi="Bookman Old Style"/>
          <w:szCs w:val="27"/>
        </w:rPr>
        <w:t>:</w:t>
      </w:r>
    </w:p>
    <w:p w:rsidR="00521349" w:rsidRDefault="00AF57EF" w:rsidP="00AF57EF">
      <w:pPr>
        <w:pStyle w:val="Textoindependiente2"/>
        <w:spacing w:after="0" w:line="240" w:lineRule="auto"/>
        <w:ind w:left="-142" w:right="-142"/>
        <w:jc w:val="center"/>
        <w:rPr>
          <w:rFonts w:ascii="Bookman Old Style" w:hAnsi="Bookman Old Style"/>
          <w:szCs w:val="27"/>
        </w:rPr>
      </w:pPr>
      <w:r>
        <w:rPr>
          <w:rFonts w:ascii="Bookman Old Style" w:hAnsi="Bookman Old Style"/>
          <w:szCs w:val="27"/>
        </w:rPr>
        <w:br/>
      </w:r>
      <w:r w:rsidR="00ED3C36" w:rsidRPr="00AF57EF">
        <w:rPr>
          <w:rFonts w:ascii="Bookman Old Style" w:hAnsi="Bookman Old Style"/>
          <w:noProof/>
          <w:szCs w:val="27"/>
          <w:lang w:val="es-CO" w:eastAsia="es-CO"/>
        </w:rPr>
        <w:drawing>
          <wp:inline distT="0" distB="0" distL="0" distR="0">
            <wp:extent cx="5848350" cy="268605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2686050"/>
                    </a:xfrm>
                    <a:prstGeom prst="rect">
                      <a:avLst/>
                    </a:prstGeom>
                    <a:noFill/>
                    <a:ln>
                      <a:noFill/>
                    </a:ln>
                  </pic:spPr>
                </pic:pic>
              </a:graphicData>
            </a:graphic>
          </wp:inline>
        </w:drawing>
      </w:r>
    </w:p>
    <w:p w:rsidR="00AF57EF" w:rsidRDefault="00ED3C36" w:rsidP="00AF57EF">
      <w:pPr>
        <w:pStyle w:val="Textoindependiente2"/>
        <w:spacing w:after="0" w:line="240" w:lineRule="auto"/>
        <w:ind w:left="-142" w:right="-142"/>
        <w:jc w:val="center"/>
        <w:rPr>
          <w:rFonts w:ascii="Bookman Old Style" w:hAnsi="Bookman Old Style"/>
          <w:szCs w:val="27"/>
        </w:rPr>
      </w:pPr>
      <w:r w:rsidRPr="00AF57EF">
        <w:rPr>
          <w:rFonts w:ascii="Bookman Old Style" w:hAnsi="Bookman Old Style"/>
          <w:noProof/>
          <w:szCs w:val="27"/>
          <w:lang w:val="es-CO" w:eastAsia="es-CO"/>
        </w:rPr>
        <w:lastRenderedPageBreak/>
        <w:drawing>
          <wp:inline distT="0" distB="0" distL="0" distR="0">
            <wp:extent cx="5943600" cy="1009650"/>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p w:rsidR="00B1074B" w:rsidRPr="00EE6670" w:rsidRDefault="00B1074B" w:rsidP="00B1074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dentro del Auto de pruebas </w:t>
      </w:r>
      <w:r w:rsidRPr="00EE6670">
        <w:rPr>
          <w:rFonts w:ascii="Bookman Old Style" w:hAnsi="Bookman Old Style"/>
          <w:szCs w:val="27"/>
        </w:rPr>
        <w:t xml:space="preserve">Auto I-2016-003755 </w:t>
      </w:r>
      <w:r>
        <w:rPr>
          <w:rFonts w:ascii="Bookman Old Style" w:hAnsi="Bookman Old Style"/>
          <w:szCs w:val="27"/>
        </w:rPr>
        <w:t>esta Comisión manifestó</w:t>
      </w:r>
      <w:r w:rsidRPr="00EE6670">
        <w:rPr>
          <w:rFonts w:ascii="Bookman Old Style" w:hAnsi="Bookman Old Style"/>
          <w:szCs w:val="27"/>
        </w:rPr>
        <w:t xml:space="preserve"> lo siguiente: </w:t>
      </w:r>
    </w:p>
    <w:p w:rsidR="00B1074B" w:rsidRPr="00EE6670" w:rsidRDefault="00B1074B" w:rsidP="00B1074B">
      <w:pPr>
        <w:ind w:left="284" w:right="284"/>
        <w:jc w:val="both"/>
        <w:rPr>
          <w:rFonts w:ascii="Bookman Old Style" w:hAnsi="Bookman Old Style" w:cs="Arial"/>
          <w:i/>
          <w:sz w:val="22"/>
          <w:szCs w:val="22"/>
        </w:rPr>
      </w:pPr>
    </w:p>
    <w:p w:rsidR="00B1074B" w:rsidRPr="00EE6670" w:rsidRDefault="00B1074B" w:rsidP="00B1074B">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B1074B" w:rsidRPr="00EE6670" w:rsidRDefault="00B1074B" w:rsidP="00B1074B">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B1074B" w:rsidRPr="006B1C94" w:rsidTr="004D1872">
        <w:trPr>
          <w:jc w:val="center"/>
        </w:trPr>
        <w:tc>
          <w:tcPr>
            <w:tcW w:w="2408" w:type="dxa"/>
            <w:shd w:val="clear" w:color="auto" w:fill="auto"/>
            <w:vAlign w:val="center"/>
          </w:tcPr>
          <w:p w:rsidR="00B1074B" w:rsidRPr="006B1C94" w:rsidRDefault="00B1074B" w:rsidP="004D1872">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B1074B" w:rsidRPr="006B1C94" w:rsidRDefault="00B1074B" w:rsidP="004D1872">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B1074B" w:rsidRPr="006B1C94" w:rsidRDefault="00B1074B" w:rsidP="004D1872">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B1074B" w:rsidRDefault="00B1074B" w:rsidP="00B1074B">
      <w:pPr>
        <w:pStyle w:val="Textoindependiente"/>
        <w:rPr>
          <w:sz w:val="22"/>
          <w:szCs w:val="22"/>
        </w:rPr>
      </w:pPr>
    </w:p>
    <w:p w:rsidR="00B1074B" w:rsidRPr="00EE6670" w:rsidRDefault="00B1074B" w:rsidP="00B1074B">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B1074B" w:rsidRDefault="00B1074B" w:rsidP="00B1074B">
      <w:pPr>
        <w:pStyle w:val="Textoindependiente2"/>
        <w:spacing w:after="0" w:line="240" w:lineRule="auto"/>
        <w:ind w:left="-142" w:right="-142"/>
        <w:jc w:val="both"/>
        <w:rPr>
          <w:rFonts w:ascii="Bookman Old Style" w:hAnsi="Bookman Old Style"/>
          <w:szCs w:val="27"/>
        </w:rPr>
      </w:pPr>
    </w:p>
    <w:p w:rsidR="00B1074B" w:rsidRDefault="00B1074B" w:rsidP="00B1074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B1074B" w:rsidRDefault="00B1074B" w:rsidP="00B1074B">
      <w:pPr>
        <w:pStyle w:val="Textoindependiente2"/>
        <w:spacing w:after="0" w:line="240" w:lineRule="auto"/>
        <w:ind w:left="0" w:right="-142"/>
        <w:jc w:val="both"/>
        <w:rPr>
          <w:rFonts w:ascii="Bookman Old Style" w:hAnsi="Bookman Old Style"/>
          <w:szCs w:val="27"/>
        </w:rPr>
      </w:pPr>
    </w:p>
    <w:p w:rsidR="00B1074B" w:rsidRDefault="00ED3C36" w:rsidP="00B1074B">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4075" cy="933450"/>
            <wp:effectExtent l="0" t="0" r="952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rsidR="00B1074B" w:rsidRDefault="00B1074B" w:rsidP="00B1074B">
      <w:pPr>
        <w:pStyle w:val="Textoindependiente2"/>
        <w:spacing w:after="0" w:line="240" w:lineRule="auto"/>
        <w:ind w:left="-142" w:right="-142"/>
        <w:jc w:val="both"/>
        <w:rPr>
          <w:rFonts w:ascii="Bookman Old Style" w:hAnsi="Bookman Old Style"/>
          <w:szCs w:val="27"/>
        </w:rPr>
      </w:pPr>
    </w:p>
    <w:p w:rsidR="00AF57EF" w:rsidRDefault="00AF57EF" w:rsidP="00AF57E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AF57EF" w:rsidRDefault="00AF57EF" w:rsidP="00AF57EF">
      <w:pPr>
        <w:pStyle w:val="Textoindependiente2"/>
        <w:spacing w:after="0" w:line="240" w:lineRule="auto"/>
        <w:ind w:left="0" w:right="-142"/>
        <w:jc w:val="both"/>
        <w:rPr>
          <w:rFonts w:ascii="Bookman Old Style" w:hAnsi="Bookman Old Style"/>
          <w:szCs w:val="27"/>
        </w:rPr>
      </w:pPr>
    </w:p>
    <w:p w:rsidR="00AF57EF" w:rsidRDefault="00AF57EF" w:rsidP="00AF57E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en atención a lo expuesto por parte de la Superintendencia de Servicios Públicos Domiciliarios como resultado del decr</w:t>
      </w:r>
      <w:r w:rsidR="008A5D1E">
        <w:rPr>
          <w:rFonts w:ascii="Bookman Old Style" w:hAnsi="Bookman Old Style"/>
          <w:szCs w:val="27"/>
        </w:rPr>
        <w:t xml:space="preserve">eto </w:t>
      </w:r>
      <w:r>
        <w:rPr>
          <w:rFonts w:ascii="Bookman Old Style" w:hAnsi="Bookman Old Style"/>
          <w:szCs w:val="27"/>
        </w:rPr>
        <w:t xml:space="preserve">y práctica de </w:t>
      </w:r>
      <w:r w:rsidR="008A5D1E">
        <w:rPr>
          <w:rFonts w:ascii="Bookman Old Style" w:hAnsi="Bookman Old Style"/>
          <w:szCs w:val="27"/>
        </w:rPr>
        <w:t>pruebas llevadas</w:t>
      </w:r>
      <w:r>
        <w:rPr>
          <w:rFonts w:ascii="Bookman Old Style" w:hAnsi="Bookman Old Style"/>
          <w:szCs w:val="27"/>
        </w:rPr>
        <w:t xml:space="preserve"> a cabo por la CREG, se establece la procedencia de modificar la Resolución CREG 075 de 2016 en relación con la definición de la capacidad de compra para la empresa Gas Neiva S.A. E.S.P. </w:t>
      </w:r>
    </w:p>
    <w:p w:rsidR="00AF57EF" w:rsidRDefault="00AF57EF" w:rsidP="00AF57EF">
      <w:pPr>
        <w:pStyle w:val="Textoindependiente2"/>
        <w:spacing w:after="0" w:line="240" w:lineRule="auto"/>
        <w:ind w:left="0" w:right="-142"/>
        <w:jc w:val="both"/>
        <w:rPr>
          <w:rFonts w:ascii="Bookman Old Style" w:hAnsi="Bookman Old Style"/>
          <w:szCs w:val="27"/>
        </w:rPr>
      </w:pPr>
    </w:p>
    <w:p w:rsidR="00AF57EF" w:rsidRPr="003E59E7" w:rsidRDefault="00AF57EF" w:rsidP="00AF57EF">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A13D07">
        <w:rPr>
          <w:rFonts w:ascii="Bookman Old Style" w:hAnsi="Bookman Old Style"/>
          <w:szCs w:val="27"/>
        </w:rPr>
        <w:t>746</w:t>
      </w:r>
      <w:r w:rsidRPr="003E59E7">
        <w:rPr>
          <w:rFonts w:ascii="Bookman Old Style" w:hAnsi="Bookman Old Style"/>
          <w:szCs w:val="27"/>
        </w:rPr>
        <w:t xml:space="preserve"> del </w:t>
      </w:r>
      <w:r w:rsidR="00A13D07">
        <w:rPr>
          <w:rFonts w:ascii="Bookman Old Style" w:hAnsi="Bookman Old Style"/>
          <w:szCs w:val="27"/>
        </w:rPr>
        <w:t>21</w:t>
      </w:r>
      <w:r w:rsidRPr="003E59E7">
        <w:rPr>
          <w:rFonts w:ascii="Bookman Old Style" w:hAnsi="Bookman Old Style"/>
          <w:szCs w:val="27"/>
        </w:rPr>
        <w:t xml:space="preserve"> de </w:t>
      </w:r>
      <w:r w:rsidR="00A13D07">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AF57EF" w:rsidRDefault="00AF57EF" w:rsidP="00AF57EF">
      <w:pPr>
        <w:pStyle w:val="Textoindependiente2"/>
        <w:spacing w:after="0" w:line="240" w:lineRule="auto"/>
        <w:ind w:left="-142" w:right="-142"/>
        <w:jc w:val="both"/>
        <w:rPr>
          <w:rFonts w:ascii="Bookman Old Style" w:hAnsi="Bookman Old Style"/>
          <w:szCs w:val="27"/>
        </w:rPr>
      </w:pPr>
    </w:p>
    <w:p w:rsidR="00AF57EF" w:rsidRPr="003234E2" w:rsidRDefault="00AF57EF" w:rsidP="00AF57EF">
      <w:pPr>
        <w:tabs>
          <w:tab w:val="right" w:pos="9498"/>
        </w:tabs>
        <w:ind w:left="0" w:right="-142"/>
        <w:jc w:val="both"/>
        <w:rPr>
          <w:rFonts w:ascii="Bookman Old Style" w:hAnsi="Bookman Old Style"/>
          <w:bCs/>
          <w:sz w:val="20"/>
        </w:rPr>
      </w:pPr>
    </w:p>
    <w:p w:rsidR="00AF57EF" w:rsidRPr="00BB7AEA" w:rsidRDefault="00AF57EF" w:rsidP="00AF57EF">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AF57EF" w:rsidRDefault="00AF57EF" w:rsidP="00AF57EF">
      <w:pPr>
        <w:tabs>
          <w:tab w:val="right" w:pos="9498"/>
        </w:tabs>
        <w:ind w:left="0" w:right="-142"/>
        <w:jc w:val="both"/>
        <w:rPr>
          <w:rFonts w:ascii="Bookman Old Style" w:hAnsi="Bookman Old Style" w:cs="Arial"/>
          <w:b/>
          <w:spacing w:val="-3"/>
          <w:sz w:val="20"/>
        </w:rPr>
      </w:pPr>
    </w:p>
    <w:p w:rsidR="008A5D1E" w:rsidRPr="003234E2" w:rsidRDefault="008A5D1E" w:rsidP="00AF57EF">
      <w:pPr>
        <w:tabs>
          <w:tab w:val="right" w:pos="9498"/>
        </w:tabs>
        <w:ind w:left="0" w:right="-142"/>
        <w:jc w:val="both"/>
        <w:rPr>
          <w:rFonts w:ascii="Bookman Old Style" w:hAnsi="Bookman Old Style" w:cs="Arial"/>
          <w:b/>
          <w:spacing w:val="-3"/>
          <w:sz w:val="20"/>
        </w:rPr>
      </w:pPr>
    </w:p>
    <w:p w:rsidR="00AF57EF" w:rsidRDefault="00AF57EF" w:rsidP="00AF57EF">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Modificar el artículo 1 de la Resolución CREG 075 de 2016 de la siguiente forma:</w:t>
      </w:r>
    </w:p>
    <w:p w:rsidR="008A5D1E" w:rsidRDefault="008A5D1E" w:rsidP="008A5D1E">
      <w:pPr>
        <w:pStyle w:val="Textoindependiente2"/>
        <w:spacing w:after="0" w:line="240" w:lineRule="auto"/>
        <w:ind w:left="0" w:right="-142"/>
        <w:jc w:val="both"/>
        <w:rPr>
          <w:rFonts w:ascii="Bookman Old Style" w:hAnsi="Bookman Old Style"/>
          <w:szCs w:val="27"/>
        </w:rPr>
      </w:pPr>
    </w:p>
    <w:p w:rsidR="00AF57EF" w:rsidRDefault="00AF57EF" w:rsidP="00AF57EF">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AF57EF" w:rsidRDefault="00AF57EF" w:rsidP="00AF57EF">
      <w:pPr>
        <w:pStyle w:val="Textoindependiente2"/>
        <w:spacing w:after="0" w:line="240" w:lineRule="auto"/>
        <w:ind w:left="-142" w:right="-142"/>
        <w:jc w:val="both"/>
        <w:rPr>
          <w:rFonts w:ascii="Bookman Old Style" w:hAnsi="Bookman Old Style"/>
          <w:szCs w:val="27"/>
        </w:rPr>
      </w:pPr>
    </w:p>
    <w:p w:rsidR="008A5D1E" w:rsidRDefault="008A5D1E" w:rsidP="00AF57EF">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AF57EF" w:rsidRPr="00C139AB" w:rsidTr="004D1872">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7EF" w:rsidRPr="00C139AB" w:rsidRDefault="00AF57EF" w:rsidP="00ED3C36">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AF57EF" w:rsidRPr="00C139AB" w:rsidRDefault="00AF57EF" w:rsidP="00ED3C36">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AF57EF" w:rsidRPr="00C139AB" w:rsidRDefault="00AF57EF" w:rsidP="00ED3C36">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AF57EF" w:rsidRPr="00FB4BC2" w:rsidTr="00ED3C36">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EF" w:rsidRPr="00E16D13" w:rsidRDefault="00AF57EF" w:rsidP="00ED3C36">
            <w:pPr>
              <w:ind w:left="0"/>
              <w:rPr>
                <w:rFonts w:ascii="Bookman Old Style" w:hAnsi="Bookman Old Style"/>
                <w:sz w:val="18"/>
                <w:szCs w:val="18"/>
              </w:rPr>
            </w:pPr>
            <w:r>
              <w:rPr>
                <w:rFonts w:ascii="Bookman Old Style" w:hAnsi="Bookman Old Style"/>
                <w:sz w:val="18"/>
                <w:szCs w:val="18"/>
              </w:rPr>
              <w:t>1598</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AF57EF" w:rsidRPr="00E16D13" w:rsidRDefault="00AF57EF" w:rsidP="00ED3C36">
            <w:pPr>
              <w:ind w:left="0"/>
              <w:rPr>
                <w:rFonts w:ascii="Bookman Old Style" w:hAnsi="Bookman Old Style"/>
                <w:sz w:val="18"/>
                <w:szCs w:val="18"/>
              </w:rPr>
            </w:pPr>
            <w:r>
              <w:rPr>
                <w:rFonts w:ascii="Bookman Old Style" w:hAnsi="Bookman Old Style"/>
                <w:sz w:val="18"/>
                <w:szCs w:val="18"/>
              </w:rPr>
              <w:t>GAS NEIVA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AF57EF" w:rsidRPr="00E16D13" w:rsidRDefault="00A13D07" w:rsidP="000C5773">
            <w:pPr>
              <w:ind w:left="0"/>
              <w:rPr>
                <w:rFonts w:ascii="Bookman Old Style" w:hAnsi="Bookman Old Style"/>
                <w:sz w:val="18"/>
                <w:szCs w:val="18"/>
              </w:rPr>
            </w:pPr>
            <w:r>
              <w:rPr>
                <w:rFonts w:ascii="Bookman Old Style" w:hAnsi="Bookman Old Style"/>
                <w:sz w:val="18"/>
                <w:szCs w:val="18"/>
              </w:rPr>
              <w:t>2.975.519</w:t>
            </w:r>
          </w:p>
        </w:tc>
      </w:tr>
    </w:tbl>
    <w:p w:rsidR="00AF57EF" w:rsidRDefault="00AF57EF" w:rsidP="00AF57EF">
      <w:pPr>
        <w:tabs>
          <w:tab w:val="right" w:pos="9498"/>
        </w:tabs>
        <w:ind w:left="0" w:right="-142"/>
        <w:jc w:val="both"/>
        <w:rPr>
          <w:rFonts w:ascii="Bookman Old Style" w:hAnsi="Bookman Old Style" w:cs="Arial"/>
          <w:b/>
          <w:bCs/>
          <w:color w:val="666666"/>
          <w:sz w:val="27"/>
          <w:szCs w:val="27"/>
          <w:lang w:val="es-CO" w:eastAsia="es-CO"/>
        </w:rPr>
      </w:pPr>
    </w:p>
    <w:p w:rsidR="008A5D1E" w:rsidRDefault="008A5D1E" w:rsidP="00AF57EF">
      <w:pPr>
        <w:tabs>
          <w:tab w:val="right" w:pos="9498"/>
        </w:tabs>
        <w:ind w:left="0" w:right="-142"/>
        <w:jc w:val="both"/>
        <w:rPr>
          <w:rFonts w:ascii="Bookman Old Style" w:hAnsi="Bookman Old Style" w:cs="Arial"/>
          <w:b/>
          <w:bCs/>
          <w:color w:val="666666"/>
          <w:sz w:val="27"/>
          <w:szCs w:val="27"/>
          <w:lang w:val="es-CO" w:eastAsia="es-CO"/>
        </w:rPr>
      </w:pPr>
    </w:p>
    <w:p w:rsidR="00AF57EF" w:rsidRDefault="00AF57EF" w:rsidP="00AF57EF">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Pr>
          <w:rFonts w:ascii="Bookman Old Style" w:hAnsi="Bookman Old Style"/>
          <w:szCs w:val="27"/>
        </w:rPr>
        <w:t xml:space="preserve"> Modificar el Anexo de la </w:t>
      </w:r>
      <w:r w:rsidRPr="00E16D13">
        <w:rPr>
          <w:rFonts w:ascii="Bookman Old Style" w:hAnsi="Bookman Old Style"/>
          <w:szCs w:val="27"/>
        </w:rPr>
        <w:t>Resolución CREG 075 de 2016 de la siguiente forma:</w:t>
      </w:r>
    </w:p>
    <w:p w:rsidR="00AF57EF" w:rsidRDefault="00AF57EF" w:rsidP="00AF57EF">
      <w:pPr>
        <w:pStyle w:val="Textoindependiente2"/>
        <w:spacing w:after="0" w:line="240" w:lineRule="auto"/>
        <w:ind w:left="-142" w:right="-142"/>
        <w:jc w:val="both"/>
        <w:rPr>
          <w:rFonts w:ascii="Bookman Old Style" w:hAnsi="Bookman Old Style"/>
          <w:szCs w:val="27"/>
        </w:rPr>
      </w:pPr>
    </w:p>
    <w:p w:rsidR="00ED3C36" w:rsidRPr="00CD74B5" w:rsidRDefault="00ED3C36" w:rsidP="00ED3C36">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ED3C36" w:rsidRDefault="00ED3C36" w:rsidP="00ED3C36">
      <w:pPr>
        <w:jc w:val="both"/>
        <w:rPr>
          <w:rFonts w:ascii="Bookman Old Style" w:hAnsi="Bookman Old Style"/>
        </w:rPr>
      </w:pPr>
    </w:p>
    <w:p w:rsidR="00ED3C36" w:rsidRDefault="00ED3C36" w:rsidP="00ED3C36">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ED3C36" w:rsidRDefault="00ED3C36" w:rsidP="00ED3C36">
      <w:pPr>
        <w:jc w:val="both"/>
        <w:rPr>
          <w:rFonts w:ascii="Bookman Old Style" w:hAnsi="Bookman Old Style"/>
        </w:rPr>
      </w:pPr>
    </w:p>
    <w:p w:rsidR="00ED3C36" w:rsidRDefault="00ED3C36" w:rsidP="00ED3C36">
      <w:pPr>
        <w:pStyle w:val="Prrafodelista"/>
        <w:numPr>
          <w:ilvl w:val="0"/>
          <w:numId w:val="38"/>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ED3C36">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ED3C36" w:rsidRPr="001C513B" w:rsidRDefault="00ED3C36" w:rsidP="00ED3C36">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775"/>
        <w:gridCol w:w="937"/>
        <w:gridCol w:w="688"/>
        <w:gridCol w:w="756"/>
        <w:gridCol w:w="756"/>
        <w:gridCol w:w="868"/>
        <w:gridCol w:w="868"/>
        <w:gridCol w:w="704"/>
        <w:gridCol w:w="832"/>
        <w:gridCol w:w="1037"/>
        <w:gridCol w:w="1266"/>
      </w:tblGrid>
      <w:tr w:rsidR="00ED3C36" w:rsidRPr="00CF4873" w:rsidTr="00ED3C36">
        <w:trPr>
          <w:trHeight w:val="570"/>
          <w:tblHeader/>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D3C36" w:rsidRPr="00313D63" w:rsidRDefault="00ED3C36" w:rsidP="00ED3C36">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ED3C36" w:rsidRPr="00ED3C36" w:rsidRDefault="00ED3C36" w:rsidP="00ED3C36">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ED3C36" w:rsidRPr="00CF4873" w:rsidTr="00ED3C36">
        <w:trPr>
          <w:trHeight w:val="405"/>
          <w:jc w:val="center"/>
        </w:trPr>
        <w:tc>
          <w:tcPr>
            <w:tcW w:w="775" w:type="dxa"/>
            <w:tcBorders>
              <w:top w:val="nil"/>
              <w:left w:val="single" w:sz="4" w:space="0" w:color="auto"/>
              <w:bottom w:val="single" w:sz="4" w:space="0" w:color="auto"/>
              <w:right w:val="single" w:sz="4" w:space="0" w:color="auto"/>
            </w:tcBorders>
            <w:shd w:val="clear" w:color="auto" w:fill="auto"/>
            <w:noWrap/>
            <w:vAlign w:val="center"/>
          </w:tcPr>
          <w:p w:rsidR="00ED3C36" w:rsidRPr="0093479E" w:rsidRDefault="00ED3C36" w:rsidP="00ED3C36">
            <w:pPr>
              <w:ind w:left="0"/>
              <w:jc w:val="center"/>
              <w:rPr>
                <w:rFonts w:ascii="Bookman Old Style" w:hAnsi="Bookman Old Style"/>
                <w:color w:val="000000"/>
                <w:sz w:val="18"/>
                <w:szCs w:val="20"/>
              </w:rPr>
            </w:pPr>
            <w:r>
              <w:rPr>
                <w:rFonts w:ascii="Bookman Old Style" w:hAnsi="Bookman Old Style"/>
                <w:color w:val="000000"/>
                <w:sz w:val="18"/>
                <w:szCs w:val="20"/>
              </w:rPr>
              <w:t>1598</w:t>
            </w:r>
          </w:p>
        </w:tc>
        <w:tc>
          <w:tcPr>
            <w:tcW w:w="937"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Pr>
                <w:rFonts w:ascii="Bookman Old Style" w:hAnsi="Bookman Old Style"/>
                <w:color w:val="000000"/>
                <w:sz w:val="18"/>
                <w:szCs w:val="18"/>
              </w:rPr>
              <w:t>51.273</w:t>
            </w:r>
          </w:p>
        </w:tc>
        <w:tc>
          <w:tcPr>
            <w:tcW w:w="868"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Pr>
                <w:rFonts w:ascii="Bookman Old Style" w:hAnsi="Bookman Old Style"/>
                <w:color w:val="000000"/>
                <w:sz w:val="18"/>
                <w:szCs w:val="18"/>
              </w:rPr>
              <w:t>8.566</w:t>
            </w:r>
          </w:p>
        </w:tc>
        <w:tc>
          <w:tcPr>
            <w:tcW w:w="704"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Pr>
                <w:rFonts w:ascii="Bookman Old Style" w:hAnsi="Bookman Old Style"/>
                <w:color w:val="000000"/>
                <w:sz w:val="18"/>
                <w:szCs w:val="18"/>
              </w:rPr>
              <w:t>5</w:t>
            </w:r>
          </w:p>
        </w:tc>
        <w:tc>
          <w:tcPr>
            <w:tcW w:w="832"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Pr>
                <w:rFonts w:ascii="Bookman Old Style" w:hAnsi="Bookman Old Style"/>
                <w:color w:val="000000"/>
                <w:sz w:val="18"/>
                <w:szCs w:val="18"/>
              </w:rPr>
              <w:t>2.299</w:t>
            </w:r>
          </w:p>
        </w:tc>
        <w:tc>
          <w:tcPr>
            <w:tcW w:w="1037"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Pr>
                <w:rFonts w:ascii="Bookman Old Style" w:hAnsi="Bookman Old Style"/>
                <w:color w:val="000000"/>
                <w:sz w:val="18"/>
                <w:szCs w:val="18"/>
              </w:rPr>
              <w:t>62.143</w:t>
            </w:r>
          </w:p>
        </w:tc>
        <w:tc>
          <w:tcPr>
            <w:tcW w:w="1266" w:type="dxa"/>
            <w:tcBorders>
              <w:top w:val="nil"/>
              <w:left w:val="nil"/>
              <w:bottom w:val="single" w:sz="4" w:space="0" w:color="auto"/>
              <w:right w:val="single" w:sz="4" w:space="0" w:color="auto"/>
            </w:tcBorders>
            <w:shd w:val="clear" w:color="auto" w:fill="auto"/>
            <w:noWrap/>
          </w:tcPr>
          <w:p w:rsidR="00ED3C36" w:rsidRDefault="00ED3C36" w:rsidP="00ED3C36">
            <w:pPr>
              <w:ind w:left="0"/>
              <w:jc w:val="center"/>
            </w:pPr>
            <w:r>
              <w:rPr>
                <w:rFonts w:ascii="Bookman Old Style" w:hAnsi="Bookman Old Style"/>
                <w:color w:val="000000"/>
                <w:sz w:val="18"/>
                <w:szCs w:val="18"/>
              </w:rPr>
              <w:t>6.169.721</w:t>
            </w:r>
          </w:p>
        </w:tc>
      </w:tr>
    </w:tbl>
    <w:p w:rsidR="00ED3C36" w:rsidRDefault="00ED3C36" w:rsidP="00ED3C36">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8A5D1E" w:rsidRDefault="008A5D1E" w:rsidP="00ED3C36">
      <w:pPr>
        <w:jc w:val="center"/>
        <w:rPr>
          <w:rFonts w:ascii="Bookman Old Style" w:hAnsi="Bookman Old Style"/>
        </w:rPr>
      </w:pPr>
    </w:p>
    <w:p w:rsidR="00ED3C36" w:rsidRPr="002E47EE" w:rsidRDefault="00ED3C36" w:rsidP="00ED3C36">
      <w:pPr>
        <w:pStyle w:val="Prrafodelista"/>
        <w:numPr>
          <w:ilvl w:val="0"/>
          <w:numId w:val="38"/>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ED3C36">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73"/>
        <w:gridCol w:w="1680"/>
      </w:tblGrid>
      <w:tr w:rsidR="00ED3C36" w:rsidRPr="00060097" w:rsidTr="000D2AF9">
        <w:trPr>
          <w:trHeight w:val="443"/>
          <w:tblHeader/>
          <w:jc w:val="center"/>
        </w:trPr>
        <w:tc>
          <w:tcPr>
            <w:tcW w:w="1473" w:type="dxa"/>
            <w:vAlign w:val="center"/>
          </w:tcPr>
          <w:p w:rsidR="00ED3C36" w:rsidRPr="00060097" w:rsidRDefault="00ED3C36" w:rsidP="00ED3C36">
            <w:pPr>
              <w:ind w:left="0"/>
              <w:jc w:val="center"/>
              <w:rPr>
                <w:rFonts w:ascii="Bookman Old Style" w:hAnsi="Bookman Old Style"/>
                <w:b/>
                <w:sz w:val="18"/>
                <w:szCs w:val="18"/>
              </w:rPr>
            </w:pPr>
            <w:r w:rsidRPr="00060097">
              <w:rPr>
                <w:rFonts w:ascii="Bookman Old Style" w:hAnsi="Bookman Old Style"/>
                <w:b/>
                <w:sz w:val="18"/>
                <w:szCs w:val="18"/>
              </w:rPr>
              <w:t>Código SUI</w:t>
            </w:r>
          </w:p>
        </w:tc>
        <w:tc>
          <w:tcPr>
            <w:tcW w:w="1680" w:type="dxa"/>
            <w:vAlign w:val="center"/>
          </w:tcPr>
          <w:p w:rsidR="00ED3C36" w:rsidRPr="00216D63" w:rsidRDefault="00ED3C36" w:rsidP="00ED3C36">
            <w:pPr>
              <w:ind w:left="0"/>
              <w:jc w:val="center"/>
              <w:rPr>
                <w:rFonts w:ascii="Bookman Old Style" w:hAnsi="Bookman Old Style"/>
                <w:b/>
                <w:sz w:val="18"/>
                <w:szCs w:val="18"/>
              </w:rPr>
            </w:pPr>
            <w:r>
              <w:rPr>
                <w:rFonts w:ascii="Bookman Old Style" w:hAnsi="Bookman Old Style"/>
                <w:b/>
                <w:sz w:val="18"/>
                <w:szCs w:val="18"/>
              </w:rPr>
              <w:t>1598</w:t>
            </w:r>
          </w:p>
        </w:tc>
      </w:tr>
      <w:tr w:rsidR="00ED3C36" w:rsidRPr="00060097" w:rsidTr="00ED3C36">
        <w:trPr>
          <w:trHeight w:val="443"/>
          <w:jc w:val="center"/>
        </w:trPr>
        <w:tc>
          <w:tcPr>
            <w:tcW w:w="141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vAlign w:val="center"/>
          </w:tcPr>
          <w:p w:rsidR="00ED3C36" w:rsidRDefault="00ED3C36" w:rsidP="00ED3C36">
            <w:pPr>
              <w:ind w:left="0"/>
              <w:jc w:val="center"/>
            </w:pPr>
            <w:r w:rsidRPr="00EF0107">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680" w:type="dxa"/>
            <w:vAlign w:val="center"/>
          </w:tcPr>
          <w:p w:rsidR="00ED3C36" w:rsidRDefault="00ED3C36" w:rsidP="00ED3C36">
            <w:pPr>
              <w:ind w:left="0"/>
              <w:jc w:val="center"/>
            </w:pPr>
            <w:r w:rsidRPr="00EF0107">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680" w:type="dxa"/>
            <w:vAlign w:val="center"/>
          </w:tcPr>
          <w:p w:rsidR="00ED3C36" w:rsidRDefault="00ED3C36" w:rsidP="00ED3C36">
            <w:pPr>
              <w:ind w:left="0"/>
              <w:jc w:val="center"/>
            </w:pPr>
            <w:r w:rsidRPr="00EF0107">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680" w:type="dxa"/>
            <w:vAlign w:val="center"/>
          </w:tcPr>
          <w:p w:rsidR="00ED3C36" w:rsidRDefault="00ED3C36" w:rsidP="00ED3C36">
            <w:pPr>
              <w:ind w:left="0"/>
              <w:jc w:val="center"/>
            </w:pPr>
            <w:r w:rsidRPr="00EF0107">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680" w:type="dxa"/>
            <w:vAlign w:val="center"/>
          </w:tcPr>
          <w:p w:rsidR="00ED3C36" w:rsidRDefault="00ED3C36" w:rsidP="00ED3C36">
            <w:pPr>
              <w:ind w:left="0"/>
              <w:jc w:val="center"/>
            </w:pPr>
            <w:r w:rsidRPr="00EF0107">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680" w:type="dxa"/>
            <w:vAlign w:val="center"/>
          </w:tcPr>
          <w:p w:rsidR="00ED3C36" w:rsidRDefault="00ED3C36" w:rsidP="00ED3C36">
            <w:pPr>
              <w:ind w:left="0"/>
              <w:jc w:val="center"/>
            </w:pPr>
            <w:r w:rsidRPr="00EF0107">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18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1.654</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602</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620</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1.654</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680" w:type="dxa"/>
            <w:vAlign w:val="center"/>
          </w:tcPr>
          <w:p w:rsidR="00ED3C36" w:rsidRPr="00060097" w:rsidRDefault="00ED3C36" w:rsidP="00ED3C36">
            <w:pPr>
              <w:ind w:left="0"/>
              <w:jc w:val="center"/>
              <w:rPr>
                <w:rFonts w:ascii="Bookman Old Style" w:hAnsi="Bookman Old Style"/>
                <w:sz w:val="18"/>
                <w:szCs w:val="18"/>
              </w:rPr>
            </w:pPr>
            <w:r w:rsidRPr="00074962">
              <w:rPr>
                <w:rFonts w:ascii="Bookman Old Style" w:hAnsi="Bookman Old Style"/>
                <w:sz w:val="18"/>
              </w:rPr>
              <w:t>NR*</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6.010</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220</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901</w:t>
            </w:r>
          </w:p>
        </w:tc>
      </w:tr>
      <w:tr w:rsidR="00ED3C36" w:rsidRPr="00060097" w:rsidTr="00ED3C36">
        <w:trPr>
          <w:trHeight w:val="443"/>
          <w:jc w:val="center"/>
        </w:trPr>
        <w:tc>
          <w:tcPr>
            <w:tcW w:w="1473" w:type="dxa"/>
            <w:vAlign w:val="center"/>
          </w:tcPr>
          <w:p w:rsidR="00ED3C36" w:rsidRPr="00060097" w:rsidRDefault="00ED3C36" w:rsidP="00ED3C36">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11.661</w:t>
            </w:r>
          </w:p>
        </w:tc>
      </w:tr>
      <w:tr w:rsidR="00ED3C36" w:rsidRPr="00060097" w:rsidTr="00ED3C36">
        <w:trPr>
          <w:trHeight w:val="443"/>
          <w:jc w:val="center"/>
        </w:trPr>
        <w:tc>
          <w:tcPr>
            <w:tcW w:w="1473" w:type="dxa"/>
            <w:vAlign w:val="center"/>
          </w:tcPr>
          <w:p w:rsidR="00ED3C36" w:rsidRPr="00ED3C36" w:rsidRDefault="00ED3C36" w:rsidP="00ED3C36">
            <w:pPr>
              <w:ind w:left="0"/>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680" w:type="dxa"/>
            <w:vAlign w:val="center"/>
          </w:tcPr>
          <w:p w:rsidR="00ED3C36" w:rsidRPr="00060097" w:rsidRDefault="00ED3C36" w:rsidP="00ED3C36">
            <w:pPr>
              <w:ind w:left="0"/>
              <w:jc w:val="center"/>
              <w:rPr>
                <w:rFonts w:ascii="Bookman Old Style" w:hAnsi="Bookman Old Style"/>
                <w:sz w:val="18"/>
                <w:szCs w:val="18"/>
              </w:rPr>
            </w:pPr>
            <w:r>
              <w:rPr>
                <w:rFonts w:ascii="Bookman Old Style" w:hAnsi="Bookman Old Style"/>
                <w:sz w:val="18"/>
                <w:szCs w:val="18"/>
              </w:rPr>
              <w:t>2.732.264</w:t>
            </w:r>
          </w:p>
        </w:tc>
      </w:tr>
    </w:tbl>
    <w:p w:rsidR="00ED3C36" w:rsidRPr="00074962" w:rsidRDefault="00ED3C36" w:rsidP="00ED3C36">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ED3C36" w:rsidRPr="000D2AF9" w:rsidRDefault="00ED3C36" w:rsidP="00ED3C36">
      <w:pPr>
        <w:jc w:val="center"/>
        <w:rPr>
          <w:rFonts w:ascii="Bookman Old Style" w:hAnsi="Bookman Old Style"/>
          <w:sz w:val="36"/>
        </w:rPr>
      </w:pPr>
    </w:p>
    <w:p w:rsidR="00ED3C36" w:rsidRPr="00ED3C36" w:rsidRDefault="00ED3C36" w:rsidP="00ED3C36">
      <w:pPr>
        <w:pStyle w:val="Prrafodelista"/>
        <w:numPr>
          <w:ilvl w:val="0"/>
          <w:numId w:val="38"/>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ED3C36">
        <w:rPr>
          <w:rFonts w:ascii="Bookman Old Style" w:hAnsi="Bookman Old Style"/>
          <w:iCs/>
          <w:sz w:val="24"/>
          <w:szCs w:val="24"/>
        </w:rPr>
        <w:t xml:space="preserve">, a continuación se muestra el conteo de cilindros por código de presentación para cada uno de los códigos SUI de las empresas. </w:t>
      </w:r>
    </w:p>
    <w:p w:rsidR="00ED3C36" w:rsidRPr="0089470C" w:rsidRDefault="00ED3C36" w:rsidP="00ED3C36">
      <w:pPr>
        <w:pStyle w:val="Prrafodelista"/>
        <w:ind w:left="720"/>
        <w:jc w:val="both"/>
        <w:rPr>
          <w:rFonts w:ascii="Bookman Old Style" w:hAnsi="Bookman Old Style"/>
          <w:sz w:val="24"/>
          <w:szCs w:val="24"/>
        </w:rPr>
      </w:pPr>
    </w:p>
    <w:tbl>
      <w:tblPr>
        <w:tblW w:w="6107" w:type="dxa"/>
        <w:jc w:val="center"/>
        <w:tblCellMar>
          <w:left w:w="70" w:type="dxa"/>
          <w:right w:w="70" w:type="dxa"/>
        </w:tblCellMar>
        <w:tblLook w:val="04A0" w:firstRow="1" w:lastRow="0" w:firstColumn="1" w:lastColumn="0" w:noHBand="0" w:noVBand="1"/>
      </w:tblPr>
      <w:tblGrid>
        <w:gridCol w:w="1420"/>
        <w:gridCol w:w="1660"/>
        <w:gridCol w:w="1704"/>
        <w:gridCol w:w="1704"/>
      </w:tblGrid>
      <w:tr w:rsidR="00ED3C36" w:rsidRPr="00074962" w:rsidTr="00ED3C36">
        <w:trPr>
          <w:trHeight w:val="405"/>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C36" w:rsidRPr="00074962" w:rsidRDefault="00ED3C36" w:rsidP="00A167F8">
            <w:pPr>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ED3C36" w:rsidRPr="00ED3C36" w:rsidRDefault="00ED3C36" w:rsidP="00A167F8">
            <w:pPr>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ED3C36" w:rsidRPr="00ED3C36" w:rsidRDefault="00ED3C36" w:rsidP="00A167F8">
            <w:pPr>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ED3C36" w:rsidRPr="00ED3C36" w:rsidRDefault="00ED3C36" w:rsidP="00A167F8">
            <w:pPr>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ED3C36" w:rsidRPr="00074962" w:rsidTr="00ED3C36">
        <w:trPr>
          <w:trHeight w:val="3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C36" w:rsidRPr="0093479E" w:rsidRDefault="00ED3C36" w:rsidP="00ED3C36">
            <w:pPr>
              <w:jc w:val="center"/>
              <w:rPr>
                <w:rFonts w:ascii="Bookman Old Style" w:hAnsi="Bookman Old Style"/>
                <w:color w:val="000000"/>
                <w:sz w:val="18"/>
                <w:szCs w:val="20"/>
              </w:rPr>
            </w:pPr>
            <w:r>
              <w:rPr>
                <w:rFonts w:ascii="Bookman Old Style" w:hAnsi="Bookman Old Style"/>
                <w:color w:val="000000"/>
                <w:sz w:val="18"/>
                <w:szCs w:val="20"/>
              </w:rPr>
              <w:t>1598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ED3C36" w:rsidRDefault="00ED3C36" w:rsidP="00ED3C36">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6.169.721</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ED3C36" w:rsidRDefault="00ED3C36" w:rsidP="00ED3C36">
            <w:pPr>
              <w:jc w:val="center"/>
              <w:rPr>
                <w:rFonts w:ascii="Bookman Old Style" w:hAnsi="Bookman Old Style"/>
                <w:color w:val="000000"/>
                <w:sz w:val="20"/>
                <w:szCs w:val="20"/>
              </w:rPr>
            </w:pPr>
            <w:r>
              <w:rPr>
                <w:rFonts w:ascii="Bookman Old Style" w:hAnsi="Bookman Old Style"/>
                <w:color w:val="000000"/>
                <w:sz w:val="20"/>
                <w:szCs w:val="20"/>
              </w:rPr>
              <w:t>2.732.364</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ED3C36" w:rsidRDefault="00ED3C36" w:rsidP="00ED3C36">
            <w:pPr>
              <w:jc w:val="center"/>
              <w:rPr>
                <w:rFonts w:ascii="Bookman Old Style" w:hAnsi="Bookman Old Style"/>
                <w:color w:val="000000"/>
                <w:sz w:val="20"/>
                <w:szCs w:val="20"/>
              </w:rPr>
            </w:pPr>
            <w:r>
              <w:rPr>
                <w:rFonts w:ascii="Bookman Old Style" w:hAnsi="Bookman Old Style"/>
                <w:color w:val="000000"/>
                <w:sz w:val="20"/>
                <w:szCs w:val="20"/>
              </w:rPr>
              <w:t>8.902.085</w:t>
            </w:r>
          </w:p>
        </w:tc>
      </w:tr>
    </w:tbl>
    <w:p w:rsidR="00ED3C36" w:rsidRDefault="00ED3C36" w:rsidP="00ED3C36">
      <w:pPr>
        <w:rPr>
          <w:rFonts w:ascii="Bookman Old Style" w:hAnsi="Bookman Old Style"/>
        </w:rPr>
      </w:pPr>
    </w:p>
    <w:p w:rsidR="00ED3C36" w:rsidRPr="004443F3" w:rsidRDefault="00ED3C36" w:rsidP="00ED3C36">
      <w:pPr>
        <w:pStyle w:val="Prrafodelista"/>
        <w:numPr>
          <w:ilvl w:val="0"/>
          <w:numId w:val="38"/>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ED3C36">
        <w:rPr>
          <w:rFonts w:ascii="Bookman Old Style" w:hAnsi="Bookman Old Style"/>
          <w:iCs/>
          <w:sz w:val="24"/>
          <w:szCs w:val="24"/>
        </w:rPr>
        <w:t xml:space="preserve">, a continuación se muestra el conteo de cilindros por código de presentación para cada uno de los códigos SUI de las empresas. </w:t>
      </w:r>
    </w:p>
    <w:tbl>
      <w:tblPr>
        <w:tblW w:w="7357" w:type="dxa"/>
        <w:jc w:val="center"/>
        <w:tblCellMar>
          <w:left w:w="70" w:type="dxa"/>
          <w:right w:w="70" w:type="dxa"/>
        </w:tblCellMar>
        <w:tblLook w:val="04A0" w:firstRow="1" w:lastRow="0" w:firstColumn="1" w:lastColumn="0" w:noHBand="0" w:noVBand="1"/>
      </w:tblPr>
      <w:tblGrid>
        <w:gridCol w:w="1420"/>
        <w:gridCol w:w="2050"/>
        <w:gridCol w:w="2092"/>
        <w:gridCol w:w="1800"/>
      </w:tblGrid>
      <w:tr w:rsidR="00ED3C36" w:rsidRPr="0056639C" w:rsidTr="00ED3C36">
        <w:trPr>
          <w:trHeight w:val="791"/>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C36" w:rsidRPr="0056639C" w:rsidRDefault="00ED3C36" w:rsidP="00A167F8">
            <w:pPr>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ED3C36" w:rsidRPr="0056639C" w:rsidRDefault="00ED3C36" w:rsidP="00A167F8">
            <w:pPr>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ED3C36" w:rsidRPr="0056639C" w:rsidRDefault="00ED3C36" w:rsidP="00A167F8">
            <w:pPr>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ED3C36" w:rsidRPr="0056639C" w:rsidRDefault="00ED3C36" w:rsidP="00A167F8">
            <w:pPr>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ED3C36" w:rsidRPr="0056639C" w:rsidTr="00ED3C3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ED3C36" w:rsidRPr="0093479E" w:rsidRDefault="00ED3C36" w:rsidP="00ED3C36">
            <w:pPr>
              <w:jc w:val="center"/>
              <w:rPr>
                <w:rFonts w:ascii="Bookman Old Style" w:hAnsi="Bookman Old Style"/>
                <w:color w:val="000000"/>
                <w:sz w:val="18"/>
                <w:szCs w:val="20"/>
              </w:rPr>
            </w:pPr>
            <w:r>
              <w:rPr>
                <w:rFonts w:ascii="Bookman Old Style" w:hAnsi="Bookman Old Style"/>
                <w:color w:val="000000"/>
                <w:sz w:val="18"/>
                <w:szCs w:val="20"/>
              </w:rPr>
              <w:t>1598</w:t>
            </w:r>
          </w:p>
        </w:tc>
        <w:tc>
          <w:tcPr>
            <w:tcW w:w="2050" w:type="dxa"/>
            <w:tcBorders>
              <w:top w:val="nil"/>
              <w:left w:val="nil"/>
              <w:bottom w:val="single" w:sz="4" w:space="0" w:color="auto"/>
              <w:right w:val="single" w:sz="4" w:space="0" w:color="auto"/>
            </w:tcBorders>
            <w:shd w:val="clear" w:color="auto" w:fill="auto"/>
            <w:noWrap/>
            <w:vAlign w:val="center"/>
          </w:tcPr>
          <w:p w:rsidR="00ED3C36" w:rsidRDefault="00ED3C36" w:rsidP="00ED3C36">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65.020</w:t>
            </w:r>
          </w:p>
        </w:tc>
        <w:tc>
          <w:tcPr>
            <w:tcW w:w="2092" w:type="dxa"/>
            <w:tcBorders>
              <w:top w:val="nil"/>
              <w:left w:val="nil"/>
              <w:bottom w:val="single" w:sz="4" w:space="0" w:color="auto"/>
              <w:right w:val="single" w:sz="4" w:space="0" w:color="auto"/>
            </w:tcBorders>
            <w:shd w:val="clear" w:color="auto" w:fill="auto"/>
            <w:noWrap/>
            <w:vAlign w:val="center"/>
          </w:tcPr>
          <w:p w:rsidR="00ED3C36" w:rsidRDefault="00ED3C36" w:rsidP="00ED3C36">
            <w:pPr>
              <w:jc w:val="center"/>
              <w:rPr>
                <w:rFonts w:ascii="Bookman Old Style" w:hAnsi="Bookman Old Style"/>
                <w:color w:val="000000"/>
                <w:sz w:val="20"/>
                <w:szCs w:val="20"/>
              </w:rPr>
            </w:pPr>
            <w:r>
              <w:rPr>
                <w:rFonts w:ascii="Bookman Old Style" w:hAnsi="Bookman Old Style"/>
                <w:color w:val="000000"/>
                <w:sz w:val="20"/>
                <w:szCs w:val="20"/>
              </w:rPr>
              <w:t>633</w:t>
            </w:r>
          </w:p>
        </w:tc>
        <w:tc>
          <w:tcPr>
            <w:tcW w:w="1795" w:type="dxa"/>
            <w:tcBorders>
              <w:top w:val="nil"/>
              <w:left w:val="nil"/>
              <w:bottom w:val="single" w:sz="4" w:space="0" w:color="auto"/>
              <w:right w:val="single" w:sz="4" w:space="0" w:color="auto"/>
            </w:tcBorders>
            <w:shd w:val="clear" w:color="auto" w:fill="auto"/>
            <w:noWrap/>
            <w:vAlign w:val="center"/>
          </w:tcPr>
          <w:p w:rsidR="00ED3C36" w:rsidRDefault="00ED3C36" w:rsidP="00ED3C36">
            <w:pPr>
              <w:jc w:val="center"/>
              <w:rPr>
                <w:rFonts w:ascii="Bookman Old Style" w:hAnsi="Bookman Old Style"/>
                <w:color w:val="000000"/>
                <w:sz w:val="20"/>
                <w:szCs w:val="20"/>
              </w:rPr>
            </w:pPr>
            <w:r>
              <w:rPr>
                <w:rFonts w:ascii="Bookman Old Style" w:hAnsi="Bookman Old Style"/>
                <w:color w:val="000000"/>
                <w:sz w:val="20"/>
                <w:szCs w:val="20"/>
              </w:rPr>
              <w:t>819.252</w:t>
            </w:r>
          </w:p>
        </w:tc>
      </w:tr>
    </w:tbl>
    <w:p w:rsidR="00ED3C36" w:rsidRDefault="00ED3C36" w:rsidP="00ED3C36">
      <w:pPr>
        <w:pStyle w:val="Prrafodelista"/>
        <w:jc w:val="both"/>
        <w:rPr>
          <w:rFonts w:ascii="Bookman Old Style" w:hAnsi="Bookman Old Style"/>
          <w:sz w:val="24"/>
          <w:szCs w:val="24"/>
        </w:rPr>
      </w:pPr>
    </w:p>
    <w:p w:rsidR="00ED3C36" w:rsidRPr="004443F3" w:rsidRDefault="00ED3C36" w:rsidP="00ED3C36">
      <w:pPr>
        <w:pStyle w:val="Prrafodelista"/>
        <w:numPr>
          <w:ilvl w:val="0"/>
          <w:numId w:val="38"/>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ED3C36">
        <w:rPr>
          <w:rFonts w:ascii="Bookman Old Style" w:hAnsi="Bookman Old Style"/>
          <w:iCs/>
          <w:sz w:val="24"/>
          <w:szCs w:val="24"/>
        </w:rPr>
        <w:t xml:space="preserve">, a continuación se muestra el conteo de cilindros por código de presentación para cada uno de los códigos SUI de las empresas. </w:t>
      </w:r>
    </w:p>
    <w:p w:rsidR="00ED3C36" w:rsidRDefault="00ED3C36" w:rsidP="00ED3C36">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704"/>
      </w:tblGrid>
      <w:tr w:rsidR="00ED3C36" w:rsidRPr="000768E2" w:rsidTr="00ED3C36">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C36" w:rsidRPr="000768E2" w:rsidRDefault="00ED3C36" w:rsidP="00A167F8">
            <w:pPr>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D3C36" w:rsidRPr="00ED3C36" w:rsidRDefault="00ED3C36" w:rsidP="00A167F8">
            <w:pP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ED3C36" w:rsidRPr="00ED3C36" w:rsidRDefault="00ED3C36" w:rsidP="00A167F8">
            <w:pPr>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ED3C36" w:rsidRPr="00ED3C36" w:rsidRDefault="00ED3C36" w:rsidP="00A167F8">
            <w:pP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ED3C36" w:rsidRPr="000768E2" w:rsidTr="00ED3C36">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ED3C36" w:rsidRPr="0093479E" w:rsidRDefault="00ED3C36" w:rsidP="00ED3C36">
            <w:pPr>
              <w:jc w:val="center"/>
              <w:rPr>
                <w:rFonts w:ascii="Bookman Old Style" w:hAnsi="Bookman Old Style"/>
                <w:color w:val="000000"/>
                <w:sz w:val="18"/>
                <w:szCs w:val="20"/>
              </w:rPr>
            </w:pPr>
            <w:r>
              <w:rPr>
                <w:rFonts w:ascii="Bookman Old Style" w:hAnsi="Bookman Old Style"/>
                <w:color w:val="000000"/>
                <w:sz w:val="18"/>
                <w:szCs w:val="20"/>
              </w:rPr>
              <w:t>1598</w:t>
            </w:r>
          </w:p>
        </w:tc>
        <w:tc>
          <w:tcPr>
            <w:tcW w:w="1700" w:type="dxa"/>
            <w:tcBorders>
              <w:top w:val="nil"/>
              <w:left w:val="nil"/>
              <w:bottom w:val="single" w:sz="4" w:space="0" w:color="auto"/>
              <w:right w:val="single" w:sz="4" w:space="0" w:color="auto"/>
            </w:tcBorders>
            <w:shd w:val="clear" w:color="auto" w:fill="auto"/>
            <w:noWrap/>
            <w:vAlign w:val="center"/>
          </w:tcPr>
          <w:p w:rsidR="00ED3C36" w:rsidRDefault="00ED3C36" w:rsidP="00ED3C36">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8.902.085</w:t>
            </w:r>
          </w:p>
        </w:tc>
        <w:tc>
          <w:tcPr>
            <w:tcW w:w="1704" w:type="dxa"/>
            <w:tcBorders>
              <w:top w:val="nil"/>
              <w:left w:val="nil"/>
              <w:bottom w:val="single" w:sz="4" w:space="0" w:color="auto"/>
              <w:right w:val="single" w:sz="4" w:space="0" w:color="auto"/>
            </w:tcBorders>
            <w:shd w:val="clear" w:color="auto" w:fill="auto"/>
            <w:noWrap/>
            <w:vAlign w:val="center"/>
          </w:tcPr>
          <w:p w:rsidR="00ED3C36" w:rsidRDefault="00ED3C36" w:rsidP="00ED3C36">
            <w:pPr>
              <w:jc w:val="center"/>
              <w:rPr>
                <w:rFonts w:ascii="Bookman Old Style" w:hAnsi="Bookman Old Style"/>
                <w:color w:val="000000"/>
                <w:sz w:val="20"/>
                <w:szCs w:val="20"/>
              </w:rPr>
            </w:pPr>
            <w:r>
              <w:rPr>
                <w:rFonts w:ascii="Bookman Old Style" w:hAnsi="Bookman Old Style"/>
                <w:color w:val="000000"/>
                <w:sz w:val="20"/>
                <w:szCs w:val="20"/>
              </w:rPr>
              <w:t>819.252</w:t>
            </w:r>
          </w:p>
        </w:tc>
        <w:tc>
          <w:tcPr>
            <w:tcW w:w="1516" w:type="dxa"/>
            <w:tcBorders>
              <w:top w:val="nil"/>
              <w:left w:val="nil"/>
              <w:bottom w:val="single" w:sz="4" w:space="0" w:color="auto"/>
              <w:right w:val="single" w:sz="4" w:space="0" w:color="auto"/>
            </w:tcBorders>
            <w:shd w:val="clear" w:color="auto" w:fill="auto"/>
            <w:noWrap/>
            <w:vAlign w:val="center"/>
          </w:tcPr>
          <w:p w:rsidR="00ED3C36" w:rsidRDefault="00ED3C36" w:rsidP="00ED3C36">
            <w:pPr>
              <w:jc w:val="center"/>
              <w:rPr>
                <w:rFonts w:ascii="Bookman Old Style" w:hAnsi="Bookman Old Style"/>
                <w:color w:val="000000"/>
                <w:sz w:val="20"/>
                <w:szCs w:val="20"/>
              </w:rPr>
            </w:pPr>
            <w:r>
              <w:rPr>
                <w:rFonts w:ascii="Bookman Old Style" w:hAnsi="Bookman Old Style"/>
                <w:color w:val="000000"/>
                <w:sz w:val="20"/>
                <w:szCs w:val="20"/>
              </w:rPr>
              <w:t>2.975.519</w:t>
            </w:r>
          </w:p>
        </w:tc>
      </w:tr>
    </w:tbl>
    <w:p w:rsidR="00ED3C36" w:rsidRPr="002B4873" w:rsidRDefault="00ED3C36" w:rsidP="00ED3C36">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AF57EF" w:rsidRDefault="00AF57EF" w:rsidP="003C1BE8">
      <w:pPr>
        <w:pStyle w:val="Textoindependiente2"/>
        <w:spacing w:after="0" w:line="240" w:lineRule="auto"/>
        <w:ind w:left="0" w:right="-142"/>
        <w:jc w:val="both"/>
        <w:rPr>
          <w:rFonts w:ascii="Bookman Old Style" w:hAnsi="Bookman Old Style"/>
          <w:szCs w:val="27"/>
        </w:rPr>
      </w:pPr>
    </w:p>
    <w:p w:rsidR="008A5D1E" w:rsidRDefault="008A5D1E" w:rsidP="003C1BE8">
      <w:pPr>
        <w:pStyle w:val="Textoindependiente2"/>
        <w:spacing w:after="0" w:line="240" w:lineRule="auto"/>
        <w:ind w:left="0" w:right="-142"/>
        <w:jc w:val="both"/>
        <w:rPr>
          <w:rFonts w:ascii="Bookman Old Style" w:hAnsi="Bookman Old Style"/>
          <w:szCs w:val="27"/>
        </w:rPr>
      </w:pPr>
    </w:p>
    <w:p w:rsidR="00AF57EF" w:rsidRDefault="00AF57EF" w:rsidP="00AF57EF">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lastRenderedPageBreak/>
        <w:t xml:space="preserve">Artículo 3.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Pr>
          <w:rFonts w:ascii="Bookman Old Style" w:hAnsi="Bookman Old Style"/>
          <w:szCs w:val="27"/>
        </w:rPr>
        <w:t xml:space="preserve">Gas Neiva S.A. E.S.P. </w:t>
      </w:r>
      <w:r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AF57EF" w:rsidRDefault="00AF57EF" w:rsidP="00AF57EF">
      <w:pPr>
        <w:tabs>
          <w:tab w:val="right" w:pos="9498"/>
        </w:tabs>
        <w:ind w:left="0" w:right="-142"/>
        <w:rPr>
          <w:rFonts w:ascii="Bookman Old Style" w:hAnsi="Bookman Old Style" w:cs="Arial"/>
          <w:sz w:val="22"/>
        </w:rPr>
      </w:pPr>
    </w:p>
    <w:p w:rsidR="00AF57EF" w:rsidRPr="003234E2" w:rsidRDefault="00AF57EF" w:rsidP="00AF57EF">
      <w:pPr>
        <w:tabs>
          <w:tab w:val="right" w:pos="9498"/>
        </w:tabs>
        <w:ind w:left="0" w:right="-142"/>
        <w:rPr>
          <w:rFonts w:ascii="Bookman Old Style" w:hAnsi="Bookman Old Style" w:cs="Arial"/>
          <w:sz w:val="22"/>
        </w:rPr>
      </w:pPr>
    </w:p>
    <w:p w:rsidR="00AF57EF" w:rsidRPr="005023D3" w:rsidRDefault="00AF57EF" w:rsidP="00AF57EF">
      <w:pPr>
        <w:ind w:left="-181"/>
        <w:jc w:val="center"/>
        <w:rPr>
          <w:rFonts w:ascii="Bookman Old Style" w:hAnsi="Bookman Old Style" w:cs="Arial"/>
          <w:b/>
        </w:rPr>
      </w:pPr>
      <w:r>
        <w:rPr>
          <w:rFonts w:ascii="Bookman Old Style" w:hAnsi="Bookman Old Style" w:cs="Arial"/>
          <w:b/>
        </w:rPr>
        <w:t xml:space="preserve">     NOTIFÍQUESE </w:t>
      </w:r>
      <w:r w:rsidR="008A5D1E">
        <w:rPr>
          <w:rFonts w:ascii="Bookman Old Style" w:hAnsi="Bookman Old Style" w:cs="Arial"/>
          <w:b/>
        </w:rPr>
        <w:t>Y CÚMPLASE</w:t>
      </w:r>
    </w:p>
    <w:p w:rsidR="00AF57EF" w:rsidRPr="003234E2" w:rsidRDefault="00AF57EF" w:rsidP="00AF57EF">
      <w:pPr>
        <w:ind w:left="0"/>
        <w:rPr>
          <w:rFonts w:ascii="Bookman Old Style" w:hAnsi="Bookman Old Style" w:cs="Arial"/>
          <w:sz w:val="20"/>
          <w:szCs w:val="20"/>
        </w:rPr>
      </w:pPr>
    </w:p>
    <w:p w:rsidR="00AF57EF" w:rsidRDefault="00AF57EF" w:rsidP="008A5D1E">
      <w:pPr>
        <w:ind w:left="0"/>
        <w:rPr>
          <w:rFonts w:ascii="Bookman Old Style" w:hAnsi="Bookman Old Style" w:cs="Arial"/>
          <w:szCs w:val="20"/>
        </w:rPr>
      </w:pPr>
      <w:r w:rsidRPr="005023D3">
        <w:rPr>
          <w:rFonts w:ascii="Bookman Old Style" w:hAnsi="Bookman Old Style" w:cs="Arial"/>
          <w:szCs w:val="20"/>
        </w:rPr>
        <w:t>Dada en Bogotá, D.C.</w:t>
      </w:r>
    </w:p>
    <w:p w:rsidR="008A5D1E" w:rsidRDefault="008A5D1E" w:rsidP="008A5D1E">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8A5D1E" w:rsidRPr="00A14C71" w:rsidTr="005D266B">
        <w:trPr>
          <w:tblCellSpacing w:w="0" w:type="dxa"/>
          <w:jc w:val="center"/>
        </w:trPr>
        <w:tc>
          <w:tcPr>
            <w:tcW w:w="5529" w:type="dxa"/>
            <w:hideMark/>
          </w:tcPr>
          <w:p w:rsidR="008A5D1E" w:rsidRPr="00A14C71" w:rsidRDefault="008A5D1E" w:rsidP="005D266B">
            <w:pPr>
              <w:ind w:left="0"/>
              <w:rPr>
                <w:rFonts w:ascii="Bookman Old Style" w:hAnsi="Bookman Old Style" w:cs="Arial"/>
                <w:b/>
                <w:spacing w:val="-3"/>
              </w:rPr>
            </w:pPr>
          </w:p>
          <w:p w:rsidR="008A5D1E" w:rsidRPr="00A14C71" w:rsidRDefault="008A5D1E" w:rsidP="005D266B">
            <w:pPr>
              <w:ind w:left="0"/>
              <w:rPr>
                <w:rFonts w:ascii="Bookman Old Style" w:hAnsi="Bookman Old Style" w:cs="Arial"/>
                <w:b/>
                <w:spacing w:val="-3"/>
              </w:rPr>
            </w:pPr>
          </w:p>
          <w:p w:rsidR="008A5D1E" w:rsidRPr="00A14C71" w:rsidRDefault="008A5D1E" w:rsidP="005D266B">
            <w:pPr>
              <w:ind w:left="0"/>
              <w:rPr>
                <w:rFonts w:ascii="Bookman Old Style" w:hAnsi="Bookman Old Style" w:cs="Arial"/>
                <w:b/>
                <w:spacing w:val="-3"/>
              </w:rPr>
            </w:pPr>
          </w:p>
          <w:p w:rsidR="008A5D1E" w:rsidRPr="00A14C71" w:rsidRDefault="008A5D1E" w:rsidP="005D266B">
            <w:pPr>
              <w:ind w:left="66"/>
              <w:jc w:val="center"/>
              <w:rPr>
                <w:rFonts w:ascii="Bookman Old Style" w:hAnsi="Bookman Old Style" w:cs="Arial"/>
                <w:b/>
                <w:spacing w:val="-3"/>
              </w:rPr>
            </w:pPr>
          </w:p>
          <w:p w:rsidR="008A5D1E" w:rsidRPr="00A14C71" w:rsidRDefault="008A5D1E"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8A5D1E" w:rsidRPr="00A14C71" w:rsidRDefault="008A5D1E" w:rsidP="005D266B">
            <w:pPr>
              <w:ind w:left="89"/>
              <w:jc w:val="center"/>
              <w:rPr>
                <w:rFonts w:ascii="Bookman Old Style" w:hAnsi="Bookman Old Style" w:cs="Arial"/>
                <w:b/>
                <w:spacing w:val="-3"/>
              </w:rPr>
            </w:pPr>
          </w:p>
          <w:p w:rsidR="008A5D1E" w:rsidRPr="00A14C71" w:rsidRDefault="008A5D1E" w:rsidP="005D266B">
            <w:pPr>
              <w:ind w:left="89"/>
              <w:jc w:val="center"/>
              <w:rPr>
                <w:rFonts w:ascii="Bookman Old Style" w:hAnsi="Bookman Old Style" w:cs="Arial"/>
                <w:b/>
                <w:spacing w:val="-3"/>
              </w:rPr>
            </w:pPr>
          </w:p>
          <w:p w:rsidR="008A5D1E" w:rsidRPr="00A14C71" w:rsidRDefault="008A5D1E" w:rsidP="005D266B">
            <w:pPr>
              <w:ind w:left="89"/>
              <w:jc w:val="center"/>
              <w:rPr>
                <w:rFonts w:ascii="Bookman Old Style" w:hAnsi="Bookman Old Style" w:cs="Arial"/>
                <w:b/>
                <w:spacing w:val="-3"/>
              </w:rPr>
            </w:pPr>
          </w:p>
          <w:p w:rsidR="008A5D1E" w:rsidRPr="00A14C71" w:rsidRDefault="008A5D1E" w:rsidP="005D266B">
            <w:pPr>
              <w:ind w:left="89"/>
              <w:jc w:val="center"/>
              <w:rPr>
                <w:rFonts w:ascii="Bookman Old Style" w:hAnsi="Bookman Old Style" w:cs="Arial"/>
                <w:b/>
                <w:spacing w:val="-3"/>
              </w:rPr>
            </w:pPr>
          </w:p>
          <w:p w:rsidR="008A5D1E" w:rsidRPr="00A14C71" w:rsidRDefault="008A5D1E"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8A5D1E" w:rsidRPr="00A14C71" w:rsidTr="005D266B">
        <w:trPr>
          <w:tblCellSpacing w:w="0" w:type="dxa"/>
          <w:jc w:val="center"/>
        </w:trPr>
        <w:tc>
          <w:tcPr>
            <w:tcW w:w="5529" w:type="dxa"/>
            <w:hideMark/>
          </w:tcPr>
          <w:p w:rsidR="008A5D1E" w:rsidRDefault="008A5D1E"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0D2AF9" w:rsidRPr="00A14C71" w:rsidRDefault="000D2AF9"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8A5D1E" w:rsidRPr="00A14C71" w:rsidRDefault="008A5D1E"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8A5D1E" w:rsidRPr="00A14C71" w:rsidTr="005D266B">
        <w:trPr>
          <w:tblCellSpacing w:w="0" w:type="dxa"/>
          <w:jc w:val="center"/>
        </w:trPr>
        <w:tc>
          <w:tcPr>
            <w:tcW w:w="5529" w:type="dxa"/>
            <w:hideMark/>
          </w:tcPr>
          <w:p w:rsidR="008A5D1E" w:rsidRPr="00A14C71" w:rsidRDefault="008A5D1E"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8A5D1E" w:rsidRPr="00A14C71" w:rsidRDefault="008A5D1E" w:rsidP="005D266B">
            <w:pPr>
              <w:ind w:left="0"/>
              <w:jc w:val="center"/>
              <w:rPr>
                <w:rFonts w:ascii="Bookman Old Style" w:eastAsia="Arial Unicode MS" w:hAnsi="Bookman Old Style" w:cs="Arial"/>
                <w:color w:val="000000"/>
              </w:rPr>
            </w:pPr>
          </w:p>
        </w:tc>
      </w:tr>
    </w:tbl>
    <w:p w:rsidR="00AF57EF" w:rsidRPr="00FE2D9D" w:rsidRDefault="00AF57EF" w:rsidP="00AF57EF">
      <w:pPr>
        <w:rPr>
          <w:rFonts w:ascii="Bookman Old Style" w:hAnsi="Bookman Old Style" w:cs="Arial"/>
          <w:szCs w:val="20"/>
        </w:rPr>
      </w:pPr>
    </w:p>
    <w:p w:rsidR="00AF57EF" w:rsidRPr="003234E2" w:rsidRDefault="00AF57EF" w:rsidP="00AF57EF">
      <w:pPr>
        <w:ind w:left="0"/>
        <w:rPr>
          <w:sz w:val="20"/>
        </w:rPr>
      </w:pPr>
    </w:p>
    <w:p w:rsidR="00AF57EF" w:rsidRDefault="00AF57EF" w:rsidP="00AF57EF">
      <w:pPr>
        <w:pStyle w:val="Textoindependiente2"/>
        <w:spacing w:after="0" w:line="240" w:lineRule="auto"/>
        <w:ind w:left="-142" w:right="-142"/>
        <w:jc w:val="both"/>
        <w:rPr>
          <w:rFonts w:ascii="Bookman Old Style" w:hAnsi="Bookman Old Style"/>
          <w:szCs w:val="27"/>
        </w:rPr>
      </w:pPr>
    </w:p>
    <w:p w:rsidR="00521349" w:rsidRDefault="00521349" w:rsidP="00090E52">
      <w:pPr>
        <w:pStyle w:val="Textoindependiente2"/>
        <w:spacing w:after="0" w:line="240" w:lineRule="auto"/>
        <w:ind w:left="-142" w:right="-142"/>
        <w:jc w:val="both"/>
        <w:rPr>
          <w:rFonts w:ascii="Bookman Old Style" w:hAnsi="Bookman Old Style"/>
          <w:szCs w:val="27"/>
        </w:rPr>
      </w:pPr>
    </w:p>
    <w:sectPr w:rsidR="00521349"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0A9" w:rsidRDefault="004950A9">
      <w:r>
        <w:separator/>
      </w:r>
    </w:p>
  </w:endnote>
  <w:endnote w:type="continuationSeparator" w:id="0">
    <w:p w:rsidR="004950A9" w:rsidRDefault="0049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0A9" w:rsidRDefault="004950A9">
      <w:r>
        <w:separator/>
      </w:r>
    </w:p>
  </w:footnote>
  <w:footnote w:type="continuationSeparator" w:id="0">
    <w:p w:rsidR="004950A9" w:rsidRDefault="004950A9">
      <w:r>
        <w:continuationSeparator/>
      </w:r>
    </w:p>
  </w:footnote>
  <w:footnote w:id="1">
    <w:p w:rsidR="00640E4D" w:rsidRPr="00EC3BB2" w:rsidRDefault="00640E4D"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40E4D" w:rsidRPr="00BD1622" w:rsidRDefault="00640E4D"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640E4D" w:rsidRPr="00FC2C01" w:rsidRDefault="00640E4D"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008A5D1E" w:rsidRPr="00FC2C01">
        <w:rPr>
          <w:rFonts w:ascii="Bookman Old Style" w:hAnsi="Bookman Old Style" w:cs="Arial"/>
          <w:sz w:val="16"/>
          <w:szCs w:val="16"/>
        </w:rPr>
        <w:t>Artículo 67</w:t>
      </w:r>
      <w:r w:rsidRPr="00FC2C01">
        <w:rPr>
          <w:rFonts w:ascii="Bookman Old Style" w:hAnsi="Bookman Old Style" w:cs="Arial"/>
          <w:sz w:val="16"/>
          <w:szCs w:val="16"/>
        </w:rPr>
        <w:t>. Notificación personal. Las decisiones que pongan término a una actuación administrativa se notificarán personalmente al interesado, a su representante o apoderado, o a la persona debidamente autorizada por el interesado para notificarse.</w:t>
      </w:r>
    </w:p>
    <w:p w:rsidR="00640E4D" w:rsidRPr="00FC2C01" w:rsidRDefault="00640E4D" w:rsidP="00BA05D2">
      <w:pPr>
        <w:pStyle w:val="Textonotapie"/>
        <w:jc w:val="both"/>
        <w:rPr>
          <w:rFonts w:ascii="Bookman Old Style" w:hAnsi="Bookman Old Style" w:cs="Arial"/>
          <w:sz w:val="16"/>
          <w:szCs w:val="16"/>
        </w:rPr>
      </w:pPr>
    </w:p>
    <w:p w:rsidR="00640E4D" w:rsidRPr="00CD67E2" w:rsidRDefault="00640E4D"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640E4D" w:rsidRPr="00FA7CDB" w:rsidRDefault="00640E4D" w:rsidP="00CD67E2">
      <w:pPr>
        <w:pStyle w:val="Textonotapie"/>
        <w:jc w:val="both"/>
        <w:rPr>
          <w:rFonts w:ascii="Bookman Old Style" w:hAnsi="Bookman Old Style" w:cs="Arial"/>
          <w:sz w:val="16"/>
          <w:szCs w:val="16"/>
        </w:rPr>
      </w:pPr>
    </w:p>
    <w:p w:rsidR="00640E4D" w:rsidRPr="00FA7CDB" w:rsidRDefault="00640E4D"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40E4D" w:rsidRDefault="00640E4D"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AF57EF" w:rsidRPr="00BB7AEA" w:rsidRDefault="00AF57EF" w:rsidP="00AF57EF">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951F79">
    <w:pPr>
      <w:pStyle w:val="Ttulo1"/>
      <w:ind w:right="6"/>
      <w:jc w:val="left"/>
      <w:rPr>
        <w:rFonts w:ascii="Bookman Old Style" w:hAnsi="Bookman Old Style" w:cs="Arial"/>
        <w:b w:val="0"/>
        <w:sz w:val="22"/>
        <w:szCs w:val="22"/>
      </w:rPr>
    </w:pPr>
  </w:p>
  <w:p w:rsidR="00640E4D" w:rsidRPr="00951F79" w:rsidRDefault="00640E4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60FC1">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60FC1">
      <w:fldChar w:fldCharType="begin"/>
    </w:r>
    <w:r w:rsidR="00F60FC1">
      <w:instrText xml:space="preserve"> NUMPAGES  \* MERGEFORMAT </w:instrText>
    </w:r>
    <w:r w:rsidR="00F60FC1">
      <w:fldChar w:fldCharType="separate"/>
    </w:r>
    <w:r w:rsidR="00F60FC1" w:rsidRPr="00F60FC1">
      <w:rPr>
        <w:rFonts w:ascii="Bookman Old Style" w:hAnsi="Bookman Old Style" w:cs="Arial"/>
        <w:b w:val="0"/>
        <w:noProof/>
        <w:sz w:val="22"/>
        <w:szCs w:val="22"/>
      </w:rPr>
      <w:t>15</w:t>
    </w:r>
    <w:r w:rsidR="00F60FC1">
      <w:rPr>
        <w:rFonts w:ascii="Bookman Old Style" w:hAnsi="Bookman Old Style" w:cs="Arial"/>
        <w:b w:val="0"/>
        <w:noProof/>
        <w:sz w:val="22"/>
        <w:szCs w:val="22"/>
      </w:rPr>
      <w:fldChar w:fldCharType="end"/>
    </w:r>
  </w:p>
  <w:p w:rsidR="00640E4D" w:rsidRDefault="00ED3C36"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253DE"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40E4D" w:rsidRPr="00616D65" w:rsidRDefault="00640E4D"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A00879">
      <w:rPr>
        <w:rFonts w:ascii="Bookman Old Style" w:hAnsi="Bookman Old Style" w:cs="Arial"/>
        <w:sz w:val="22"/>
        <w:szCs w:val="22"/>
      </w:rPr>
      <w:t xml:space="preserve">Gas </w:t>
    </w:r>
    <w:r w:rsidR="00720F3F">
      <w:rPr>
        <w:rFonts w:ascii="Bookman Old Style" w:hAnsi="Bookman Old Style" w:cs="Arial"/>
        <w:sz w:val="22"/>
        <w:szCs w:val="22"/>
      </w:rPr>
      <w:t>Neiva</w:t>
    </w:r>
    <w:r w:rsidR="00A00879">
      <w:rPr>
        <w:rFonts w:ascii="Bookman Old Style" w:hAnsi="Bookman Old Style" w:cs="Arial"/>
        <w:sz w:val="22"/>
        <w:szCs w:val="22"/>
      </w:rPr>
      <w:t xml:space="preserve"> S.A. E.S.P.</w:t>
    </w:r>
    <w:r>
      <w:rPr>
        <w:rFonts w:ascii="Bookman Old Style" w:hAnsi="Bookman Old Style" w:cs="Arial"/>
        <w:sz w:val="22"/>
        <w:szCs w:val="22"/>
      </w:rPr>
      <w:t xml:space="preserve">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640E4D" w:rsidRPr="00730C9E" w:rsidRDefault="00ED3C36"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5E644"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40E4D" w:rsidRDefault="00640E4D">
    <w:pPr>
      <w:pStyle w:val="Encabezado"/>
      <w:jc w:val="center"/>
      <w:rPr>
        <w:rFonts w:ascii="Arial" w:hAnsi="Arial" w:cs="Arial"/>
        <w:spacing w:val="20"/>
        <w:sz w:val="20"/>
      </w:rPr>
    </w:pPr>
  </w:p>
  <w:p w:rsidR="00640E4D" w:rsidRDefault="00ED3C3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0BA0E"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0"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5"/>
  </w:num>
  <w:num w:numId="4">
    <w:abstractNumId w:val="14"/>
  </w:num>
  <w:num w:numId="5">
    <w:abstractNumId w:val="25"/>
  </w:num>
  <w:num w:numId="6">
    <w:abstractNumId w:val="4"/>
  </w:num>
  <w:num w:numId="7">
    <w:abstractNumId w:val="3"/>
  </w:num>
  <w:num w:numId="8">
    <w:abstractNumId w:val="28"/>
  </w:num>
  <w:num w:numId="9">
    <w:abstractNumId w:val="26"/>
  </w:num>
  <w:num w:numId="10">
    <w:abstractNumId w:val="20"/>
  </w:num>
  <w:num w:numId="11">
    <w:abstractNumId w:val="36"/>
  </w:num>
  <w:num w:numId="12">
    <w:abstractNumId w:val="33"/>
  </w:num>
  <w:num w:numId="13">
    <w:abstractNumId w:val="16"/>
  </w:num>
  <w:num w:numId="14">
    <w:abstractNumId w:val="2"/>
  </w:num>
  <w:num w:numId="15">
    <w:abstractNumId w:val="21"/>
  </w:num>
  <w:num w:numId="16">
    <w:abstractNumId w:val="1"/>
  </w:num>
  <w:num w:numId="17">
    <w:abstractNumId w:val="34"/>
  </w:num>
  <w:num w:numId="18">
    <w:abstractNumId w:val="10"/>
  </w:num>
  <w:num w:numId="19">
    <w:abstractNumId w:val="22"/>
  </w:num>
  <w:num w:numId="20">
    <w:abstractNumId w:val="23"/>
  </w:num>
  <w:num w:numId="21">
    <w:abstractNumId w:val="32"/>
  </w:num>
  <w:num w:numId="22">
    <w:abstractNumId w:val="27"/>
  </w:num>
  <w:num w:numId="23">
    <w:abstractNumId w:val="31"/>
  </w:num>
  <w:num w:numId="24">
    <w:abstractNumId w:val="13"/>
  </w:num>
  <w:num w:numId="25">
    <w:abstractNumId w:val="11"/>
  </w:num>
  <w:num w:numId="26">
    <w:abstractNumId w:val="24"/>
  </w:num>
  <w:num w:numId="27">
    <w:abstractNumId w:val="8"/>
  </w:num>
  <w:num w:numId="28">
    <w:abstractNumId w:val="9"/>
  </w:num>
  <w:num w:numId="29">
    <w:abstractNumId w:val="15"/>
  </w:num>
  <w:num w:numId="30">
    <w:abstractNumId w:val="30"/>
  </w:num>
  <w:num w:numId="31">
    <w:abstractNumId w:val="12"/>
  </w:num>
  <w:num w:numId="32">
    <w:abstractNumId w:val="17"/>
  </w:num>
  <w:num w:numId="33">
    <w:abstractNumId w:val="29"/>
  </w:num>
  <w:num w:numId="34">
    <w:abstractNumId w:val="37"/>
  </w:num>
  <w:num w:numId="35">
    <w:abstractNumId w:val="5"/>
  </w:num>
  <w:num w:numId="36">
    <w:abstractNumId w:val="6"/>
  </w:num>
  <w:num w:numId="37">
    <w:abstractNumId w:val="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B03C2"/>
    <w:rsid w:val="000B20EA"/>
    <w:rsid w:val="000B27E6"/>
    <w:rsid w:val="000B48BF"/>
    <w:rsid w:val="000B4B19"/>
    <w:rsid w:val="000B52EA"/>
    <w:rsid w:val="000B667A"/>
    <w:rsid w:val="000B7374"/>
    <w:rsid w:val="000C27EB"/>
    <w:rsid w:val="000C5773"/>
    <w:rsid w:val="000C6FE5"/>
    <w:rsid w:val="000D22D4"/>
    <w:rsid w:val="000D26F8"/>
    <w:rsid w:val="000D2AF9"/>
    <w:rsid w:val="000E01B8"/>
    <w:rsid w:val="000E08A1"/>
    <w:rsid w:val="000E38F7"/>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B05"/>
    <w:rsid w:val="00206C47"/>
    <w:rsid w:val="00207B65"/>
    <w:rsid w:val="00211523"/>
    <w:rsid w:val="00211D34"/>
    <w:rsid w:val="00214F04"/>
    <w:rsid w:val="00215B3E"/>
    <w:rsid w:val="00216767"/>
    <w:rsid w:val="00217BEC"/>
    <w:rsid w:val="002205E2"/>
    <w:rsid w:val="00221498"/>
    <w:rsid w:val="00223B98"/>
    <w:rsid w:val="00226B1A"/>
    <w:rsid w:val="00233E7D"/>
    <w:rsid w:val="00240455"/>
    <w:rsid w:val="00241399"/>
    <w:rsid w:val="00241733"/>
    <w:rsid w:val="00241898"/>
    <w:rsid w:val="00241F57"/>
    <w:rsid w:val="00244B23"/>
    <w:rsid w:val="00244C3F"/>
    <w:rsid w:val="00246AA1"/>
    <w:rsid w:val="00246C1A"/>
    <w:rsid w:val="002528AF"/>
    <w:rsid w:val="00253E07"/>
    <w:rsid w:val="002606C2"/>
    <w:rsid w:val="002606F0"/>
    <w:rsid w:val="00260CE3"/>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0E6C"/>
    <w:rsid w:val="003638D6"/>
    <w:rsid w:val="0036394B"/>
    <w:rsid w:val="00365D54"/>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1BE8"/>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50A9"/>
    <w:rsid w:val="00495A52"/>
    <w:rsid w:val="004960E9"/>
    <w:rsid w:val="004A2E88"/>
    <w:rsid w:val="004A5305"/>
    <w:rsid w:val="004A6EE1"/>
    <w:rsid w:val="004B0C00"/>
    <w:rsid w:val="004B78C1"/>
    <w:rsid w:val="004C0BFE"/>
    <w:rsid w:val="004C19C2"/>
    <w:rsid w:val="004C7BD8"/>
    <w:rsid w:val="004D1872"/>
    <w:rsid w:val="004D19FA"/>
    <w:rsid w:val="004D1BE8"/>
    <w:rsid w:val="004D3045"/>
    <w:rsid w:val="004D7634"/>
    <w:rsid w:val="004D7892"/>
    <w:rsid w:val="004E1536"/>
    <w:rsid w:val="004E198F"/>
    <w:rsid w:val="004E33F2"/>
    <w:rsid w:val="004F3744"/>
    <w:rsid w:val="004F7D1F"/>
    <w:rsid w:val="0050015E"/>
    <w:rsid w:val="00503267"/>
    <w:rsid w:val="00505765"/>
    <w:rsid w:val="0051257C"/>
    <w:rsid w:val="00513865"/>
    <w:rsid w:val="00515932"/>
    <w:rsid w:val="00521349"/>
    <w:rsid w:val="005217A1"/>
    <w:rsid w:val="005300D3"/>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93C4F"/>
    <w:rsid w:val="005946A8"/>
    <w:rsid w:val="00596B5A"/>
    <w:rsid w:val="00596EEA"/>
    <w:rsid w:val="00596EFA"/>
    <w:rsid w:val="005972F1"/>
    <w:rsid w:val="005A0D57"/>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35B0A"/>
    <w:rsid w:val="00640301"/>
    <w:rsid w:val="00640E4D"/>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1E4D"/>
    <w:rsid w:val="006D3C10"/>
    <w:rsid w:val="006D3E42"/>
    <w:rsid w:val="006D5418"/>
    <w:rsid w:val="006D6139"/>
    <w:rsid w:val="006D79D9"/>
    <w:rsid w:val="006E6198"/>
    <w:rsid w:val="006E73A5"/>
    <w:rsid w:val="006F02B8"/>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0F3F"/>
    <w:rsid w:val="00721738"/>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04"/>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7F278C"/>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403F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5D1E"/>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C6F"/>
    <w:rsid w:val="00A10A0B"/>
    <w:rsid w:val="00A1296D"/>
    <w:rsid w:val="00A13D07"/>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0502"/>
    <w:rsid w:val="00A5373F"/>
    <w:rsid w:val="00A54052"/>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57EF"/>
    <w:rsid w:val="00AF6DEF"/>
    <w:rsid w:val="00B01B73"/>
    <w:rsid w:val="00B04B81"/>
    <w:rsid w:val="00B05626"/>
    <w:rsid w:val="00B05914"/>
    <w:rsid w:val="00B10207"/>
    <w:rsid w:val="00B1074B"/>
    <w:rsid w:val="00B13E0A"/>
    <w:rsid w:val="00B13E74"/>
    <w:rsid w:val="00B141E7"/>
    <w:rsid w:val="00B16D10"/>
    <w:rsid w:val="00B23A09"/>
    <w:rsid w:val="00B309B2"/>
    <w:rsid w:val="00B31959"/>
    <w:rsid w:val="00B351B4"/>
    <w:rsid w:val="00B36712"/>
    <w:rsid w:val="00B36FE8"/>
    <w:rsid w:val="00B46BCA"/>
    <w:rsid w:val="00B4775D"/>
    <w:rsid w:val="00B526A3"/>
    <w:rsid w:val="00B54F3C"/>
    <w:rsid w:val="00B55F26"/>
    <w:rsid w:val="00B563ED"/>
    <w:rsid w:val="00B60A3F"/>
    <w:rsid w:val="00B60A77"/>
    <w:rsid w:val="00B63B12"/>
    <w:rsid w:val="00B747A1"/>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B5664"/>
    <w:rsid w:val="00BC2BE8"/>
    <w:rsid w:val="00BC38FD"/>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27A"/>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517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605B"/>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D192E"/>
    <w:rsid w:val="00DD3CE8"/>
    <w:rsid w:val="00DD4F0E"/>
    <w:rsid w:val="00DE4017"/>
    <w:rsid w:val="00DF070D"/>
    <w:rsid w:val="00DF0BF0"/>
    <w:rsid w:val="00DF465D"/>
    <w:rsid w:val="00DF4E15"/>
    <w:rsid w:val="00DF4F58"/>
    <w:rsid w:val="00DF5273"/>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BA5"/>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3C36"/>
    <w:rsid w:val="00ED5722"/>
    <w:rsid w:val="00EE25CE"/>
    <w:rsid w:val="00EE2E6E"/>
    <w:rsid w:val="00EE6670"/>
    <w:rsid w:val="00EF3822"/>
    <w:rsid w:val="00EF78A2"/>
    <w:rsid w:val="00F0000A"/>
    <w:rsid w:val="00F01F07"/>
    <w:rsid w:val="00F03154"/>
    <w:rsid w:val="00F0499E"/>
    <w:rsid w:val="00F06BB2"/>
    <w:rsid w:val="00F0759E"/>
    <w:rsid w:val="00F14B80"/>
    <w:rsid w:val="00F16F1A"/>
    <w:rsid w:val="00F205F5"/>
    <w:rsid w:val="00F22B1C"/>
    <w:rsid w:val="00F22C20"/>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0FC1"/>
    <w:rsid w:val="00F630ED"/>
    <w:rsid w:val="00F75127"/>
    <w:rsid w:val="00F75280"/>
    <w:rsid w:val="00F821A3"/>
    <w:rsid w:val="00F9314A"/>
    <w:rsid w:val="00F95C9F"/>
    <w:rsid w:val="00FA0494"/>
    <w:rsid w:val="00FA049B"/>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884382D-24BB-46CD-919B-A4BE8286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49D8-241C-44C2-8E89-446A26D9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15</Pages>
  <Words>5293</Words>
  <Characters>27980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2016-12-07T17:21:00Z</dcterms:created>
  <dcterms:modified xsi:type="dcterms:W3CDTF">2016-12-07T17:21:00Z</dcterms:modified>
</cp:coreProperties>
</file>